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3104B" w:rsidRPr="0058381A" w:rsidRDefault="008A0BA6" w:rsidP="008A0BA6">
      <w:pPr>
        <w:pStyle w:val="Title"/>
        <w:pBdr>
          <w:bottom w:val="single" w:sz="12" w:space="4" w:color="auto"/>
        </w:pBdr>
        <w:outlineLvl w:val="0"/>
        <w:rPr>
          <w:sz w:val="24"/>
          <w:szCs w:val="32"/>
        </w:rPr>
      </w:pPr>
      <w:r w:rsidRPr="0058381A">
        <w:rPr>
          <w:sz w:val="24"/>
          <w:szCs w:val="32"/>
        </w:rPr>
        <w:t>TECHNICAL GUIDANCE DOCUMENT APPENDICES</w:t>
      </w:r>
      <w:bookmarkStart w:id="0" w:name="_GoBack"/>
      <w:bookmarkEnd w:id="0"/>
    </w:p>
    <w:p w:rsidR="00572495" w:rsidRPr="00572495" w:rsidRDefault="008A0BA6" w:rsidP="00572495">
      <w:pPr>
        <w:pStyle w:val="TOC1"/>
        <w:spacing w:after="240"/>
        <w:rPr>
          <w:b/>
        </w:rPr>
      </w:pPr>
      <w:r w:rsidRPr="00572495">
        <w:rPr>
          <w:b/>
        </w:rPr>
        <w:t>TABLE OF CONTENTS</w:t>
      </w:r>
    </w:p>
    <w:p w:rsidR="001D74B5" w:rsidRDefault="00126F3D">
      <w:pPr>
        <w:pStyle w:val="TOC1"/>
        <w:tabs>
          <w:tab w:val="left" w:pos="1760"/>
        </w:tabs>
        <w:rPr>
          <w:rFonts w:asciiTheme="minorHAnsi" w:eastAsiaTheme="minorEastAsia" w:hAnsiTheme="minorHAnsi"/>
          <w:caps w:val="0"/>
          <w:noProof/>
        </w:rPr>
      </w:pPr>
      <w:r w:rsidRPr="00126F3D">
        <w:rPr>
          <w:b/>
          <w:color w:val="0070C0"/>
        </w:rPr>
        <w:fldChar w:fldCharType="begin"/>
      </w:r>
      <w:r w:rsidR="00572495" w:rsidRPr="00126DE5">
        <w:rPr>
          <w:b/>
          <w:color w:val="0070C0"/>
        </w:rPr>
        <w:instrText xml:space="preserve"> TOC \h \z \t "Heading 1,1,Heading 2,2,AppendixHeading,1" </w:instrText>
      </w:r>
      <w:r w:rsidRPr="00126F3D">
        <w:rPr>
          <w:b/>
          <w:color w:val="0070C0"/>
        </w:rPr>
        <w:fldChar w:fldCharType="separate"/>
      </w:r>
      <w:hyperlink w:anchor="_Toc293937104" w:history="1">
        <w:r w:rsidR="001D74B5" w:rsidRPr="0039420F">
          <w:rPr>
            <w:rStyle w:val="Hyperlink"/>
            <w:noProof/>
          </w:rPr>
          <w:t>Appendix I.</w:t>
        </w:r>
        <w:r w:rsidR="001D74B5">
          <w:rPr>
            <w:rFonts w:asciiTheme="minorHAnsi" w:eastAsiaTheme="minorEastAsia" w:hAnsiTheme="minorHAnsi"/>
            <w:caps w:val="0"/>
            <w:noProof/>
          </w:rPr>
          <w:tab/>
        </w:r>
        <w:r w:rsidR="001D74B5" w:rsidRPr="0039420F">
          <w:rPr>
            <w:rStyle w:val="Hyperlink"/>
            <w:noProof/>
          </w:rPr>
          <w:t>SUMMARY OF BMP SIZING REQUIREMENTS FOR NORTH ORANGE COUNTY</w:t>
        </w:r>
        <w:r w:rsidR="001D74B5">
          <w:rPr>
            <w:noProof/>
            <w:webHidden/>
          </w:rPr>
          <w:tab/>
        </w:r>
        <w:r>
          <w:rPr>
            <w:noProof/>
            <w:webHidden/>
          </w:rPr>
          <w:fldChar w:fldCharType="begin"/>
        </w:r>
        <w:r w:rsidR="001D74B5">
          <w:rPr>
            <w:noProof/>
            <w:webHidden/>
          </w:rPr>
          <w:instrText xml:space="preserve"> PAGEREF _Toc293937104 \h </w:instrText>
        </w:r>
        <w:r>
          <w:rPr>
            <w:noProof/>
            <w:webHidden/>
          </w:rPr>
        </w:r>
        <w:r>
          <w:rPr>
            <w:noProof/>
            <w:webHidden/>
          </w:rPr>
          <w:fldChar w:fldCharType="separate"/>
        </w:r>
        <w:r w:rsidR="001D74B5">
          <w:rPr>
            <w:noProof/>
            <w:webHidden/>
          </w:rPr>
          <w:t>I-1</w:t>
        </w:r>
        <w:r>
          <w:rPr>
            <w:noProof/>
            <w:webHidden/>
          </w:rPr>
          <w:fldChar w:fldCharType="end"/>
        </w:r>
      </w:hyperlink>
    </w:p>
    <w:p w:rsidR="001D74B5" w:rsidRDefault="00126F3D">
      <w:pPr>
        <w:pStyle w:val="TOC2"/>
        <w:tabs>
          <w:tab w:val="left" w:pos="880"/>
          <w:tab w:val="right" w:leader="dot" w:pos="9350"/>
        </w:tabs>
        <w:rPr>
          <w:rFonts w:asciiTheme="minorHAnsi" w:eastAsiaTheme="minorEastAsia" w:hAnsiTheme="minorHAnsi"/>
          <w:noProof/>
        </w:rPr>
      </w:pPr>
      <w:hyperlink w:anchor="_Toc293937105" w:history="1">
        <w:r w:rsidR="001D74B5" w:rsidRPr="0039420F">
          <w:rPr>
            <w:rStyle w:val="Hyperlink"/>
            <w:noProof/>
          </w:rPr>
          <w:t>I.1.</w:t>
        </w:r>
        <w:r w:rsidR="001D74B5">
          <w:rPr>
            <w:rFonts w:asciiTheme="minorHAnsi" w:eastAsiaTheme="minorEastAsia" w:hAnsiTheme="minorHAnsi"/>
            <w:noProof/>
          </w:rPr>
          <w:tab/>
        </w:r>
        <w:r w:rsidR="001D74B5" w:rsidRPr="0039420F">
          <w:rPr>
            <w:rStyle w:val="Hyperlink"/>
            <w:noProof/>
          </w:rPr>
          <w:t>Introduction to Integrated Structural BMP Sizing Approach in North Orange County</w:t>
        </w:r>
        <w:r w:rsidR="001D74B5">
          <w:rPr>
            <w:noProof/>
            <w:webHidden/>
          </w:rPr>
          <w:tab/>
        </w:r>
        <w:r>
          <w:rPr>
            <w:noProof/>
            <w:webHidden/>
          </w:rPr>
          <w:fldChar w:fldCharType="begin"/>
        </w:r>
        <w:r w:rsidR="001D74B5">
          <w:rPr>
            <w:noProof/>
            <w:webHidden/>
          </w:rPr>
          <w:instrText xml:space="preserve"> PAGEREF _Toc293937105 \h </w:instrText>
        </w:r>
        <w:r>
          <w:rPr>
            <w:noProof/>
            <w:webHidden/>
          </w:rPr>
        </w:r>
        <w:r>
          <w:rPr>
            <w:noProof/>
            <w:webHidden/>
          </w:rPr>
          <w:fldChar w:fldCharType="separate"/>
        </w:r>
        <w:r w:rsidR="001D74B5">
          <w:rPr>
            <w:noProof/>
            <w:webHidden/>
          </w:rPr>
          <w:t>I-1</w:t>
        </w:r>
        <w:r>
          <w:rPr>
            <w:noProof/>
            <w:webHidden/>
          </w:rPr>
          <w:fldChar w:fldCharType="end"/>
        </w:r>
      </w:hyperlink>
    </w:p>
    <w:p w:rsidR="001D74B5" w:rsidRDefault="00126F3D">
      <w:pPr>
        <w:pStyle w:val="TOC2"/>
        <w:tabs>
          <w:tab w:val="left" w:pos="880"/>
          <w:tab w:val="right" w:leader="dot" w:pos="9350"/>
        </w:tabs>
        <w:rPr>
          <w:rFonts w:asciiTheme="minorHAnsi" w:eastAsiaTheme="minorEastAsia" w:hAnsiTheme="minorHAnsi"/>
          <w:noProof/>
        </w:rPr>
      </w:pPr>
      <w:hyperlink w:anchor="_Toc293937106" w:history="1">
        <w:r w:rsidR="001D74B5" w:rsidRPr="0039420F">
          <w:rPr>
            <w:rStyle w:val="Hyperlink"/>
            <w:noProof/>
          </w:rPr>
          <w:t>I.2.</w:t>
        </w:r>
        <w:r w:rsidR="001D74B5">
          <w:rPr>
            <w:rFonts w:asciiTheme="minorHAnsi" w:eastAsiaTheme="minorEastAsia" w:hAnsiTheme="minorHAnsi"/>
            <w:noProof/>
          </w:rPr>
          <w:tab/>
        </w:r>
        <w:r w:rsidR="001D74B5" w:rsidRPr="0039420F">
          <w:rPr>
            <w:rStyle w:val="Hyperlink"/>
            <w:noProof/>
          </w:rPr>
          <w:t>Overview of Approach for LID BMP Sizing in North Orange County</w:t>
        </w:r>
        <w:r w:rsidR="001D74B5">
          <w:rPr>
            <w:noProof/>
            <w:webHidden/>
          </w:rPr>
          <w:tab/>
        </w:r>
        <w:r>
          <w:rPr>
            <w:noProof/>
            <w:webHidden/>
          </w:rPr>
          <w:fldChar w:fldCharType="begin"/>
        </w:r>
        <w:r w:rsidR="001D74B5">
          <w:rPr>
            <w:noProof/>
            <w:webHidden/>
          </w:rPr>
          <w:instrText xml:space="preserve"> PAGEREF _Toc293937106 \h </w:instrText>
        </w:r>
        <w:r>
          <w:rPr>
            <w:noProof/>
            <w:webHidden/>
          </w:rPr>
        </w:r>
        <w:r>
          <w:rPr>
            <w:noProof/>
            <w:webHidden/>
          </w:rPr>
          <w:fldChar w:fldCharType="separate"/>
        </w:r>
        <w:r w:rsidR="001D74B5">
          <w:rPr>
            <w:noProof/>
            <w:webHidden/>
          </w:rPr>
          <w:t>I-3</w:t>
        </w:r>
        <w:r>
          <w:rPr>
            <w:noProof/>
            <w:webHidden/>
          </w:rPr>
          <w:fldChar w:fldCharType="end"/>
        </w:r>
      </w:hyperlink>
    </w:p>
    <w:p w:rsidR="001D74B5" w:rsidRDefault="00126F3D">
      <w:pPr>
        <w:pStyle w:val="TOC2"/>
        <w:tabs>
          <w:tab w:val="left" w:pos="880"/>
          <w:tab w:val="right" w:leader="dot" w:pos="9350"/>
        </w:tabs>
        <w:rPr>
          <w:rFonts w:asciiTheme="minorHAnsi" w:eastAsiaTheme="minorEastAsia" w:hAnsiTheme="minorHAnsi"/>
          <w:noProof/>
        </w:rPr>
      </w:pPr>
      <w:hyperlink w:anchor="_Toc293937107" w:history="1">
        <w:r w:rsidR="001D74B5" w:rsidRPr="0039420F">
          <w:rPr>
            <w:rStyle w:val="Hyperlink"/>
            <w:noProof/>
          </w:rPr>
          <w:t>I.3.</w:t>
        </w:r>
        <w:r w:rsidR="001D74B5">
          <w:rPr>
            <w:rFonts w:asciiTheme="minorHAnsi" w:eastAsiaTheme="minorEastAsia" w:hAnsiTheme="minorHAnsi"/>
            <w:noProof/>
          </w:rPr>
          <w:tab/>
        </w:r>
        <w:r w:rsidR="001D74B5" w:rsidRPr="0039420F">
          <w:rPr>
            <w:rStyle w:val="Hyperlink"/>
            <w:noProof/>
          </w:rPr>
          <w:t>Overview of Approach for Treatment Control BMP Sizing in North Orange County</w:t>
        </w:r>
        <w:r w:rsidR="001D74B5">
          <w:rPr>
            <w:noProof/>
            <w:webHidden/>
          </w:rPr>
          <w:tab/>
        </w:r>
        <w:r>
          <w:rPr>
            <w:noProof/>
            <w:webHidden/>
          </w:rPr>
          <w:fldChar w:fldCharType="begin"/>
        </w:r>
        <w:r w:rsidR="001D74B5">
          <w:rPr>
            <w:noProof/>
            <w:webHidden/>
          </w:rPr>
          <w:instrText xml:space="preserve"> PAGEREF _Toc293937107 \h </w:instrText>
        </w:r>
        <w:r>
          <w:rPr>
            <w:noProof/>
            <w:webHidden/>
          </w:rPr>
        </w:r>
        <w:r>
          <w:rPr>
            <w:noProof/>
            <w:webHidden/>
          </w:rPr>
          <w:fldChar w:fldCharType="separate"/>
        </w:r>
        <w:r w:rsidR="001D74B5">
          <w:rPr>
            <w:noProof/>
            <w:webHidden/>
          </w:rPr>
          <w:t>I-5</w:t>
        </w:r>
        <w:r>
          <w:rPr>
            <w:noProof/>
            <w:webHidden/>
          </w:rPr>
          <w:fldChar w:fldCharType="end"/>
        </w:r>
      </w:hyperlink>
    </w:p>
    <w:p w:rsidR="001D74B5" w:rsidRDefault="00126F3D">
      <w:pPr>
        <w:pStyle w:val="TOC2"/>
        <w:tabs>
          <w:tab w:val="left" w:pos="880"/>
          <w:tab w:val="right" w:leader="dot" w:pos="9350"/>
        </w:tabs>
        <w:rPr>
          <w:rFonts w:asciiTheme="minorHAnsi" w:eastAsiaTheme="minorEastAsia" w:hAnsiTheme="minorHAnsi"/>
          <w:noProof/>
        </w:rPr>
      </w:pPr>
      <w:hyperlink w:anchor="_Toc293937108" w:history="1">
        <w:r w:rsidR="001D74B5" w:rsidRPr="0039420F">
          <w:rPr>
            <w:rStyle w:val="Hyperlink"/>
            <w:noProof/>
          </w:rPr>
          <w:t>I.4.</w:t>
        </w:r>
        <w:r w:rsidR="001D74B5">
          <w:rPr>
            <w:rFonts w:asciiTheme="minorHAnsi" w:eastAsiaTheme="minorEastAsia" w:hAnsiTheme="minorHAnsi"/>
            <w:noProof/>
          </w:rPr>
          <w:tab/>
        </w:r>
        <w:r w:rsidR="001D74B5" w:rsidRPr="0039420F">
          <w:rPr>
            <w:rStyle w:val="Hyperlink"/>
            <w:noProof/>
          </w:rPr>
          <w:t>Overview of Approach for Addressing HCOCs in North Orange County</w:t>
        </w:r>
        <w:r w:rsidR="001D74B5">
          <w:rPr>
            <w:noProof/>
            <w:webHidden/>
          </w:rPr>
          <w:tab/>
        </w:r>
        <w:r>
          <w:rPr>
            <w:noProof/>
            <w:webHidden/>
          </w:rPr>
          <w:fldChar w:fldCharType="begin"/>
        </w:r>
        <w:r w:rsidR="001D74B5">
          <w:rPr>
            <w:noProof/>
            <w:webHidden/>
          </w:rPr>
          <w:instrText xml:space="preserve"> PAGEREF _Toc293937108 \h </w:instrText>
        </w:r>
        <w:r>
          <w:rPr>
            <w:noProof/>
            <w:webHidden/>
          </w:rPr>
        </w:r>
        <w:r>
          <w:rPr>
            <w:noProof/>
            <w:webHidden/>
          </w:rPr>
          <w:fldChar w:fldCharType="separate"/>
        </w:r>
        <w:r w:rsidR="001D74B5">
          <w:rPr>
            <w:noProof/>
            <w:webHidden/>
          </w:rPr>
          <w:t>I-5</w:t>
        </w:r>
        <w:r>
          <w:rPr>
            <w:noProof/>
            <w:webHidden/>
          </w:rPr>
          <w:fldChar w:fldCharType="end"/>
        </w:r>
      </w:hyperlink>
    </w:p>
    <w:p w:rsidR="001D74B5" w:rsidRDefault="00126F3D">
      <w:pPr>
        <w:pStyle w:val="TOC2"/>
        <w:tabs>
          <w:tab w:val="left" w:pos="880"/>
          <w:tab w:val="right" w:leader="dot" w:pos="9350"/>
        </w:tabs>
        <w:rPr>
          <w:rFonts w:asciiTheme="minorHAnsi" w:eastAsiaTheme="minorEastAsia" w:hAnsiTheme="minorHAnsi"/>
          <w:noProof/>
        </w:rPr>
      </w:pPr>
      <w:hyperlink w:anchor="_Toc293937109" w:history="1">
        <w:r w:rsidR="001D74B5" w:rsidRPr="0039420F">
          <w:rPr>
            <w:rStyle w:val="Hyperlink"/>
            <w:noProof/>
          </w:rPr>
          <w:t>I.5.</w:t>
        </w:r>
        <w:r w:rsidR="001D74B5">
          <w:rPr>
            <w:rFonts w:asciiTheme="minorHAnsi" w:eastAsiaTheme="minorEastAsia" w:hAnsiTheme="minorHAnsi"/>
            <w:noProof/>
          </w:rPr>
          <w:tab/>
        </w:r>
        <w:r w:rsidR="001D74B5" w:rsidRPr="0039420F">
          <w:rPr>
            <w:rStyle w:val="Hyperlink"/>
            <w:noProof/>
          </w:rPr>
          <w:t>Role of HSCs in BMP Sizing</w:t>
        </w:r>
        <w:r w:rsidR="001D74B5">
          <w:rPr>
            <w:noProof/>
            <w:webHidden/>
          </w:rPr>
          <w:tab/>
        </w:r>
        <w:r>
          <w:rPr>
            <w:noProof/>
            <w:webHidden/>
          </w:rPr>
          <w:fldChar w:fldCharType="begin"/>
        </w:r>
        <w:r w:rsidR="001D74B5">
          <w:rPr>
            <w:noProof/>
            <w:webHidden/>
          </w:rPr>
          <w:instrText xml:space="preserve"> PAGEREF _Toc293937109 \h </w:instrText>
        </w:r>
        <w:r>
          <w:rPr>
            <w:noProof/>
            <w:webHidden/>
          </w:rPr>
        </w:r>
        <w:r>
          <w:rPr>
            <w:noProof/>
            <w:webHidden/>
          </w:rPr>
          <w:fldChar w:fldCharType="separate"/>
        </w:r>
        <w:r w:rsidR="001D74B5">
          <w:rPr>
            <w:noProof/>
            <w:webHidden/>
          </w:rPr>
          <w:t>I-7</w:t>
        </w:r>
        <w:r>
          <w:rPr>
            <w:noProof/>
            <w:webHidden/>
          </w:rPr>
          <w:fldChar w:fldCharType="end"/>
        </w:r>
      </w:hyperlink>
    </w:p>
    <w:p w:rsidR="001D74B5" w:rsidRDefault="00126F3D">
      <w:pPr>
        <w:pStyle w:val="TOC1"/>
        <w:tabs>
          <w:tab w:val="left" w:pos="1760"/>
        </w:tabs>
        <w:rPr>
          <w:rFonts w:asciiTheme="minorHAnsi" w:eastAsiaTheme="minorEastAsia" w:hAnsiTheme="minorHAnsi"/>
          <w:caps w:val="0"/>
          <w:noProof/>
        </w:rPr>
      </w:pPr>
      <w:hyperlink w:anchor="_Toc293937110" w:history="1">
        <w:r w:rsidR="001D74B5" w:rsidRPr="0039420F">
          <w:rPr>
            <w:rStyle w:val="Hyperlink"/>
            <w:noProof/>
          </w:rPr>
          <w:t>Appendix II.</w:t>
        </w:r>
        <w:r w:rsidR="001D74B5">
          <w:rPr>
            <w:rFonts w:asciiTheme="minorHAnsi" w:eastAsiaTheme="minorEastAsia" w:hAnsiTheme="minorHAnsi"/>
            <w:caps w:val="0"/>
            <w:noProof/>
          </w:rPr>
          <w:tab/>
        </w:r>
        <w:r w:rsidR="001D74B5" w:rsidRPr="0039420F">
          <w:rPr>
            <w:rStyle w:val="Hyperlink"/>
            <w:noProof/>
          </w:rPr>
          <w:t>SUMMARY OF BMP SIZING REQUIREMENTS FOR SOUTH ORANGE COUNTY</w:t>
        </w:r>
        <w:r w:rsidR="001D74B5">
          <w:rPr>
            <w:noProof/>
            <w:webHidden/>
          </w:rPr>
          <w:tab/>
        </w:r>
        <w:r>
          <w:rPr>
            <w:noProof/>
            <w:webHidden/>
          </w:rPr>
          <w:fldChar w:fldCharType="begin"/>
        </w:r>
        <w:r w:rsidR="001D74B5">
          <w:rPr>
            <w:noProof/>
            <w:webHidden/>
          </w:rPr>
          <w:instrText xml:space="preserve"> PAGEREF _Toc293937110 \h </w:instrText>
        </w:r>
        <w:r>
          <w:rPr>
            <w:noProof/>
            <w:webHidden/>
          </w:rPr>
        </w:r>
        <w:r>
          <w:rPr>
            <w:noProof/>
            <w:webHidden/>
          </w:rPr>
          <w:fldChar w:fldCharType="separate"/>
        </w:r>
        <w:r w:rsidR="001D74B5">
          <w:rPr>
            <w:noProof/>
            <w:webHidden/>
          </w:rPr>
          <w:t>II-1</w:t>
        </w:r>
        <w:r>
          <w:rPr>
            <w:noProof/>
            <w:webHidden/>
          </w:rPr>
          <w:fldChar w:fldCharType="end"/>
        </w:r>
      </w:hyperlink>
    </w:p>
    <w:p w:rsidR="001D74B5" w:rsidRDefault="00126F3D">
      <w:pPr>
        <w:pStyle w:val="TOC2"/>
        <w:tabs>
          <w:tab w:val="left" w:pos="880"/>
          <w:tab w:val="right" w:leader="dot" w:pos="9350"/>
        </w:tabs>
        <w:rPr>
          <w:rFonts w:asciiTheme="minorHAnsi" w:eastAsiaTheme="minorEastAsia" w:hAnsiTheme="minorHAnsi"/>
          <w:noProof/>
        </w:rPr>
      </w:pPr>
      <w:hyperlink w:anchor="_Toc293937111" w:history="1">
        <w:r w:rsidR="001D74B5" w:rsidRPr="0039420F">
          <w:rPr>
            <w:rStyle w:val="Hyperlink"/>
            <w:noProof/>
          </w:rPr>
          <w:t>II.1.</w:t>
        </w:r>
        <w:r w:rsidR="001D74B5">
          <w:rPr>
            <w:rFonts w:asciiTheme="minorHAnsi" w:eastAsiaTheme="minorEastAsia" w:hAnsiTheme="minorHAnsi"/>
            <w:noProof/>
          </w:rPr>
          <w:tab/>
        </w:r>
        <w:r w:rsidR="001D74B5" w:rsidRPr="0039420F">
          <w:rPr>
            <w:rStyle w:val="Hyperlink"/>
            <w:noProof/>
          </w:rPr>
          <w:t>Introduction to Integrated Structural BMP Sizing Approach in South Orange County</w:t>
        </w:r>
        <w:r w:rsidR="001D74B5">
          <w:rPr>
            <w:noProof/>
            <w:webHidden/>
          </w:rPr>
          <w:tab/>
        </w:r>
        <w:r>
          <w:rPr>
            <w:noProof/>
            <w:webHidden/>
          </w:rPr>
          <w:fldChar w:fldCharType="begin"/>
        </w:r>
        <w:r w:rsidR="001D74B5">
          <w:rPr>
            <w:noProof/>
            <w:webHidden/>
          </w:rPr>
          <w:instrText xml:space="preserve"> PAGEREF _Toc293937111 \h </w:instrText>
        </w:r>
        <w:r>
          <w:rPr>
            <w:noProof/>
            <w:webHidden/>
          </w:rPr>
        </w:r>
        <w:r>
          <w:rPr>
            <w:noProof/>
            <w:webHidden/>
          </w:rPr>
          <w:fldChar w:fldCharType="separate"/>
        </w:r>
        <w:r w:rsidR="001D74B5">
          <w:rPr>
            <w:noProof/>
            <w:webHidden/>
          </w:rPr>
          <w:t>II-1</w:t>
        </w:r>
        <w:r>
          <w:rPr>
            <w:noProof/>
            <w:webHidden/>
          </w:rPr>
          <w:fldChar w:fldCharType="end"/>
        </w:r>
      </w:hyperlink>
    </w:p>
    <w:p w:rsidR="001D74B5" w:rsidRDefault="00126F3D">
      <w:pPr>
        <w:pStyle w:val="TOC2"/>
        <w:tabs>
          <w:tab w:val="left" w:pos="880"/>
          <w:tab w:val="right" w:leader="dot" w:pos="9350"/>
        </w:tabs>
        <w:rPr>
          <w:rFonts w:asciiTheme="minorHAnsi" w:eastAsiaTheme="minorEastAsia" w:hAnsiTheme="minorHAnsi"/>
          <w:noProof/>
        </w:rPr>
      </w:pPr>
      <w:hyperlink w:anchor="_Toc293937112" w:history="1">
        <w:r w:rsidR="001D74B5" w:rsidRPr="0039420F">
          <w:rPr>
            <w:rStyle w:val="Hyperlink"/>
            <w:noProof/>
          </w:rPr>
          <w:t>II.2.</w:t>
        </w:r>
        <w:r w:rsidR="001D74B5">
          <w:rPr>
            <w:rFonts w:asciiTheme="minorHAnsi" w:eastAsiaTheme="minorEastAsia" w:hAnsiTheme="minorHAnsi"/>
            <w:noProof/>
          </w:rPr>
          <w:tab/>
        </w:r>
        <w:r w:rsidR="001D74B5" w:rsidRPr="0039420F">
          <w:rPr>
            <w:rStyle w:val="Hyperlink"/>
            <w:noProof/>
          </w:rPr>
          <w:t>Overview of Approach for LID BMP Sizing in South Orange County</w:t>
        </w:r>
        <w:r w:rsidR="001D74B5">
          <w:rPr>
            <w:noProof/>
            <w:webHidden/>
          </w:rPr>
          <w:tab/>
        </w:r>
        <w:r>
          <w:rPr>
            <w:noProof/>
            <w:webHidden/>
          </w:rPr>
          <w:fldChar w:fldCharType="begin"/>
        </w:r>
        <w:r w:rsidR="001D74B5">
          <w:rPr>
            <w:noProof/>
            <w:webHidden/>
          </w:rPr>
          <w:instrText xml:space="preserve"> PAGEREF _Toc293937112 \h </w:instrText>
        </w:r>
        <w:r>
          <w:rPr>
            <w:noProof/>
            <w:webHidden/>
          </w:rPr>
        </w:r>
        <w:r>
          <w:rPr>
            <w:noProof/>
            <w:webHidden/>
          </w:rPr>
          <w:fldChar w:fldCharType="separate"/>
        </w:r>
        <w:r w:rsidR="001D74B5">
          <w:rPr>
            <w:noProof/>
            <w:webHidden/>
          </w:rPr>
          <w:t>II-2</w:t>
        </w:r>
        <w:r>
          <w:rPr>
            <w:noProof/>
            <w:webHidden/>
          </w:rPr>
          <w:fldChar w:fldCharType="end"/>
        </w:r>
      </w:hyperlink>
    </w:p>
    <w:p w:rsidR="001D74B5" w:rsidRDefault="00126F3D">
      <w:pPr>
        <w:pStyle w:val="TOC2"/>
        <w:tabs>
          <w:tab w:val="left" w:pos="880"/>
          <w:tab w:val="right" w:leader="dot" w:pos="9350"/>
        </w:tabs>
        <w:rPr>
          <w:rFonts w:asciiTheme="minorHAnsi" w:eastAsiaTheme="minorEastAsia" w:hAnsiTheme="minorHAnsi"/>
          <w:noProof/>
        </w:rPr>
      </w:pPr>
      <w:hyperlink w:anchor="_Toc293937113" w:history="1">
        <w:r w:rsidR="001D74B5" w:rsidRPr="0039420F">
          <w:rPr>
            <w:rStyle w:val="Hyperlink"/>
            <w:noProof/>
          </w:rPr>
          <w:t>II.3.</w:t>
        </w:r>
        <w:r w:rsidR="001D74B5">
          <w:rPr>
            <w:rFonts w:asciiTheme="minorHAnsi" w:eastAsiaTheme="minorEastAsia" w:hAnsiTheme="minorHAnsi"/>
            <w:noProof/>
          </w:rPr>
          <w:tab/>
        </w:r>
        <w:r w:rsidR="001D74B5" w:rsidRPr="0039420F">
          <w:rPr>
            <w:rStyle w:val="Hyperlink"/>
            <w:noProof/>
          </w:rPr>
          <w:t>Overview of Approach for Treatment Control BMP Sizing in South Orange County</w:t>
        </w:r>
        <w:r w:rsidR="001D74B5">
          <w:rPr>
            <w:noProof/>
            <w:webHidden/>
          </w:rPr>
          <w:tab/>
        </w:r>
        <w:r>
          <w:rPr>
            <w:noProof/>
            <w:webHidden/>
          </w:rPr>
          <w:fldChar w:fldCharType="begin"/>
        </w:r>
        <w:r w:rsidR="001D74B5">
          <w:rPr>
            <w:noProof/>
            <w:webHidden/>
          </w:rPr>
          <w:instrText xml:space="preserve"> PAGEREF _Toc293937113 \h </w:instrText>
        </w:r>
        <w:r>
          <w:rPr>
            <w:noProof/>
            <w:webHidden/>
          </w:rPr>
        </w:r>
        <w:r>
          <w:rPr>
            <w:noProof/>
            <w:webHidden/>
          </w:rPr>
          <w:fldChar w:fldCharType="separate"/>
        </w:r>
        <w:r w:rsidR="001D74B5">
          <w:rPr>
            <w:noProof/>
            <w:webHidden/>
          </w:rPr>
          <w:t>II-4</w:t>
        </w:r>
        <w:r>
          <w:rPr>
            <w:noProof/>
            <w:webHidden/>
          </w:rPr>
          <w:fldChar w:fldCharType="end"/>
        </w:r>
      </w:hyperlink>
    </w:p>
    <w:p w:rsidR="001D74B5" w:rsidRDefault="00126F3D">
      <w:pPr>
        <w:pStyle w:val="TOC2"/>
        <w:tabs>
          <w:tab w:val="left" w:pos="880"/>
          <w:tab w:val="right" w:leader="dot" w:pos="9350"/>
        </w:tabs>
        <w:rPr>
          <w:rFonts w:asciiTheme="minorHAnsi" w:eastAsiaTheme="minorEastAsia" w:hAnsiTheme="minorHAnsi"/>
          <w:noProof/>
        </w:rPr>
      </w:pPr>
      <w:hyperlink w:anchor="_Toc293937114" w:history="1">
        <w:r w:rsidR="001D74B5" w:rsidRPr="0039420F">
          <w:rPr>
            <w:rStyle w:val="Hyperlink"/>
            <w:noProof/>
          </w:rPr>
          <w:t>II.4.</w:t>
        </w:r>
        <w:r w:rsidR="001D74B5">
          <w:rPr>
            <w:rFonts w:asciiTheme="minorHAnsi" w:eastAsiaTheme="minorEastAsia" w:hAnsiTheme="minorHAnsi"/>
            <w:noProof/>
          </w:rPr>
          <w:tab/>
        </w:r>
        <w:r w:rsidR="001D74B5" w:rsidRPr="0039420F">
          <w:rPr>
            <w:rStyle w:val="Hyperlink"/>
            <w:noProof/>
          </w:rPr>
          <w:t>Overview of Approach for Addressing HCOCs in South Orange County</w:t>
        </w:r>
        <w:r w:rsidR="001D74B5">
          <w:rPr>
            <w:noProof/>
            <w:webHidden/>
          </w:rPr>
          <w:tab/>
        </w:r>
        <w:r>
          <w:rPr>
            <w:noProof/>
            <w:webHidden/>
          </w:rPr>
          <w:fldChar w:fldCharType="begin"/>
        </w:r>
        <w:r w:rsidR="001D74B5">
          <w:rPr>
            <w:noProof/>
            <w:webHidden/>
          </w:rPr>
          <w:instrText xml:space="preserve"> PAGEREF _Toc293937114 \h </w:instrText>
        </w:r>
        <w:r>
          <w:rPr>
            <w:noProof/>
            <w:webHidden/>
          </w:rPr>
        </w:r>
        <w:r>
          <w:rPr>
            <w:noProof/>
            <w:webHidden/>
          </w:rPr>
          <w:fldChar w:fldCharType="separate"/>
        </w:r>
        <w:r w:rsidR="001D74B5">
          <w:rPr>
            <w:noProof/>
            <w:webHidden/>
          </w:rPr>
          <w:t>II-5</w:t>
        </w:r>
        <w:r>
          <w:rPr>
            <w:noProof/>
            <w:webHidden/>
          </w:rPr>
          <w:fldChar w:fldCharType="end"/>
        </w:r>
      </w:hyperlink>
    </w:p>
    <w:p w:rsidR="001D74B5" w:rsidRDefault="00126F3D">
      <w:pPr>
        <w:pStyle w:val="TOC2"/>
        <w:tabs>
          <w:tab w:val="left" w:pos="880"/>
          <w:tab w:val="right" w:leader="dot" w:pos="9350"/>
        </w:tabs>
        <w:rPr>
          <w:rFonts w:asciiTheme="minorHAnsi" w:eastAsiaTheme="minorEastAsia" w:hAnsiTheme="minorHAnsi"/>
          <w:noProof/>
        </w:rPr>
      </w:pPr>
      <w:hyperlink w:anchor="_Toc293937115" w:history="1">
        <w:r w:rsidR="001D74B5" w:rsidRPr="0039420F">
          <w:rPr>
            <w:rStyle w:val="Hyperlink"/>
            <w:noProof/>
          </w:rPr>
          <w:t>II.5.</w:t>
        </w:r>
        <w:r w:rsidR="001D74B5">
          <w:rPr>
            <w:rFonts w:asciiTheme="minorHAnsi" w:eastAsiaTheme="minorEastAsia" w:hAnsiTheme="minorHAnsi"/>
            <w:noProof/>
          </w:rPr>
          <w:tab/>
        </w:r>
        <w:r w:rsidR="001D74B5" w:rsidRPr="0039420F">
          <w:rPr>
            <w:rStyle w:val="Hyperlink"/>
            <w:noProof/>
          </w:rPr>
          <w:t>Role of HSCs in BMP Sizing</w:t>
        </w:r>
        <w:r w:rsidR="001D74B5">
          <w:rPr>
            <w:noProof/>
            <w:webHidden/>
          </w:rPr>
          <w:tab/>
        </w:r>
        <w:r>
          <w:rPr>
            <w:noProof/>
            <w:webHidden/>
          </w:rPr>
          <w:fldChar w:fldCharType="begin"/>
        </w:r>
        <w:r w:rsidR="001D74B5">
          <w:rPr>
            <w:noProof/>
            <w:webHidden/>
          </w:rPr>
          <w:instrText xml:space="preserve"> PAGEREF _Toc293937115 \h </w:instrText>
        </w:r>
        <w:r>
          <w:rPr>
            <w:noProof/>
            <w:webHidden/>
          </w:rPr>
        </w:r>
        <w:r>
          <w:rPr>
            <w:noProof/>
            <w:webHidden/>
          </w:rPr>
          <w:fldChar w:fldCharType="separate"/>
        </w:r>
        <w:r w:rsidR="001D74B5">
          <w:rPr>
            <w:noProof/>
            <w:webHidden/>
          </w:rPr>
          <w:t>II-5</w:t>
        </w:r>
        <w:r>
          <w:rPr>
            <w:noProof/>
            <w:webHidden/>
          </w:rPr>
          <w:fldChar w:fldCharType="end"/>
        </w:r>
      </w:hyperlink>
    </w:p>
    <w:p w:rsidR="001D74B5" w:rsidRDefault="00126F3D">
      <w:pPr>
        <w:pStyle w:val="TOC2"/>
        <w:tabs>
          <w:tab w:val="left" w:pos="880"/>
          <w:tab w:val="right" w:leader="dot" w:pos="9350"/>
        </w:tabs>
        <w:rPr>
          <w:rFonts w:asciiTheme="minorHAnsi" w:eastAsiaTheme="minorEastAsia" w:hAnsiTheme="minorHAnsi"/>
          <w:noProof/>
        </w:rPr>
      </w:pPr>
      <w:hyperlink w:anchor="_Toc293937116" w:history="1">
        <w:r w:rsidR="001D74B5" w:rsidRPr="0039420F">
          <w:rPr>
            <w:rStyle w:val="Hyperlink"/>
            <w:noProof/>
          </w:rPr>
          <w:t>II.6.</w:t>
        </w:r>
        <w:r w:rsidR="001D74B5">
          <w:rPr>
            <w:rFonts w:asciiTheme="minorHAnsi" w:eastAsiaTheme="minorEastAsia" w:hAnsiTheme="minorHAnsi"/>
            <w:noProof/>
          </w:rPr>
          <w:tab/>
        </w:r>
        <w:r w:rsidR="001D74B5" w:rsidRPr="0039420F">
          <w:rPr>
            <w:rStyle w:val="Hyperlink"/>
            <w:noProof/>
          </w:rPr>
          <w:t>Alternative Performance Criteria for Watershed-based Projects in South Orange County</w:t>
        </w:r>
        <w:r w:rsidR="001D74B5">
          <w:rPr>
            <w:noProof/>
            <w:webHidden/>
          </w:rPr>
          <w:tab/>
        </w:r>
        <w:r>
          <w:rPr>
            <w:noProof/>
            <w:webHidden/>
          </w:rPr>
          <w:fldChar w:fldCharType="begin"/>
        </w:r>
        <w:r w:rsidR="001D74B5">
          <w:rPr>
            <w:noProof/>
            <w:webHidden/>
          </w:rPr>
          <w:instrText xml:space="preserve"> PAGEREF _Toc293937116 \h </w:instrText>
        </w:r>
        <w:r>
          <w:rPr>
            <w:noProof/>
            <w:webHidden/>
          </w:rPr>
        </w:r>
        <w:r>
          <w:rPr>
            <w:noProof/>
            <w:webHidden/>
          </w:rPr>
          <w:fldChar w:fldCharType="separate"/>
        </w:r>
        <w:r w:rsidR="001D74B5">
          <w:rPr>
            <w:noProof/>
            <w:webHidden/>
          </w:rPr>
          <w:t>II-6</w:t>
        </w:r>
        <w:r>
          <w:rPr>
            <w:noProof/>
            <w:webHidden/>
          </w:rPr>
          <w:fldChar w:fldCharType="end"/>
        </w:r>
      </w:hyperlink>
    </w:p>
    <w:p w:rsidR="001D74B5" w:rsidRDefault="00126F3D">
      <w:pPr>
        <w:pStyle w:val="TOC1"/>
        <w:tabs>
          <w:tab w:val="left" w:pos="1760"/>
        </w:tabs>
        <w:rPr>
          <w:rFonts w:asciiTheme="minorHAnsi" w:eastAsiaTheme="minorEastAsia" w:hAnsiTheme="minorHAnsi"/>
          <w:caps w:val="0"/>
          <w:noProof/>
        </w:rPr>
      </w:pPr>
      <w:hyperlink w:anchor="_Toc293937117" w:history="1">
        <w:r w:rsidR="001D74B5" w:rsidRPr="0039420F">
          <w:rPr>
            <w:rStyle w:val="Hyperlink"/>
            <w:noProof/>
          </w:rPr>
          <w:t>Appendix III.</w:t>
        </w:r>
        <w:r w:rsidR="001D74B5">
          <w:rPr>
            <w:rFonts w:asciiTheme="minorHAnsi" w:eastAsiaTheme="minorEastAsia" w:hAnsiTheme="minorHAnsi"/>
            <w:caps w:val="0"/>
            <w:noProof/>
          </w:rPr>
          <w:tab/>
        </w:r>
        <w:r w:rsidR="001D74B5" w:rsidRPr="0039420F">
          <w:rPr>
            <w:rStyle w:val="Hyperlink"/>
            <w:noProof/>
          </w:rPr>
          <w:t>HYDROLOGIC CALCULATIONS AND SIZING METHODS FOR LID BMPS</w:t>
        </w:r>
        <w:r w:rsidR="001D74B5">
          <w:rPr>
            <w:noProof/>
            <w:webHidden/>
          </w:rPr>
          <w:tab/>
        </w:r>
        <w:r>
          <w:rPr>
            <w:noProof/>
            <w:webHidden/>
          </w:rPr>
          <w:fldChar w:fldCharType="begin"/>
        </w:r>
        <w:r w:rsidR="001D74B5">
          <w:rPr>
            <w:noProof/>
            <w:webHidden/>
          </w:rPr>
          <w:instrText xml:space="preserve"> PAGEREF _Toc293937117 \h </w:instrText>
        </w:r>
        <w:r>
          <w:rPr>
            <w:noProof/>
            <w:webHidden/>
          </w:rPr>
        </w:r>
        <w:r>
          <w:rPr>
            <w:noProof/>
            <w:webHidden/>
          </w:rPr>
          <w:fldChar w:fldCharType="separate"/>
        </w:r>
        <w:r w:rsidR="001D74B5">
          <w:rPr>
            <w:noProof/>
            <w:webHidden/>
          </w:rPr>
          <w:t>III-1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18" w:history="1">
        <w:r w:rsidR="001D74B5" w:rsidRPr="0039420F">
          <w:rPr>
            <w:rStyle w:val="Hyperlink"/>
            <w:noProof/>
          </w:rPr>
          <w:t>III.1.</w:t>
        </w:r>
        <w:r w:rsidR="001D74B5">
          <w:rPr>
            <w:rFonts w:asciiTheme="minorHAnsi" w:eastAsiaTheme="minorEastAsia" w:hAnsiTheme="minorHAnsi"/>
            <w:noProof/>
          </w:rPr>
          <w:tab/>
        </w:r>
        <w:r w:rsidR="001D74B5" w:rsidRPr="0039420F">
          <w:rPr>
            <w:rStyle w:val="Hyperlink"/>
            <w:noProof/>
          </w:rPr>
          <w:t>Hydrologic Methods for Design Capture Storm</w:t>
        </w:r>
        <w:r w:rsidR="001D74B5">
          <w:rPr>
            <w:noProof/>
            <w:webHidden/>
          </w:rPr>
          <w:tab/>
        </w:r>
        <w:r>
          <w:rPr>
            <w:noProof/>
            <w:webHidden/>
          </w:rPr>
          <w:fldChar w:fldCharType="begin"/>
        </w:r>
        <w:r w:rsidR="001D74B5">
          <w:rPr>
            <w:noProof/>
            <w:webHidden/>
          </w:rPr>
          <w:instrText xml:space="preserve"> PAGEREF _Toc293937118 \h </w:instrText>
        </w:r>
        <w:r>
          <w:rPr>
            <w:noProof/>
            <w:webHidden/>
          </w:rPr>
        </w:r>
        <w:r>
          <w:rPr>
            <w:noProof/>
            <w:webHidden/>
          </w:rPr>
          <w:fldChar w:fldCharType="separate"/>
        </w:r>
        <w:r w:rsidR="001D74B5">
          <w:rPr>
            <w:noProof/>
            <w:webHidden/>
          </w:rPr>
          <w:t>III-1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19" w:history="1">
        <w:r w:rsidR="001D74B5" w:rsidRPr="0039420F">
          <w:rPr>
            <w:rStyle w:val="Hyperlink"/>
            <w:noProof/>
          </w:rPr>
          <w:t>III.2.</w:t>
        </w:r>
        <w:r w:rsidR="001D74B5">
          <w:rPr>
            <w:rFonts w:asciiTheme="minorHAnsi" w:eastAsiaTheme="minorEastAsia" w:hAnsiTheme="minorHAnsi"/>
            <w:noProof/>
          </w:rPr>
          <w:tab/>
        </w:r>
        <w:r w:rsidR="001D74B5" w:rsidRPr="0039420F">
          <w:rPr>
            <w:rStyle w:val="Hyperlink"/>
            <w:noProof/>
          </w:rPr>
          <w:t>Exhibits and Nomographs Used for LID and WQDV/WQDF Design Volume Calculations</w:t>
        </w:r>
        <w:r w:rsidR="001D74B5">
          <w:rPr>
            <w:noProof/>
            <w:webHidden/>
          </w:rPr>
          <w:tab/>
        </w:r>
        <w:r>
          <w:rPr>
            <w:noProof/>
            <w:webHidden/>
          </w:rPr>
          <w:fldChar w:fldCharType="begin"/>
        </w:r>
        <w:r w:rsidR="001D74B5">
          <w:rPr>
            <w:noProof/>
            <w:webHidden/>
          </w:rPr>
          <w:instrText xml:space="preserve"> PAGEREF _Toc293937119 \h </w:instrText>
        </w:r>
        <w:r>
          <w:rPr>
            <w:noProof/>
            <w:webHidden/>
          </w:rPr>
        </w:r>
        <w:r>
          <w:rPr>
            <w:noProof/>
            <w:webHidden/>
          </w:rPr>
          <w:fldChar w:fldCharType="separate"/>
        </w:r>
        <w:r w:rsidR="001D74B5">
          <w:rPr>
            <w:noProof/>
            <w:webHidden/>
          </w:rPr>
          <w:t>III-9</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20" w:history="1">
        <w:r w:rsidR="001D74B5" w:rsidRPr="0039420F">
          <w:rPr>
            <w:rStyle w:val="Hyperlink"/>
            <w:noProof/>
          </w:rPr>
          <w:t>III.3.</w:t>
        </w:r>
        <w:r w:rsidR="001D74B5">
          <w:rPr>
            <w:rFonts w:asciiTheme="minorHAnsi" w:eastAsiaTheme="minorEastAsia" w:hAnsiTheme="minorHAnsi"/>
            <w:noProof/>
          </w:rPr>
          <w:tab/>
        </w:r>
        <w:r w:rsidR="001D74B5" w:rsidRPr="0039420F">
          <w:rPr>
            <w:rStyle w:val="Hyperlink"/>
            <w:noProof/>
          </w:rPr>
          <w:t>Approved Methods for Calculating the LID Design Capture Volume</w:t>
        </w:r>
        <w:r w:rsidR="001D74B5">
          <w:rPr>
            <w:noProof/>
            <w:webHidden/>
          </w:rPr>
          <w:tab/>
        </w:r>
        <w:r>
          <w:rPr>
            <w:noProof/>
            <w:webHidden/>
          </w:rPr>
          <w:fldChar w:fldCharType="begin"/>
        </w:r>
        <w:r w:rsidR="001D74B5">
          <w:rPr>
            <w:noProof/>
            <w:webHidden/>
          </w:rPr>
          <w:instrText xml:space="preserve"> PAGEREF _Toc293937120 \h </w:instrText>
        </w:r>
        <w:r>
          <w:rPr>
            <w:noProof/>
            <w:webHidden/>
          </w:rPr>
        </w:r>
        <w:r>
          <w:rPr>
            <w:noProof/>
            <w:webHidden/>
          </w:rPr>
          <w:fldChar w:fldCharType="separate"/>
        </w:r>
        <w:r w:rsidR="001D74B5">
          <w:rPr>
            <w:noProof/>
            <w:webHidden/>
          </w:rPr>
          <w:t>III-15</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21" w:history="1">
        <w:r w:rsidR="001D74B5" w:rsidRPr="0039420F">
          <w:rPr>
            <w:rStyle w:val="Hyperlink"/>
            <w:noProof/>
          </w:rPr>
          <w:t>III.4.</w:t>
        </w:r>
        <w:r w:rsidR="001D74B5">
          <w:rPr>
            <w:rFonts w:asciiTheme="minorHAnsi" w:eastAsiaTheme="minorEastAsia" w:hAnsiTheme="minorHAnsi"/>
            <w:noProof/>
          </w:rPr>
          <w:tab/>
        </w:r>
        <w:r w:rsidR="001D74B5" w:rsidRPr="0039420F">
          <w:rPr>
            <w:rStyle w:val="Hyperlink"/>
            <w:noProof/>
          </w:rPr>
          <w:t>Nomograph Methods for BMP Performance Estimation</w:t>
        </w:r>
        <w:r w:rsidR="001D74B5">
          <w:rPr>
            <w:noProof/>
            <w:webHidden/>
          </w:rPr>
          <w:tab/>
        </w:r>
        <w:r>
          <w:rPr>
            <w:noProof/>
            <w:webHidden/>
          </w:rPr>
          <w:fldChar w:fldCharType="begin"/>
        </w:r>
        <w:r w:rsidR="001D74B5">
          <w:rPr>
            <w:noProof/>
            <w:webHidden/>
          </w:rPr>
          <w:instrText xml:space="preserve"> PAGEREF _Toc293937121 \h </w:instrText>
        </w:r>
        <w:r>
          <w:rPr>
            <w:noProof/>
            <w:webHidden/>
          </w:rPr>
        </w:r>
        <w:r>
          <w:rPr>
            <w:noProof/>
            <w:webHidden/>
          </w:rPr>
          <w:fldChar w:fldCharType="separate"/>
        </w:r>
        <w:r w:rsidR="001D74B5">
          <w:rPr>
            <w:noProof/>
            <w:webHidden/>
          </w:rPr>
          <w:t>III-27</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22" w:history="1">
        <w:r w:rsidR="001D74B5" w:rsidRPr="0039420F">
          <w:rPr>
            <w:rStyle w:val="Hyperlink"/>
            <w:noProof/>
          </w:rPr>
          <w:t>III.5.</w:t>
        </w:r>
        <w:r w:rsidR="001D74B5">
          <w:rPr>
            <w:rFonts w:asciiTheme="minorHAnsi" w:eastAsiaTheme="minorEastAsia" w:hAnsiTheme="minorHAnsi"/>
            <w:noProof/>
          </w:rPr>
          <w:tab/>
        </w:r>
        <w:r w:rsidR="001D74B5" w:rsidRPr="0039420F">
          <w:rPr>
            <w:rStyle w:val="Hyperlink"/>
            <w:noProof/>
          </w:rPr>
          <w:t>Sizing Approaches for Treatment Trains and Hybrid Systems</w:t>
        </w:r>
        <w:r w:rsidR="001D74B5">
          <w:rPr>
            <w:noProof/>
            <w:webHidden/>
          </w:rPr>
          <w:tab/>
        </w:r>
        <w:r>
          <w:rPr>
            <w:noProof/>
            <w:webHidden/>
          </w:rPr>
          <w:fldChar w:fldCharType="begin"/>
        </w:r>
        <w:r w:rsidR="001D74B5">
          <w:rPr>
            <w:noProof/>
            <w:webHidden/>
          </w:rPr>
          <w:instrText xml:space="preserve"> PAGEREF _Toc293937122 \h </w:instrText>
        </w:r>
        <w:r>
          <w:rPr>
            <w:noProof/>
            <w:webHidden/>
          </w:rPr>
        </w:r>
        <w:r>
          <w:rPr>
            <w:noProof/>
            <w:webHidden/>
          </w:rPr>
          <w:fldChar w:fldCharType="separate"/>
        </w:r>
        <w:r w:rsidR="001D74B5">
          <w:rPr>
            <w:noProof/>
            <w:webHidden/>
          </w:rPr>
          <w:t>III-36</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23" w:history="1">
        <w:r w:rsidR="001D74B5" w:rsidRPr="0039420F">
          <w:rPr>
            <w:rStyle w:val="Hyperlink"/>
            <w:noProof/>
          </w:rPr>
          <w:t>III.6.</w:t>
        </w:r>
        <w:r w:rsidR="001D74B5">
          <w:rPr>
            <w:rFonts w:asciiTheme="minorHAnsi" w:eastAsiaTheme="minorEastAsia" w:hAnsiTheme="minorHAnsi"/>
            <w:noProof/>
          </w:rPr>
          <w:tab/>
        </w:r>
        <w:r w:rsidR="001D74B5" w:rsidRPr="0039420F">
          <w:rPr>
            <w:rStyle w:val="Hyperlink"/>
            <w:noProof/>
          </w:rPr>
          <w:t>Technical Basis for Capture Efficiency-based Performance Criterion</w:t>
        </w:r>
        <w:r w:rsidR="001D74B5">
          <w:rPr>
            <w:noProof/>
            <w:webHidden/>
          </w:rPr>
          <w:tab/>
        </w:r>
        <w:r>
          <w:rPr>
            <w:noProof/>
            <w:webHidden/>
          </w:rPr>
          <w:fldChar w:fldCharType="begin"/>
        </w:r>
        <w:r w:rsidR="001D74B5">
          <w:rPr>
            <w:noProof/>
            <w:webHidden/>
          </w:rPr>
          <w:instrText xml:space="preserve"> PAGEREF _Toc293937123 \h </w:instrText>
        </w:r>
        <w:r>
          <w:rPr>
            <w:noProof/>
            <w:webHidden/>
          </w:rPr>
        </w:r>
        <w:r>
          <w:rPr>
            <w:noProof/>
            <w:webHidden/>
          </w:rPr>
          <w:fldChar w:fldCharType="separate"/>
        </w:r>
        <w:r w:rsidR="001D74B5">
          <w:rPr>
            <w:noProof/>
            <w:webHidden/>
          </w:rPr>
          <w:t>III-37</w:t>
        </w:r>
        <w:r>
          <w:rPr>
            <w:noProof/>
            <w:webHidden/>
          </w:rPr>
          <w:fldChar w:fldCharType="end"/>
        </w:r>
      </w:hyperlink>
    </w:p>
    <w:p w:rsidR="001D74B5" w:rsidRDefault="00126F3D">
      <w:pPr>
        <w:pStyle w:val="TOC1"/>
        <w:tabs>
          <w:tab w:val="left" w:pos="1760"/>
        </w:tabs>
        <w:rPr>
          <w:rFonts w:asciiTheme="minorHAnsi" w:eastAsiaTheme="minorEastAsia" w:hAnsiTheme="minorHAnsi"/>
          <w:caps w:val="0"/>
          <w:noProof/>
        </w:rPr>
      </w:pPr>
      <w:hyperlink w:anchor="_Toc293937124" w:history="1">
        <w:r w:rsidR="001D74B5" w:rsidRPr="0039420F">
          <w:rPr>
            <w:rStyle w:val="Hyperlink"/>
            <w:noProof/>
          </w:rPr>
          <w:t>Appendix IV.</w:t>
        </w:r>
        <w:r w:rsidR="001D74B5">
          <w:rPr>
            <w:rFonts w:asciiTheme="minorHAnsi" w:eastAsiaTheme="minorEastAsia" w:hAnsiTheme="minorHAnsi"/>
            <w:caps w:val="0"/>
            <w:noProof/>
          </w:rPr>
          <w:tab/>
        </w:r>
        <w:r w:rsidR="001D74B5" w:rsidRPr="0039420F">
          <w:rPr>
            <w:rStyle w:val="Hyperlink"/>
            <w:noProof/>
          </w:rPr>
          <w:t>APPROVED METHODS FOR QUANTIFYING HYDROLOGIC CONDITIONS OF CONCERN (NORTH ORANGE COUNTY)</w:t>
        </w:r>
        <w:r w:rsidR="001D74B5">
          <w:rPr>
            <w:noProof/>
            <w:webHidden/>
          </w:rPr>
          <w:tab/>
        </w:r>
        <w:r>
          <w:rPr>
            <w:noProof/>
            <w:webHidden/>
          </w:rPr>
          <w:fldChar w:fldCharType="begin"/>
        </w:r>
        <w:r w:rsidR="001D74B5">
          <w:rPr>
            <w:noProof/>
            <w:webHidden/>
          </w:rPr>
          <w:instrText xml:space="preserve"> PAGEREF _Toc293937124 \h </w:instrText>
        </w:r>
        <w:r>
          <w:rPr>
            <w:noProof/>
            <w:webHidden/>
          </w:rPr>
        </w:r>
        <w:r>
          <w:rPr>
            <w:noProof/>
            <w:webHidden/>
          </w:rPr>
          <w:fldChar w:fldCharType="separate"/>
        </w:r>
        <w:r w:rsidR="001D74B5">
          <w:rPr>
            <w:noProof/>
            <w:webHidden/>
          </w:rPr>
          <w:t>IV-1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25" w:history="1">
        <w:r w:rsidR="001D74B5" w:rsidRPr="0039420F">
          <w:rPr>
            <w:rStyle w:val="Hyperlink"/>
            <w:noProof/>
          </w:rPr>
          <w:t>IV.1.</w:t>
        </w:r>
        <w:r w:rsidR="001D74B5">
          <w:rPr>
            <w:rFonts w:asciiTheme="minorHAnsi" w:eastAsiaTheme="minorEastAsia" w:hAnsiTheme="minorHAnsi"/>
            <w:noProof/>
          </w:rPr>
          <w:tab/>
        </w:r>
        <w:r w:rsidR="001D74B5" w:rsidRPr="0039420F">
          <w:rPr>
            <w:rStyle w:val="Hyperlink"/>
            <w:noProof/>
          </w:rPr>
          <w:t>Hydrologic Method for 2-year Runoff Volume and Peak</w:t>
        </w:r>
        <w:r w:rsidR="001D74B5">
          <w:rPr>
            <w:noProof/>
            <w:webHidden/>
          </w:rPr>
          <w:tab/>
        </w:r>
        <w:r>
          <w:rPr>
            <w:noProof/>
            <w:webHidden/>
          </w:rPr>
          <w:fldChar w:fldCharType="begin"/>
        </w:r>
        <w:r w:rsidR="001D74B5">
          <w:rPr>
            <w:noProof/>
            <w:webHidden/>
          </w:rPr>
          <w:instrText xml:space="preserve"> PAGEREF _Toc293937125 \h </w:instrText>
        </w:r>
        <w:r>
          <w:rPr>
            <w:noProof/>
            <w:webHidden/>
          </w:rPr>
        </w:r>
        <w:r>
          <w:rPr>
            <w:noProof/>
            <w:webHidden/>
          </w:rPr>
          <w:fldChar w:fldCharType="separate"/>
        </w:r>
        <w:r w:rsidR="001D74B5">
          <w:rPr>
            <w:noProof/>
            <w:webHidden/>
          </w:rPr>
          <w:t>IV-2</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26" w:history="1">
        <w:r w:rsidR="001D74B5" w:rsidRPr="0039420F">
          <w:rPr>
            <w:rStyle w:val="Hyperlink"/>
            <w:noProof/>
          </w:rPr>
          <w:t>IV.2.</w:t>
        </w:r>
        <w:r w:rsidR="001D74B5">
          <w:rPr>
            <w:rFonts w:asciiTheme="minorHAnsi" w:eastAsiaTheme="minorEastAsia" w:hAnsiTheme="minorHAnsi"/>
            <w:noProof/>
          </w:rPr>
          <w:tab/>
        </w:r>
        <w:r w:rsidR="001D74B5" w:rsidRPr="0039420F">
          <w:rPr>
            <w:rStyle w:val="Hyperlink"/>
            <w:noProof/>
          </w:rPr>
          <w:t>Hydrologic Method for Time of Concentration</w:t>
        </w:r>
        <w:r w:rsidR="001D74B5">
          <w:rPr>
            <w:noProof/>
            <w:webHidden/>
          </w:rPr>
          <w:tab/>
        </w:r>
        <w:r>
          <w:rPr>
            <w:noProof/>
            <w:webHidden/>
          </w:rPr>
          <w:fldChar w:fldCharType="begin"/>
        </w:r>
        <w:r w:rsidR="001D74B5">
          <w:rPr>
            <w:noProof/>
            <w:webHidden/>
          </w:rPr>
          <w:instrText xml:space="preserve"> PAGEREF _Toc293937126 \h </w:instrText>
        </w:r>
        <w:r>
          <w:rPr>
            <w:noProof/>
            <w:webHidden/>
          </w:rPr>
        </w:r>
        <w:r>
          <w:rPr>
            <w:noProof/>
            <w:webHidden/>
          </w:rPr>
          <w:fldChar w:fldCharType="separate"/>
        </w:r>
        <w:r w:rsidR="001D74B5">
          <w:rPr>
            <w:noProof/>
            <w:webHidden/>
          </w:rPr>
          <w:t>IV-3</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27" w:history="1">
        <w:r w:rsidR="001D74B5" w:rsidRPr="0039420F">
          <w:rPr>
            <w:rStyle w:val="Hyperlink"/>
            <w:noProof/>
          </w:rPr>
          <w:t>IV.3.</w:t>
        </w:r>
        <w:r w:rsidR="001D74B5">
          <w:rPr>
            <w:rFonts w:asciiTheme="minorHAnsi" w:eastAsiaTheme="minorEastAsia" w:hAnsiTheme="minorHAnsi"/>
            <w:noProof/>
          </w:rPr>
          <w:tab/>
        </w:r>
        <w:r w:rsidR="001D74B5" w:rsidRPr="0039420F">
          <w:rPr>
            <w:rStyle w:val="Hyperlink"/>
            <w:noProof/>
          </w:rPr>
          <w:t>Hydrologic Calculation Examples with WinTR-55</w:t>
        </w:r>
        <w:r w:rsidR="001D74B5">
          <w:rPr>
            <w:noProof/>
            <w:webHidden/>
          </w:rPr>
          <w:tab/>
        </w:r>
        <w:r>
          <w:rPr>
            <w:noProof/>
            <w:webHidden/>
          </w:rPr>
          <w:fldChar w:fldCharType="begin"/>
        </w:r>
        <w:r w:rsidR="001D74B5">
          <w:rPr>
            <w:noProof/>
            <w:webHidden/>
          </w:rPr>
          <w:instrText xml:space="preserve"> PAGEREF _Toc293937127 \h </w:instrText>
        </w:r>
        <w:r>
          <w:rPr>
            <w:noProof/>
            <w:webHidden/>
          </w:rPr>
        </w:r>
        <w:r>
          <w:rPr>
            <w:noProof/>
            <w:webHidden/>
          </w:rPr>
          <w:fldChar w:fldCharType="separate"/>
        </w:r>
        <w:r w:rsidR="001D74B5">
          <w:rPr>
            <w:noProof/>
            <w:webHidden/>
          </w:rPr>
          <w:t>IV-4</w:t>
        </w:r>
        <w:r>
          <w:rPr>
            <w:noProof/>
            <w:webHidden/>
          </w:rPr>
          <w:fldChar w:fldCharType="end"/>
        </w:r>
      </w:hyperlink>
    </w:p>
    <w:p w:rsidR="001D74B5" w:rsidRDefault="00126F3D">
      <w:pPr>
        <w:pStyle w:val="TOC1"/>
        <w:tabs>
          <w:tab w:val="left" w:pos="1760"/>
        </w:tabs>
        <w:rPr>
          <w:rFonts w:asciiTheme="minorHAnsi" w:eastAsiaTheme="minorEastAsia" w:hAnsiTheme="minorHAnsi"/>
          <w:caps w:val="0"/>
          <w:noProof/>
        </w:rPr>
      </w:pPr>
      <w:hyperlink w:anchor="_Toc293937128" w:history="1">
        <w:r w:rsidR="001D74B5" w:rsidRPr="0039420F">
          <w:rPr>
            <w:rStyle w:val="Hyperlink"/>
            <w:noProof/>
          </w:rPr>
          <w:t>Appendix V.</w:t>
        </w:r>
        <w:r w:rsidR="001D74B5">
          <w:rPr>
            <w:rFonts w:asciiTheme="minorHAnsi" w:eastAsiaTheme="minorEastAsia" w:hAnsiTheme="minorHAnsi"/>
            <w:caps w:val="0"/>
            <w:noProof/>
          </w:rPr>
          <w:tab/>
        </w:r>
        <w:r w:rsidR="001D74B5" w:rsidRPr="0039420F">
          <w:rPr>
            <w:rStyle w:val="Hyperlink"/>
            <w:noProof/>
          </w:rPr>
          <w:t>APPROVED METHODS FOR QUANTIFYING HYDROLOGIC CONDITIONS OF CONCERN (SOUTH ORANGE COUNTY)</w:t>
        </w:r>
        <w:r w:rsidR="001D74B5">
          <w:rPr>
            <w:noProof/>
            <w:webHidden/>
          </w:rPr>
          <w:tab/>
        </w:r>
        <w:r>
          <w:rPr>
            <w:noProof/>
            <w:webHidden/>
          </w:rPr>
          <w:fldChar w:fldCharType="begin"/>
        </w:r>
        <w:r w:rsidR="001D74B5">
          <w:rPr>
            <w:noProof/>
            <w:webHidden/>
          </w:rPr>
          <w:instrText xml:space="preserve"> PAGEREF _Toc293937128 \h </w:instrText>
        </w:r>
        <w:r>
          <w:rPr>
            <w:noProof/>
            <w:webHidden/>
          </w:rPr>
        </w:r>
        <w:r>
          <w:rPr>
            <w:noProof/>
            <w:webHidden/>
          </w:rPr>
          <w:fldChar w:fldCharType="separate"/>
        </w:r>
        <w:r w:rsidR="001D74B5">
          <w:rPr>
            <w:noProof/>
            <w:webHidden/>
          </w:rPr>
          <w:t>V-1</w:t>
        </w:r>
        <w:r>
          <w:rPr>
            <w:noProof/>
            <w:webHidden/>
          </w:rPr>
          <w:fldChar w:fldCharType="end"/>
        </w:r>
      </w:hyperlink>
    </w:p>
    <w:p w:rsidR="001D74B5" w:rsidRDefault="00126F3D">
      <w:pPr>
        <w:pStyle w:val="TOC2"/>
        <w:tabs>
          <w:tab w:val="left" w:pos="880"/>
          <w:tab w:val="right" w:leader="dot" w:pos="9350"/>
        </w:tabs>
        <w:rPr>
          <w:rFonts w:asciiTheme="minorHAnsi" w:eastAsiaTheme="minorEastAsia" w:hAnsiTheme="minorHAnsi"/>
          <w:noProof/>
        </w:rPr>
      </w:pPr>
      <w:hyperlink w:anchor="_Toc293937129" w:history="1">
        <w:r w:rsidR="001D74B5" w:rsidRPr="0039420F">
          <w:rPr>
            <w:rStyle w:val="Hyperlink"/>
            <w:noProof/>
          </w:rPr>
          <w:t>V.1.</w:t>
        </w:r>
        <w:r w:rsidR="001D74B5">
          <w:rPr>
            <w:rFonts w:asciiTheme="minorHAnsi" w:eastAsiaTheme="minorEastAsia" w:hAnsiTheme="minorHAnsi"/>
            <w:noProof/>
          </w:rPr>
          <w:tab/>
        </w:r>
        <w:r w:rsidR="001D74B5" w:rsidRPr="0039420F">
          <w:rPr>
            <w:rStyle w:val="Hyperlink"/>
            <w:noProof/>
          </w:rPr>
          <w:t>Hydromodification Control Flow Duration Control Analysis</w:t>
        </w:r>
        <w:r w:rsidR="001D74B5">
          <w:rPr>
            <w:noProof/>
            <w:webHidden/>
          </w:rPr>
          <w:tab/>
        </w:r>
        <w:r>
          <w:rPr>
            <w:noProof/>
            <w:webHidden/>
          </w:rPr>
          <w:fldChar w:fldCharType="begin"/>
        </w:r>
        <w:r w:rsidR="001D74B5">
          <w:rPr>
            <w:noProof/>
            <w:webHidden/>
          </w:rPr>
          <w:instrText xml:space="preserve"> PAGEREF _Toc293937129 \h </w:instrText>
        </w:r>
        <w:r>
          <w:rPr>
            <w:noProof/>
            <w:webHidden/>
          </w:rPr>
        </w:r>
        <w:r>
          <w:rPr>
            <w:noProof/>
            <w:webHidden/>
          </w:rPr>
          <w:fldChar w:fldCharType="separate"/>
        </w:r>
        <w:r w:rsidR="001D74B5">
          <w:rPr>
            <w:noProof/>
            <w:webHidden/>
          </w:rPr>
          <w:t>V-1</w:t>
        </w:r>
        <w:r>
          <w:rPr>
            <w:noProof/>
            <w:webHidden/>
          </w:rPr>
          <w:fldChar w:fldCharType="end"/>
        </w:r>
      </w:hyperlink>
    </w:p>
    <w:p w:rsidR="001D74B5" w:rsidRDefault="00126F3D">
      <w:pPr>
        <w:pStyle w:val="TOC2"/>
        <w:tabs>
          <w:tab w:val="left" w:pos="880"/>
          <w:tab w:val="right" w:leader="dot" w:pos="9350"/>
        </w:tabs>
        <w:rPr>
          <w:rFonts w:asciiTheme="minorHAnsi" w:eastAsiaTheme="minorEastAsia" w:hAnsiTheme="minorHAnsi"/>
          <w:noProof/>
        </w:rPr>
      </w:pPr>
      <w:hyperlink w:anchor="_Toc293937130" w:history="1">
        <w:r w:rsidR="001D74B5" w:rsidRPr="0039420F">
          <w:rPr>
            <w:rStyle w:val="Hyperlink"/>
            <w:noProof/>
          </w:rPr>
          <w:t>V.2.</w:t>
        </w:r>
        <w:r w:rsidR="001D74B5">
          <w:rPr>
            <w:rFonts w:asciiTheme="minorHAnsi" w:eastAsiaTheme="minorEastAsia" w:hAnsiTheme="minorHAnsi"/>
            <w:noProof/>
          </w:rPr>
          <w:tab/>
        </w:r>
        <w:r w:rsidR="001D74B5" w:rsidRPr="0039420F">
          <w:rPr>
            <w:rStyle w:val="Hyperlink"/>
            <w:noProof/>
          </w:rPr>
          <w:t>South Orange County Interim Hydromodification Sizing Tool</w:t>
        </w:r>
        <w:r w:rsidR="001D74B5">
          <w:rPr>
            <w:noProof/>
            <w:webHidden/>
          </w:rPr>
          <w:tab/>
        </w:r>
        <w:r>
          <w:rPr>
            <w:noProof/>
            <w:webHidden/>
          </w:rPr>
          <w:fldChar w:fldCharType="begin"/>
        </w:r>
        <w:r w:rsidR="001D74B5">
          <w:rPr>
            <w:noProof/>
            <w:webHidden/>
          </w:rPr>
          <w:instrText xml:space="preserve"> PAGEREF _Toc293937130 \h </w:instrText>
        </w:r>
        <w:r>
          <w:rPr>
            <w:noProof/>
            <w:webHidden/>
          </w:rPr>
        </w:r>
        <w:r>
          <w:rPr>
            <w:noProof/>
            <w:webHidden/>
          </w:rPr>
          <w:fldChar w:fldCharType="separate"/>
        </w:r>
        <w:r w:rsidR="001D74B5">
          <w:rPr>
            <w:noProof/>
            <w:webHidden/>
          </w:rPr>
          <w:t>V-2</w:t>
        </w:r>
        <w:r>
          <w:rPr>
            <w:noProof/>
            <w:webHidden/>
          </w:rPr>
          <w:fldChar w:fldCharType="end"/>
        </w:r>
      </w:hyperlink>
    </w:p>
    <w:p w:rsidR="001D74B5" w:rsidRDefault="00126F3D">
      <w:pPr>
        <w:pStyle w:val="TOC2"/>
        <w:tabs>
          <w:tab w:val="left" w:pos="880"/>
          <w:tab w:val="right" w:leader="dot" w:pos="9350"/>
        </w:tabs>
        <w:rPr>
          <w:rFonts w:asciiTheme="minorHAnsi" w:eastAsiaTheme="minorEastAsia" w:hAnsiTheme="minorHAnsi"/>
          <w:noProof/>
        </w:rPr>
      </w:pPr>
      <w:hyperlink w:anchor="_Toc293937131" w:history="1">
        <w:r w:rsidR="001D74B5" w:rsidRPr="0039420F">
          <w:rPr>
            <w:rStyle w:val="Hyperlink"/>
            <w:noProof/>
          </w:rPr>
          <w:t>V.3.</w:t>
        </w:r>
        <w:r w:rsidR="001D74B5">
          <w:rPr>
            <w:rFonts w:asciiTheme="minorHAnsi" w:eastAsiaTheme="minorEastAsia" w:hAnsiTheme="minorHAnsi"/>
            <w:noProof/>
          </w:rPr>
          <w:tab/>
        </w:r>
        <w:r w:rsidR="001D74B5" w:rsidRPr="0039420F">
          <w:rPr>
            <w:rStyle w:val="Hyperlink"/>
            <w:noProof/>
          </w:rPr>
          <w:t>Guidelines for Project-Specific Flow Duration Analysis</w:t>
        </w:r>
        <w:r w:rsidR="001D74B5">
          <w:rPr>
            <w:noProof/>
            <w:webHidden/>
          </w:rPr>
          <w:tab/>
        </w:r>
        <w:r>
          <w:rPr>
            <w:noProof/>
            <w:webHidden/>
          </w:rPr>
          <w:fldChar w:fldCharType="begin"/>
        </w:r>
        <w:r w:rsidR="001D74B5">
          <w:rPr>
            <w:noProof/>
            <w:webHidden/>
          </w:rPr>
          <w:instrText xml:space="preserve"> PAGEREF _Toc293937131 \h </w:instrText>
        </w:r>
        <w:r>
          <w:rPr>
            <w:noProof/>
            <w:webHidden/>
          </w:rPr>
        </w:r>
        <w:r>
          <w:rPr>
            <w:noProof/>
            <w:webHidden/>
          </w:rPr>
          <w:fldChar w:fldCharType="separate"/>
        </w:r>
        <w:r w:rsidR="001D74B5">
          <w:rPr>
            <w:noProof/>
            <w:webHidden/>
          </w:rPr>
          <w:t>V-3</w:t>
        </w:r>
        <w:r>
          <w:rPr>
            <w:noProof/>
            <w:webHidden/>
          </w:rPr>
          <w:fldChar w:fldCharType="end"/>
        </w:r>
      </w:hyperlink>
    </w:p>
    <w:p w:rsidR="001D74B5" w:rsidRDefault="00126F3D">
      <w:pPr>
        <w:pStyle w:val="TOC1"/>
        <w:tabs>
          <w:tab w:val="left" w:pos="1760"/>
        </w:tabs>
        <w:rPr>
          <w:rFonts w:asciiTheme="minorHAnsi" w:eastAsiaTheme="minorEastAsia" w:hAnsiTheme="minorHAnsi"/>
          <w:caps w:val="0"/>
          <w:noProof/>
        </w:rPr>
      </w:pPr>
      <w:hyperlink w:anchor="_Toc293937132" w:history="1">
        <w:r w:rsidR="001D74B5" w:rsidRPr="0039420F">
          <w:rPr>
            <w:rStyle w:val="Hyperlink"/>
            <w:noProof/>
          </w:rPr>
          <w:t>Appendix VI.</w:t>
        </w:r>
        <w:r w:rsidR="001D74B5">
          <w:rPr>
            <w:rFonts w:asciiTheme="minorHAnsi" w:eastAsiaTheme="minorEastAsia" w:hAnsiTheme="minorHAnsi"/>
            <w:caps w:val="0"/>
            <w:noProof/>
          </w:rPr>
          <w:tab/>
        </w:r>
        <w:r w:rsidR="001D74B5" w:rsidRPr="0039420F">
          <w:rPr>
            <w:rStyle w:val="Hyperlink"/>
            <w:noProof/>
          </w:rPr>
          <w:t>APPROVED METHODS FOR CALCULATING ALTERNATIVE COMPLIANCE VOLUME FOR LID</w:t>
        </w:r>
        <w:r w:rsidR="001D74B5">
          <w:rPr>
            <w:noProof/>
            <w:webHidden/>
          </w:rPr>
          <w:tab/>
        </w:r>
        <w:r>
          <w:rPr>
            <w:noProof/>
            <w:webHidden/>
          </w:rPr>
          <w:fldChar w:fldCharType="begin"/>
        </w:r>
        <w:r w:rsidR="001D74B5">
          <w:rPr>
            <w:noProof/>
            <w:webHidden/>
          </w:rPr>
          <w:instrText xml:space="preserve"> PAGEREF _Toc293937132 \h </w:instrText>
        </w:r>
        <w:r>
          <w:rPr>
            <w:noProof/>
            <w:webHidden/>
          </w:rPr>
        </w:r>
        <w:r>
          <w:rPr>
            <w:noProof/>
            <w:webHidden/>
          </w:rPr>
          <w:fldChar w:fldCharType="separate"/>
        </w:r>
        <w:r w:rsidR="001D74B5">
          <w:rPr>
            <w:noProof/>
            <w:webHidden/>
          </w:rPr>
          <w:t>VI-1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33" w:history="1">
        <w:r w:rsidR="001D74B5" w:rsidRPr="0039420F">
          <w:rPr>
            <w:rStyle w:val="Hyperlink"/>
            <w:noProof/>
          </w:rPr>
          <w:t>VI.1.</w:t>
        </w:r>
        <w:r w:rsidR="001D74B5">
          <w:rPr>
            <w:rFonts w:asciiTheme="minorHAnsi" w:eastAsiaTheme="minorEastAsia" w:hAnsiTheme="minorHAnsi"/>
            <w:noProof/>
          </w:rPr>
          <w:tab/>
        </w:r>
        <w:r w:rsidR="001D74B5" w:rsidRPr="0039420F">
          <w:rPr>
            <w:rStyle w:val="Hyperlink"/>
            <w:noProof/>
          </w:rPr>
          <w:t>Calculating Alternative Compliance Volume without Water Quality Credits</w:t>
        </w:r>
        <w:r w:rsidR="001D74B5">
          <w:rPr>
            <w:noProof/>
            <w:webHidden/>
          </w:rPr>
          <w:tab/>
        </w:r>
        <w:r>
          <w:rPr>
            <w:noProof/>
            <w:webHidden/>
          </w:rPr>
          <w:fldChar w:fldCharType="begin"/>
        </w:r>
        <w:r w:rsidR="001D74B5">
          <w:rPr>
            <w:noProof/>
            <w:webHidden/>
          </w:rPr>
          <w:instrText xml:space="preserve"> PAGEREF _Toc293937133 \h </w:instrText>
        </w:r>
        <w:r>
          <w:rPr>
            <w:noProof/>
            <w:webHidden/>
          </w:rPr>
        </w:r>
        <w:r>
          <w:rPr>
            <w:noProof/>
            <w:webHidden/>
          </w:rPr>
          <w:fldChar w:fldCharType="separate"/>
        </w:r>
        <w:r w:rsidR="001D74B5">
          <w:rPr>
            <w:noProof/>
            <w:webHidden/>
          </w:rPr>
          <w:t>VI-1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34" w:history="1">
        <w:r w:rsidR="001D74B5" w:rsidRPr="0039420F">
          <w:rPr>
            <w:rStyle w:val="Hyperlink"/>
            <w:noProof/>
          </w:rPr>
          <w:t>VI.2.</w:t>
        </w:r>
        <w:r w:rsidR="001D74B5">
          <w:rPr>
            <w:rFonts w:asciiTheme="minorHAnsi" w:eastAsiaTheme="minorEastAsia" w:hAnsiTheme="minorHAnsi"/>
            <w:noProof/>
          </w:rPr>
          <w:tab/>
        </w:r>
        <w:r w:rsidR="001D74B5" w:rsidRPr="0039420F">
          <w:rPr>
            <w:rStyle w:val="Hyperlink"/>
            <w:noProof/>
          </w:rPr>
          <w:t>Applying Water Quality Credits to Adjust Alternative Compliance Volume</w:t>
        </w:r>
        <w:r w:rsidR="001D74B5">
          <w:rPr>
            <w:noProof/>
            <w:webHidden/>
          </w:rPr>
          <w:tab/>
        </w:r>
        <w:r>
          <w:rPr>
            <w:noProof/>
            <w:webHidden/>
          </w:rPr>
          <w:fldChar w:fldCharType="begin"/>
        </w:r>
        <w:r w:rsidR="001D74B5">
          <w:rPr>
            <w:noProof/>
            <w:webHidden/>
          </w:rPr>
          <w:instrText xml:space="preserve"> PAGEREF _Toc293937134 \h </w:instrText>
        </w:r>
        <w:r>
          <w:rPr>
            <w:noProof/>
            <w:webHidden/>
          </w:rPr>
        </w:r>
        <w:r>
          <w:rPr>
            <w:noProof/>
            <w:webHidden/>
          </w:rPr>
          <w:fldChar w:fldCharType="separate"/>
        </w:r>
        <w:r w:rsidR="001D74B5">
          <w:rPr>
            <w:noProof/>
            <w:webHidden/>
          </w:rPr>
          <w:t>VI-2</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35" w:history="1">
        <w:r w:rsidR="001D74B5" w:rsidRPr="0039420F">
          <w:rPr>
            <w:rStyle w:val="Hyperlink"/>
            <w:noProof/>
          </w:rPr>
          <w:t>VI.3.</w:t>
        </w:r>
        <w:r w:rsidR="001D74B5">
          <w:rPr>
            <w:rFonts w:asciiTheme="minorHAnsi" w:eastAsiaTheme="minorEastAsia" w:hAnsiTheme="minorHAnsi"/>
            <w:noProof/>
          </w:rPr>
          <w:tab/>
        </w:r>
        <w:r w:rsidR="001D74B5" w:rsidRPr="0039420F">
          <w:rPr>
            <w:rStyle w:val="Hyperlink"/>
            <w:noProof/>
          </w:rPr>
          <w:t>Stormwater Quality Design Volume/Flow Calculations for Sizing Treatment Control BMPs for Alternative Compliance</w:t>
        </w:r>
        <w:r w:rsidR="001D74B5">
          <w:rPr>
            <w:noProof/>
            <w:webHidden/>
          </w:rPr>
          <w:tab/>
        </w:r>
        <w:r>
          <w:rPr>
            <w:noProof/>
            <w:webHidden/>
          </w:rPr>
          <w:fldChar w:fldCharType="begin"/>
        </w:r>
        <w:r w:rsidR="001D74B5">
          <w:rPr>
            <w:noProof/>
            <w:webHidden/>
          </w:rPr>
          <w:instrText xml:space="preserve"> PAGEREF _Toc293937135 \h </w:instrText>
        </w:r>
        <w:r>
          <w:rPr>
            <w:noProof/>
            <w:webHidden/>
          </w:rPr>
        </w:r>
        <w:r>
          <w:rPr>
            <w:noProof/>
            <w:webHidden/>
          </w:rPr>
          <w:fldChar w:fldCharType="separate"/>
        </w:r>
        <w:r w:rsidR="001D74B5">
          <w:rPr>
            <w:noProof/>
            <w:webHidden/>
          </w:rPr>
          <w:t>VI-5</w:t>
        </w:r>
        <w:r>
          <w:rPr>
            <w:noProof/>
            <w:webHidden/>
          </w:rPr>
          <w:fldChar w:fldCharType="end"/>
        </w:r>
      </w:hyperlink>
    </w:p>
    <w:p w:rsidR="001D74B5" w:rsidRDefault="00126F3D">
      <w:pPr>
        <w:pStyle w:val="TOC1"/>
        <w:tabs>
          <w:tab w:val="left" w:pos="1782"/>
        </w:tabs>
        <w:rPr>
          <w:rFonts w:asciiTheme="minorHAnsi" w:eastAsiaTheme="minorEastAsia" w:hAnsiTheme="minorHAnsi"/>
          <w:caps w:val="0"/>
          <w:noProof/>
        </w:rPr>
      </w:pPr>
      <w:hyperlink w:anchor="_Toc293937136" w:history="1">
        <w:r w:rsidR="001D74B5" w:rsidRPr="0039420F">
          <w:rPr>
            <w:rStyle w:val="Hyperlink"/>
            <w:noProof/>
          </w:rPr>
          <w:t>Appendix VII.</w:t>
        </w:r>
        <w:r w:rsidR="001D74B5">
          <w:rPr>
            <w:rFonts w:asciiTheme="minorHAnsi" w:eastAsiaTheme="minorEastAsia" w:hAnsiTheme="minorHAnsi"/>
            <w:caps w:val="0"/>
            <w:noProof/>
          </w:rPr>
          <w:tab/>
        </w:r>
        <w:r w:rsidR="001D74B5" w:rsidRPr="0039420F">
          <w:rPr>
            <w:rStyle w:val="Hyperlink"/>
            <w:noProof/>
          </w:rPr>
          <w:t>INFILTRATION RATE EVALUATION PROTOCOL AND FACTOR OF SAFETY RECOMMENDATIONS</w:t>
        </w:r>
        <w:r w:rsidR="001D74B5">
          <w:rPr>
            <w:noProof/>
            <w:webHidden/>
          </w:rPr>
          <w:tab/>
        </w:r>
        <w:r>
          <w:rPr>
            <w:noProof/>
            <w:webHidden/>
          </w:rPr>
          <w:fldChar w:fldCharType="begin"/>
        </w:r>
        <w:r w:rsidR="001D74B5">
          <w:rPr>
            <w:noProof/>
            <w:webHidden/>
          </w:rPr>
          <w:instrText xml:space="preserve"> PAGEREF _Toc293937136 \h </w:instrText>
        </w:r>
        <w:r>
          <w:rPr>
            <w:noProof/>
            <w:webHidden/>
          </w:rPr>
        </w:r>
        <w:r>
          <w:rPr>
            <w:noProof/>
            <w:webHidden/>
          </w:rPr>
          <w:fldChar w:fldCharType="separate"/>
        </w:r>
        <w:r w:rsidR="001D74B5">
          <w:rPr>
            <w:noProof/>
            <w:webHidden/>
          </w:rPr>
          <w:t>VII-1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37" w:history="1">
        <w:r w:rsidR="001D74B5" w:rsidRPr="0039420F">
          <w:rPr>
            <w:rStyle w:val="Hyperlink"/>
            <w:noProof/>
          </w:rPr>
          <w:t>VII.1.</w:t>
        </w:r>
        <w:r w:rsidR="001D74B5">
          <w:rPr>
            <w:rFonts w:asciiTheme="minorHAnsi" w:eastAsiaTheme="minorEastAsia" w:hAnsiTheme="minorHAnsi"/>
            <w:noProof/>
          </w:rPr>
          <w:tab/>
        </w:r>
        <w:r w:rsidR="001D74B5" w:rsidRPr="0039420F">
          <w:rPr>
            <w:rStyle w:val="Hyperlink"/>
            <w:noProof/>
          </w:rPr>
          <w:t>Introduction</w:t>
        </w:r>
        <w:r w:rsidR="001D74B5">
          <w:rPr>
            <w:noProof/>
            <w:webHidden/>
          </w:rPr>
          <w:tab/>
        </w:r>
        <w:r>
          <w:rPr>
            <w:noProof/>
            <w:webHidden/>
          </w:rPr>
          <w:fldChar w:fldCharType="begin"/>
        </w:r>
        <w:r w:rsidR="001D74B5">
          <w:rPr>
            <w:noProof/>
            <w:webHidden/>
          </w:rPr>
          <w:instrText xml:space="preserve"> PAGEREF _Toc293937137 \h </w:instrText>
        </w:r>
        <w:r>
          <w:rPr>
            <w:noProof/>
            <w:webHidden/>
          </w:rPr>
        </w:r>
        <w:r>
          <w:rPr>
            <w:noProof/>
            <w:webHidden/>
          </w:rPr>
          <w:fldChar w:fldCharType="separate"/>
        </w:r>
        <w:r w:rsidR="001D74B5">
          <w:rPr>
            <w:noProof/>
            <w:webHidden/>
          </w:rPr>
          <w:t>VII-1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38" w:history="1">
        <w:r w:rsidR="001D74B5" w:rsidRPr="0039420F">
          <w:rPr>
            <w:rStyle w:val="Hyperlink"/>
            <w:noProof/>
          </w:rPr>
          <w:t>VII.2.</w:t>
        </w:r>
        <w:r w:rsidR="001D74B5">
          <w:rPr>
            <w:rFonts w:asciiTheme="minorHAnsi" w:eastAsiaTheme="minorEastAsia" w:hAnsiTheme="minorHAnsi"/>
            <w:noProof/>
          </w:rPr>
          <w:tab/>
        </w:r>
        <w:r w:rsidR="001D74B5" w:rsidRPr="0039420F">
          <w:rPr>
            <w:rStyle w:val="Hyperlink"/>
            <w:noProof/>
          </w:rPr>
          <w:t>Methods for Identifying Areas Potentially Feasible for Infiltration</w:t>
        </w:r>
        <w:r w:rsidR="001D74B5">
          <w:rPr>
            <w:noProof/>
            <w:webHidden/>
          </w:rPr>
          <w:tab/>
        </w:r>
        <w:r>
          <w:rPr>
            <w:noProof/>
            <w:webHidden/>
          </w:rPr>
          <w:fldChar w:fldCharType="begin"/>
        </w:r>
        <w:r w:rsidR="001D74B5">
          <w:rPr>
            <w:noProof/>
            <w:webHidden/>
          </w:rPr>
          <w:instrText xml:space="preserve"> PAGEREF _Toc293937138 \h </w:instrText>
        </w:r>
        <w:r>
          <w:rPr>
            <w:noProof/>
            <w:webHidden/>
          </w:rPr>
        </w:r>
        <w:r>
          <w:rPr>
            <w:noProof/>
            <w:webHidden/>
          </w:rPr>
          <w:fldChar w:fldCharType="separate"/>
        </w:r>
        <w:r w:rsidR="001D74B5">
          <w:rPr>
            <w:noProof/>
            <w:webHidden/>
          </w:rPr>
          <w:t>VII-4</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39" w:history="1">
        <w:r w:rsidR="001D74B5" w:rsidRPr="0039420F">
          <w:rPr>
            <w:rStyle w:val="Hyperlink"/>
            <w:noProof/>
          </w:rPr>
          <w:t>VII.3.</w:t>
        </w:r>
        <w:r w:rsidR="001D74B5">
          <w:rPr>
            <w:rFonts w:asciiTheme="minorHAnsi" w:eastAsiaTheme="minorEastAsia" w:hAnsiTheme="minorHAnsi"/>
            <w:noProof/>
          </w:rPr>
          <w:tab/>
        </w:r>
        <w:r w:rsidR="001D74B5" w:rsidRPr="0039420F">
          <w:rPr>
            <w:rStyle w:val="Hyperlink"/>
            <w:noProof/>
          </w:rPr>
          <w:t>Methods for Establishing Design Infiltration Rate</w:t>
        </w:r>
        <w:r w:rsidR="001D74B5">
          <w:rPr>
            <w:noProof/>
            <w:webHidden/>
          </w:rPr>
          <w:tab/>
        </w:r>
        <w:r>
          <w:rPr>
            <w:noProof/>
            <w:webHidden/>
          </w:rPr>
          <w:fldChar w:fldCharType="begin"/>
        </w:r>
        <w:r w:rsidR="001D74B5">
          <w:rPr>
            <w:noProof/>
            <w:webHidden/>
          </w:rPr>
          <w:instrText xml:space="preserve"> PAGEREF _Toc293937139 \h </w:instrText>
        </w:r>
        <w:r>
          <w:rPr>
            <w:noProof/>
            <w:webHidden/>
          </w:rPr>
        </w:r>
        <w:r>
          <w:rPr>
            <w:noProof/>
            <w:webHidden/>
          </w:rPr>
          <w:fldChar w:fldCharType="separate"/>
        </w:r>
        <w:r w:rsidR="001D74B5">
          <w:rPr>
            <w:noProof/>
            <w:webHidden/>
          </w:rPr>
          <w:t>VII-7</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40" w:history="1">
        <w:r w:rsidR="001D74B5" w:rsidRPr="0039420F">
          <w:rPr>
            <w:rStyle w:val="Hyperlink"/>
            <w:noProof/>
          </w:rPr>
          <w:t>VII.4.</w:t>
        </w:r>
        <w:r w:rsidR="001D74B5">
          <w:rPr>
            <w:rFonts w:asciiTheme="minorHAnsi" w:eastAsiaTheme="minorEastAsia" w:hAnsiTheme="minorHAnsi"/>
            <w:noProof/>
          </w:rPr>
          <w:tab/>
        </w:r>
        <w:r w:rsidR="001D74B5" w:rsidRPr="0039420F">
          <w:rPr>
            <w:rStyle w:val="Hyperlink"/>
            <w:noProof/>
          </w:rPr>
          <w:t>Considerations for Infiltration Rate Factor of Safety</w:t>
        </w:r>
        <w:r w:rsidR="001D74B5">
          <w:rPr>
            <w:noProof/>
            <w:webHidden/>
          </w:rPr>
          <w:tab/>
        </w:r>
        <w:r>
          <w:rPr>
            <w:noProof/>
            <w:webHidden/>
          </w:rPr>
          <w:fldChar w:fldCharType="begin"/>
        </w:r>
        <w:r w:rsidR="001D74B5">
          <w:rPr>
            <w:noProof/>
            <w:webHidden/>
          </w:rPr>
          <w:instrText xml:space="preserve"> PAGEREF _Toc293937140 \h </w:instrText>
        </w:r>
        <w:r>
          <w:rPr>
            <w:noProof/>
            <w:webHidden/>
          </w:rPr>
        </w:r>
        <w:r>
          <w:rPr>
            <w:noProof/>
            <w:webHidden/>
          </w:rPr>
          <w:fldChar w:fldCharType="separate"/>
        </w:r>
        <w:r w:rsidR="001D74B5">
          <w:rPr>
            <w:noProof/>
            <w:webHidden/>
          </w:rPr>
          <w:t>VII-30</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41" w:history="1">
        <w:r w:rsidR="001D74B5" w:rsidRPr="0039420F">
          <w:rPr>
            <w:rStyle w:val="Hyperlink"/>
            <w:noProof/>
          </w:rPr>
          <w:t>VII.5.</w:t>
        </w:r>
        <w:r w:rsidR="001D74B5">
          <w:rPr>
            <w:rFonts w:asciiTheme="minorHAnsi" w:eastAsiaTheme="minorEastAsia" w:hAnsiTheme="minorHAnsi"/>
            <w:noProof/>
          </w:rPr>
          <w:tab/>
        </w:r>
        <w:r w:rsidR="001D74B5" w:rsidRPr="0039420F">
          <w:rPr>
            <w:rStyle w:val="Hyperlink"/>
            <w:noProof/>
          </w:rPr>
          <w:t>References</w:t>
        </w:r>
        <w:r w:rsidR="001D74B5">
          <w:rPr>
            <w:noProof/>
            <w:webHidden/>
          </w:rPr>
          <w:tab/>
        </w:r>
        <w:r>
          <w:rPr>
            <w:noProof/>
            <w:webHidden/>
          </w:rPr>
          <w:fldChar w:fldCharType="begin"/>
        </w:r>
        <w:r w:rsidR="001D74B5">
          <w:rPr>
            <w:noProof/>
            <w:webHidden/>
          </w:rPr>
          <w:instrText xml:space="preserve"> PAGEREF _Toc293937141 \h </w:instrText>
        </w:r>
        <w:r>
          <w:rPr>
            <w:noProof/>
            <w:webHidden/>
          </w:rPr>
        </w:r>
        <w:r>
          <w:rPr>
            <w:noProof/>
            <w:webHidden/>
          </w:rPr>
          <w:fldChar w:fldCharType="separate"/>
        </w:r>
        <w:r w:rsidR="001D74B5">
          <w:rPr>
            <w:noProof/>
            <w:webHidden/>
          </w:rPr>
          <w:t>VII-36</w:t>
        </w:r>
        <w:r>
          <w:rPr>
            <w:noProof/>
            <w:webHidden/>
          </w:rPr>
          <w:fldChar w:fldCharType="end"/>
        </w:r>
      </w:hyperlink>
    </w:p>
    <w:p w:rsidR="001D74B5" w:rsidRDefault="00126F3D">
      <w:pPr>
        <w:pStyle w:val="TOC1"/>
        <w:tabs>
          <w:tab w:val="left" w:pos="1856"/>
        </w:tabs>
        <w:rPr>
          <w:rFonts w:asciiTheme="minorHAnsi" w:eastAsiaTheme="minorEastAsia" w:hAnsiTheme="minorHAnsi"/>
          <w:caps w:val="0"/>
          <w:noProof/>
        </w:rPr>
      </w:pPr>
      <w:hyperlink w:anchor="_Toc293937142" w:history="1">
        <w:r w:rsidR="001D74B5" w:rsidRPr="0039420F">
          <w:rPr>
            <w:rStyle w:val="Hyperlink"/>
            <w:noProof/>
          </w:rPr>
          <w:t>Appendix VIII.</w:t>
        </w:r>
        <w:r w:rsidR="001D74B5">
          <w:rPr>
            <w:rFonts w:asciiTheme="minorHAnsi" w:eastAsiaTheme="minorEastAsia" w:hAnsiTheme="minorHAnsi"/>
            <w:caps w:val="0"/>
            <w:noProof/>
          </w:rPr>
          <w:tab/>
        </w:r>
        <w:r w:rsidR="001D74B5" w:rsidRPr="0039420F">
          <w:rPr>
            <w:rStyle w:val="Hyperlink"/>
            <w:noProof/>
          </w:rPr>
          <w:t>GROUNDWATER-RELATED INFILTRATION FEASIBILITY CRITERIA</w:t>
        </w:r>
        <w:r w:rsidR="001D74B5">
          <w:rPr>
            <w:noProof/>
            <w:webHidden/>
          </w:rPr>
          <w:tab/>
        </w:r>
        <w:r>
          <w:rPr>
            <w:noProof/>
            <w:webHidden/>
          </w:rPr>
          <w:fldChar w:fldCharType="begin"/>
        </w:r>
        <w:r w:rsidR="001D74B5">
          <w:rPr>
            <w:noProof/>
            <w:webHidden/>
          </w:rPr>
          <w:instrText xml:space="preserve"> PAGEREF _Toc293937142 \h </w:instrText>
        </w:r>
        <w:r>
          <w:rPr>
            <w:noProof/>
            <w:webHidden/>
          </w:rPr>
        </w:r>
        <w:r>
          <w:rPr>
            <w:noProof/>
            <w:webHidden/>
          </w:rPr>
          <w:fldChar w:fldCharType="separate"/>
        </w:r>
        <w:r w:rsidR="001D74B5">
          <w:rPr>
            <w:noProof/>
            <w:webHidden/>
          </w:rPr>
          <w:t>VIII-1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43" w:history="1">
        <w:r w:rsidR="001D74B5" w:rsidRPr="0039420F">
          <w:rPr>
            <w:rStyle w:val="Hyperlink"/>
            <w:noProof/>
          </w:rPr>
          <w:t>VIII.1.</w:t>
        </w:r>
        <w:r w:rsidR="001D74B5">
          <w:rPr>
            <w:rFonts w:asciiTheme="minorHAnsi" w:eastAsiaTheme="minorEastAsia" w:hAnsiTheme="minorHAnsi"/>
            <w:noProof/>
          </w:rPr>
          <w:tab/>
        </w:r>
        <w:r w:rsidR="001D74B5" w:rsidRPr="0039420F">
          <w:rPr>
            <w:rStyle w:val="Hyperlink"/>
            <w:noProof/>
          </w:rPr>
          <w:t>Intended Use</w:t>
        </w:r>
        <w:r w:rsidR="001D74B5">
          <w:rPr>
            <w:noProof/>
            <w:webHidden/>
          </w:rPr>
          <w:tab/>
        </w:r>
        <w:r>
          <w:rPr>
            <w:noProof/>
            <w:webHidden/>
          </w:rPr>
          <w:fldChar w:fldCharType="begin"/>
        </w:r>
        <w:r w:rsidR="001D74B5">
          <w:rPr>
            <w:noProof/>
            <w:webHidden/>
          </w:rPr>
          <w:instrText xml:space="preserve"> PAGEREF _Toc293937143 \h </w:instrText>
        </w:r>
        <w:r>
          <w:rPr>
            <w:noProof/>
            <w:webHidden/>
          </w:rPr>
        </w:r>
        <w:r>
          <w:rPr>
            <w:noProof/>
            <w:webHidden/>
          </w:rPr>
          <w:fldChar w:fldCharType="separate"/>
        </w:r>
        <w:r w:rsidR="001D74B5">
          <w:rPr>
            <w:noProof/>
            <w:webHidden/>
          </w:rPr>
          <w:t>VIII-1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44" w:history="1">
        <w:r w:rsidR="001D74B5" w:rsidRPr="0039420F">
          <w:rPr>
            <w:rStyle w:val="Hyperlink"/>
            <w:noProof/>
          </w:rPr>
          <w:t>VIII.2.</w:t>
        </w:r>
        <w:r w:rsidR="001D74B5">
          <w:rPr>
            <w:rFonts w:asciiTheme="minorHAnsi" w:eastAsiaTheme="minorEastAsia" w:hAnsiTheme="minorHAnsi"/>
            <w:noProof/>
          </w:rPr>
          <w:tab/>
        </w:r>
        <w:r w:rsidR="001D74B5" w:rsidRPr="0039420F">
          <w:rPr>
            <w:rStyle w:val="Hyperlink"/>
            <w:noProof/>
          </w:rPr>
          <w:t>Depth to Groundwater and Mounding Potential</w:t>
        </w:r>
        <w:r w:rsidR="001D74B5">
          <w:rPr>
            <w:noProof/>
            <w:webHidden/>
          </w:rPr>
          <w:tab/>
        </w:r>
        <w:r>
          <w:rPr>
            <w:noProof/>
            <w:webHidden/>
          </w:rPr>
          <w:fldChar w:fldCharType="begin"/>
        </w:r>
        <w:r w:rsidR="001D74B5">
          <w:rPr>
            <w:noProof/>
            <w:webHidden/>
          </w:rPr>
          <w:instrText xml:space="preserve"> PAGEREF _Toc293937144 \h </w:instrText>
        </w:r>
        <w:r>
          <w:rPr>
            <w:noProof/>
            <w:webHidden/>
          </w:rPr>
        </w:r>
        <w:r>
          <w:rPr>
            <w:noProof/>
            <w:webHidden/>
          </w:rPr>
          <w:fldChar w:fldCharType="separate"/>
        </w:r>
        <w:r w:rsidR="001D74B5">
          <w:rPr>
            <w:noProof/>
            <w:webHidden/>
          </w:rPr>
          <w:t>VIII-1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45" w:history="1">
        <w:r w:rsidR="001D74B5" w:rsidRPr="0039420F">
          <w:rPr>
            <w:rStyle w:val="Hyperlink"/>
            <w:noProof/>
          </w:rPr>
          <w:t>VIII.3.</w:t>
        </w:r>
        <w:r w:rsidR="001D74B5">
          <w:rPr>
            <w:rFonts w:asciiTheme="minorHAnsi" w:eastAsiaTheme="minorEastAsia" w:hAnsiTheme="minorHAnsi"/>
            <w:noProof/>
          </w:rPr>
          <w:tab/>
        </w:r>
        <w:r w:rsidR="001D74B5" w:rsidRPr="0039420F">
          <w:rPr>
            <w:rStyle w:val="Hyperlink"/>
            <w:noProof/>
          </w:rPr>
          <w:t>Groundwater Plumes</w:t>
        </w:r>
        <w:r w:rsidR="001D74B5">
          <w:rPr>
            <w:noProof/>
            <w:webHidden/>
          </w:rPr>
          <w:tab/>
        </w:r>
        <w:r>
          <w:rPr>
            <w:noProof/>
            <w:webHidden/>
          </w:rPr>
          <w:fldChar w:fldCharType="begin"/>
        </w:r>
        <w:r w:rsidR="001D74B5">
          <w:rPr>
            <w:noProof/>
            <w:webHidden/>
          </w:rPr>
          <w:instrText xml:space="preserve"> PAGEREF _Toc293937145 \h </w:instrText>
        </w:r>
        <w:r>
          <w:rPr>
            <w:noProof/>
            <w:webHidden/>
          </w:rPr>
        </w:r>
        <w:r>
          <w:rPr>
            <w:noProof/>
            <w:webHidden/>
          </w:rPr>
          <w:fldChar w:fldCharType="separate"/>
        </w:r>
        <w:r w:rsidR="001D74B5">
          <w:rPr>
            <w:noProof/>
            <w:webHidden/>
          </w:rPr>
          <w:t>VIII-5</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46" w:history="1">
        <w:r w:rsidR="001D74B5" w:rsidRPr="0039420F">
          <w:rPr>
            <w:rStyle w:val="Hyperlink"/>
            <w:noProof/>
          </w:rPr>
          <w:t>VIII.4.</w:t>
        </w:r>
        <w:r w:rsidR="001D74B5">
          <w:rPr>
            <w:rFonts w:asciiTheme="minorHAnsi" w:eastAsiaTheme="minorEastAsia" w:hAnsiTheme="minorHAnsi"/>
            <w:noProof/>
          </w:rPr>
          <w:tab/>
        </w:r>
        <w:r w:rsidR="001D74B5" w:rsidRPr="0039420F">
          <w:rPr>
            <w:rStyle w:val="Hyperlink"/>
            <w:noProof/>
          </w:rPr>
          <w:t>Requirements for BMP Selection by Tributary Land Use Activities</w:t>
        </w:r>
        <w:r w:rsidR="001D74B5">
          <w:rPr>
            <w:noProof/>
            <w:webHidden/>
          </w:rPr>
          <w:tab/>
        </w:r>
        <w:r>
          <w:rPr>
            <w:noProof/>
            <w:webHidden/>
          </w:rPr>
          <w:fldChar w:fldCharType="begin"/>
        </w:r>
        <w:r w:rsidR="001D74B5">
          <w:rPr>
            <w:noProof/>
            <w:webHidden/>
          </w:rPr>
          <w:instrText xml:space="preserve"> PAGEREF _Toc293937146 \h </w:instrText>
        </w:r>
        <w:r>
          <w:rPr>
            <w:noProof/>
            <w:webHidden/>
          </w:rPr>
        </w:r>
        <w:r>
          <w:rPr>
            <w:noProof/>
            <w:webHidden/>
          </w:rPr>
          <w:fldChar w:fldCharType="separate"/>
        </w:r>
        <w:r w:rsidR="001D74B5">
          <w:rPr>
            <w:noProof/>
            <w:webHidden/>
          </w:rPr>
          <w:t>VIII-7</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47" w:history="1">
        <w:r w:rsidR="001D74B5" w:rsidRPr="0039420F">
          <w:rPr>
            <w:rStyle w:val="Hyperlink"/>
            <w:noProof/>
          </w:rPr>
          <w:t>VIII.5.</w:t>
        </w:r>
        <w:r w:rsidR="001D74B5">
          <w:rPr>
            <w:rFonts w:asciiTheme="minorHAnsi" w:eastAsiaTheme="minorEastAsia" w:hAnsiTheme="minorHAnsi"/>
            <w:noProof/>
          </w:rPr>
          <w:tab/>
        </w:r>
        <w:r w:rsidR="001D74B5" w:rsidRPr="0039420F">
          <w:rPr>
            <w:rStyle w:val="Hyperlink"/>
            <w:noProof/>
          </w:rPr>
          <w:t>Well Head Protection and Septic Systems</w:t>
        </w:r>
        <w:r w:rsidR="001D74B5">
          <w:rPr>
            <w:noProof/>
            <w:webHidden/>
          </w:rPr>
          <w:tab/>
        </w:r>
        <w:r>
          <w:rPr>
            <w:noProof/>
            <w:webHidden/>
          </w:rPr>
          <w:fldChar w:fldCharType="begin"/>
        </w:r>
        <w:r w:rsidR="001D74B5">
          <w:rPr>
            <w:noProof/>
            <w:webHidden/>
          </w:rPr>
          <w:instrText xml:space="preserve"> PAGEREF _Toc293937147 \h </w:instrText>
        </w:r>
        <w:r>
          <w:rPr>
            <w:noProof/>
            <w:webHidden/>
          </w:rPr>
        </w:r>
        <w:r>
          <w:rPr>
            <w:noProof/>
            <w:webHidden/>
          </w:rPr>
          <w:fldChar w:fldCharType="separate"/>
        </w:r>
        <w:r w:rsidR="001D74B5">
          <w:rPr>
            <w:noProof/>
            <w:webHidden/>
          </w:rPr>
          <w:t>VIII-10</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48" w:history="1">
        <w:r w:rsidR="001D74B5" w:rsidRPr="0039420F">
          <w:rPr>
            <w:rStyle w:val="Hyperlink"/>
            <w:noProof/>
          </w:rPr>
          <w:t>VIII.6.</w:t>
        </w:r>
        <w:r w:rsidR="001D74B5">
          <w:rPr>
            <w:rFonts w:asciiTheme="minorHAnsi" w:eastAsiaTheme="minorEastAsia" w:hAnsiTheme="minorHAnsi"/>
            <w:noProof/>
          </w:rPr>
          <w:tab/>
        </w:r>
        <w:r w:rsidR="001D74B5" w:rsidRPr="0039420F">
          <w:rPr>
            <w:rStyle w:val="Hyperlink"/>
            <w:noProof/>
          </w:rPr>
          <w:t>Stormwater Runoff Pollutants</w:t>
        </w:r>
        <w:r w:rsidR="001D74B5">
          <w:rPr>
            <w:noProof/>
            <w:webHidden/>
          </w:rPr>
          <w:tab/>
        </w:r>
        <w:r>
          <w:rPr>
            <w:noProof/>
            <w:webHidden/>
          </w:rPr>
          <w:fldChar w:fldCharType="begin"/>
        </w:r>
        <w:r w:rsidR="001D74B5">
          <w:rPr>
            <w:noProof/>
            <w:webHidden/>
          </w:rPr>
          <w:instrText xml:space="preserve"> PAGEREF _Toc293937148 \h </w:instrText>
        </w:r>
        <w:r>
          <w:rPr>
            <w:noProof/>
            <w:webHidden/>
          </w:rPr>
        </w:r>
        <w:r>
          <w:rPr>
            <w:noProof/>
            <w:webHidden/>
          </w:rPr>
          <w:fldChar w:fldCharType="separate"/>
        </w:r>
        <w:r w:rsidR="001D74B5">
          <w:rPr>
            <w:noProof/>
            <w:webHidden/>
          </w:rPr>
          <w:t>VIII-10</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49" w:history="1">
        <w:r w:rsidR="001D74B5" w:rsidRPr="0039420F">
          <w:rPr>
            <w:rStyle w:val="Hyperlink"/>
            <w:noProof/>
          </w:rPr>
          <w:t>VIII.7.</w:t>
        </w:r>
        <w:r w:rsidR="001D74B5">
          <w:rPr>
            <w:rFonts w:asciiTheme="minorHAnsi" w:eastAsiaTheme="minorEastAsia" w:hAnsiTheme="minorHAnsi"/>
            <w:noProof/>
          </w:rPr>
          <w:tab/>
        </w:r>
        <w:r w:rsidR="001D74B5" w:rsidRPr="0039420F">
          <w:rPr>
            <w:rStyle w:val="Hyperlink"/>
            <w:noProof/>
          </w:rPr>
          <w:t>Consultation with Applicable Groundwater Management Agencies</w:t>
        </w:r>
        <w:r w:rsidR="001D74B5">
          <w:rPr>
            <w:noProof/>
            <w:webHidden/>
          </w:rPr>
          <w:tab/>
        </w:r>
        <w:r>
          <w:rPr>
            <w:noProof/>
            <w:webHidden/>
          </w:rPr>
          <w:fldChar w:fldCharType="begin"/>
        </w:r>
        <w:r w:rsidR="001D74B5">
          <w:rPr>
            <w:noProof/>
            <w:webHidden/>
          </w:rPr>
          <w:instrText xml:space="preserve"> PAGEREF _Toc293937149 \h </w:instrText>
        </w:r>
        <w:r>
          <w:rPr>
            <w:noProof/>
            <w:webHidden/>
          </w:rPr>
        </w:r>
        <w:r>
          <w:rPr>
            <w:noProof/>
            <w:webHidden/>
          </w:rPr>
          <w:fldChar w:fldCharType="separate"/>
        </w:r>
        <w:r w:rsidR="001D74B5">
          <w:rPr>
            <w:noProof/>
            <w:webHidden/>
          </w:rPr>
          <w:t>VIII-10</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50" w:history="1">
        <w:r w:rsidR="001D74B5" w:rsidRPr="0039420F">
          <w:rPr>
            <w:rStyle w:val="Hyperlink"/>
            <w:noProof/>
          </w:rPr>
          <w:t>VIII.8.</w:t>
        </w:r>
        <w:r w:rsidR="001D74B5">
          <w:rPr>
            <w:rFonts w:asciiTheme="minorHAnsi" w:eastAsiaTheme="minorEastAsia" w:hAnsiTheme="minorHAnsi"/>
            <w:noProof/>
          </w:rPr>
          <w:tab/>
        </w:r>
        <w:r w:rsidR="001D74B5" w:rsidRPr="0039420F">
          <w:rPr>
            <w:rStyle w:val="Hyperlink"/>
            <w:noProof/>
          </w:rPr>
          <w:t>Technical Requirements for Site Specific Study of Infiltration Impacts on Groundwater Quality</w:t>
        </w:r>
        <w:r w:rsidR="001D74B5">
          <w:rPr>
            <w:noProof/>
            <w:webHidden/>
          </w:rPr>
          <w:tab/>
        </w:r>
        <w:r>
          <w:rPr>
            <w:noProof/>
            <w:webHidden/>
          </w:rPr>
          <w:fldChar w:fldCharType="begin"/>
        </w:r>
        <w:r w:rsidR="001D74B5">
          <w:rPr>
            <w:noProof/>
            <w:webHidden/>
          </w:rPr>
          <w:instrText xml:space="preserve"> PAGEREF _Toc293937150 \h </w:instrText>
        </w:r>
        <w:r>
          <w:rPr>
            <w:noProof/>
            <w:webHidden/>
          </w:rPr>
        </w:r>
        <w:r>
          <w:rPr>
            <w:noProof/>
            <w:webHidden/>
          </w:rPr>
          <w:fldChar w:fldCharType="separate"/>
        </w:r>
        <w:r w:rsidR="001D74B5">
          <w:rPr>
            <w:noProof/>
            <w:webHidden/>
          </w:rPr>
          <w:t>VIII-11</w:t>
        </w:r>
        <w:r>
          <w:rPr>
            <w:noProof/>
            <w:webHidden/>
          </w:rPr>
          <w:fldChar w:fldCharType="end"/>
        </w:r>
      </w:hyperlink>
    </w:p>
    <w:p w:rsidR="001D74B5" w:rsidRDefault="00126F3D">
      <w:pPr>
        <w:pStyle w:val="TOC1"/>
        <w:tabs>
          <w:tab w:val="left" w:pos="1760"/>
        </w:tabs>
        <w:rPr>
          <w:rFonts w:asciiTheme="minorHAnsi" w:eastAsiaTheme="minorEastAsia" w:hAnsiTheme="minorHAnsi"/>
          <w:caps w:val="0"/>
          <w:noProof/>
        </w:rPr>
      </w:pPr>
      <w:hyperlink w:anchor="_Toc293937151" w:history="1">
        <w:r w:rsidR="001D74B5" w:rsidRPr="0039420F">
          <w:rPr>
            <w:rStyle w:val="Hyperlink"/>
            <w:noProof/>
          </w:rPr>
          <w:t>Appendix IX.</w:t>
        </w:r>
        <w:r w:rsidR="001D74B5">
          <w:rPr>
            <w:rFonts w:asciiTheme="minorHAnsi" w:eastAsiaTheme="minorEastAsia" w:hAnsiTheme="minorHAnsi"/>
            <w:caps w:val="0"/>
            <w:noProof/>
          </w:rPr>
          <w:tab/>
        </w:r>
        <w:r w:rsidR="001D74B5" w:rsidRPr="0039420F">
          <w:rPr>
            <w:rStyle w:val="Hyperlink"/>
            <w:noProof/>
          </w:rPr>
          <w:t>TECHNICAL BASIS FOR GREEN ROOF DESIGN CRITERIA</w:t>
        </w:r>
        <w:r w:rsidR="001D74B5">
          <w:rPr>
            <w:noProof/>
            <w:webHidden/>
          </w:rPr>
          <w:tab/>
        </w:r>
        <w:r>
          <w:rPr>
            <w:noProof/>
            <w:webHidden/>
          </w:rPr>
          <w:fldChar w:fldCharType="begin"/>
        </w:r>
        <w:r w:rsidR="001D74B5">
          <w:rPr>
            <w:noProof/>
            <w:webHidden/>
          </w:rPr>
          <w:instrText xml:space="preserve"> PAGEREF _Toc293937151 \h </w:instrText>
        </w:r>
        <w:r>
          <w:rPr>
            <w:noProof/>
            <w:webHidden/>
          </w:rPr>
        </w:r>
        <w:r>
          <w:rPr>
            <w:noProof/>
            <w:webHidden/>
          </w:rPr>
          <w:fldChar w:fldCharType="separate"/>
        </w:r>
        <w:r w:rsidR="001D74B5">
          <w:rPr>
            <w:noProof/>
            <w:webHidden/>
          </w:rPr>
          <w:t>IX-1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52" w:history="1">
        <w:r w:rsidR="001D74B5" w:rsidRPr="0039420F">
          <w:rPr>
            <w:rStyle w:val="Hyperlink"/>
            <w:noProof/>
          </w:rPr>
          <w:t>IX.1.</w:t>
        </w:r>
        <w:r w:rsidR="001D74B5">
          <w:rPr>
            <w:rFonts w:asciiTheme="minorHAnsi" w:eastAsiaTheme="minorEastAsia" w:hAnsiTheme="minorHAnsi"/>
            <w:noProof/>
          </w:rPr>
          <w:tab/>
        </w:r>
        <w:r w:rsidR="001D74B5" w:rsidRPr="0039420F">
          <w:rPr>
            <w:rStyle w:val="Hyperlink"/>
            <w:noProof/>
          </w:rPr>
          <w:t>Functional Definition of “Self-Retaining” for Green roofs</w:t>
        </w:r>
        <w:r w:rsidR="001D74B5">
          <w:rPr>
            <w:noProof/>
            <w:webHidden/>
          </w:rPr>
          <w:tab/>
        </w:r>
        <w:r>
          <w:rPr>
            <w:noProof/>
            <w:webHidden/>
          </w:rPr>
          <w:fldChar w:fldCharType="begin"/>
        </w:r>
        <w:r w:rsidR="001D74B5">
          <w:rPr>
            <w:noProof/>
            <w:webHidden/>
          </w:rPr>
          <w:instrText xml:space="preserve"> PAGEREF _Toc293937152 \h </w:instrText>
        </w:r>
        <w:r>
          <w:rPr>
            <w:noProof/>
            <w:webHidden/>
          </w:rPr>
        </w:r>
        <w:r>
          <w:rPr>
            <w:noProof/>
            <w:webHidden/>
          </w:rPr>
          <w:fldChar w:fldCharType="separate"/>
        </w:r>
        <w:r w:rsidR="001D74B5">
          <w:rPr>
            <w:noProof/>
            <w:webHidden/>
          </w:rPr>
          <w:t>IX-1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53" w:history="1">
        <w:r w:rsidR="001D74B5" w:rsidRPr="0039420F">
          <w:rPr>
            <w:rStyle w:val="Hyperlink"/>
            <w:noProof/>
          </w:rPr>
          <w:t>IX.2.</w:t>
        </w:r>
        <w:r w:rsidR="001D74B5">
          <w:rPr>
            <w:rFonts w:asciiTheme="minorHAnsi" w:eastAsiaTheme="minorEastAsia" w:hAnsiTheme="minorHAnsi"/>
            <w:noProof/>
          </w:rPr>
          <w:tab/>
        </w:r>
        <w:r w:rsidR="001D74B5" w:rsidRPr="0039420F">
          <w:rPr>
            <w:rStyle w:val="Hyperlink"/>
            <w:noProof/>
          </w:rPr>
          <w:t>Analysis Inputs</w:t>
        </w:r>
        <w:r w:rsidR="001D74B5">
          <w:rPr>
            <w:noProof/>
            <w:webHidden/>
          </w:rPr>
          <w:tab/>
        </w:r>
        <w:r>
          <w:rPr>
            <w:noProof/>
            <w:webHidden/>
          </w:rPr>
          <w:fldChar w:fldCharType="begin"/>
        </w:r>
        <w:r w:rsidR="001D74B5">
          <w:rPr>
            <w:noProof/>
            <w:webHidden/>
          </w:rPr>
          <w:instrText xml:space="preserve"> PAGEREF _Toc293937153 \h </w:instrText>
        </w:r>
        <w:r>
          <w:rPr>
            <w:noProof/>
            <w:webHidden/>
          </w:rPr>
        </w:r>
        <w:r>
          <w:rPr>
            <w:noProof/>
            <w:webHidden/>
          </w:rPr>
          <w:fldChar w:fldCharType="separate"/>
        </w:r>
        <w:r w:rsidR="001D74B5">
          <w:rPr>
            <w:noProof/>
            <w:webHidden/>
          </w:rPr>
          <w:t>IX-2</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54" w:history="1">
        <w:r w:rsidR="001D74B5" w:rsidRPr="0039420F">
          <w:rPr>
            <w:rStyle w:val="Hyperlink"/>
            <w:noProof/>
          </w:rPr>
          <w:t>IX.3.</w:t>
        </w:r>
        <w:r w:rsidR="001D74B5">
          <w:rPr>
            <w:rFonts w:asciiTheme="minorHAnsi" w:eastAsiaTheme="minorEastAsia" w:hAnsiTheme="minorHAnsi"/>
            <w:noProof/>
          </w:rPr>
          <w:tab/>
        </w:r>
        <w:r w:rsidR="001D74B5" w:rsidRPr="0039420F">
          <w:rPr>
            <w:rStyle w:val="Hyperlink"/>
            <w:noProof/>
          </w:rPr>
          <w:t>Analysis Methods</w:t>
        </w:r>
        <w:r w:rsidR="001D74B5">
          <w:rPr>
            <w:noProof/>
            <w:webHidden/>
          </w:rPr>
          <w:tab/>
        </w:r>
        <w:r>
          <w:rPr>
            <w:noProof/>
            <w:webHidden/>
          </w:rPr>
          <w:fldChar w:fldCharType="begin"/>
        </w:r>
        <w:r w:rsidR="001D74B5">
          <w:rPr>
            <w:noProof/>
            <w:webHidden/>
          </w:rPr>
          <w:instrText xml:space="preserve"> PAGEREF _Toc293937154 \h </w:instrText>
        </w:r>
        <w:r>
          <w:rPr>
            <w:noProof/>
            <w:webHidden/>
          </w:rPr>
        </w:r>
        <w:r>
          <w:rPr>
            <w:noProof/>
            <w:webHidden/>
          </w:rPr>
          <w:fldChar w:fldCharType="separate"/>
        </w:r>
        <w:r w:rsidR="001D74B5">
          <w:rPr>
            <w:noProof/>
            <w:webHidden/>
          </w:rPr>
          <w:t>IX-3</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55" w:history="1">
        <w:r w:rsidR="001D74B5" w:rsidRPr="0039420F">
          <w:rPr>
            <w:rStyle w:val="Hyperlink"/>
            <w:noProof/>
          </w:rPr>
          <w:t>IX.4.</w:t>
        </w:r>
        <w:r w:rsidR="001D74B5">
          <w:rPr>
            <w:rFonts w:asciiTheme="minorHAnsi" w:eastAsiaTheme="minorEastAsia" w:hAnsiTheme="minorHAnsi"/>
            <w:noProof/>
          </w:rPr>
          <w:tab/>
        </w:r>
        <w:r w:rsidR="001D74B5" w:rsidRPr="0039420F">
          <w:rPr>
            <w:rStyle w:val="Hyperlink"/>
            <w:noProof/>
          </w:rPr>
          <w:t>Results</w:t>
        </w:r>
        <w:r w:rsidR="001D74B5">
          <w:rPr>
            <w:noProof/>
            <w:webHidden/>
          </w:rPr>
          <w:tab/>
        </w:r>
        <w:r>
          <w:rPr>
            <w:noProof/>
            <w:webHidden/>
          </w:rPr>
          <w:fldChar w:fldCharType="begin"/>
        </w:r>
        <w:r w:rsidR="001D74B5">
          <w:rPr>
            <w:noProof/>
            <w:webHidden/>
          </w:rPr>
          <w:instrText xml:space="preserve"> PAGEREF _Toc293937155 \h </w:instrText>
        </w:r>
        <w:r>
          <w:rPr>
            <w:noProof/>
            <w:webHidden/>
          </w:rPr>
        </w:r>
        <w:r>
          <w:rPr>
            <w:noProof/>
            <w:webHidden/>
          </w:rPr>
          <w:fldChar w:fldCharType="separate"/>
        </w:r>
        <w:r w:rsidR="001D74B5">
          <w:rPr>
            <w:noProof/>
            <w:webHidden/>
          </w:rPr>
          <w:t>IX-3</w:t>
        </w:r>
        <w:r>
          <w:rPr>
            <w:noProof/>
            <w:webHidden/>
          </w:rPr>
          <w:fldChar w:fldCharType="end"/>
        </w:r>
      </w:hyperlink>
    </w:p>
    <w:p w:rsidR="001D74B5" w:rsidRDefault="00126F3D">
      <w:pPr>
        <w:pStyle w:val="TOC1"/>
        <w:tabs>
          <w:tab w:val="left" w:pos="1760"/>
        </w:tabs>
        <w:rPr>
          <w:rFonts w:asciiTheme="minorHAnsi" w:eastAsiaTheme="minorEastAsia" w:hAnsiTheme="minorHAnsi"/>
          <w:caps w:val="0"/>
          <w:noProof/>
        </w:rPr>
      </w:pPr>
      <w:hyperlink w:anchor="_Toc293937156" w:history="1">
        <w:r w:rsidR="001D74B5" w:rsidRPr="0039420F">
          <w:rPr>
            <w:rStyle w:val="Hyperlink"/>
            <w:noProof/>
          </w:rPr>
          <w:t>Appendix X.</w:t>
        </w:r>
        <w:r w:rsidR="001D74B5">
          <w:rPr>
            <w:rFonts w:asciiTheme="minorHAnsi" w:eastAsiaTheme="minorEastAsia" w:hAnsiTheme="minorHAnsi"/>
            <w:caps w:val="0"/>
            <w:noProof/>
          </w:rPr>
          <w:tab/>
        </w:r>
        <w:r w:rsidR="001D74B5" w:rsidRPr="0039420F">
          <w:rPr>
            <w:rStyle w:val="Hyperlink"/>
            <w:noProof/>
          </w:rPr>
          <w:t>HARVEST AND USE DEMAND CALCULATIONS AND FEASIBILITY SCREENING</w:t>
        </w:r>
        <w:r w:rsidR="001D74B5">
          <w:rPr>
            <w:noProof/>
            <w:webHidden/>
          </w:rPr>
          <w:tab/>
        </w:r>
        <w:r>
          <w:rPr>
            <w:noProof/>
            <w:webHidden/>
          </w:rPr>
          <w:fldChar w:fldCharType="begin"/>
        </w:r>
        <w:r w:rsidR="001D74B5">
          <w:rPr>
            <w:noProof/>
            <w:webHidden/>
          </w:rPr>
          <w:instrText xml:space="preserve"> PAGEREF _Toc293937156 \h </w:instrText>
        </w:r>
        <w:r>
          <w:rPr>
            <w:noProof/>
            <w:webHidden/>
          </w:rPr>
        </w:r>
        <w:r>
          <w:rPr>
            <w:noProof/>
            <w:webHidden/>
          </w:rPr>
          <w:fldChar w:fldCharType="separate"/>
        </w:r>
        <w:r w:rsidR="001D74B5">
          <w:rPr>
            <w:noProof/>
            <w:webHidden/>
          </w:rPr>
          <w:t>X-1</w:t>
        </w:r>
        <w:r>
          <w:rPr>
            <w:noProof/>
            <w:webHidden/>
          </w:rPr>
          <w:fldChar w:fldCharType="end"/>
        </w:r>
      </w:hyperlink>
    </w:p>
    <w:p w:rsidR="001D74B5" w:rsidRDefault="00126F3D">
      <w:pPr>
        <w:pStyle w:val="TOC2"/>
        <w:tabs>
          <w:tab w:val="left" w:pos="880"/>
          <w:tab w:val="right" w:leader="dot" w:pos="9350"/>
        </w:tabs>
        <w:rPr>
          <w:rFonts w:asciiTheme="minorHAnsi" w:eastAsiaTheme="minorEastAsia" w:hAnsiTheme="minorHAnsi"/>
          <w:noProof/>
        </w:rPr>
      </w:pPr>
      <w:hyperlink w:anchor="_Toc293937157" w:history="1">
        <w:r w:rsidR="001D74B5" w:rsidRPr="0039420F">
          <w:rPr>
            <w:rStyle w:val="Hyperlink"/>
            <w:noProof/>
          </w:rPr>
          <w:t>X.1.</w:t>
        </w:r>
        <w:r w:rsidR="001D74B5">
          <w:rPr>
            <w:rFonts w:asciiTheme="minorHAnsi" w:eastAsiaTheme="minorEastAsia" w:hAnsiTheme="minorHAnsi"/>
            <w:noProof/>
          </w:rPr>
          <w:tab/>
        </w:r>
        <w:r w:rsidR="001D74B5" w:rsidRPr="0039420F">
          <w:rPr>
            <w:rStyle w:val="Hyperlink"/>
            <w:noProof/>
          </w:rPr>
          <w:t>Introduction</w:t>
        </w:r>
        <w:r w:rsidR="001D74B5">
          <w:rPr>
            <w:noProof/>
            <w:webHidden/>
          </w:rPr>
          <w:tab/>
        </w:r>
        <w:r>
          <w:rPr>
            <w:noProof/>
            <w:webHidden/>
          </w:rPr>
          <w:fldChar w:fldCharType="begin"/>
        </w:r>
        <w:r w:rsidR="001D74B5">
          <w:rPr>
            <w:noProof/>
            <w:webHidden/>
          </w:rPr>
          <w:instrText xml:space="preserve"> PAGEREF _Toc293937157 \h </w:instrText>
        </w:r>
        <w:r>
          <w:rPr>
            <w:noProof/>
            <w:webHidden/>
          </w:rPr>
        </w:r>
        <w:r>
          <w:rPr>
            <w:noProof/>
            <w:webHidden/>
          </w:rPr>
          <w:fldChar w:fldCharType="separate"/>
        </w:r>
        <w:r w:rsidR="001D74B5">
          <w:rPr>
            <w:noProof/>
            <w:webHidden/>
          </w:rPr>
          <w:t>X-1</w:t>
        </w:r>
        <w:r>
          <w:rPr>
            <w:noProof/>
            <w:webHidden/>
          </w:rPr>
          <w:fldChar w:fldCharType="end"/>
        </w:r>
      </w:hyperlink>
    </w:p>
    <w:p w:rsidR="001D74B5" w:rsidRDefault="00126F3D">
      <w:pPr>
        <w:pStyle w:val="TOC2"/>
        <w:tabs>
          <w:tab w:val="left" w:pos="880"/>
          <w:tab w:val="right" w:leader="dot" w:pos="9350"/>
        </w:tabs>
        <w:rPr>
          <w:rFonts w:asciiTheme="minorHAnsi" w:eastAsiaTheme="minorEastAsia" w:hAnsiTheme="minorHAnsi"/>
          <w:noProof/>
        </w:rPr>
      </w:pPr>
      <w:hyperlink w:anchor="_Toc293937158" w:history="1">
        <w:r w:rsidR="001D74B5" w:rsidRPr="0039420F">
          <w:rPr>
            <w:rStyle w:val="Hyperlink"/>
            <w:noProof/>
          </w:rPr>
          <w:t>X.2.</w:t>
        </w:r>
        <w:r w:rsidR="001D74B5">
          <w:rPr>
            <w:rFonts w:asciiTheme="minorHAnsi" w:eastAsiaTheme="minorEastAsia" w:hAnsiTheme="minorHAnsi"/>
            <w:noProof/>
          </w:rPr>
          <w:tab/>
        </w:r>
        <w:r w:rsidR="001D74B5" w:rsidRPr="0039420F">
          <w:rPr>
            <w:rStyle w:val="Hyperlink"/>
            <w:noProof/>
          </w:rPr>
          <w:t>Harvested Water Demand Calculation</w:t>
        </w:r>
        <w:r w:rsidR="001D74B5">
          <w:rPr>
            <w:noProof/>
            <w:webHidden/>
          </w:rPr>
          <w:tab/>
        </w:r>
        <w:r>
          <w:rPr>
            <w:noProof/>
            <w:webHidden/>
          </w:rPr>
          <w:fldChar w:fldCharType="begin"/>
        </w:r>
        <w:r w:rsidR="001D74B5">
          <w:rPr>
            <w:noProof/>
            <w:webHidden/>
          </w:rPr>
          <w:instrText xml:space="preserve"> PAGEREF _Toc293937158 \h </w:instrText>
        </w:r>
        <w:r>
          <w:rPr>
            <w:noProof/>
            <w:webHidden/>
          </w:rPr>
        </w:r>
        <w:r>
          <w:rPr>
            <w:noProof/>
            <w:webHidden/>
          </w:rPr>
          <w:fldChar w:fldCharType="separate"/>
        </w:r>
        <w:r w:rsidR="001D74B5">
          <w:rPr>
            <w:noProof/>
            <w:webHidden/>
          </w:rPr>
          <w:t>X-1</w:t>
        </w:r>
        <w:r>
          <w:rPr>
            <w:noProof/>
            <w:webHidden/>
          </w:rPr>
          <w:fldChar w:fldCharType="end"/>
        </w:r>
      </w:hyperlink>
    </w:p>
    <w:p w:rsidR="001D74B5" w:rsidRDefault="00126F3D">
      <w:pPr>
        <w:pStyle w:val="TOC2"/>
        <w:tabs>
          <w:tab w:val="left" w:pos="880"/>
          <w:tab w:val="right" w:leader="dot" w:pos="9350"/>
        </w:tabs>
        <w:rPr>
          <w:rFonts w:asciiTheme="minorHAnsi" w:eastAsiaTheme="minorEastAsia" w:hAnsiTheme="minorHAnsi"/>
          <w:noProof/>
        </w:rPr>
      </w:pPr>
      <w:hyperlink w:anchor="_Toc293937159" w:history="1">
        <w:r w:rsidR="001D74B5" w:rsidRPr="0039420F">
          <w:rPr>
            <w:rStyle w:val="Hyperlink"/>
            <w:noProof/>
          </w:rPr>
          <w:t>X.3.</w:t>
        </w:r>
        <w:r w:rsidR="001D74B5">
          <w:rPr>
            <w:rFonts w:asciiTheme="minorHAnsi" w:eastAsiaTheme="minorEastAsia" w:hAnsiTheme="minorHAnsi"/>
            <w:noProof/>
          </w:rPr>
          <w:tab/>
        </w:r>
        <w:r w:rsidR="001D74B5" w:rsidRPr="0039420F">
          <w:rPr>
            <w:rStyle w:val="Hyperlink"/>
            <w:noProof/>
          </w:rPr>
          <w:t>Planning Level Harvest and Use Feasibility Thresholds</w:t>
        </w:r>
        <w:r w:rsidR="001D74B5">
          <w:rPr>
            <w:noProof/>
            <w:webHidden/>
          </w:rPr>
          <w:tab/>
        </w:r>
        <w:r>
          <w:rPr>
            <w:noProof/>
            <w:webHidden/>
          </w:rPr>
          <w:fldChar w:fldCharType="begin"/>
        </w:r>
        <w:r w:rsidR="001D74B5">
          <w:rPr>
            <w:noProof/>
            <w:webHidden/>
          </w:rPr>
          <w:instrText xml:space="preserve"> PAGEREF _Toc293937159 \h </w:instrText>
        </w:r>
        <w:r>
          <w:rPr>
            <w:noProof/>
            <w:webHidden/>
          </w:rPr>
        </w:r>
        <w:r>
          <w:rPr>
            <w:noProof/>
            <w:webHidden/>
          </w:rPr>
          <w:fldChar w:fldCharType="separate"/>
        </w:r>
        <w:r w:rsidR="001D74B5">
          <w:rPr>
            <w:noProof/>
            <w:webHidden/>
          </w:rPr>
          <w:t>X-10</w:t>
        </w:r>
        <w:r>
          <w:rPr>
            <w:noProof/>
            <w:webHidden/>
          </w:rPr>
          <w:fldChar w:fldCharType="end"/>
        </w:r>
      </w:hyperlink>
    </w:p>
    <w:p w:rsidR="001D74B5" w:rsidRDefault="00126F3D">
      <w:pPr>
        <w:pStyle w:val="TOC1"/>
        <w:tabs>
          <w:tab w:val="left" w:pos="1760"/>
        </w:tabs>
        <w:rPr>
          <w:rFonts w:asciiTheme="minorHAnsi" w:eastAsiaTheme="minorEastAsia" w:hAnsiTheme="minorHAnsi"/>
          <w:caps w:val="0"/>
          <w:noProof/>
        </w:rPr>
      </w:pPr>
      <w:hyperlink w:anchor="_Toc293937160" w:history="1">
        <w:r w:rsidR="001D74B5" w:rsidRPr="0039420F">
          <w:rPr>
            <w:rStyle w:val="Hyperlink"/>
            <w:noProof/>
          </w:rPr>
          <w:t>Appendix XI.</w:t>
        </w:r>
        <w:r w:rsidR="001D74B5">
          <w:rPr>
            <w:rFonts w:asciiTheme="minorHAnsi" w:eastAsiaTheme="minorEastAsia" w:hAnsiTheme="minorHAnsi"/>
            <w:caps w:val="0"/>
            <w:noProof/>
          </w:rPr>
          <w:tab/>
        </w:r>
        <w:r w:rsidR="001D74B5" w:rsidRPr="0039420F">
          <w:rPr>
            <w:rStyle w:val="Hyperlink"/>
            <w:noProof/>
          </w:rPr>
          <w:t>CRITERIA FOR DESIGNING BMPS TO ACHIEVE MAXIMUM FEASIBLE RETENTION AND BIOTREATMENT</w:t>
        </w:r>
        <w:r w:rsidR="001D74B5">
          <w:rPr>
            <w:noProof/>
            <w:webHidden/>
          </w:rPr>
          <w:tab/>
        </w:r>
        <w:r>
          <w:rPr>
            <w:noProof/>
            <w:webHidden/>
          </w:rPr>
          <w:fldChar w:fldCharType="begin"/>
        </w:r>
        <w:r w:rsidR="001D74B5">
          <w:rPr>
            <w:noProof/>
            <w:webHidden/>
          </w:rPr>
          <w:instrText xml:space="preserve"> PAGEREF _Toc293937160 \h </w:instrText>
        </w:r>
        <w:r>
          <w:rPr>
            <w:noProof/>
            <w:webHidden/>
          </w:rPr>
        </w:r>
        <w:r>
          <w:rPr>
            <w:noProof/>
            <w:webHidden/>
          </w:rPr>
          <w:fldChar w:fldCharType="separate"/>
        </w:r>
        <w:r w:rsidR="001D74B5">
          <w:rPr>
            <w:noProof/>
            <w:webHidden/>
          </w:rPr>
          <w:t>XI-1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61" w:history="1">
        <w:r w:rsidR="001D74B5" w:rsidRPr="0039420F">
          <w:rPr>
            <w:rStyle w:val="Hyperlink"/>
            <w:noProof/>
          </w:rPr>
          <w:t>XI.1.</w:t>
        </w:r>
        <w:r w:rsidR="001D74B5">
          <w:rPr>
            <w:rFonts w:asciiTheme="minorHAnsi" w:eastAsiaTheme="minorEastAsia" w:hAnsiTheme="minorHAnsi"/>
            <w:noProof/>
          </w:rPr>
          <w:tab/>
        </w:r>
        <w:r w:rsidR="001D74B5" w:rsidRPr="0039420F">
          <w:rPr>
            <w:rStyle w:val="Hyperlink"/>
            <w:noProof/>
          </w:rPr>
          <w:t>Purpose and Intended Use</w:t>
        </w:r>
        <w:r w:rsidR="001D74B5">
          <w:rPr>
            <w:noProof/>
            <w:webHidden/>
          </w:rPr>
          <w:tab/>
        </w:r>
        <w:r>
          <w:rPr>
            <w:noProof/>
            <w:webHidden/>
          </w:rPr>
          <w:fldChar w:fldCharType="begin"/>
        </w:r>
        <w:r w:rsidR="001D74B5">
          <w:rPr>
            <w:noProof/>
            <w:webHidden/>
          </w:rPr>
          <w:instrText xml:space="preserve"> PAGEREF _Toc293937161 \h </w:instrText>
        </w:r>
        <w:r>
          <w:rPr>
            <w:noProof/>
            <w:webHidden/>
          </w:rPr>
        </w:r>
        <w:r>
          <w:rPr>
            <w:noProof/>
            <w:webHidden/>
          </w:rPr>
          <w:fldChar w:fldCharType="separate"/>
        </w:r>
        <w:r w:rsidR="001D74B5">
          <w:rPr>
            <w:noProof/>
            <w:webHidden/>
          </w:rPr>
          <w:t>XI-1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62" w:history="1">
        <w:r w:rsidR="001D74B5" w:rsidRPr="0039420F">
          <w:rPr>
            <w:rStyle w:val="Hyperlink"/>
            <w:noProof/>
          </w:rPr>
          <w:t>XI.2.</w:t>
        </w:r>
        <w:r w:rsidR="001D74B5">
          <w:rPr>
            <w:rFonts w:asciiTheme="minorHAnsi" w:eastAsiaTheme="minorEastAsia" w:hAnsiTheme="minorHAnsi"/>
            <w:noProof/>
          </w:rPr>
          <w:tab/>
        </w:r>
        <w:r w:rsidR="001D74B5" w:rsidRPr="0039420F">
          <w:rPr>
            <w:rStyle w:val="Hyperlink"/>
            <w:noProof/>
          </w:rPr>
          <w:t>Criteria for Designing Biotreatment BMPs to Achieve Maximum Feasible Infiltration and ET</w:t>
        </w:r>
        <w:r w:rsidR="001D74B5">
          <w:rPr>
            <w:noProof/>
            <w:webHidden/>
          </w:rPr>
          <w:tab/>
        </w:r>
        <w:r>
          <w:rPr>
            <w:noProof/>
            <w:webHidden/>
          </w:rPr>
          <w:fldChar w:fldCharType="begin"/>
        </w:r>
        <w:r w:rsidR="001D74B5">
          <w:rPr>
            <w:noProof/>
            <w:webHidden/>
          </w:rPr>
          <w:instrText xml:space="preserve"> PAGEREF _Toc293937162 \h </w:instrText>
        </w:r>
        <w:r>
          <w:rPr>
            <w:noProof/>
            <w:webHidden/>
          </w:rPr>
        </w:r>
        <w:r>
          <w:rPr>
            <w:noProof/>
            <w:webHidden/>
          </w:rPr>
          <w:fldChar w:fldCharType="separate"/>
        </w:r>
        <w:r w:rsidR="001D74B5">
          <w:rPr>
            <w:noProof/>
            <w:webHidden/>
          </w:rPr>
          <w:t>XI-1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63" w:history="1">
        <w:r w:rsidR="001D74B5" w:rsidRPr="0039420F">
          <w:rPr>
            <w:rStyle w:val="Hyperlink"/>
            <w:noProof/>
          </w:rPr>
          <w:t>XI.3.</w:t>
        </w:r>
        <w:r w:rsidR="001D74B5">
          <w:rPr>
            <w:rFonts w:asciiTheme="minorHAnsi" w:eastAsiaTheme="minorEastAsia" w:hAnsiTheme="minorHAnsi"/>
            <w:noProof/>
          </w:rPr>
          <w:tab/>
        </w:r>
        <w:r w:rsidR="001D74B5" w:rsidRPr="0039420F">
          <w:rPr>
            <w:rStyle w:val="Hyperlink"/>
            <w:noProof/>
          </w:rPr>
          <w:t>Criteria for Designing BMPs to Achieve Maximum Feasible Retention of the Stormwater Design Volume</w:t>
        </w:r>
        <w:r w:rsidR="001D74B5">
          <w:rPr>
            <w:noProof/>
            <w:webHidden/>
          </w:rPr>
          <w:tab/>
        </w:r>
        <w:r>
          <w:rPr>
            <w:noProof/>
            <w:webHidden/>
          </w:rPr>
          <w:fldChar w:fldCharType="begin"/>
        </w:r>
        <w:r w:rsidR="001D74B5">
          <w:rPr>
            <w:noProof/>
            <w:webHidden/>
          </w:rPr>
          <w:instrText xml:space="preserve"> PAGEREF _Toc293937163 \h </w:instrText>
        </w:r>
        <w:r>
          <w:rPr>
            <w:noProof/>
            <w:webHidden/>
          </w:rPr>
        </w:r>
        <w:r>
          <w:rPr>
            <w:noProof/>
            <w:webHidden/>
          </w:rPr>
          <w:fldChar w:fldCharType="separate"/>
        </w:r>
        <w:r w:rsidR="001D74B5">
          <w:rPr>
            <w:noProof/>
            <w:webHidden/>
          </w:rPr>
          <w:t>XI-3</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64" w:history="1">
        <w:r w:rsidR="001D74B5" w:rsidRPr="0039420F">
          <w:rPr>
            <w:rStyle w:val="Hyperlink"/>
            <w:noProof/>
          </w:rPr>
          <w:t>XI.4.</w:t>
        </w:r>
        <w:r w:rsidR="001D74B5">
          <w:rPr>
            <w:rFonts w:asciiTheme="minorHAnsi" w:eastAsiaTheme="minorEastAsia" w:hAnsiTheme="minorHAnsi"/>
            <w:noProof/>
          </w:rPr>
          <w:tab/>
        </w:r>
        <w:r w:rsidR="001D74B5" w:rsidRPr="0039420F">
          <w:rPr>
            <w:rStyle w:val="Hyperlink"/>
            <w:noProof/>
          </w:rPr>
          <w:t>Criteria for Designing BMPs to Result in Maximum Feasible Retention plus Biotreatment of the Stormwater Design Volume</w:t>
        </w:r>
        <w:r w:rsidR="001D74B5">
          <w:rPr>
            <w:noProof/>
            <w:webHidden/>
          </w:rPr>
          <w:tab/>
        </w:r>
        <w:r>
          <w:rPr>
            <w:noProof/>
            <w:webHidden/>
          </w:rPr>
          <w:fldChar w:fldCharType="begin"/>
        </w:r>
        <w:r w:rsidR="001D74B5">
          <w:rPr>
            <w:noProof/>
            <w:webHidden/>
          </w:rPr>
          <w:instrText xml:space="preserve"> PAGEREF _Toc293937164 \h </w:instrText>
        </w:r>
        <w:r>
          <w:rPr>
            <w:noProof/>
            <w:webHidden/>
          </w:rPr>
        </w:r>
        <w:r>
          <w:rPr>
            <w:noProof/>
            <w:webHidden/>
          </w:rPr>
          <w:fldChar w:fldCharType="separate"/>
        </w:r>
        <w:r w:rsidR="001D74B5">
          <w:rPr>
            <w:noProof/>
            <w:webHidden/>
          </w:rPr>
          <w:t>XI-4</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65" w:history="1">
        <w:r w:rsidR="001D74B5" w:rsidRPr="0039420F">
          <w:rPr>
            <w:rStyle w:val="Hyperlink"/>
            <w:noProof/>
          </w:rPr>
          <w:t>XI.5.</w:t>
        </w:r>
        <w:r w:rsidR="001D74B5">
          <w:rPr>
            <w:rFonts w:asciiTheme="minorHAnsi" w:eastAsiaTheme="minorEastAsia" w:hAnsiTheme="minorHAnsi"/>
            <w:noProof/>
          </w:rPr>
          <w:tab/>
        </w:r>
        <w:r w:rsidR="001D74B5" w:rsidRPr="0039420F">
          <w:rPr>
            <w:rStyle w:val="Hyperlink"/>
            <w:noProof/>
          </w:rPr>
          <w:t>Supporting Criteria for Designing BMPs to Achieve Maximum Feasible Retention and Biotreatment</w:t>
        </w:r>
        <w:r w:rsidR="001D74B5">
          <w:rPr>
            <w:noProof/>
            <w:webHidden/>
          </w:rPr>
          <w:tab/>
        </w:r>
        <w:r>
          <w:rPr>
            <w:noProof/>
            <w:webHidden/>
          </w:rPr>
          <w:fldChar w:fldCharType="begin"/>
        </w:r>
        <w:r w:rsidR="001D74B5">
          <w:rPr>
            <w:noProof/>
            <w:webHidden/>
          </w:rPr>
          <w:instrText xml:space="preserve"> PAGEREF _Toc293937165 \h </w:instrText>
        </w:r>
        <w:r>
          <w:rPr>
            <w:noProof/>
            <w:webHidden/>
          </w:rPr>
        </w:r>
        <w:r>
          <w:rPr>
            <w:noProof/>
            <w:webHidden/>
          </w:rPr>
          <w:fldChar w:fldCharType="separate"/>
        </w:r>
        <w:r w:rsidR="001D74B5">
          <w:rPr>
            <w:noProof/>
            <w:webHidden/>
          </w:rPr>
          <w:t>XI-5</w:t>
        </w:r>
        <w:r>
          <w:rPr>
            <w:noProof/>
            <w:webHidden/>
          </w:rPr>
          <w:fldChar w:fldCharType="end"/>
        </w:r>
      </w:hyperlink>
    </w:p>
    <w:p w:rsidR="001D74B5" w:rsidRDefault="00126F3D">
      <w:pPr>
        <w:pStyle w:val="TOC1"/>
        <w:tabs>
          <w:tab w:val="left" w:pos="1770"/>
        </w:tabs>
        <w:rPr>
          <w:rFonts w:asciiTheme="minorHAnsi" w:eastAsiaTheme="minorEastAsia" w:hAnsiTheme="minorHAnsi"/>
          <w:caps w:val="0"/>
          <w:noProof/>
        </w:rPr>
      </w:pPr>
      <w:hyperlink w:anchor="_Toc293937166" w:history="1">
        <w:r w:rsidR="001D74B5" w:rsidRPr="0039420F">
          <w:rPr>
            <w:rStyle w:val="Hyperlink"/>
            <w:noProof/>
          </w:rPr>
          <w:t>Appendix XII.</w:t>
        </w:r>
        <w:r w:rsidR="001D74B5">
          <w:rPr>
            <w:rFonts w:asciiTheme="minorHAnsi" w:eastAsiaTheme="minorEastAsia" w:hAnsiTheme="minorHAnsi"/>
            <w:caps w:val="0"/>
            <w:noProof/>
          </w:rPr>
          <w:tab/>
        </w:r>
        <w:r w:rsidR="001D74B5" w:rsidRPr="0039420F">
          <w:rPr>
            <w:rStyle w:val="Hyperlink"/>
            <w:noProof/>
          </w:rPr>
          <w:t>CONCEPTUAL BIOTREATMENT SELECTION, DESIGN, AND MAINTENANCE CRITERIA</w:t>
        </w:r>
        <w:r w:rsidR="001D74B5">
          <w:rPr>
            <w:noProof/>
            <w:webHidden/>
          </w:rPr>
          <w:tab/>
        </w:r>
        <w:r>
          <w:rPr>
            <w:noProof/>
            <w:webHidden/>
          </w:rPr>
          <w:fldChar w:fldCharType="begin"/>
        </w:r>
        <w:r w:rsidR="001D74B5">
          <w:rPr>
            <w:noProof/>
            <w:webHidden/>
          </w:rPr>
          <w:instrText xml:space="preserve"> PAGEREF _Toc293937166 \h </w:instrText>
        </w:r>
        <w:r>
          <w:rPr>
            <w:noProof/>
            <w:webHidden/>
          </w:rPr>
        </w:r>
        <w:r>
          <w:rPr>
            <w:noProof/>
            <w:webHidden/>
          </w:rPr>
          <w:fldChar w:fldCharType="separate"/>
        </w:r>
        <w:r w:rsidR="001D74B5">
          <w:rPr>
            <w:noProof/>
            <w:webHidden/>
          </w:rPr>
          <w:t>XII-1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67" w:history="1">
        <w:r w:rsidR="001D74B5" w:rsidRPr="0039420F">
          <w:rPr>
            <w:rStyle w:val="Hyperlink"/>
            <w:noProof/>
          </w:rPr>
          <w:t>XII.1.</w:t>
        </w:r>
        <w:r w:rsidR="001D74B5">
          <w:rPr>
            <w:rFonts w:asciiTheme="minorHAnsi" w:eastAsiaTheme="minorEastAsia" w:hAnsiTheme="minorHAnsi"/>
            <w:noProof/>
          </w:rPr>
          <w:tab/>
        </w:r>
        <w:r w:rsidR="001D74B5" w:rsidRPr="0039420F">
          <w:rPr>
            <w:rStyle w:val="Hyperlink"/>
            <w:noProof/>
          </w:rPr>
          <w:t>Definition of Biotreatment BMPs</w:t>
        </w:r>
        <w:r w:rsidR="001D74B5">
          <w:rPr>
            <w:noProof/>
            <w:webHidden/>
          </w:rPr>
          <w:tab/>
        </w:r>
        <w:r>
          <w:rPr>
            <w:noProof/>
            <w:webHidden/>
          </w:rPr>
          <w:fldChar w:fldCharType="begin"/>
        </w:r>
        <w:r w:rsidR="001D74B5">
          <w:rPr>
            <w:noProof/>
            <w:webHidden/>
          </w:rPr>
          <w:instrText xml:space="preserve"> PAGEREF _Toc293937167 \h </w:instrText>
        </w:r>
        <w:r>
          <w:rPr>
            <w:noProof/>
            <w:webHidden/>
          </w:rPr>
        </w:r>
        <w:r>
          <w:rPr>
            <w:noProof/>
            <w:webHidden/>
          </w:rPr>
          <w:fldChar w:fldCharType="separate"/>
        </w:r>
        <w:r w:rsidR="001D74B5">
          <w:rPr>
            <w:noProof/>
            <w:webHidden/>
          </w:rPr>
          <w:t>XII-1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68" w:history="1">
        <w:r w:rsidR="001D74B5" w:rsidRPr="0039420F">
          <w:rPr>
            <w:rStyle w:val="Hyperlink"/>
            <w:noProof/>
          </w:rPr>
          <w:t>XII.2.</w:t>
        </w:r>
        <w:r w:rsidR="001D74B5">
          <w:rPr>
            <w:rFonts w:asciiTheme="minorHAnsi" w:eastAsiaTheme="minorEastAsia" w:hAnsiTheme="minorHAnsi"/>
            <w:noProof/>
          </w:rPr>
          <w:tab/>
        </w:r>
        <w:r w:rsidR="001D74B5" w:rsidRPr="0039420F">
          <w:rPr>
            <w:rStyle w:val="Hyperlink"/>
            <w:noProof/>
          </w:rPr>
          <w:t>Biotreatment Selection to Address Pollutants of Concern</w:t>
        </w:r>
        <w:r w:rsidR="001D74B5">
          <w:rPr>
            <w:noProof/>
            <w:webHidden/>
          </w:rPr>
          <w:tab/>
        </w:r>
        <w:r>
          <w:rPr>
            <w:noProof/>
            <w:webHidden/>
          </w:rPr>
          <w:fldChar w:fldCharType="begin"/>
        </w:r>
        <w:r w:rsidR="001D74B5">
          <w:rPr>
            <w:noProof/>
            <w:webHidden/>
          </w:rPr>
          <w:instrText xml:space="preserve"> PAGEREF _Toc293937168 \h </w:instrText>
        </w:r>
        <w:r>
          <w:rPr>
            <w:noProof/>
            <w:webHidden/>
          </w:rPr>
        </w:r>
        <w:r>
          <w:rPr>
            <w:noProof/>
            <w:webHidden/>
          </w:rPr>
          <w:fldChar w:fldCharType="separate"/>
        </w:r>
        <w:r w:rsidR="001D74B5">
          <w:rPr>
            <w:noProof/>
            <w:webHidden/>
          </w:rPr>
          <w:t>XII-2</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69" w:history="1">
        <w:r w:rsidR="001D74B5" w:rsidRPr="0039420F">
          <w:rPr>
            <w:rStyle w:val="Hyperlink"/>
            <w:noProof/>
          </w:rPr>
          <w:t>XII.3.</w:t>
        </w:r>
        <w:r w:rsidR="001D74B5">
          <w:rPr>
            <w:rFonts w:asciiTheme="minorHAnsi" w:eastAsiaTheme="minorEastAsia" w:hAnsiTheme="minorHAnsi"/>
            <w:noProof/>
          </w:rPr>
          <w:tab/>
        </w:r>
        <w:r w:rsidR="001D74B5" w:rsidRPr="0039420F">
          <w:rPr>
            <w:rStyle w:val="Hyperlink"/>
            <w:noProof/>
          </w:rPr>
          <w:t>Conceptual Biotreatment Design Requirements</w:t>
        </w:r>
        <w:r w:rsidR="001D74B5">
          <w:rPr>
            <w:noProof/>
            <w:webHidden/>
          </w:rPr>
          <w:tab/>
        </w:r>
        <w:r>
          <w:rPr>
            <w:noProof/>
            <w:webHidden/>
          </w:rPr>
          <w:fldChar w:fldCharType="begin"/>
        </w:r>
        <w:r w:rsidR="001D74B5">
          <w:rPr>
            <w:noProof/>
            <w:webHidden/>
          </w:rPr>
          <w:instrText xml:space="preserve"> PAGEREF _Toc293937169 \h </w:instrText>
        </w:r>
        <w:r>
          <w:rPr>
            <w:noProof/>
            <w:webHidden/>
          </w:rPr>
        </w:r>
        <w:r>
          <w:rPr>
            <w:noProof/>
            <w:webHidden/>
          </w:rPr>
          <w:fldChar w:fldCharType="separate"/>
        </w:r>
        <w:r w:rsidR="001D74B5">
          <w:rPr>
            <w:noProof/>
            <w:webHidden/>
          </w:rPr>
          <w:t>XII-2</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70" w:history="1">
        <w:r w:rsidR="001D74B5" w:rsidRPr="0039420F">
          <w:rPr>
            <w:rStyle w:val="Hyperlink"/>
            <w:noProof/>
          </w:rPr>
          <w:t>XII.4.</w:t>
        </w:r>
        <w:r w:rsidR="001D74B5">
          <w:rPr>
            <w:rFonts w:asciiTheme="minorHAnsi" w:eastAsiaTheme="minorEastAsia" w:hAnsiTheme="minorHAnsi"/>
            <w:noProof/>
          </w:rPr>
          <w:tab/>
        </w:r>
        <w:r w:rsidR="001D74B5" w:rsidRPr="0039420F">
          <w:rPr>
            <w:rStyle w:val="Hyperlink"/>
            <w:noProof/>
          </w:rPr>
          <w:t>Conceptual Biotreatment Operation Requirements</w:t>
        </w:r>
        <w:r w:rsidR="001D74B5">
          <w:rPr>
            <w:noProof/>
            <w:webHidden/>
          </w:rPr>
          <w:tab/>
        </w:r>
        <w:r>
          <w:rPr>
            <w:noProof/>
            <w:webHidden/>
          </w:rPr>
          <w:fldChar w:fldCharType="begin"/>
        </w:r>
        <w:r w:rsidR="001D74B5">
          <w:rPr>
            <w:noProof/>
            <w:webHidden/>
          </w:rPr>
          <w:instrText xml:space="preserve"> PAGEREF _Toc293937170 \h </w:instrText>
        </w:r>
        <w:r>
          <w:rPr>
            <w:noProof/>
            <w:webHidden/>
          </w:rPr>
        </w:r>
        <w:r>
          <w:rPr>
            <w:noProof/>
            <w:webHidden/>
          </w:rPr>
          <w:fldChar w:fldCharType="separate"/>
        </w:r>
        <w:r w:rsidR="001D74B5">
          <w:rPr>
            <w:noProof/>
            <w:webHidden/>
          </w:rPr>
          <w:t>XII-5</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71" w:history="1">
        <w:r w:rsidR="001D74B5" w:rsidRPr="0039420F">
          <w:rPr>
            <w:rStyle w:val="Hyperlink"/>
            <w:noProof/>
          </w:rPr>
          <w:t>XII.5.</w:t>
        </w:r>
        <w:r w:rsidR="001D74B5">
          <w:rPr>
            <w:rFonts w:asciiTheme="minorHAnsi" w:eastAsiaTheme="minorEastAsia" w:hAnsiTheme="minorHAnsi"/>
            <w:noProof/>
          </w:rPr>
          <w:tab/>
        </w:r>
        <w:r w:rsidR="001D74B5" w:rsidRPr="0039420F">
          <w:rPr>
            <w:rStyle w:val="Hyperlink"/>
            <w:noProof/>
          </w:rPr>
          <w:t>Conceptual Biotreatment Maintenance Requirements</w:t>
        </w:r>
        <w:r w:rsidR="001D74B5">
          <w:rPr>
            <w:noProof/>
            <w:webHidden/>
          </w:rPr>
          <w:tab/>
        </w:r>
        <w:r>
          <w:rPr>
            <w:noProof/>
            <w:webHidden/>
          </w:rPr>
          <w:fldChar w:fldCharType="begin"/>
        </w:r>
        <w:r w:rsidR="001D74B5">
          <w:rPr>
            <w:noProof/>
            <w:webHidden/>
          </w:rPr>
          <w:instrText xml:space="preserve"> PAGEREF _Toc293937171 \h </w:instrText>
        </w:r>
        <w:r>
          <w:rPr>
            <w:noProof/>
            <w:webHidden/>
          </w:rPr>
        </w:r>
        <w:r>
          <w:rPr>
            <w:noProof/>
            <w:webHidden/>
          </w:rPr>
          <w:fldChar w:fldCharType="separate"/>
        </w:r>
        <w:r w:rsidR="001D74B5">
          <w:rPr>
            <w:noProof/>
            <w:webHidden/>
          </w:rPr>
          <w:t>XII-5</w:t>
        </w:r>
        <w:r>
          <w:rPr>
            <w:noProof/>
            <w:webHidden/>
          </w:rPr>
          <w:fldChar w:fldCharType="end"/>
        </w:r>
      </w:hyperlink>
    </w:p>
    <w:p w:rsidR="001D74B5" w:rsidRDefault="00126F3D">
      <w:pPr>
        <w:pStyle w:val="TOC1"/>
        <w:tabs>
          <w:tab w:val="left" w:pos="1844"/>
        </w:tabs>
        <w:rPr>
          <w:rFonts w:asciiTheme="minorHAnsi" w:eastAsiaTheme="minorEastAsia" w:hAnsiTheme="minorHAnsi"/>
          <w:caps w:val="0"/>
          <w:noProof/>
        </w:rPr>
      </w:pPr>
      <w:hyperlink w:anchor="_Toc293937172" w:history="1">
        <w:r w:rsidR="001D74B5" w:rsidRPr="0039420F">
          <w:rPr>
            <w:rStyle w:val="Hyperlink"/>
            <w:noProof/>
          </w:rPr>
          <w:t>Appendix XIII.</w:t>
        </w:r>
        <w:r w:rsidR="001D74B5">
          <w:rPr>
            <w:rFonts w:asciiTheme="minorHAnsi" w:eastAsiaTheme="minorEastAsia" w:hAnsiTheme="minorHAnsi"/>
            <w:caps w:val="0"/>
            <w:noProof/>
          </w:rPr>
          <w:tab/>
        </w:r>
        <w:r w:rsidR="001D74B5" w:rsidRPr="0039420F">
          <w:rPr>
            <w:rStyle w:val="Hyperlink"/>
            <w:noProof/>
          </w:rPr>
          <w:t>THRESHOLD INCREMENTAL BENEFIT CRITERION</w:t>
        </w:r>
        <w:r w:rsidR="001D74B5">
          <w:rPr>
            <w:noProof/>
            <w:webHidden/>
          </w:rPr>
          <w:tab/>
        </w:r>
        <w:r>
          <w:rPr>
            <w:noProof/>
            <w:webHidden/>
          </w:rPr>
          <w:fldChar w:fldCharType="begin"/>
        </w:r>
        <w:r w:rsidR="001D74B5">
          <w:rPr>
            <w:noProof/>
            <w:webHidden/>
          </w:rPr>
          <w:instrText xml:space="preserve"> PAGEREF _Toc293937172 \h </w:instrText>
        </w:r>
        <w:r>
          <w:rPr>
            <w:noProof/>
            <w:webHidden/>
          </w:rPr>
        </w:r>
        <w:r>
          <w:rPr>
            <w:noProof/>
            <w:webHidden/>
          </w:rPr>
          <w:fldChar w:fldCharType="separate"/>
        </w:r>
        <w:r w:rsidR="001D74B5">
          <w:rPr>
            <w:noProof/>
            <w:webHidden/>
          </w:rPr>
          <w:t>XIII-1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73" w:history="1">
        <w:r w:rsidR="001D74B5" w:rsidRPr="0039420F">
          <w:rPr>
            <w:rStyle w:val="Hyperlink"/>
            <w:noProof/>
          </w:rPr>
          <w:t>XIII.1.</w:t>
        </w:r>
        <w:r w:rsidR="001D74B5">
          <w:rPr>
            <w:rFonts w:asciiTheme="minorHAnsi" w:eastAsiaTheme="minorEastAsia" w:hAnsiTheme="minorHAnsi"/>
            <w:noProof/>
          </w:rPr>
          <w:tab/>
        </w:r>
        <w:r w:rsidR="001D74B5" w:rsidRPr="0039420F">
          <w:rPr>
            <w:rStyle w:val="Hyperlink"/>
            <w:noProof/>
          </w:rPr>
          <w:t>Intended Application</w:t>
        </w:r>
        <w:r w:rsidR="001D74B5">
          <w:rPr>
            <w:noProof/>
            <w:webHidden/>
          </w:rPr>
          <w:tab/>
        </w:r>
        <w:r>
          <w:rPr>
            <w:noProof/>
            <w:webHidden/>
          </w:rPr>
          <w:fldChar w:fldCharType="begin"/>
        </w:r>
        <w:r w:rsidR="001D74B5">
          <w:rPr>
            <w:noProof/>
            <w:webHidden/>
          </w:rPr>
          <w:instrText xml:space="preserve"> PAGEREF _Toc293937173 \h </w:instrText>
        </w:r>
        <w:r>
          <w:rPr>
            <w:noProof/>
            <w:webHidden/>
          </w:rPr>
        </w:r>
        <w:r>
          <w:rPr>
            <w:noProof/>
            <w:webHidden/>
          </w:rPr>
          <w:fldChar w:fldCharType="separate"/>
        </w:r>
        <w:r w:rsidR="001D74B5">
          <w:rPr>
            <w:noProof/>
            <w:webHidden/>
          </w:rPr>
          <w:t>XIII-1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74" w:history="1">
        <w:r w:rsidR="001D74B5" w:rsidRPr="0039420F">
          <w:rPr>
            <w:rStyle w:val="Hyperlink"/>
            <w:noProof/>
          </w:rPr>
          <w:t>XIII.2.</w:t>
        </w:r>
        <w:r w:rsidR="001D74B5">
          <w:rPr>
            <w:rFonts w:asciiTheme="minorHAnsi" w:eastAsiaTheme="minorEastAsia" w:hAnsiTheme="minorHAnsi"/>
            <w:noProof/>
          </w:rPr>
          <w:tab/>
        </w:r>
        <w:r w:rsidR="001D74B5" w:rsidRPr="0039420F">
          <w:rPr>
            <w:rStyle w:val="Hyperlink"/>
            <w:noProof/>
          </w:rPr>
          <w:t>Regulatory Basis</w:t>
        </w:r>
        <w:r w:rsidR="001D74B5">
          <w:rPr>
            <w:noProof/>
            <w:webHidden/>
          </w:rPr>
          <w:tab/>
        </w:r>
        <w:r>
          <w:rPr>
            <w:noProof/>
            <w:webHidden/>
          </w:rPr>
          <w:fldChar w:fldCharType="begin"/>
        </w:r>
        <w:r w:rsidR="001D74B5">
          <w:rPr>
            <w:noProof/>
            <w:webHidden/>
          </w:rPr>
          <w:instrText xml:space="preserve"> PAGEREF _Toc293937174 \h </w:instrText>
        </w:r>
        <w:r>
          <w:rPr>
            <w:noProof/>
            <w:webHidden/>
          </w:rPr>
        </w:r>
        <w:r>
          <w:rPr>
            <w:noProof/>
            <w:webHidden/>
          </w:rPr>
          <w:fldChar w:fldCharType="separate"/>
        </w:r>
        <w:r w:rsidR="001D74B5">
          <w:rPr>
            <w:noProof/>
            <w:webHidden/>
          </w:rPr>
          <w:t>XIII-2</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75" w:history="1">
        <w:r w:rsidR="001D74B5" w:rsidRPr="0039420F">
          <w:rPr>
            <w:rStyle w:val="Hyperlink"/>
            <w:noProof/>
          </w:rPr>
          <w:t>XIII.3.</w:t>
        </w:r>
        <w:r w:rsidR="001D74B5">
          <w:rPr>
            <w:rFonts w:asciiTheme="minorHAnsi" w:eastAsiaTheme="minorEastAsia" w:hAnsiTheme="minorHAnsi"/>
            <w:noProof/>
          </w:rPr>
          <w:tab/>
        </w:r>
        <w:r w:rsidR="001D74B5" w:rsidRPr="0039420F">
          <w:rPr>
            <w:rStyle w:val="Hyperlink"/>
            <w:noProof/>
          </w:rPr>
          <w:t>Comparison to Anticipated Performance of Alternative Scenario</w:t>
        </w:r>
        <w:r w:rsidR="001D74B5">
          <w:rPr>
            <w:noProof/>
            <w:webHidden/>
          </w:rPr>
          <w:tab/>
        </w:r>
        <w:r>
          <w:rPr>
            <w:noProof/>
            <w:webHidden/>
          </w:rPr>
          <w:fldChar w:fldCharType="begin"/>
        </w:r>
        <w:r w:rsidR="001D74B5">
          <w:rPr>
            <w:noProof/>
            <w:webHidden/>
          </w:rPr>
          <w:instrText xml:space="preserve"> PAGEREF _Toc293937175 \h </w:instrText>
        </w:r>
        <w:r>
          <w:rPr>
            <w:noProof/>
            <w:webHidden/>
          </w:rPr>
        </w:r>
        <w:r>
          <w:rPr>
            <w:noProof/>
            <w:webHidden/>
          </w:rPr>
          <w:fldChar w:fldCharType="separate"/>
        </w:r>
        <w:r w:rsidR="001D74B5">
          <w:rPr>
            <w:noProof/>
            <w:webHidden/>
          </w:rPr>
          <w:t>XIII-3</w:t>
        </w:r>
        <w:r>
          <w:rPr>
            <w:noProof/>
            <w:webHidden/>
          </w:rPr>
          <w:fldChar w:fldCharType="end"/>
        </w:r>
      </w:hyperlink>
    </w:p>
    <w:p w:rsidR="001D74B5" w:rsidRDefault="00126F3D">
      <w:pPr>
        <w:pStyle w:val="TOC1"/>
        <w:tabs>
          <w:tab w:val="left" w:pos="1855"/>
        </w:tabs>
        <w:rPr>
          <w:rFonts w:asciiTheme="minorHAnsi" w:eastAsiaTheme="minorEastAsia" w:hAnsiTheme="minorHAnsi"/>
          <w:caps w:val="0"/>
          <w:noProof/>
        </w:rPr>
      </w:pPr>
      <w:hyperlink w:anchor="_Toc293937176" w:history="1">
        <w:r w:rsidR="001D74B5" w:rsidRPr="0039420F">
          <w:rPr>
            <w:rStyle w:val="Hyperlink"/>
            <w:noProof/>
          </w:rPr>
          <w:t>Appendix XIV.</w:t>
        </w:r>
        <w:r w:rsidR="001D74B5">
          <w:rPr>
            <w:rFonts w:asciiTheme="minorHAnsi" w:eastAsiaTheme="minorEastAsia" w:hAnsiTheme="minorHAnsi"/>
            <w:caps w:val="0"/>
            <w:noProof/>
          </w:rPr>
          <w:tab/>
        </w:r>
        <w:r w:rsidR="001D74B5" w:rsidRPr="0039420F">
          <w:rPr>
            <w:rStyle w:val="Hyperlink"/>
            <w:noProof/>
          </w:rPr>
          <w:t>BMP FACT SHEETS</w:t>
        </w:r>
        <w:r w:rsidR="001D74B5">
          <w:rPr>
            <w:noProof/>
            <w:webHidden/>
          </w:rPr>
          <w:tab/>
        </w:r>
        <w:r>
          <w:rPr>
            <w:noProof/>
            <w:webHidden/>
          </w:rPr>
          <w:fldChar w:fldCharType="begin"/>
        </w:r>
        <w:r w:rsidR="001D74B5">
          <w:rPr>
            <w:noProof/>
            <w:webHidden/>
          </w:rPr>
          <w:instrText xml:space="preserve"> PAGEREF _Toc293937176 \h </w:instrText>
        </w:r>
        <w:r>
          <w:rPr>
            <w:noProof/>
            <w:webHidden/>
          </w:rPr>
        </w:r>
        <w:r>
          <w:rPr>
            <w:noProof/>
            <w:webHidden/>
          </w:rPr>
          <w:fldChar w:fldCharType="separate"/>
        </w:r>
        <w:r w:rsidR="001D74B5">
          <w:rPr>
            <w:noProof/>
            <w:webHidden/>
          </w:rPr>
          <w:t>XIV-1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77" w:history="1">
        <w:r w:rsidR="001D74B5" w:rsidRPr="0039420F">
          <w:rPr>
            <w:rStyle w:val="Hyperlink"/>
            <w:noProof/>
          </w:rPr>
          <w:t>XIV.1.</w:t>
        </w:r>
        <w:r w:rsidR="001D74B5">
          <w:rPr>
            <w:rFonts w:asciiTheme="minorHAnsi" w:eastAsiaTheme="minorEastAsia" w:hAnsiTheme="minorHAnsi"/>
            <w:noProof/>
          </w:rPr>
          <w:tab/>
        </w:r>
        <w:r w:rsidR="001D74B5" w:rsidRPr="0039420F">
          <w:rPr>
            <w:rStyle w:val="Hyperlink"/>
            <w:noProof/>
          </w:rPr>
          <w:t>Hydrologic Source Control Fact Sheets (HSC)</w:t>
        </w:r>
        <w:r w:rsidR="001D74B5">
          <w:rPr>
            <w:noProof/>
            <w:webHidden/>
          </w:rPr>
          <w:tab/>
        </w:r>
        <w:r>
          <w:rPr>
            <w:noProof/>
            <w:webHidden/>
          </w:rPr>
          <w:fldChar w:fldCharType="begin"/>
        </w:r>
        <w:r w:rsidR="001D74B5">
          <w:rPr>
            <w:noProof/>
            <w:webHidden/>
          </w:rPr>
          <w:instrText xml:space="preserve"> PAGEREF _Toc293937177 \h </w:instrText>
        </w:r>
        <w:r>
          <w:rPr>
            <w:noProof/>
            <w:webHidden/>
          </w:rPr>
        </w:r>
        <w:r>
          <w:rPr>
            <w:noProof/>
            <w:webHidden/>
          </w:rPr>
          <w:fldChar w:fldCharType="separate"/>
        </w:r>
        <w:r w:rsidR="001D74B5">
          <w:rPr>
            <w:noProof/>
            <w:webHidden/>
          </w:rPr>
          <w:t>XIV-3</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78" w:history="1">
        <w:r w:rsidR="001D74B5" w:rsidRPr="0039420F">
          <w:rPr>
            <w:rStyle w:val="Hyperlink"/>
            <w:rFonts w:eastAsia="Times New Roman" w:cs="Times New Roman"/>
            <w:noProof/>
          </w:rPr>
          <w:t>XIV.2.</w:t>
        </w:r>
        <w:r w:rsidR="001D74B5">
          <w:rPr>
            <w:rFonts w:asciiTheme="minorHAnsi" w:eastAsiaTheme="minorEastAsia" w:hAnsiTheme="minorHAnsi"/>
            <w:noProof/>
          </w:rPr>
          <w:tab/>
        </w:r>
        <w:r w:rsidR="001D74B5" w:rsidRPr="0039420F">
          <w:rPr>
            <w:rStyle w:val="Hyperlink"/>
            <w:noProof/>
          </w:rPr>
          <w:t>Miscellaneous BMP Design Element Fact Sheets (MISC)</w:t>
        </w:r>
        <w:r w:rsidR="001D74B5">
          <w:rPr>
            <w:noProof/>
            <w:webHidden/>
          </w:rPr>
          <w:tab/>
        </w:r>
        <w:r>
          <w:rPr>
            <w:noProof/>
            <w:webHidden/>
          </w:rPr>
          <w:fldChar w:fldCharType="begin"/>
        </w:r>
        <w:r w:rsidR="001D74B5">
          <w:rPr>
            <w:noProof/>
            <w:webHidden/>
          </w:rPr>
          <w:instrText xml:space="preserve"> PAGEREF _Toc293937178 \h </w:instrText>
        </w:r>
        <w:r>
          <w:rPr>
            <w:noProof/>
            <w:webHidden/>
          </w:rPr>
        </w:r>
        <w:r>
          <w:rPr>
            <w:noProof/>
            <w:webHidden/>
          </w:rPr>
          <w:fldChar w:fldCharType="separate"/>
        </w:r>
        <w:r w:rsidR="001D74B5">
          <w:rPr>
            <w:noProof/>
            <w:webHidden/>
          </w:rPr>
          <w:t>XIV-16</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79" w:history="1">
        <w:r w:rsidR="001D74B5" w:rsidRPr="0039420F">
          <w:rPr>
            <w:rStyle w:val="Hyperlink"/>
            <w:noProof/>
          </w:rPr>
          <w:t>XIV.3.</w:t>
        </w:r>
        <w:r w:rsidR="001D74B5">
          <w:rPr>
            <w:rFonts w:asciiTheme="minorHAnsi" w:eastAsiaTheme="minorEastAsia" w:hAnsiTheme="minorHAnsi"/>
            <w:noProof/>
          </w:rPr>
          <w:tab/>
        </w:r>
        <w:r w:rsidR="001D74B5" w:rsidRPr="0039420F">
          <w:rPr>
            <w:rStyle w:val="Hyperlink"/>
            <w:noProof/>
          </w:rPr>
          <w:t>Infiltration BMP Fact Sheets (INF)</w:t>
        </w:r>
        <w:r w:rsidR="001D74B5">
          <w:rPr>
            <w:noProof/>
            <w:webHidden/>
          </w:rPr>
          <w:tab/>
        </w:r>
        <w:r>
          <w:rPr>
            <w:noProof/>
            <w:webHidden/>
          </w:rPr>
          <w:fldChar w:fldCharType="begin"/>
        </w:r>
        <w:r w:rsidR="001D74B5">
          <w:rPr>
            <w:noProof/>
            <w:webHidden/>
          </w:rPr>
          <w:instrText xml:space="preserve"> PAGEREF _Toc293937179 \h </w:instrText>
        </w:r>
        <w:r>
          <w:rPr>
            <w:noProof/>
            <w:webHidden/>
          </w:rPr>
        </w:r>
        <w:r>
          <w:rPr>
            <w:noProof/>
            <w:webHidden/>
          </w:rPr>
          <w:fldChar w:fldCharType="separate"/>
        </w:r>
        <w:r w:rsidR="001D74B5">
          <w:rPr>
            <w:noProof/>
            <w:webHidden/>
          </w:rPr>
          <w:t>XIV-21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80" w:history="1">
        <w:r w:rsidR="001D74B5" w:rsidRPr="0039420F">
          <w:rPr>
            <w:rStyle w:val="Hyperlink"/>
            <w:noProof/>
          </w:rPr>
          <w:t>XIV.4.</w:t>
        </w:r>
        <w:r w:rsidR="001D74B5">
          <w:rPr>
            <w:rFonts w:asciiTheme="minorHAnsi" w:eastAsiaTheme="minorEastAsia" w:hAnsiTheme="minorHAnsi"/>
            <w:noProof/>
          </w:rPr>
          <w:tab/>
        </w:r>
        <w:r w:rsidR="001D74B5" w:rsidRPr="0039420F">
          <w:rPr>
            <w:rStyle w:val="Hyperlink"/>
            <w:noProof/>
          </w:rPr>
          <w:t>Harvest and Use BMP Fact Sheets (HU)</w:t>
        </w:r>
        <w:r w:rsidR="001D74B5">
          <w:rPr>
            <w:noProof/>
            <w:webHidden/>
          </w:rPr>
          <w:tab/>
        </w:r>
        <w:r>
          <w:rPr>
            <w:noProof/>
            <w:webHidden/>
          </w:rPr>
          <w:fldChar w:fldCharType="begin"/>
        </w:r>
        <w:r w:rsidR="001D74B5">
          <w:rPr>
            <w:noProof/>
            <w:webHidden/>
          </w:rPr>
          <w:instrText xml:space="preserve"> PAGEREF _Toc293937180 \h </w:instrText>
        </w:r>
        <w:r>
          <w:rPr>
            <w:noProof/>
            <w:webHidden/>
          </w:rPr>
        </w:r>
        <w:r>
          <w:rPr>
            <w:noProof/>
            <w:webHidden/>
          </w:rPr>
          <w:fldChar w:fldCharType="separate"/>
        </w:r>
        <w:r w:rsidR="001D74B5">
          <w:rPr>
            <w:noProof/>
            <w:webHidden/>
          </w:rPr>
          <w:t>XIV-46</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81" w:history="1">
        <w:r w:rsidR="001D74B5" w:rsidRPr="0039420F">
          <w:rPr>
            <w:rStyle w:val="Hyperlink"/>
            <w:noProof/>
          </w:rPr>
          <w:t>XIV.5.</w:t>
        </w:r>
        <w:r w:rsidR="001D74B5">
          <w:rPr>
            <w:rFonts w:asciiTheme="minorHAnsi" w:eastAsiaTheme="minorEastAsia" w:hAnsiTheme="minorHAnsi"/>
            <w:noProof/>
          </w:rPr>
          <w:tab/>
        </w:r>
        <w:r w:rsidR="001D74B5" w:rsidRPr="0039420F">
          <w:rPr>
            <w:rStyle w:val="Hyperlink"/>
            <w:noProof/>
          </w:rPr>
          <w:t>Biotreatment BMP Fact Sheets (BIO)</w:t>
        </w:r>
        <w:r w:rsidR="001D74B5">
          <w:rPr>
            <w:noProof/>
            <w:webHidden/>
          </w:rPr>
          <w:tab/>
        </w:r>
        <w:r>
          <w:rPr>
            <w:noProof/>
            <w:webHidden/>
          </w:rPr>
          <w:fldChar w:fldCharType="begin"/>
        </w:r>
        <w:r w:rsidR="001D74B5">
          <w:rPr>
            <w:noProof/>
            <w:webHidden/>
          </w:rPr>
          <w:instrText xml:space="preserve"> PAGEREF _Toc293937181 \h </w:instrText>
        </w:r>
        <w:r>
          <w:rPr>
            <w:noProof/>
            <w:webHidden/>
          </w:rPr>
        </w:r>
        <w:r>
          <w:rPr>
            <w:noProof/>
            <w:webHidden/>
          </w:rPr>
          <w:fldChar w:fldCharType="separate"/>
        </w:r>
        <w:r w:rsidR="001D74B5">
          <w:rPr>
            <w:noProof/>
            <w:webHidden/>
          </w:rPr>
          <w:t>XIV-51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82" w:history="1">
        <w:r w:rsidR="001D74B5" w:rsidRPr="0039420F">
          <w:rPr>
            <w:rStyle w:val="Hyperlink"/>
            <w:noProof/>
          </w:rPr>
          <w:t>XIV.6.</w:t>
        </w:r>
        <w:r w:rsidR="001D74B5">
          <w:rPr>
            <w:rFonts w:asciiTheme="minorHAnsi" w:eastAsiaTheme="minorEastAsia" w:hAnsiTheme="minorHAnsi"/>
            <w:noProof/>
          </w:rPr>
          <w:tab/>
        </w:r>
        <w:r w:rsidR="001D74B5" w:rsidRPr="0039420F">
          <w:rPr>
            <w:rStyle w:val="Hyperlink"/>
            <w:noProof/>
          </w:rPr>
          <w:t>Treatment Control BMP Fact Sheets (TRT)</w:t>
        </w:r>
        <w:r w:rsidR="001D74B5">
          <w:rPr>
            <w:noProof/>
            <w:webHidden/>
          </w:rPr>
          <w:tab/>
        </w:r>
        <w:r>
          <w:rPr>
            <w:noProof/>
            <w:webHidden/>
          </w:rPr>
          <w:fldChar w:fldCharType="begin"/>
        </w:r>
        <w:r w:rsidR="001D74B5">
          <w:rPr>
            <w:noProof/>
            <w:webHidden/>
          </w:rPr>
          <w:instrText xml:space="preserve"> PAGEREF _Toc293937182 \h </w:instrText>
        </w:r>
        <w:r>
          <w:rPr>
            <w:noProof/>
            <w:webHidden/>
          </w:rPr>
        </w:r>
        <w:r>
          <w:rPr>
            <w:noProof/>
            <w:webHidden/>
          </w:rPr>
          <w:fldChar w:fldCharType="separate"/>
        </w:r>
        <w:r w:rsidR="001D74B5">
          <w:rPr>
            <w:noProof/>
            <w:webHidden/>
          </w:rPr>
          <w:t>XIV-71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83" w:history="1">
        <w:r w:rsidR="001D74B5" w:rsidRPr="0039420F">
          <w:rPr>
            <w:rStyle w:val="Hyperlink"/>
            <w:noProof/>
          </w:rPr>
          <w:t>XIV.7.</w:t>
        </w:r>
        <w:r w:rsidR="001D74B5">
          <w:rPr>
            <w:rFonts w:asciiTheme="minorHAnsi" w:eastAsiaTheme="minorEastAsia" w:hAnsiTheme="minorHAnsi"/>
            <w:noProof/>
          </w:rPr>
          <w:tab/>
        </w:r>
        <w:r w:rsidR="001D74B5" w:rsidRPr="0039420F">
          <w:rPr>
            <w:rStyle w:val="Hyperlink"/>
            <w:noProof/>
          </w:rPr>
          <w:t>Pretreatment/Gross Solids Removal BMP Fact Sheets (PRE)</w:t>
        </w:r>
        <w:r w:rsidR="001D74B5">
          <w:rPr>
            <w:noProof/>
            <w:webHidden/>
          </w:rPr>
          <w:tab/>
        </w:r>
        <w:r>
          <w:rPr>
            <w:noProof/>
            <w:webHidden/>
          </w:rPr>
          <w:fldChar w:fldCharType="begin"/>
        </w:r>
        <w:r w:rsidR="001D74B5">
          <w:rPr>
            <w:noProof/>
            <w:webHidden/>
          </w:rPr>
          <w:instrText xml:space="preserve"> PAGEREF _Toc293937183 \h </w:instrText>
        </w:r>
        <w:r>
          <w:rPr>
            <w:noProof/>
            <w:webHidden/>
          </w:rPr>
        </w:r>
        <w:r>
          <w:rPr>
            <w:noProof/>
            <w:webHidden/>
          </w:rPr>
          <w:fldChar w:fldCharType="separate"/>
        </w:r>
        <w:r w:rsidR="001D74B5">
          <w:rPr>
            <w:noProof/>
            <w:webHidden/>
          </w:rPr>
          <w:t>XIV-76</w:t>
        </w:r>
        <w:r>
          <w:rPr>
            <w:noProof/>
            <w:webHidden/>
          </w:rPr>
          <w:fldChar w:fldCharType="end"/>
        </w:r>
      </w:hyperlink>
    </w:p>
    <w:p w:rsidR="001D74B5" w:rsidRDefault="00126F3D">
      <w:pPr>
        <w:pStyle w:val="TOC1"/>
        <w:tabs>
          <w:tab w:val="left" w:pos="1781"/>
        </w:tabs>
        <w:rPr>
          <w:rFonts w:asciiTheme="minorHAnsi" w:eastAsiaTheme="minorEastAsia" w:hAnsiTheme="minorHAnsi"/>
          <w:caps w:val="0"/>
          <w:noProof/>
        </w:rPr>
      </w:pPr>
      <w:hyperlink w:anchor="_Toc293937184" w:history="1">
        <w:r w:rsidR="001D74B5" w:rsidRPr="0039420F">
          <w:rPr>
            <w:rStyle w:val="Hyperlink"/>
            <w:noProof/>
          </w:rPr>
          <w:t>Appendix XV.</w:t>
        </w:r>
        <w:r w:rsidR="001D74B5">
          <w:rPr>
            <w:rFonts w:asciiTheme="minorHAnsi" w:eastAsiaTheme="minorEastAsia" w:hAnsiTheme="minorHAnsi"/>
            <w:caps w:val="0"/>
            <w:noProof/>
          </w:rPr>
          <w:tab/>
        </w:r>
        <w:r w:rsidR="001D74B5" w:rsidRPr="0039420F">
          <w:rPr>
            <w:rStyle w:val="Hyperlink"/>
            <w:noProof/>
          </w:rPr>
          <w:t>WORKSHEETS</w:t>
        </w:r>
        <w:r w:rsidR="001D74B5">
          <w:rPr>
            <w:noProof/>
            <w:webHidden/>
          </w:rPr>
          <w:tab/>
        </w:r>
        <w:r>
          <w:rPr>
            <w:noProof/>
            <w:webHidden/>
          </w:rPr>
          <w:fldChar w:fldCharType="begin"/>
        </w:r>
        <w:r w:rsidR="001D74B5">
          <w:rPr>
            <w:noProof/>
            <w:webHidden/>
          </w:rPr>
          <w:instrText xml:space="preserve"> PAGEREF _Toc293937184 \h </w:instrText>
        </w:r>
        <w:r>
          <w:rPr>
            <w:noProof/>
            <w:webHidden/>
          </w:rPr>
        </w:r>
        <w:r>
          <w:rPr>
            <w:noProof/>
            <w:webHidden/>
          </w:rPr>
          <w:fldChar w:fldCharType="separate"/>
        </w:r>
        <w:r w:rsidR="001D74B5">
          <w:rPr>
            <w:noProof/>
            <w:webHidden/>
          </w:rPr>
          <w:t>XV-1</w:t>
        </w:r>
        <w:r>
          <w:rPr>
            <w:noProof/>
            <w:webHidden/>
          </w:rPr>
          <w:fldChar w:fldCharType="end"/>
        </w:r>
      </w:hyperlink>
    </w:p>
    <w:p w:rsidR="001D74B5" w:rsidRDefault="00126F3D">
      <w:pPr>
        <w:pStyle w:val="TOC1"/>
        <w:tabs>
          <w:tab w:val="left" w:pos="1855"/>
        </w:tabs>
        <w:rPr>
          <w:rFonts w:asciiTheme="minorHAnsi" w:eastAsiaTheme="minorEastAsia" w:hAnsiTheme="minorHAnsi"/>
          <w:caps w:val="0"/>
          <w:noProof/>
        </w:rPr>
      </w:pPr>
      <w:hyperlink w:anchor="_Toc293937185" w:history="1">
        <w:r w:rsidR="001D74B5" w:rsidRPr="0039420F">
          <w:rPr>
            <w:rStyle w:val="Hyperlink"/>
            <w:noProof/>
          </w:rPr>
          <w:t>Appendix XVI.</w:t>
        </w:r>
        <w:r w:rsidR="001D74B5">
          <w:rPr>
            <w:rFonts w:asciiTheme="minorHAnsi" w:eastAsiaTheme="minorEastAsia" w:hAnsiTheme="minorHAnsi"/>
            <w:caps w:val="0"/>
            <w:noProof/>
          </w:rPr>
          <w:tab/>
        </w:r>
        <w:r w:rsidR="001D74B5" w:rsidRPr="0039420F">
          <w:rPr>
            <w:rStyle w:val="Hyperlink"/>
            <w:noProof/>
          </w:rPr>
          <w:t>EXHIBITS</w:t>
        </w:r>
        <w:r w:rsidR="001D74B5">
          <w:rPr>
            <w:noProof/>
            <w:webHidden/>
          </w:rPr>
          <w:tab/>
        </w:r>
        <w:r>
          <w:rPr>
            <w:noProof/>
            <w:webHidden/>
          </w:rPr>
          <w:fldChar w:fldCharType="begin"/>
        </w:r>
        <w:r w:rsidR="001D74B5">
          <w:rPr>
            <w:noProof/>
            <w:webHidden/>
          </w:rPr>
          <w:instrText xml:space="preserve"> PAGEREF _Toc293937185 \h </w:instrText>
        </w:r>
        <w:r>
          <w:rPr>
            <w:noProof/>
            <w:webHidden/>
          </w:rPr>
        </w:r>
        <w:r>
          <w:rPr>
            <w:noProof/>
            <w:webHidden/>
          </w:rPr>
          <w:fldChar w:fldCharType="separate"/>
        </w:r>
        <w:r w:rsidR="001D74B5">
          <w:rPr>
            <w:noProof/>
            <w:webHidden/>
          </w:rPr>
          <w:t>XVI-1</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86" w:history="1">
        <w:r w:rsidR="001D74B5" w:rsidRPr="0039420F">
          <w:rPr>
            <w:rStyle w:val="Hyperlink"/>
            <w:noProof/>
          </w:rPr>
          <w:t>XVI.1.</w:t>
        </w:r>
        <w:r w:rsidR="001D74B5">
          <w:rPr>
            <w:rFonts w:asciiTheme="minorHAnsi" w:eastAsiaTheme="minorEastAsia" w:hAnsiTheme="minorHAnsi"/>
            <w:noProof/>
          </w:rPr>
          <w:tab/>
        </w:r>
        <w:r w:rsidR="001D74B5" w:rsidRPr="0039420F">
          <w:rPr>
            <w:rStyle w:val="Hyperlink"/>
            <w:noProof/>
          </w:rPr>
          <w:t>Rainfall Zones Map</w:t>
        </w:r>
        <w:r w:rsidR="001D74B5">
          <w:rPr>
            <w:noProof/>
            <w:webHidden/>
          </w:rPr>
          <w:tab/>
        </w:r>
        <w:r>
          <w:rPr>
            <w:noProof/>
            <w:webHidden/>
          </w:rPr>
          <w:fldChar w:fldCharType="begin"/>
        </w:r>
        <w:r w:rsidR="001D74B5">
          <w:rPr>
            <w:noProof/>
            <w:webHidden/>
          </w:rPr>
          <w:instrText xml:space="preserve"> PAGEREF _Toc293937186 \h </w:instrText>
        </w:r>
        <w:r>
          <w:rPr>
            <w:noProof/>
            <w:webHidden/>
          </w:rPr>
        </w:r>
        <w:r>
          <w:rPr>
            <w:noProof/>
            <w:webHidden/>
          </w:rPr>
          <w:fldChar w:fldCharType="separate"/>
        </w:r>
        <w:r w:rsidR="001D74B5">
          <w:rPr>
            <w:noProof/>
            <w:webHidden/>
          </w:rPr>
          <w:t>XVI-2</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87" w:history="1">
        <w:r w:rsidR="001D74B5" w:rsidRPr="0039420F">
          <w:rPr>
            <w:rStyle w:val="Hyperlink"/>
            <w:noProof/>
          </w:rPr>
          <w:t>XVI.2.</w:t>
        </w:r>
        <w:r w:rsidR="001D74B5">
          <w:rPr>
            <w:rFonts w:asciiTheme="minorHAnsi" w:eastAsiaTheme="minorEastAsia" w:hAnsiTheme="minorHAnsi"/>
            <w:noProof/>
          </w:rPr>
          <w:tab/>
        </w:r>
        <w:r w:rsidR="001D74B5" w:rsidRPr="0039420F">
          <w:rPr>
            <w:rStyle w:val="Hyperlink"/>
            <w:noProof/>
          </w:rPr>
          <w:t>Infiltration Feasibility Constraints Maps</w:t>
        </w:r>
        <w:r w:rsidR="001D74B5">
          <w:rPr>
            <w:noProof/>
            <w:webHidden/>
          </w:rPr>
          <w:tab/>
        </w:r>
        <w:r>
          <w:rPr>
            <w:noProof/>
            <w:webHidden/>
          </w:rPr>
          <w:fldChar w:fldCharType="begin"/>
        </w:r>
        <w:r w:rsidR="001D74B5">
          <w:rPr>
            <w:noProof/>
            <w:webHidden/>
          </w:rPr>
          <w:instrText xml:space="preserve"> PAGEREF _Toc293937187 \h </w:instrText>
        </w:r>
        <w:r>
          <w:rPr>
            <w:noProof/>
            <w:webHidden/>
          </w:rPr>
        </w:r>
        <w:r>
          <w:rPr>
            <w:noProof/>
            <w:webHidden/>
          </w:rPr>
          <w:fldChar w:fldCharType="separate"/>
        </w:r>
        <w:r w:rsidR="001D74B5">
          <w:rPr>
            <w:noProof/>
            <w:webHidden/>
          </w:rPr>
          <w:t>XVI-3</w:t>
        </w:r>
        <w:r>
          <w:rPr>
            <w:noProof/>
            <w:webHidden/>
          </w:rPr>
          <w:fldChar w:fldCharType="end"/>
        </w:r>
      </w:hyperlink>
    </w:p>
    <w:p w:rsidR="001D74B5" w:rsidRDefault="00126F3D">
      <w:pPr>
        <w:pStyle w:val="TOC2"/>
        <w:tabs>
          <w:tab w:val="left" w:pos="1100"/>
          <w:tab w:val="right" w:leader="dot" w:pos="9350"/>
        </w:tabs>
        <w:rPr>
          <w:rFonts w:asciiTheme="minorHAnsi" w:eastAsiaTheme="minorEastAsia" w:hAnsiTheme="minorHAnsi"/>
          <w:noProof/>
        </w:rPr>
      </w:pPr>
      <w:hyperlink w:anchor="_Toc293937188" w:history="1">
        <w:r w:rsidR="001D74B5" w:rsidRPr="0039420F">
          <w:rPr>
            <w:rStyle w:val="Hyperlink"/>
            <w:noProof/>
          </w:rPr>
          <w:t>XVI.3.</w:t>
        </w:r>
        <w:r w:rsidR="001D74B5">
          <w:rPr>
            <w:rFonts w:asciiTheme="minorHAnsi" w:eastAsiaTheme="minorEastAsia" w:hAnsiTheme="minorHAnsi"/>
            <w:noProof/>
          </w:rPr>
          <w:tab/>
        </w:r>
        <w:r w:rsidR="001D74B5" w:rsidRPr="0039420F">
          <w:rPr>
            <w:rStyle w:val="Hyperlink"/>
            <w:noProof/>
          </w:rPr>
          <w:t>North Orange County Hydromodification Susceptibility Maps</w:t>
        </w:r>
        <w:r w:rsidR="001D74B5">
          <w:rPr>
            <w:noProof/>
            <w:webHidden/>
          </w:rPr>
          <w:tab/>
        </w:r>
        <w:r>
          <w:rPr>
            <w:noProof/>
            <w:webHidden/>
          </w:rPr>
          <w:fldChar w:fldCharType="begin"/>
        </w:r>
        <w:r w:rsidR="001D74B5">
          <w:rPr>
            <w:noProof/>
            <w:webHidden/>
          </w:rPr>
          <w:instrText xml:space="preserve"> PAGEREF _Toc293937188 \h </w:instrText>
        </w:r>
        <w:r>
          <w:rPr>
            <w:noProof/>
            <w:webHidden/>
          </w:rPr>
        </w:r>
        <w:r>
          <w:rPr>
            <w:noProof/>
            <w:webHidden/>
          </w:rPr>
          <w:fldChar w:fldCharType="separate"/>
        </w:r>
        <w:r w:rsidR="001D74B5">
          <w:rPr>
            <w:noProof/>
            <w:webHidden/>
          </w:rPr>
          <w:t>XVI-4</w:t>
        </w:r>
        <w:r>
          <w:rPr>
            <w:noProof/>
            <w:webHidden/>
          </w:rPr>
          <w:fldChar w:fldCharType="end"/>
        </w:r>
      </w:hyperlink>
    </w:p>
    <w:p w:rsidR="001D74B5" w:rsidRDefault="00126F3D">
      <w:pPr>
        <w:pStyle w:val="TOC1"/>
        <w:tabs>
          <w:tab w:val="left" w:pos="1929"/>
        </w:tabs>
        <w:rPr>
          <w:rFonts w:asciiTheme="minorHAnsi" w:eastAsiaTheme="minorEastAsia" w:hAnsiTheme="minorHAnsi"/>
          <w:caps w:val="0"/>
          <w:noProof/>
        </w:rPr>
      </w:pPr>
      <w:hyperlink w:anchor="_Toc293937189" w:history="1">
        <w:r w:rsidR="001D74B5" w:rsidRPr="0039420F">
          <w:rPr>
            <w:rStyle w:val="Hyperlink"/>
            <w:noProof/>
          </w:rPr>
          <w:t>Appendix XVII.</w:t>
        </w:r>
        <w:r w:rsidR="001D74B5">
          <w:rPr>
            <w:rFonts w:asciiTheme="minorHAnsi" w:eastAsiaTheme="minorEastAsia" w:hAnsiTheme="minorHAnsi"/>
            <w:caps w:val="0"/>
            <w:noProof/>
          </w:rPr>
          <w:tab/>
        </w:r>
        <w:r w:rsidR="001D74B5" w:rsidRPr="0039420F">
          <w:rPr>
            <w:rStyle w:val="Hyperlink"/>
            <w:noProof/>
          </w:rPr>
          <w:t>SUPPORTING INFORMATION RELATIVE TO SANITARY SEWER INFLOW AND INFILTRATION</w:t>
        </w:r>
        <w:r w:rsidR="001D74B5">
          <w:rPr>
            <w:noProof/>
            <w:webHidden/>
          </w:rPr>
          <w:tab/>
        </w:r>
        <w:r>
          <w:rPr>
            <w:noProof/>
            <w:webHidden/>
          </w:rPr>
          <w:fldChar w:fldCharType="begin"/>
        </w:r>
        <w:r w:rsidR="001D74B5">
          <w:rPr>
            <w:noProof/>
            <w:webHidden/>
          </w:rPr>
          <w:instrText xml:space="preserve"> PAGEREF _Toc293937189 \h </w:instrText>
        </w:r>
        <w:r>
          <w:rPr>
            <w:noProof/>
            <w:webHidden/>
          </w:rPr>
        </w:r>
        <w:r>
          <w:rPr>
            <w:noProof/>
            <w:webHidden/>
          </w:rPr>
          <w:fldChar w:fldCharType="separate"/>
        </w:r>
        <w:r w:rsidR="001D74B5">
          <w:rPr>
            <w:noProof/>
            <w:webHidden/>
          </w:rPr>
          <w:t>XVII-1</w:t>
        </w:r>
        <w:r>
          <w:rPr>
            <w:noProof/>
            <w:webHidden/>
          </w:rPr>
          <w:fldChar w:fldCharType="end"/>
        </w:r>
      </w:hyperlink>
    </w:p>
    <w:p w:rsidR="00572495" w:rsidRDefault="00126F3D" w:rsidP="00572495">
      <w:pPr>
        <w:pStyle w:val="CDMBTEXT"/>
      </w:pPr>
      <w:r w:rsidRPr="00126DE5">
        <w:rPr>
          <w:b/>
          <w:color w:val="0070C0"/>
        </w:rPr>
        <w:fldChar w:fldCharType="end"/>
      </w:r>
    </w:p>
    <w:p w:rsidR="003A7710" w:rsidRPr="003A7710" w:rsidRDefault="003A7710" w:rsidP="00572495">
      <w:pPr>
        <w:pStyle w:val="CDMBTEXT"/>
        <w:rPr>
          <w:b/>
        </w:rPr>
      </w:pPr>
      <w:r w:rsidRPr="003A7710">
        <w:rPr>
          <w:b/>
        </w:rPr>
        <w:t>TABLES</w:t>
      </w:r>
    </w:p>
    <w:p w:rsidR="00126DE5" w:rsidRDefault="00126F3D">
      <w:pPr>
        <w:pStyle w:val="TableofFigures"/>
        <w:tabs>
          <w:tab w:val="right" w:leader="dot" w:pos="9350"/>
        </w:tabs>
        <w:rPr>
          <w:rFonts w:asciiTheme="minorHAnsi" w:eastAsiaTheme="minorEastAsia" w:hAnsiTheme="minorHAnsi" w:cstheme="minorBidi"/>
          <w:noProof/>
          <w:szCs w:val="22"/>
        </w:rPr>
      </w:pPr>
      <w:r w:rsidRPr="00126F3D">
        <w:rPr>
          <w:b/>
          <w:color w:val="0070C0"/>
        </w:rPr>
        <w:fldChar w:fldCharType="begin"/>
      </w:r>
      <w:r w:rsidR="003A7710" w:rsidRPr="00126DE5">
        <w:rPr>
          <w:b/>
          <w:color w:val="0070C0"/>
        </w:rPr>
        <w:instrText xml:space="preserve"> TOC \h \z \c "Table" </w:instrText>
      </w:r>
      <w:r w:rsidRPr="00126F3D">
        <w:rPr>
          <w:b/>
          <w:color w:val="0070C0"/>
        </w:rPr>
        <w:fldChar w:fldCharType="separate"/>
      </w:r>
      <w:hyperlink w:anchor="_Toc288554376" w:history="1">
        <w:r w:rsidR="00126DE5" w:rsidRPr="00514088">
          <w:rPr>
            <w:rStyle w:val="Hyperlink"/>
            <w:noProof/>
            <w:lang w:bidi="en-US"/>
          </w:rPr>
          <w:t xml:space="preserve">Table </w:t>
        </w:r>
        <w:r w:rsidR="00126DE5" w:rsidRPr="00514088">
          <w:rPr>
            <w:rStyle w:val="Hyperlink"/>
            <w:rFonts w:cs="Arial"/>
            <w:noProof/>
            <w:lang w:bidi="en-US"/>
          </w:rPr>
          <w:t>III</w:t>
        </w:r>
        <w:r w:rsidR="00126DE5" w:rsidRPr="00514088">
          <w:rPr>
            <w:rStyle w:val="Hyperlink"/>
            <w:noProof/>
            <w:lang w:bidi="en-US"/>
          </w:rPr>
          <w:t>.</w:t>
        </w:r>
        <w:r w:rsidR="00126DE5" w:rsidRPr="00514088">
          <w:rPr>
            <w:rStyle w:val="Hyperlink"/>
            <w:rFonts w:cs="Arial"/>
            <w:noProof/>
            <w:lang w:bidi="en-US"/>
          </w:rPr>
          <w:t>1</w:t>
        </w:r>
        <w:r w:rsidR="00126DE5" w:rsidRPr="00514088">
          <w:rPr>
            <w:rStyle w:val="Hyperlink"/>
            <w:noProof/>
            <w:lang w:bidi="en-US"/>
          </w:rPr>
          <w:t>: Fraction of Average Long Term Runoff Reduced (Capture Efficiency) by HSCs</w:t>
        </w:r>
        <w:r w:rsidR="00126DE5">
          <w:rPr>
            <w:noProof/>
            <w:webHidden/>
          </w:rPr>
          <w:tab/>
        </w:r>
        <w:r>
          <w:rPr>
            <w:noProof/>
            <w:webHidden/>
          </w:rPr>
          <w:fldChar w:fldCharType="begin"/>
        </w:r>
        <w:r w:rsidR="00126DE5">
          <w:rPr>
            <w:noProof/>
            <w:webHidden/>
          </w:rPr>
          <w:instrText xml:space="preserve"> PAGEREF _Toc288554376 \h </w:instrText>
        </w:r>
        <w:r>
          <w:rPr>
            <w:noProof/>
            <w:webHidden/>
          </w:rPr>
        </w:r>
        <w:r>
          <w:rPr>
            <w:noProof/>
            <w:webHidden/>
          </w:rPr>
          <w:fldChar w:fldCharType="separate"/>
        </w:r>
        <w:r w:rsidR="00126DE5">
          <w:rPr>
            <w:noProof/>
            <w:webHidden/>
          </w:rPr>
          <w:t>III-6</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77" w:history="1">
        <w:r w:rsidR="00126DE5" w:rsidRPr="00514088">
          <w:rPr>
            <w:rStyle w:val="Hyperlink"/>
            <w:noProof/>
            <w:lang w:bidi="en-US"/>
          </w:rPr>
          <w:t>Table III.2: SWMM Simulation Input Parameters</w:t>
        </w:r>
        <w:r w:rsidR="00126DE5">
          <w:rPr>
            <w:noProof/>
            <w:webHidden/>
          </w:rPr>
          <w:tab/>
        </w:r>
        <w:r>
          <w:rPr>
            <w:noProof/>
            <w:webHidden/>
          </w:rPr>
          <w:fldChar w:fldCharType="begin"/>
        </w:r>
        <w:r w:rsidR="00126DE5">
          <w:rPr>
            <w:noProof/>
            <w:webHidden/>
          </w:rPr>
          <w:instrText xml:space="preserve"> PAGEREF _Toc288554377 \h </w:instrText>
        </w:r>
        <w:r>
          <w:rPr>
            <w:noProof/>
            <w:webHidden/>
          </w:rPr>
        </w:r>
        <w:r>
          <w:rPr>
            <w:noProof/>
            <w:webHidden/>
          </w:rPr>
          <w:fldChar w:fldCharType="separate"/>
        </w:r>
        <w:r w:rsidR="00126DE5">
          <w:rPr>
            <w:noProof/>
            <w:webHidden/>
          </w:rPr>
          <w:t>III-39</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78" w:history="1">
        <w:r w:rsidR="00126DE5" w:rsidRPr="00514088">
          <w:rPr>
            <w:rStyle w:val="Hyperlink"/>
            <w:noProof/>
            <w:lang w:bidi="en-US"/>
          </w:rPr>
          <w:t>Table VI.1: Table of Multipliers for Computing Remaining Design Storm Intensity</w:t>
        </w:r>
        <w:r w:rsidR="00126DE5">
          <w:rPr>
            <w:noProof/>
            <w:webHidden/>
          </w:rPr>
          <w:tab/>
        </w:r>
        <w:r>
          <w:rPr>
            <w:noProof/>
            <w:webHidden/>
          </w:rPr>
          <w:fldChar w:fldCharType="begin"/>
        </w:r>
        <w:r w:rsidR="00126DE5">
          <w:rPr>
            <w:noProof/>
            <w:webHidden/>
          </w:rPr>
          <w:instrText xml:space="preserve"> PAGEREF _Toc288554378 \h </w:instrText>
        </w:r>
        <w:r>
          <w:rPr>
            <w:noProof/>
            <w:webHidden/>
          </w:rPr>
        </w:r>
        <w:r>
          <w:rPr>
            <w:noProof/>
            <w:webHidden/>
          </w:rPr>
          <w:fldChar w:fldCharType="separate"/>
        </w:r>
        <w:r w:rsidR="00126DE5">
          <w:rPr>
            <w:noProof/>
            <w:webHidden/>
          </w:rPr>
          <w:t>VI-6</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79" w:history="1">
        <w:r w:rsidR="00126DE5" w:rsidRPr="00514088">
          <w:rPr>
            <w:rStyle w:val="Hyperlink"/>
            <w:noProof/>
            <w:lang w:bidi="en-US"/>
          </w:rPr>
          <w:t xml:space="preserve">Table </w:t>
        </w:r>
        <w:r w:rsidR="00126DE5" w:rsidRPr="00514088">
          <w:rPr>
            <w:rStyle w:val="Hyperlink"/>
            <w:rFonts w:cs="Arial"/>
            <w:noProof/>
            <w:lang w:bidi="en-US"/>
          </w:rPr>
          <w:t>VII</w:t>
        </w:r>
        <w:r w:rsidR="00126DE5" w:rsidRPr="00514088">
          <w:rPr>
            <w:rStyle w:val="Hyperlink"/>
            <w:noProof/>
            <w:lang w:bidi="en-US"/>
          </w:rPr>
          <w:t>.</w:t>
        </w:r>
        <w:r w:rsidR="00126DE5" w:rsidRPr="00514088">
          <w:rPr>
            <w:rStyle w:val="Hyperlink"/>
            <w:rFonts w:cs="Arial"/>
            <w:noProof/>
            <w:lang w:bidi="en-US"/>
          </w:rPr>
          <w:t>1</w:t>
        </w:r>
        <w:r w:rsidR="00126DE5" w:rsidRPr="00514088">
          <w:rPr>
            <w:rStyle w:val="Hyperlink"/>
            <w:noProof/>
            <w:lang w:bidi="en-US"/>
          </w:rPr>
          <w:t>: Recommended Infiltration Investigation Methods</w:t>
        </w:r>
        <w:r w:rsidR="00126DE5">
          <w:rPr>
            <w:noProof/>
            <w:webHidden/>
          </w:rPr>
          <w:tab/>
        </w:r>
        <w:r>
          <w:rPr>
            <w:noProof/>
            <w:webHidden/>
          </w:rPr>
          <w:fldChar w:fldCharType="begin"/>
        </w:r>
        <w:r w:rsidR="00126DE5">
          <w:rPr>
            <w:noProof/>
            <w:webHidden/>
          </w:rPr>
          <w:instrText xml:space="preserve"> PAGEREF _Toc288554379 \h </w:instrText>
        </w:r>
        <w:r>
          <w:rPr>
            <w:noProof/>
            <w:webHidden/>
          </w:rPr>
        </w:r>
        <w:r>
          <w:rPr>
            <w:noProof/>
            <w:webHidden/>
          </w:rPr>
          <w:fldChar w:fldCharType="separate"/>
        </w:r>
        <w:r w:rsidR="00126DE5">
          <w:rPr>
            <w:noProof/>
            <w:webHidden/>
          </w:rPr>
          <w:t>VII-2</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80" w:history="1">
        <w:r w:rsidR="00126DE5" w:rsidRPr="00514088">
          <w:rPr>
            <w:rStyle w:val="Hyperlink"/>
            <w:noProof/>
            <w:lang w:bidi="en-US"/>
          </w:rPr>
          <w:t>Table VII.2: Definition of Project Size Categories</w:t>
        </w:r>
        <w:r w:rsidR="00126DE5">
          <w:rPr>
            <w:noProof/>
            <w:webHidden/>
          </w:rPr>
          <w:tab/>
        </w:r>
        <w:r>
          <w:rPr>
            <w:noProof/>
            <w:webHidden/>
          </w:rPr>
          <w:fldChar w:fldCharType="begin"/>
        </w:r>
        <w:r w:rsidR="00126DE5">
          <w:rPr>
            <w:noProof/>
            <w:webHidden/>
          </w:rPr>
          <w:instrText xml:space="preserve"> PAGEREF _Toc288554380 \h </w:instrText>
        </w:r>
        <w:r>
          <w:rPr>
            <w:noProof/>
            <w:webHidden/>
          </w:rPr>
        </w:r>
        <w:r>
          <w:rPr>
            <w:noProof/>
            <w:webHidden/>
          </w:rPr>
          <w:fldChar w:fldCharType="separate"/>
        </w:r>
        <w:r w:rsidR="00126DE5">
          <w:rPr>
            <w:noProof/>
            <w:webHidden/>
          </w:rPr>
          <w:t>VII-6</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81" w:history="1">
        <w:r w:rsidR="00126DE5" w:rsidRPr="00514088">
          <w:rPr>
            <w:rStyle w:val="Hyperlink"/>
            <w:noProof/>
            <w:lang w:bidi="en-US"/>
          </w:rPr>
          <w:t xml:space="preserve">Table </w:t>
        </w:r>
        <w:r w:rsidR="00126DE5" w:rsidRPr="00514088">
          <w:rPr>
            <w:rStyle w:val="Hyperlink"/>
            <w:rFonts w:cs="Arial"/>
            <w:noProof/>
            <w:lang w:bidi="en-US"/>
          </w:rPr>
          <w:t>VII</w:t>
        </w:r>
        <w:r w:rsidR="00126DE5" w:rsidRPr="00514088">
          <w:rPr>
            <w:rStyle w:val="Hyperlink"/>
            <w:noProof/>
            <w:lang w:bidi="en-US"/>
          </w:rPr>
          <w:t>.</w:t>
        </w:r>
        <w:r w:rsidR="00126DE5" w:rsidRPr="00514088">
          <w:rPr>
            <w:rStyle w:val="Hyperlink"/>
            <w:rFonts w:cs="Arial"/>
            <w:noProof/>
            <w:lang w:bidi="en-US"/>
          </w:rPr>
          <w:t>3</w:t>
        </w:r>
        <w:r w:rsidR="00126DE5" w:rsidRPr="00514088">
          <w:rPr>
            <w:rStyle w:val="Hyperlink"/>
            <w:noProof/>
            <w:lang w:bidi="en-US"/>
          </w:rPr>
          <w:t>: Suitability Assessment Related Considerations for Infiltration Facility Safety Factors</w:t>
        </w:r>
        <w:r w:rsidR="00126DE5">
          <w:rPr>
            <w:noProof/>
            <w:webHidden/>
          </w:rPr>
          <w:tab/>
        </w:r>
        <w:r>
          <w:rPr>
            <w:noProof/>
            <w:webHidden/>
          </w:rPr>
          <w:fldChar w:fldCharType="begin"/>
        </w:r>
        <w:r w:rsidR="00126DE5">
          <w:rPr>
            <w:noProof/>
            <w:webHidden/>
          </w:rPr>
          <w:instrText xml:space="preserve"> PAGEREF _Toc288554381 \h </w:instrText>
        </w:r>
        <w:r>
          <w:rPr>
            <w:noProof/>
            <w:webHidden/>
          </w:rPr>
        </w:r>
        <w:r>
          <w:rPr>
            <w:noProof/>
            <w:webHidden/>
          </w:rPr>
          <w:fldChar w:fldCharType="separate"/>
        </w:r>
        <w:r w:rsidR="00126DE5">
          <w:rPr>
            <w:noProof/>
            <w:webHidden/>
          </w:rPr>
          <w:t>VII-31</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82" w:history="1">
        <w:r w:rsidR="00126DE5" w:rsidRPr="00514088">
          <w:rPr>
            <w:rStyle w:val="Hyperlink"/>
            <w:noProof/>
            <w:lang w:bidi="en-US"/>
          </w:rPr>
          <w:t xml:space="preserve">Table </w:t>
        </w:r>
        <w:r w:rsidR="00126DE5" w:rsidRPr="00514088">
          <w:rPr>
            <w:rStyle w:val="Hyperlink"/>
            <w:rFonts w:cs="Arial"/>
            <w:noProof/>
            <w:lang w:bidi="en-US"/>
          </w:rPr>
          <w:t>VII</w:t>
        </w:r>
        <w:r w:rsidR="00126DE5" w:rsidRPr="00514088">
          <w:rPr>
            <w:rStyle w:val="Hyperlink"/>
            <w:noProof/>
            <w:lang w:bidi="en-US"/>
          </w:rPr>
          <w:t>.</w:t>
        </w:r>
        <w:r w:rsidR="00126DE5" w:rsidRPr="00514088">
          <w:rPr>
            <w:rStyle w:val="Hyperlink"/>
            <w:rFonts w:cs="Arial"/>
            <w:noProof/>
            <w:lang w:bidi="en-US"/>
          </w:rPr>
          <w:t>4</w:t>
        </w:r>
        <w:r w:rsidR="00126DE5" w:rsidRPr="00514088">
          <w:rPr>
            <w:rStyle w:val="Hyperlink"/>
            <w:rFonts w:ascii="Times New Roman" w:hAnsi="Times New Roman"/>
            <w:noProof/>
            <w:lang w:bidi="en-US"/>
          </w:rPr>
          <w:t xml:space="preserve">: </w:t>
        </w:r>
        <w:r w:rsidR="00126DE5" w:rsidRPr="00514088">
          <w:rPr>
            <w:rStyle w:val="Hyperlink"/>
            <w:noProof/>
            <w:lang w:bidi="en-US"/>
          </w:rPr>
          <w:t>Design Related Considerations for Infiltration Facility Safety Factors</w:t>
        </w:r>
        <w:r w:rsidR="00126DE5">
          <w:rPr>
            <w:noProof/>
            <w:webHidden/>
          </w:rPr>
          <w:tab/>
        </w:r>
        <w:r>
          <w:rPr>
            <w:noProof/>
            <w:webHidden/>
          </w:rPr>
          <w:fldChar w:fldCharType="begin"/>
        </w:r>
        <w:r w:rsidR="00126DE5">
          <w:rPr>
            <w:noProof/>
            <w:webHidden/>
          </w:rPr>
          <w:instrText xml:space="preserve"> PAGEREF _Toc288554382 \h </w:instrText>
        </w:r>
        <w:r>
          <w:rPr>
            <w:noProof/>
            <w:webHidden/>
          </w:rPr>
        </w:r>
        <w:r>
          <w:rPr>
            <w:noProof/>
            <w:webHidden/>
          </w:rPr>
          <w:fldChar w:fldCharType="separate"/>
        </w:r>
        <w:r w:rsidR="00126DE5">
          <w:rPr>
            <w:noProof/>
            <w:webHidden/>
          </w:rPr>
          <w:t>VII-33</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83" w:history="1">
        <w:r w:rsidR="00126DE5" w:rsidRPr="00514088">
          <w:rPr>
            <w:rStyle w:val="Hyperlink"/>
            <w:noProof/>
            <w:lang w:bidi="en-US"/>
          </w:rPr>
          <w:t xml:space="preserve">Table </w:t>
        </w:r>
        <w:r w:rsidR="00126DE5" w:rsidRPr="00514088">
          <w:rPr>
            <w:rStyle w:val="Hyperlink"/>
            <w:rFonts w:cs="Arial"/>
            <w:noProof/>
            <w:lang w:bidi="en-US"/>
          </w:rPr>
          <w:t>VIII</w:t>
        </w:r>
        <w:r w:rsidR="00126DE5" w:rsidRPr="00514088">
          <w:rPr>
            <w:rStyle w:val="Hyperlink"/>
            <w:noProof/>
            <w:lang w:bidi="en-US"/>
          </w:rPr>
          <w:t>.</w:t>
        </w:r>
        <w:r w:rsidR="00126DE5" w:rsidRPr="00514088">
          <w:rPr>
            <w:rStyle w:val="Hyperlink"/>
            <w:rFonts w:cs="Arial"/>
            <w:noProof/>
            <w:lang w:bidi="en-US"/>
          </w:rPr>
          <w:t>1</w:t>
        </w:r>
        <w:r w:rsidR="00126DE5" w:rsidRPr="00514088">
          <w:rPr>
            <w:rStyle w:val="Hyperlink"/>
            <w:noProof/>
            <w:lang w:bidi="en-US"/>
          </w:rPr>
          <w:t>: Recommendations/Requirements for BMP Selection to Minimize Groundwater Quality Impacts</w:t>
        </w:r>
        <w:r w:rsidR="00126DE5">
          <w:rPr>
            <w:noProof/>
            <w:webHidden/>
          </w:rPr>
          <w:tab/>
        </w:r>
        <w:r>
          <w:rPr>
            <w:noProof/>
            <w:webHidden/>
          </w:rPr>
          <w:fldChar w:fldCharType="begin"/>
        </w:r>
        <w:r w:rsidR="00126DE5">
          <w:rPr>
            <w:noProof/>
            <w:webHidden/>
          </w:rPr>
          <w:instrText xml:space="preserve"> PAGEREF _Toc288554383 \h </w:instrText>
        </w:r>
        <w:r>
          <w:rPr>
            <w:noProof/>
            <w:webHidden/>
          </w:rPr>
        </w:r>
        <w:r>
          <w:rPr>
            <w:noProof/>
            <w:webHidden/>
          </w:rPr>
          <w:fldChar w:fldCharType="separate"/>
        </w:r>
        <w:r w:rsidR="00126DE5">
          <w:rPr>
            <w:noProof/>
            <w:webHidden/>
          </w:rPr>
          <w:t>VIII-9</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84" w:history="1">
        <w:r w:rsidR="00126DE5" w:rsidRPr="00514088">
          <w:rPr>
            <w:rStyle w:val="Hyperlink"/>
            <w:noProof/>
            <w:lang w:bidi="en-US"/>
          </w:rPr>
          <w:t>Table VIII.2: Definition of Project Size Categories</w:t>
        </w:r>
        <w:r w:rsidR="00126DE5">
          <w:rPr>
            <w:noProof/>
            <w:webHidden/>
          </w:rPr>
          <w:tab/>
        </w:r>
        <w:r>
          <w:rPr>
            <w:noProof/>
            <w:webHidden/>
          </w:rPr>
          <w:fldChar w:fldCharType="begin"/>
        </w:r>
        <w:r w:rsidR="00126DE5">
          <w:rPr>
            <w:noProof/>
            <w:webHidden/>
          </w:rPr>
          <w:instrText xml:space="preserve"> PAGEREF _Toc288554384 \h </w:instrText>
        </w:r>
        <w:r>
          <w:rPr>
            <w:noProof/>
            <w:webHidden/>
          </w:rPr>
        </w:r>
        <w:r>
          <w:rPr>
            <w:noProof/>
            <w:webHidden/>
          </w:rPr>
          <w:fldChar w:fldCharType="separate"/>
        </w:r>
        <w:r w:rsidR="00126DE5">
          <w:rPr>
            <w:noProof/>
            <w:webHidden/>
          </w:rPr>
          <w:t>VIII-12</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85" w:history="1">
        <w:r w:rsidR="00126DE5" w:rsidRPr="00514088">
          <w:rPr>
            <w:rStyle w:val="Hyperlink"/>
            <w:noProof/>
            <w:lang w:bidi="en-US"/>
          </w:rPr>
          <w:t xml:space="preserve">Table </w:t>
        </w:r>
        <w:r w:rsidR="00126DE5" w:rsidRPr="00514088">
          <w:rPr>
            <w:rStyle w:val="Hyperlink"/>
            <w:rFonts w:cs="Arial"/>
            <w:noProof/>
            <w:lang w:bidi="en-US"/>
          </w:rPr>
          <w:t>IX</w:t>
        </w:r>
        <w:r w:rsidR="00126DE5" w:rsidRPr="00514088">
          <w:rPr>
            <w:rStyle w:val="Hyperlink"/>
            <w:noProof/>
            <w:lang w:bidi="en-US"/>
          </w:rPr>
          <w:t>.</w:t>
        </w:r>
        <w:r w:rsidR="00126DE5" w:rsidRPr="00514088">
          <w:rPr>
            <w:rStyle w:val="Hyperlink"/>
            <w:rFonts w:cs="Arial"/>
            <w:noProof/>
            <w:lang w:bidi="en-US"/>
          </w:rPr>
          <w:t>1</w:t>
        </w:r>
        <w:r w:rsidR="00126DE5" w:rsidRPr="00514088">
          <w:rPr>
            <w:rStyle w:val="Hyperlink"/>
            <w:noProof/>
            <w:lang w:bidi="en-US"/>
          </w:rPr>
          <w:t>: Green Roof Moisture Retention Depth Required for 40 Percent Volume Reduction, Los Angeles/Orange County</w:t>
        </w:r>
        <w:r w:rsidR="00126DE5">
          <w:rPr>
            <w:noProof/>
            <w:webHidden/>
          </w:rPr>
          <w:tab/>
        </w:r>
        <w:r>
          <w:rPr>
            <w:noProof/>
            <w:webHidden/>
          </w:rPr>
          <w:fldChar w:fldCharType="begin"/>
        </w:r>
        <w:r w:rsidR="00126DE5">
          <w:rPr>
            <w:noProof/>
            <w:webHidden/>
          </w:rPr>
          <w:instrText xml:space="preserve"> PAGEREF _Toc288554385 \h </w:instrText>
        </w:r>
        <w:r>
          <w:rPr>
            <w:noProof/>
            <w:webHidden/>
          </w:rPr>
        </w:r>
        <w:r>
          <w:rPr>
            <w:noProof/>
            <w:webHidden/>
          </w:rPr>
          <w:fldChar w:fldCharType="separate"/>
        </w:r>
        <w:r w:rsidR="00126DE5">
          <w:rPr>
            <w:noProof/>
            <w:webHidden/>
          </w:rPr>
          <w:t>IX-4</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86" w:history="1">
        <w:r w:rsidR="00126DE5" w:rsidRPr="00514088">
          <w:rPr>
            <w:rStyle w:val="Hyperlink"/>
            <w:noProof/>
            <w:lang w:bidi="en-US"/>
          </w:rPr>
          <w:t>Table X.1: Toilet and Urinal Water Usage per Resident or Employee</w:t>
        </w:r>
        <w:r w:rsidR="00126DE5">
          <w:rPr>
            <w:noProof/>
            <w:webHidden/>
          </w:rPr>
          <w:tab/>
        </w:r>
        <w:r>
          <w:rPr>
            <w:noProof/>
            <w:webHidden/>
          </w:rPr>
          <w:fldChar w:fldCharType="begin"/>
        </w:r>
        <w:r w:rsidR="00126DE5">
          <w:rPr>
            <w:noProof/>
            <w:webHidden/>
          </w:rPr>
          <w:instrText xml:space="preserve"> PAGEREF _Toc288554386 \h </w:instrText>
        </w:r>
        <w:r>
          <w:rPr>
            <w:noProof/>
            <w:webHidden/>
          </w:rPr>
        </w:r>
        <w:r>
          <w:rPr>
            <w:noProof/>
            <w:webHidden/>
          </w:rPr>
          <w:fldChar w:fldCharType="separate"/>
        </w:r>
        <w:r w:rsidR="00126DE5">
          <w:rPr>
            <w:noProof/>
            <w:webHidden/>
          </w:rPr>
          <w:t>X-3</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87" w:history="1">
        <w:r w:rsidR="00126DE5" w:rsidRPr="00514088">
          <w:rPr>
            <w:rStyle w:val="Hyperlink"/>
            <w:noProof/>
            <w:lang w:bidi="en-US"/>
          </w:rPr>
          <w:t>Table X.2: Monthly Reference ET Rates for Orange County (Inches)</w:t>
        </w:r>
        <w:r w:rsidR="00126DE5">
          <w:rPr>
            <w:noProof/>
            <w:webHidden/>
          </w:rPr>
          <w:tab/>
        </w:r>
        <w:r>
          <w:rPr>
            <w:noProof/>
            <w:webHidden/>
          </w:rPr>
          <w:fldChar w:fldCharType="begin"/>
        </w:r>
        <w:r w:rsidR="00126DE5">
          <w:rPr>
            <w:noProof/>
            <w:webHidden/>
          </w:rPr>
          <w:instrText xml:space="preserve"> PAGEREF _Toc288554387 \h </w:instrText>
        </w:r>
        <w:r>
          <w:rPr>
            <w:noProof/>
            <w:webHidden/>
          </w:rPr>
        </w:r>
        <w:r>
          <w:rPr>
            <w:noProof/>
            <w:webHidden/>
          </w:rPr>
          <w:fldChar w:fldCharType="separate"/>
        </w:r>
        <w:r w:rsidR="00126DE5">
          <w:rPr>
            <w:noProof/>
            <w:webHidden/>
          </w:rPr>
          <w:t>X-5</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88" w:history="1">
        <w:r w:rsidR="00126DE5" w:rsidRPr="00514088">
          <w:rPr>
            <w:rStyle w:val="Hyperlink"/>
            <w:noProof/>
            <w:lang w:bidi="en-US"/>
          </w:rPr>
          <w:t xml:space="preserve">Table </w:t>
        </w:r>
        <w:r w:rsidR="00126DE5" w:rsidRPr="00514088">
          <w:rPr>
            <w:rStyle w:val="Hyperlink"/>
            <w:rFonts w:cs="Arial"/>
            <w:noProof/>
            <w:lang w:bidi="en-US"/>
          </w:rPr>
          <w:t>X</w:t>
        </w:r>
        <w:r w:rsidR="00126DE5" w:rsidRPr="00514088">
          <w:rPr>
            <w:rStyle w:val="Hyperlink"/>
            <w:noProof/>
            <w:lang w:bidi="en-US"/>
          </w:rPr>
          <w:t>.</w:t>
        </w:r>
        <w:r w:rsidR="00126DE5" w:rsidRPr="00514088">
          <w:rPr>
            <w:rStyle w:val="Hyperlink"/>
            <w:rFonts w:cs="Arial"/>
            <w:noProof/>
            <w:lang w:bidi="en-US"/>
          </w:rPr>
          <w:t>3</w:t>
        </w:r>
        <w:r w:rsidR="00126DE5" w:rsidRPr="00514088">
          <w:rPr>
            <w:rStyle w:val="Hyperlink"/>
            <w:noProof/>
            <w:lang w:bidi="en-US"/>
          </w:rPr>
          <w:t>: Species, Density, and Microclimate Factors from WUCOLs for High, Moderate, Low and Very Low Water Use Plant Palettes</w:t>
        </w:r>
        <w:r w:rsidR="00126DE5">
          <w:rPr>
            <w:noProof/>
            <w:webHidden/>
          </w:rPr>
          <w:tab/>
        </w:r>
        <w:r>
          <w:rPr>
            <w:noProof/>
            <w:webHidden/>
          </w:rPr>
          <w:fldChar w:fldCharType="begin"/>
        </w:r>
        <w:r w:rsidR="00126DE5">
          <w:rPr>
            <w:noProof/>
            <w:webHidden/>
          </w:rPr>
          <w:instrText xml:space="preserve"> PAGEREF _Toc288554388 \h </w:instrText>
        </w:r>
        <w:r>
          <w:rPr>
            <w:noProof/>
            <w:webHidden/>
          </w:rPr>
        </w:r>
        <w:r>
          <w:rPr>
            <w:noProof/>
            <w:webHidden/>
          </w:rPr>
          <w:fldChar w:fldCharType="separate"/>
        </w:r>
        <w:r w:rsidR="00126DE5">
          <w:rPr>
            <w:noProof/>
            <w:webHidden/>
          </w:rPr>
          <w:t>X-6</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89" w:history="1">
        <w:r w:rsidR="00126DE5" w:rsidRPr="00514088">
          <w:rPr>
            <w:rStyle w:val="Hyperlink"/>
            <w:noProof/>
            <w:lang w:bidi="en-US"/>
          </w:rPr>
          <w:t xml:space="preserve">Table </w:t>
        </w:r>
        <w:r w:rsidR="00126DE5" w:rsidRPr="00514088">
          <w:rPr>
            <w:rStyle w:val="Hyperlink"/>
            <w:rFonts w:cs="Arial"/>
            <w:noProof/>
            <w:lang w:bidi="en-US"/>
          </w:rPr>
          <w:t>X</w:t>
        </w:r>
        <w:r w:rsidR="00126DE5" w:rsidRPr="00514088">
          <w:rPr>
            <w:rStyle w:val="Hyperlink"/>
            <w:noProof/>
            <w:lang w:bidi="en-US"/>
          </w:rPr>
          <w:t>.</w:t>
        </w:r>
        <w:r w:rsidR="00126DE5" w:rsidRPr="00514088">
          <w:rPr>
            <w:rStyle w:val="Hyperlink"/>
            <w:rFonts w:cs="Arial"/>
            <w:noProof/>
            <w:lang w:bidi="en-US"/>
          </w:rPr>
          <w:t>4</w:t>
        </w:r>
        <w:r w:rsidR="00126DE5" w:rsidRPr="00514088">
          <w:rPr>
            <w:rStyle w:val="Hyperlink"/>
            <w:noProof/>
            <w:lang w:bidi="en-US"/>
          </w:rPr>
          <w:t>: Planning Level Recommendations for Landscape Coefficient (KL)</w:t>
        </w:r>
        <w:r w:rsidR="00126DE5">
          <w:rPr>
            <w:noProof/>
            <w:webHidden/>
          </w:rPr>
          <w:tab/>
        </w:r>
        <w:r>
          <w:rPr>
            <w:noProof/>
            <w:webHidden/>
          </w:rPr>
          <w:fldChar w:fldCharType="begin"/>
        </w:r>
        <w:r w:rsidR="00126DE5">
          <w:rPr>
            <w:noProof/>
            <w:webHidden/>
          </w:rPr>
          <w:instrText xml:space="preserve"> PAGEREF _Toc288554389 \h </w:instrText>
        </w:r>
        <w:r>
          <w:rPr>
            <w:noProof/>
            <w:webHidden/>
          </w:rPr>
        </w:r>
        <w:r>
          <w:rPr>
            <w:noProof/>
            <w:webHidden/>
          </w:rPr>
          <w:fldChar w:fldCharType="separate"/>
        </w:r>
        <w:r w:rsidR="00126DE5">
          <w:rPr>
            <w:noProof/>
            <w:webHidden/>
          </w:rPr>
          <w:t>X-7</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90" w:history="1">
        <w:r w:rsidR="00126DE5" w:rsidRPr="00514088">
          <w:rPr>
            <w:rStyle w:val="Hyperlink"/>
            <w:noProof/>
            <w:lang w:bidi="en-US"/>
          </w:rPr>
          <w:t>Table X.5: Modified EWUA Daily Average Irrigation Demand by Location and Landscape Coefficient</w:t>
        </w:r>
        <w:r w:rsidR="00126DE5">
          <w:rPr>
            <w:noProof/>
            <w:webHidden/>
          </w:rPr>
          <w:tab/>
        </w:r>
        <w:r>
          <w:rPr>
            <w:noProof/>
            <w:webHidden/>
          </w:rPr>
          <w:fldChar w:fldCharType="begin"/>
        </w:r>
        <w:r w:rsidR="00126DE5">
          <w:rPr>
            <w:noProof/>
            <w:webHidden/>
          </w:rPr>
          <w:instrText xml:space="preserve"> PAGEREF _Toc288554390 \h </w:instrText>
        </w:r>
        <w:r>
          <w:rPr>
            <w:noProof/>
            <w:webHidden/>
          </w:rPr>
        </w:r>
        <w:r>
          <w:rPr>
            <w:noProof/>
            <w:webHidden/>
          </w:rPr>
          <w:fldChar w:fldCharType="separate"/>
        </w:r>
        <w:r w:rsidR="00126DE5">
          <w:rPr>
            <w:noProof/>
            <w:webHidden/>
          </w:rPr>
          <w:t>X-7</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91" w:history="1">
        <w:r w:rsidR="00126DE5" w:rsidRPr="00514088">
          <w:rPr>
            <w:rStyle w:val="Hyperlink"/>
            <w:noProof/>
            <w:lang w:bidi="en-US"/>
          </w:rPr>
          <w:t xml:space="preserve">Table </w:t>
        </w:r>
        <w:r w:rsidR="00126DE5" w:rsidRPr="00514088">
          <w:rPr>
            <w:rStyle w:val="Hyperlink"/>
            <w:rFonts w:cs="Arial"/>
            <w:noProof/>
            <w:lang w:bidi="en-US"/>
          </w:rPr>
          <w:t>X</w:t>
        </w:r>
        <w:r w:rsidR="00126DE5" w:rsidRPr="00514088">
          <w:rPr>
            <w:rStyle w:val="Hyperlink"/>
            <w:noProof/>
            <w:lang w:bidi="en-US"/>
          </w:rPr>
          <w:t>.</w:t>
        </w:r>
        <w:r w:rsidR="00126DE5" w:rsidRPr="00514088">
          <w:rPr>
            <w:rStyle w:val="Hyperlink"/>
            <w:rFonts w:cs="Arial"/>
            <w:noProof/>
            <w:lang w:bidi="en-US"/>
          </w:rPr>
          <w:t>6</w:t>
        </w:r>
        <w:r w:rsidR="00126DE5" w:rsidRPr="00514088">
          <w:rPr>
            <w:rStyle w:val="Hyperlink"/>
            <w:noProof/>
            <w:lang w:bidi="en-US"/>
          </w:rPr>
          <w:t>: Harvested Water Demand Thresholds for Minimum Partial Capture</w:t>
        </w:r>
        <w:r w:rsidR="00126DE5">
          <w:rPr>
            <w:noProof/>
            <w:webHidden/>
          </w:rPr>
          <w:tab/>
        </w:r>
        <w:r>
          <w:rPr>
            <w:noProof/>
            <w:webHidden/>
          </w:rPr>
          <w:fldChar w:fldCharType="begin"/>
        </w:r>
        <w:r w:rsidR="00126DE5">
          <w:rPr>
            <w:noProof/>
            <w:webHidden/>
          </w:rPr>
          <w:instrText xml:space="preserve"> PAGEREF _Toc288554391 \h </w:instrText>
        </w:r>
        <w:r>
          <w:rPr>
            <w:noProof/>
            <w:webHidden/>
          </w:rPr>
        </w:r>
        <w:r>
          <w:rPr>
            <w:noProof/>
            <w:webHidden/>
          </w:rPr>
          <w:fldChar w:fldCharType="separate"/>
        </w:r>
        <w:r w:rsidR="00126DE5">
          <w:rPr>
            <w:noProof/>
            <w:webHidden/>
          </w:rPr>
          <w:t>X-11</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92" w:history="1">
        <w:r w:rsidR="00126DE5" w:rsidRPr="00514088">
          <w:rPr>
            <w:rStyle w:val="Hyperlink"/>
            <w:noProof/>
            <w:lang w:bidi="en-US"/>
          </w:rPr>
          <w:t xml:space="preserve">Table </w:t>
        </w:r>
        <w:r w:rsidR="00126DE5" w:rsidRPr="00514088">
          <w:rPr>
            <w:rStyle w:val="Hyperlink"/>
            <w:rFonts w:cs="Arial"/>
            <w:noProof/>
            <w:lang w:bidi="en-US"/>
          </w:rPr>
          <w:t>X</w:t>
        </w:r>
        <w:r w:rsidR="00126DE5" w:rsidRPr="00514088">
          <w:rPr>
            <w:rStyle w:val="Hyperlink"/>
            <w:noProof/>
            <w:lang w:bidi="en-US"/>
          </w:rPr>
          <w:t>.</w:t>
        </w:r>
        <w:r w:rsidR="00126DE5" w:rsidRPr="00514088">
          <w:rPr>
            <w:rStyle w:val="Hyperlink"/>
            <w:rFonts w:cs="Arial"/>
            <w:noProof/>
            <w:lang w:bidi="en-US"/>
          </w:rPr>
          <w:t>7</w:t>
        </w:r>
        <w:r w:rsidR="00126DE5" w:rsidRPr="00514088">
          <w:rPr>
            <w:rStyle w:val="Hyperlink"/>
            <w:noProof/>
            <w:lang w:bidi="en-US"/>
          </w:rPr>
          <w:t>: Minimum TUTIA for Minimum Partial Capture</w:t>
        </w:r>
        <w:r w:rsidR="00126DE5">
          <w:rPr>
            <w:noProof/>
            <w:webHidden/>
          </w:rPr>
          <w:tab/>
        </w:r>
        <w:r>
          <w:rPr>
            <w:noProof/>
            <w:webHidden/>
          </w:rPr>
          <w:fldChar w:fldCharType="begin"/>
        </w:r>
        <w:r w:rsidR="00126DE5">
          <w:rPr>
            <w:noProof/>
            <w:webHidden/>
          </w:rPr>
          <w:instrText xml:space="preserve"> PAGEREF _Toc288554392 \h </w:instrText>
        </w:r>
        <w:r>
          <w:rPr>
            <w:noProof/>
            <w:webHidden/>
          </w:rPr>
        </w:r>
        <w:r>
          <w:rPr>
            <w:noProof/>
            <w:webHidden/>
          </w:rPr>
          <w:fldChar w:fldCharType="separate"/>
        </w:r>
        <w:r w:rsidR="00126DE5">
          <w:rPr>
            <w:noProof/>
            <w:webHidden/>
          </w:rPr>
          <w:t>X-12</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93" w:history="1">
        <w:r w:rsidR="00126DE5" w:rsidRPr="00514088">
          <w:rPr>
            <w:rStyle w:val="Hyperlink"/>
            <w:noProof/>
            <w:lang w:bidi="en-US"/>
          </w:rPr>
          <w:t xml:space="preserve">Table </w:t>
        </w:r>
        <w:r w:rsidR="00126DE5" w:rsidRPr="00514088">
          <w:rPr>
            <w:rStyle w:val="Hyperlink"/>
            <w:rFonts w:cs="Arial"/>
            <w:noProof/>
            <w:lang w:bidi="en-US"/>
          </w:rPr>
          <w:t>X</w:t>
        </w:r>
        <w:r w:rsidR="00126DE5" w:rsidRPr="00514088">
          <w:rPr>
            <w:rStyle w:val="Hyperlink"/>
            <w:noProof/>
            <w:lang w:bidi="en-US"/>
          </w:rPr>
          <w:t>.</w:t>
        </w:r>
        <w:r w:rsidR="00126DE5" w:rsidRPr="00514088">
          <w:rPr>
            <w:rStyle w:val="Hyperlink"/>
            <w:rFonts w:cs="Arial"/>
            <w:noProof/>
            <w:lang w:bidi="en-US"/>
          </w:rPr>
          <w:t>8</w:t>
        </w:r>
        <w:r w:rsidR="00126DE5" w:rsidRPr="00514088">
          <w:rPr>
            <w:rStyle w:val="Hyperlink"/>
            <w:noProof/>
            <w:lang w:bidi="en-US"/>
          </w:rPr>
          <w:t>: Minimum Irrigated Area for Potential Partial Capture Feasibility</w:t>
        </w:r>
        <w:r w:rsidR="00126DE5">
          <w:rPr>
            <w:noProof/>
            <w:webHidden/>
          </w:rPr>
          <w:tab/>
        </w:r>
        <w:r>
          <w:rPr>
            <w:noProof/>
            <w:webHidden/>
          </w:rPr>
          <w:fldChar w:fldCharType="begin"/>
        </w:r>
        <w:r w:rsidR="00126DE5">
          <w:rPr>
            <w:noProof/>
            <w:webHidden/>
          </w:rPr>
          <w:instrText xml:space="preserve"> PAGEREF _Toc288554393 \h </w:instrText>
        </w:r>
        <w:r>
          <w:rPr>
            <w:noProof/>
            <w:webHidden/>
          </w:rPr>
        </w:r>
        <w:r>
          <w:rPr>
            <w:noProof/>
            <w:webHidden/>
          </w:rPr>
          <w:fldChar w:fldCharType="separate"/>
        </w:r>
        <w:r w:rsidR="00126DE5">
          <w:rPr>
            <w:noProof/>
            <w:webHidden/>
          </w:rPr>
          <w:t>X-13</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94" w:history="1">
        <w:r w:rsidR="00126DE5" w:rsidRPr="00514088">
          <w:rPr>
            <w:rStyle w:val="Hyperlink"/>
            <w:noProof/>
            <w:lang w:bidi="en-US"/>
          </w:rPr>
          <w:t>Table XI.1: Recommended Minimum Criteria for Site Design</w:t>
        </w:r>
        <w:r w:rsidR="00126DE5">
          <w:rPr>
            <w:noProof/>
            <w:webHidden/>
          </w:rPr>
          <w:tab/>
        </w:r>
        <w:r>
          <w:rPr>
            <w:noProof/>
            <w:webHidden/>
          </w:rPr>
          <w:fldChar w:fldCharType="begin"/>
        </w:r>
        <w:r w:rsidR="00126DE5">
          <w:rPr>
            <w:noProof/>
            <w:webHidden/>
          </w:rPr>
          <w:instrText xml:space="preserve"> PAGEREF _Toc288554394 \h </w:instrText>
        </w:r>
        <w:r>
          <w:rPr>
            <w:noProof/>
            <w:webHidden/>
          </w:rPr>
        </w:r>
        <w:r>
          <w:rPr>
            <w:noProof/>
            <w:webHidden/>
          </w:rPr>
          <w:fldChar w:fldCharType="separate"/>
        </w:r>
        <w:r w:rsidR="00126DE5">
          <w:rPr>
            <w:noProof/>
            <w:webHidden/>
          </w:rPr>
          <w:t>XI-6</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95" w:history="1">
        <w:r w:rsidR="00126DE5" w:rsidRPr="00514088">
          <w:rPr>
            <w:rStyle w:val="Hyperlink"/>
            <w:noProof/>
            <w:lang w:bidi="en-US"/>
          </w:rPr>
          <w:t xml:space="preserve">Table </w:t>
        </w:r>
        <w:r w:rsidR="00126DE5" w:rsidRPr="00514088">
          <w:rPr>
            <w:rStyle w:val="Hyperlink"/>
            <w:rFonts w:cs="Arial"/>
            <w:noProof/>
            <w:lang w:bidi="en-US"/>
          </w:rPr>
          <w:t>XIII</w:t>
        </w:r>
        <w:r w:rsidR="00126DE5" w:rsidRPr="00514088">
          <w:rPr>
            <w:rStyle w:val="Hyperlink"/>
            <w:noProof/>
            <w:lang w:bidi="en-US"/>
          </w:rPr>
          <w:t>.</w:t>
        </w:r>
        <w:r w:rsidR="00126DE5" w:rsidRPr="00514088">
          <w:rPr>
            <w:rStyle w:val="Hyperlink"/>
            <w:rFonts w:cs="Arial"/>
            <w:noProof/>
            <w:lang w:bidi="en-US"/>
          </w:rPr>
          <w:t>1:</w:t>
        </w:r>
        <w:r w:rsidR="00126DE5" w:rsidRPr="00514088">
          <w:rPr>
            <w:rStyle w:val="Hyperlink"/>
            <w:noProof/>
            <w:lang w:bidi="en-US"/>
          </w:rPr>
          <w:t xml:space="preserve"> Volume Reduction Summary of Biotreatment BMP Categories in the International Stormwater BMP Database</w:t>
        </w:r>
        <w:r w:rsidR="00126DE5">
          <w:rPr>
            <w:noProof/>
            <w:webHidden/>
          </w:rPr>
          <w:tab/>
        </w:r>
        <w:r>
          <w:rPr>
            <w:noProof/>
            <w:webHidden/>
          </w:rPr>
          <w:fldChar w:fldCharType="begin"/>
        </w:r>
        <w:r w:rsidR="00126DE5">
          <w:rPr>
            <w:noProof/>
            <w:webHidden/>
          </w:rPr>
          <w:instrText xml:space="preserve"> PAGEREF _Toc288554395 \h </w:instrText>
        </w:r>
        <w:r>
          <w:rPr>
            <w:noProof/>
            <w:webHidden/>
          </w:rPr>
        </w:r>
        <w:r>
          <w:rPr>
            <w:noProof/>
            <w:webHidden/>
          </w:rPr>
          <w:fldChar w:fldCharType="separate"/>
        </w:r>
        <w:r w:rsidR="00126DE5">
          <w:rPr>
            <w:noProof/>
            <w:webHidden/>
          </w:rPr>
          <w:t>XIII-4</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96" w:history="1">
        <w:r w:rsidR="00126DE5" w:rsidRPr="00514088">
          <w:rPr>
            <w:rStyle w:val="Hyperlink"/>
            <w:noProof/>
            <w:lang w:bidi="en-US"/>
          </w:rPr>
          <w:t xml:space="preserve">Table </w:t>
        </w:r>
        <w:r w:rsidR="00126DE5" w:rsidRPr="00514088">
          <w:rPr>
            <w:rStyle w:val="Hyperlink"/>
            <w:rFonts w:cs="Arial"/>
            <w:noProof/>
            <w:lang w:bidi="en-US"/>
          </w:rPr>
          <w:t>XIV</w:t>
        </w:r>
        <w:r w:rsidR="00126DE5" w:rsidRPr="00514088">
          <w:rPr>
            <w:rStyle w:val="Hyperlink"/>
            <w:noProof/>
            <w:lang w:bidi="en-US"/>
          </w:rPr>
          <w:t>.</w:t>
        </w:r>
        <w:r w:rsidR="00126DE5" w:rsidRPr="00514088">
          <w:rPr>
            <w:rStyle w:val="Hyperlink"/>
            <w:rFonts w:cs="Arial"/>
            <w:noProof/>
            <w:lang w:bidi="en-US"/>
          </w:rPr>
          <w:t>1</w:t>
        </w:r>
        <w:r w:rsidR="00126DE5" w:rsidRPr="00514088">
          <w:rPr>
            <w:rStyle w:val="Hyperlink"/>
            <w:noProof/>
            <w:lang w:bidi="en-US"/>
          </w:rPr>
          <w:t>: Proprietary Hydrodynamic Device Manufacturer Websites</w:t>
        </w:r>
        <w:r w:rsidR="00126DE5">
          <w:rPr>
            <w:noProof/>
            <w:webHidden/>
          </w:rPr>
          <w:tab/>
        </w:r>
        <w:r>
          <w:rPr>
            <w:noProof/>
            <w:webHidden/>
          </w:rPr>
          <w:fldChar w:fldCharType="begin"/>
        </w:r>
        <w:r w:rsidR="00126DE5">
          <w:rPr>
            <w:noProof/>
            <w:webHidden/>
          </w:rPr>
          <w:instrText xml:space="preserve"> PAGEREF _Toc288554396 \h </w:instrText>
        </w:r>
        <w:r>
          <w:rPr>
            <w:noProof/>
            <w:webHidden/>
          </w:rPr>
        </w:r>
        <w:r>
          <w:rPr>
            <w:noProof/>
            <w:webHidden/>
          </w:rPr>
          <w:fldChar w:fldCharType="separate"/>
        </w:r>
        <w:r w:rsidR="00126DE5">
          <w:rPr>
            <w:noProof/>
            <w:webHidden/>
          </w:rPr>
          <w:t>XIV-77</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397" w:history="1">
        <w:r w:rsidR="00126DE5" w:rsidRPr="00514088">
          <w:rPr>
            <w:rStyle w:val="Hyperlink"/>
            <w:noProof/>
            <w:lang w:bidi="en-US"/>
          </w:rPr>
          <w:t xml:space="preserve">Table </w:t>
        </w:r>
        <w:r w:rsidR="00126DE5" w:rsidRPr="00514088">
          <w:rPr>
            <w:rStyle w:val="Hyperlink"/>
            <w:rFonts w:cs="Arial"/>
            <w:noProof/>
            <w:lang w:bidi="en-US"/>
          </w:rPr>
          <w:t>XIV</w:t>
        </w:r>
        <w:r w:rsidR="00126DE5" w:rsidRPr="00514088">
          <w:rPr>
            <w:rStyle w:val="Hyperlink"/>
            <w:noProof/>
            <w:lang w:bidi="en-US"/>
          </w:rPr>
          <w:t>.</w:t>
        </w:r>
        <w:r w:rsidR="00126DE5" w:rsidRPr="00514088">
          <w:rPr>
            <w:rStyle w:val="Hyperlink"/>
            <w:rFonts w:cs="Arial"/>
            <w:noProof/>
            <w:lang w:bidi="en-US"/>
          </w:rPr>
          <w:t>2</w:t>
        </w:r>
        <w:r w:rsidR="00126DE5" w:rsidRPr="00514088">
          <w:rPr>
            <w:rStyle w:val="Hyperlink"/>
            <w:noProof/>
            <w:lang w:bidi="en-US"/>
          </w:rPr>
          <w:t>: Proprietary Catch Basin Insert Manufacturer Websites</w:t>
        </w:r>
        <w:r w:rsidR="00126DE5">
          <w:rPr>
            <w:noProof/>
            <w:webHidden/>
          </w:rPr>
          <w:tab/>
        </w:r>
        <w:r>
          <w:rPr>
            <w:noProof/>
            <w:webHidden/>
          </w:rPr>
          <w:fldChar w:fldCharType="begin"/>
        </w:r>
        <w:r w:rsidR="00126DE5">
          <w:rPr>
            <w:noProof/>
            <w:webHidden/>
          </w:rPr>
          <w:instrText xml:space="preserve"> PAGEREF _Toc288554397 \h </w:instrText>
        </w:r>
        <w:r>
          <w:rPr>
            <w:noProof/>
            <w:webHidden/>
          </w:rPr>
        </w:r>
        <w:r>
          <w:rPr>
            <w:noProof/>
            <w:webHidden/>
          </w:rPr>
          <w:fldChar w:fldCharType="separate"/>
        </w:r>
        <w:r w:rsidR="00126DE5">
          <w:rPr>
            <w:noProof/>
            <w:webHidden/>
          </w:rPr>
          <w:t>XIV-78</w:t>
        </w:r>
        <w:r>
          <w:rPr>
            <w:noProof/>
            <w:webHidden/>
          </w:rPr>
          <w:fldChar w:fldCharType="end"/>
        </w:r>
      </w:hyperlink>
    </w:p>
    <w:p w:rsidR="003A7710" w:rsidRDefault="00126F3D" w:rsidP="00572495">
      <w:pPr>
        <w:pStyle w:val="CDMBTEXT"/>
      </w:pPr>
      <w:r w:rsidRPr="00126DE5">
        <w:rPr>
          <w:b/>
          <w:color w:val="0070C0"/>
        </w:rPr>
        <w:fldChar w:fldCharType="end"/>
      </w:r>
    </w:p>
    <w:p w:rsidR="003A7710" w:rsidRPr="005E57C9" w:rsidRDefault="003A7710" w:rsidP="00572495">
      <w:pPr>
        <w:pStyle w:val="CDMBTEXT"/>
        <w:rPr>
          <w:b/>
        </w:rPr>
      </w:pPr>
      <w:r w:rsidRPr="005E57C9">
        <w:rPr>
          <w:b/>
        </w:rPr>
        <w:t>FIGURES</w:t>
      </w:r>
    </w:p>
    <w:p w:rsidR="007A7FCC" w:rsidRDefault="00126F3D">
      <w:pPr>
        <w:pStyle w:val="TableofFigures"/>
        <w:tabs>
          <w:tab w:val="right" w:leader="dot" w:pos="9350"/>
        </w:tabs>
        <w:rPr>
          <w:rFonts w:asciiTheme="minorHAnsi" w:eastAsiaTheme="minorEastAsia" w:hAnsiTheme="minorHAnsi" w:cstheme="minorBidi"/>
          <w:noProof/>
          <w:szCs w:val="22"/>
        </w:rPr>
      </w:pPr>
      <w:r w:rsidRPr="00126F3D">
        <w:rPr>
          <w:b/>
          <w:color w:val="0070C0"/>
        </w:rPr>
        <w:fldChar w:fldCharType="begin"/>
      </w:r>
      <w:r w:rsidR="003A7710" w:rsidRPr="00126DE5">
        <w:rPr>
          <w:b/>
          <w:color w:val="0070C0"/>
        </w:rPr>
        <w:instrText xml:space="preserve"> TOC \h \z \c "Figure" </w:instrText>
      </w:r>
      <w:r w:rsidRPr="00126F3D">
        <w:rPr>
          <w:b/>
          <w:color w:val="0070C0"/>
        </w:rPr>
        <w:fldChar w:fldCharType="separate"/>
      </w:r>
      <w:hyperlink w:anchor="_Toc288555025" w:history="1">
        <w:r w:rsidR="007A7FCC" w:rsidRPr="00882248">
          <w:rPr>
            <w:rStyle w:val="Hyperlink"/>
            <w:noProof/>
            <w:lang w:bidi="en-US"/>
          </w:rPr>
          <w:t>Figure III.1. Design Capture Rainfall Zones in Orange County</w:t>
        </w:r>
        <w:r w:rsidR="007A7FCC">
          <w:rPr>
            <w:noProof/>
            <w:webHidden/>
          </w:rPr>
          <w:tab/>
        </w:r>
        <w:r>
          <w:rPr>
            <w:noProof/>
            <w:webHidden/>
          </w:rPr>
          <w:fldChar w:fldCharType="begin"/>
        </w:r>
        <w:r w:rsidR="007A7FCC">
          <w:rPr>
            <w:noProof/>
            <w:webHidden/>
          </w:rPr>
          <w:instrText xml:space="preserve"> PAGEREF _Toc288555025 \h </w:instrText>
        </w:r>
        <w:r>
          <w:rPr>
            <w:noProof/>
            <w:webHidden/>
          </w:rPr>
        </w:r>
        <w:r>
          <w:rPr>
            <w:noProof/>
            <w:webHidden/>
          </w:rPr>
          <w:fldChar w:fldCharType="separate"/>
        </w:r>
        <w:r w:rsidR="007A7FCC">
          <w:rPr>
            <w:noProof/>
            <w:webHidden/>
          </w:rPr>
          <w:t>III-11</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26" w:history="1">
        <w:r w:rsidR="007A7FCC" w:rsidRPr="00882248">
          <w:rPr>
            <w:rStyle w:val="Hyperlink"/>
            <w:noProof/>
            <w:lang w:bidi="en-US"/>
          </w:rPr>
          <w:t>Figure III.2. Capture Efficiency Nomograph for Constant Drawdown Systems in Orange County</w:t>
        </w:r>
        <w:r w:rsidR="007A7FCC">
          <w:rPr>
            <w:noProof/>
            <w:webHidden/>
          </w:rPr>
          <w:tab/>
        </w:r>
        <w:r>
          <w:rPr>
            <w:noProof/>
            <w:webHidden/>
          </w:rPr>
          <w:fldChar w:fldCharType="begin"/>
        </w:r>
        <w:r w:rsidR="007A7FCC">
          <w:rPr>
            <w:noProof/>
            <w:webHidden/>
          </w:rPr>
          <w:instrText xml:space="preserve"> PAGEREF _Toc288555026 \h </w:instrText>
        </w:r>
        <w:r>
          <w:rPr>
            <w:noProof/>
            <w:webHidden/>
          </w:rPr>
        </w:r>
        <w:r>
          <w:rPr>
            <w:noProof/>
            <w:webHidden/>
          </w:rPr>
          <w:fldChar w:fldCharType="separate"/>
        </w:r>
        <w:r w:rsidR="007A7FCC">
          <w:rPr>
            <w:noProof/>
            <w:webHidden/>
          </w:rPr>
          <w:t>III-12</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27" w:history="1">
        <w:r w:rsidR="007A7FCC" w:rsidRPr="00882248">
          <w:rPr>
            <w:rStyle w:val="Hyperlink"/>
            <w:noProof/>
            <w:lang w:bidi="en-US"/>
          </w:rPr>
          <w:t>Figure III.3</w:t>
        </w:r>
        <w:r w:rsidR="007A7FCC" w:rsidRPr="00882248">
          <w:rPr>
            <w:rStyle w:val="Hyperlink"/>
            <w:rFonts w:cs="Arial"/>
            <w:noProof/>
            <w:lang w:bidi="en-US"/>
          </w:rPr>
          <w:t>.</w:t>
        </w:r>
        <w:r w:rsidR="007A7FCC" w:rsidRPr="00882248">
          <w:rPr>
            <w:rStyle w:val="Hyperlink"/>
            <w:noProof/>
            <w:lang w:bidi="en-US"/>
          </w:rPr>
          <w:t xml:space="preserve"> Capture Efficiency Nomograph for Harvest and Use Systems with Irrigation Demand in Orange County</w:t>
        </w:r>
        <w:r w:rsidR="007A7FCC">
          <w:rPr>
            <w:noProof/>
            <w:webHidden/>
          </w:rPr>
          <w:tab/>
        </w:r>
        <w:r>
          <w:rPr>
            <w:noProof/>
            <w:webHidden/>
          </w:rPr>
          <w:fldChar w:fldCharType="begin"/>
        </w:r>
        <w:r w:rsidR="007A7FCC">
          <w:rPr>
            <w:noProof/>
            <w:webHidden/>
          </w:rPr>
          <w:instrText xml:space="preserve"> PAGEREF _Toc288555027 \h </w:instrText>
        </w:r>
        <w:r>
          <w:rPr>
            <w:noProof/>
            <w:webHidden/>
          </w:rPr>
        </w:r>
        <w:r>
          <w:rPr>
            <w:noProof/>
            <w:webHidden/>
          </w:rPr>
          <w:fldChar w:fldCharType="separate"/>
        </w:r>
        <w:r w:rsidR="007A7FCC">
          <w:rPr>
            <w:noProof/>
            <w:webHidden/>
          </w:rPr>
          <w:t>III-13</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28" w:history="1">
        <w:r w:rsidR="007A7FCC" w:rsidRPr="00882248">
          <w:rPr>
            <w:rStyle w:val="Hyperlink"/>
            <w:noProof/>
            <w:lang w:bidi="en-US"/>
          </w:rPr>
          <w:t>Figure III.4</w:t>
        </w:r>
        <w:r w:rsidR="007A7FCC" w:rsidRPr="00882248">
          <w:rPr>
            <w:rStyle w:val="Hyperlink"/>
            <w:rFonts w:cs="Arial"/>
            <w:noProof/>
            <w:lang w:bidi="en-US"/>
          </w:rPr>
          <w:t xml:space="preserve">. </w:t>
        </w:r>
        <w:r w:rsidR="007A7FCC" w:rsidRPr="00882248">
          <w:rPr>
            <w:rStyle w:val="Hyperlink"/>
            <w:noProof/>
            <w:lang w:bidi="en-US"/>
          </w:rPr>
          <w:t>Capture Efficiency Nomograph for Off-line Flow-based Systems in Orange County</w:t>
        </w:r>
        <w:r w:rsidR="007A7FCC">
          <w:rPr>
            <w:noProof/>
            <w:webHidden/>
          </w:rPr>
          <w:tab/>
        </w:r>
        <w:r>
          <w:rPr>
            <w:noProof/>
            <w:webHidden/>
          </w:rPr>
          <w:fldChar w:fldCharType="begin"/>
        </w:r>
        <w:r w:rsidR="007A7FCC">
          <w:rPr>
            <w:noProof/>
            <w:webHidden/>
          </w:rPr>
          <w:instrText xml:space="preserve"> PAGEREF _Toc288555028 \h </w:instrText>
        </w:r>
        <w:r>
          <w:rPr>
            <w:noProof/>
            <w:webHidden/>
          </w:rPr>
        </w:r>
        <w:r>
          <w:rPr>
            <w:noProof/>
            <w:webHidden/>
          </w:rPr>
          <w:fldChar w:fldCharType="separate"/>
        </w:r>
        <w:r w:rsidR="007A7FCC">
          <w:rPr>
            <w:noProof/>
            <w:webHidden/>
          </w:rPr>
          <w:t>III-14</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29" w:history="1">
        <w:r w:rsidR="007A7FCC" w:rsidRPr="00882248">
          <w:rPr>
            <w:rStyle w:val="Hyperlink"/>
            <w:noProof/>
          </w:rPr>
          <w:t>Figure III.5 Graphical Operations Supporting Example III.6</w:t>
        </w:r>
        <w:r w:rsidR="007A7FCC">
          <w:rPr>
            <w:noProof/>
            <w:webHidden/>
          </w:rPr>
          <w:tab/>
        </w:r>
        <w:r>
          <w:rPr>
            <w:noProof/>
            <w:webHidden/>
          </w:rPr>
          <w:fldChar w:fldCharType="begin"/>
        </w:r>
        <w:r w:rsidR="007A7FCC">
          <w:rPr>
            <w:noProof/>
            <w:webHidden/>
          </w:rPr>
          <w:instrText xml:space="preserve"> PAGEREF _Toc288555029 \h </w:instrText>
        </w:r>
        <w:r>
          <w:rPr>
            <w:noProof/>
            <w:webHidden/>
          </w:rPr>
        </w:r>
        <w:r>
          <w:rPr>
            <w:noProof/>
            <w:webHidden/>
          </w:rPr>
          <w:fldChar w:fldCharType="separate"/>
        </w:r>
        <w:r w:rsidR="007A7FCC">
          <w:rPr>
            <w:noProof/>
            <w:webHidden/>
          </w:rPr>
          <w:t>III-20</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30" w:history="1">
        <w:r w:rsidR="007A7FCC" w:rsidRPr="00882248">
          <w:rPr>
            <w:rStyle w:val="Hyperlink"/>
            <w:noProof/>
          </w:rPr>
          <w:t>Figure III.6 Graphical Operations Supporting Example III.7</w:t>
        </w:r>
        <w:r w:rsidR="007A7FCC">
          <w:rPr>
            <w:noProof/>
            <w:webHidden/>
          </w:rPr>
          <w:tab/>
        </w:r>
        <w:r>
          <w:rPr>
            <w:noProof/>
            <w:webHidden/>
          </w:rPr>
          <w:fldChar w:fldCharType="begin"/>
        </w:r>
        <w:r w:rsidR="007A7FCC">
          <w:rPr>
            <w:noProof/>
            <w:webHidden/>
          </w:rPr>
          <w:instrText xml:space="preserve"> PAGEREF _Toc288555030 \h </w:instrText>
        </w:r>
        <w:r>
          <w:rPr>
            <w:noProof/>
            <w:webHidden/>
          </w:rPr>
        </w:r>
        <w:r>
          <w:rPr>
            <w:noProof/>
            <w:webHidden/>
          </w:rPr>
          <w:fldChar w:fldCharType="separate"/>
        </w:r>
        <w:r w:rsidR="007A7FCC">
          <w:rPr>
            <w:noProof/>
            <w:webHidden/>
          </w:rPr>
          <w:t>III-24</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31" w:history="1">
        <w:r w:rsidR="007A7FCC" w:rsidRPr="00882248">
          <w:rPr>
            <w:rStyle w:val="Hyperlink"/>
            <w:noProof/>
          </w:rPr>
          <w:t>Figure III.7 Graphical Operations Supporting Example III.8</w:t>
        </w:r>
        <w:r w:rsidR="007A7FCC">
          <w:rPr>
            <w:noProof/>
            <w:webHidden/>
          </w:rPr>
          <w:tab/>
        </w:r>
        <w:r>
          <w:rPr>
            <w:noProof/>
            <w:webHidden/>
          </w:rPr>
          <w:fldChar w:fldCharType="begin"/>
        </w:r>
        <w:r w:rsidR="007A7FCC">
          <w:rPr>
            <w:noProof/>
            <w:webHidden/>
          </w:rPr>
          <w:instrText xml:space="preserve"> PAGEREF _Toc288555031 \h </w:instrText>
        </w:r>
        <w:r>
          <w:rPr>
            <w:noProof/>
            <w:webHidden/>
          </w:rPr>
        </w:r>
        <w:r>
          <w:rPr>
            <w:noProof/>
            <w:webHidden/>
          </w:rPr>
          <w:fldChar w:fldCharType="separate"/>
        </w:r>
        <w:r w:rsidR="007A7FCC">
          <w:rPr>
            <w:noProof/>
            <w:webHidden/>
          </w:rPr>
          <w:t>III-29</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32" w:history="1">
        <w:r w:rsidR="007A7FCC" w:rsidRPr="00882248">
          <w:rPr>
            <w:rStyle w:val="Hyperlink"/>
            <w:noProof/>
          </w:rPr>
          <w:t>Figure IV.1: WinTR-55 home screen</w:t>
        </w:r>
        <w:r w:rsidR="007A7FCC">
          <w:rPr>
            <w:noProof/>
            <w:webHidden/>
          </w:rPr>
          <w:tab/>
        </w:r>
        <w:r>
          <w:rPr>
            <w:noProof/>
            <w:webHidden/>
          </w:rPr>
          <w:fldChar w:fldCharType="begin"/>
        </w:r>
        <w:r w:rsidR="007A7FCC">
          <w:rPr>
            <w:noProof/>
            <w:webHidden/>
          </w:rPr>
          <w:instrText xml:space="preserve"> PAGEREF _Toc288555032 \h </w:instrText>
        </w:r>
        <w:r>
          <w:rPr>
            <w:noProof/>
            <w:webHidden/>
          </w:rPr>
        </w:r>
        <w:r>
          <w:rPr>
            <w:noProof/>
            <w:webHidden/>
          </w:rPr>
          <w:fldChar w:fldCharType="separate"/>
        </w:r>
        <w:r w:rsidR="007A7FCC">
          <w:rPr>
            <w:noProof/>
            <w:webHidden/>
          </w:rPr>
          <w:t>IV-5</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33" w:history="1">
        <w:r w:rsidR="007A7FCC" w:rsidRPr="00882248">
          <w:rPr>
            <w:rStyle w:val="Hyperlink"/>
            <w:noProof/>
          </w:rPr>
          <w:t>Figure IV.2: WinTR-55 Storm Data screen</w:t>
        </w:r>
        <w:r w:rsidR="007A7FCC">
          <w:rPr>
            <w:noProof/>
            <w:webHidden/>
          </w:rPr>
          <w:tab/>
        </w:r>
        <w:r>
          <w:rPr>
            <w:noProof/>
            <w:webHidden/>
          </w:rPr>
          <w:fldChar w:fldCharType="begin"/>
        </w:r>
        <w:r w:rsidR="007A7FCC">
          <w:rPr>
            <w:noProof/>
            <w:webHidden/>
          </w:rPr>
          <w:instrText xml:space="preserve"> PAGEREF _Toc288555033 \h </w:instrText>
        </w:r>
        <w:r>
          <w:rPr>
            <w:noProof/>
            <w:webHidden/>
          </w:rPr>
        </w:r>
        <w:r>
          <w:rPr>
            <w:noProof/>
            <w:webHidden/>
          </w:rPr>
          <w:fldChar w:fldCharType="separate"/>
        </w:r>
        <w:r w:rsidR="007A7FCC">
          <w:rPr>
            <w:noProof/>
            <w:webHidden/>
          </w:rPr>
          <w:t>IV-6</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34" w:history="1">
        <w:r w:rsidR="007A7FCC" w:rsidRPr="00882248">
          <w:rPr>
            <w:rStyle w:val="Hyperlink"/>
            <w:noProof/>
          </w:rPr>
          <w:t>Figure IV.3: WinTR-55 Land Use Details screen</w:t>
        </w:r>
        <w:r w:rsidR="007A7FCC">
          <w:rPr>
            <w:noProof/>
            <w:webHidden/>
          </w:rPr>
          <w:tab/>
        </w:r>
        <w:r>
          <w:rPr>
            <w:noProof/>
            <w:webHidden/>
          </w:rPr>
          <w:fldChar w:fldCharType="begin"/>
        </w:r>
        <w:r w:rsidR="007A7FCC">
          <w:rPr>
            <w:noProof/>
            <w:webHidden/>
          </w:rPr>
          <w:instrText xml:space="preserve"> PAGEREF _Toc288555034 \h </w:instrText>
        </w:r>
        <w:r>
          <w:rPr>
            <w:noProof/>
            <w:webHidden/>
          </w:rPr>
        </w:r>
        <w:r>
          <w:rPr>
            <w:noProof/>
            <w:webHidden/>
          </w:rPr>
          <w:fldChar w:fldCharType="separate"/>
        </w:r>
        <w:r w:rsidR="007A7FCC">
          <w:rPr>
            <w:noProof/>
            <w:webHidden/>
          </w:rPr>
          <w:t>IV-7</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35" w:history="1">
        <w:r w:rsidR="007A7FCC" w:rsidRPr="00882248">
          <w:rPr>
            <w:rStyle w:val="Hyperlink"/>
            <w:noProof/>
          </w:rPr>
          <w:t>Figure IV.4: WinTR-55 Time of Concentration Details screen</w:t>
        </w:r>
        <w:r w:rsidR="007A7FCC">
          <w:rPr>
            <w:noProof/>
            <w:webHidden/>
          </w:rPr>
          <w:tab/>
        </w:r>
        <w:r>
          <w:rPr>
            <w:noProof/>
            <w:webHidden/>
          </w:rPr>
          <w:fldChar w:fldCharType="begin"/>
        </w:r>
        <w:r w:rsidR="007A7FCC">
          <w:rPr>
            <w:noProof/>
            <w:webHidden/>
          </w:rPr>
          <w:instrText xml:space="preserve"> PAGEREF _Toc288555035 \h </w:instrText>
        </w:r>
        <w:r>
          <w:rPr>
            <w:noProof/>
            <w:webHidden/>
          </w:rPr>
        </w:r>
        <w:r>
          <w:rPr>
            <w:noProof/>
            <w:webHidden/>
          </w:rPr>
          <w:fldChar w:fldCharType="separate"/>
        </w:r>
        <w:r w:rsidR="007A7FCC">
          <w:rPr>
            <w:noProof/>
            <w:webHidden/>
          </w:rPr>
          <w:t>IV-8</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36" w:history="1">
        <w:r w:rsidR="007A7FCC" w:rsidRPr="00882248">
          <w:rPr>
            <w:rStyle w:val="Hyperlink"/>
            <w:noProof/>
          </w:rPr>
          <w:t>Figure IV.5: WinTR-55 Run Model screen</w:t>
        </w:r>
        <w:r w:rsidR="007A7FCC">
          <w:rPr>
            <w:noProof/>
            <w:webHidden/>
          </w:rPr>
          <w:tab/>
        </w:r>
        <w:r>
          <w:rPr>
            <w:noProof/>
            <w:webHidden/>
          </w:rPr>
          <w:fldChar w:fldCharType="begin"/>
        </w:r>
        <w:r w:rsidR="007A7FCC">
          <w:rPr>
            <w:noProof/>
            <w:webHidden/>
          </w:rPr>
          <w:instrText xml:space="preserve"> PAGEREF _Toc288555036 \h </w:instrText>
        </w:r>
        <w:r>
          <w:rPr>
            <w:noProof/>
            <w:webHidden/>
          </w:rPr>
        </w:r>
        <w:r>
          <w:rPr>
            <w:noProof/>
            <w:webHidden/>
          </w:rPr>
          <w:fldChar w:fldCharType="separate"/>
        </w:r>
        <w:r w:rsidR="007A7FCC">
          <w:rPr>
            <w:noProof/>
            <w:webHidden/>
          </w:rPr>
          <w:t>IV-9</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37" w:history="1">
        <w:r w:rsidR="007A7FCC" w:rsidRPr="00882248">
          <w:rPr>
            <w:rStyle w:val="Hyperlink"/>
            <w:noProof/>
          </w:rPr>
          <w:t>Figure IV.6: WinTR-55 Hydrograph Peak/Peak Timetable screen</w:t>
        </w:r>
        <w:r w:rsidR="007A7FCC">
          <w:rPr>
            <w:noProof/>
            <w:webHidden/>
          </w:rPr>
          <w:tab/>
        </w:r>
        <w:r>
          <w:rPr>
            <w:noProof/>
            <w:webHidden/>
          </w:rPr>
          <w:fldChar w:fldCharType="begin"/>
        </w:r>
        <w:r w:rsidR="007A7FCC">
          <w:rPr>
            <w:noProof/>
            <w:webHidden/>
          </w:rPr>
          <w:instrText xml:space="preserve"> PAGEREF _Toc288555037 \h </w:instrText>
        </w:r>
        <w:r>
          <w:rPr>
            <w:noProof/>
            <w:webHidden/>
          </w:rPr>
        </w:r>
        <w:r>
          <w:rPr>
            <w:noProof/>
            <w:webHidden/>
          </w:rPr>
          <w:fldChar w:fldCharType="separate"/>
        </w:r>
        <w:r w:rsidR="007A7FCC">
          <w:rPr>
            <w:noProof/>
            <w:webHidden/>
          </w:rPr>
          <w:t>IV-10</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38" w:history="1">
        <w:r w:rsidR="007A7FCC" w:rsidRPr="00882248">
          <w:rPr>
            <w:rStyle w:val="Hyperlink"/>
            <w:noProof/>
          </w:rPr>
          <w:t>Figure IV.7: WinTR-20 Printed Page File screen</w:t>
        </w:r>
        <w:r w:rsidR="007A7FCC">
          <w:rPr>
            <w:noProof/>
            <w:webHidden/>
          </w:rPr>
          <w:tab/>
        </w:r>
        <w:r>
          <w:rPr>
            <w:noProof/>
            <w:webHidden/>
          </w:rPr>
          <w:fldChar w:fldCharType="begin"/>
        </w:r>
        <w:r w:rsidR="007A7FCC">
          <w:rPr>
            <w:noProof/>
            <w:webHidden/>
          </w:rPr>
          <w:instrText xml:space="preserve"> PAGEREF _Toc288555038 \h </w:instrText>
        </w:r>
        <w:r>
          <w:rPr>
            <w:noProof/>
            <w:webHidden/>
          </w:rPr>
        </w:r>
        <w:r>
          <w:rPr>
            <w:noProof/>
            <w:webHidden/>
          </w:rPr>
          <w:fldChar w:fldCharType="separate"/>
        </w:r>
        <w:r w:rsidR="007A7FCC">
          <w:rPr>
            <w:noProof/>
            <w:webHidden/>
          </w:rPr>
          <w:t>IV-11</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39" w:history="1">
        <w:r w:rsidR="007A7FCC" w:rsidRPr="00882248">
          <w:rPr>
            <w:rStyle w:val="Hyperlink"/>
            <w:noProof/>
          </w:rPr>
          <w:t>Figure IV.8: WinTR-55 Proposed Condition Land Use Details screen</w:t>
        </w:r>
        <w:r w:rsidR="007A7FCC">
          <w:rPr>
            <w:noProof/>
            <w:webHidden/>
          </w:rPr>
          <w:tab/>
        </w:r>
        <w:r>
          <w:rPr>
            <w:noProof/>
            <w:webHidden/>
          </w:rPr>
          <w:fldChar w:fldCharType="begin"/>
        </w:r>
        <w:r w:rsidR="007A7FCC">
          <w:rPr>
            <w:noProof/>
            <w:webHidden/>
          </w:rPr>
          <w:instrText xml:space="preserve"> PAGEREF _Toc288555039 \h </w:instrText>
        </w:r>
        <w:r>
          <w:rPr>
            <w:noProof/>
            <w:webHidden/>
          </w:rPr>
        </w:r>
        <w:r>
          <w:rPr>
            <w:noProof/>
            <w:webHidden/>
          </w:rPr>
          <w:fldChar w:fldCharType="separate"/>
        </w:r>
        <w:r w:rsidR="007A7FCC">
          <w:rPr>
            <w:noProof/>
            <w:webHidden/>
          </w:rPr>
          <w:t>IV-12</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40" w:history="1">
        <w:r w:rsidR="007A7FCC" w:rsidRPr="00882248">
          <w:rPr>
            <w:rStyle w:val="Hyperlink"/>
            <w:noProof/>
          </w:rPr>
          <w:t>Figure IV.9: Existing and proposed hydrographs</w:t>
        </w:r>
        <w:r w:rsidR="007A7FCC">
          <w:rPr>
            <w:noProof/>
            <w:webHidden/>
          </w:rPr>
          <w:tab/>
        </w:r>
        <w:r>
          <w:rPr>
            <w:noProof/>
            <w:webHidden/>
          </w:rPr>
          <w:fldChar w:fldCharType="begin"/>
        </w:r>
        <w:r w:rsidR="007A7FCC">
          <w:rPr>
            <w:noProof/>
            <w:webHidden/>
          </w:rPr>
          <w:instrText xml:space="preserve"> PAGEREF _Toc288555040 \h </w:instrText>
        </w:r>
        <w:r>
          <w:rPr>
            <w:noProof/>
            <w:webHidden/>
          </w:rPr>
        </w:r>
        <w:r>
          <w:rPr>
            <w:noProof/>
            <w:webHidden/>
          </w:rPr>
          <w:fldChar w:fldCharType="separate"/>
        </w:r>
        <w:r w:rsidR="007A7FCC">
          <w:rPr>
            <w:noProof/>
            <w:webHidden/>
          </w:rPr>
          <w:t>IV-14</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41" w:history="1">
        <w:r w:rsidR="007A7FCC" w:rsidRPr="00882248">
          <w:rPr>
            <w:rStyle w:val="Hyperlink"/>
            <w:noProof/>
            <w:lang w:bidi="en-US"/>
          </w:rPr>
          <w:t>Figure V.1. Example Flow Duration Chart</w:t>
        </w:r>
        <w:r w:rsidR="007A7FCC">
          <w:rPr>
            <w:noProof/>
            <w:webHidden/>
          </w:rPr>
          <w:tab/>
        </w:r>
        <w:r>
          <w:rPr>
            <w:noProof/>
            <w:webHidden/>
          </w:rPr>
          <w:fldChar w:fldCharType="begin"/>
        </w:r>
        <w:r w:rsidR="007A7FCC">
          <w:rPr>
            <w:noProof/>
            <w:webHidden/>
          </w:rPr>
          <w:instrText xml:space="preserve"> PAGEREF _Toc288555041 \h </w:instrText>
        </w:r>
        <w:r>
          <w:rPr>
            <w:noProof/>
            <w:webHidden/>
          </w:rPr>
        </w:r>
        <w:r>
          <w:rPr>
            <w:noProof/>
            <w:webHidden/>
          </w:rPr>
          <w:fldChar w:fldCharType="separate"/>
        </w:r>
        <w:r w:rsidR="007A7FCC">
          <w:rPr>
            <w:noProof/>
            <w:webHidden/>
          </w:rPr>
          <w:t>V-2</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42" w:history="1">
        <w:r w:rsidR="007A7FCC" w:rsidRPr="00882248">
          <w:rPr>
            <w:rStyle w:val="Hyperlink"/>
            <w:noProof/>
            <w:lang w:bidi="en-US"/>
          </w:rPr>
          <w:t>Figure VI.1: Lookup Graph for Fraction of Design Capture Storm Depth Remaining</w:t>
        </w:r>
        <w:r w:rsidR="007A7FCC">
          <w:rPr>
            <w:noProof/>
            <w:webHidden/>
          </w:rPr>
          <w:tab/>
        </w:r>
        <w:r>
          <w:rPr>
            <w:noProof/>
            <w:webHidden/>
          </w:rPr>
          <w:fldChar w:fldCharType="begin"/>
        </w:r>
        <w:r w:rsidR="007A7FCC">
          <w:rPr>
            <w:noProof/>
            <w:webHidden/>
          </w:rPr>
          <w:instrText xml:space="preserve"> PAGEREF _Toc288555042 \h </w:instrText>
        </w:r>
        <w:r>
          <w:rPr>
            <w:noProof/>
            <w:webHidden/>
          </w:rPr>
        </w:r>
        <w:r>
          <w:rPr>
            <w:noProof/>
            <w:webHidden/>
          </w:rPr>
          <w:fldChar w:fldCharType="separate"/>
        </w:r>
        <w:r w:rsidR="007A7FCC">
          <w:rPr>
            <w:noProof/>
            <w:webHidden/>
          </w:rPr>
          <w:t>VI-2</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43" w:history="1">
        <w:r w:rsidR="007A7FCC" w:rsidRPr="00882248">
          <w:rPr>
            <w:rStyle w:val="Hyperlink"/>
            <w:noProof/>
            <w:lang w:bidi="en-US"/>
          </w:rPr>
          <w:t>Figure VII.1. Photo of Single Ring Infiltrometer</w:t>
        </w:r>
        <w:r w:rsidR="007A7FCC">
          <w:rPr>
            <w:noProof/>
            <w:webHidden/>
          </w:rPr>
          <w:tab/>
        </w:r>
        <w:r>
          <w:rPr>
            <w:noProof/>
            <w:webHidden/>
          </w:rPr>
          <w:fldChar w:fldCharType="begin"/>
        </w:r>
        <w:r w:rsidR="007A7FCC">
          <w:rPr>
            <w:noProof/>
            <w:webHidden/>
          </w:rPr>
          <w:instrText xml:space="preserve"> PAGEREF _Toc288555043 \h </w:instrText>
        </w:r>
        <w:r>
          <w:rPr>
            <w:noProof/>
            <w:webHidden/>
          </w:rPr>
        </w:r>
        <w:r>
          <w:rPr>
            <w:noProof/>
            <w:webHidden/>
          </w:rPr>
          <w:fldChar w:fldCharType="separate"/>
        </w:r>
        <w:r w:rsidR="007A7FCC">
          <w:rPr>
            <w:noProof/>
            <w:webHidden/>
          </w:rPr>
          <w:t>VII-11</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44" w:history="1">
        <w:r w:rsidR="007A7FCC" w:rsidRPr="00882248">
          <w:rPr>
            <w:rStyle w:val="Hyperlink"/>
            <w:noProof/>
            <w:lang w:bidi="en-US"/>
          </w:rPr>
          <w:t>Figure VII.2.  Single Ring Infiltrometer Construction</w:t>
        </w:r>
        <w:r w:rsidR="007A7FCC">
          <w:rPr>
            <w:noProof/>
            <w:webHidden/>
          </w:rPr>
          <w:tab/>
        </w:r>
        <w:r>
          <w:rPr>
            <w:noProof/>
            <w:webHidden/>
          </w:rPr>
          <w:fldChar w:fldCharType="begin"/>
        </w:r>
        <w:r w:rsidR="007A7FCC">
          <w:rPr>
            <w:noProof/>
            <w:webHidden/>
          </w:rPr>
          <w:instrText xml:space="preserve"> PAGEREF _Toc288555044 \h </w:instrText>
        </w:r>
        <w:r>
          <w:rPr>
            <w:noProof/>
            <w:webHidden/>
          </w:rPr>
        </w:r>
        <w:r>
          <w:rPr>
            <w:noProof/>
            <w:webHidden/>
          </w:rPr>
          <w:fldChar w:fldCharType="separate"/>
        </w:r>
        <w:r w:rsidR="007A7FCC">
          <w:rPr>
            <w:noProof/>
            <w:webHidden/>
          </w:rPr>
          <w:t>VII-12</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45" w:history="1">
        <w:r w:rsidR="007A7FCC" w:rsidRPr="00882248">
          <w:rPr>
            <w:rStyle w:val="Hyperlink"/>
            <w:noProof/>
            <w:lang w:bidi="en-US"/>
          </w:rPr>
          <w:t>Figure VII.3.  Single Ring Infiltrometer Setup with Mariotte Tube</w:t>
        </w:r>
        <w:r w:rsidR="007A7FCC">
          <w:rPr>
            <w:noProof/>
            <w:webHidden/>
          </w:rPr>
          <w:tab/>
        </w:r>
        <w:r>
          <w:rPr>
            <w:noProof/>
            <w:webHidden/>
          </w:rPr>
          <w:fldChar w:fldCharType="begin"/>
        </w:r>
        <w:r w:rsidR="007A7FCC">
          <w:rPr>
            <w:noProof/>
            <w:webHidden/>
          </w:rPr>
          <w:instrText xml:space="preserve"> PAGEREF _Toc288555045 \h </w:instrText>
        </w:r>
        <w:r>
          <w:rPr>
            <w:noProof/>
            <w:webHidden/>
          </w:rPr>
        </w:r>
        <w:r>
          <w:rPr>
            <w:noProof/>
            <w:webHidden/>
          </w:rPr>
          <w:fldChar w:fldCharType="separate"/>
        </w:r>
        <w:r w:rsidR="007A7FCC">
          <w:rPr>
            <w:noProof/>
            <w:webHidden/>
          </w:rPr>
          <w:t>VII-13</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46" w:history="1">
        <w:r w:rsidR="007A7FCC" w:rsidRPr="00882248">
          <w:rPr>
            <w:rStyle w:val="Hyperlink"/>
            <w:noProof/>
            <w:lang w:bidi="en-US"/>
          </w:rPr>
          <w:t>Figure VII.4. Sample Test Data Form for Single Ring Infiltrometer Test</w:t>
        </w:r>
        <w:r w:rsidR="007A7FCC">
          <w:rPr>
            <w:noProof/>
            <w:webHidden/>
          </w:rPr>
          <w:tab/>
        </w:r>
        <w:r>
          <w:rPr>
            <w:noProof/>
            <w:webHidden/>
          </w:rPr>
          <w:fldChar w:fldCharType="begin"/>
        </w:r>
        <w:r w:rsidR="007A7FCC">
          <w:rPr>
            <w:noProof/>
            <w:webHidden/>
          </w:rPr>
          <w:instrText xml:space="preserve"> PAGEREF _Toc288555046 \h </w:instrText>
        </w:r>
        <w:r>
          <w:rPr>
            <w:noProof/>
            <w:webHidden/>
          </w:rPr>
        </w:r>
        <w:r>
          <w:rPr>
            <w:noProof/>
            <w:webHidden/>
          </w:rPr>
          <w:fldChar w:fldCharType="separate"/>
        </w:r>
        <w:r w:rsidR="007A7FCC">
          <w:rPr>
            <w:noProof/>
            <w:webHidden/>
          </w:rPr>
          <w:t>VII-14</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47" w:history="1">
        <w:r w:rsidR="007A7FCC" w:rsidRPr="00882248">
          <w:rPr>
            <w:rStyle w:val="Hyperlink"/>
            <w:noProof/>
            <w:lang w:bidi="en-US"/>
          </w:rPr>
          <w:t>Figure VII.5. Photo of Simple Double Ring Infiltrometer</w:t>
        </w:r>
        <w:r w:rsidR="007A7FCC">
          <w:rPr>
            <w:noProof/>
            <w:webHidden/>
          </w:rPr>
          <w:tab/>
        </w:r>
        <w:r>
          <w:rPr>
            <w:noProof/>
            <w:webHidden/>
          </w:rPr>
          <w:fldChar w:fldCharType="begin"/>
        </w:r>
        <w:r w:rsidR="007A7FCC">
          <w:rPr>
            <w:noProof/>
            <w:webHidden/>
          </w:rPr>
          <w:instrText xml:space="preserve"> PAGEREF _Toc288555047 \h </w:instrText>
        </w:r>
        <w:r>
          <w:rPr>
            <w:noProof/>
            <w:webHidden/>
          </w:rPr>
        </w:r>
        <w:r>
          <w:rPr>
            <w:noProof/>
            <w:webHidden/>
          </w:rPr>
          <w:fldChar w:fldCharType="separate"/>
        </w:r>
        <w:r w:rsidR="007A7FCC">
          <w:rPr>
            <w:noProof/>
            <w:webHidden/>
          </w:rPr>
          <w:t>VII-16</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48" w:history="1">
        <w:r w:rsidR="007A7FCC" w:rsidRPr="00882248">
          <w:rPr>
            <w:rStyle w:val="Hyperlink"/>
            <w:noProof/>
            <w:lang w:bidi="en-US"/>
          </w:rPr>
          <w:t>Figure VII.6.  Photo of Pre-fabricated Double Ring Infiltrometer</w:t>
        </w:r>
        <w:r w:rsidR="007A7FCC">
          <w:rPr>
            <w:noProof/>
            <w:webHidden/>
          </w:rPr>
          <w:tab/>
        </w:r>
        <w:r>
          <w:rPr>
            <w:noProof/>
            <w:webHidden/>
          </w:rPr>
          <w:fldChar w:fldCharType="begin"/>
        </w:r>
        <w:r w:rsidR="007A7FCC">
          <w:rPr>
            <w:noProof/>
            <w:webHidden/>
          </w:rPr>
          <w:instrText xml:space="preserve"> PAGEREF _Toc288555048 \h </w:instrText>
        </w:r>
        <w:r>
          <w:rPr>
            <w:noProof/>
            <w:webHidden/>
          </w:rPr>
        </w:r>
        <w:r>
          <w:rPr>
            <w:noProof/>
            <w:webHidden/>
          </w:rPr>
          <w:fldChar w:fldCharType="separate"/>
        </w:r>
        <w:r w:rsidR="007A7FCC">
          <w:rPr>
            <w:noProof/>
            <w:webHidden/>
          </w:rPr>
          <w:t>VII-16</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49" w:history="1">
        <w:r w:rsidR="007A7FCC" w:rsidRPr="00882248">
          <w:rPr>
            <w:rStyle w:val="Hyperlink"/>
            <w:noProof/>
            <w:lang w:bidi="en-US"/>
          </w:rPr>
          <w:t>Figure VII.7. Mariotte Tube</w:t>
        </w:r>
        <w:r w:rsidR="007A7FCC">
          <w:rPr>
            <w:noProof/>
            <w:webHidden/>
          </w:rPr>
          <w:tab/>
        </w:r>
        <w:r>
          <w:rPr>
            <w:noProof/>
            <w:webHidden/>
          </w:rPr>
          <w:fldChar w:fldCharType="begin"/>
        </w:r>
        <w:r w:rsidR="007A7FCC">
          <w:rPr>
            <w:noProof/>
            <w:webHidden/>
          </w:rPr>
          <w:instrText xml:space="preserve"> PAGEREF _Toc288555049 \h </w:instrText>
        </w:r>
        <w:r>
          <w:rPr>
            <w:noProof/>
            <w:webHidden/>
          </w:rPr>
        </w:r>
        <w:r>
          <w:rPr>
            <w:noProof/>
            <w:webHidden/>
          </w:rPr>
          <w:fldChar w:fldCharType="separate"/>
        </w:r>
        <w:r w:rsidR="007A7FCC">
          <w:rPr>
            <w:noProof/>
            <w:webHidden/>
          </w:rPr>
          <w:t>VII-17</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50" w:history="1">
        <w:r w:rsidR="007A7FCC" w:rsidRPr="00882248">
          <w:rPr>
            <w:rStyle w:val="Hyperlink"/>
            <w:noProof/>
            <w:lang w:bidi="en-US"/>
          </w:rPr>
          <w:t>Figure VII.8. Double Ring Infiltrometer Construction</w:t>
        </w:r>
        <w:r w:rsidR="007A7FCC">
          <w:rPr>
            <w:noProof/>
            <w:webHidden/>
          </w:rPr>
          <w:tab/>
        </w:r>
        <w:r>
          <w:rPr>
            <w:noProof/>
            <w:webHidden/>
          </w:rPr>
          <w:fldChar w:fldCharType="begin"/>
        </w:r>
        <w:r w:rsidR="007A7FCC">
          <w:rPr>
            <w:noProof/>
            <w:webHidden/>
          </w:rPr>
          <w:instrText xml:space="preserve"> PAGEREF _Toc288555050 \h </w:instrText>
        </w:r>
        <w:r>
          <w:rPr>
            <w:noProof/>
            <w:webHidden/>
          </w:rPr>
        </w:r>
        <w:r>
          <w:rPr>
            <w:noProof/>
            <w:webHidden/>
          </w:rPr>
          <w:fldChar w:fldCharType="separate"/>
        </w:r>
        <w:r w:rsidR="007A7FCC">
          <w:rPr>
            <w:noProof/>
            <w:webHidden/>
          </w:rPr>
          <w:t>VII-18</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51" w:history="1">
        <w:r w:rsidR="007A7FCC" w:rsidRPr="00882248">
          <w:rPr>
            <w:rStyle w:val="Hyperlink"/>
            <w:noProof/>
            <w:lang w:bidi="en-US"/>
          </w:rPr>
          <w:t>Figure VII.9.  Double Ring Setup with Mariotte Tubes</w:t>
        </w:r>
        <w:r w:rsidR="007A7FCC">
          <w:rPr>
            <w:noProof/>
            <w:webHidden/>
          </w:rPr>
          <w:tab/>
        </w:r>
        <w:r>
          <w:rPr>
            <w:noProof/>
            <w:webHidden/>
          </w:rPr>
          <w:fldChar w:fldCharType="begin"/>
        </w:r>
        <w:r w:rsidR="007A7FCC">
          <w:rPr>
            <w:noProof/>
            <w:webHidden/>
          </w:rPr>
          <w:instrText xml:space="preserve"> PAGEREF _Toc288555051 \h </w:instrText>
        </w:r>
        <w:r>
          <w:rPr>
            <w:noProof/>
            <w:webHidden/>
          </w:rPr>
        </w:r>
        <w:r>
          <w:rPr>
            <w:noProof/>
            <w:webHidden/>
          </w:rPr>
          <w:fldChar w:fldCharType="separate"/>
        </w:r>
        <w:r w:rsidR="007A7FCC">
          <w:rPr>
            <w:noProof/>
            <w:webHidden/>
          </w:rPr>
          <w:t>VII-19</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52" w:history="1">
        <w:r w:rsidR="007A7FCC" w:rsidRPr="00882248">
          <w:rPr>
            <w:rStyle w:val="Hyperlink"/>
            <w:noProof/>
            <w:lang w:bidi="en-US"/>
          </w:rPr>
          <w:t>Figure VII.10. Double Ring Infiltrometer Set-up with Mariotte Tubes</w:t>
        </w:r>
        <w:r w:rsidR="007A7FCC">
          <w:rPr>
            <w:noProof/>
            <w:webHidden/>
          </w:rPr>
          <w:tab/>
        </w:r>
        <w:r>
          <w:rPr>
            <w:noProof/>
            <w:webHidden/>
          </w:rPr>
          <w:fldChar w:fldCharType="begin"/>
        </w:r>
        <w:r w:rsidR="007A7FCC">
          <w:rPr>
            <w:noProof/>
            <w:webHidden/>
          </w:rPr>
          <w:instrText xml:space="preserve"> PAGEREF _Toc288555052 \h </w:instrText>
        </w:r>
        <w:r>
          <w:rPr>
            <w:noProof/>
            <w:webHidden/>
          </w:rPr>
        </w:r>
        <w:r>
          <w:rPr>
            <w:noProof/>
            <w:webHidden/>
          </w:rPr>
          <w:fldChar w:fldCharType="separate"/>
        </w:r>
        <w:r w:rsidR="007A7FCC">
          <w:rPr>
            <w:noProof/>
            <w:webHidden/>
          </w:rPr>
          <w:t>VII-19</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53" w:history="1">
        <w:r w:rsidR="007A7FCC" w:rsidRPr="00882248">
          <w:rPr>
            <w:rStyle w:val="Hyperlink"/>
            <w:noProof/>
            <w:lang w:bidi="en-US"/>
          </w:rPr>
          <w:t>Figure VII.11.  Double Ring Infiltrometer Set-up for Test at Basin Surface Elevation</w:t>
        </w:r>
        <w:r w:rsidR="007A7FCC">
          <w:rPr>
            <w:noProof/>
            <w:webHidden/>
          </w:rPr>
          <w:tab/>
        </w:r>
        <w:r>
          <w:rPr>
            <w:noProof/>
            <w:webHidden/>
          </w:rPr>
          <w:fldChar w:fldCharType="begin"/>
        </w:r>
        <w:r w:rsidR="007A7FCC">
          <w:rPr>
            <w:noProof/>
            <w:webHidden/>
          </w:rPr>
          <w:instrText xml:space="preserve"> PAGEREF _Toc288555053 \h </w:instrText>
        </w:r>
        <w:r>
          <w:rPr>
            <w:noProof/>
            <w:webHidden/>
          </w:rPr>
        </w:r>
        <w:r>
          <w:rPr>
            <w:noProof/>
            <w:webHidden/>
          </w:rPr>
          <w:fldChar w:fldCharType="separate"/>
        </w:r>
        <w:r w:rsidR="007A7FCC">
          <w:rPr>
            <w:noProof/>
            <w:webHidden/>
          </w:rPr>
          <w:t>VII-20</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54" w:history="1">
        <w:r w:rsidR="007A7FCC" w:rsidRPr="00882248">
          <w:rPr>
            <w:rStyle w:val="Hyperlink"/>
            <w:noProof/>
            <w:lang w:bidi="en-US"/>
          </w:rPr>
          <w:t>Figure VII.12.  Sample Test Data Form for Double Ring Infiltrometer Test</w:t>
        </w:r>
        <w:r w:rsidR="007A7FCC">
          <w:rPr>
            <w:noProof/>
            <w:webHidden/>
          </w:rPr>
          <w:tab/>
        </w:r>
        <w:r>
          <w:rPr>
            <w:noProof/>
            <w:webHidden/>
          </w:rPr>
          <w:fldChar w:fldCharType="begin"/>
        </w:r>
        <w:r w:rsidR="007A7FCC">
          <w:rPr>
            <w:noProof/>
            <w:webHidden/>
          </w:rPr>
          <w:instrText xml:space="preserve"> PAGEREF _Toc288555054 \h </w:instrText>
        </w:r>
        <w:r>
          <w:rPr>
            <w:noProof/>
            <w:webHidden/>
          </w:rPr>
        </w:r>
        <w:r>
          <w:rPr>
            <w:noProof/>
            <w:webHidden/>
          </w:rPr>
          <w:fldChar w:fldCharType="separate"/>
        </w:r>
        <w:r w:rsidR="007A7FCC">
          <w:rPr>
            <w:noProof/>
            <w:webHidden/>
          </w:rPr>
          <w:t>VII-21</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55" w:history="1">
        <w:r w:rsidR="007A7FCC" w:rsidRPr="00882248">
          <w:rPr>
            <w:rStyle w:val="Hyperlink"/>
            <w:noProof/>
            <w:lang w:bidi="en-US"/>
          </w:rPr>
          <w:t>Figure VII.13.  Typical Well Permeameter Test Installation</w:t>
        </w:r>
        <w:r w:rsidR="007A7FCC">
          <w:rPr>
            <w:noProof/>
            <w:webHidden/>
          </w:rPr>
          <w:tab/>
        </w:r>
        <w:r>
          <w:rPr>
            <w:noProof/>
            <w:webHidden/>
          </w:rPr>
          <w:fldChar w:fldCharType="begin"/>
        </w:r>
        <w:r w:rsidR="007A7FCC">
          <w:rPr>
            <w:noProof/>
            <w:webHidden/>
          </w:rPr>
          <w:instrText xml:space="preserve"> PAGEREF _Toc288555055 \h </w:instrText>
        </w:r>
        <w:r>
          <w:rPr>
            <w:noProof/>
            <w:webHidden/>
          </w:rPr>
        </w:r>
        <w:r>
          <w:rPr>
            <w:noProof/>
            <w:webHidden/>
          </w:rPr>
          <w:fldChar w:fldCharType="separate"/>
        </w:r>
        <w:r w:rsidR="007A7FCC">
          <w:rPr>
            <w:noProof/>
            <w:webHidden/>
          </w:rPr>
          <w:t>VII-22</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56" w:history="1">
        <w:r w:rsidR="007A7FCC" w:rsidRPr="00882248">
          <w:rPr>
            <w:rStyle w:val="Hyperlink"/>
            <w:noProof/>
            <w:lang w:bidi="en-US"/>
          </w:rPr>
          <w:t>Figure VII.14.  Well Permeameter Test Equipment</w:t>
        </w:r>
        <w:r w:rsidR="007A7FCC">
          <w:rPr>
            <w:noProof/>
            <w:webHidden/>
          </w:rPr>
          <w:tab/>
        </w:r>
        <w:r>
          <w:rPr>
            <w:noProof/>
            <w:webHidden/>
          </w:rPr>
          <w:fldChar w:fldCharType="begin"/>
        </w:r>
        <w:r w:rsidR="007A7FCC">
          <w:rPr>
            <w:noProof/>
            <w:webHidden/>
          </w:rPr>
          <w:instrText xml:space="preserve"> PAGEREF _Toc288555056 \h </w:instrText>
        </w:r>
        <w:r>
          <w:rPr>
            <w:noProof/>
            <w:webHidden/>
          </w:rPr>
        </w:r>
        <w:r>
          <w:rPr>
            <w:noProof/>
            <w:webHidden/>
          </w:rPr>
          <w:fldChar w:fldCharType="separate"/>
        </w:r>
        <w:r w:rsidR="007A7FCC">
          <w:rPr>
            <w:noProof/>
            <w:webHidden/>
          </w:rPr>
          <w:t>VII-23</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57" w:history="1">
        <w:r w:rsidR="007A7FCC" w:rsidRPr="00882248">
          <w:rPr>
            <w:rStyle w:val="Hyperlink"/>
            <w:noProof/>
            <w:lang w:bidi="en-US"/>
          </w:rPr>
          <w:t>Figure VII.15.  Test Pit for Shallow Percolation Test</w:t>
        </w:r>
        <w:r w:rsidR="007A7FCC">
          <w:rPr>
            <w:noProof/>
            <w:webHidden/>
          </w:rPr>
          <w:tab/>
        </w:r>
        <w:r>
          <w:rPr>
            <w:noProof/>
            <w:webHidden/>
          </w:rPr>
          <w:fldChar w:fldCharType="begin"/>
        </w:r>
        <w:r w:rsidR="007A7FCC">
          <w:rPr>
            <w:noProof/>
            <w:webHidden/>
          </w:rPr>
          <w:instrText xml:space="preserve"> PAGEREF _Toc288555057 \h </w:instrText>
        </w:r>
        <w:r>
          <w:rPr>
            <w:noProof/>
            <w:webHidden/>
          </w:rPr>
        </w:r>
        <w:r>
          <w:rPr>
            <w:noProof/>
            <w:webHidden/>
          </w:rPr>
          <w:fldChar w:fldCharType="separate"/>
        </w:r>
        <w:r w:rsidR="007A7FCC">
          <w:rPr>
            <w:noProof/>
            <w:webHidden/>
          </w:rPr>
          <w:t>VII-25</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58" w:history="1">
        <w:r w:rsidR="007A7FCC" w:rsidRPr="00882248">
          <w:rPr>
            <w:rStyle w:val="Hyperlink"/>
            <w:noProof/>
            <w:lang w:bidi="en-US"/>
          </w:rPr>
          <w:t>Figure VII.16.  Test Pit for Deep Percolation Test</w:t>
        </w:r>
        <w:r w:rsidR="007A7FCC">
          <w:rPr>
            <w:noProof/>
            <w:webHidden/>
          </w:rPr>
          <w:tab/>
        </w:r>
        <w:r>
          <w:rPr>
            <w:noProof/>
            <w:webHidden/>
          </w:rPr>
          <w:fldChar w:fldCharType="begin"/>
        </w:r>
        <w:r w:rsidR="007A7FCC">
          <w:rPr>
            <w:noProof/>
            <w:webHidden/>
          </w:rPr>
          <w:instrText xml:space="preserve"> PAGEREF _Toc288555058 \h </w:instrText>
        </w:r>
        <w:r>
          <w:rPr>
            <w:noProof/>
            <w:webHidden/>
          </w:rPr>
        </w:r>
        <w:r>
          <w:rPr>
            <w:noProof/>
            <w:webHidden/>
          </w:rPr>
          <w:fldChar w:fldCharType="separate"/>
        </w:r>
        <w:r w:rsidR="007A7FCC">
          <w:rPr>
            <w:noProof/>
            <w:webHidden/>
          </w:rPr>
          <w:t>VII-26</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59" w:history="1">
        <w:r w:rsidR="007A7FCC" w:rsidRPr="00882248">
          <w:rPr>
            <w:rStyle w:val="Hyperlink"/>
            <w:noProof/>
            <w:lang w:bidi="en-US"/>
          </w:rPr>
          <w:t>Figure VII.17. Photo of Percolation Test Pit.</w:t>
        </w:r>
        <w:r w:rsidR="007A7FCC">
          <w:rPr>
            <w:noProof/>
            <w:webHidden/>
          </w:rPr>
          <w:tab/>
        </w:r>
        <w:r>
          <w:rPr>
            <w:noProof/>
            <w:webHidden/>
          </w:rPr>
          <w:fldChar w:fldCharType="begin"/>
        </w:r>
        <w:r w:rsidR="007A7FCC">
          <w:rPr>
            <w:noProof/>
            <w:webHidden/>
          </w:rPr>
          <w:instrText xml:space="preserve"> PAGEREF _Toc288555059 \h </w:instrText>
        </w:r>
        <w:r>
          <w:rPr>
            <w:noProof/>
            <w:webHidden/>
          </w:rPr>
        </w:r>
        <w:r>
          <w:rPr>
            <w:noProof/>
            <w:webHidden/>
          </w:rPr>
          <w:fldChar w:fldCharType="separate"/>
        </w:r>
        <w:r w:rsidR="007A7FCC">
          <w:rPr>
            <w:noProof/>
            <w:webHidden/>
          </w:rPr>
          <w:t>VII-27</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60" w:history="1">
        <w:r w:rsidR="007A7FCC" w:rsidRPr="00882248">
          <w:rPr>
            <w:rStyle w:val="Hyperlink"/>
            <w:noProof/>
            <w:lang w:bidi="en-US"/>
          </w:rPr>
          <w:t>Figure VII.18.  Sample Test Data Form for Percolation Test</w:t>
        </w:r>
        <w:r w:rsidR="007A7FCC">
          <w:rPr>
            <w:noProof/>
            <w:webHidden/>
          </w:rPr>
          <w:tab/>
        </w:r>
        <w:r>
          <w:rPr>
            <w:noProof/>
            <w:webHidden/>
          </w:rPr>
          <w:fldChar w:fldCharType="begin"/>
        </w:r>
        <w:r w:rsidR="007A7FCC">
          <w:rPr>
            <w:noProof/>
            <w:webHidden/>
          </w:rPr>
          <w:instrText xml:space="preserve"> PAGEREF _Toc288555060 \h </w:instrText>
        </w:r>
        <w:r>
          <w:rPr>
            <w:noProof/>
            <w:webHidden/>
          </w:rPr>
        </w:r>
        <w:r>
          <w:rPr>
            <w:noProof/>
            <w:webHidden/>
          </w:rPr>
          <w:fldChar w:fldCharType="separate"/>
        </w:r>
        <w:r w:rsidR="007A7FCC">
          <w:rPr>
            <w:noProof/>
            <w:webHidden/>
          </w:rPr>
          <w:t>VII-28</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61" w:history="1">
        <w:r w:rsidR="007A7FCC" w:rsidRPr="00882248">
          <w:rPr>
            <w:rStyle w:val="Hyperlink"/>
            <w:noProof/>
            <w:lang w:bidi="en-US"/>
          </w:rPr>
          <w:t>Figure VIII.1: Example Calculations of Maximum Mounding Height by Facility Configuration from USGS Calculator (Carlton, 2010)</w:t>
        </w:r>
        <w:r w:rsidR="007A7FCC">
          <w:rPr>
            <w:noProof/>
            <w:webHidden/>
          </w:rPr>
          <w:tab/>
        </w:r>
        <w:r>
          <w:rPr>
            <w:noProof/>
            <w:webHidden/>
          </w:rPr>
          <w:fldChar w:fldCharType="begin"/>
        </w:r>
        <w:r w:rsidR="007A7FCC">
          <w:rPr>
            <w:noProof/>
            <w:webHidden/>
          </w:rPr>
          <w:instrText xml:space="preserve"> PAGEREF _Toc288555061 \h </w:instrText>
        </w:r>
        <w:r>
          <w:rPr>
            <w:noProof/>
            <w:webHidden/>
          </w:rPr>
        </w:r>
        <w:r>
          <w:rPr>
            <w:noProof/>
            <w:webHidden/>
          </w:rPr>
          <w:fldChar w:fldCharType="separate"/>
        </w:r>
        <w:r w:rsidR="007A7FCC">
          <w:rPr>
            <w:noProof/>
            <w:webHidden/>
          </w:rPr>
          <w:t>VIII-5</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62" w:history="1">
        <w:r w:rsidR="007A7FCC" w:rsidRPr="00882248">
          <w:rPr>
            <w:rStyle w:val="Hyperlink"/>
            <w:noProof/>
            <w:lang w:bidi="en-US"/>
          </w:rPr>
          <w:t>Figure VIII.2: North Orange County Groundwater Basin Protection Boundary and Plume Protection Boundaries (See Figure XVI.2f for high resolution exhibit)</w:t>
        </w:r>
        <w:r w:rsidR="007A7FCC">
          <w:rPr>
            <w:noProof/>
            <w:webHidden/>
          </w:rPr>
          <w:tab/>
        </w:r>
        <w:r>
          <w:rPr>
            <w:noProof/>
            <w:webHidden/>
          </w:rPr>
          <w:fldChar w:fldCharType="begin"/>
        </w:r>
        <w:r w:rsidR="007A7FCC">
          <w:rPr>
            <w:noProof/>
            <w:webHidden/>
          </w:rPr>
          <w:instrText xml:space="preserve"> PAGEREF _Toc288555062 \h </w:instrText>
        </w:r>
        <w:r>
          <w:rPr>
            <w:noProof/>
            <w:webHidden/>
          </w:rPr>
        </w:r>
        <w:r>
          <w:rPr>
            <w:noProof/>
            <w:webHidden/>
          </w:rPr>
          <w:fldChar w:fldCharType="separate"/>
        </w:r>
        <w:r w:rsidR="007A7FCC">
          <w:rPr>
            <w:noProof/>
            <w:webHidden/>
          </w:rPr>
          <w:t>VIII-8</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63" w:history="1">
        <w:r w:rsidR="007A7FCC" w:rsidRPr="00882248">
          <w:rPr>
            <w:rStyle w:val="Hyperlink"/>
            <w:noProof/>
            <w:lang w:bidi="en-US"/>
          </w:rPr>
          <w:t>Figure IX.1: Green Roof Performance Relationships for Los Angeles and Orange County, Landscape Coefficient (KL ) = 0.5 (Low water use plant palette)</w:t>
        </w:r>
        <w:r w:rsidR="007A7FCC">
          <w:rPr>
            <w:noProof/>
            <w:webHidden/>
          </w:rPr>
          <w:tab/>
        </w:r>
        <w:r>
          <w:rPr>
            <w:noProof/>
            <w:webHidden/>
          </w:rPr>
          <w:fldChar w:fldCharType="begin"/>
        </w:r>
        <w:r w:rsidR="007A7FCC">
          <w:rPr>
            <w:noProof/>
            <w:webHidden/>
          </w:rPr>
          <w:instrText xml:space="preserve"> PAGEREF _Toc288555063 \h </w:instrText>
        </w:r>
        <w:r>
          <w:rPr>
            <w:noProof/>
            <w:webHidden/>
          </w:rPr>
        </w:r>
        <w:r>
          <w:rPr>
            <w:noProof/>
            <w:webHidden/>
          </w:rPr>
          <w:fldChar w:fldCharType="separate"/>
        </w:r>
        <w:r w:rsidR="007A7FCC">
          <w:rPr>
            <w:noProof/>
            <w:webHidden/>
          </w:rPr>
          <w:t>IX-5</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64" w:history="1">
        <w:r w:rsidR="007A7FCC" w:rsidRPr="00882248">
          <w:rPr>
            <w:rStyle w:val="Hyperlink"/>
            <w:noProof/>
            <w:lang w:bidi="en-US"/>
          </w:rPr>
          <w:t>Figure IX.2: Green Roof Performance Relationships for Los Angeles and Orange County, Landscape Coefficient (K</w:t>
        </w:r>
        <w:r w:rsidR="007A7FCC" w:rsidRPr="00882248">
          <w:rPr>
            <w:rStyle w:val="Hyperlink"/>
            <w:noProof/>
            <w:vertAlign w:val="subscript"/>
            <w:lang w:bidi="en-US"/>
          </w:rPr>
          <w:t>L</w:t>
        </w:r>
        <w:r w:rsidR="007A7FCC" w:rsidRPr="00882248">
          <w:rPr>
            <w:rStyle w:val="Hyperlink"/>
            <w:noProof/>
            <w:lang w:bidi="en-US"/>
          </w:rPr>
          <w:t xml:space="preserve"> ) = 0.75 (Moderate water use plant palette)</w:t>
        </w:r>
        <w:r w:rsidR="007A7FCC">
          <w:rPr>
            <w:noProof/>
            <w:webHidden/>
          </w:rPr>
          <w:tab/>
        </w:r>
        <w:r>
          <w:rPr>
            <w:noProof/>
            <w:webHidden/>
          </w:rPr>
          <w:fldChar w:fldCharType="begin"/>
        </w:r>
        <w:r w:rsidR="007A7FCC">
          <w:rPr>
            <w:noProof/>
            <w:webHidden/>
          </w:rPr>
          <w:instrText xml:space="preserve"> PAGEREF _Toc288555064 \h </w:instrText>
        </w:r>
        <w:r>
          <w:rPr>
            <w:noProof/>
            <w:webHidden/>
          </w:rPr>
        </w:r>
        <w:r>
          <w:rPr>
            <w:noProof/>
            <w:webHidden/>
          </w:rPr>
          <w:fldChar w:fldCharType="separate"/>
        </w:r>
        <w:r w:rsidR="007A7FCC">
          <w:rPr>
            <w:noProof/>
            <w:webHidden/>
          </w:rPr>
          <w:t>IX-6</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65" w:history="1">
        <w:r w:rsidR="007A7FCC" w:rsidRPr="00882248">
          <w:rPr>
            <w:rStyle w:val="Hyperlink"/>
            <w:noProof/>
            <w:lang w:bidi="en-US"/>
          </w:rPr>
          <w:t>Figure X.1: Harvest and Use Sizing Nomograph</w:t>
        </w:r>
        <w:r w:rsidR="007A7FCC">
          <w:rPr>
            <w:noProof/>
            <w:webHidden/>
          </w:rPr>
          <w:tab/>
        </w:r>
        <w:r>
          <w:rPr>
            <w:noProof/>
            <w:webHidden/>
          </w:rPr>
          <w:fldChar w:fldCharType="begin"/>
        </w:r>
        <w:r w:rsidR="007A7FCC">
          <w:rPr>
            <w:noProof/>
            <w:webHidden/>
          </w:rPr>
          <w:instrText xml:space="preserve"> PAGEREF _Toc288555065 \h </w:instrText>
        </w:r>
        <w:r>
          <w:rPr>
            <w:noProof/>
            <w:webHidden/>
          </w:rPr>
        </w:r>
        <w:r>
          <w:rPr>
            <w:noProof/>
            <w:webHidden/>
          </w:rPr>
          <w:fldChar w:fldCharType="separate"/>
        </w:r>
        <w:r w:rsidR="007A7FCC">
          <w:rPr>
            <w:noProof/>
            <w:webHidden/>
          </w:rPr>
          <w:t>X-8</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66" w:history="1">
        <w:r w:rsidR="007A7FCC" w:rsidRPr="00882248">
          <w:rPr>
            <w:rStyle w:val="Hyperlink"/>
            <w:noProof/>
            <w:lang w:bidi="en-US"/>
          </w:rPr>
          <w:t>Figure XIV.1: Schematic Diagram of Permeable Pavement without Underdrains</w:t>
        </w:r>
        <w:r w:rsidR="007A7FCC">
          <w:rPr>
            <w:noProof/>
            <w:webHidden/>
          </w:rPr>
          <w:tab/>
        </w:r>
        <w:r>
          <w:rPr>
            <w:noProof/>
            <w:webHidden/>
          </w:rPr>
          <w:fldChar w:fldCharType="begin"/>
        </w:r>
        <w:r w:rsidR="007A7FCC">
          <w:rPr>
            <w:noProof/>
            <w:webHidden/>
          </w:rPr>
          <w:instrText xml:space="preserve"> PAGEREF _Toc288555066 \h </w:instrText>
        </w:r>
        <w:r>
          <w:rPr>
            <w:noProof/>
            <w:webHidden/>
          </w:rPr>
        </w:r>
        <w:r>
          <w:rPr>
            <w:noProof/>
            <w:webHidden/>
          </w:rPr>
          <w:fldChar w:fldCharType="separate"/>
        </w:r>
        <w:r w:rsidR="007A7FCC">
          <w:rPr>
            <w:noProof/>
            <w:webHidden/>
          </w:rPr>
          <w:t>XIV-40</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67" w:history="1">
        <w:r w:rsidR="007A7FCC" w:rsidRPr="00882248">
          <w:rPr>
            <w:rStyle w:val="Hyperlink"/>
            <w:noProof/>
            <w:lang w:bidi="en-US"/>
          </w:rPr>
          <w:t>Figure XVI.1: Orange County Rainfall Zones Map</w:t>
        </w:r>
        <w:r w:rsidR="007A7FCC">
          <w:rPr>
            <w:noProof/>
            <w:webHidden/>
          </w:rPr>
          <w:tab/>
        </w:r>
        <w:r>
          <w:rPr>
            <w:noProof/>
            <w:webHidden/>
          </w:rPr>
          <w:fldChar w:fldCharType="begin"/>
        </w:r>
        <w:r w:rsidR="007A7FCC">
          <w:rPr>
            <w:noProof/>
            <w:webHidden/>
          </w:rPr>
          <w:instrText xml:space="preserve"> PAGEREF _Toc288555067 \h </w:instrText>
        </w:r>
        <w:r>
          <w:rPr>
            <w:noProof/>
            <w:webHidden/>
          </w:rPr>
        </w:r>
        <w:r>
          <w:rPr>
            <w:noProof/>
            <w:webHidden/>
          </w:rPr>
          <w:fldChar w:fldCharType="separate"/>
        </w:r>
        <w:r w:rsidR="007A7FCC">
          <w:rPr>
            <w:noProof/>
            <w:webHidden/>
          </w:rPr>
          <w:t>XVI-2</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68" w:history="1">
        <w:r w:rsidR="007A7FCC" w:rsidRPr="00882248">
          <w:rPr>
            <w:rStyle w:val="Hyperlink"/>
            <w:noProof/>
            <w:lang w:bidi="en-US"/>
          </w:rPr>
          <w:t>Figure XVI.2: Infiltration Feasibility Constraints Maps</w:t>
        </w:r>
        <w:r w:rsidR="007A7FCC">
          <w:rPr>
            <w:noProof/>
            <w:webHidden/>
          </w:rPr>
          <w:tab/>
        </w:r>
        <w:r>
          <w:rPr>
            <w:noProof/>
            <w:webHidden/>
          </w:rPr>
          <w:fldChar w:fldCharType="begin"/>
        </w:r>
        <w:r w:rsidR="007A7FCC">
          <w:rPr>
            <w:noProof/>
            <w:webHidden/>
          </w:rPr>
          <w:instrText xml:space="preserve"> PAGEREF _Toc288555068 \h </w:instrText>
        </w:r>
        <w:r>
          <w:rPr>
            <w:noProof/>
            <w:webHidden/>
          </w:rPr>
        </w:r>
        <w:r>
          <w:rPr>
            <w:noProof/>
            <w:webHidden/>
          </w:rPr>
          <w:fldChar w:fldCharType="separate"/>
        </w:r>
        <w:r w:rsidR="007A7FCC">
          <w:rPr>
            <w:noProof/>
            <w:webHidden/>
          </w:rPr>
          <w:t>XVI-3</w:t>
        </w:r>
        <w:r>
          <w:rPr>
            <w:noProof/>
            <w:webHidden/>
          </w:rPr>
          <w:fldChar w:fldCharType="end"/>
        </w:r>
      </w:hyperlink>
    </w:p>
    <w:p w:rsidR="007A7FCC" w:rsidRDefault="00126F3D">
      <w:pPr>
        <w:pStyle w:val="TableofFigures"/>
        <w:tabs>
          <w:tab w:val="right" w:leader="dot" w:pos="9350"/>
        </w:tabs>
        <w:rPr>
          <w:rFonts w:asciiTheme="minorHAnsi" w:eastAsiaTheme="minorEastAsia" w:hAnsiTheme="minorHAnsi" w:cstheme="minorBidi"/>
          <w:noProof/>
          <w:szCs w:val="22"/>
        </w:rPr>
      </w:pPr>
      <w:hyperlink w:anchor="_Toc288555069" w:history="1">
        <w:r w:rsidR="007A7FCC" w:rsidRPr="00882248">
          <w:rPr>
            <w:rStyle w:val="Hyperlink"/>
            <w:noProof/>
            <w:lang w:bidi="en-US"/>
          </w:rPr>
          <w:t>Figure XVI.3: North Orange County Hydromodification Susceptibility Maps</w:t>
        </w:r>
        <w:r w:rsidR="007A7FCC">
          <w:rPr>
            <w:noProof/>
            <w:webHidden/>
          </w:rPr>
          <w:tab/>
        </w:r>
        <w:r>
          <w:rPr>
            <w:noProof/>
            <w:webHidden/>
          </w:rPr>
          <w:fldChar w:fldCharType="begin"/>
        </w:r>
        <w:r w:rsidR="007A7FCC">
          <w:rPr>
            <w:noProof/>
            <w:webHidden/>
          </w:rPr>
          <w:instrText xml:space="preserve"> PAGEREF _Toc288555069 \h </w:instrText>
        </w:r>
        <w:r>
          <w:rPr>
            <w:noProof/>
            <w:webHidden/>
          </w:rPr>
        </w:r>
        <w:r>
          <w:rPr>
            <w:noProof/>
            <w:webHidden/>
          </w:rPr>
          <w:fldChar w:fldCharType="separate"/>
        </w:r>
        <w:r w:rsidR="007A7FCC">
          <w:rPr>
            <w:noProof/>
            <w:webHidden/>
          </w:rPr>
          <w:t>XVI-4</w:t>
        </w:r>
        <w:r>
          <w:rPr>
            <w:noProof/>
            <w:webHidden/>
          </w:rPr>
          <w:fldChar w:fldCharType="end"/>
        </w:r>
      </w:hyperlink>
    </w:p>
    <w:p w:rsidR="003A7710" w:rsidRDefault="00126F3D" w:rsidP="00572495">
      <w:pPr>
        <w:pStyle w:val="CDMBTEXT"/>
      </w:pPr>
      <w:r w:rsidRPr="00126DE5">
        <w:rPr>
          <w:b/>
          <w:color w:val="0070C0"/>
        </w:rPr>
        <w:fldChar w:fldCharType="end"/>
      </w:r>
    </w:p>
    <w:p w:rsidR="003A7710" w:rsidRPr="005E57C9" w:rsidRDefault="003A7710" w:rsidP="00572495">
      <w:pPr>
        <w:pStyle w:val="CDMBTEXT"/>
        <w:rPr>
          <w:b/>
        </w:rPr>
      </w:pPr>
      <w:r w:rsidRPr="005E57C9">
        <w:rPr>
          <w:b/>
        </w:rPr>
        <w:t>EXAMPLES</w:t>
      </w:r>
    </w:p>
    <w:p w:rsidR="00126DE5" w:rsidRDefault="00126F3D">
      <w:pPr>
        <w:pStyle w:val="TableofFigures"/>
        <w:tabs>
          <w:tab w:val="right" w:leader="dot" w:pos="9350"/>
        </w:tabs>
        <w:rPr>
          <w:rFonts w:asciiTheme="minorHAnsi" w:eastAsiaTheme="minorEastAsia" w:hAnsiTheme="minorHAnsi" w:cstheme="minorBidi"/>
          <w:noProof/>
          <w:szCs w:val="22"/>
        </w:rPr>
      </w:pPr>
      <w:r w:rsidRPr="00126F3D">
        <w:rPr>
          <w:b/>
          <w:color w:val="0070C0"/>
        </w:rPr>
        <w:fldChar w:fldCharType="begin"/>
      </w:r>
      <w:r w:rsidR="005E57C9" w:rsidRPr="00126DE5">
        <w:rPr>
          <w:b/>
          <w:color w:val="0070C0"/>
        </w:rPr>
        <w:instrText xml:space="preserve"> TOC \h \z \c "Example" </w:instrText>
      </w:r>
      <w:r w:rsidRPr="00126F3D">
        <w:rPr>
          <w:b/>
          <w:color w:val="0070C0"/>
        </w:rPr>
        <w:fldChar w:fldCharType="separate"/>
      </w:r>
      <w:hyperlink w:anchor="_Toc288554440" w:history="1">
        <w:r w:rsidR="00126DE5" w:rsidRPr="00FC7BA5">
          <w:rPr>
            <w:rStyle w:val="Hyperlink"/>
            <w:noProof/>
          </w:rPr>
          <w:t>Example III.1: Design Runoff Volume Calculation using Simple Runoff Coefficient Method</w:t>
        </w:r>
        <w:r w:rsidR="00126DE5">
          <w:rPr>
            <w:noProof/>
            <w:webHidden/>
          </w:rPr>
          <w:tab/>
        </w:r>
        <w:r>
          <w:rPr>
            <w:noProof/>
            <w:webHidden/>
          </w:rPr>
          <w:fldChar w:fldCharType="begin"/>
        </w:r>
        <w:r w:rsidR="00126DE5">
          <w:rPr>
            <w:noProof/>
            <w:webHidden/>
          </w:rPr>
          <w:instrText xml:space="preserve"> PAGEREF _Toc288554440 \h </w:instrText>
        </w:r>
        <w:r>
          <w:rPr>
            <w:noProof/>
            <w:webHidden/>
          </w:rPr>
        </w:r>
        <w:r>
          <w:rPr>
            <w:noProof/>
            <w:webHidden/>
          </w:rPr>
          <w:fldChar w:fldCharType="separate"/>
        </w:r>
        <w:r w:rsidR="00126DE5">
          <w:rPr>
            <w:noProof/>
            <w:webHidden/>
          </w:rPr>
          <w:t>III-2</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41" w:history="1">
        <w:r w:rsidR="00126DE5" w:rsidRPr="00FC7BA5">
          <w:rPr>
            <w:rStyle w:val="Hyperlink"/>
            <w:noProof/>
          </w:rPr>
          <w:t>Example III.2: Back-computing Storm Depth from Runoff Volume</w:t>
        </w:r>
        <w:r w:rsidR="00126DE5">
          <w:rPr>
            <w:noProof/>
            <w:webHidden/>
          </w:rPr>
          <w:tab/>
        </w:r>
        <w:r>
          <w:rPr>
            <w:noProof/>
            <w:webHidden/>
          </w:rPr>
          <w:fldChar w:fldCharType="begin"/>
        </w:r>
        <w:r w:rsidR="00126DE5">
          <w:rPr>
            <w:noProof/>
            <w:webHidden/>
          </w:rPr>
          <w:instrText xml:space="preserve"> PAGEREF _Toc288554441 \h </w:instrText>
        </w:r>
        <w:r>
          <w:rPr>
            <w:noProof/>
            <w:webHidden/>
          </w:rPr>
        </w:r>
        <w:r>
          <w:rPr>
            <w:noProof/>
            <w:webHidden/>
          </w:rPr>
          <w:fldChar w:fldCharType="separate"/>
        </w:r>
        <w:r w:rsidR="00126DE5">
          <w:rPr>
            <w:noProof/>
            <w:webHidden/>
          </w:rPr>
          <w:t>III-3</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42" w:history="1">
        <w:r w:rsidR="00126DE5" w:rsidRPr="00FC7BA5">
          <w:rPr>
            <w:rStyle w:val="Hyperlink"/>
            <w:noProof/>
            <w:lang w:bidi="en-US"/>
          </w:rPr>
          <w:t>Example III.3: Hydrologic Source Control Calculation Form (Worksheet A)</w:t>
        </w:r>
        <w:r w:rsidR="00126DE5">
          <w:rPr>
            <w:noProof/>
            <w:webHidden/>
          </w:rPr>
          <w:tab/>
        </w:r>
        <w:r>
          <w:rPr>
            <w:noProof/>
            <w:webHidden/>
          </w:rPr>
          <w:fldChar w:fldCharType="begin"/>
        </w:r>
        <w:r w:rsidR="00126DE5">
          <w:rPr>
            <w:noProof/>
            <w:webHidden/>
          </w:rPr>
          <w:instrText xml:space="preserve"> PAGEREF _Toc288554442 \h </w:instrText>
        </w:r>
        <w:r>
          <w:rPr>
            <w:noProof/>
            <w:webHidden/>
          </w:rPr>
        </w:r>
        <w:r>
          <w:rPr>
            <w:noProof/>
            <w:webHidden/>
          </w:rPr>
          <w:fldChar w:fldCharType="separate"/>
        </w:r>
        <w:r w:rsidR="00126DE5">
          <w:rPr>
            <w:noProof/>
            <w:webHidden/>
          </w:rPr>
          <w:t>III-5</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43" w:history="1">
        <w:r w:rsidR="00126DE5" w:rsidRPr="00FC7BA5">
          <w:rPr>
            <w:rStyle w:val="Hyperlink"/>
            <w:noProof/>
          </w:rPr>
          <w:t>Example III.4: Accounting for HSCs in Hydrologic Calculations</w:t>
        </w:r>
        <w:r w:rsidR="00126DE5">
          <w:rPr>
            <w:noProof/>
            <w:webHidden/>
          </w:rPr>
          <w:tab/>
        </w:r>
        <w:r>
          <w:rPr>
            <w:noProof/>
            <w:webHidden/>
          </w:rPr>
          <w:fldChar w:fldCharType="begin"/>
        </w:r>
        <w:r w:rsidR="00126DE5">
          <w:rPr>
            <w:noProof/>
            <w:webHidden/>
          </w:rPr>
          <w:instrText xml:space="preserve"> PAGEREF _Toc288554443 \h </w:instrText>
        </w:r>
        <w:r>
          <w:rPr>
            <w:noProof/>
            <w:webHidden/>
          </w:rPr>
        </w:r>
        <w:r>
          <w:rPr>
            <w:noProof/>
            <w:webHidden/>
          </w:rPr>
          <w:fldChar w:fldCharType="separate"/>
        </w:r>
        <w:r w:rsidR="00126DE5">
          <w:rPr>
            <w:noProof/>
            <w:webHidden/>
          </w:rPr>
          <w:t>III-6</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44" w:history="1">
        <w:r w:rsidR="00126DE5" w:rsidRPr="00FC7BA5">
          <w:rPr>
            <w:rStyle w:val="Hyperlink"/>
            <w:noProof/>
          </w:rPr>
          <w:t>Example III.5: Computing DCV using Simple Method</w:t>
        </w:r>
        <w:r w:rsidR="00126DE5">
          <w:rPr>
            <w:noProof/>
            <w:webHidden/>
          </w:rPr>
          <w:tab/>
        </w:r>
        <w:r>
          <w:rPr>
            <w:noProof/>
            <w:webHidden/>
          </w:rPr>
          <w:fldChar w:fldCharType="begin"/>
        </w:r>
        <w:r w:rsidR="00126DE5">
          <w:rPr>
            <w:noProof/>
            <w:webHidden/>
          </w:rPr>
          <w:instrText xml:space="preserve"> PAGEREF _Toc288554444 \h </w:instrText>
        </w:r>
        <w:r>
          <w:rPr>
            <w:noProof/>
            <w:webHidden/>
          </w:rPr>
        </w:r>
        <w:r>
          <w:rPr>
            <w:noProof/>
            <w:webHidden/>
          </w:rPr>
          <w:fldChar w:fldCharType="separate"/>
        </w:r>
        <w:r w:rsidR="00126DE5">
          <w:rPr>
            <w:noProof/>
            <w:webHidden/>
          </w:rPr>
          <w:t>III-15</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45" w:history="1">
        <w:r w:rsidR="00126DE5" w:rsidRPr="00FC7BA5">
          <w:rPr>
            <w:rStyle w:val="Hyperlink"/>
            <w:noProof/>
          </w:rPr>
          <w:t>Example III.6: Computing Design Criteria to Achieve Target Capture Efficiency, Bioretention BMP</w:t>
        </w:r>
        <w:r w:rsidR="00126DE5">
          <w:rPr>
            <w:noProof/>
            <w:webHidden/>
          </w:rPr>
          <w:tab/>
        </w:r>
        <w:r>
          <w:rPr>
            <w:noProof/>
            <w:webHidden/>
          </w:rPr>
          <w:fldChar w:fldCharType="begin"/>
        </w:r>
        <w:r w:rsidR="00126DE5">
          <w:rPr>
            <w:noProof/>
            <w:webHidden/>
          </w:rPr>
          <w:instrText xml:space="preserve"> PAGEREF _Toc288554445 \h </w:instrText>
        </w:r>
        <w:r>
          <w:rPr>
            <w:noProof/>
            <w:webHidden/>
          </w:rPr>
        </w:r>
        <w:r>
          <w:rPr>
            <w:noProof/>
            <w:webHidden/>
          </w:rPr>
          <w:fldChar w:fldCharType="separate"/>
        </w:r>
        <w:r w:rsidR="00126DE5">
          <w:rPr>
            <w:noProof/>
            <w:webHidden/>
          </w:rPr>
          <w:t>III-19</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46" w:history="1">
        <w:r w:rsidR="00126DE5" w:rsidRPr="00FC7BA5">
          <w:rPr>
            <w:rStyle w:val="Hyperlink"/>
            <w:noProof/>
          </w:rPr>
          <w:t>Example III.7: Sizing to Achieve Target Average Annual Capture Efficiency, Flow-based BMPs</w:t>
        </w:r>
        <w:r w:rsidR="00126DE5">
          <w:rPr>
            <w:noProof/>
            <w:webHidden/>
          </w:rPr>
          <w:tab/>
        </w:r>
        <w:r>
          <w:rPr>
            <w:noProof/>
            <w:webHidden/>
          </w:rPr>
          <w:fldChar w:fldCharType="begin"/>
        </w:r>
        <w:r w:rsidR="00126DE5">
          <w:rPr>
            <w:noProof/>
            <w:webHidden/>
          </w:rPr>
          <w:instrText xml:space="preserve"> PAGEREF _Toc288554446 \h </w:instrText>
        </w:r>
        <w:r>
          <w:rPr>
            <w:noProof/>
            <w:webHidden/>
          </w:rPr>
        </w:r>
        <w:r>
          <w:rPr>
            <w:noProof/>
            <w:webHidden/>
          </w:rPr>
          <w:fldChar w:fldCharType="separate"/>
        </w:r>
        <w:r w:rsidR="00126DE5">
          <w:rPr>
            <w:noProof/>
            <w:webHidden/>
          </w:rPr>
          <w:t>III-23</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47" w:history="1">
        <w:r w:rsidR="00126DE5" w:rsidRPr="00FC7BA5">
          <w:rPr>
            <w:rStyle w:val="Hyperlink"/>
            <w:noProof/>
          </w:rPr>
          <w:t>Example III.8: Determining the Capture Efficiency of a Volume-based, Constant Drawdown BMP Based on Description of System</w:t>
        </w:r>
        <w:r w:rsidR="00126DE5">
          <w:rPr>
            <w:noProof/>
            <w:webHidden/>
          </w:rPr>
          <w:tab/>
        </w:r>
        <w:r>
          <w:rPr>
            <w:noProof/>
            <w:webHidden/>
          </w:rPr>
          <w:fldChar w:fldCharType="begin"/>
        </w:r>
        <w:r w:rsidR="00126DE5">
          <w:rPr>
            <w:noProof/>
            <w:webHidden/>
          </w:rPr>
          <w:instrText xml:space="preserve"> PAGEREF _Toc288554447 \h </w:instrText>
        </w:r>
        <w:r>
          <w:rPr>
            <w:noProof/>
            <w:webHidden/>
          </w:rPr>
        </w:r>
        <w:r>
          <w:rPr>
            <w:noProof/>
            <w:webHidden/>
          </w:rPr>
          <w:fldChar w:fldCharType="separate"/>
        </w:r>
        <w:r w:rsidR="00126DE5">
          <w:rPr>
            <w:noProof/>
            <w:webHidden/>
          </w:rPr>
          <w:t>III-28</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48" w:history="1">
        <w:r w:rsidR="00126DE5" w:rsidRPr="00FC7BA5">
          <w:rPr>
            <w:rStyle w:val="Hyperlink"/>
            <w:noProof/>
          </w:rPr>
          <w:t>Example IV.1: Computing Volume and Peak Flowrate Using WinTR-55</w:t>
        </w:r>
        <w:r w:rsidR="00126DE5">
          <w:rPr>
            <w:noProof/>
            <w:webHidden/>
          </w:rPr>
          <w:tab/>
        </w:r>
        <w:r>
          <w:rPr>
            <w:noProof/>
            <w:webHidden/>
          </w:rPr>
          <w:fldChar w:fldCharType="begin"/>
        </w:r>
        <w:r w:rsidR="00126DE5">
          <w:rPr>
            <w:noProof/>
            <w:webHidden/>
          </w:rPr>
          <w:instrText xml:space="preserve"> PAGEREF _Toc288554448 \h </w:instrText>
        </w:r>
        <w:r>
          <w:rPr>
            <w:noProof/>
            <w:webHidden/>
          </w:rPr>
        </w:r>
        <w:r>
          <w:rPr>
            <w:noProof/>
            <w:webHidden/>
          </w:rPr>
          <w:fldChar w:fldCharType="separate"/>
        </w:r>
        <w:r w:rsidR="00126DE5">
          <w:rPr>
            <w:noProof/>
            <w:webHidden/>
          </w:rPr>
          <w:t>IV-4</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49" w:history="1">
        <w:r w:rsidR="00126DE5" w:rsidRPr="00FC7BA5">
          <w:rPr>
            <w:rStyle w:val="Hyperlink"/>
            <w:noProof/>
          </w:rPr>
          <w:t>Example IV.2: Computing Time of Concentration using TR-55 Methods</w:t>
        </w:r>
        <w:r w:rsidR="00126DE5">
          <w:rPr>
            <w:noProof/>
            <w:webHidden/>
          </w:rPr>
          <w:tab/>
        </w:r>
        <w:r>
          <w:rPr>
            <w:noProof/>
            <w:webHidden/>
          </w:rPr>
          <w:fldChar w:fldCharType="begin"/>
        </w:r>
        <w:r w:rsidR="00126DE5">
          <w:rPr>
            <w:noProof/>
            <w:webHidden/>
          </w:rPr>
          <w:instrText xml:space="preserve"> PAGEREF _Toc288554449 \h </w:instrText>
        </w:r>
        <w:r>
          <w:rPr>
            <w:noProof/>
            <w:webHidden/>
          </w:rPr>
        </w:r>
        <w:r>
          <w:rPr>
            <w:noProof/>
            <w:webHidden/>
          </w:rPr>
          <w:fldChar w:fldCharType="separate"/>
        </w:r>
        <w:r w:rsidR="00126DE5">
          <w:rPr>
            <w:noProof/>
            <w:webHidden/>
          </w:rPr>
          <w:t>IV-12</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50" w:history="1">
        <w:r w:rsidR="00126DE5" w:rsidRPr="00FC7BA5">
          <w:rPr>
            <w:rStyle w:val="Hyperlink"/>
            <w:noProof/>
          </w:rPr>
          <w:t>Example VI.1: Calculating Remaining LID Volume for Alternative Compliance</w:t>
        </w:r>
        <w:r w:rsidR="00126DE5">
          <w:rPr>
            <w:noProof/>
            <w:webHidden/>
          </w:rPr>
          <w:tab/>
        </w:r>
        <w:r>
          <w:rPr>
            <w:noProof/>
            <w:webHidden/>
          </w:rPr>
          <w:fldChar w:fldCharType="begin"/>
        </w:r>
        <w:r w:rsidR="00126DE5">
          <w:rPr>
            <w:noProof/>
            <w:webHidden/>
          </w:rPr>
          <w:instrText xml:space="preserve"> PAGEREF _Toc288554450 \h </w:instrText>
        </w:r>
        <w:r>
          <w:rPr>
            <w:noProof/>
            <w:webHidden/>
          </w:rPr>
        </w:r>
        <w:r>
          <w:rPr>
            <w:noProof/>
            <w:webHidden/>
          </w:rPr>
          <w:fldChar w:fldCharType="separate"/>
        </w:r>
        <w:r w:rsidR="00126DE5">
          <w:rPr>
            <w:noProof/>
            <w:webHidden/>
          </w:rPr>
          <w:t>VI-1</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51" w:history="1">
        <w:r w:rsidR="00126DE5" w:rsidRPr="00FC7BA5">
          <w:rPr>
            <w:rStyle w:val="Hyperlink"/>
            <w:noProof/>
          </w:rPr>
          <w:t>Example VI.2: Calculating Water Quality Credits for Projects Reducing Imperviousness</w:t>
        </w:r>
        <w:r w:rsidR="00126DE5">
          <w:rPr>
            <w:noProof/>
            <w:webHidden/>
          </w:rPr>
          <w:tab/>
        </w:r>
        <w:r>
          <w:rPr>
            <w:noProof/>
            <w:webHidden/>
          </w:rPr>
          <w:fldChar w:fldCharType="begin"/>
        </w:r>
        <w:r w:rsidR="00126DE5">
          <w:rPr>
            <w:noProof/>
            <w:webHidden/>
          </w:rPr>
          <w:instrText xml:space="preserve"> PAGEREF _Toc288554451 \h </w:instrText>
        </w:r>
        <w:r>
          <w:rPr>
            <w:noProof/>
            <w:webHidden/>
          </w:rPr>
        </w:r>
        <w:r>
          <w:rPr>
            <w:noProof/>
            <w:webHidden/>
          </w:rPr>
          <w:fldChar w:fldCharType="separate"/>
        </w:r>
        <w:r w:rsidR="00126DE5">
          <w:rPr>
            <w:noProof/>
            <w:webHidden/>
          </w:rPr>
          <w:t>VI-3</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52" w:history="1">
        <w:r w:rsidR="00126DE5" w:rsidRPr="00FC7BA5">
          <w:rPr>
            <w:rStyle w:val="Hyperlink"/>
            <w:noProof/>
          </w:rPr>
          <w:t>Example VI.3: Applying Water Quality Credits to Reduce Alternative Compliance Volume</w:t>
        </w:r>
        <w:r w:rsidR="00126DE5">
          <w:rPr>
            <w:noProof/>
            <w:webHidden/>
          </w:rPr>
          <w:tab/>
        </w:r>
        <w:r>
          <w:rPr>
            <w:noProof/>
            <w:webHidden/>
          </w:rPr>
          <w:fldChar w:fldCharType="begin"/>
        </w:r>
        <w:r w:rsidR="00126DE5">
          <w:rPr>
            <w:noProof/>
            <w:webHidden/>
          </w:rPr>
          <w:instrText xml:space="preserve"> PAGEREF _Toc288554452 \h </w:instrText>
        </w:r>
        <w:r>
          <w:rPr>
            <w:noProof/>
            <w:webHidden/>
          </w:rPr>
        </w:r>
        <w:r>
          <w:rPr>
            <w:noProof/>
            <w:webHidden/>
          </w:rPr>
          <w:fldChar w:fldCharType="separate"/>
        </w:r>
        <w:r w:rsidR="00126DE5">
          <w:rPr>
            <w:noProof/>
            <w:webHidden/>
          </w:rPr>
          <w:t>VI-4</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53" w:history="1">
        <w:r w:rsidR="00126DE5" w:rsidRPr="00FC7BA5">
          <w:rPr>
            <w:rStyle w:val="Hyperlink"/>
            <w:noProof/>
          </w:rPr>
          <w:t>Example VI.4: Computing the Required Design Flowrate to Mitigate Remaining Alternative Compliance Volume</w:t>
        </w:r>
        <w:r w:rsidR="00126DE5">
          <w:rPr>
            <w:noProof/>
            <w:webHidden/>
          </w:rPr>
          <w:tab/>
        </w:r>
        <w:r>
          <w:rPr>
            <w:noProof/>
            <w:webHidden/>
          </w:rPr>
          <w:fldChar w:fldCharType="begin"/>
        </w:r>
        <w:r w:rsidR="00126DE5">
          <w:rPr>
            <w:noProof/>
            <w:webHidden/>
          </w:rPr>
          <w:instrText xml:space="preserve"> PAGEREF _Toc288554453 \h </w:instrText>
        </w:r>
        <w:r>
          <w:rPr>
            <w:noProof/>
            <w:webHidden/>
          </w:rPr>
        </w:r>
        <w:r>
          <w:rPr>
            <w:noProof/>
            <w:webHidden/>
          </w:rPr>
          <w:fldChar w:fldCharType="separate"/>
        </w:r>
        <w:r w:rsidR="00126DE5">
          <w:rPr>
            <w:noProof/>
            <w:webHidden/>
          </w:rPr>
          <w:t>VI-6</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54" w:history="1">
        <w:r w:rsidR="00126DE5" w:rsidRPr="00FC7BA5">
          <w:rPr>
            <w:rStyle w:val="Hyperlink"/>
            <w:noProof/>
            <w:lang w:bidi="en-US"/>
          </w:rPr>
          <w:t xml:space="preserve">Example VII.1: </w:t>
        </w:r>
        <w:r w:rsidR="00126DE5" w:rsidRPr="00FC7BA5">
          <w:rPr>
            <w:rStyle w:val="Hyperlink"/>
            <w:noProof/>
            <w:lang w:val="es-GT" w:bidi="en-US"/>
          </w:rPr>
          <w:t>Percolation Rate Conversion Example</w:t>
        </w:r>
        <w:r w:rsidR="00126DE5">
          <w:rPr>
            <w:noProof/>
            <w:webHidden/>
          </w:rPr>
          <w:tab/>
        </w:r>
        <w:r>
          <w:rPr>
            <w:noProof/>
            <w:webHidden/>
          </w:rPr>
          <w:fldChar w:fldCharType="begin"/>
        </w:r>
        <w:r w:rsidR="00126DE5">
          <w:rPr>
            <w:noProof/>
            <w:webHidden/>
          </w:rPr>
          <w:instrText xml:space="preserve"> PAGEREF _Toc288554454 \h </w:instrText>
        </w:r>
        <w:r>
          <w:rPr>
            <w:noProof/>
            <w:webHidden/>
          </w:rPr>
        </w:r>
        <w:r>
          <w:rPr>
            <w:noProof/>
            <w:webHidden/>
          </w:rPr>
          <w:fldChar w:fldCharType="separate"/>
        </w:r>
        <w:r w:rsidR="00126DE5">
          <w:rPr>
            <w:noProof/>
            <w:webHidden/>
          </w:rPr>
          <w:t>VII-29</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55" w:history="1">
        <w:r w:rsidR="00126DE5" w:rsidRPr="00FC7BA5">
          <w:rPr>
            <w:rStyle w:val="Hyperlink"/>
            <w:noProof/>
          </w:rPr>
          <w:t>Example VIII.1: Application of USGS Groundwater Mounding Tool Using a Hypothetical Range of Infiltration Scenarios</w:t>
        </w:r>
        <w:r w:rsidR="00126DE5">
          <w:rPr>
            <w:noProof/>
            <w:webHidden/>
          </w:rPr>
          <w:tab/>
        </w:r>
        <w:r>
          <w:rPr>
            <w:noProof/>
            <w:webHidden/>
          </w:rPr>
          <w:fldChar w:fldCharType="begin"/>
        </w:r>
        <w:r w:rsidR="00126DE5">
          <w:rPr>
            <w:noProof/>
            <w:webHidden/>
          </w:rPr>
          <w:instrText xml:space="preserve"> PAGEREF _Toc288554455 \h </w:instrText>
        </w:r>
        <w:r>
          <w:rPr>
            <w:noProof/>
            <w:webHidden/>
          </w:rPr>
        </w:r>
        <w:r>
          <w:rPr>
            <w:noProof/>
            <w:webHidden/>
          </w:rPr>
          <w:fldChar w:fldCharType="separate"/>
        </w:r>
        <w:r w:rsidR="00126DE5">
          <w:rPr>
            <w:noProof/>
            <w:webHidden/>
          </w:rPr>
          <w:t>VIII-4</w:t>
        </w:r>
        <w:r>
          <w:rPr>
            <w:noProof/>
            <w:webHidden/>
          </w:rPr>
          <w:fldChar w:fldCharType="end"/>
        </w:r>
      </w:hyperlink>
    </w:p>
    <w:p w:rsidR="005E57C9" w:rsidRDefault="00126F3D" w:rsidP="00572495">
      <w:pPr>
        <w:pStyle w:val="CDMBTEXT"/>
      </w:pPr>
      <w:r w:rsidRPr="00126DE5">
        <w:rPr>
          <w:b/>
          <w:color w:val="0070C0"/>
        </w:rPr>
        <w:fldChar w:fldCharType="end"/>
      </w:r>
    </w:p>
    <w:p w:rsidR="005E57C9" w:rsidRDefault="005E57C9" w:rsidP="005E57C9">
      <w:pPr>
        <w:pStyle w:val="CDMBTEXT"/>
        <w:rPr>
          <w:b/>
        </w:rPr>
      </w:pPr>
      <w:r>
        <w:rPr>
          <w:b/>
        </w:rPr>
        <w:t>WORKSHEETS</w:t>
      </w:r>
    </w:p>
    <w:p w:rsidR="00126DE5" w:rsidRDefault="00126F3D">
      <w:pPr>
        <w:pStyle w:val="TableofFigures"/>
        <w:tabs>
          <w:tab w:val="right" w:leader="dot" w:pos="9350"/>
        </w:tabs>
        <w:rPr>
          <w:rFonts w:asciiTheme="minorHAnsi" w:eastAsiaTheme="minorEastAsia" w:hAnsiTheme="minorHAnsi" w:cstheme="minorBidi"/>
          <w:noProof/>
          <w:szCs w:val="22"/>
        </w:rPr>
      </w:pPr>
      <w:r w:rsidRPr="00126F3D">
        <w:rPr>
          <w:b/>
          <w:color w:val="0070C0"/>
        </w:rPr>
        <w:fldChar w:fldCharType="begin"/>
      </w:r>
      <w:r w:rsidR="005E57C9" w:rsidRPr="00126DE5">
        <w:rPr>
          <w:b/>
          <w:color w:val="0070C0"/>
        </w:rPr>
        <w:instrText xml:space="preserve"> TOC \h \z \c "Worksheet" </w:instrText>
      </w:r>
      <w:r w:rsidRPr="00126F3D">
        <w:rPr>
          <w:b/>
          <w:color w:val="0070C0"/>
        </w:rPr>
        <w:fldChar w:fldCharType="separate"/>
      </w:r>
      <w:hyperlink w:anchor="_Toc288554456" w:history="1">
        <w:r w:rsidR="00126DE5" w:rsidRPr="007E77D2">
          <w:rPr>
            <w:rStyle w:val="Hyperlink"/>
            <w:noProof/>
            <w:lang w:bidi="en-US"/>
          </w:rPr>
          <w:t>Worksheet A: Hydrologic Source Control Calculation Form</w:t>
        </w:r>
        <w:r w:rsidR="00126DE5">
          <w:rPr>
            <w:noProof/>
            <w:webHidden/>
          </w:rPr>
          <w:tab/>
        </w:r>
        <w:r>
          <w:rPr>
            <w:noProof/>
            <w:webHidden/>
          </w:rPr>
          <w:fldChar w:fldCharType="begin"/>
        </w:r>
        <w:r w:rsidR="00126DE5">
          <w:rPr>
            <w:noProof/>
            <w:webHidden/>
          </w:rPr>
          <w:instrText xml:space="preserve"> PAGEREF _Toc288554456 \h </w:instrText>
        </w:r>
        <w:r>
          <w:rPr>
            <w:noProof/>
            <w:webHidden/>
          </w:rPr>
        </w:r>
        <w:r>
          <w:rPr>
            <w:noProof/>
            <w:webHidden/>
          </w:rPr>
          <w:fldChar w:fldCharType="separate"/>
        </w:r>
        <w:r w:rsidR="00126DE5">
          <w:rPr>
            <w:noProof/>
            <w:webHidden/>
          </w:rPr>
          <w:t>III-8</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57" w:history="1">
        <w:r w:rsidR="00126DE5" w:rsidRPr="007E77D2">
          <w:rPr>
            <w:rStyle w:val="Hyperlink"/>
            <w:noProof/>
            <w:lang w:bidi="en-US"/>
          </w:rPr>
          <w:t xml:space="preserve">Worksheet </w:t>
        </w:r>
        <w:r w:rsidR="00126DE5" w:rsidRPr="007E77D2">
          <w:rPr>
            <w:rStyle w:val="Hyperlink"/>
            <w:rFonts w:cs="Arial"/>
            <w:noProof/>
            <w:lang w:bidi="en-US"/>
          </w:rPr>
          <w:t>B</w:t>
        </w:r>
        <w:r w:rsidR="00126DE5" w:rsidRPr="007E77D2">
          <w:rPr>
            <w:rStyle w:val="Hyperlink"/>
            <w:noProof/>
            <w:lang w:bidi="en-US"/>
          </w:rPr>
          <w:t>: Simple Design Capture Volume Sizing Method</w:t>
        </w:r>
        <w:r w:rsidR="00126DE5">
          <w:rPr>
            <w:noProof/>
            <w:webHidden/>
          </w:rPr>
          <w:tab/>
        </w:r>
        <w:r>
          <w:rPr>
            <w:noProof/>
            <w:webHidden/>
          </w:rPr>
          <w:fldChar w:fldCharType="begin"/>
        </w:r>
        <w:r w:rsidR="00126DE5">
          <w:rPr>
            <w:noProof/>
            <w:webHidden/>
          </w:rPr>
          <w:instrText xml:space="preserve"> PAGEREF _Toc288554457 \h </w:instrText>
        </w:r>
        <w:r>
          <w:rPr>
            <w:noProof/>
            <w:webHidden/>
          </w:rPr>
        </w:r>
        <w:r>
          <w:rPr>
            <w:noProof/>
            <w:webHidden/>
          </w:rPr>
          <w:fldChar w:fldCharType="separate"/>
        </w:r>
        <w:r w:rsidR="00126DE5">
          <w:rPr>
            <w:noProof/>
            <w:webHidden/>
          </w:rPr>
          <w:t>III-17</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58" w:history="1">
        <w:r w:rsidR="00126DE5" w:rsidRPr="007E77D2">
          <w:rPr>
            <w:rStyle w:val="Hyperlink"/>
            <w:noProof/>
            <w:lang w:bidi="en-US"/>
          </w:rPr>
          <w:t>Worksheet C: Capture Efficiency Method for Volume-Based, Constant Drawdown BMPs</w:t>
        </w:r>
        <w:r w:rsidR="00126DE5">
          <w:rPr>
            <w:noProof/>
            <w:webHidden/>
          </w:rPr>
          <w:tab/>
        </w:r>
        <w:r>
          <w:rPr>
            <w:noProof/>
            <w:webHidden/>
          </w:rPr>
          <w:fldChar w:fldCharType="begin"/>
        </w:r>
        <w:r w:rsidR="00126DE5">
          <w:rPr>
            <w:noProof/>
            <w:webHidden/>
          </w:rPr>
          <w:instrText xml:space="preserve"> PAGEREF _Toc288554458 \h </w:instrText>
        </w:r>
        <w:r>
          <w:rPr>
            <w:noProof/>
            <w:webHidden/>
          </w:rPr>
        </w:r>
        <w:r>
          <w:rPr>
            <w:noProof/>
            <w:webHidden/>
          </w:rPr>
          <w:fldChar w:fldCharType="separate"/>
        </w:r>
        <w:r w:rsidR="00126DE5">
          <w:rPr>
            <w:noProof/>
            <w:webHidden/>
          </w:rPr>
          <w:t>III-21</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59" w:history="1">
        <w:r w:rsidR="00126DE5" w:rsidRPr="007E77D2">
          <w:rPr>
            <w:rStyle w:val="Hyperlink"/>
            <w:noProof/>
            <w:lang w:bidi="en-US"/>
          </w:rPr>
          <w:t>Worksheet D: Capture Efficiency Method for Flow-Based BMPs</w:t>
        </w:r>
        <w:r w:rsidR="00126DE5">
          <w:rPr>
            <w:noProof/>
            <w:webHidden/>
          </w:rPr>
          <w:tab/>
        </w:r>
        <w:r>
          <w:rPr>
            <w:noProof/>
            <w:webHidden/>
          </w:rPr>
          <w:fldChar w:fldCharType="begin"/>
        </w:r>
        <w:r w:rsidR="00126DE5">
          <w:rPr>
            <w:noProof/>
            <w:webHidden/>
          </w:rPr>
          <w:instrText xml:space="preserve"> PAGEREF _Toc288554459 \h </w:instrText>
        </w:r>
        <w:r>
          <w:rPr>
            <w:noProof/>
            <w:webHidden/>
          </w:rPr>
        </w:r>
        <w:r>
          <w:rPr>
            <w:noProof/>
            <w:webHidden/>
          </w:rPr>
          <w:fldChar w:fldCharType="separate"/>
        </w:r>
        <w:r w:rsidR="00126DE5">
          <w:rPr>
            <w:noProof/>
            <w:webHidden/>
          </w:rPr>
          <w:t>III-25</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60" w:history="1">
        <w:r w:rsidR="00126DE5" w:rsidRPr="007E77D2">
          <w:rPr>
            <w:rStyle w:val="Hyperlink"/>
            <w:noProof/>
            <w:lang w:bidi="en-US"/>
          </w:rPr>
          <w:t>Worksheet E: Determining Capture Efficiency of Volume Based, Constant Drawdown BMP based on Design Volume</w:t>
        </w:r>
        <w:r w:rsidR="00126DE5">
          <w:rPr>
            <w:noProof/>
            <w:webHidden/>
          </w:rPr>
          <w:tab/>
        </w:r>
        <w:r>
          <w:rPr>
            <w:noProof/>
            <w:webHidden/>
          </w:rPr>
          <w:fldChar w:fldCharType="begin"/>
        </w:r>
        <w:r w:rsidR="00126DE5">
          <w:rPr>
            <w:noProof/>
            <w:webHidden/>
          </w:rPr>
          <w:instrText xml:space="preserve"> PAGEREF _Toc288554460 \h </w:instrText>
        </w:r>
        <w:r>
          <w:rPr>
            <w:noProof/>
            <w:webHidden/>
          </w:rPr>
        </w:r>
        <w:r>
          <w:rPr>
            <w:noProof/>
            <w:webHidden/>
          </w:rPr>
          <w:fldChar w:fldCharType="separate"/>
        </w:r>
        <w:r w:rsidR="00126DE5">
          <w:rPr>
            <w:noProof/>
            <w:webHidden/>
          </w:rPr>
          <w:t>III-30</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61" w:history="1">
        <w:r w:rsidR="00126DE5" w:rsidRPr="007E77D2">
          <w:rPr>
            <w:rStyle w:val="Hyperlink"/>
            <w:noProof/>
            <w:lang w:bidi="en-US"/>
          </w:rPr>
          <w:t>Worksheet F: Determining Capture Efficiency of a Flow-based BMP based on Treatment Capacity</w:t>
        </w:r>
        <w:r w:rsidR="00126DE5">
          <w:rPr>
            <w:noProof/>
            <w:webHidden/>
          </w:rPr>
          <w:tab/>
        </w:r>
        <w:r>
          <w:rPr>
            <w:noProof/>
            <w:webHidden/>
          </w:rPr>
          <w:fldChar w:fldCharType="begin"/>
        </w:r>
        <w:r w:rsidR="00126DE5">
          <w:rPr>
            <w:noProof/>
            <w:webHidden/>
          </w:rPr>
          <w:instrText xml:space="preserve"> PAGEREF _Toc288554461 \h </w:instrText>
        </w:r>
        <w:r>
          <w:rPr>
            <w:noProof/>
            <w:webHidden/>
          </w:rPr>
        </w:r>
        <w:r>
          <w:rPr>
            <w:noProof/>
            <w:webHidden/>
          </w:rPr>
          <w:fldChar w:fldCharType="separate"/>
        </w:r>
        <w:r w:rsidR="00126DE5">
          <w:rPr>
            <w:noProof/>
            <w:webHidden/>
          </w:rPr>
          <w:t>III-34</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62" w:history="1">
        <w:r w:rsidR="00126DE5" w:rsidRPr="007E77D2">
          <w:rPr>
            <w:rStyle w:val="Hyperlink"/>
            <w:noProof/>
            <w:lang w:bidi="en-US"/>
          </w:rPr>
          <w:t>Worksheet G: Alternative Compliance Volume Worksheet</w:t>
        </w:r>
        <w:r w:rsidR="00126DE5">
          <w:rPr>
            <w:noProof/>
            <w:webHidden/>
          </w:rPr>
          <w:tab/>
        </w:r>
        <w:r>
          <w:rPr>
            <w:noProof/>
            <w:webHidden/>
          </w:rPr>
          <w:fldChar w:fldCharType="begin"/>
        </w:r>
        <w:r w:rsidR="00126DE5">
          <w:rPr>
            <w:noProof/>
            <w:webHidden/>
          </w:rPr>
          <w:instrText xml:space="preserve"> PAGEREF _Toc288554462 \h </w:instrText>
        </w:r>
        <w:r>
          <w:rPr>
            <w:noProof/>
            <w:webHidden/>
          </w:rPr>
        </w:r>
        <w:r>
          <w:rPr>
            <w:noProof/>
            <w:webHidden/>
          </w:rPr>
          <w:fldChar w:fldCharType="separate"/>
        </w:r>
        <w:r w:rsidR="00126DE5">
          <w:rPr>
            <w:noProof/>
            <w:webHidden/>
          </w:rPr>
          <w:t>VI-8</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63" w:history="1">
        <w:r w:rsidR="00126DE5" w:rsidRPr="007E77D2">
          <w:rPr>
            <w:rStyle w:val="Hyperlink"/>
            <w:noProof/>
            <w:lang w:bidi="en-US"/>
          </w:rPr>
          <w:t xml:space="preserve">Worksheet </w:t>
        </w:r>
        <w:r w:rsidR="00126DE5" w:rsidRPr="007E77D2">
          <w:rPr>
            <w:rStyle w:val="Hyperlink"/>
            <w:rFonts w:cs="Arial"/>
            <w:noProof/>
            <w:lang w:bidi="en-US"/>
          </w:rPr>
          <w:t>H</w:t>
        </w:r>
        <w:r w:rsidR="00126DE5" w:rsidRPr="007E77D2">
          <w:rPr>
            <w:rStyle w:val="Hyperlink"/>
            <w:noProof/>
            <w:lang w:bidi="en-US"/>
          </w:rPr>
          <w:t>: Factor of Safety and Design Infiltration Rate and Worksheet</w:t>
        </w:r>
        <w:r w:rsidR="00126DE5">
          <w:rPr>
            <w:noProof/>
            <w:webHidden/>
          </w:rPr>
          <w:tab/>
        </w:r>
        <w:r>
          <w:rPr>
            <w:noProof/>
            <w:webHidden/>
          </w:rPr>
          <w:fldChar w:fldCharType="begin"/>
        </w:r>
        <w:r w:rsidR="00126DE5">
          <w:rPr>
            <w:noProof/>
            <w:webHidden/>
          </w:rPr>
          <w:instrText xml:space="preserve"> PAGEREF _Toc288554463 \h </w:instrText>
        </w:r>
        <w:r>
          <w:rPr>
            <w:noProof/>
            <w:webHidden/>
          </w:rPr>
        </w:r>
        <w:r>
          <w:rPr>
            <w:noProof/>
            <w:webHidden/>
          </w:rPr>
          <w:fldChar w:fldCharType="separate"/>
        </w:r>
        <w:r w:rsidR="00126DE5">
          <w:rPr>
            <w:noProof/>
            <w:webHidden/>
          </w:rPr>
          <w:t>VII-35</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64" w:history="1">
        <w:r w:rsidR="00126DE5" w:rsidRPr="007E77D2">
          <w:rPr>
            <w:rStyle w:val="Hyperlink"/>
            <w:noProof/>
            <w:lang w:bidi="en-US"/>
          </w:rPr>
          <w:t>Worksheet I: Summary of Groundwater-related Feasibility Criteria</w:t>
        </w:r>
        <w:r w:rsidR="00126DE5">
          <w:rPr>
            <w:noProof/>
            <w:webHidden/>
          </w:rPr>
          <w:tab/>
        </w:r>
        <w:r>
          <w:rPr>
            <w:noProof/>
            <w:webHidden/>
          </w:rPr>
          <w:fldChar w:fldCharType="begin"/>
        </w:r>
        <w:r w:rsidR="00126DE5">
          <w:rPr>
            <w:noProof/>
            <w:webHidden/>
          </w:rPr>
          <w:instrText xml:space="preserve"> PAGEREF _Toc288554464 \h </w:instrText>
        </w:r>
        <w:r>
          <w:rPr>
            <w:noProof/>
            <w:webHidden/>
          </w:rPr>
        </w:r>
        <w:r>
          <w:rPr>
            <w:noProof/>
            <w:webHidden/>
          </w:rPr>
          <w:fldChar w:fldCharType="separate"/>
        </w:r>
        <w:r w:rsidR="00126DE5">
          <w:rPr>
            <w:noProof/>
            <w:webHidden/>
          </w:rPr>
          <w:t>VIII-13</w:t>
        </w:r>
        <w:r>
          <w:rPr>
            <w:noProof/>
            <w:webHidden/>
          </w:rPr>
          <w:fldChar w:fldCharType="end"/>
        </w:r>
      </w:hyperlink>
    </w:p>
    <w:p w:rsidR="00126DE5" w:rsidRDefault="00126F3D">
      <w:pPr>
        <w:pStyle w:val="TableofFigures"/>
        <w:tabs>
          <w:tab w:val="right" w:leader="dot" w:pos="9350"/>
        </w:tabs>
        <w:rPr>
          <w:rFonts w:asciiTheme="minorHAnsi" w:eastAsiaTheme="minorEastAsia" w:hAnsiTheme="minorHAnsi" w:cstheme="minorBidi"/>
          <w:noProof/>
          <w:szCs w:val="22"/>
        </w:rPr>
      </w:pPr>
      <w:hyperlink w:anchor="_Toc288554465" w:history="1">
        <w:r w:rsidR="00126DE5" w:rsidRPr="007E77D2">
          <w:rPr>
            <w:rStyle w:val="Hyperlink"/>
            <w:noProof/>
            <w:lang w:bidi="en-US"/>
          </w:rPr>
          <w:t>Worksheet J: Summary of Harvested Water Demand and Feasibility</w:t>
        </w:r>
        <w:r w:rsidR="00126DE5">
          <w:rPr>
            <w:noProof/>
            <w:webHidden/>
          </w:rPr>
          <w:tab/>
        </w:r>
        <w:r>
          <w:rPr>
            <w:noProof/>
            <w:webHidden/>
          </w:rPr>
          <w:fldChar w:fldCharType="begin"/>
        </w:r>
        <w:r w:rsidR="00126DE5">
          <w:rPr>
            <w:noProof/>
            <w:webHidden/>
          </w:rPr>
          <w:instrText xml:space="preserve"> PAGEREF _Toc288554465 \h </w:instrText>
        </w:r>
        <w:r>
          <w:rPr>
            <w:noProof/>
            <w:webHidden/>
          </w:rPr>
        </w:r>
        <w:r>
          <w:rPr>
            <w:noProof/>
            <w:webHidden/>
          </w:rPr>
          <w:fldChar w:fldCharType="separate"/>
        </w:r>
        <w:r w:rsidR="00126DE5">
          <w:rPr>
            <w:noProof/>
            <w:webHidden/>
          </w:rPr>
          <w:t>X-13</w:t>
        </w:r>
        <w:r>
          <w:rPr>
            <w:noProof/>
            <w:webHidden/>
          </w:rPr>
          <w:fldChar w:fldCharType="end"/>
        </w:r>
      </w:hyperlink>
    </w:p>
    <w:p w:rsidR="005E57C9" w:rsidRPr="00572495" w:rsidRDefault="00126F3D" w:rsidP="00572495">
      <w:pPr>
        <w:pStyle w:val="CDMBTEXT"/>
      </w:pPr>
      <w:r w:rsidRPr="00126DE5">
        <w:rPr>
          <w:b/>
          <w:color w:val="0070C0"/>
        </w:rPr>
        <w:fldChar w:fldCharType="end"/>
      </w:r>
    </w:p>
    <w:p w:rsidR="00665CE4" w:rsidRPr="00665CE4" w:rsidRDefault="00665CE4" w:rsidP="00EA1EA6">
      <w:pPr>
        <w:pStyle w:val="CDMBTEXT"/>
        <w:outlineLvl w:val="0"/>
        <w:rPr>
          <w:b/>
          <w:u w:val="single"/>
        </w:rPr>
      </w:pPr>
      <w:r w:rsidRPr="00665CE4">
        <w:rPr>
          <w:b/>
          <w:u w:val="single"/>
        </w:rPr>
        <w:t>Key to Text Colors</w:t>
      </w:r>
    </w:p>
    <w:p w:rsidR="00665CE4" w:rsidRDefault="005913FC" w:rsidP="00EA1EA6">
      <w:pPr>
        <w:pStyle w:val="CDMBTEXT"/>
        <w:outlineLvl w:val="0"/>
      </w:pPr>
      <w:r w:rsidRPr="00572495">
        <w:rPr>
          <w:rFonts w:cs="Arial"/>
          <w:b/>
          <w:color w:val="0070C0"/>
        </w:rPr>
        <w:t>Blue</w:t>
      </w:r>
      <w:r w:rsidRPr="005A74EE">
        <w:rPr>
          <w:color w:val="0070C0"/>
        </w:rPr>
        <w:t xml:space="preserve"> </w:t>
      </w:r>
      <w:r w:rsidR="00665CE4">
        <w:t>= active internal hyperlink</w:t>
      </w:r>
    </w:p>
    <w:p w:rsidR="00665CE4" w:rsidRDefault="00665CE4" w:rsidP="00AE0D0E">
      <w:pPr>
        <w:pStyle w:val="CDMBTEXT"/>
      </w:pPr>
      <w:r w:rsidRPr="00572495">
        <w:rPr>
          <w:b/>
          <w:color w:val="00B050"/>
        </w:rPr>
        <w:t>Green</w:t>
      </w:r>
      <w:r>
        <w:t xml:space="preserve"> = </w:t>
      </w:r>
      <w:r w:rsidR="001063F7">
        <w:t>reference to other document.</w:t>
      </w:r>
    </w:p>
    <w:p w:rsidR="005A74EE" w:rsidRDefault="005A74EE" w:rsidP="00AE0D0E">
      <w:pPr>
        <w:pStyle w:val="CDMBTEXT"/>
      </w:pPr>
    </w:p>
    <w:p w:rsidR="00AE0D0E" w:rsidRPr="00AE0D0E" w:rsidRDefault="00AE0D0E" w:rsidP="00AE0D0E">
      <w:pPr>
        <w:sectPr w:rsidR="00AE0D0E" w:rsidRPr="00AE0D0E" w:rsidSect="00572495">
          <w:headerReference w:type="default" r:id="rId8"/>
          <w:footerReference w:type="default" r:id="rId9"/>
          <w:footerReference w:type="first" r:id="rId10"/>
          <w:pgSz w:w="12240" w:h="15840"/>
          <w:pgMar w:top="1440" w:right="1440" w:bottom="1440" w:left="1440" w:header="720" w:footer="432" w:gutter="0"/>
          <w:pgNumType w:fmt="lowerRoman" w:start="1"/>
          <w:cols w:space="720"/>
          <w:titlePg/>
          <w:docGrid w:linePitch="360"/>
        </w:sectPr>
      </w:pPr>
    </w:p>
    <w:p w:rsidR="00115863" w:rsidRDefault="00A52883" w:rsidP="00A52883">
      <w:pPr>
        <w:pStyle w:val="Heading1"/>
      </w:pPr>
      <w:bookmarkStart w:id="1" w:name="_Hydrologic_Calculations_and"/>
      <w:bookmarkStart w:id="2" w:name="_Toc285308074"/>
      <w:bookmarkStart w:id="3" w:name="_Toc285315715"/>
      <w:bookmarkStart w:id="4" w:name="_Toc285315890"/>
      <w:bookmarkStart w:id="5" w:name="_Ref285356870"/>
      <w:bookmarkStart w:id="6" w:name="_Toc285492428"/>
      <w:bookmarkStart w:id="7" w:name="_Toc288541034"/>
      <w:bookmarkStart w:id="8" w:name="_Toc293937104"/>
      <w:bookmarkEnd w:id="1"/>
      <w:r>
        <w:t>SUMMARY OF BMP SIZING REQUIREMENTS FOR NORTH ORANGE COUNTY</w:t>
      </w:r>
      <w:bookmarkEnd w:id="2"/>
      <w:bookmarkEnd w:id="3"/>
      <w:bookmarkEnd w:id="4"/>
      <w:bookmarkEnd w:id="5"/>
      <w:bookmarkEnd w:id="6"/>
      <w:bookmarkEnd w:id="7"/>
      <w:bookmarkEnd w:id="8"/>
    </w:p>
    <w:p w:rsidR="00401BEB" w:rsidRDefault="001E596C" w:rsidP="00115863">
      <w:r>
        <w:t>The purpose of this appendix is to provide a concise overview of the BMP sizing requirements for Priority Projects in the North Orange County Permit Area</w:t>
      </w:r>
      <w:r w:rsidR="00FC6C42">
        <w:t>.</w:t>
      </w:r>
      <w:r w:rsidR="00401BEB">
        <w:t xml:space="preserve"> This</w:t>
      </w:r>
      <w:r>
        <w:t xml:space="preserve"> summary</w:t>
      </w:r>
      <w:r w:rsidR="00401BEB">
        <w:t xml:space="preserve"> is not intended to supersede the regulatory requirements contained in </w:t>
      </w:r>
      <w:r w:rsidR="00FC34E0" w:rsidRPr="007A343A">
        <w:rPr>
          <w:b/>
          <w:color w:val="00B050"/>
        </w:rPr>
        <w:t xml:space="preserve">Section </w:t>
      </w:r>
      <w:r w:rsidR="007A343A" w:rsidRPr="007A343A">
        <w:rPr>
          <w:b/>
          <w:color w:val="00B050"/>
        </w:rPr>
        <w:t>2.4</w:t>
      </w:r>
      <w:r w:rsidR="00FC34E0" w:rsidRPr="007A343A">
        <w:rPr>
          <w:b/>
          <w:color w:val="00B050"/>
        </w:rPr>
        <w:t xml:space="preserve"> of the </w:t>
      </w:r>
      <w:r w:rsidR="00401BEB" w:rsidRPr="007A343A">
        <w:rPr>
          <w:b/>
          <w:color w:val="00B050"/>
        </w:rPr>
        <w:t>Model WQMP</w:t>
      </w:r>
      <w:r w:rsidR="007544D0">
        <w:t xml:space="preserve"> or establish new/additional performance criteria</w:t>
      </w:r>
      <w:r w:rsidR="00832DBF">
        <w:t>.</w:t>
      </w:r>
      <w:r w:rsidR="00043416">
        <w:t xml:space="preserve"> Rather, t</w:t>
      </w:r>
      <w:r w:rsidR="00401BEB">
        <w:t>his summary is intended to provide functional descriptions of how these requirements are anticipated to be applied in the majority of projects. This summary is organized as follows:</w:t>
      </w:r>
    </w:p>
    <w:p w:rsidR="00043416" w:rsidRPr="00126DE5" w:rsidRDefault="00126F3D" w:rsidP="00A52883">
      <w:pPr>
        <w:pStyle w:val="ListBullet"/>
        <w:rPr>
          <w:b/>
          <w:color w:val="0070C0"/>
        </w:rPr>
      </w:pPr>
      <w:fldSimple w:instr=" REF _Ref285388962 \h  \* MERGEFORMAT ">
        <w:r w:rsidR="00126DE5" w:rsidRPr="00126DE5">
          <w:rPr>
            <w:b/>
            <w:color w:val="0070C0"/>
          </w:rPr>
          <w:t>Introduction to Integrated Structural BMP Sizing Approach in North Orange County</w:t>
        </w:r>
      </w:fldSimple>
    </w:p>
    <w:p w:rsidR="00043416" w:rsidRPr="00126DE5" w:rsidRDefault="00126F3D" w:rsidP="00A52883">
      <w:pPr>
        <w:pStyle w:val="ListBullet"/>
        <w:rPr>
          <w:b/>
          <w:color w:val="0070C0"/>
        </w:rPr>
      </w:pPr>
      <w:fldSimple w:instr=" REF _Ref285388968 \h  \* MERGEFORMAT ">
        <w:r w:rsidR="00126DE5" w:rsidRPr="00126DE5">
          <w:rPr>
            <w:b/>
            <w:color w:val="0070C0"/>
          </w:rPr>
          <w:t>Overview of Approach for LID BMP Sizing in North Orange County</w:t>
        </w:r>
      </w:fldSimple>
    </w:p>
    <w:p w:rsidR="00043416" w:rsidRPr="00126DE5" w:rsidRDefault="00126F3D" w:rsidP="00A52883">
      <w:pPr>
        <w:pStyle w:val="ListBullet"/>
        <w:rPr>
          <w:b/>
          <w:color w:val="0070C0"/>
        </w:rPr>
      </w:pPr>
      <w:fldSimple w:instr=" REF _Ref285388973 \h  \* MERGEFORMAT ">
        <w:r w:rsidR="00126DE5" w:rsidRPr="00126DE5">
          <w:rPr>
            <w:b/>
            <w:color w:val="0070C0"/>
          </w:rPr>
          <w:t>Overview of Approach for Treatment Control BMP Sizing in North Orange County</w:t>
        </w:r>
      </w:fldSimple>
    </w:p>
    <w:p w:rsidR="00043416" w:rsidRPr="00126DE5" w:rsidRDefault="00126F3D" w:rsidP="00A52883">
      <w:pPr>
        <w:pStyle w:val="ListBullet"/>
        <w:rPr>
          <w:b/>
          <w:color w:val="0070C0"/>
        </w:rPr>
      </w:pPr>
      <w:fldSimple w:instr=" REF _Ref285388981 \h  \* MERGEFORMAT ">
        <w:r w:rsidR="00126DE5" w:rsidRPr="00126DE5">
          <w:rPr>
            <w:b/>
            <w:color w:val="0070C0"/>
          </w:rPr>
          <w:t>Overview of Approach for Addressing HCOCs in North Orange County</w:t>
        </w:r>
      </w:fldSimple>
    </w:p>
    <w:p w:rsidR="00043416" w:rsidRPr="00126DE5" w:rsidRDefault="00126F3D" w:rsidP="00A52883">
      <w:pPr>
        <w:pStyle w:val="ListBullet"/>
        <w:rPr>
          <w:b/>
          <w:color w:val="0070C0"/>
        </w:rPr>
      </w:pPr>
      <w:fldSimple w:instr=" REF _Ref285388987 \h  \* MERGEFORMAT ">
        <w:r w:rsidR="00126DE5" w:rsidRPr="00126DE5">
          <w:rPr>
            <w:b/>
            <w:color w:val="0070C0"/>
          </w:rPr>
          <w:t>Role of HSCs in BMP Sizing</w:t>
        </w:r>
      </w:fldSimple>
    </w:p>
    <w:p w:rsidR="001E596C" w:rsidRDefault="00401BEB" w:rsidP="00A52883">
      <w:pPr>
        <w:pStyle w:val="Heading2"/>
      </w:pPr>
      <w:bookmarkStart w:id="9" w:name="_Toc285308075"/>
      <w:bookmarkStart w:id="10" w:name="_Toc285315716"/>
      <w:bookmarkStart w:id="11" w:name="_Ref285388962"/>
      <w:bookmarkStart w:id="12" w:name="_Toc285492429"/>
      <w:bookmarkStart w:id="13" w:name="_Toc288541035"/>
      <w:bookmarkStart w:id="14" w:name="_Toc293937105"/>
      <w:r>
        <w:t xml:space="preserve">Introduction to Integrated </w:t>
      </w:r>
      <w:r w:rsidR="00A8728B">
        <w:t xml:space="preserve">Structural BMP </w:t>
      </w:r>
      <w:r>
        <w:t>Sizing Approach in North Orange County</w:t>
      </w:r>
      <w:bookmarkEnd w:id="9"/>
      <w:bookmarkEnd w:id="10"/>
      <w:bookmarkEnd w:id="11"/>
      <w:bookmarkEnd w:id="12"/>
      <w:bookmarkEnd w:id="13"/>
      <w:bookmarkEnd w:id="14"/>
    </w:p>
    <w:p w:rsidR="00582391" w:rsidRDefault="00A8728B" w:rsidP="00A8728B">
      <w:pPr>
        <w:pStyle w:val="ReportBodyText"/>
        <w:spacing w:after="240" w:line="280" w:lineRule="exact"/>
      </w:pPr>
      <w:r w:rsidRPr="00311A64">
        <w:t xml:space="preserve">Priority Projects </w:t>
      </w:r>
      <w:r>
        <w:t xml:space="preserve">in the North Orange County Permit Area </w:t>
      </w:r>
      <w:r w:rsidRPr="00311A64">
        <w:t>are required to implement LID, treatment control, and hydromodification control BMPs</w:t>
      </w:r>
      <w:r>
        <w:t xml:space="preserve"> to achieve</w:t>
      </w:r>
      <w:r w:rsidR="007544D0">
        <w:t xml:space="preserve"> numeric performance criteria</w:t>
      </w:r>
      <w:r w:rsidR="00043416">
        <w:t xml:space="preserve"> described in </w:t>
      </w:r>
      <w:r w:rsidR="00FC34E0" w:rsidRPr="007A343A">
        <w:rPr>
          <w:b/>
          <w:color w:val="00B050"/>
        </w:rPr>
        <w:t>Section</w:t>
      </w:r>
      <w:r w:rsidR="007A343A" w:rsidRPr="007A343A">
        <w:rPr>
          <w:b/>
          <w:color w:val="00B050"/>
        </w:rPr>
        <w:t xml:space="preserve"> 2.4</w:t>
      </w:r>
      <w:r w:rsidR="00FC34E0" w:rsidRPr="007A343A">
        <w:rPr>
          <w:b/>
          <w:color w:val="00B050"/>
        </w:rPr>
        <w:t xml:space="preserve"> of the </w:t>
      </w:r>
      <w:r w:rsidR="00810FA8" w:rsidRPr="007A343A">
        <w:rPr>
          <w:b/>
          <w:color w:val="00B050"/>
        </w:rPr>
        <w:t>Model WQMP</w:t>
      </w:r>
      <w:r w:rsidR="007544D0">
        <w:t xml:space="preserve">. </w:t>
      </w:r>
      <w:r w:rsidRPr="00311A64">
        <w:t xml:space="preserve">While Priority Projects must demonstrate compliance with LID, treatment control, and hydromodification control requirements separately, these provisions overlap significantly and some BMPs may fulfill or partially fulfill a portion of one or more of these requirements.  </w:t>
      </w:r>
    </w:p>
    <w:p w:rsidR="00043416" w:rsidRDefault="00582391" w:rsidP="00A8728B">
      <w:pPr>
        <w:pStyle w:val="ReportBodyText"/>
        <w:spacing w:after="240" w:line="280" w:lineRule="exact"/>
      </w:pPr>
      <w:r>
        <w:t>The relative role that the LID, treatment control, and hydromodification performance standards have on BMP sizing requirements depends on the existing condition of the site</w:t>
      </w:r>
      <w:r w:rsidR="00043416">
        <w:t>, the receiving water hydromodification susceptibility,</w:t>
      </w:r>
      <w:r>
        <w:t xml:space="preserve"> and whether the project claim</w:t>
      </w:r>
      <w:r w:rsidR="00043416">
        <w:t>s</w:t>
      </w:r>
      <w:r>
        <w:t xml:space="preserve"> water quality credits. </w:t>
      </w:r>
      <w:r w:rsidR="00043416">
        <w:t xml:space="preserve">Depending on how these </w:t>
      </w:r>
      <w:r w:rsidR="00C316A2">
        <w:t>factors</w:t>
      </w:r>
      <w:r w:rsidR="00043416">
        <w:t xml:space="preserve"> combine, different sizing standards will control the sizing of BMP</w:t>
      </w:r>
      <w:r w:rsidR="004C6431">
        <w:t>s</w:t>
      </w:r>
      <w:r w:rsidR="00043416">
        <w:t xml:space="preserve"> for the project. The term</w:t>
      </w:r>
      <w:r w:rsidR="00C316A2">
        <w:t xml:space="preserve"> </w:t>
      </w:r>
      <w:r w:rsidR="00C316A2" w:rsidRPr="00C316A2">
        <w:rPr>
          <w:i/>
        </w:rPr>
        <w:t>stormwater design volume</w:t>
      </w:r>
      <w:r w:rsidR="00043416">
        <w:rPr>
          <w:i/>
        </w:rPr>
        <w:t xml:space="preserve"> </w:t>
      </w:r>
      <w:r w:rsidR="00043416" w:rsidRPr="00043416">
        <w:t>is used to refer</w:t>
      </w:r>
      <w:r w:rsidR="00043416">
        <w:t xml:space="preserve"> to the controlling sizing standard. This is not a precise term, as it varies from project to project depending on the controlling sizing standard.  </w:t>
      </w:r>
      <w:r w:rsidR="00C316A2">
        <w:t xml:space="preserve"> </w:t>
      </w:r>
    </w:p>
    <w:p w:rsidR="00A8728B" w:rsidRDefault="00582391" w:rsidP="00A8728B">
      <w:pPr>
        <w:pStyle w:val="ReportBodyText"/>
        <w:spacing w:after="240" w:line="280" w:lineRule="exact"/>
      </w:pPr>
      <w:r>
        <w:t xml:space="preserve">Three distinct conditions </w:t>
      </w:r>
      <w:r w:rsidR="00043416">
        <w:t xml:space="preserve">relative to BMP sizing </w:t>
      </w:r>
      <w:r>
        <w:t>are anticipated to exist</w:t>
      </w:r>
      <w:r w:rsidR="00FC6C42">
        <w:t xml:space="preserve"> most commonly</w:t>
      </w:r>
      <w:r>
        <w:t>:</w:t>
      </w:r>
    </w:p>
    <w:p w:rsidR="00582391" w:rsidRDefault="00FC6C42" w:rsidP="009531AF">
      <w:pPr>
        <w:pStyle w:val="ReportBodyText"/>
        <w:numPr>
          <w:ilvl w:val="0"/>
          <w:numId w:val="33"/>
        </w:numPr>
        <w:spacing w:after="240" w:line="280" w:lineRule="exact"/>
      </w:pPr>
      <w:r w:rsidRPr="00FC6C42">
        <w:rPr>
          <w:b/>
        </w:rPr>
        <w:t>HCOC-controlled.</w:t>
      </w:r>
      <w:r>
        <w:t xml:space="preserve"> </w:t>
      </w:r>
      <w:r w:rsidR="00810FA8">
        <w:t>This condition applies to p</w:t>
      </w:r>
      <w:r w:rsidR="00582391">
        <w:t>roject</w:t>
      </w:r>
      <w:r w:rsidR="002C685B">
        <w:t>s</w:t>
      </w:r>
      <w:r w:rsidR="0083533D">
        <w:t xml:space="preserve"> that</w:t>
      </w:r>
      <w:r w:rsidR="00043416">
        <w:t xml:space="preserve"> </w:t>
      </w:r>
      <w:r w:rsidR="00810FA8">
        <w:t>discharge to</w:t>
      </w:r>
      <w:r w:rsidR="00043416">
        <w:t xml:space="preserve"> receiving waters susceptible to hydromodification and</w:t>
      </w:r>
      <w:r w:rsidR="002C685B">
        <w:t xml:space="preserve"> increas</w:t>
      </w:r>
      <w:r w:rsidR="0083533D">
        <w:t>e</w:t>
      </w:r>
      <w:r w:rsidR="002C685B">
        <w:t xml:space="preserve"> imperviousness such that the difference in runoff volume from the 2-year, 24-hour storm from pre- to post-project is greater than the runoff volume from the 85</w:t>
      </w:r>
      <w:r w:rsidR="002C685B" w:rsidRPr="002C685B">
        <w:rPr>
          <w:vertAlign w:val="superscript"/>
        </w:rPr>
        <w:t>th</w:t>
      </w:r>
      <w:r w:rsidR="002C685B">
        <w:t xml:space="preserve"> percentile storm depth</w:t>
      </w:r>
      <w:r w:rsidR="0083533D">
        <w:t xml:space="preserve"> (i.e., the LID Design Capture Volume, DCV)</w:t>
      </w:r>
      <w:r w:rsidR="002A451E">
        <w:t xml:space="preserve"> by at least 5 percent</w:t>
      </w:r>
      <w:r w:rsidR="002C685B">
        <w:t xml:space="preserve">.  In this case, the controlling </w:t>
      </w:r>
      <w:r w:rsidR="002C685B" w:rsidRPr="007544D0">
        <w:rPr>
          <w:i/>
        </w:rPr>
        <w:t>stormwater design volume</w:t>
      </w:r>
      <w:r w:rsidR="002C685B">
        <w:t xml:space="preserve"> </w:t>
      </w:r>
      <w:r w:rsidR="00043416">
        <w:t>is the difference in the</w:t>
      </w:r>
      <w:r w:rsidR="002C685B">
        <w:t xml:space="preserve"> 2-year runoff volume</w:t>
      </w:r>
      <w:r w:rsidR="00043416">
        <w:t xml:space="preserve"> (delta 2-year volume)</w:t>
      </w:r>
      <w:r w:rsidR="0083533D">
        <w:t>.</w:t>
      </w:r>
    </w:p>
    <w:p w:rsidR="0083533D" w:rsidRDefault="0083533D" w:rsidP="00EA1EA6">
      <w:pPr>
        <w:pStyle w:val="ReportBodyText"/>
        <w:spacing w:after="240" w:line="280" w:lineRule="exact"/>
        <w:ind w:left="1440"/>
        <w:outlineLvl w:val="0"/>
      </w:pPr>
      <w:r w:rsidRPr="0083533D">
        <w:rPr>
          <w:b/>
          <w:i/>
        </w:rPr>
        <w:t>Delta 2-yr</w:t>
      </w:r>
      <w:r w:rsidR="00FC6C42">
        <w:rPr>
          <w:b/>
          <w:i/>
        </w:rPr>
        <w:t xml:space="preserve"> volume</w:t>
      </w:r>
      <w:r>
        <w:t xml:space="preserve"> &gt; DCV </w:t>
      </w:r>
      <w:r w:rsidR="00810FA8">
        <w:t>=</w:t>
      </w:r>
      <w:r>
        <w:t xml:space="preserve"> WQDV</w:t>
      </w:r>
    </w:p>
    <w:p w:rsidR="00FC6C42" w:rsidRDefault="00043416" w:rsidP="0083533D">
      <w:pPr>
        <w:pStyle w:val="ReportBodyText"/>
        <w:spacing w:after="240" w:line="280" w:lineRule="exact"/>
        <w:ind w:left="1260"/>
      </w:pPr>
      <w:r>
        <w:t>Design approach</w:t>
      </w:r>
      <w:r w:rsidR="00FC6C42">
        <w:t>:</w:t>
      </w:r>
      <w:r w:rsidR="0083533D" w:rsidRPr="0083533D">
        <w:t xml:space="preserve"> </w:t>
      </w:r>
      <w:r w:rsidR="00FC6C42">
        <w:t>d</w:t>
      </w:r>
      <w:r w:rsidR="0083533D" w:rsidRPr="0083533D">
        <w:t>esign</w:t>
      </w:r>
      <w:r w:rsidR="00FC6C42">
        <w:t xml:space="preserve"> BMPs to retain the delta 2-yr volume.</w:t>
      </w:r>
      <w:r>
        <w:t xml:space="preserve">  This will generally address all other applicable sizing criteria.</w:t>
      </w:r>
    </w:p>
    <w:p w:rsidR="0083533D" w:rsidRPr="0083533D" w:rsidRDefault="00FC6C42" w:rsidP="0083533D">
      <w:pPr>
        <w:pStyle w:val="ReportBodyText"/>
        <w:spacing w:after="240" w:line="280" w:lineRule="exact"/>
        <w:ind w:left="1260"/>
      </w:pPr>
      <w:r>
        <w:t>Alternate path: I</w:t>
      </w:r>
      <w:r w:rsidR="0083533D" w:rsidRPr="0083533D">
        <w:t>f full retention</w:t>
      </w:r>
      <w:r>
        <w:t xml:space="preserve"> of the delta 2-yr volume</w:t>
      </w:r>
      <w:r w:rsidR="0083533D" w:rsidRPr="0083533D">
        <w:t xml:space="preserve"> is not feasible and a treated discharge is </w:t>
      </w:r>
      <w:r w:rsidR="004934CF">
        <w:t>required, then</w:t>
      </w:r>
      <w:r w:rsidR="0083533D" w:rsidRPr="0083533D">
        <w:t xml:space="preserve"> select </w:t>
      </w:r>
      <w:r w:rsidR="004934CF">
        <w:t xml:space="preserve">a biotreatment </w:t>
      </w:r>
      <w:r w:rsidR="0083533D" w:rsidRPr="0083533D">
        <w:t>BMP to address pollutants of concern</w:t>
      </w:r>
      <w:r>
        <w:t>, and design it to treat the remaining DCV to the MEP</w:t>
      </w:r>
      <w:r w:rsidR="004934CF">
        <w:t xml:space="preserve">. Design the biotreatment BMP </w:t>
      </w:r>
      <w:r>
        <w:t>with</w:t>
      </w:r>
      <w:r w:rsidR="007544D0">
        <w:t xml:space="preserve"> sufficient storage volume and</w:t>
      </w:r>
      <w:r>
        <w:t xml:space="preserve"> hydraulic controls </w:t>
      </w:r>
      <w:r w:rsidR="004934CF">
        <w:t>to match the</w:t>
      </w:r>
      <w:r w:rsidR="00043416">
        <w:t xml:space="preserve"> peak flow from the</w:t>
      </w:r>
      <w:r w:rsidR="004934CF">
        <w:t xml:space="preserve"> 2-year</w:t>
      </w:r>
      <w:r w:rsidR="00043416">
        <w:t xml:space="preserve"> storm</w:t>
      </w:r>
      <w:r w:rsidR="004934CF">
        <w:t xml:space="preserve"> </w:t>
      </w:r>
      <w:r w:rsidR="00043416">
        <w:t xml:space="preserve">to </w:t>
      </w:r>
      <w:r w:rsidR="004934CF">
        <w:t>within 10 percent</w:t>
      </w:r>
      <w:r w:rsidR="00043416">
        <w:t xml:space="preserve"> of the pre-project peak</w:t>
      </w:r>
      <w:r w:rsidR="004934CF">
        <w:t>.</w:t>
      </w:r>
    </w:p>
    <w:p w:rsidR="0083533D" w:rsidRDefault="00FC6C42" w:rsidP="009531AF">
      <w:pPr>
        <w:pStyle w:val="ReportBodyText"/>
        <w:numPr>
          <w:ilvl w:val="0"/>
          <w:numId w:val="33"/>
        </w:numPr>
        <w:spacing w:after="240" w:line="280" w:lineRule="exact"/>
      </w:pPr>
      <w:r w:rsidRPr="00FC6C42">
        <w:rPr>
          <w:b/>
        </w:rPr>
        <w:t>DCV-controlled.</w:t>
      </w:r>
      <w:r>
        <w:t xml:space="preserve"> </w:t>
      </w:r>
      <w:r w:rsidR="00810FA8">
        <w:t>This condition applies to p</w:t>
      </w:r>
      <w:r w:rsidR="0083533D">
        <w:t>rojects that do not</w:t>
      </w:r>
      <w:r w:rsidR="00043416">
        <w:t xml:space="preserve"> have susceptible receiving waters, do not</w:t>
      </w:r>
      <w:r w:rsidR="0083533D">
        <w:t xml:space="preserve"> increase imperviousness</w:t>
      </w:r>
      <w:r w:rsidR="00043416">
        <w:t>,</w:t>
      </w:r>
      <w:r w:rsidR="0083533D">
        <w:t xml:space="preserve"> or increase </w:t>
      </w:r>
      <w:r w:rsidR="004934CF">
        <w:t xml:space="preserve">imperviousness </w:t>
      </w:r>
      <w:r w:rsidR="0083533D">
        <w:t>sligh</w:t>
      </w:r>
      <w:r w:rsidR="002A451E">
        <w:t>tly such that the DCV is more than 95 percent of</w:t>
      </w:r>
      <w:r w:rsidR="0083533D">
        <w:t xml:space="preserve"> the delta 2-yr volume. In this case, the controlling </w:t>
      </w:r>
      <w:r w:rsidR="0083533D" w:rsidRPr="007544D0">
        <w:rPr>
          <w:i/>
        </w:rPr>
        <w:t>stormwater design volume</w:t>
      </w:r>
      <w:r w:rsidR="0083533D">
        <w:t xml:space="preserve"> is the DCV.</w:t>
      </w:r>
    </w:p>
    <w:p w:rsidR="0083533D" w:rsidRDefault="0083533D" w:rsidP="007544D0">
      <w:pPr>
        <w:pStyle w:val="ReportBodyText"/>
        <w:spacing w:after="240" w:line="280" w:lineRule="exact"/>
        <w:ind w:left="1440"/>
      </w:pPr>
      <w:r w:rsidRPr="0083533D">
        <w:rPr>
          <w:b/>
          <w:i/>
        </w:rPr>
        <w:t>DCV</w:t>
      </w:r>
      <w:r>
        <w:t xml:space="preserve"> </w:t>
      </w:r>
      <w:r w:rsidR="00810FA8">
        <w:t>=</w:t>
      </w:r>
      <w:r>
        <w:t xml:space="preserve"> WQDV &gt; Delta 2-yr</w:t>
      </w:r>
      <w:r w:rsidR="00FC6C42">
        <w:t xml:space="preserve"> volume</w:t>
      </w:r>
    </w:p>
    <w:p w:rsidR="004934CF" w:rsidRDefault="00043416" w:rsidP="004934CF">
      <w:pPr>
        <w:pStyle w:val="ReportBodyText"/>
        <w:spacing w:after="240" w:line="280" w:lineRule="exact"/>
        <w:ind w:left="1260"/>
      </w:pPr>
      <w:r>
        <w:t>Design approach</w:t>
      </w:r>
      <w:r w:rsidR="00FC6C42">
        <w:t xml:space="preserve">: </w:t>
      </w:r>
      <w:r w:rsidR="004934CF">
        <w:t xml:space="preserve"> design BMPs to retain the DCV.</w:t>
      </w:r>
      <w:r w:rsidRPr="00043416">
        <w:t xml:space="preserve"> </w:t>
      </w:r>
      <w:r>
        <w:t>This will generally address all other applicable sizing criteria.</w:t>
      </w:r>
    </w:p>
    <w:p w:rsidR="004934CF" w:rsidRPr="0083533D" w:rsidRDefault="00FC6C42" w:rsidP="004934CF">
      <w:pPr>
        <w:pStyle w:val="ReportBodyText"/>
        <w:spacing w:after="240" w:line="280" w:lineRule="exact"/>
        <w:ind w:left="1260"/>
      </w:pPr>
      <w:r>
        <w:t>Contingencies</w:t>
      </w:r>
      <w:r w:rsidR="004934CF">
        <w:t xml:space="preserve">: If full retention is not possible, retain to the MEP, </w:t>
      </w:r>
      <w:r w:rsidR="004934CF" w:rsidRPr="0083533D">
        <w:t xml:space="preserve">select </w:t>
      </w:r>
      <w:r w:rsidR="004934CF">
        <w:t xml:space="preserve">a biotreatment </w:t>
      </w:r>
      <w:r w:rsidR="004934CF" w:rsidRPr="0083533D">
        <w:t>BMP to address pollutants of concern</w:t>
      </w:r>
      <w:r w:rsidR="004934CF">
        <w:t xml:space="preserve">, and design biotreatment for the remaining DCV to the MEP. Design the biotreatment BMP </w:t>
      </w:r>
      <w:r w:rsidR="00043416">
        <w:t xml:space="preserve">with sufficient volume and hydraulic controls </w:t>
      </w:r>
      <w:r w:rsidR="004934CF">
        <w:t>to match the 2-year peak flow within 10 percent.</w:t>
      </w:r>
    </w:p>
    <w:p w:rsidR="0083533D" w:rsidRDefault="00043416" w:rsidP="009531AF">
      <w:pPr>
        <w:pStyle w:val="ReportBodyText"/>
        <w:numPr>
          <w:ilvl w:val="0"/>
          <w:numId w:val="33"/>
        </w:numPr>
        <w:spacing w:after="240" w:line="280" w:lineRule="exact"/>
      </w:pPr>
      <w:r>
        <w:rPr>
          <w:b/>
        </w:rPr>
        <w:t>Alternative Compliance</w:t>
      </w:r>
      <w:r w:rsidR="00810FA8">
        <w:t>.</w:t>
      </w:r>
      <w:r w:rsidR="006860B9">
        <w:t xml:space="preserve"> </w:t>
      </w:r>
      <w:proofErr w:type="gramStart"/>
      <w:r w:rsidR="00810FA8">
        <w:t>This condition applies to projects that cannot feasibly retain or biotreat the entire DCV and choose</w:t>
      </w:r>
      <w:proofErr w:type="gramEnd"/>
      <w:r w:rsidR="00810FA8">
        <w:t xml:space="preserve"> to participate</w:t>
      </w:r>
      <w:r w:rsidR="00FC6C42">
        <w:t xml:space="preserve"> in an in-lieu</w:t>
      </w:r>
      <w:r>
        <w:t>/off-site</w:t>
      </w:r>
      <w:r w:rsidR="00FC6C42">
        <w:t xml:space="preserve"> program</w:t>
      </w:r>
      <w:r w:rsidR="007544D0">
        <w:t xml:space="preserve"> for LID</w:t>
      </w:r>
      <w:r w:rsidR="00FC6C42">
        <w:t xml:space="preserve">. In this case, </w:t>
      </w:r>
      <w:r w:rsidR="00D368B0">
        <w:t xml:space="preserve">the </w:t>
      </w:r>
      <w:r w:rsidR="00FC6C42">
        <w:t xml:space="preserve">water quality design volume or flowrate </w:t>
      </w:r>
      <w:r w:rsidR="007544D0">
        <w:t>(</w:t>
      </w:r>
      <w:r w:rsidR="00D368B0">
        <w:t>WQDV or WQDF)</w:t>
      </w:r>
      <w:r>
        <w:t xml:space="preserve"> </w:t>
      </w:r>
      <w:r w:rsidRPr="00043416">
        <w:t xml:space="preserve">would control the </w:t>
      </w:r>
      <w:r w:rsidR="00810FA8">
        <w:t xml:space="preserve">ultimate </w:t>
      </w:r>
      <w:r w:rsidR="004709AA">
        <w:t>sizing of</w:t>
      </w:r>
      <w:r w:rsidR="002A451E">
        <w:t xml:space="preserve"> </w:t>
      </w:r>
      <w:r w:rsidRPr="00043416">
        <w:t>BMPs</w:t>
      </w:r>
      <w:r w:rsidR="002A451E">
        <w:t xml:space="preserve"> provided upstream of the receiving water</w:t>
      </w:r>
      <w:r w:rsidR="00FC6C42" w:rsidRPr="00043416">
        <w:t>.</w:t>
      </w:r>
    </w:p>
    <w:p w:rsidR="00FC6C42" w:rsidRDefault="00FC6C42" w:rsidP="007544D0">
      <w:pPr>
        <w:pStyle w:val="ReportBodyText"/>
        <w:spacing w:after="240" w:line="280" w:lineRule="exact"/>
        <w:ind w:left="1440"/>
      </w:pPr>
      <w:r>
        <w:rPr>
          <w:b/>
        </w:rPr>
        <w:t xml:space="preserve">WQDV </w:t>
      </w:r>
      <w:r>
        <w:t>&gt; DCV achieved</w:t>
      </w:r>
      <w:r w:rsidR="007544D0">
        <w:t xml:space="preserve"> on-site</w:t>
      </w:r>
      <w:r>
        <w:t xml:space="preserve"> </w:t>
      </w:r>
      <w:r w:rsidR="007544D0">
        <w:t>&gt;</w:t>
      </w:r>
      <w:r>
        <w:t xml:space="preserve"> Delta 2-yr volume achieved</w:t>
      </w:r>
      <w:r w:rsidR="007544D0">
        <w:t xml:space="preserve"> on-site</w:t>
      </w:r>
    </w:p>
    <w:p w:rsidR="00FC6C42" w:rsidRDefault="00043416" w:rsidP="007544D0">
      <w:pPr>
        <w:pStyle w:val="ReportBodyText"/>
        <w:spacing w:after="240" w:line="280" w:lineRule="exact"/>
        <w:ind w:left="1260"/>
      </w:pPr>
      <w:r>
        <w:t>Design approach</w:t>
      </w:r>
      <w:r w:rsidR="007544D0">
        <w:t xml:space="preserve">: </w:t>
      </w:r>
      <w:r w:rsidR="00D368B0">
        <w:t xml:space="preserve">After demonstrating </w:t>
      </w:r>
      <w:r w:rsidR="00810FA8">
        <w:t xml:space="preserve">the </w:t>
      </w:r>
      <w:r w:rsidR="00D368B0">
        <w:t>infeasibility of retaining or biotreating the DCV, c</w:t>
      </w:r>
      <w:r w:rsidR="007544D0">
        <w:t>laim water quality cre</w:t>
      </w:r>
      <w:r w:rsidR="00810FA8">
        <w:t>dits as applicable to project. Size treatment control BMPs, as necessary, to t</w:t>
      </w:r>
      <w:r w:rsidR="007544D0">
        <w:t>reat</w:t>
      </w:r>
      <w:r w:rsidR="00810FA8">
        <w:t xml:space="preserve"> the</w:t>
      </w:r>
      <w:r w:rsidR="007544D0">
        <w:t xml:space="preserve"> remaining WQDV</w:t>
      </w:r>
      <w:r w:rsidR="00D368B0">
        <w:t xml:space="preserve"> or WQDF</w:t>
      </w:r>
      <w:r w:rsidR="007544D0">
        <w:t xml:space="preserve"> not already addressed with retention and biotreatment BMPs or offset by water quality credits. Claim </w:t>
      </w:r>
      <w:r w:rsidR="0014047B">
        <w:t xml:space="preserve">LID </w:t>
      </w:r>
      <w:r w:rsidR="007544D0">
        <w:t xml:space="preserve">credit </w:t>
      </w:r>
      <w:r w:rsidR="006860B9">
        <w:t xml:space="preserve">for volume that is treated </w:t>
      </w:r>
      <w:r w:rsidR="007544D0">
        <w:t>in treatment control BMPs</w:t>
      </w:r>
      <w:r w:rsidR="0014047B">
        <w:t xml:space="preserve"> with medium or high effectiveness for all primary pollutants of concern</w:t>
      </w:r>
      <w:r w:rsidR="007544D0">
        <w:t xml:space="preserve">. </w:t>
      </w:r>
      <w:r w:rsidR="006860B9">
        <w:t xml:space="preserve">If treatment control BMPs do not provide M or H effectiveness for all primary pollutants and/or </w:t>
      </w:r>
      <w:r w:rsidR="0014047B">
        <w:t>the cost of treatment control BMPs</w:t>
      </w:r>
      <w:r w:rsidR="006860B9">
        <w:t xml:space="preserve"> greatly outweighs pollution control benefit; p</w:t>
      </w:r>
      <w:r w:rsidR="007544D0">
        <w:t>articipate in alternative compliance</w:t>
      </w:r>
      <w:r>
        <w:t xml:space="preserve"> program</w:t>
      </w:r>
      <w:r w:rsidR="007544D0">
        <w:t xml:space="preserve"> </w:t>
      </w:r>
      <w:r>
        <w:t xml:space="preserve">for remaining LID </w:t>
      </w:r>
      <w:r w:rsidR="006860B9">
        <w:t xml:space="preserve">and treatment control </w:t>
      </w:r>
      <w:r>
        <w:t>obligation. Provide off-site or in-stream controls to address HCOCs, if present.</w:t>
      </w:r>
    </w:p>
    <w:p w:rsidR="00043416" w:rsidRDefault="00043416" w:rsidP="00A52883">
      <w:pPr>
        <w:pStyle w:val="ReportBodyText"/>
        <w:spacing w:after="240"/>
      </w:pPr>
      <w:r>
        <w:t xml:space="preserve">Note: this list of conditions is not exhaustive of all potential conditions that could be encountered.  It is provided to illustrate the integration of different sizing criteria, and is anticipated to cover a large percentage of projects.  Conformance with each sizing standard shall always be </w:t>
      </w:r>
      <w:r w:rsidR="00810FA8">
        <w:t>evaluated</w:t>
      </w:r>
      <w:r>
        <w:t xml:space="preserve"> on a standard-by-standard basis.</w:t>
      </w:r>
    </w:p>
    <w:p w:rsidR="00401BEB" w:rsidRDefault="00401BEB" w:rsidP="00A52883">
      <w:pPr>
        <w:pStyle w:val="Heading2"/>
      </w:pPr>
      <w:bookmarkStart w:id="15" w:name="_Toc285308076"/>
      <w:bookmarkStart w:id="16" w:name="_Toc285315717"/>
      <w:bookmarkStart w:id="17" w:name="_Ref285388968"/>
      <w:bookmarkStart w:id="18" w:name="_Toc285492430"/>
      <w:bookmarkStart w:id="19" w:name="_Toc288541036"/>
      <w:bookmarkStart w:id="20" w:name="_Toc293937106"/>
      <w:r>
        <w:t>Overview of Approach for LID BMP Sizing in North Orange County</w:t>
      </w:r>
      <w:bookmarkEnd w:id="15"/>
      <w:bookmarkEnd w:id="16"/>
      <w:bookmarkEnd w:id="17"/>
      <w:bookmarkEnd w:id="18"/>
      <w:bookmarkEnd w:id="19"/>
      <w:bookmarkEnd w:id="20"/>
    </w:p>
    <w:p w:rsidR="00D368B0" w:rsidRPr="00B53524" w:rsidRDefault="00D368B0" w:rsidP="00A52883">
      <w:pPr>
        <w:pStyle w:val="ReportBodyText"/>
        <w:spacing w:after="240"/>
      </w:pPr>
      <w:r w:rsidRPr="00311A64">
        <w:t xml:space="preserve">This section describes </w:t>
      </w:r>
      <w:r>
        <w:t>three equivalent</w:t>
      </w:r>
      <w:r w:rsidRPr="00311A64">
        <w:t xml:space="preserve"> pathways a</w:t>
      </w:r>
      <w:r>
        <w:t xml:space="preserve"> typical</w:t>
      </w:r>
      <w:r w:rsidRPr="00311A64">
        <w:t xml:space="preserve"> Priority Project would </w:t>
      </w:r>
      <w:r w:rsidR="006A7C3E">
        <w:t xml:space="preserve">potentially </w:t>
      </w:r>
      <w:r w:rsidRPr="00311A64">
        <w:t xml:space="preserve">follow </w:t>
      </w:r>
      <w:r w:rsidR="00A165BD">
        <w:t xml:space="preserve">to </w:t>
      </w:r>
      <w:r>
        <w:t xml:space="preserve">size LID BMPs for the </w:t>
      </w:r>
      <w:r w:rsidR="003C7091">
        <w:t>DCV</w:t>
      </w:r>
      <w:r>
        <w:t xml:space="preserve"> in </w:t>
      </w:r>
      <w:r w:rsidR="00344DD2">
        <w:t>the North Orange County permit area</w:t>
      </w:r>
      <w:r>
        <w:t xml:space="preserve">. </w:t>
      </w:r>
    </w:p>
    <w:p w:rsidR="00D368B0" w:rsidRDefault="00D368B0" w:rsidP="009531AF">
      <w:pPr>
        <w:pStyle w:val="ReportBodyText"/>
        <w:numPr>
          <w:ilvl w:val="0"/>
          <w:numId w:val="34"/>
        </w:numPr>
        <w:spacing w:after="240" w:line="280" w:lineRule="exact"/>
      </w:pPr>
      <w:r>
        <w:t>Design LID BMPs to retain</w:t>
      </w:r>
      <w:r w:rsidRPr="00311A64">
        <w:t xml:space="preserve"> on-site</w:t>
      </w:r>
      <w:r>
        <w:t xml:space="preserve"> </w:t>
      </w:r>
      <w:r w:rsidRPr="00311A64">
        <w:t xml:space="preserve">(infiltrate, harvest and use, or evapotranspire) 80 percent of </w:t>
      </w:r>
      <w:r w:rsidR="00810FA8">
        <w:t xml:space="preserve">the </w:t>
      </w:r>
      <w:r w:rsidRPr="00311A64">
        <w:t>average annual stormwater runoff</w:t>
      </w:r>
      <w:r w:rsidR="00810FA8">
        <w:t xml:space="preserve"> (i.e., 80 percent capture)</w:t>
      </w:r>
      <w:r w:rsidRPr="00311A64">
        <w:t>.</w:t>
      </w:r>
      <w:r w:rsidR="00A165BD">
        <w:t xml:space="preserve">  The </w:t>
      </w:r>
      <w:r w:rsidR="00810FA8">
        <w:t xml:space="preserve">physical storage capacity of </w:t>
      </w:r>
      <w:r w:rsidR="00A165BD">
        <w:t>the BMP may be less than the DCV if, after considering routing effects</w:t>
      </w:r>
      <w:r w:rsidR="000B21E6">
        <w:t xml:space="preserve"> (i.e., how quickly storage in the BMP becomes available; see</w:t>
      </w:r>
      <w:r w:rsidR="009E7FDA">
        <w:t xml:space="preserve"> </w:t>
      </w:r>
      <w:r w:rsidR="00524D76" w:rsidRPr="00524D76">
        <w:rPr>
          <w:b/>
        </w:rPr>
        <w:t>Appendix</w:t>
      </w:r>
      <w:r w:rsidR="006860B9">
        <w:t xml:space="preserve"> </w:t>
      </w:r>
      <w:r w:rsidR="00126F3D" w:rsidRPr="00126DE5">
        <w:rPr>
          <w:b/>
          <w:color w:val="0070C0"/>
          <w:sz w:val="20"/>
        </w:rPr>
        <w:fldChar w:fldCharType="begin"/>
      </w:r>
      <w:r w:rsidR="006860B9" w:rsidRPr="00126DE5">
        <w:rPr>
          <w:b/>
          <w:color w:val="0070C0"/>
          <w:sz w:val="20"/>
        </w:rPr>
        <w:instrText xml:space="preserve"> REF _Ref287970607 \r \h </w:instrText>
      </w:r>
      <w:r w:rsidR="00126F3D" w:rsidRPr="00126DE5">
        <w:rPr>
          <w:b/>
          <w:color w:val="0070C0"/>
          <w:sz w:val="20"/>
        </w:rPr>
      </w:r>
      <w:r w:rsidR="00126F3D" w:rsidRPr="00126DE5">
        <w:rPr>
          <w:b/>
          <w:color w:val="0070C0"/>
          <w:sz w:val="20"/>
        </w:rPr>
        <w:fldChar w:fldCharType="separate"/>
      </w:r>
      <w:r w:rsidR="00126DE5" w:rsidRPr="00126DE5">
        <w:rPr>
          <w:b/>
          <w:color w:val="0070C0"/>
          <w:sz w:val="20"/>
        </w:rPr>
        <w:t>III.6</w:t>
      </w:r>
      <w:r w:rsidR="00126F3D" w:rsidRPr="00126DE5">
        <w:rPr>
          <w:b/>
          <w:color w:val="0070C0"/>
          <w:sz w:val="20"/>
        </w:rPr>
        <w:fldChar w:fldCharType="end"/>
      </w:r>
      <w:r w:rsidR="006860B9">
        <w:t>)</w:t>
      </w:r>
      <w:r w:rsidR="00A165BD">
        <w:t xml:space="preserve">, the average annual capture </w:t>
      </w:r>
      <w:r w:rsidR="00990A72">
        <w:t xml:space="preserve">percentage exceeds 80 percent. </w:t>
      </w:r>
      <w:r w:rsidR="00524D76" w:rsidRPr="00524D76">
        <w:rPr>
          <w:b/>
        </w:rPr>
        <w:t>Appendix</w:t>
      </w:r>
      <w:r w:rsidR="00A165BD">
        <w:t xml:space="preserve"> </w:t>
      </w:r>
      <w:r w:rsidR="00126F3D" w:rsidRPr="00126DE5">
        <w:rPr>
          <w:rFonts w:cs="Arial"/>
          <w:b/>
          <w:color w:val="0070C0"/>
          <w:sz w:val="20"/>
          <w:szCs w:val="20"/>
        </w:rPr>
        <w:fldChar w:fldCharType="begin"/>
      </w:r>
      <w:r w:rsidR="007E0420" w:rsidRPr="00126DE5">
        <w:rPr>
          <w:rFonts w:cs="Arial"/>
          <w:b/>
          <w:color w:val="0070C0"/>
          <w:sz w:val="20"/>
          <w:szCs w:val="20"/>
        </w:rPr>
        <w:instrText xml:space="preserve"> REF _Ref285302264 \r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rFonts w:cs="Arial"/>
          <w:b/>
          <w:color w:val="0070C0"/>
          <w:sz w:val="20"/>
          <w:szCs w:val="20"/>
        </w:rPr>
        <w:t>III.3</w:t>
      </w:r>
      <w:r w:rsidR="00126F3D" w:rsidRPr="00126DE5">
        <w:rPr>
          <w:rFonts w:cs="Arial"/>
          <w:b/>
          <w:color w:val="0070C0"/>
          <w:sz w:val="20"/>
          <w:szCs w:val="20"/>
        </w:rPr>
        <w:fldChar w:fldCharType="end"/>
      </w:r>
      <w:r w:rsidR="007E0420">
        <w:t xml:space="preserve"> and </w:t>
      </w:r>
      <w:r w:rsidR="00126F3D" w:rsidRPr="00126DE5">
        <w:rPr>
          <w:rFonts w:cs="Arial"/>
          <w:b/>
          <w:color w:val="0070C0"/>
          <w:sz w:val="20"/>
          <w:szCs w:val="20"/>
        </w:rPr>
        <w:fldChar w:fldCharType="begin"/>
      </w:r>
      <w:r w:rsidR="007E0420" w:rsidRPr="00126DE5">
        <w:rPr>
          <w:rFonts w:cs="Arial"/>
          <w:b/>
          <w:color w:val="0070C0"/>
          <w:sz w:val="20"/>
          <w:szCs w:val="20"/>
        </w:rPr>
        <w:instrText xml:space="preserve"> REF _Ref285302273 \r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rFonts w:cs="Arial"/>
          <w:b/>
          <w:color w:val="0070C0"/>
          <w:sz w:val="20"/>
          <w:szCs w:val="20"/>
        </w:rPr>
        <w:t>III.4</w:t>
      </w:r>
      <w:r w:rsidR="00126F3D" w:rsidRPr="00126DE5">
        <w:rPr>
          <w:rFonts w:cs="Arial"/>
          <w:b/>
          <w:color w:val="0070C0"/>
          <w:sz w:val="20"/>
          <w:szCs w:val="20"/>
        </w:rPr>
        <w:fldChar w:fldCharType="end"/>
      </w:r>
      <w:r w:rsidR="007E0420">
        <w:t xml:space="preserve"> provide simplified nomograph tools for </w:t>
      </w:r>
      <w:r w:rsidR="00043416">
        <w:t>calculating long term average annual capture efficiency.</w:t>
      </w:r>
    </w:p>
    <w:p w:rsidR="00A165BD" w:rsidRPr="00A165BD" w:rsidRDefault="00A165BD" w:rsidP="00EA1EA6">
      <w:pPr>
        <w:pStyle w:val="ReportBodyText"/>
        <w:spacing w:after="240" w:line="280" w:lineRule="exact"/>
        <w:ind w:left="720"/>
        <w:outlineLvl w:val="0"/>
        <w:rPr>
          <w:b/>
          <w:i/>
        </w:rPr>
      </w:pPr>
      <w:r w:rsidRPr="00A165BD">
        <w:rPr>
          <w:b/>
          <w:i/>
        </w:rPr>
        <w:t>OR</w:t>
      </w:r>
    </w:p>
    <w:p w:rsidR="00A165BD" w:rsidRPr="00A165BD" w:rsidRDefault="009279F9" w:rsidP="009531AF">
      <w:pPr>
        <w:pStyle w:val="ReportBodyText"/>
        <w:numPr>
          <w:ilvl w:val="0"/>
          <w:numId w:val="34"/>
        </w:numPr>
        <w:spacing w:after="240" w:line="280" w:lineRule="exact"/>
        <w:outlineLvl w:val="0"/>
      </w:pPr>
      <w:bookmarkStart w:id="21" w:name="_Toc285308077"/>
      <w:r>
        <w:t>Participate</w:t>
      </w:r>
      <w:r w:rsidR="00A165BD" w:rsidRPr="00A165BD">
        <w:t xml:space="preserve"> in a regional facility that provides average annual volume reduction </w:t>
      </w:r>
      <w:r w:rsidR="00043416">
        <w:t xml:space="preserve">and pollutant load reduction </w:t>
      </w:r>
      <w:r w:rsidR="00A165BD" w:rsidRPr="00A165BD">
        <w:t>equivalent or better to that which would be achieved by re</w:t>
      </w:r>
      <w:r w:rsidR="00A165BD">
        <w:t>t</w:t>
      </w:r>
      <w:r w:rsidR="00A165BD" w:rsidRPr="00A165BD">
        <w:t xml:space="preserve">aining 80 percent of the average annual stormwater from the </w:t>
      </w:r>
      <w:r w:rsidR="00A165BD">
        <w:t>P</w:t>
      </w:r>
      <w:r w:rsidR="00A165BD" w:rsidRPr="00A165BD">
        <w:t>roject</w:t>
      </w:r>
      <w:r w:rsidR="00043416">
        <w:t xml:space="preserve"> on-site</w:t>
      </w:r>
      <w:r w:rsidR="00A165BD" w:rsidRPr="00A165BD">
        <w:t>.</w:t>
      </w:r>
      <w:r w:rsidR="00A165BD">
        <w:t xml:space="preserve"> Regional facilities must </w:t>
      </w:r>
      <w:bookmarkEnd w:id="21"/>
      <w:r w:rsidR="006860B9">
        <w:t xml:space="preserve">be approved by the Regional Board Executive Officer as part of a watershed or sub-watershed scale plan (as described in </w:t>
      </w:r>
      <w:r w:rsidR="006860B9" w:rsidRPr="007A343A">
        <w:rPr>
          <w:b/>
          <w:color w:val="00B050"/>
        </w:rPr>
        <w:t>the Section 2.4.2.2 of the Model WQMP</w:t>
      </w:r>
      <w:r w:rsidR="006860B9">
        <w:t xml:space="preserve">) and equivalency shall be demonstrated by hydrologic and pollutant removal benefits estimated by water quality modeling.  </w:t>
      </w:r>
    </w:p>
    <w:p w:rsidR="00D368B0" w:rsidRPr="00B53524" w:rsidRDefault="00D368B0" w:rsidP="00EA1EA6">
      <w:pPr>
        <w:pStyle w:val="ReportBodyText"/>
        <w:spacing w:after="240" w:line="280" w:lineRule="exact"/>
        <w:ind w:firstLine="720"/>
        <w:outlineLvl w:val="0"/>
        <w:rPr>
          <w:b/>
          <w:i/>
        </w:rPr>
      </w:pPr>
      <w:bookmarkStart w:id="22" w:name="_Toc285308078"/>
      <w:r w:rsidRPr="00311A64">
        <w:rPr>
          <w:b/>
          <w:i/>
        </w:rPr>
        <w:t>OR</w:t>
      </w:r>
      <w:bookmarkEnd w:id="22"/>
    </w:p>
    <w:p w:rsidR="00D368B0" w:rsidRPr="00B53524" w:rsidRDefault="00D368B0" w:rsidP="009531AF">
      <w:pPr>
        <w:pStyle w:val="ReportBodyText"/>
        <w:numPr>
          <w:ilvl w:val="0"/>
          <w:numId w:val="34"/>
        </w:numPr>
        <w:spacing w:after="240" w:line="280" w:lineRule="exact"/>
      </w:pPr>
      <w:r>
        <w:t>Design LID BMPs to:</w:t>
      </w:r>
    </w:p>
    <w:p w:rsidR="00D368B0" w:rsidRPr="00B53524" w:rsidRDefault="00D368B0" w:rsidP="009531AF">
      <w:pPr>
        <w:pStyle w:val="ReportBodyText"/>
        <w:numPr>
          <w:ilvl w:val="1"/>
          <w:numId w:val="34"/>
        </w:numPr>
        <w:spacing w:after="240" w:line="280" w:lineRule="exact"/>
      </w:pPr>
      <w:r w:rsidRPr="00311A64">
        <w:t>Retain (infiltrate, harvest and use, or evapotranspire) stormwater runoff on-site, as feasible up to th</w:t>
      </w:r>
      <w:r w:rsidR="00A165BD">
        <w:t>e DCV</w:t>
      </w:r>
      <w:r w:rsidRPr="00B53524">
        <w:t xml:space="preserve">, </w:t>
      </w:r>
      <w:r w:rsidRPr="00311A64">
        <w:t xml:space="preserve"> </w:t>
      </w:r>
    </w:p>
    <w:p w:rsidR="00D368B0" w:rsidRPr="00B53524" w:rsidRDefault="00D368B0" w:rsidP="00EA1EA6">
      <w:pPr>
        <w:pStyle w:val="ReportBodyText"/>
        <w:spacing w:after="240" w:line="280" w:lineRule="exact"/>
        <w:ind w:left="1440"/>
        <w:outlineLvl w:val="0"/>
      </w:pPr>
      <w:bookmarkStart w:id="23" w:name="_Toc285308079"/>
      <w:r w:rsidRPr="00311A64">
        <w:t>AND</w:t>
      </w:r>
      <w:bookmarkEnd w:id="23"/>
    </w:p>
    <w:p w:rsidR="00D368B0" w:rsidRPr="00B53524" w:rsidRDefault="00D368B0" w:rsidP="009531AF">
      <w:pPr>
        <w:pStyle w:val="ReportBodyText"/>
        <w:numPr>
          <w:ilvl w:val="1"/>
          <w:numId w:val="34"/>
        </w:numPr>
        <w:spacing w:after="240" w:line="280" w:lineRule="exact"/>
      </w:pPr>
      <w:r w:rsidRPr="00311A64">
        <w:t xml:space="preserve">Recover (i.e., draw down) the storage volume </w:t>
      </w:r>
      <w:r w:rsidR="006A7C3E">
        <w:t>in</w:t>
      </w:r>
      <w:r w:rsidR="00043416">
        <w:t xml:space="preserve"> less than or equal to</w:t>
      </w:r>
      <w:r w:rsidR="006A7C3E">
        <w:t xml:space="preserve"> 48 hours</w:t>
      </w:r>
      <w:r w:rsidR="00043416">
        <w:t>,</w:t>
      </w:r>
      <w:r w:rsidR="006A7C3E">
        <w:t xml:space="preserve"> if feasible. If not feasible, demonstrate based on feasibility criteria that storage cannot be recovered more quickly</w:t>
      </w:r>
      <w:r w:rsidR="00043416">
        <w:t xml:space="preserve"> </w:t>
      </w:r>
      <w:r w:rsidR="006A7C3E" w:rsidRPr="006A7C3E">
        <w:rPr>
          <w:u w:val="single"/>
        </w:rPr>
        <w:t>or</w:t>
      </w:r>
      <w:r w:rsidR="006A7C3E">
        <w:t xml:space="preserve"> provide additional storage volume beyond the DCV to offset longer drawdown time</w:t>
      </w:r>
      <w:r w:rsidR="00043416">
        <w:t xml:space="preserve">. </w:t>
      </w:r>
      <w:r w:rsidR="00043416" w:rsidRPr="00043416">
        <w:rPr>
          <w:i/>
        </w:rPr>
        <w:t xml:space="preserve">Note: </w:t>
      </w:r>
      <w:r w:rsidR="009279F9" w:rsidRPr="00043416">
        <w:rPr>
          <w:i/>
        </w:rPr>
        <w:t xml:space="preserve">Providing the </w:t>
      </w:r>
      <w:r w:rsidR="006A7C3E" w:rsidRPr="00043416">
        <w:rPr>
          <w:i/>
        </w:rPr>
        <w:t xml:space="preserve">DCV </w:t>
      </w:r>
      <w:r w:rsidR="00043416" w:rsidRPr="00043416">
        <w:rPr>
          <w:i/>
        </w:rPr>
        <w:t xml:space="preserve">and </w:t>
      </w:r>
      <w:r w:rsidR="006A7C3E" w:rsidRPr="00043416">
        <w:rPr>
          <w:i/>
        </w:rPr>
        <w:t xml:space="preserve">drawing down </w:t>
      </w:r>
      <w:r w:rsidR="009279F9" w:rsidRPr="00043416">
        <w:rPr>
          <w:i/>
        </w:rPr>
        <w:t xml:space="preserve">this volume down </w:t>
      </w:r>
      <w:r w:rsidR="006A7C3E" w:rsidRPr="00043416">
        <w:rPr>
          <w:i/>
        </w:rPr>
        <w:t>in 48 hours achieves equivalent performance to 80 percent retention of average annual stormwater runoff</w:t>
      </w:r>
      <w:r w:rsidR="009279F9" w:rsidRPr="00043416">
        <w:rPr>
          <w:i/>
        </w:rPr>
        <w:t>.  O</w:t>
      </w:r>
      <w:r w:rsidR="006A7C3E" w:rsidRPr="00043416">
        <w:rPr>
          <w:i/>
        </w:rPr>
        <w:t>ther combinations of retention volume and drawdown can</w:t>
      </w:r>
      <w:r w:rsidR="009279F9" w:rsidRPr="00043416">
        <w:rPr>
          <w:i/>
        </w:rPr>
        <w:t xml:space="preserve"> also</w:t>
      </w:r>
      <w:r w:rsidR="006A7C3E" w:rsidRPr="00043416">
        <w:rPr>
          <w:i/>
        </w:rPr>
        <w:t xml:space="preserve"> be used to achieve 80 percent retention of average annual stormwater runof</w:t>
      </w:r>
      <w:r w:rsidR="00043416">
        <w:rPr>
          <w:i/>
        </w:rPr>
        <w:t>f if desired and feasible</w:t>
      </w:r>
      <w:r w:rsidR="00043416" w:rsidRPr="00043416">
        <w:rPr>
          <w:i/>
        </w:rPr>
        <w:t xml:space="preserve"> (See </w:t>
      </w:r>
      <w:r w:rsidR="00524D76" w:rsidRPr="00524D76">
        <w:rPr>
          <w:b/>
          <w:i/>
        </w:rPr>
        <w:t>Appendix</w:t>
      </w:r>
      <w:r w:rsidR="00043416" w:rsidRPr="00043416">
        <w:rPr>
          <w:i/>
        </w:rPr>
        <w:t xml:space="preserve"> </w:t>
      </w:r>
      <w:fldSimple w:instr=" REF _Ref285302264 \r \h  \* MERGEFORMAT ">
        <w:r w:rsidR="00126DE5" w:rsidRPr="00126DE5">
          <w:rPr>
            <w:rFonts w:cs="Arial"/>
            <w:b/>
            <w:color w:val="0070C0"/>
            <w:sz w:val="20"/>
            <w:szCs w:val="20"/>
          </w:rPr>
          <w:t>III.3</w:t>
        </w:r>
      </w:fldSimple>
      <w:r w:rsidR="00043416" w:rsidRPr="00043416">
        <w:rPr>
          <w:i/>
        </w:rPr>
        <w:t xml:space="preserve"> and </w:t>
      </w:r>
      <w:fldSimple w:instr=" REF _Ref285302273 \r \h  \* MERGEFORMAT ">
        <w:r w:rsidR="00126DE5" w:rsidRPr="00126DE5">
          <w:rPr>
            <w:rFonts w:cs="Arial"/>
            <w:b/>
            <w:color w:val="0070C0"/>
            <w:sz w:val="20"/>
            <w:szCs w:val="20"/>
          </w:rPr>
          <w:t>III.4</w:t>
        </w:r>
      </w:fldSimple>
      <w:r w:rsidR="00043416" w:rsidRPr="00043416">
        <w:rPr>
          <w:b/>
          <w:i/>
          <w:color w:val="0070C0"/>
        </w:rPr>
        <w:t>)</w:t>
      </w:r>
      <w:r w:rsidR="00043416" w:rsidRPr="00043416">
        <w:rPr>
          <w:i/>
        </w:rPr>
        <w:t>.</w:t>
      </w:r>
    </w:p>
    <w:p w:rsidR="00D368B0" w:rsidRPr="00B53524" w:rsidRDefault="00D368B0" w:rsidP="00D368B0">
      <w:pPr>
        <w:pStyle w:val="ReportBodyText"/>
        <w:spacing w:after="240" w:line="280" w:lineRule="exact"/>
        <w:ind w:left="1440"/>
      </w:pPr>
      <w:r w:rsidRPr="00311A64">
        <w:t>AND (if necessary)</w:t>
      </w:r>
    </w:p>
    <w:p w:rsidR="00D368B0" w:rsidRPr="00B53524" w:rsidRDefault="00D368B0" w:rsidP="009531AF">
      <w:pPr>
        <w:pStyle w:val="ReportBodyText"/>
        <w:numPr>
          <w:ilvl w:val="1"/>
          <w:numId w:val="34"/>
        </w:numPr>
        <w:spacing w:after="240" w:line="280" w:lineRule="exact"/>
      </w:pPr>
      <w:r w:rsidRPr="00311A64">
        <w:t xml:space="preserve">Biotreat the remaining </w:t>
      </w:r>
      <w:r w:rsidR="003C7091">
        <w:t>DCV</w:t>
      </w:r>
      <w:r w:rsidR="009367C8">
        <w:rPr>
          <w:rStyle w:val="FootnoteReference"/>
        </w:rPr>
        <w:footnoteReference w:id="1"/>
      </w:r>
      <w:r w:rsidRPr="00311A64">
        <w:t xml:space="preserve"> on-site</w:t>
      </w:r>
      <w:r w:rsidR="00043416">
        <w:t xml:space="preserve"> to the MEP</w:t>
      </w:r>
      <w:r w:rsidRPr="00311A64">
        <w:t>, if any</w:t>
      </w:r>
      <w:r w:rsidRPr="00B53524">
        <w:rPr>
          <w:rStyle w:val="FootnoteReference"/>
        </w:rPr>
        <w:footnoteReference w:id="2"/>
      </w:r>
      <w:r w:rsidRPr="00311A64">
        <w:t xml:space="preserve"> (cumulative, retention plus biotreatment), </w:t>
      </w:r>
    </w:p>
    <w:p w:rsidR="00D368B0" w:rsidRPr="00B53524" w:rsidRDefault="00D368B0" w:rsidP="00D368B0">
      <w:pPr>
        <w:pStyle w:val="ReportBodyText"/>
        <w:spacing w:after="240" w:line="280" w:lineRule="exact"/>
        <w:ind w:left="1440"/>
      </w:pPr>
      <w:r w:rsidRPr="00311A64">
        <w:t>AND (if necessary)</w:t>
      </w:r>
    </w:p>
    <w:p w:rsidR="00D368B0" w:rsidRPr="00B53524" w:rsidRDefault="007E0420" w:rsidP="009531AF">
      <w:pPr>
        <w:pStyle w:val="ReportBodyText"/>
        <w:numPr>
          <w:ilvl w:val="1"/>
          <w:numId w:val="34"/>
        </w:numPr>
        <w:spacing w:after="240" w:line="280" w:lineRule="exact"/>
      </w:pPr>
      <w:r>
        <w:t>R</w:t>
      </w:r>
      <w:r w:rsidR="00D368B0" w:rsidRPr="00311A64">
        <w:t xml:space="preserve">etain or biotreat, the remaining </w:t>
      </w:r>
      <w:r w:rsidR="003C7091">
        <w:t>DCV</w:t>
      </w:r>
      <w:r w:rsidR="00D368B0" w:rsidRPr="00E86B79" w:rsidDel="00E86B79">
        <w:t xml:space="preserve"> </w:t>
      </w:r>
      <w:r w:rsidR="00D368B0" w:rsidRPr="00311A64">
        <w:t>(cumulative, retention plus biotreatment)</w:t>
      </w:r>
      <w:r w:rsidR="006860B9" w:rsidRPr="006860B9">
        <w:t xml:space="preserve"> </w:t>
      </w:r>
      <w:r w:rsidR="006860B9" w:rsidRPr="00311A64">
        <w:t>in a regional facility</w:t>
      </w:r>
      <w:r w:rsidR="006860B9">
        <w:t xml:space="preserve"> designed per LID principals</w:t>
      </w:r>
      <w:r w:rsidR="006860B9">
        <w:rPr>
          <w:rStyle w:val="FootnoteReference"/>
        </w:rPr>
        <w:footnoteReference w:id="3"/>
      </w:r>
      <w:r w:rsidR="00D368B0" w:rsidRPr="00311A64">
        <w:t>,</w:t>
      </w:r>
    </w:p>
    <w:p w:rsidR="00D368B0" w:rsidRPr="00B53524" w:rsidRDefault="00D368B0" w:rsidP="00D368B0">
      <w:pPr>
        <w:pStyle w:val="ReportBodyText"/>
        <w:spacing w:after="240" w:line="280" w:lineRule="exact"/>
        <w:ind w:left="1440"/>
      </w:pPr>
      <w:r w:rsidRPr="00311A64">
        <w:t>AND (if necessary)</w:t>
      </w:r>
    </w:p>
    <w:p w:rsidR="007544D0" w:rsidRDefault="006A7C3E" w:rsidP="009531AF">
      <w:pPr>
        <w:pStyle w:val="ListParagraph"/>
        <w:numPr>
          <w:ilvl w:val="1"/>
          <w:numId w:val="34"/>
        </w:numPr>
      </w:pPr>
      <w:r>
        <w:t xml:space="preserve">Claim water </w:t>
      </w:r>
      <w:proofErr w:type="gramStart"/>
      <w:r>
        <w:t>quality credits, if applicable, and fulfill</w:t>
      </w:r>
      <w:proofErr w:type="gramEnd"/>
      <w:r w:rsidR="00D368B0" w:rsidRPr="00311A64">
        <w:t xml:space="preserve"> alternative compliance obligations for runoff volume not retained or biotreated up to </w:t>
      </w:r>
      <w:r w:rsidR="007E0420">
        <w:t xml:space="preserve">the </w:t>
      </w:r>
      <w:r w:rsidR="00D368B0" w:rsidRPr="00311A64">
        <w:t>target average annual capture efficiency of 80 percent (cumulative)</w:t>
      </w:r>
      <w:r w:rsidR="007E0420">
        <w:t xml:space="preserve"> or </w:t>
      </w:r>
      <w:r>
        <w:t xml:space="preserve">offset by </w:t>
      </w:r>
      <w:r w:rsidR="007E0420">
        <w:t>water quality credits</w:t>
      </w:r>
      <w:r w:rsidR="00D368B0" w:rsidRPr="00311A64">
        <w:t>.</w:t>
      </w:r>
      <w:r w:rsidR="00043416">
        <w:t xml:space="preserve"> </w:t>
      </w:r>
    </w:p>
    <w:p w:rsidR="007E0420" w:rsidRPr="00B53524" w:rsidRDefault="00043416" w:rsidP="007E0420">
      <w:pPr>
        <w:pStyle w:val="CDMBTEXT"/>
      </w:pPr>
      <w:r>
        <w:t>Infeasibility</w:t>
      </w:r>
      <w:r w:rsidR="007E0420" w:rsidRPr="00832DBF">
        <w:t xml:space="preserve"> criteria </w:t>
      </w:r>
      <w:r>
        <w:t xml:space="preserve">for BMP selection </w:t>
      </w:r>
      <w:r w:rsidR="007E0420" w:rsidRPr="00832DBF">
        <w:t xml:space="preserve">are described in </w:t>
      </w:r>
      <w:r w:rsidRPr="00A214BC">
        <w:rPr>
          <w:b/>
          <w:color w:val="00B050"/>
        </w:rPr>
        <w:t xml:space="preserve">TGD </w:t>
      </w:r>
      <w:r w:rsidR="007E0420" w:rsidRPr="00A214BC">
        <w:rPr>
          <w:b/>
          <w:color w:val="00B050"/>
        </w:rPr>
        <w:t xml:space="preserve">Section </w:t>
      </w:r>
      <w:r w:rsidR="00810FA8" w:rsidRPr="00A214BC">
        <w:rPr>
          <w:b/>
          <w:color w:val="00B050"/>
        </w:rPr>
        <w:t>2.4</w:t>
      </w:r>
      <w:r w:rsidR="00810FA8">
        <w:rPr>
          <w:b/>
          <w:color w:val="00B050"/>
        </w:rPr>
        <w:t>,</w:t>
      </w:r>
      <w:r>
        <w:rPr>
          <w:b/>
          <w:color w:val="00B050"/>
        </w:rPr>
        <w:t xml:space="preserve"> </w:t>
      </w:r>
      <w:r w:rsidRPr="00043416">
        <w:t xml:space="preserve">and criteria for design BMPs to retain and biotreat stormwater to the MEP are contained in </w:t>
      </w:r>
      <w:r w:rsidR="00126F3D" w:rsidRPr="00126DE5">
        <w:rPr>
          <w:rFonts w:cs="Arial"/>
          <w:b/>
          <w:color w:val="0070C0"/>
          <w:sz w:val="20"/>
        </w:rPr>
        <w:fldChar w:fldCharType="begin"/>
      </w:r>
      <w:r w:rsidRPr="00126DE5">
        <w:rPr>
          <w:rFonts w:cs="Arial"/>
          <w:b/>
          <w:color w:val="0070C0"/>
          <w:sz w:val="20"/>
        </w:rPr>
        <w:instrText xml:space="preserve"> REF _Ref285390578 \r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rFonts w:cs="Arial"/>
          <w:b/>
          <w:color w:val="0070C0"/>
          <w:sz w:val="20"/>
        </w:rPr>
        <w:t>Appendix XI</w:t>
      </w:r>
      <w:r w:rsidR="00126F3D" w:rsidRPr="00126DE5">
        <w:rPr>
          <w:rFonts w:cs="Arial"/>
          <w:b/>
          <w:color w:val="0070C0"/>
          <w:sz w:val="20"/>
        </w:rPr>
        <w:fldChar w:fldCharType="end"/>
      </w:r>
      <w:r>
        <w:rPr>
          <w:b/>
          <w:color w:val="00B050"/>
        </w:rPr>
        <w:t xml:space="preserve">. </w:t>
      </w:r>
      <w:r w:rsidR="007E0420" w:rsidRPr="00832DBF">
        <w:t xml:space="preserve">Conceptually, </w:t>
      </w:r>
      <w:r>
        <w:t xml:space="preserve">these </w:t>
      </w:r>
      <w:r w:rsidR="007E0420" w:rsidRPr="00311A64">
        <w:t xml:space="preserve">criteria </w:t>
      </w:r>
      <w:r w:rsidR="007E0420" w:rsidRPr="00326E90">
        <w:t>are intended to</w:t>
      </w:r>
      <w:r w:rsidR="007E0420" w:rsidRPr="00311A64">
        <w:t>:</w:t>
      </w:r>
    </w:p>
    <w:p w:rsidR="007E0420" w:rsidRPr="00B53524" w:rsidRDefault="007E0420" w:rsidP="00A52883">
      <w:pPr>
        <w:pStyle w:val="ListBullet"/>
      </w:pPr>
      <w:r>
        <w:t>P</w:t>
      </w:r>
      <w:r w:rsidRPr="00311A64">
        <w:t>revent significant risks to human health and environmental degradation as a result of compliance activities; and</w:t>
      </w:r>
    </w:p>
    <w:p w:rsidR="007E0420" w:rsidRPr="00B53524" w:rsidRDefault="007E0420" w:rsidP="00A52883">
      <w:pPr>
        <w:pStyle w:val="ListBullet"/>
      </w:pPr>
      <w:r>
        <w:t>D</w:t>
      </w:r>
      <w:r w:rsidRPr="00326E90">
        <w:t>escribe circumstances under which</w:t>
      </w:r>
      <w:r>
        <w:t xml:space="preserve"> </w:t>
      </w:r>
      <w:r w:rsidRPr="00311A64">
        <w:t>regional and watershed-</w:t>
      </w:r>
      <w:r>
        <w:t xml:space="preserve">based </w:t>
      </w:r>
      <w:r w:rsidRPr="00311A64">
        <w:t>strategies may be selected when they are consistent with the MEP standard considering such factors as technical feasibility, fiscal feasibility, societal concerns, and social benefits; and</w:t>
      </w:r>
    </w:p>
    <w:p w:rsidR="007E0420" w:rsidRDefault="007E0420" w:rsidP="00A52883">
      <w:pPr>
        <w:pStyle w:val="ListBullet"/>
      </w:pPr>
      <w:r>
        <w:t>D</w:t>
      </w:r>
      <w:r w:rsidRPr="00326E90">
        <w:t>efine performance criteria to</w:t>
      </w:r>
      <w:r w:rsidRPr="00311A64">
        <w:t xml:space="preserve"> ensure that compliance does not result in undue fiscal or societal burdens, including such considerations as:</w:t>
      </w:r>
    </w:p>
    <w:p w:rsidR="00A52883" w:rsidRPr="00B53524" w:rsidRDefault="00A52883" w:rsidP="00A52883">
      <w:pPr>
        <w:pStyle w:val="ListBullet"/>
        <w:numPr>
          <w:ilvl w:val="0"/>
          <w:numId w:val="0"/>
        </w:numPr>
        <w:ind w:left="806"/>
      </w:pPr>
    </w:p>
    <w:p w:rsidR="007E0420" w:rsidRPr="00B53524" w:rsidRDefault="007E0420" w:rsidP="00A52883">
      <w:pPr>
        <w:pStyle w:val="ListBullet"/>
        <w:tabs>
          <w:tab w:val="clear" w:pos="810"/>
          <w:tab w:val="num" w:pos="1530"/>
        </w:tabs>
        <w:ind w:left="1526"/>
      </w:pPr>
      <w:r w:rsidRPr="00311A64">
        <w:t>Cost-effectiveness of on-site stormwater management versus off-site stormwater management, including capital costs and maintenance cost and considerations, and</w:t>
      </w:r>
    </w:p>
    <w:p w:rsidR="007E0420" w:rsidRDefault="007E0420" w:rsidP="00A52883">
      <w:pPr>
        <w:pStyle w:val="ListBullet"/>
        <w:tabs>
          <w:tab w:val="clear" w:pos="810"/>
          <w:tab w:val="num" w:pos="1530"/>
        </w:tabs>
        <w:ind w:left="1526"/>
      </w:pPr>
      <w:r w:rsidRPr="00311A64">
        <w:t>Incremental cost-benefit of additional BMPs in stormwater management systems, including capital costs and maintenance costs and considerations.</w:t>
      </w:r>
    </w:p>
    <w:p w:rsidR="007E0420" w:rsidRPr="00B53524" w:rsidRDefault="007E0420" w:rsidP="007E0420">
      <w:pPr>
        <w:pStyle w:val="CDMBTEXT"/>
        <w:spacing w:after="120"/>
      </w:pPr>
      <w:r>
        <w:t xml:space="preserve">Functionally, these criteria provide the </w:t>
      </w:r>
      <w:r w:rsidR="006A7C3E">
        <w:t xml:space="preserve">basis for moving from higher to lower levels of the </w:t>
      </w:r>
      <w:r w:rsidR="009279F9">
        <w:t xml:space="preserve">LID </w:t>
      </w:r>
      <w:r w:rsidR="006A7C3E">
        <w:t>BMP hierarchy outlined in Pathway 3</w:t>
      </w:r>
      <w:r w:rsidR="00043416">
        <w:t>,</w:t>
      </w:r>
      <w:r w:rsidR="00810FA8">
        <w:t xml:space="preserve"> above.</w:t>
      </w:r>
    </w:p>
    <w:p w:rsidR="00401BEB" w:rsidRPr="002E1936" w:rsidRDefault="00C34320" w:rsidP="00A52883">
      <w:pPr>
        <w:pStyle w:val="Heading2"/>
      </w:pPr>
      <w:bookmarkStart w:id="24" w:name="_Toc285308080"/>
      <w:bookmarkStart w:id="25" w:name="_Toc285315718"/>
      <w:bookmarkStart w:id="26" w:name="_Ref285388973"/>
      <w:bookmarkStart w:id="27" w:name="_Toc285492431"/>
      <w:bookmarkStart w:id="28" w:name="_Toc288541037"/>
      <w:bookmarkStart w:id="29" w:name="_Toc293937107"/>
      <w:r w:rsidRPr="002E1936">
        <w:t>Overview of Approach for Treatment Control BMP Sizing in North Orange County</w:t>
      </w:r>
      <w:bookmarkEnd w:id="24"/>
      <w:bookmarkEnd w:id="25"/>
      <w:bookmarkEnd w:id="26"/>
      <w:bookmarkEnd w:id="27"/>
      <w:bookmarkEnd w:id="28"/>
      <w:bookmarkEnd w:id="29"/>
    </w:p>
    <w:p w:rsidR="007E7723" w:rsidRPr="002E1936" w:rsidRDefault="00924525" w:rsidP="00EE65C2">
      <w:r>
        <w:t xml:space="preserve">Where LID BMPs can be used to retain or biotreat the DCV, no additional volume of storm water is required to be treated. Therefore the use of LID BMPs to treat the </w:t>
      </w:r>
      <w:r w:rsidR="003C7091">
        <w:t>DCV</w:t>
      </w:r>
      <w:r>
        <w:t xml:space="preserve"> inherently fulfills treatment control requirements.  In addition, if water quality credits are claimed by the project to offset remaining unmet portion of the </w:t>
      </w:r>
      <w:r w:rsidR="003C7091">
        <w:t>DCV</w:t>
      </w:r>
      <w:r>
        <w:t>, these credits also serve to reduce the remaining WQDV for treatment control (</w:t>
      </w:r>
      <w:r w:rsidRPr="007A343A">
        <w:t xml:space="preserve">See </w:t>
      </w:r>
      <w:r w:rsidRPr="007A343A">
        <w:rPr>
          <w:b/>
          <w:color w:val="00B050"/>
        </w:rPr>
        <w:t xml:space="preserve">Model WQMP Section </w:t>
      </w:r>
      <w:r w:rsidR="007A343A" w:rsidRPr="007A343A">
        <w:rPr>
          <w:b/>
          <w:color w:val="00B050"/>
        </w:rPr>
        <w:t>7.II-3.1</w:t>
      </w:r>
      <w:r>
        <w:rPr>
          <w:b/>
          <w:color w:val="00B050"/>
        </w:rPr>
        <w:t>).</w:t>
      </w:r>
    </w:p>
    <w:p w:rsidR="007E7723" w:rsidRPr="002E1936" w:rsidRDefault="00924525" w:rsidP="00EE65C2">
      <w:r>
        <w:t>Treatment control BMPs must be provided for the remaining “unmet” volume for a project if the following conditions are met:</w:t>
      </w:r>
    </w:p>
    <w:p w:rsidR="007E7723" w:rsidRPr="002E1936" w:rsidRDefault="00924525" w:rsidP="009531AF">
      <w:pPr>
        <w:pStyle w:val="ListParagraph"/>
        <w:numPr>
          <w:ilvl w:val="0"/>
          <w:numId w:val="52"/>
        </w:numPr>
      </w:pPr>
      <w:r>
        <w:t>Water quality credits do not fully off-set the remaining DCV/WQDV, and</w:t>
      </w:r>
    </w:p>
    <w:p w:rsidR="007E7723" w:rsidRPr="002E1936" w:rsidRDefault="00924525" w:rsidP="009531AF">
      <w:pPr>
        <w:pStyle w:val="ListParagraph"/>
        <w:numPr>
          <w:ilvl w:val="0"/>
          <w:numId w:val="52"/>
        </w:numPr>
      </w:pPr>
      <w:r>
        <w:t>The pollution control benefits of treatment control BMPs is not outweighed by their cost.</w:t>
      </w:r>
    </w:p>
    <w:p w:rsidR="007D6830" w:rsidRDefault="00924525" w:rsidP="007D6830">
      <w:r>
        <w:t xml:space="preserve">In these cases, sizing of treatment control BMP(s) shall be provided based on the unmet volume/flow as calculated in </w:t>
      </w:r>
      <w:r w:rsidRPr="00A52883">
        <w:rPr>
          <w:b/>
        </w:rPr>
        <w:t xml:space="preserve">Section </w:t>
      </w:r>
      <w:fldSimple w:instr=" REF _Ref262064205 \r \h  \* MERGEFORMAT ">
        <w:r w:rsidR="00126DE5" w:rsidRPr="00126DE5">
          <w:rPr>
            <w:rFonts w:cs="Arial"/>
            <w:b/>
            <w:color w:val="0070C0"/>
            <w:sz w:val="20"/>
            <w:szCs w:val="20"/>
          </w:rPr>
          <w:t>VI.1</w:t>
        </w:r>
      </w:fldSimple>
      <w:r w:rsidR="00C34320" w:rsidRPr="002E1936">
        <w:t>,</w:t>
      </w:r>
      <w:r>
        <w:rPr>
          <w:b/>
          <w:color w:val="0070C0"/>
        </w:rPr>
        <w:t xml:space="preserve"> </w:t>
      </w:r>
      <w:r>
        <w:t xml:space="preserve">minus the contribution of water quality credits as calculated in </w:t>
      </w:r>
      <w:r w:rsidRPr="00A52883">
        <w:rPr>
          <w:b/>
        </w:rPr>
        <w:t>Section</w:t>
      </w:r>
      <w:r w:rsidRPr="00A52883">
        <w:rPr>
          <w:b/>
          <w:color w:val="0070C0"/>
        </w:rPr>
        <w:t xml:space="preserve"> </w:t>
      </w:r>
      <w:fldSimple w:instr=" REF _Ref285391796 \r \h  \* MERGEFORMAT ">
        <w:r w:rsidR="00126DE5" w:rsidRPr="00126DE5">
          <w:rPr>
            <w:rFonts w:cs="Arial"/>
            <w:b/>
            <w:color w:val="0070C0"/>
            <w:sz w:val="20"/>
            <w:szCs w:val="20"/>
          </w:rPr>
          <w:t>VI.2</w:t>
        </w:r>
      </w:fldSimple>
      <w:r w:rsidR="00C34320" w:rsidRPr="002E1936">
        <w:t>.</w:t>
      </w:r>
      <w:r w:rsidR="007D6830">
        <w:t xml:space="preserve"> </w:t>
      </w:r>
    </w:p>
    <w:p w:rsidR="00401BEB" w:rsidRDefault="00C316A2" w:rsidP="00A52883">
      <w:pPr>
        <w:pStyle w:val="Heading2"/>
      </w:pPr>
      <w:bookmarkStart w:id="30" w:name="_Toc285308081"/>
      <w:bookmarkStart w:id="31" w:name="_Toc285315719"/>
      <w:bookmarkStart w:id="32" w:name="_Ref285388981"/>
      <w:bookmarkStart w:id="33" w:name="_Toc285492432"/>
      <w:bookmarkStart w:id="34" w:name="_Toc288541038"/>
      <w:bookmarkStart w:id="35" w:name="_Toc293937108"/>
      <w:r>
        <w:t>Overview of Approach for A</w:t>
      </w:r>
      <w:r w:rsidR="00401BEB">
        <w:t>ddressing HCOCs</w:t>
      </w:r>
      <w:r>
        <w:t xml:space="preserve"> in North Orange County</w:t>
      </w:r>
      <w:bookmarkEnd w:id="30"/>
      <w:bookmarkEnd w:id="31"/>
      <w:bookmarkEnd w:id="32"/>
      <w:bookmarkEnd w:id="33"/>
      <w:bookmarkEnd w:id="34"/>
      <w:bookmarkEnd w:id="35"/>
    </w:p>
    <w:p w:rsidR="00B07251" w:rsidRPr="00B53524" w:rsidRDefault="00B07251" w:rsidP="00B07251">
      <w:pPr>
        <w:pStyle w:val="CDMBTEXT"/>
      </w:pPr>
      <w:r w:rsidRPr="00311A64">
        <w:t>H</w:t>
      </w:r>
      <w:r>
        <w:t xml:space="preserve">ydrologic </w:t>
      </w:r>
      <w:r w:rsidRPr="00311A64">
        <w:t>C</w:t>
      </w:r>
      <w:r>
        <w:t>onditions of Concern</w:t>
      </w:r>
      <w:r w:rsidRPr="00311A64">
        <w:t xml:space="preserve">s </w:t>
      </w:r>
      <w:r w:rsidR="00B31025">
        <w:t xml:space="preserve">(HCOCs) </w:t>
      </w:r>
      <w:r w:rsidRPr="00311A64">
        <w:t xml:space="preserve">are considered to exist if </w:t>
      </w:r>
      <w:r>
        <w:t xml:space="preserve">any </w:t>
      </w:r>
      <w:r w:rsidRPr="00311A64">
        <w:t xml:space="preserve">streams </w:t>
      </w:r>
      <w:r w:rsidRPr="00416DC3">
        <w:t>located downstream from the project</w:t>
      </w:r>
      <w:r>
        <w:t xml:space="preserve"> </w:t>
      </w:r>
      <w:r w:rsidRPr="00311A64">
        <w:t>are determined to be potentially susceptible to hydromodification impacts and either of the following conditions exists:</w:t>
      </w:r>
    </w:p>
    <w:p w:rsidR="00B07251" w:rsidRPr="00B53524" w:rsidRDefault="00B07251" w:rsidP="009531AF">
      <w:pPr>
        <w:pStyle w:val="CDMBTEXT"/>
        <w:numPr>
          <w:ilvl w:val="0"/>
          <w:numId w:val="36"/>
        </w:numPr>
        <w:ind w:left="720"/>
      </w:pPr>
      <w:r w:rsidRPr="00311A64">
        <w:t>Post-development runoff volume for the 2-yr, 24-hr storm exceeds that of the pre-development</w:t>
      </w:r>
      <w:r w:rsidRPr="00B53524">
        <w:rPr>
          <w:rStyle w:val="FootnoteReference"/>
        </w:rPr>
        <w:footnoteReference w:id="4"/>
      </w:r>
      <w:r w:rsidRPr="00311A64">
        <w:t xml:space="preserve"> condition by more than 5 percent </w:t>
      </w:r>
    </w:p>
    <w:p w:rsidR="00B07251" w:rsidRPr="00B53524" w:rsidRDefault="00B07251" w:rsidP="00EA1EA6">
      <w:pPr>
        <w:pStyle w:val="CDMBTEXT"/>
        <w:ind w:left="720"/>
        <w:outlineLvl w:val="0"/>
        <w:rPr>
          <w:b/>
          <w:i/>
        </w:rPr>
      </w:pPr>
      <w:bookmarkStart w:id="36" w:name="_Toc285308082"/>
      <w:r w:rsidRPr="00311A64">
        <w:rPr>
          <w:b/>
          <w:i/>
        </w:rPr>
        <w:t>OR</w:t>
      </w:r>
      <w:bookmarkEnd w:id="36"/>
      <w:r w:rsidRPr="00311A64">
        <w:rPr>
          <w:b/>
          <w:i/>
        </w:rPr>
        <w:t xml:space="preserve"> </w:t>
      </w:r>
    </w:p>
    <w:p w:rsidR="00B07251" w:rsidRPr="009E7FDA" w:rsidRDefault="00B07251" w:rsidP="009531AF">
      <w:pPr>
        <w:pStyle w:val="CDMBTEXT"/>
        <w:numPr>
          <w:ilvl w:val="0"/>
          <w:numId w:val="36"/>
        </w:numPr>
        <w:ind w:left="720"/>
      </w:pPr>
      <w:r w:rsidRPr="009E7FDA">
        <w:t xml:space="preserve">Time of concentration of post-development runoff for the 2-yr, 24-hr storm event is </w:t>
      </w:r>
      <w:r w:rsidR="009E7FDA">
        <w:t>greater</w:t>
      </w:r>
      <w:bookmarkStart w:id="37" w:name="_Ref262388698"/>
      <w:r w:rsidR="009E7FDA">
        <w:t xml:space="preserve"> </w:t>
      </w:r>
      <w:r w:rsidR="009E7FDA" w:rsidRPr="009E7FDA">
        <w:rPr>
          <w:rStyle w:val="FootnoteReference"/>
        </w:rPr>
        <w:footnoteReference w:id="5"/>
      </w:r>
      <w:bookmarkEnd w:id="37"/>
      <w:r w:rsidRPr="009E7FDA">
        <w:t xml:space="preserve"> than the time of concentration of the pre-development condition by more than 5 percent.  </w:t>
      </w:r>
    </w:p>
    <w:p w:rsidR="00B07251" w:rsidRPr="00B53524" w:rsidRDefault="00B07251" w:rsidP="00B07251">
      <w:pPr>
        <w:pStyle w:val="CDMBTEXT"/>
      </w:pPr>
      <w:r w:rsidRPr="00311A64">
        <w:t>If these conditions to not exist or streams are not potentially susceptible to hydromodification impacts, an HCOC does not exist</w:t>
      </w:r>
      <w:r w:rsidRPr="00B53524">
        <w:t xml:space="preserve"> and hydromodification does not need to be considered further. </w:t>
      </w:r>
    </w:p>
    <w:p w:rsidR="00B07251" w:rsidRPr="00B53524" w:rsidRDefault="00B07251" w:rsidP="00B07251">
      <w:pPr>
        <w:pStyle w:val="CDMBTEXT"/>
      </w:pPr>
      <w:r w:rsidRPr="00311A64">
        <w:t xml:space="preserve">Streams susceptibility </w:t>
      </w:r>
      <w:r w:rsidRPr="00B53524">
        <w:t>should</w:t>
      </w:r>
      <w:r w:rsidRPr="00311A64">
        <w:t xml:space="preserve"> be determined as described in </w:t>
      </w:r>
      <w:r w:rsidR="00357A79" w:rsidRPr="00357A79">
        <w:rPr>
          <w:b/>
          <w:color w:val="00B050"/>
        </w:rPr>
        <w:t>TGD Section 2.3</w:t>
      </w:r>
      <w:r w:rsidRPr="00311A64">
        <w:t xml:space="preserve">, which </w:t>
      </w:r>
      <w:r>
        <w:t>describe</w:t>
      </w:r>
      <w:r w:rsidRPr="00311A64">
        <w:t>s methods of determining susceptibility based on either mapping or site specific engineering analysis.</w:t>
      </w:r>
    </w:p>
    <w:p w:rsidR="00B07251" w:rsidRPr="00B53524" w:rsidRDefault="00B07251" w:rsidP="00B07251">
      <w:pPr>
        <w:pStyle w:val="CDMBTEXT"/>
      </w:pPr>
      <w:r w:rsidRPr="00B53524">
        <w:t>Priority Project</w:t>
      </w:r>
      <w:r w:rsidRPr="00311A64">
        <w:t>s where there is an HCOC shall, as the first priority, implement on-site or regional hydromodification controls such that:</w:t>
      </w:r>
    </w:p>
    <w:p w:rsidR="00B07251" w:rsidRPr="00B53524" w:rsidRDefault="00B07251" w:rsidP="009531AF">
      <w:pPr>
        <w:pStyle w:val="CDMBTEXT"/>
        <w:numPr>
          <w:ilvl w:val="0"/>
          <w:numId w:val="36"/>
        </w:numPr>
        <w:ind w:left="720"/>
      </w:pPr>
      <w:r w:rsidRPr="00311A64">
        <w:t xml:space="preserve">Post-development runoff volume for the 2-yr, 24-hr storm event is no greater than 105 percent of that for the pre-development condition. </w:t>
      </w:r>
    </w:p>
    <w:p w:rsidR="00B07251" w:rsidRPr="00B53524" w:rsidRDefault="00B07251" w:rsidP="00EA1EA6">
      <w:pPr>
        <w:pStyle w:val="CDMBTEXT"/>
        <w:ind w:left="720"/>
        <w:outlineLvl w:val="0"/>
        <w:rPr>
          <w:b/>
          <w:i/>
        </w:rPr>
      </w:pPr>
      <w:bookmarkStart w:id="38" w:name="_Toc285308083"/>
      <w:r w:rsidRPr="00311A64">
        <w:rPr>
          <w:b/>
          <w:i/>
        </w:rPr>
        <w:t>AND</w:t>
      </w:r>
      <w:bookmarkEnd w:id="38"/>
      <w:r w:rsidRPr="00311A64">
        <w:rPr>
          <w:b/>
          <w:i/>
        </w:rPr>
        <w:t xml:space="preserve"> </w:t>
      </w:r>
    </w:p>
    <w:p w:rsidR="00B07251" w:rsidRPr="00B53524" w:rsidRDefault="00B07251" w:rsidP="009531AF">
      <w:pPr>
        <w:pStyle w:val="CDMBTEXT"/>
        <w:numPr>
          <w:ilvl w:val="0"/>
          <w:numId w:val="36"/>
        </w:numPr>
        <w:ind w:left="720"/>
      </w:pPr>
      <w:r w:rsidRPr="00311A64">
        <w:t xml:space="preserve">Time of concentration of post-development runoff for the 2-yr, 24-hr storm event is </w:t>
      </w:r>
      <w:r w:rsidR="009E7FDA" w:rsidRPr="00311A64">
        <w:t xml:space="preserve">no greater than 105 percent </w:t>
      </w:r>
      <w:r w:rsidRPr="00311A64">
        <w:t>of that for the pre-development condition</w:t>
      </w:r>
      <w:r w:rsidR="00440A12">
        <w:t xml:space="preserve"> (see </w:t>
      </w:r>
      <w:r w:rsidR="00440A12" w:rsidRPr="004C6431">
        <w:rPr>
          <w:b/>
        </w:rPr>
        <w:t>F</w:t>
      </w:r>
      <w:r w:rsidRPr="004C6431">
        <w:rPr>
          <w:b/>
        </w:rPr>
        <w:t xml:space="preserve">ootnote </w:t>
      </w:r>
      <w:fldSimple w:instr=" NOTEREF _Ref262388698 \h  \* MERGEFORMAT ">
        <w:r w:rsidR="00126DE5" w:rsidRPr="00126DE5">
          <w:rPr>
            <w:b/>
            <w:color w:val="0070C0"/>
            <w:sz w:val="20"/>
          </w:rPr>
          <w:t>5</w:t>
        </w:r>
      </w:fldSimple>
      <w:r w:rsidRPr="00B53524">
        <w:t>)</w:t>
      </w:r>
      <w:r w:rsidRPr="00311A64">
        <w:t>.</w:t>
      </w:r>
    </w:p>
    <w:p w:rsidR="00B07251" w:rsidRPr="00B53524" w:rsidRDefault="00B07251" w:rsidP="00B07251">
      <w:pPr>
        <w:pStyle w:val="CDMBTEXT"/>
      </w:pPr>
      <w:r w:rsidRPr="00311A64">
        <w:t>A project may implement a combination of additional site design practices, LID controls, structural treatment controls, sub-regional/regional controls, and/or in-stream controls to meet the hydromodification performance criteria stated above. In this cas</w:t>
      </w:r>
      <w:r w:rsidRPr="00B53524">
        <w:t>e</w:t>
      </w:r>
      <w:r w:rsidRPr="00311A64">
        <w:t xml:space="preserve">, the Project WQMP should include a project-specific evaluation with the pre- and post-development runoff volume and time of concentration for the 2-yr, 24-hr storm event. The Project WQMP </w:t>
      </w:r>
      <w:r>
        <w:t>must</w:t>
      </w:r>
      <w:r w:rsidRPr="00311A64">
        <w:t xml:space="preserve"> consider site design practices and on-site controls prior to proposing in-stream controls. If in-stream controls are selected, the Project WQMP should include a project-specific evaluation to demonstrate that the project will not adversely impact beneficial uses or result in sustained degradation of water quality of the receiving waters. </w:t>
      </w:r>
    </w:p>
    <w:p w:rsidR="00B07251" w:rsidRPr="00B53524" w:rsidRDefault="00B07251" w:rsidP="00B07251">
      <w:pPr>
        <w:pStyle w:val="CDMBTEXT"/>
      </w:pPr>
      <w:r w:rsidRPr="00311A64">
        <w:t>Where the Project WQMP documents that the excess runoff volume from the 2-yr, 24-hr runoff event cannot feasibly be retained (infiltrated, harvested and used, or evapotranspired), the project shall:</w:t>
      </w:r>
    </w:p>
    <w:p w:rsidR="00B07251" w:rsidRPr="00B53524" w:rsidRDefault="00B07251" w:rsidP="009531AF">
      <w:pPr>
        <w:pStyle w:val="CDMBTEXT"/>
        <w:numPr>
          <w:ilvl w:val="0"/>
          <w:numId w:val="37"/>
        </w:numPr>
        <w:ind w:left="720"/>
      </w:pPr>
      <w:r w:rsidRPr="00311A64">
        <w:t xml:space="preserve">Retain the excess volume from the 2-yr, 24-hr runoff event in on-site or regional controls to the MEP, </w:t>
      </w:r>
    </w:p>
    <w:p w:rsidR="00B07251" w:rsidRDefault="00B07251" w:rsidP="00EA1EA6">
      <w:pPr>
        <w:pStyle w:val="CDMBTEXT"/>
        <w:ind w:left="720"/>
        <w:outlineLvl w:val="0"/>
      </w:pPr>
      <w:r w:rsidRPr="00B53524">
        <w:t>AND</w:t>
      </w:r>
    </w:p>
    <w:p w:rsidR="00B07251" w:rsidRPr="00B53524" w:rsidRDefault="00B07251" w:rsidP="009531AF">
      <w:pPr>
        <w:pStyle w:val="CDMBTEXT"/>
        <w:numPr>
          <w:ilvl w:val="0"/>
          <w:numId w:val="37"/>
        </w:numPr>
        <w:ind w:left="720"/>
      </w:pPr>
      <w:r w:rsidRPr="00311A64">
        <w:t xml:space="preserve">Implement on-site or regional hydromodification controls such that the post-development runoff 2-yr, 24-hr peak flow rate is no greater than 110 percent of the pre-development runoff 2-yr, 24-hr peak flow rate. </w:t>
      </w:r>
    </w:p>
    <w:p w:rsidR="00A851F8" w:rsidRDefault="00A851F8" w:rsidP="00B07251">
      <w:pPr>
        <w:pStyle w:val="CDMBTEXT"/>
      </w:pPr>
      <w:r>
        <w:t xml:space="preserve">The process of demonstrating that volume has been controlled to the MEP is the same as the process used to demonstrate that LID BMPs have been designed to retain and biotreat the maximum feasible amount of stormwater runoff (See </w:t>
      </w:r>
      <w:r w:rsidR="00126F3D" w:rsidRPr="00126DE5">
        <w:rPr>
          <w:rFonts w:cs="Arial"/>
          <w:b/>
          <w:color w:val="0070C0"/>
          <w:sz w:val="20"/>
        </w:rPr>
        <w:fldChar w:fldCharType="begin"/>
      </w:r>
      <w:r w:rsidRPr="00126DE5">
        <w:rPr>
          <w:rFonts w:cs="Arial"/>
          <w:b/>
          <w:color w:val="0070C0"/>
          <w:sz w:val="20"/>
        </w:rPr>
        <w:instrText xml:space="preserve"> REF _Ref285488925 \r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rFonts w:cs="Arial"/>
          <w:b/>
          <w:color w:val="0070C0"/>
          <w:sz w:val="20"/>
        </w:rPr>
        <w:t>Appendix XI</w:t>
      </w:r>
      <w:r w:rsidR="00126F3D" w:rsidRPr="00126DE5">
        <w:rPr>
          <w:rFonts w:cs="Arial"/>
          <w:b/>
          <w:color w:val="0070C0"/>
          <w:sz w:val="20"/>
        </w:rPr>
        <w:fldChar w:fldCharType="end"/>
      </w:r>
      <w:r>
        <w:t>).</w:t>
      </w:r>
    </w:p>
    <w:p w:rsidR="007D6830" w:rsidRPr="00786C35" w:rsidRDefault="00B07251" w:rsidP="00B07251">
      <w:pPr>
        <w:pStyle w:val="CDMBTEXT"/>
      </w:pPr>
      <w:r w:rsidRPr="00416DC3">
        <w:t>Alternative performance criteria found within an</w:t>
      </w:r>
      <w:r>
        <w:t xml:space="preserve"> RWQCB Executive Officer-</w:t>
      </w:r>
      <w:r w:rsidRPr="00311A64">
        <w:t xml:space="preserve">approved Watershed </w:t>
      </w:r>
      <w:r w:rsidR="00126DE5">
        <w:t>Infiltration and Hydromodification Management Plan (WIH</w:t>
      </w:r>
      <w:r w:rsidRPr="00311A64">
        <w:t>MP) may supersede these criteria for the area that the plan covers.</w:t>
      </w:r>
    </w:p>
    <w:p w:rsidR="00357A79" w:rsidRDefault="00357A79" w:rsidP="00A52883">
      <w:pPr>
        <w:pStyle w:val="Heading2"/>
      </w:pPr>
      <w:bookmarkStart w:id="39" w:name="_Ref285388987"/>
      <w:bookmarkStart w:id="40" w:name="_Toc285492433"/>
      <w:bookmarkStart w:id="41" w:name="_Toc288541039"/>
      <w:bookmarkStart w:id="42" w:name="_Toc293937109"/>
      <w:bookmarkStart w:id="43" w:name="_Toc285308084"/>
      <w:bookmarkStart w:id="44" w:name="_Toc285315720"/>
      <w:r>
        <w:t>Role of HSCs in BMP Sizing</w:t>
      </w:r>
      <w:bookmarkEnd w:id="39"/>
      <w:bookmarkEnd w:id="40"/>
      <w:bookmarkEnd w:id="41"/>
      <w:bookmarkEnd w:id="42"/>
      <w:r>
        <w:t xml:space="preserve"> </w:t>
      </w:r>
    </w:p>
    <w:p w:rsidR="00295CD5" w:rsidRDefault="00295CD5" w:rsidP="00295CD5">
      <w:pPr>
        <w:pStyle w:val="ReportBodyText"/>
        <w:spacing w:after="240" w:line="280" w:lineRule="exact"/>
      </w:pPr>
      <w:r>
        <w:t xml:space="preserve">Hydrologic source controls (HSCs) can play an integral role in the sizing of LID and treatment control BMPs and addressing </w:t>
      </w:r>
      <w:r w:rsidR="004C6431">
        <w:t>HCOCs</w:t>
      </w:r>
      <w:r>
        <w:t xml:space="preserve">. </w:t>
      </w:r>
      <w:r w:rsidRPr="00311A64">
        <w:t>In the context of th</w:t>
      </w:r>
      <w:r>
        <w:t>e</w:t>
      </w:r>
      <w:r w:rsidRPr="00311A64">
        <w:t xml:space="preserve"> TGD, </w:t>
      </w:r>
      <w:r w:rsidR="004C6431">
        <w:t>HSCs</w:t>
      </w:r>
      <w:r w:rsidRPr="00311A64">
        <w:t xml:space="preserve"> are integrated and distributed micro-scale stormwater infiltration and</w:t>
      </w:r>
      <w:r w:rsidR="00FD5274">
        <w:t xml:space="preserve"> evapotranspiration (ET)</w:t>
      </w:r>
      <w:r w:rsidRPr="00311A64">
        <w:t xml:space="preserve"> systems that are an integral part of LID site design. These systems are distinguished from LID BMPs because they are highly integrated with site designs, they are generally applied opportunistically, they are not governed by fixed sizing criteria, and they are less stringently engineered than the LID BMPs. </w:t>
      </w:r>
    </w:p>
    <w:p w:rsidR="00295CD5" w:rsidRDefault="00295CD5" w:rsidP="00295CD5">
      <w:pPr>
        <w:pStyle w:val="ReportBodyText"/>
        <w:spacing w:after="240" w:line="280" w:lineRule="exact"/>
      </w:pPr>
      <w:r>
        <w:t>HSCs can impact BMP sizing in the following</w:t>
      </w:r>
      <w:r w:rsidR="007A3B8E">
        <w:t xml:space="preserve"> general</w:t>
      </w:r>
      <w:r>
        <w:t xml:space="preserve"> ways:</w:t>
      </w:r>
    </w:p>
    <w:p w:rsidR="00295CD5" w:rsidRPr="00A52883" w:rsidRDefault="00295CD5" w:rsidP="00A52883">
      <w:pPr>
        <w:pStyle w:val="ListBullet"/>
      </w:pPr>
      <w:r w:rsidRPr="00A52883">
        <w:t xml:space="preserve">HSCs that retain the entire </w:t>
      </w:r>
      <w:r w:rsidR="003C7091">
        <w:t>DCV</w:t>
      </w:r>
      <w:r w:rsidRPr="00A52883">
        <w:t xml:space="preserve"> can render portions of a project “self-retaining,” meaning that no further LID BMPs or treatment </w:t>
      </w:r>
      <w:r w:rsidR="00A851F8" w:rsidRPr="00A52883">
        <w:t xml:space="preserve">control BMPs are needed for </w:t>
      </w:r>
      <w:r w:rsidR="00616820" w:rsidRPr="00A52883">
        <w:t>their respective drainage</w:t>
      </w:r>
      <w:r w:rsidRPr="00A52883">
        <w:t xml:space="preserve"> area</w:t>
      </w:r>
      <w:r w:rsidR="00A851F8" w:rsidRPr="00A52883">
        <w:t>s</w:t>
      </w:r>
      <w:r w:rsidRPr="00A52883">
        <w:t xml:space="preserve">. </w:t>
      </w:r>
    </w:p>
    <w:p w:rsidR="007A3B8E" w:rsidRPr="00A52883" w:rsidRDefault="00B24C0F" w:rsidP="00A52883">
      <w:pPr>
        <w:pStyle w:val="ListBullet"/>
      </w:pPr>
      <w:r w:rsidRPr="00A52883">
        <w:t>Green roof</w:t>
      </w:r>
      <w:r w:rsidR="007A3B8E" w:rsidRPr="00A52883">
        <w:t>s are considered to be self-retaining HSC</w:t>
      </w:r>
      <w:r w:rsidR="00A851F8" w:rsidRPr="00A52883">
        <w:t>s</w:t>
      </w:r>
      <w:r w:rsidR="007A3B8E" w:rsidRPr="00A52883">
        <w:t xml:space="preserve"> when designed to meet the criteria contained in </w:t>
      </w:r>
      <w:fldSimple w:instr=" REF _Ref285388193 \r \h  \* MERGEFORMAT ">
        <w:r w:rsidR="00126DE5" w:rsidRPr="00126DE5">
          <w:rPr>
            <w:b/>
            <w:color w:val="0070C0"/>
            <w:szCs w:val="20"/>
          </w:rPr>
          <w:t>Appendix IX</w:t>
        </w:r>
      </w:fldSimple>
      <w:r w:rsidR="00DC2407">
        <w:t>.</w:t>
      </w:r>
    </w:p>
    <w:p w:rsidR="00295CD5" w:rsidRPr="00A52883" w:rsidRDefault="00295CD5" w:rsidP="00A52883">
      <w:pPr>
        <w:pStyle w:val="ListBullet"/>
      </w:pPr>
      <w:r w:rsidRPr="00A52883">
        <w:t xml:space="preserve">HSCs can also provide partial retention of the </w:t>
      </w:r>
      <w:r w:rsidR="003C7091">
        <w:t>DCV</w:t>
      </w:r>
      <w:r w:rsidRPr="00A52883">
        <w:t>, reducing the sizing requirements of downstream BMPs.</w:t>
      </w:r>
    </w:p>
    <w:p w:rsidR="00295CD5" w:rsidRDefault="00295CD5" w:rsidP="00A52883">
      <w:pPr>
        <w:pStyle w:val="ListBullet"/>
      </w:pPr>
      <w:r w:rsidRPr="00A52883">
        <w:t xml:space="preserve">For projects seeking to demonstrate that BMPs have been designed to retain the maximum feasible amount of the </w:t>
      </w:r>
      <w:r w:rsidR="003C7091">
        <w:t>DCV</w:t>
      </w:r>
      <w:r w:rsidRPr="00A52883">
        <w:t>, all feasible HSCs must be considered</w:t>
      </w:r>
      <w:r>
        <w:t>.</w:t>
      </w:r>
    </w:p>
    <w:p w:rsidR="00357A79" w:rsidRDefault="00126F3D" w:rsidP="007A3B8E">
      <w:pPr>
        <w:pStyle w:val="ReportBodyText"/>
        <w:spacing w:after="240" w:line="280" w:lineRule="exact"/>
      </w:pPr>
      <w:r w:rsidRPr="00126DE5">
        <w:rPr>
          <w:rFonts w:cs="Arial"/>
          <w:b/>
          <w:color w:val="0070C0"/>
          <w:sz w:val="20"/>
          <w:szCs w:val="20"/>
        </w:rPr>
        <w:fldChar w:fldCharType="begin"/>
      </w:r>
      <w:r w:rsidR="007A3B8E" w:rsidRPr="00126DE5">
        <w:rPr>
          <w:rFonts w:cs="Arial"/>
          <w:b/>
          <w:color w:val="0070C0"/>
          <w:sz w:val="20"/>
          <w:szCs w:val="20"/>
        </w:rPr>
        <w:instrText xml:space="preserve"> REF _Ref285388332 \r \h </w:instrText>
      </w:r>
      <w:r w:rsidRPr="00126DE5">
        <w:rPr>
          <w:rFonts w:cs="Arial"/>
          <w:b/>
          <w:color w:val="0070C0"/>
          <w:sz w:val="20"/>
          <w:szCs w:val="20"/>
        </w:rPr>
      </w:r>
      <w:r w:rsidRPr="00126DE5">
        <w:rPr>
          <w:rFonts w:cs="Arial"/>
          <w:b/>
          <w:color w:val="0070C0"/>
          <w:sz w:val="20"/>
          <w:szCs w:val="20"/>
        </w:rPr>
        <w:fldChar w:fldCharType="separate"/>
      </w:r>
      <w:r w:rsidR="00126DE5" w:rsidRPr="00126DE5">
        <w:rPr>
          <w:rFonts w:cs="Arial"/>
          <w:b/>
          <w:color w:val="0070C0"/>
          <w:sz w:val="20"/>
          <w:szCs w:val="20"/>
        </w:rPr>
        <w:t>Appendix III</w:t>
      </w:r>
      <w:r w:rsidRPr="00126DE5">
        <w:rPr>
          <w:rFonts w:cs="Arial"/>
          <w:b/>
          <w:color w:val="0070C0"/>
          <w:sz w:val="20"/>
          <w:szCs w:val="20"/>
        </w:rPr>
        <w:fldChar w:fldCharType="end"/>
      </w:r>
      <w:r w:rsidR="007A3B8E">
        <w:t xml:space="preserve"> provides calculation methods that allow projects to account for</w:t>
      </w:r>
      <w:r w:rsidR="00295CD5" w:rsidRPr="00311A64">
        <w:t xml:space="preserve"> the benefits of HSCs when determining the amount of remaining requirements that must be met in downstream BMPs.</w:t>
      </w:r>
      <w:r w:rsidR="004751A3">
        <w:t xml:space="preserve"> </w:t>
      </w:r>
      <w:r w:rsidR="007A3B8E">
        <w:t xml:space="preserve">BMP Fact Sheets contained in </w:t>
      </w:r>
      <w:r w:rsidR="007A3B8E" w:rsidRPr="007A3B8E">
        <w:rPr>
          <w:b/>
          <w:color w:val="00B050"/>
        </w:rPr>
        <w:t>TGD Section 4</w:t>
      </w:r>
      <w:r w:rsidR="007A3B8E">
        <w:t xml:space="preserve"> provide design criteria for HSCs.</w:t>
      </w:r>
    </w:p>
    <w:bookmarkEnd w:id="43"/>
    <w:bookmarkEnd w:id="44"/>
    <w:p w:rsidR="001E596C" w:rsidRDefault="001E596C" w:rsidP="00A851F8">
      <w:pPr>
        <w:pStyle w:val="CDMBTEXT"/>
      </w:pPr>
    </w:p>
    <w:p w:rsidR="00A851F8" w:rsidRPr="00A851F8" w:rsidRDefault="00A851F8" w:rsidP="00A851F8">
      <w:pPr>
        <w:sectPr w:rsidR="00A851F8" w:rsidRPr="00A851F8" w:rsidSect="00BF43BB">
          <w:headerReference w:type="default" r:id="rId11"/>
          <w:footerReference w:type="first" r:id="rId12"/>
          <w:pgSz w:w="12240" w:h="15840" w:code="1"/>
          <w:pgMar w:top="1440" w:right="1440" w:bottom="1440" w:left="1440" w:header="720" w:footer="432" w:gutter="0"/>
          <w:pgNumType w:start="1" w:chapStyle="1"/>
          <w:cols w:space="720"/>
          <w:docGrid w:linePitch="360"/>
        </w:sectPr>
      </w:pPr>
    </w:p>
    <w:p w:rsidR="005D6421" w:rsidRPr="00A52883" w:rsidRDefault="00A52883" w:rsidP="00A52883">
      <w:pPr>
        <w:pStyle w:val="Heading1"/>
      </w:pPr>
      <w:bookmarkStart w:id="45" w:name="_Toc285308085"/>
      <w:bookmarkStart w:id="46" w:name="_Toc285315721"/>
      <w:bookmarkStart w:id="47" w:name="_Toc285315891"/>
      <w:bookmarkStart w:id="48" w:name="_Toc285492434"/>
      <w:bookmarkStart w:id="49" w:name="_Toc288541040"/>
      <w:bookmarkStart w:id="50" w:name="_Toc293937110"/>
      <w:r w:rsidRPr="00A52883">
        <w:rPr>
          <w:caps w:val="0"/>
        </w:rPr>
        <w:t>SUMMARY OF BMP SIZING REQUIREMENTS FOR SOUTH ORANGE COUNTY</w:t>
      </w:r>
      <w:bookmarkEnd w:id="45"/>
      <w:bookmarkEnd w:id="46"/>
      <w:bookmarkEnd w:id="47"/>
      <w:bookmarkEnd w:id="48"/>
      <w:bookmarkEnd w:id="49"/>
      <w:bookmarkEnd w:id="50"/>
    </w:p>
    <w:p w:rsidR="009367C8" w:rsidRDefault="009367C8" w:rsidP="009367C8">
      <w:r>
        <w:t xml:space="preserve">The purpose of this appendix is to provide a concise overview of the BMP sizing requirements for Priority Projects in the South Orange County Permit Area. This summary is not intended to supersede the regulatory requirements </w:t>
      </w:r>
      <w:r w:rsidRPr="007A343A">
        <w:t xml:space="preserve">contained in </w:t>
      </w:r>
      <w:r w:rsidR="009E7FDA" w:rsidRPr="007A343A">
        <w:rPr>
          <w:b/>
          <w:color w:val="00B050"/>
        </w:rPr>
        <w:t xml:space="preserve">Section </w:t>
      </w:r>
      <w:r w:rsidR="007A343A" w:rsidRPr="007A343A">
        <w:rPr>
          <w:b/>
          <w:color w:val="00B050"/>
        </w:rPr>
        <w:t>2.4</w:t>
      </w:r>
      <w:r w:rsidR="009E7FDA" w:rsidRPr="007A343A">
        <w:rPr>
          <w:b/>
          <w:color w:val="00B050"/>
        </w:rPr>
        <w:t xml:space="preserve"> of the </w:t>
      </w:r>
      <w:r w:rsidRPr="007A343A">
        <w:rPr>
          <w:b/>
          <w:color w:val="00B050"/>
        </w:rPr>
        <w:t>Model WQMP</w:t>
      </w:r>
      <w:r w:rsidR="009E7FDA" w:rsidRPr="007A343A">
        <w:rPr>
          <w:b/>
          <w:color w:val="00B050"/>
        </w:rPr>
        <w:t xml:space="preserve"> </w:t>
      </w:r>
      <w:r w:rsidRPr="007A343A">
        <w:t>or</w:t>
      </w:r>
      <w:r>
        <w:t xml:space="preserve"> establish new/additional performance criteria. Rather, this summary is intended to provide functional descriptions of how these requirements are anticipated to be applied in the majority of projects. This summary is organized as follows:</w:t>
      </w:r>
    </w:p>
    <w:p w:rsidR="009367C8" w:rsidRPr="00126DE5" w:rsidRDefault="00126F3D" w:rsidP="00A52883">
      <w:pPr>
        <w:pStyle w:val="ListBullet"/>
        <w:rPr>
          <w:b/>
          <w:color w:val="0070C0"/>
        </w:rPr>
      </w:pPr>
      <w:fldSimple w:instr=" REF _Ref285489854 \h  \* MERGEFORMAT ">
        <w:r w:rsidR="00126DE5" w:rsidRPr="00126DE5">
          <w:rPr>
            <w:b/>
            <w:color w:val="0070C0"/>
          </w:rPr>
          <w:t>Introduction to Integrated Structural BMP Sizing Approach in South Orange County</w:t>
        </w:r>
      </w:fldSimple>
    </w:p>
    <w:p w:rsidR="009367C8" w:rsidRPr="00126DE5" w:rsidRDefault="00126F3D" w:rsidP="00A52883">
      <w:pPr>
        <w:pStyle w:val="ListBullet"/>
        <w:rPr>
          <w:b/>
          <w:color w:val="0070C0"/>
        </w:rPr>
      </w:pPr>
      <w:fldSimple w:instr=" REF _Ref285489855 \h  \* MERGEFORMAT ">
        <w:r w:rsidR="00126DE5" w:rsidRPr="00126DE5">
          <w:rPr>
            <w:b/>
            <w:color w:val="0070C0"/>
          </w:rPr>
          <w:t>Overview of Approach for LID BMP Sizing in South Orange County</w:t>
        </w:r>
      </w:fldSimple>
    </w:p>
    <w:p w:rsidR="009367C8" w:rsidRPr="00126DE5" w:rsidRDefault="00126F3D" w:rsidP="00A52883">
      <w:pPr>
        <w:pStyle w:val="ListBullet"/>
        <w:rPr>
          <w:b/>
          <w:color w:val="0070C0"/>
        </w:rPr>
      </w:pPr>
      <w:fldSimple w:instr=" REF _Ref285489857 \h  \* MERGEFORMAT ">
        <w:r w:rsidR="00126DE5" w:rsidRPr="00126DE5">
          <w:rPr>
            <w:b/>
            <w:color w:val="0070C0"/>
          </w:rPr>
          <w:t>Overview of Approach for Treatment Control BMP Sizing in South Orange County</w:t>
        </w:r>
      </w:fldSimple>
    </w:p>
    <w:p w:rsidR="003A7710" w:rsidRPr="00126DE5" w:rsidRDefault="00126F3D" w:rsidP="00A52883">
      <w:pPr>
        <w:pStyle w:val="ListBullet"/>
        <w:rPr>
          <w:b/>
          <w:color w:val="0070C0"/>
        </w:rPr>
      </w:pPr>
      <w:fldSimple w:instr=" REF _Ref285489858 \h  \* MERGEFORMAT ">
        <w:r w:rsidR="00126DE5" w:rsidRPr="00126DE5">
          <w:rPr>
            <w:b/>
            <w:color w:val="0070C0"/>
          </w:rPr>
          <w:t>Overview of Approach for Addressing HCOCs in South Orange County</w:t>
        </w:r>
      </w:fldSimple>
    </w:p>
    <w:p w:rsidR="009367C8" w:rsidRPr="00126DE5" w:rsidRDefault="00126F3D" w:rsidP="00A52883">
      <w:pPr>
        <w:pStyle w:val="ListBullet"/>
        <w:rPr>
          <w:b/>
          <w:color w:val="0070C0"/>
        </w:rPr>
      </w:pPr>
      <w:fldSimple w:instr=" REF _Ref285489860 \h  \* MERGEFORMAT ">
        <w:r w:rsidR="00126DE5" w:rsidRPr="00126DE5">
          <w:rPr>
            <w:b/>
            <w:color w:val="0070C0"/>
          </w:rPr>
          <w:t>Role of HSCs in BMP Sizing</w:t>
        </w:r>
      </w:fldSimple>
    </w:p>
    <w:p w:rsidR="009367C8" w:rsidRPr="00126DE5" w:rsidRDefault="00126F3D" w:rsidP="00A52883">
      <w:pPr>
        <w:pStyle w:val="ListBullet"/>
        <w:rPr>
          <w:b/>
          <w:color w:val="0070C0"/>
        </w:rPr>
      </w:pPr>
      <w:fldSimple w:instr=" REF _Ref285489861 \h  \* MERGEFORMAT ">
        <w:r w:rsidR="00126DE5" w:rsidRPr="00126DE5">
          <w:rPr>
            <w:b/>
            <w:color w:val="0070C0"/>
          </w:rPr>
          <w:t>Alternative Performance Criteria for Watershed-based Projects in South Orange County</w:t>
        </w:r>
      </w:fldSimple>
    </w:p>
    <w:p w:rsidR="007A3B8E" w:rsidRDefault="007A3B8E" w:rsidP="00A52883">
      <w:pPr>
        <w:pStyle w:val="Heading2"/>
      </w:pPr>
      <w:bookmarkStart w:id="51" w:name="_Ref285489854"/>
      <w:bookmarkStart w:id="52" w:name="_Toc285492435"/>
      <w:bookmarkStart w:id="53" w:name="_Toc288541041"/>
      <w:bookmarkStart w:id="54" w:name="_Toc293937111"/>
      <w:r>
        <w:t xml:space="preserve">Introduction to Integrated Structural BMP Sizing Approach in </w:t>
      </w:r>
      <w:r w:rsidR="002B1599">
        <w:t xml:space="preserve">South </w:t>
      </w:r>
      <w:r>
        <w:t>Orange County</w:t>
      </w:r>
      <w:bookmarkEnd w:id="51"/>
      <w:bookmarkEnd w:id="52"/>
      <w:bookmarkEnd w:id="53"/>
      <w:bookmarkEnd w:id="54"/>
    </w:p>
    <w:p w:rsidR="000F5D63" w:rsidRDefault="000F5D63" w:rsidP="000F5D63">
      <w:pPr>
        <w:pStyle w:val="ReportBodyText"/>
        <w:spacing w:after="240" w:line="280" w:lineRule="exact"/>
      </w:pPr>
      <w:r w:rsidRPr="00311A64">
        <w:t xml:space="preserve">Priority Projects </w:t>
      </w:r>
      <w:r>
        <w:t xml:space="preserve">in the South Orange County Permit Area </w:t>
      </w:r>
      <w:r w:rsidRPr="00311A64">
        <w:t>are required to implement LID, treatment control, and hydromodification control BMPs</w:t>
      </w:r>
      <w:r>
        <w:t xml:space="preserve"> to achieve numeric performance criteria described i</w:t>
      </w:r>
      <w:r w:rsidRPr="007A343A">
        <w:t xml:space="preserve">n </w:t>
      </w:r>
      <w:r w:rsidR="009E7FDA" w:rsidRPr="007A343A">
        <w:rPr>
          <w:b/>
          <w:color w:val="00B050"/>
        </w:rPr>
        <w:t xml:space="preserve">Section </w:t>
      </w:r>
      <w:r w:rsidR="007A343A" w:rsidRPr="007A343A">
        <w:rPr>
          <w:b/>
          <w:color w:val="00B050"/>
        </w:rPr>
        <w:t>2.4</w:t>
      </w:r>
      <w:r w:rsidR="009E7FDA" w:rsidRPr="007A343A">
        <w:rPr>
          <w:b/>
          <w:color w:val="00B050"/>
        </w:rPr>
        <w:t xml:space="preserve"> of the Model WQMP</w:t>
      </w:r>
      <w:r w:rsidRPr="007A343A">
        <w:t>.</w:t>
      </w:r>
      <w:r>
        <w:t xml:space="preserve"> </w:t>
      </w:r>
      <w:r w:rsidRPr="00311A64">
        <w:t xml:space="preserve">While Priority Projects must demonstrate compliance with LID, treatment control, and hydromodification control requirements separately, these provisions overlap significantly and some BMPs may fulfill or partially fulfill a portion of one or more of these requirements.  </w:t>
      </w:r>
    </w:p>
    <w:p w:rsidR="000F5D63" w:rsidRDefault="000F5D63" w:rsidP="000F5D63">
      <w:pPr>
        <w:pStyle w:val="ReportBodyText"/>
        <w:spacing w:after="240" w:line="280" w:lineRule="exact"/>
      </w:pPr>
      <w:r>
        <w:t>The relative role that the LID, treatment control, and hydromodification performance standards have on BMP sizing requirements depends principally on the susceptibility of receiving channels to hydromodification.</w:t>
      </w:r>
    </w:p>
    <w:p w:rsidR="000F5D63" w:rsidRDefault="000F5D63" w:rsidP="000F5D63">
      <w:pPr>
        <w:pStyle w:val="ReportBodyText"/>
        <w:spacing w:after="240" w:line="280" w:lineRule="exact"/>
      </w:pPr>
      <w:r>
        <w:t>Three distinct conditions relative to BMP sizing are anticipated to exist most commonly:</w:t>
      </w:r>
    </w:p>
    <w:p w:rsidR="000F5D63" w:rsidRDefault="000F5D63" w:rsidP="009531AF">
      <w:pPr>
        <w:pStyle w:val="ReportBodyText"/>
        <w:numPr>
          <w:ilvl w:val="0"/>
          <w:numId w:val="33"/>
        </w:numPr>
        <w:spacing w:after="240" w:line="280" w:lineRule="exact"/>
      </w:pPr>
      <w:r w:rsidRPr="00FC6C42">
        <w:rPr>
          <w:b/>
        </w:rPr>
        <w:t>HCOC-controlled.</w:t>
      </w:r>
      <w:r>
        <w:t xml:space="preserve"> This condition applies to any </w:t>
      </w:r>
      <w:r w:rsidRPr="00E96DE1">
        <w:t>priority project that discharges</w:t>
      </w:r>
      <w:r>
        <w:t xml:space="preserve"> to receiving waters susceptible to hydromodification. In this case, the </w:t>
      </w:r>
      <w:hyperlink w:anchor="_Interim_Criteria" w:history="1">
        <w:r w:rsidRPr="00126DE5">
          <w:rPr>
            <w:rStyle w:val="Hyperlink"/>
            <w:rFonts w:cs="Arial"/>
            <w:b/>
            <w:color w:val="0070C0"/>
            <w:sz w:val="20"/>
            <w:szCs w:val="20"/>
          </w:rPr>
          <w:t>interim hydromodification criteria</w:t>
        </w:r>
      </w:hyperlink>
      <w:r>
        <w:t xml:space="preserve"> </w:t>
      </w:r>
      <w:r w:rsidR="00B90324">
        <w:t xml:space="preserve">would </w:t>
      </w:r>
      <w:r>
        <w:t xml:space="preserve">control the stormwater design. </w:t>
      </w:r>
    </w:p>
    <w:p w:rsidR="000F5D63" w:rsidRDefault="00E96DE1" w:rsidP="000F5D63">
      <w:pPr>
        <w:pStyle w:val="ReportBodyText"/>
        <w:spacing w:after="240" w:line="280" w:lineRule="exact"/>
        <w:ind w:left="1440"/>
      </w:pPr>
      <w:r>
        <w:rPr>
          <w:b/>
          <w:i/>
        </w:rPr>
        <w:t>I</w:t>
      </w:r>
      <w:r w:rsidR="000F5D63">
        <w:rPr>
          <w:b/>
          <w:i/>
        </w:rPr>
        <w:t xml:space="preserve">nterim </w:t>
      </w:r>
      <w:r>
        <w:rPr>
          <w:b/>
          <w:i/>
        </w:rPr>
        <w:t>HM S</w:t>
      </w:r>
      <w:r w:rsidR="000F5D63">
        <w:rPr>
          <w:b/>
          <w:i/>
        </w:rPr>
        <w:t>tandard</w:t>
      </w:r>
      <w:r w:rsidR="000F5D63">
        <w:t xml:space="preserve"> &gt; DCV = WQDV</w:t>
      </w:r>
    </w:p>
    <w:p w:rsidR="000F5D63" w:rsidRDefault="000F5D63" w:rsidP="000F5D63">
      <w:pPr>
        <w:pStyle w:val="ReportBodyText"/>
        <w:spacing w:after="240" w:line="280" w:lineRule="exact"/>
        <w:ind w:left="1260"/>
      </w:pPr>
      <w:r>
        <w:t>Design approach:</w:t>
      </w:r>
      <w:r w:rsidRPr="0083533D">
        <w:t xml:space="preserve"> </w:t>
      </w:r>
      <w:r>
        <w:t>d</w:t>
      </w:r>
      <w:r w:rsidRPr="0083533D">
        <w:t>esign</w:t>
      </w:r>
      <w:r>
        <w:t xml:space="preserve"> BMPs to comply with the interim hydromodification standard.  This will generally address all other applicable sizing criteria.</w:t>
      </w:r>
    </w:p>
    <w:p w:rsidR="000F5D63" w:rsidRPr="0083533D" w:rsidRDefault="000F5D63" w:rsidP="000F5D63">
      <w:pPr>
        <w:pStyle w:val="ReportBodyText"/>
        <w:spacing w:after="240" w:line="280" w:lineRule="exact"/>
        <w:ind w:left="1260"/>
      </w:pPr>
      <w:r>
        <w:t xml:space="preserve">Alternate path: There is no alternative compliance option for inability to meet the interim hydromodification standard.  However, flow control could potentially be provided off-site. </w:t>
      </w:r>
    </w:p>
    <w:p w:rsidR="000F5D63" w:rsidRDefault="000F5D63" w:rsidP="009531AF">
      <w:pPr>
        <w:pStyle w:val="ReportBodyText"/>
        <w:numPr>
          <w:ilvl w:val="0"/>
          <w:numId w:val="33"/>
        </w:numPr>
        <w:spacing w:after="240" w:line="280" w:lineRule="exact"/>
      </w:pPr>
      <w:r w:rsidRPr="00FC6C42">
        <w:rPr>
          <w:b/>
        </w:rPr>
        <w:t>DCV-controlled.</w:t>
      </w:r>
      <w:r>
        <w:t xml:space="preserve"> This condition applies to projects that do not have susceptible receiving waters. In this case, the controlling </w:t>
      </w:r>
      <w:r w:rsidRPr="007544D0">
        <w:rPr>
          <w:i/>
        </w:rPr>
        <w:t>stormwater design volume</w:t>
      </w:r>
      <w:r>
        <w:t xml:space="preserve"> is the DCV.</w:t>
      </w:r>
    </w:p>
    <w:p w:rsidR="000F5D63" w:rsidRDefault="000F5D63" w:rsidP="000F5D63">
      <w:pPr>
        <w:pStyle w:val="ReportBodyText"/>
        <w:spacing w:after="240" w:line="280" w:lineRule="exact"/>
        <w:ind w:left="1440"/>
      </w:pPr>
      <w:r w:rsidRPr="0083533D">
        <w:rPr>
          <w:b/>
          <w:i/>
        </w:rPr>
        <w:t>DCV</w:t>
      </w:r>
      <w:r>
        <w:t xml:space="preserve"> = WQDV; HCOCs </w:t>
      </w:r>
      <w:r w:rsidR="00DC2407">
        <w:t>d</w:t>
      </w:r>
      <w:r>
        <w:t xml:space="preserve">o not exist </w:t>
      </w:r>
    </w:p>
    <w:p w:rsidR="000F5D63" w:rsidRDefault="000F5D63" w:rsidP="000F5D63">
      <w:pPr>
        <w:pStyle w:val="ReportBodyText"/>
        <w:spacing w:after="240" w:line="280" w:lineRule="exact"/>
        <w:ind w:left="1260"/>
      </w:pPr>
      <w:r>
        <w:t>Design approach:  design BMPs to retain the DCV.</w:t>
      </w:r>
      <w:r w:rsidRPr="00043416">
        <w:t xml:space="preserve"> </w:t>
      </w:r>
      <w:r>
        <w:t>This will generally address treatment control sizing criteria.</w:t>
      </w:r>
    </w:p>
    <w:p w:rsidR="000F5D63" w:rsidRPr="0083533D" w:rsidRDefault="000F5D63" w:rsidP="000F5D63">
      <w:pPr>
        <w:pStyle w:val="ReportBodyText"/>
        <w:spacing w:after="240" w:line="280" w:lineRule="exact"/>
        <w:ind w:left="1260"/>
      </w:pPr>
      <w:r>
        <w:t xml:space="preserve">Contingencies: If full retention is not possible, retain to the MEP, </w:t>
      </w:r>
      <w:r w:rsidRPr="0083533D">
        <w:t xml:space="preserve">select </w:t>
      </w:r>
      <w:r>
        <w:t xml:space="preserve">a biotreatment </w:t>
      </w:r>
      <w:r w:rsidRPr="0083533D">
        <w:t>BMP to address pollutants of concern</w:t>
      </w:r>
      <w:r>
        <w:t xml:space="preserve">, and design biotreatment for the remaining DCV to the MEP. </w:t>
      </w:r>
    </w:p>
    <w:p w:rsidR="000F5D63" w:rsidRDefault="000F5D63" w:rsidP="009531AF">
      <w:pPr>
        <w:pStyle w:val="ReportBodyText"/>
        <w:numPr>
          <w:ilvl w:val="0"/>
          <w:numId w:val="33"/>
        </w:numPr>
        <w:spacing w:after="240" w:line="280" w:lineRule="exact"/>
      </w:pPr>
      <w:r>
        <w:rPr>
          <w:b/>
        </w:rPr>
        <w:t>Alternative Compliance</w:t>
      </w:r>
      <w:r>
        <w:t xml:space="preserve">. </w:t>
      </w:r>
      <w:proofErr w:type="gramStart"/>
      <w:r>
        <w:t>This condition applies to projects that cannot feasibly retain or biotreat the entire DCV and choose</w:t>
      </w:r>
      <w:proofErr w:type="gramEnd"/>
      <w:r>
        <w:t xml:space="preserve"> to participate in an in-lieu/off-site program for</w:t>
      </w:r>
      <w:r w:rsidR="004709AA">
        <w:t xml:space="preserve"> remaining</w:t>
      </w:r>
      <w:r>
        <w:t xml:space="preserve"> LID</w:t>
      </w:r>
      <w:r w:rsidR="004709AA">
        <w:t xml:space="preserve"> requirements</w:t>
      </w:r>
      <w:r>
        <w:t xml:space="preserve">. In this case, the water quality design volume or flowrate (WQDV or WQDF) </w:t>
      </w:r>
      <w:r w:rsidRPr="00043416">
        <w:t xml:space="preserve">would control the </w:t>
      </w:r>
      <w:r>
        <w:t xml:space="preserve">ultimate </w:t>
      </w:r>
      <w:r w:rsidRPr="00043416">
        <w:t>sizing of on-site BMPs.</w:t>
      </w:r>
    </w:p>
    <w:p w:rsidR="000F5D63" w:rsidRDefault="000F5D63" w:rsidP="000F5D63">
      <w:pPr>
        <w:pStyle w:val="ReportBodyText"/>
        <w:spacing w:after="240" w:line="280" w:lineRule="exact"/>
        <w:ind w:left="1440"/>
      </w:pPr>
      <w:r>
        <w:rPr>
          <w:b/>
        </w:rPr>
        <w:t xml:space="preserve">WQDV </w:t>
      </w:r>
      <w:r>
        <w:t xml:space="preserve">&gt; DCV achieved on-site </w:t>
      </w:r>
    </w:p>
    <w:p w:rsidR="000F5D63" w:rsidRDefault="000F5D63" w:rsidP="000F5D63">
      <w:pPr>
        <w:pStyle w:val="ReportBodyText"/>
        <w:spacing w:after="240" w:line="280" w:lineRule="exact"/>
        <w:ind w:left="1260"/>
      </w:pPr>
      <w:r>
        <w:t xml:space="preserve">Design approach: After demonstrating the infeasibility of retaining or biotreating the DCV, size treatment control BMPs, as necessary, to treat the remaining WQDV or WQDF not already addressed with retention and biotreatment BMPs. Claim </w:t>
      </w:r>
      <w:r w:rsidR="004709AA">
        <w:t xml:space="preserve">full or </w:t>
      </w:r>
      <w:r>
        <w:t>partial pollutant offset credit based on pollutant load reduction achieved in treatment control BMPs. Participate in alternative compliance program for remaining LID obligation.</w:t>
      </w:r>
      <w:r w:rsidR="004709AA">
        <w:t xml:space="preserve"> Alternative compliance requirements are contained in </w:t>
      </w:r>
      <w:r w:rsidR="004709AA" w:rsidRPr="004709AA">
        <w:rPr>
          <w:b/>
          <w:color w:val="00B050"/>
        </w:rPr>
        <w:t>Section 3.0 of the Model WQMP</w:t>
      </w:r>
      <w:r w:rsidR="004709AA">
        <w:t>.</w:t>
      </w:r>
    </w:p>
    <w:p w:rsidR="007A3B8E" w:rsidRPr="007A3B8E" w:rsidRDefault="000F5D63" w:rsidP="000F5D63">
      <w:r>
        <w:t>Note: this list of conditions is not exhaustive of all potential conditions that could be encountered.  It is provided to illustrate the integration of different sizing criteria, and is anticipated to cover a large percentage of projects.  Conformance with each sizing standard shall always be evaluated on a standard-by-standard basis.</w:t>
      </w:r>
    </w:p>
    <w:p w:rsidR="007A3B8E" w:rsidRDefault="007A3B8E" w:rsidP="00A52883">
      <w:pPr>
        <w:pStyle w:val="Heading2"/>
      </w:pPr>
      <w:bookmarkStart w:id="55" w:name="_Ref285489855"/>
      <w:bookmarkStart w:id="56" w:name="_Toc285492436"/>
      <w:bookmarkStart w:id="57" w:name="_Toc288541042"/>
      <w:bookmarkStart w:id="58" w:name="_Toc293937112"/>
      <w:r>
        <w:t xml:space="preserve">Overview of Approach for LID BMP Sizing in </w:t>
      </w:r>
      <w:r w:rsidR="002B1599">
        <w:t>South</w:t>
      </w:r>
      <w:r>
        <w:t xml:space="preserve"> Orange County</w:t>
      </w:r>
      <w:bookmarkEnd w:id="55"/>
      <w:bookmarkEnd w:id="56"/>
      <w:bookmarkEnd w:id="57"/>
      <w:bookmarkEnd w:id="58"/>
    </w:p>
    <w:p w:rsidR="00A851F8" w:rsidRPr="00B53524" w:rsidRDefault="00A851F8" w:rsidP="00A851F8">
      <w:pPr>
        <w:pStyle w:val="ReportBodyText"/>
        <w:spacing w:after="240" w:line="280" w:lineRule="exact"/>
      </w:pPr>
      <w:r w:rsidRPr="00311A64">
        <w:t xml:space="preserve">This section describes </w:t>
      </w:r>
      <w:r>
        <w:t>three equivalent</w:t>
      </w:r>
      <w:r w:rsidRPr="00311A64">
        <w:t xml:space="preserve"> pathways a</w:t>
      </w:r>
      <w:r>
        <w:t xml:space="preserve"> typical</w:t>
      </w:r>
      <w:r w:rsidRPr="00311A64">
        <w:t xml:space="preserve"> Priority Project would </w:t>
      </w:r>
      <w:r>
        <w:t xml:space="preserve">potentially </w:t>
      </w:r>
      <w:r w:rsidRPr="00311A64">
        <w:t xml:space="preserve">follow </w:t>
      </w:r>
      <w:r>
        <w:t xml:space="preserve">to size LID BMPs for the </w:t>
      </w:r>
      <w:r w:rsidR="003C7091">
        <w:t>DCV</w:t>
      </w:r>
      <w:r>
        <w:t xml:space="preserve"> in </w:t>
      </w:r>
      <w:r w:rsidR="00344DD2">
        <w:t>the South Orange County permit area</w:t>
      </w:r>
      <w:r>
        <w:t xml:space="preserve">. </w:t>
      </w:r>
    </w:p>
    <w:p w:rsidR="00A851F8" w:rsidRDefault="00A851F8" w:rsidP="009531AF">
      <w:pPr>
        <w:pStyle w:val="ReportBodyText"/>
        <w:numPr>
          <w:ilvl w:val="0"/>
          <w:numId w:val="85"/>
        </w:numPr>
        <w:spacing w:after="240" w:line="280" w:lineRule="exact"/>
      </w:pPr>
      <w:r>
        <w:t>Design LID BMPs to retain</w:t>
      </w:r>
      <w:r w:rsidRPr="00311A64">
        <w:t xml:space="preserve"> on-site</w:t>
      </w:r>
      <w:r>
        <w:t xml:space="preserve"> </w:t>
      </w:r>
      <w:r w:rsidRPr="00311A64">
        <w:t xml:space="preserve">(infiltrate, harvest and use, or evapotranspire) 80 percent of </w:t>
      </w:r>
      <w:r>
        <w:t xml:space="preserve">the </w:t>
      </w:r>
      <w:r w:rsidRPr="00311A64">
        <w:t>average annual stormwater runoff</w:t>
      </w:r>
      <w:r>
        <w:t xml:space="preserve"> (i.e., 80 percent capture)</w:t>
      </w:r>
      <w:r w:rsidRPr="00311A64">
        <w:t>.</w:t>
      </w:r>
      <w:r>
        <w:t xml:space="preserve">  The physical storage capacity of the BMP may be less than the DCV if, after considering routing effects</w:t>
      </w:r>
      <w:r w:rsidR="00046D54">
        <w:t xml:space="preserve"> (i.e., the rate at which water is treated and storage volume is recovered)</w:t>
      </w:r>
      <w:r>
        <w:t xml:space="preserve">, the average annual capture percentage exceeds 80 percent.  </w:t>
      </w:r>
      <w:r w:rsidR="00524D76" w:rsidRPr="00524D76">
        <w:rPr>
          <w:b/>
        </w:rPr>
        <w:t>Appendix</w:t>
      </w:r>
      <w:r>
        <w:t xml:space="preserve"> </w:t>
      </w:r>
      <w:r w:rsidR="00126F3D" w:rsidRPr="00126DE5">
        <w:rPr>
          <w:rFonts w:cs="Arial"/>
          <w:b/>
          <w:color w:val="0070C0"/>
          <w:sz w:val="20"/>
          <w:szCs w:val="20"/>
        </w:rPr>
        <w:fldChar w:fldCharType="begin"/>
      </w:r>
      <w:r w:rsidRPr="00126DE5">
        <w:rPr>
          <w:rFonts w:cs="Arial"/>
          <w:b/>
          <w:color w:val="0070C0"/>
          <w:sz w:val="20"/>
          <w:szCs w:val="20"/>
        </w:rPr>
        <w:instrText xml:space="preserve"> REF _Ref285302264 \r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rFonts w:cs="Arial"/>
          <w:b/>
          <w:color w:val="0070C0"/>
          <w:sz w:val="20"/>
          <w:szCs w:val="20"/>
        </w:rPr>
        <w:t>III.3</w:t>
      </w:r>
      <w:r w:rsidR="00126F3D" w:rsidRPr="00126DE5">
        <w:rPr>
          <w:rFonts w:cs="Arial"/>
          <w:b/>
          <w:color w:val="0070C0"/>
          <w:sz w:val="20"/>
          <w:szCs w:val="20"/>
        </w:rPr>
        <w:fldChar w:fldCharType="end"/>
      </w:r>
      <w:r>
        <w:t xml:space="preserve"> and </w:t>
      </w:r>
      <w:r w:rsidR="00126F3D" w:rsidRPr="00126DE5">
        <w:rPr>
          <w:rFonts w:cs="Arial"/>
          <w:b/>
          <w:color w:val="0070C0"/>
          <w:sz w:val="20"/>
          <w:szCs w:val="20"/>
        </w:rPr>
        <w:fldChar w:fldCharType="begin"/>
      </w:r>
      <w:r w:rsidRPr="00126DE5">
        <w:rPr>
          <w:rFonts w:cs="Arial"/>
          <w:b/>
          <w:color w:val="0070C0"/>
          <w:sz w:val="20"/>
          <w:szCs w:val="20"/>
        </w:rPr>
        <w:instrText xml:space="preserve"> REF _Ref285302273 \r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rFonts w:cs="Arial"/>
          <w:b/>
          <w:color w:val="0070C0"/>
          <w:sz w:val="20"/>
          <w:szCs w:val="20"/>
        </w:rPr>
        <w:t>III.4</w:t>
      </w:r>
      <w:r w:rsidR="00126F3D" w:rsidRPr="00126DE5">
        <w:rPr>
          <w:rFonts w:cs="Arial"/>
          <w:b/>
          <w:color w:val="0070C0"/>
          <w:sz w:val="20"/>
          <w:szCs w:val="20"/>
        </w:rPr>
        <w:fldChar w:fldCharType="end"/>
      </w:r>
      <w:r>
        <w:t xml:space="preserve"> provide simplified nomograph tools for calculating long term average annual capture efficiency. </w:t>
      </w:r>
      <w:r w:rsidR="00046D54">
        <w:t xml:space="preserve"> In </w:t>
      </w:r>
      <w:r w:rsidR="00344DD2">
        <w:t>the South Orange County permit area</w:t>
      </w:r>
      <w:r w:rsidR="00046D54">
        <w:t xml:space="preserve">, the pre-filter storage volume of the BMP may not be less than 75 percent of the </w:t>
      </w:r>
      <w:r w:rsidR="003C7091">
        <w:t>DCV</w:t>
      </w:r>
      <w:r w:rsidR="0058381A">
        <w:rPr>
          <w:rStyle w:val="FootnoteReference"/>
        </w:rPr>
        <w:footnoteReference w:id="6"/>
      </w:r>
      <w:r w:rsidR="00046D54">
        <w:t>.</w:t>
      </w:r>
    </w:p>
    <w:p w:rsidR="00A851F8" w:rsidRPr="00B53524" w:rsidRDefault="00A851F8" w:rsidP="00EA1EA6">
      <w:pPr>
        <w:pStyle w:val="ReportBodyText"/>
        <w:spacing w:after="240" w:line="280" w:lineRule="exact"/>
        <w:ind w:firstLine="720"/>
        <w:outlineLvl w:val="0"/>
        <w:rPr>
          <w:b/>
          <w:i/>
        </w:rPr>
      </w:pPr>
      <w:r w:rsidRPr="00311A64">
        <w:rPr>
          <w:b/>
          <w:i/>
        </w:rPr>
        <w:t>OR</w:t>
      </w:r>
    </w:p>
    <w:p w:rsidR="00A851F8" w:rsidRPr="00B53524" w:rsidRDefault="00A851F8" w:rsidP="009531AF">
      <w:pPr>
        <w:pStyle w:val="ReportBodyText"/>
        <w:numPr>
          <w:ilvl w:val="0"/>
          <w:numId w:val="85"/>
        </w:numPr>
        <w:spacing w:after="240" w:line="280" w:lineRule="exact"/>
      </w:pPr>
      <w:r>
        <w:t>Design LID BMPs to:</w:t>
      </w:r>
    </w:p>
    <w:p w:rsidR="00A851F8" w:rsidRPr="00B53524" w:rsidRDefault="00A851F8" w:rsidP="009531AF">
      <w:pPr>
        <w:pStyle w:val="ReportBodyText"/>
        <w:numPr>
          <w:ilvl w:val="1"/>
          <w:numId w:val="85"/>
        </w:numPr>
        <w:spacing w:after="240" w:line="280" w:lineRule="exact"/>
      </w:pPr>
      <w:r w:rsidRPr="00311A64">
        <w:t>Retain (infiltrate, harvest and use, or evapotranspire) stormwater runoff on-site, as feasible up to th</w:t>
      </w:r>
      <w:r>
        <w:t>e DCV</w:t>
      </w:r>
      <w:r w:rsidRPr="00B53524">
        <w:t xml:space="preserve">, </w:t>
      </w:r>
      <w:r w:rsidRPr="00311A64">
        <w:t xml:space="preserve"> </w:t>
      </w:r>
    </w:p>
    <w:p w:rsidR="00A851F8" w:rsidRPr="00B53524" w:rsidRDefault="00A851F8" w:rsidP="00EA1EA6">
      <w:pPr>
        <w:pStyle w:val="ReportBodyText"/>
        <w:spacing w:after="240" w:line="280" w:lineRule="exact"/>
        <w:ind w:left="1440"/>
        <w:outlineLvl w:val="0"/>
      </w:pPr>
      <w:r w:rsidRPr="00311A64">
        <w:t>AND</w:t>
      </w:r>
    </w:p>
    <w:p w:rsidR="00A851F8" w:rsidRPr="00B53524" w:rsidRDefault="00A851F8" w:rsidP="009531AF">
      <w:pPr>
        <w:pStyle w:val="ReportBodyText"/>
        <w:numPr>
          <w:ilvl w:val="1"/>
          <w:numId w:val="85"/>
        </w:numPr>
        <w:spacing w:after="240" w:line="280" w:lineRule="exact"/>
      </w:pPr>
      <w:r w:rsidRPr="00311A64">
        <w:t xml:space="preserve">Recover (i.e., draw down) the storage volume </w:t>
      </w:r>
      <w:r>
        <w:t xml:space="preserve">in less than or equal to 48 hours, if feasible. If not feasible, demonstrate based on feasibility criteria that storage cannot be recovered more quickly </w:t>
      </w:r>
      <w:r w:rsidRPr="006A7C3E">
        <w:rPr>
          <w:u w:val="single"/>
        </w:rPr>
        <w:t>or</w:t>
      </w:r>
      <w:r>
        <w:t xml:space="preserve"> provide additional storage volume beyond the DCV to offset longer drawdown time. </w:t>
      </w:r>
      <w:r w:rsidRPr="00043416">
        <w:rPr>
          <w:i/>
        </w:rPr>
        <w:t>Note: Providing the DCV and drawing down this volume down in 48 hours achieves equivalent performance to 80 percent retention of average annual stormwater runoff.  Other combinations of retention volume and drawdown can also be used to achieve 80 percent retention of average annual stormwater runof</w:t>
      </w:r>
      <w:r>
        <w:rPr>
          <w:i/>
        </w:rPr>
        <w:t>f if desired and feasible</w:t>
      </w:r>
      <w:r w:rsidRPr="00043416">
        <w:rPr>
          <w:i/>
        </w:rPr>
        <w:t xml:space="preserve"> (See </w:t>
      </w:r>
      <w:r w:rsidR="00524D76" w:rsidRPr="00524D76">
        <w:rPr>
          <w:b/>
          <w:i/>
        </w:rPr>
        <w:t>Appendix</w:t>
      </w:r>
      <w:r w:rsidRPr="00043416">
        <w:rPr>
          <w:i/>
        </w:rPr>
        <w:t xml:space="preserve"> </w:t>
      </w:r>
      <w:fldSimple w:instr=" REF _Ref285302264 \r \h  \* MERGEFORMAT ">
        <w:r w:rsidR="00126DE5" w:rsidRPr="00126DE5">
          <w:rPr>
            <w:rFonts w:cs="Arial"/>
            <w:b/>
            <w:color w:val="0070C0"/>
            <w:sz w:val="20"/>
            <w:szCs w:val="20"/>
          </w:rPr>
          <w:t>III.3</w:t>
        </w:r>
      </w:fldSimple>
      <w:r w:rsidRPr="00043416">
        <w:rPr>
          <w:i/>
        </w:rPr>
        <w:t xml:space="preserve"> and </w:t>
      </w:r>
      <w:fldSimple w:instr=" REF _Ref285302273 \r \h  \* MERGEFORMAT ">
        <w:r w:rsidR="00126DE5" w:rsidRPr="00126DE5">
          <w:rPr>
            <w:rFonts w:cs="Arial"/>
            <w:b/>
            <w:color w:val="0070C0"/>
            <w:sz w:val="20"/>
            <w:szCs w:val="20"/>
          </w:rPr>
          <w:t>III.4</w:t>
        </w:r>
      </w:fldSimple>
      <w:r w:rsidRPr="00043416">
        <w:rPr>
          <w:b/>
          <w:i/>
          <w:color w:val="0070C0"/>
        </w:rPr>
        <w:t>)</w:t>
      </w:r>
      <w:r w:rsidRPr="00043416">
        <w:rPr>
          <w:i/>
        </w:rPr>
        <w:t>.</w:t>
      </w:r>
    </w:p>
    <w:p w:rsidR="00A851F8" w:rsidRPr="00B53524" w:rsidRDefault="00A851F8" w:rsidP="00A851F8">
      <w:pPr>
        <w:pStyle w:val="ReportBodyText"/>
        <w:spacing w:after="240" w:line="280" w:lineRule="exact"/>
        <w:ind w:left="1440"/>
      </w:pPr>
      <w:r w:rsidRPr="00311A64">
        <w:t>AND (if necessary)</w:t>
      </w:r>
    </w:p>
    <w:p w:rsidR="00A851F8" w:rsidRPr="00B53524" w:rsidRDefault="00A851F8" w:rsidP="009531AF">
      <w:pPr>
        <w:pStyle w:val="ReportBodyText"/>
        <w:numPr>
          <w:ilvl w:val="1"/>
          <w:numId w:val="85"/>
        </w:numPr>
        <w:spacing w:after="240" w:line="280" w:lineRule="exact"/>
      </w:pPr>
      <w:r w:rsidRPr="00311A64">
        <w:t xml:space="preserve">Biotreat the remaining </w:t>
      </w:r>
      <w:r w:rsidR="003C7091">
        <w:t>DCV</w:t>
      </w:r>
      <w:r w:rsidR="009367C8">
        <w:rPr>
          <w:rStyle w:val="FootnoteReference"/>
        </w:rPr>
        <w:footnoteReference w:id="7"/>
      </w:r>
      <w:r w:rsidRPr="00311A64">
        <w:t xml:space="preserve"> on-site</w:t>
      </w:r>
      <w:r>
        <w:t xml:space="preserve"> to the MEP</w:t>
      </w:r>
      <w:r w:rsidRPr="00311A64">
        <w:t>, if any</w:t>
      </w:r>
      <w:r w:rsidRPr="00B53524">
        <w:rPr>
          <w:rStyle w:val="FootnoteReference"/>
        </w:rPr>
        <w:footnoteReference w:id="8"/>
      </w:r>
      <w:r w:rsidRPr="00311A64">
        <w:t xml:space="preserve"> (cumulative, retention plus biotreatment)</w:t>
      </w:r>
      <w:r>
        <w:t xml:space="preserve">, </w:t>
      </w:r>
    </w:p>
    <w:p w:rsidR="00A851F8" w:rsidRDefault="00046D54" w:rsidP="009531AF">
      <w:pPr>
        <w:pStyle w:val="ListParagraph"/>
        <w:numPr>
          <w:ilvl w:val="1"/>
          <w:numId w:val="85"/>
        </w:numPr>
      </w:pPr>
      <w:r>
        <w:t>Provided treatment controls for the remaining DCV</w:t>
      </w:r>
      <w:r w:rsidR="00A851F8">
        <w:t>, and fulfill</w:t>
      </w:r>
      <w:r w:rsidR="00A851F8" w:rsidRPr="00311A64">
        <w:t xml:space="preserve"> alternative compliance obligations for runoff volume not retained or biotreated up to </w:t>
      </w:r>
      <w:r w:rsidR="00A851F8">
        <w:t xml:space="preserve">the </w:t>
      </w:r>
      <w:r w:rsidR="00A851F8" w:rsidRPr="00311A64">
        <w:t>target average annual capture efficiency of 80 percent (cumulative)</w:t>
      </w:r>
      <w:r w:rsidR="00A851F8">
        <w:t xml:space="preserve"> or offset </w:t>
      </w:r>
      <w:r w:rsidR="006E7FF0">
        <w:t>pollutant load reduction in treatment control BMPs</w:t>
      </w:r>
      <w:r w:rsidR="00A851F8" w:rsidRPr="00311A64">
        <w:t>.</w:t>
      </w:r>
      <w:r w:rsidR="00A851F8">
        <w:t xml:space="preserve"> </w:t>
      </w:r>
    </w:p>
    <w:p w:rsidR="00A851F8" w:rsidRPr="00B53524" w:rsidRDefault="00A851F8" w:rsidP="00A851F8">
      <w:pPr>
        <w:pStyle w:val="CDMBTEXT"/>
      </w:pPr>
      <w:r>
        <w:t>Infeasibility</w:t>
      </w:r>
      <w:r w:rsidRPr="00832DBF">
        <w:t xml:space="preserve"> criteria </w:t>
      </w:r>
      <w:r>
        <w:t xml:space="preserve">for BMP selection </w:t>
      </w:r>
      <w:r w:rsidRPr="00832DBF">
        <w:t xml:space="preserve">are described in </w:t>
      </w:r>
      <w:r w:rsidRPr="00A214BC">
        <w:rPr>
          <w:b/>
          <w:color w:val="00B050"/>
        </w:rPr>
        <w:t>TGD Section 2.4</w:t>
      </w:r>
      <w:r>
        <w:rPr>
          <w:b/>
          <w:color w:val="00B050"/>
        </w:rPr>
        <w:t xml:space="preserve">, </w:t>
      </w:r>
      <w:r w:rsidRPr="00043416">
        <w:t xml:space="preserve">and criteria for design BMPs to retain and biotreat stormwater to the MEP are contained </w:t>
      </w:r>
      <w:r w:rsidR="00A214BC" w:rsidRPr="00043416">
        <w:t>in</w:t>
      </w:r>
      <w:r w:rsidR="00A214BC">
        <w:t xml:space="preserve"> </w:t>
      </w:r>
      <w:r w:rsidR="00126F3D" w:rsidRPr="00126DE5">
        <w:rPr>
          <w:rFonts w:cs="Arial"/>
          <w:b/>
          <w:color w:val="0070C0"/>
          <w:sz w:val="20"/>
        </w:rPr>
        <w:fldChar w:fldCharType="begin"/>
      </w:r>
      <w:r w:rsidRPr="00126DE5">
        <w:rPr>
          <w:rFonts w:cs="Arial"/>
          <w:b/>
          <w:color w:val="0070C0"/>
          <w:sz w:val="20"/>
        </w:rPr>
        <w:instrText xml:space="preserve"> REF _Ref285390578 \r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rFonts w:cs="Arial"/>
          <w:b/>
          <w:color w:val="0070C0"/>
          <w:sz w:val="20"/>
        </w:rPr>
        <w:t>Appendix XI</w:t>
      </w:r>
      <w:r w:rsidR="00126F3D" w:rsidRPr="00126DE5">
        <w:rPr>
          <w:rFonts w:cs="Arial"/>
          <w:b/>
          <w:color w:val="0070C0"/>
          <w:sz w:val="20"/>
        </w:rPr>
        <w:fldChar w:fldCharType="end"/>
      </w:r>
      <w:r>
        <w:rPr>
          <w:b/>
          <w:color w:val="00B050"/>
        </w:rPr>
        <w:t xml:space="preserve">. </w:t>
      </w:r>
      <w:r w:rsidRPr="00832DBF">
        <w:t xml:space="preserve">Conceptually, </w:t>
      </w:r>
      <w:r>
        <w:t xml:space="preserve">these </w:t>
      </w:r>
      <w:r w:rsidRPr="00311A64">
        <w:t xml:space="preserve">criteria </w:t>
      </w:r>
      <w:r w:rsidRPr="00326E90">
        <w:t>are intended to</w:t>
      </w:r>
      <w:r w:rsidRPr="00311A64">
        <w:t>:</w:t>
      </w:r>
    </w:p>
    <w:p w:rsidR="00A851F8" w:rsidRPr="00B53524" w:rsidRDefault="00A851F8" w:rsidP="00A52883">
      <w:pPr>
        <w:pStyle w:val="ListBullet"/>
      </w:pPr>
      <w:r>
        <w:t>P</w:t>
      </w:r>
      <w:r w:rsidRPr="00311A64">
        <w:t>revent significant risks to human health and environmental degradation as a result of compliance activities; and</w:t>
      </w:r>
    </w:p>
    <w:p w:rsidR="00A851F8" w:rsidRPr="00B53524" w:rsidRDefault="00A851F8" w:rsidP="00A52883">
      <w:pPr>
        <w:pStyle w:val="ListBullet"/>
      </w:pPr>
      <w:r>
        <w:t>D</w:t>
      </w:r>
      <w:r w:rsidRPr="00326E90">
        <w:t>escribe circumstances under which</w:t>
      </w:r>
      <w:r>
        <w:t xml:space="preserve"> </w:t>
      </w:r>
      <w:r w:rsidRPr="00311A64">
        <w:t>regional and watershed-</w:t>
      </w:r>
      <w:r>
        <w:t xml:space="preserve">based </w:t>
      </w:r>
      <w:r w:rsidRPr="00311A64">
        <w:t>strategies may be selected when they are consistent with the MEP standard considering such factors as technical feasibility, fiscal feasibility, societal concerns, and social benefits; and</w:t>
      </w:r>
    </w:p>
    <w:p w:rsidR="00A851F8" w:rsidRDefault="00A851F8" w:rsidP="00A52883">
      <w:pPr>
        <w:pStyle w:val="ListBullet"/>
      </w:pPr>
      <w:r>
        <w:t>D</w:t>
      </w:r>
      <w:r w:rsidRPr="00326E90">
        <w:t>efine performance criteria to</w:t>
      </w:r>
      <w:r w:rsidRPr="00311A64">
        <w:t xml:space="preserve"> ensure that compliance does not result in undue fiscal or societal burdens, including such considerations as:</w:t>
      </w:r>
    </w:p>
    <w:p w:rsidR="00A52883" w:rsidRPr="00B53524" w:rsidRDefault="00A52883" w:rsidP="00A52883">
      <w:pPr>
        <w:pStyle w:val="ListBullet"/>
        <w:numPr>
          <w:ilvl w:val="0"/>
          <w:numId w:val="0"/>
        </w:numPr>
        <w:ind w:left="806"/>
      </w:pPr>
    </w:p>
    <w:p w:rsidR="00A851F8" w:rsidRPr="00B53524" w:rsidRDefault="00A851F8" w:rsidP="00A52883">
      <w:pPr>
        <w:pStyle w:val="ListBullet"/>
        <w:tabs>
          <w:tab w:val="clear" w:pos="810"/>
          <w:tab w:val="num" w:pos="1530"/>
        </w:tabs>
        <w:ind w:left="1526"/>
      </w:pPr>
      <w:r w:rsidRPr="00311A64">
        <w:t>Cost-effectiveness of on-site stormwater management versus off-site stormwater management, including capital costs and maintenance cost and considerations, and</w:t>
      </w:r>
    </w:p>
    <w:p w:rsidR="00A851F8" w:rsidRDefault="00A851F8" w:rsidP="00A52883">
      <w:pPr>
        <w:pStyle w:val="ListBullet"/>
        <w:tabs>
          <w:tab w:val="clear" w:pos="810"/>
          <w:tab w:val="num" w:pos="1530"/>
        </w:tabs>
        <w:ind w:left="1526"/>
      </w:pPr>
      <w:r w:rsidRPr="00311A64">
        <w:t>Incremental cost-benefit of additional BMPs in stormwater management systems, including capital costs and maintenance costs and considerations.</w:t>
      </w:r>
    </w:p>
    <w:p w:rsidR="007A3B8E" w:rsidRPr="00B53524" w:rsidRDefault="00A851F8" w:rsidP="00A851F8">
      <w:pPr>
        <w:pStyle w:val="CDMBTEXT"/>
        <w:spacing w:after="120"/>
      </w:pPr>
      <w:r>
        <w:t>Functionally, these criteria provide the basis for moving from higher to lower levels of the LID BMP hierarchy outlined in Pathway 3, above.</w:t>
      </w:r>
    </w:p>
    <w:p w:rsidR="007A3B8E" w:rsidRPr="00A52883" w:rsidRDefault="007A3B8E" w:rsidP="00A52883">
      <w:pPr>
        <w:pStyle w:val="Heading2"/>
      </w:pPr>
      <w:bookmarkStart w:id="59" w:name="_Ref285489857"/>
      <w:bookmarkStart w:id="60" w:name="_Toc285492437"/>
      <w:bookmarkStart w:id="61" w:name="_Toc288541043"/>
      <w:bookmarkStart w:id="62" w:name="_Toc293937113"/>
      <w:r w:rsidRPr="00A52883">
        <w:t>Overview of Approach for Treatment Control BMP Sizing</w:t>
      </w:r>
      <w:r w:rsidR="002B1599" w:rsidRPr="00A52883">
        <w:t xml:space="preserve"> in South</w:t>
      </w:r>
      <w:r w:rsidRPr="00A52883">
        <w:t xml:space="preserve"> Orange County</w:t>
      </w:r>
      <w:bookmarkEnd w:id="59"/>
      <w:bookmarkEnd w:id="60"/>
      <w:bookmarkEnd w:id="61"/>
      <w:bookmarkEnd w:id="62"/>
    </w:p>
    <w:p w:rsidR="000F5D63" w:rsidRPr="002E1936" w:rsidRDefault="00C34320" w:rsidP="000F5D63">
      <w:pPr>
        <w:rPr>
          <w:shd w:val="clear" w:color="auto" w:fill="FFFF00"/>
        </w:rPr>
      </w:pPr>
      <w:r w:rsidRPr="002E1936">
        <w:t>Where LID BMPs can be used to retain or biotreat the DCV, no additional volume of storm water is required to</w:t>
      </w:r>
      <w:r w:rsidR="00924525">
        <w:t xml:space="preserve"> be treated. Therefore the use of LID BMPs to treat the </w:t>
      </w:r>
      <w:r w:rsidR="003C7091">
        <w:t>DCV</w:t>
      </w:r>
      <w:r w:rsidR="00924525">
        <w:t xml:space="preserve"> inherently fulfills treatment control requirements.  </w:t>
      </w:r>
    </w:p>
    <w:p w:rsidR="000F5D63" w:rsidRPr="002E1936" w:rsidRDefault="00924525" w:rsidP="000F5D63">
      <w:pPr>
        <w:pStyle w:val="CDMBTEXT"/>
        <w:spacing w:after="160" w:line="240" w:lineRule="auto"/>
      </w:pPr>
      <w:r>
        <w:t xml:space="preserve">If LID performance criteria have not been met through retention and biotreatment, then treatment control BMPs should be provided to address the remaining treatment control performance criteria. Two potential cases could arise with respect to performance criteria of treatment control BMPs: </w:t>
      </w:r>
    </w:p>
    <w:p w:rsidR="000F5D63" w:rsidRPr="002E1936" w:rsidRDefault="00924525" w:rsidP="009531AF">
      <w:pPr>
        <w:pStyle w:val="CDMBTEXT"/>
        <w:numPr>
          <w:ilvl w:val="0"/>
          <w:numId w:val="61"/>
        </w:numPr>
        <w:spacing w:after="160" w:line="240" w:lineRule="auto"/>
      </w:pPr>
      <w:r>
        <w:t xml:space="preserve">LID performance criteria can be partially, but not fully met with LID BMPs. </w:t>
      </w:r>
    </w:p>
    <w:p w:rsidR="000F5D63" w:rsidRPr="002E1936" w:rsidRDefault="00924525" w:rsidP="009531AF">
      <w:pPr>
        <w:pStyle w:val="CDMBTEXT"/>
        <w:numPr>
          <w:ilvl w:val="1"/>
          <w:numId w:val="61"/>
        </w:numPr>
        <w:spacing w:after="160" w:line="240" w:lineRule="auto"/>
      </w:pPr>
      <w:r>
        <w:t xml:space="preserve">Sizing of treatment control BMP(s) would be based on the unmet volume to achieve cumulative 80 percent average annual capture efficiency as calculated in Section </w:t>
      </w:r>
      <w:fldSimple w:instr=" REF _Ref262064205 \r \h  \* MERGEFORMAT ">
        <w:r w:rsidR="00126DE5" w:rsidRPr="00126DE5">
          <w:rPr>
            <w:rFonts w:cs="Arial"/>
            <w:b/>
            <w:color w:val="0070C0"/>
            <w:sz w:val="20"/>
          </w:rPr>
          <w:t>VI.1</w:t>
        </w:r>
      </w:fldSimple>
      <w:r>
        <w:t>.</w:t>
      </w:r>
    </w:p>
    <w:p w:rsidR="000F5D63" w:rsidRPr="002E1936" w:rsidRDefault="00924525" w:rsidP="009531AF">
      <w:pPr>
        <w:pStyle w:val="CDMBTEXT"/>
        <w:numPr>
          <w:ilvl w:val="0"/>
          <w:numId w:val="61"/>
        </w:numPr>
        <w:spacing w:after="160" w:line="240" w:lineRule="auto"/>
      </w:pPr>
      <w:r>
        <w:t xml:space="preserve"> The project or a drainage area cannot feasibly incorporate any LID BMPs.</w:t>
      </w:r>
    </w:p>
    <w:p w:rsidR="000F5D63" w:rsidRPr="002E1936" w:rsidRDefault="00924525" w:rsidP="009531AF">
      <w:pPr>
        <w:pStyle w:val="CDMBTEXT"/>
        <w:numPr>
          <w:ilvl w:val="1"/>
          <w:numId w:val="61"/>
        </w:numPr>
        <w:spacing w:after="160" w:line="240" w:lineRule="auto"/>
      </w:pPr>
      <w:r>
        <w:t>Sizing of treatment control BMP(s) would be based one of the following criteria:</w:t>
      </w:r>
    </w:p>
    <w:p w:rsidR="000F5D63" w:rsidRPr="002E1936" w:rsidRDefault="00924525" w:rsidP="009531AF">
      <w:pPr>
        <w:pStyle w:val="CDMBTEXT"/>
        <w:numPr>
          <w:ilvl w:val="0"/>
          <w:numId w:val="60"/>
        </w:numPr>
        <w:spacing w:after="160" w:line="240" w:lineRule="auto"/>
        <w:ind w:left="1800"/>
      </w:pPr>
      <w:r>
        <w:t>Capture and infiltrate or treat 80 percent of average annual runoff volume,</w:t>
      </w:r>
    </w:p>
    <w:p w:rsidR="000F5D63" w:rsidRPr="002E1936" w:rsidRDefault="00924525" w:rsidP="00EA1EA6">
      <w:pPr>
        <w:pStyle w:val="CDMBTEXT"/>
        <w:spacing w:after="160" w:line="240" w:lineRule="auto"/>
        <w:ind w:left="1800"/>
        <w:outlineLvl w:val="0"/>
      </w:pPr>
      <w:r>
        <w:t>OR</w:t>
      </w:r>
    </w:p>
    <w:p w:rsidR="000F5D63" w:rsidRPr="002E1936" w:rsidRDefault="00924525" w:rsidP="009531AF">
      <w:pPr>
        <w:pStyle w:val="CDMBTEXT"/>
        <w:numPr>
          <w:ilvl w:val="0"/>
          <w:numId w:val="60"/>
        </w:numPr>
        <w:spacing w:after="160" w:line="240" w:lineRule="auto"/>
        <w:ind w:left="1800"/>
      </w:pPr>
      <w:r>
        <w:t>Capture and infiltrate or treat the runoff from the 24-hour, 85th percentile storm event, as determined from the County of Orange’s 85th Percentile Precipitation Isopluvial Map and draw down the stored volume in no more than 48 hours following the end of precipitation,</w:t>
      </w:r>
    </w:p>
    <w:p w:rsidR="000F5D63" w:rsidRPr="002E1936" w:rsidRDefault="00924525" w:rsidP="00EA1EA6">
      <w:pPr>
        <w:pStyle w:val="CDMBTEXT"/>
        <w:spacing w:after="160" w:line="240" w:lineRule="auto"/>
        <w:ind w:left="1800"/>
        <w:outlineLvl w:val="0"/>
      </w:pPr>
      <w:r>
        <w:t>OR</w:t>
      </w:r>
    </w:p>
    <w:p w:rsidR="000F5D63" w:rsidRPr="002E1936" w:rsidRDefault="00924525" w:rsidP="009531AF">
      <w:pPr>
        <w:pStyle w:val="CDMBTEXT"/>
        <w:numPr>
          <w:ilvl w:val="0"/>
          <w:numId w:val="60"/>
        </w:numPr>
        <w:ind w:left="1800"/>
      </w:pPr>
      <w:r>
        <w:t>Treat the maximum flow rate of runoff produced by the 85th percentile hourly rainfall intensity, as determined from the local historical rainfall record, multiplied by a factor of two, or</w:t>
      </w:r>
    </w:p>
    <w:p w:rsidR="000F5D63" w:rsidRPr="002E1936" w:rsidRDefault="00924525" w:rsidP="00EA1EA6">
      <w:pPr>
        <w:pStyle w:val="CDMBTEXT"/>
        <w:ind w:left="1800"/>
        <w:outlineLvl w:val="0"/>
      </w:pPr>
      <w:r>
        <w:t>OR</w:t>
      </w:r>
    </w:p>
    <w:p w:rsidR="000F5D63" w:rsidRPr="002E1936" w:rsidRDefault="00924525" w:rsidP="009531AF">
      <w:pPr>
        <w:pStyle w:val="ListParagraph"/>
        <w:numPr>
          <w:ilvl w:val="0"/>
          <w:numId w:val="60"/>
        </w:numPr>
        <w:ind w:left="1800"/>
        <w:rPr>
          <w:shd w:val="clear" w:color="auto" w:fill="FFFF00"/>
        </w:rPr>
      </w:pPr>
      <w:r>
        <w:t>The maximum flow rate of runoff produced from a rainfall intensity of 0.2 inch of rainfall per hour, for each hour of a storm event.</w:t>
      </w:r>
    </w:p>
    <w:p w:rsidR="00357A79" w:rsidRDefault="00357A79" w:rsidP="00A52883">
      <w:pPr>
        <w:pStyle w:val="Heading2"/>
      </w:pPr>
      <w:bookmarkStart w:id="63" w:name="_Ref285489858"/>
      <w:bookmarkStart w:id="64" w:name="_Toc285492438"/>
      <w:bookmarkStart w:id="65" w:name="_Toc288541044"/>
      <w:bookmarkStart w:id="66" w:name="_Toc293937114"/>
      <w:r>
        <w:t>Overview of Approach for Addressing HCOCs in South Orange County</w:t>
      </w:r>
      <w:bookmarkEnd w:id="63"/>
      <w:bookmarkEnd w:id="64"/>
      <w:bookmarkEnd w:id="65"/>
      <w:bookmarkEnd w:id="66"/>
    </w:p>
    <w:p w:rsidR="00357A79" w:rsidRPr="00357A79" w:rsidRDefault="00357A79" w:rsidP="00A52883">
      <w:pPr>
        <w:pStyle w:val="Heading3"/>
      </w:pPr>
      <w:bookmarkStart w:id="67" w:name="_Interim_Criteria"/>
      <w:bookmarkEnd w:id="67"/>
      <w:r w:rsidRPr="00357A79">
        <w:t>Interim Criteria</w:t>
      </w:r>
    </w:p>
    <w:p w:rsidR="00357A79" w:rsidRPr="00B53524" w:rsidRDefault="00357A79" w:rsidP="00357A79">
      <w:pPr>
        <w:pStyle w:val="CDMBTEXT"/>
      </w:pPr>
      <w:r w:rsidRPr="00311A64">
        <w:t xml:space="preserve">HCOCs are not considered to exist if the downstream conveyance network is not susceptible to hydromodification impacts.  Streams susceptibility should be determined as described in </w:t>
      </w:r>
      <w:r w:rsidRPr="00357A79">
        <w:rPr>
          <w:b/>
          <w:color w:val="00B050"/>
        </w:rPr>
        <w:t>TGD Section 2.3</w:t>
      </w:r>
      <w:r w:rsidRPr="00311A64">
        <w:t xml:space="preserve">, which requires methods of determining susceptibility based on either mapping or site specific engineering analysis. </w:t>
      </w:r>
    </w:p>
    <w:p w:rsidR="00357A79" w:rsidRPr="00B53524" w:rsidRDefault="00357A79" w:rsidP="00357A79">
      <w:pPr>
        <w:pStyle w:val="CDMBTEXT"/>
      </w:pPr>
      <w:r w:rsidRPr="00311A64">
        <w:t xml:space="preserve">For projects discharging to a downstream conveyance network that is susceptible to hydromodification impacts, an HCOC is assumed to exist, and projects shall </w:t>
      </w:r>
      <w:r w:rsidRPr="00B53524">
        <w:t xml:space="preserve">as required by the </w:t>
      </w:r>
      <w:r w:rsidRPr="007A343A">
        <w:rPr>
          <w:b/>
          <w:color w:val="00B050"/>
        </w:rPr>
        <w:t>Model WQMP</w:t>
      </w:r>
      <w:r>
        <w:t xml:space="preserve"> mitigate this HCOC. </w:t>
      </w:r>
      <w:r w:rsidRPr="00311A64">
        <w:t>An HCOC is considered to be mitigated when on-site or regional hydromodification controls are provided such that such that:</w:t>
      </w:r>
    </w:p>
    <w:p w:rsidR="00357A79" w:rsidRPr="00A52883" w:rsidRDefault="00357A79" w:rsidP="009531AF">
      <w:pPr>
        <w:pStyle w:val="CommentText"/>
        <w:numPr>
          <w:ilvl w:val="0"/>
          <w:numId w:val="51"/>
        </w:numPr>
        <w:spacing w:after="0" w:line="276" w:lineRule="auto"/>
        <w:contextualSpacing/>
        <w:rPr>
          <w:rFonts w:ascii="Book Antiqua" w:hAnsi="Book Antiqua"/>
          <w:sz w:val="22"/>
        </w:rPr>
      </w:pPr>
      <w:r w:rsidRPr="00311A64">
        <w:rPr>
          <w:rFonts w:ascii="Book Antiqua" w:hAnsi="Book Antiqua"/>
          <w:sz w:val="22"/>
        </w:rPr>
        <w:t xml:space="preserve">For flow rates from 10 percent of the 2-year storm event to the 5-year storm event, the post-project flows do not exceed pre-development (naturally occurring) peak flows. </w:t>
      </w:r>
    </w:p>
    <w:p w:rsidR="00357A79" w:rsidRPr="00B53524" w:rsidRDefault="00357A79" w:rsidP="009531AF">
      <w:pPr>
        <w:pStyle w:val="CommentText"/>
        <w:numPr>
          <w:ilvl w:val="0"/>
          <w:numId w:val="51"/>
        </w:numPr>
        <w:spacing w:after="0" w:line="276" w:lineRule="auto"/>
        <w:contextualSpacing/>
        <w:rPr>
          <w:rFonts w:ascii="Book Antiqua" w:hAnsi="Book Antiqua"/>
        </w:rPr>
      </w:pPr>
      <w:r w:rsidRPr="00311A64">
        <w:rPr>
          <w:rFonts w:ascii="Book Antiqua" w:hAnsi="Book Antiqua"/>
          <w:sz w:val="22"/>
        </w:rPr>
        <w:t>For flow rates from the 5-year storm event to the 10-year storm event the post-project peak flows may exceed pre-development (naturally occurring) flows by up to 10 percent for a 1-year frequency interval.</w:t>
      </w:r>
    </w:p>
    <w:p w:rsidR="00357A79" w:rsidRPr="00A52883" w:rsidRDefault="00357A79" w:rsidP="00A52883">
      <w:pPr>
        <w:pStyle w:val="Heading3"/>
      </w:pPr>
      <w:r w:rsidRPr="00A52883">
        <w:t>Final Criteria</w:t>
      </w:r>
    </w:p>
    <w:p w:rsidR="00357A79" w:rsidRDefault="00357A79" w:rsidP="00357A79">
      <w:pPr>
        <w:pStyle w:val="CDMBTEXT"/>
        <w:spacing w:before="240"/>
      </w:pPr>
      <w:r w:rsidRPr="00311A64">
        <w:t>If a Hydromodification Management Plan (HMP) has been approved by the Regional Board and the project is located within a copermittee’s jurisdiction that has incorporated the HMP into the LIP, then the project shall implement the criteria that have been incorporated into the HMP.</w:t>
      </w:r>
    </w:p>
    <w:p w:rsidR="007A3B8E" w:rsidRDefault="007A3B8E" w:rsidP="00A52883">
      <w:pPr>
        <w:pStyle w:val="Heading2"/>
      </w:pPr>
      <w:bookmarkStart w:id="68" w:name="_Ref285489860"/>
      <w:bookmarkStart w:id="69" w:name="_Toc285492439"/>
      <w:bookmarkStart w:id="70" w:name="_Toc288541045"/>
      <w:bookmarkStart w:id="71" w:name="_Toc293937115"/>
      <w:r>
        <w:t>Role of HSCs in BMP Sizing</w:t>
      </w:r>
      <w:bookmarkEnd w:id="68"/>
      <w:bookmarkEnd w:id="69"/>
      <w:bookmarkEnd w:id="70"/>
      <w:bookmarkEnd w:id="71"/>
      <w:r>
        <w:t xml:space="preserve"> </w:t>
      </w:r>
    </w:p>
    <w:p w:rsidR="00A851F8" w:rsidRDefault="00A851F8" w:rsidP="00A851F8">
      <w:pPr>
        <w:pStyle w:val="ReportBodyText"/>
        <w:spacing w:after="240" w:line="280" w:lineRule="exact"/>
      </w:pPr>
      <w:r>
        <w:t xml:space="preserve">Hydrologic source controls (HSCs) can play an integral role in the sizing of LID and treatment control BMPs and addressing </w:t>
      </w:r>
      <w:r w:rsidR="00990A72">
        <w:t>HCOCs</w:t>
      </w:r>
      <w:r>
        <w:t xml:space="preserve">. </w:t>
      </w:r>
      <w:r w:rsidRPr="00311A64">
        <w:t>In the context of th</w:t>
      </w:r>
      <w:r>
        <w:t>e</w:t>
      </w:r>
      <w:r w:rsidRPr="00311A64">
        <w:t xml:space="preserve"> TGD, </w:t>
      </w:r>
      <w:r w:rsidR="003C7091">
        <w:t>HSC</w:t>
      </w:r>
      <w:r w:rsidRPr="00311A64">
        <w:t xml:space="preserve">s are integrated and distributed micro-scale stormwater infiltration and </w:t>
      </w:r>
      <w:r w:rsidR="00FD5274">
        <w:t>ET</w:t>
      </w:r>
      <w:r w:rsidRPr="00311A64">
        <w:t xml:space="preserve"> systems that are an integral part of LID site design. These systems are distinguished from LID BMPs because they are highly integrated with site designs, they are generally applied opportunistically, they are not governed by fixed sizing criteria, and they are less stringently engineered than the LID BMPs. </w:t>
      </w:r>
    </w:p>
    <w:p w:rsidR="00A851F8" w:rsidRDefault="00A851F8" w:rsidP="00A851F8">
      <w:pPr>
        <w:pStyle w:val="ReportBodyText"/>
        <w:spacing w:after="240" w:line="280" w:lineRule="exact"/>
      </w:pPr>
      <w:r>
        <w:t>HSCs can impact BMP sizing in the following general ways:</w:t>
      </w:r>
    </w:p>
    <w:p w:rsidR="00A851F8" w:rsidRDefault="00A851F8" w:rsidP="00A52883">
      <w:pPr>
        <w:pStyle w:val="ListBullet"/>
      </w:pPr>
      <w:r>
        <w:t xml:space="preserve">HSCs that retain the entire </w:t>
      </w:r>
      <w:r w:rsidR="003C7091">
        <w:t>DCV</w:t>
      </w:r>
      <w:r>
        <w:t xml:space="preserve"> can render portions of a project “self-retaining,” meaning that no further LID BMPs or treatment control BMPs are needed for these areas. </w:t>
      </w:r>
    </w:p>
    <w:p w:rsidR="00A851F8" w:rsidRDefault="00A851F8" w:rsidP="00A52883">
      <w:pPr>
        <w:pStyle w:val="ListBullet"/>
      </w:pPr>
      <w:r>
        <w:t xml:space="preserve">Green roofs are considered to be self-retaining HSCs when designed to meet the criteria contained in </w:t>
      </w:r>
      <w:fldSimple w:instr=" REF _Ref285388193 \r \h  \* MERGEFORMAT ">
        <w:r w:rsidR="00126DE5" w:rsidRPr="00126DE5">
          <w:rPr>
            <w:rFonts w:cs="Arial"/>
            <w:b/>
            <w:color w:val="0070C0"/>
            <w:sz w:val="20"/>
            <w:szCs w:val="20"/>
          </w:rPr>
          <w:t>Appendix IX</w:t>
        </w:r>
      </w:fldSimple>
      <w:r>
        <w:t xml:space="preserve">.  </w:t>
      </w:r>
    </w:p>
    <w:p w:rsidR="00A851F8" w:rsidRDefault="00A851F8" w:rsidP="00A52883">
      <w:pPr>
        <w:pStyle w:val="ListBullet"/>
      </w:pPr>
      <w:r>
        <w:t xml:space="preserve">HSCs can also provide partial retention of the </w:t>
      </w:r>
      <w:r w:rsidR="003C7091">
        <w:t>DCV</w:t>
      </w:r>
      <w:r>
        <w:t>, reducing the sizing requirements of downstream BMPs.</w:t>
      </w:r>
    </w:p>
    <w:p w:rsidR="00A851F8" w:rsidRDefault="00A851F8" w:rsidP="00A52883">
      <w:pPr>
        <w:pStyle w:val="ListBullet"/>
      </w:pPr>
      <w:r>
        <w:t xml:space="preserve">For projects seeking to demonstrate that BMPs have been designed to retain the maximum feasible amount of the </w:t>
      </w:r>
      <w:r w:rsidR="003C7091">
        <w:t>DCV</w:t>
      </w:r>
      <w:r>
        <w:t>, all feasible HSCs must be considered.</w:t>
      </w:r>
    </w:p>
    <w:p w:rsidR="009367C8" w:rsidRDefault="00126F3D" w:rsidP="009367C8">
      <w:pPr>
        <w:pStyle w:val="CDMBTEXT"/>
      </w:pPr>
      <w:fldSimple w:instr=" REF _Ref285388332 \r \h  \* MERGEFORMAT ">
        <w:r w:rsidR="00126DE5" w:rsidRPr="00126DE5">
          <w:rPr>
            <w:rFonts w:cs="Arial"/>
            <w:b/>
            <w:color w:val="0070C0"/>
            <w:sz w:val="20"/>
          </w:rPr>
          <w:t>Appendix III</w:t>
        </w:r>
      </w:fldSimple>
      <w:r w:rsidR="00A851F8">
        <w:t xml:space="preserve"> provides calculation methods that allow projects to account for</w:t>
      </w:r>
      <w:r w:rsidR="00A851F8" w:rsidRPr="00311A64">
        <w:t xml:space="preserve"> the benefits of HSCs when determining the amount of remaining requirements that must be met in downstream BMPs.</w:t>
      </w:r>
      <w:r w:rsidR="00A851F8">
        <w:t xml:space="preserve"> BMP Fact Sheets contained in </w:t>
      </w:r>
      <w:r w:rsidR="00A851F8" w:rsidRPr="009367C8">
        <w:rPr>
          <w:b/>
          <w:color w:val="00B050"/>
        </w:rPr>
        <w:t>TGD Section 4</w:t>
      </w:r>
      <w:r w:rsidR="00A851F8">
        <w:t xml:space="preserve"> provide design criteria for HSCs.</w:t>
      </w:r>
    </w:p>
    <w:p w:rsidR="00043416" w:rsidRDefault="00043416" w:rsidP="00A52883">
      <w:pPr>
        <w:pStyle w:val="Heading2"/>
      </w:pPr>
      <w:bookmarkStart w:id="72" w:name="_Ref285489861"/>
      <w:bookmarkStart w:id="73" w:name="_Toc285492440"/>
      <w:bookmarkStart w:id="74" w:name="_Toc288541046"/>
      <w:bookmarkStart w:id="75" w:name="_Toc293937116"/>
      <w:r w:rsidRPr="00311A64">
        <w:t>Alternative Performance Criteria for Watershed-based Projects in South Orange County</w:t>
      </w:r>
      <w:bookmarkEnd w:id="72"/>
      <w:bookmarkEnd w:id="73"/>
      <w:bookmarkEnd w:id="74"/>
      <w:bookmarkEnd w:id="75"/>
      <w:r w:rsidRPr="00311A64">
        <w:t xml:space="preserve"> </w:t>
      </w:r>
    </w:p>
    <w:p w:rsidR="001E596C" w:rsidRDefault="00043416" w:rsidP="009E7FDA">
      <w:r w:rsidRPr="00311A64">
        <w:t xml:space="preserve">In </w:t>
      </w:r>
      <w:r w:rsidR="00344DD2">
        <w:t>the South Orange County permit area</w:t>
      </w:r>
      <w:r w:rsidRPr="00311A64">
        <w:t xml:space="preserve">, development projects greater than 100 acres in total project size, or smaller than 100 acres in size yet part of a larger common plan of development that is over 100 acres, that have been prepared using watershed and/or sub-watershed-based water quality, hydrologic, and fluvial geomorphologic planning principles that implement regional LID BMPs in accordance with the sizing and location criteria of the South Orange County Permit and acceptable to the Regional Board, are deemed to satisfy the South County Permit’s requirements for new development and do not have to conduct an on-site feasibility analysis. Regional BMPs in such plans </w:t>
      </w:r>
      <w:r w:rsidRPr="00B53524">
        <w:t>should</w:t>
      </w:r>
      <w:r w:rsidRPr="00311A64">
        <w:t xml:space="preserve"> clearly exhibit that they will not result in a net impact from pollutant loadings over and above the impact caused by capture and retention of the design storm with on-site LID BMPs.</w:t>
      </w:r>
    </w:p>
    <w:p w:rsidR="009367C8" w:rsidRPr="009367C8" w:rsidRDefault="009367C8" w:rsidP="009367C8">
      <w:pPr>
        <w:sectPr w:rsidR="009367C8" w:rsidRPr="009367C8" w:rsidSect="00BF43BB">
          <w:pgSz w:w="12240" w:h="15840" w:code="1"/>
          <w:pgMar w:top="1440" w:right="1440" w:bottom="1440" w:left="1440" w:header="720" w:footer="432" w:gutter="0"/>
          <w:pgNumType w:start="1" w:chapStyle="1"/>
          <w:cols w:space="720"/>
          <w:docGrid w:linePitch="360"/>
        </w:sectPr>
      </w:pPr>
    </w:p>
    <w:p w:rsidR="00151AE9" w:rsidRDefault="00604494" w:rsidP="00A52883">
      <w:pPr>
        <w:pStyle w:val="Heading1"/>
      </w:pPr>
      <w:bookmarkStart w:id="76" w:name="_Toc285308086"/>
      <w:bookmarkStart w:id="77" w:name="_Toc285315722"/>
      <w:bookmarkStart w:id="78" w:name="_Toc285315892"/>
      <w:bookmarkStart w:id="79" w:name="_Ref285388332"/>
      <w:bookmarkStart w:id="80" w:name="_Toc285492441"/>
      <w:bookmarkStart w:id="81" w:name="_Ref287706311"/>
      <w:bookmarkStart w:id="82" w:name="_Ref287976607"/>
      <w:bookmarkStart w:id="83" w:name="_Toc288541047"/>
      <w:bookmarkStart w:id="84" w:name="_Toc293937117"/>
      <w:r>
        <w:rPr>
          <w:caps w:val="0"/>
        </w:rPr>
        <w:t xml:space="preserve">HYDROLOGIC CALCULATIONS AND SIZING METHODS FOR LID </w:t>
      </w:r>
      <w:bookmarkEnd w:id="76"/>
      <w:bookmarkEnd w:id="77"/>
      <w:bookmarkEnd w:id="78"/>
      <w:bookmarkEnd w:id="79"/>
      <w:r>
        <w:rPr>
          <w:caps w:val="0"/>
        </w:rPr>
        <w:t>BMPS</w:t>
      </w:r>
      <w:bookmarkEnd w:id="80"/>
      <w:bookmarkEnd w:id="81"/>
      <w:bookmarkEnd w:id="82"/>
      <w:bookmarkEnd w:id="83"/>
      <w:bookmarkEnd w:id="84"/>
    </w:p>
    <w:p w:rsidR="0013104B" w:rsidRDefault="004673AC" w:rsidP="00A52883">
      <w:pPr>
        <w:pStyle w:val="Heading2"/>
      </w:pPr>
      <w:bookmarkStart w:id="85" w:name="_Ref285118554"/>
      <w:bookmarkStart w:id="86" w:name="_Toc285308087"/>
      <w:bookmarkStart w:id="87" w:name="_Toc285315723"/>
      <w:bookmarkStart w:id="88" w:name="_Toc285492442"/>
      <w:bookmarkStart w:id="89" w:name="_Toc288541048"/>
      <w:bookmarkStart w:id="90" w:name="_Toc293937118"/>
      <w:r>
        <w:t xml:space="preserve">Hydrologic Methods for </w:t>
      </w:r>
      <w:bookmarkEnd w:id="85"/>
      <w:bookmarkEnd w:id="86"/>
      <w:bookmarkEnd w:id="87"/>
      <w:r w:rsidR="00E5705C">
        <w:t xml:space="preserve">Design </w:t>
      </w:r>
      <w:r w:rsidR="002D3A19">
        <w:t xml:space="preserve">Capture </w:t>
      </w:r>
      <w:r w:rsidR="00E5705C">
        <w:t>Storm</w:t>
      </w:r>
      <w:bookmarkEnd w:id="88"/>
      <w:bookmarkEnd w:id="89"/>
      <w:bookmarkEnd w:id="90"/>
    </w:p>
    <w:p w:rsidR="004673AC" w:rsidRPr="004673AC" w:rsidRDefault="004673AC" w:rsidP="002462A8">
      <w:pPr>
        <w:pStyle w:val="CDMBTEXT"/>
      </w:pPr>
      <w:r>
        <w:t>Th</w:t>
      </w:r>
      <w:r w:rsidR="002462A8">
        <w:t>is section describes the hydrologic methods that shall be used to compute the design runoff volume or flowrate resulting from a given precipitation depth or intensity and a given imperviousness fraction.</w:t>
      </w:r>
      <w:r w:rsidR="002D3A19">
        <w:t xml:space="preserve"> These methods are applicable to the Design Capture Storm (85</w:t>
      </w:r>
      <w:r w:rsidR="002D3A19" w:rsidRPr="002D3A19">
        <w:rPr>
          <w:vertAlign w:val="superscript"/>
        </w:rPr>
        <w:t>th</w:t>
      </w:r>
      <w:r w:rsidR="002D3A19">
        <w:t xml:space="preserve"> percentile, 24-hour) as well as the water quality design storm and water quality design intensity. These methods are not applicable for hydrologic analysis of the 2-year design storm.</w:t>
      </w:r>
    </w:p>
    <w:p w:rsidR="00FE3A73" w:rsidRDefault="0013104B" w:rsidP="00A52883">
      <w:pPr>
        <w:pStyle w:val="Heading3"/>
      </w:pPr>
      <w:bookmarkStart w:id="91" w:name="_Ref285114903"/>
      <w:r w:rsidRPr="002462A8">
        <w:t xml:space="preserve">Simple Method Runoff Coefficient for </w:t>
      </w:r>
      <w:r w:rsidR="002462A8">
        <w:t xml:space="preserve">Volume-Based </w:t>
      </w:r>
      <w:r w:rsidR="000828A6">
        <w:t xml:space="preserve">BMP </w:t>
      </w:r>
      <w:r w:rsidR="002462A8">
        <w:t>Sizing</w:t>
      </w:r>
      <w:bookmarkEnd w:id="91"/>
    </w:p>
    <w:p w:rsidR="004673AC" w:rsidRPr="00B53524" w:rsidRDefault="002462A8" w:rsidP="004673AC">
      <w:pPr>
        <w:pStyle w:val="CDMBTEXT"/>
      </w:pPr>
      <w:r>
        <w:t>This</w:t>
      </w:r>
      <w:r w:rsidR="000828A6">
        <w:t xml:space="preserve"> hydrologic</w:t>
      </w:r>
      <w:r>
        <w:t xml:space="preserve"> method shall be used to calculate the </w:t>
      </w:r>
      <w:r w:rsidR="000828A6">
        <w:t>runoff</w:t>
      </w:r>
      <w:r>
        <w:t xml:space="preserve"> volume </w:t>
      </w:r>
      <w:r w:rsidR="000828A6">
        <w:t xml:space="preserve">associated with LID and water quality design storms.  </w:t>
      </w:r>
      <w:r>
        <w:t>The runoff volume shall be calculated as</w:t>
      </w:r>
      <w:r w:rsidR="004673AC" w:rsidRPr="00311A64">
        <w:t>:</w:t>
      </w:r>
    </w:p>
    <w:p w:rsidR="004673AC" w:rsidRPr="00B53524" w:rsidRDefault="004673AC" w:rsidP="004673AC">
      <w:pPr>
        <w:pStyle w:val="CDMBTEXT"/>
        <w:spacing w:after="120"/>
        <w:ind w:left="720"/>
      </w:pPr>
      <w:r w:rsidRPr="00311A64">
        <w:rPr>
          <w:i/>
        </w:rPr>
        <w:t>V = C × d × A × 43560 sf/ac × 1/12 in/ft</w:t>
      </w:r>
      <w:r w:rsidRPr="00311A64">
        <w:rPr>
          <w:i/>
        </w:rPr>
        <w:tab/>
      </w:r>
      <w:r w:rsidRPr="00311A64">
        <w:rPr>
          <w:i/>
        </w:rPr>
        <w:tab/>
      </w:r>
      <w:r w:rsidRPr="00311A64">
        <w:rPr>
          <w:i/>
        </w:rPr>
        <w:tab/>
      </w:r>
      <w:r w:rsidRPr="00311A64">
        <w:rPr>
          <w:i/>
        </w:rPr>
        <w:tab/>
      </w:r>
      <w:r w:rsidRPr="00311A64">
        <w:rPr>
          <w:i/>
        </w:rPr>
        <w:tab/>
      </w:r>
      <w:r w:rsidRPr="00311A64">
        <w:t xml:space="preserve">Equation </w:t>
      </w:r>
      <w:r w:rsidR="00126F3D" w:rsidRPr="00126DE5">
        <w:rPr>
          <w:rFonts w:cs="Arial"/>
          <w:b/>
          <w:color w:val="0070C0"/>
          <w:sz w:val="20"/>
        </w:rPr>
        <w:fldChar w:fldCharType="begin"/>
      </w:r>
      <w:r w:rsidR="009A485C" w:rsidRPr="00126DE5">
        <w:rPr>
          <w:rFonts w:cs="Arial"/>
          <w:b/>
          <w:color w:val="0070C0"/>
          <w:sz w:val="20"/>
        </w:rPr>
        <w:instrText xml:space="preserve"> STYLEREF 1 \s </w:instrText>
      </w:r>
      <w:r w:rsidR="00126F3D" w:rsidRPr="00126DE5">
        <w:rPr>
          <w:rFonts w:cs="Arial"/>
          <w:b/>
          <w:color w:val="0070C0"/>
          <w:sz w:val="20"/>
        </w:rPr>
        <w:fldChar w:fldCharType="separate"/>
      </w:r>
      <w:r w:rsidR="00126DE5" w:rsidRPr="00126DE5">
        <w:rPr>
          <w:rFonts w:cs="Arial"/>
          <w:b/>
          <w:noProof/>
          <w:color w:val="0070C0"/>
          <w:sz w:val="20"/>
        </w:rPr>
        <w:t>III</w:t>
      </w:r>
      <w:r w:rsidR="00126F3D" w:rsidRPr="00126DE5">
        <w:rPr>
          <w:rFonts w:cs="Arial"/>
          <w:b/>
          <w:color w:val="0070C0"/>
          <w:sz w:val="20"/>
        </w:rPr>
        <w:fldChar w:fldCharType="end"/>
      </w:r>
      <w:r w:rsidRPr="00311A64">
        <w:t>.</w:t>
      </w:r>
      <w:r w:rsidR="00126F3D" w:rsidRPr="00126DE5">
        <w:rPr>
          <w:rFonts w:cs="Arial"/>
          <w:b/>
          <w:color w:val="0070C0"/>
          <w:sz w:val="20"/>
        </w:rPr>
        <w:fldChar w:fldCharType="begin"/>
      </w:r>
      <w:r w:rsidR="009A485C" w:rsidRPr="00126DE5">
        <w:rPr>
          <w:rFonts w:cs="Arial"/>
          <w:b/>
          <w:color w:val="0070C0"/>
          <w:sz w:val="20"/>
        </w:rPr>
        <w:instrText xml:space="preserve"> SEQ Equation \* ARABIC \s 1 </w:instrText>
      </w:r>
      <w:r w:rsidR="00126F3D" w:rsidRPr="00126DE5">
        <w:rPr>
          <w:rFonts w:cs="Arial"/>
          <w:b/>
          <w:color w:val="0070C0"/>
          <w:sz w:val="20"/>
        </w:rPr>
        <w:fldChar w:fldCharType="separate"/>
      </w:r>
      <w:r w:rsidR="00126DE5" w:rsidRPr="00126DE5">
        <w:rPr>
          <w:rFonts w:cs="Arial"/>
          <w:b/>
          <w:noProof/>
          <w:color w:val="0070C0"/>
          <w:sz w:val="20"/>
        </w:rPr>
        <w:t>1</w:t>
      </w:r>
      <w:r w:rsidR="00126F3D" w:rsidRPr="00126DE5">
        <w:rPr>
          <w:rFonts w:cs="Arial"/>
          <w:b/>
          <w:color w:val="0070C0"/>
          <w:sz w:val="20"/>
        </w:rPr>
        <w:fldChar w:fldCharType="end"/>
      </w:r>
    </w:p>
    <w:p w:rsidR="004673AC" w:rsidRPr="00B53524" w:rsidRDefault="004673AC" w:rsidP="004673AC">
      <w:pPr>
        <w:pStyle w:val="CDMBTEXT"/>
        <w:spacing w:after="120"/>
      </w:pPr>
      <w:r w:rsidRPr="00311A64">
        <w:t>Where:</w:t>
      </w:r>
    </w:p>
    <w:p w:rsidR="004673AC" w:rsidRPr="00B53524" w:rsidRDefault="004673AC" w:rsidP="003A7710">
      <w:pPr>
        <w:pStyle w:val="CDMBTEXT"/>
        <w:spacing w:after="0"/>
        <w:ind w:left="720"/>
      </w:pPr>
      <w:r w:rsidRPr="00311A64">
        <w:rPr>
          <w:i/>
        </w:rPr>
        <w:t xml:space="preserve">V </w:t>
      </w:r>
      <w:r w:rsidRPr="00311A64">
        <w:t>= runoff volume during the design storm event, cu-ft</w:t>
      </w:r>
    </w:p>
    <w:p w:rsidR="004673AC" w:rsidRPr="00B53524" w:rsidRDefault="004673AC" w:rsidP="003A7710">
      <w:pPr>
        <w:pStyle w:val="CDMBTEXT"/>
        <w:spacing w:after="0"/>
        <w:ind w:left="720"/>
      </w:pPr>
      <w:r w:rsidRPr="00311A64">
        <w:rPr>
          <w:i/>
        </w:rPr>
        <w:t>C</w:t>
      </w:r>
      <w:r w:rsidRPr="00311A64">
        <w:t xml:space="preserve"> = runoff coefficient </w:t>
      </w:r>
      <w:r w:rsidRPr="00311A64">
        <w:rPr>
          <w:i/>
        </w:rPr>
        <w:t>= (0.75 × imp + 0.15)</w:t>
      </w:r>
    </w:p>
    <w:p w:rsidR="004673AC" w:rsidRPr="00B53524" w:rsidRDefault="004673AC" w:rsidP="003A7710">
      <w:pPr>
        <w:pStyle w:val="CDMBTEXT"/>
        <w:spacing w:after="0"/>
        <w:ind w:left="1440"/>
      </w:pPr>
      <w:proofErr w:type="gramStart"/>
      <w:r w:rsidRPr="00311A64">
        <w:rPr>
          <w:i/>
        </w:rPr>
        <w:t>imp</w:t>
      </w:r>
      <w:proofErr w:type="gramEnd"/>
      <w:r w:rsidRPr="00311A64">
        <w:t xml:space="preserve"> = impervious fraction of drainage area (ranges from 0 to 1)</w:t>
      </w:r>
    </w:p>
    <w:p w:rsidR="004673AC" w:rsidRPr="00B53524" w:rsidRDefault="004673AC" w:rsidP="003A7710">
      <w:pPr>
        <w:pStyle w:val="CDMBTEXT"/>
        <w:spacing w:after="0"/>
        <w:ind w:left="720"/>
      </w:pPr>
      <w:r w:rsidRPr="00311A64">
        <w:rPr>
          <w:i/>
        </w:rPr>
        <w:t>d</w:t>
      </w:r>
      <w:r w:rsidRPr="00311A64">
        <w:t xml:space="preserve"> = storm depth (inches)</w:t>
      </w:r>
    </w:p>
    <w:p w:rsidR="002462A8" w:rsidRDefault="004673AC" w:rsidP="003A7710">
      <w:pPr>
        <w:pStyle w:val="CDMBTEXT"/>
        <w:spacing w:after="0"/>
        <w:ind w:left="720"/>
      </w:pPr>
      <w:r w:rsidRPr="00311A64">
        <w:rPr>
          <w:i/>
        </w:rPr>
        <w:t>A</w:t>
      </w:r>
      <w:r w:rsidRPr="00311A64">
        <w:t xml:space="preserve"> = tributary area (acres)</w:t>
      </w:r>
    </w:p>
    <w:p w:rsidR="003A7710" w:rsidRDefault="003A7710" w:rsidP="003A7710">
      <w:pPr>
        <w:pStyle w:val="CDMBTEXT"/>
        <w:spacing w:after="0"/>
        <w:ind w:left="720"/>
      </w:pPr>
    </w:p>
    <w:p w:rsidR="004D379D" w:rsidRDefault="004D379D" w:rsidP="002462A8">
      <w:pPr>
        <w:pStyle w:val="CDMBTEXT"/>
        <w:spacing w:after="120"/>
      </w:pPr>
      <w:r>
        <w:t xml:space="preserve">Note: the tributary area includes the portions of the drainage area within the project and any run-on from off-site areas that comingles with project runoff. </w:t>
      </w:r>
    </w:p>
    <w:p w:rsidR="000828A6" w:rsidRPr="00B53524" w:rsidRDefault="000828A6" w:rsidP="002462A8">
      <w:pPr>
        <w:pStyle w:val="CDMBTEXT"/>
        <w:spacing w:after="120"/>
      </w:pPr>
      <w:r>
        <w:t xml:space="preserve">An example of this calculation is provided in </w:t>
      </w:r>
      <w:fldSimple w:instr=" REF _Ref285114221 \h  \* MERGEFORMAT ">
        <w:r w:rsidR="00126DE5" w:rsidRPr="00126DE5">
          <w:rPr>
            <w:rFonts w:cs="Arial"/>
            <w:b/>
            <w:color w:val="0070C0"/>
            <w:sz w:val="20"/>
          </w:rPr>
          <w:t xml:space="preserve">Example </w:t>
        </w:r>
        <w:r w:rsidR="00126DE5" w:rsidRPr="00126DE5">
          <w:rPr>
            <w:rFonts w:cs="Arial"/>
            <w:b/>
            <w:noProof/>
            <w:color w:val="0070C0"/>
            <w:sz w:val="20"/>
          </w:rPr>
          <w:t>III</w:t>
        </w:r>
        <w:r w:rsidR="00126DE5" w:rsidRPr="00126DE5">
          <w:rPr>
            <w:rFonts w:cs="Arial"/>
            <w:b/>
            <w:color w:val="0070C0"/>
            <w:sz w:val="20"/>
          </w:rPr>
          <w:t>.1</w:t>
        </w:r>
      </w:fldSimple>
      <w:r>
        <w:t>. This method shall not be used for calculating the runoff volume from the 2-year design storm.</w:t>
      </w:r>
    </w:p>
    <w:p w:rsidR="002462A8" w:rsidRPr="0027571A" w:rsidRDefault="002462A8" w:rsidP="0027571A">
      <w:pPr>
        <w:pStyle w:val="ExampleHeading"/>
      </w:pPr>
      <w:bookmarkStart w:id="92" w:name="_Ref285114221"/>
      <w:bookmarkStart w:id="93" w:name="_Toc285308088"/>
      <w:bookmarkStart w:id="94" w:name="_Toc288541049"/>
      <w:bookmarkStart w:id="95" w:name="_Toc288554440"/>
      <w:proofErr w:type="gramStart"/>
      <w:r w:rsidRPr="0027571A">
        <w:t xml:space="preserve">Example </w:t>
      </w:r>
      <w:r w:rsidR="00126F3D" w:rsidRPr="00126DE5">
        <w:rPr>
          <w:color w:val="0070C0"/>
        </w:rPr>
        <w:fldChar w:fldCharType="begin"/>
      </w:r>
      <w:r w:rsidR="003F38A8" w:rsidRPr="00126DE5">
        <w:rPr>
          <w:color w:val="0070C0"/>
        </w:rPr>
        <w:instrText xml:space="preserve"> STYLEREF 1 \s </w:instrText>
      </w:r>
      <w:r w:rsidR="00126F3D" w:rsidRPr="00126DE5">
        <w:rPr>
          <w:color w:val="0070C0"/>
        </w:rPr>
        <w:fldChar w:fldCharType="separate"/>
      </w:r>
      <w:r w:rsidR="00126DE5" w:rsidRPr="00126DE5">
        <w:rPr>
          <w:noProof/>
          <w:color w:val="0070C0"/>
        </w:rPr>
        <w:t>III</w:t>
      </w:r>
      <w:r w:rsidR="00126F3D" w:rsidRPr="00126DE5">
        <w:rPr>
          <w:color w:val="0070C0"/>
        </w:rPr>
        <w:fldChar w:fldCharType="end"/>
      </w:r>
      <w:r w:rsidR="002E1936" w:rsidRPr="0027571A">
        <w:t>.</w:t>
      </w:r>
      <w:proofErr w:type="gramEnd"/>
      <w:r w:rsidR="00126F3D" w:rsidRPr="00126DE5">
        <w:rPr>
          <w:color w:val="0070C0"/>
        </w:rPr>
        <w:fldChar w:fldCharType="begin"/>
      </w:r>
      <w:r w:rsidR="002E1936" w:rsidRPr="00126DE5">
        <w:rPr>
          <w:color w:val="0070C0"/>
        </w:rPr>
        <w:instrText xml:space="preserve"> SEQ Example \* ARABIC \s 1 </w:instrText>
      </w:r>
      <w:r w:rsidR="00126F3D" w:rsidRPr="00126DE5">
        <w:rPr>
          <w:color w:val="0070C0"/>
        </w:rPr>
        <w:fldChar w:fldCharType="separate"/>
      </w:r>
      <w:r w:rsidR="00126DE5" w:rsidRPr="00126DE5">
        <w:rPr>
          <w:noProof/>
          <w:color w:val="0070C0"/>
        </w:rPr>
        <w:t>1</w:t>
      </w:r>
      <w:r w:rsidR="00126F3D" w:rsidRPr="00126DE5">
        <w:rPr>
          <w:color w:val="0070C0"/>
        </w:rPr>
        <w:fldChar w:fldCharType="end"/>
      </w:r>
      <w:bookmarkEnd w:id="92"/>
      <w:r w:rsidRPr="0027571A">
        <w:t>: Design Runoff Volume Calculation using Simple R</w:t>
      </w:r>
      <w:r w:rsidR="000828A6" w:rsidRPr="0027571A">
        <w:t>unoff Coefficient Method</w:t>
      </w:r>
      <w:bookmarkEnd w:id="93"/>
      <w:bookmarkEnd w:id="94"/>
      <w:bookmarkEnd w:id="95"/>
    </w:p>
    <w:p w:rsidR="002462A8" w:rsidRPr="00B53524" w:rsidRDefault="002462A8" w:rsidP="00EA1EA6">
      <w:pPr>
        <w:pStyle w:val="ExampleSubheading"/>
        <w:outlineLvl w:val="0"/>
        <w:rPr>
          <w:lang w:bidi="en-US"/>
        </w:rPr>
      </w:pPr>
      <w:bookmarkStart w:id="96" w:name="_Toc285308089"/>
      <w:r w:rsidRPr="00311A64">
        <w:rPr>
          <w:lang w:bidi="en-US"/>
        </w:rPr>
        <w:t>Given:</w:t>
      </w:r>
      <w:bookmarkEnd w:id="96"/>
    </w:p>
    <w:p w:rsidR="002462A8" w:rsidRPr="00B53524" w:rsidRDefault="002462A8" w:rsidP="00851327">
      <w:pPr>
        <w:pStyle w:val="ExampleBullets"/>
        <w:keepNext/>
      </w:pPr>
      <w:r w:rsidRPr="00311A64">
        <w:t>A drainage area consists of a 1 acre building roof surrounded by 0.25 acres of landscaping (80 percent composite imperviousness)</w:t>
      </w:r>
    </w:p>
    <w:p w:rsidR="002462A8" w:rsidRPr="00B53524" w:rsidRDefault="002462A8" w:rsidP="00851327">
      <w:pPr>
        <w:pStyle w:val="ExampleBullets"/>
        <w:keepNext/>
      </w:pPr>
      <w:r>
        <w:t xml:space="preserve">The design capture storm depth is 0.75 </w:t>
      </w:r>
      <w:proofErr w:type="gramStart"/>
      <w:r>
        <w:t xml:space="preserve">inches </w:t>
      </w:r>
      <w:r w:rsidRPr="00311A64">
        <w:t>.</w:t>
      </w:r>
      <w:proofErr w:type="gramEnd"/>
    </w:p>
    <w:p w:rsidR="002462A8" w:rsidRPr="00B53524" w:rsidRDefault="002462A8" w:rsidP="00EA1EA6">
      <w:pPr>
        <w:pStyle w:val="ExampleSubheading"/>
        <w:outlineLvl w:val="0"/>
      </w:pPr>
      <w:bookmarkStart w:id="97" w:name="_Toc285308090"/>
      <w:r w:rsidRPr="00311A64">
        <w:t>Required:</w:t>
      </w:r>
      <w:bookmarkEnd w:id="97"/>
      <w:r w:rsidRPr="00311A64">
        <w:t xml:space="preserve">  </w:t>
      </w:r>
    </w:p>
    <w:p w:rsidR="002462A8" w:rsidRPr="00B53524" w:rsidRDefault="002462A8" w:rsidP="00851327">
      <w:pPr>
        <w:pStyle w:val="ExampleBullets"/>
        <w:keepNext/>
      </w:pPr>
      <w:r>
        <w:t xml:space="preserve">Find the </w:t>
      </w:r>
      <w:r w:rsidR="003C7091">
        <w:t>DCV</w:t>
      </w:r>
    </w:p>
    <w:p w:rsidR="002462A8" w:rsidRPr="00B53524" w:rsidRDefault="002462A8" w:rsidP="00EA1EA6">
      <w:pPr>
        <w:pStyle w:val="ExampleSubheading"/>
        <w:outlineLvl w:val="0"/>
      </w:pPr>
      <w:bookmarkStart w:id="98" w:name="_Toc285308091"/>
      <w:r w:rsidRPr="00311A64">
        <w:t>Result:</w:t>
      </w:r>
      <w:bookmarkEnd w:id="98"/>
      <w:r w:rsidRPr="00311A64">
        <w:t xml:space="preserve"> </w:t>
      </w:r>
    </w:p>
    <w:p w:rsidR="002462A8" w:rsidRPr="000828A6" w:rsidRDefault="002462A8" w:rsidP="000D23C5">
      <w:pPr>
        <w:pStyle w:val="ExampleNumbers"/>
      </w:pPr>
      <w:r w:rsidRPr="000828A6">
        <w:t>From Equation I.1:   V = C × d × A × 43560 sf/ac × 1/12 in/ft</w:t>
      </w:r>
    </w:p>
    <w:p w:rsidR="002462A8" w:rsidRPr="000828A6" w:rsidRDefault="002462A8" w:rsidP="000D23C5">
      <w:pPr>
        <w:pStyle w:val="ExampleNumbers"/>
      </w:pPr>
      <w:bookmarkStart w:id="99" w:name="_Toc285308092"/>
      <w:r w:rsidRPr="000828A6">
        <w:t>C = (0.8×0.75 + 0.15) = 0.75</w:t>
      </w:r>
      <w:bookmarkEnd w:id="99"/>
      <w:r w:rsidRPr="000828A6">
        <w:t xml:space="preserve"> </w:t>
      </w:r>
    </w:p>
    <w:p w:rsidR="002462A8" w:rsidRPr="000828A6" w:rsidRDefault="002462A8" w:rsidP="000D23C5">
      <w:pPr>
        <w:pStyle w:val="ExampleNumbers"/>
      </w:pPr>
      <w:bookmarkStart w:id="100" w:name="_Toc285308093"/>
      <w:r w:rsidRPr="000828A6">
        <w:t>A = 1.25 ac</w:t>
      </w:r>
      <w:bookmarkEnd w:id="100"/>
    </w:p>
    <w:p w:rsidR="002462A8" w:rsidRPr="000828A6" w:rsidRDefault="002462A8" w:rsidP="000D23C5">
      <w:pPr>
        <w:pStyle w:val="ExampleNumbers"/>
      </w:pPr>
      <w:bookmarkStart w:id="101" w:name="_Toc285308094"/>
      <w:r w:rsidRPr="000828A6">
        <w:t>d =  0.</w:t>
      </w:r>
      <w:r w:rsidR="000828A6" w:rsidRPr="000828A6">
        <w:t>7</w:t>
      </w:r>
      <w:r w:rsidRPr="000828A6">
        <w:t>5 inches</w:t>
      </w:r>
      <w:bookmarkEnd w:id="101"/>
    </w:p>
    <w:p w:rsidR="000828A6" w:rsidRPr="000828A6" w:rsidRDefault="000828A6" w:rsidP="000D23C5">
      <w:pPr>
        <w:pStyle w:val="ExampleNumbers"/>
      </w:pPr>
      <w:bookmarkStart w:id="102" w:name="_Toc285308095"/>
      <w:r w:rsidRPr="000828A6">
        <w:t xml:space="preserve">V = 0.75 × 0.75 in × 1.25 ac × 43560 sf/ac × 1/12 in/ft = </w:t>
      </w:r>
      <w:r w:rsidRPr="000828A6">
        <w:rPr>
          <w:b/>
        </w:rPr>
        <w:t>2,550 cu-ft</w:t>
      </w:r>
      <w:bookmarkEnd w:id="102"/>
    </w:p>
    <w:p w:rsidR="002462A8" w:rsidRDefault="002462A8" w:rsidP="002462A8"/>
    <w:p w:rsidR="004673AC" w:rsidRPr="00B53524" w:rsidRDefault="000828A6" w:rsidP="004673AC">
      <w:pPr>
        <w:pStyle w:val="CDMBTEXT"/>
      </w:pPr>
      <w:r>
        <w:t>In some BMP sizing calculations</w:t>
      </w:r>
      <w:r w:rsidR="004673AC" w:rsidRPr="00311A64">
        <w:t>, it is necessary to “back-calculate” the design storm depth based on the runoff volume</w:t>
      </w:r>
      <w:r>
        <w:t xml:space="preserve"> and a description of the watershed</w:t>
      </w:r>
      <w:r w:rsidR="004673AC" w:rsidRPr="00311A64">
        <w:t>. The design storm depth can be calculated by rearranging Equation 2.1 above:</w:t>
      </w:r>
    </w:p>
    <w:p w:rsidR="004673AC" w:rsidRPr="00B53524" w:rsidRDefault="004673AC" w:rsidP="004673AC">
      <w:pPr>
        <w:pStyle w:val="CDMBTEXT"/>
        <w:ind w:left="720"/>
        <w:rPr>
          <w:i/>
        </w:rPr>
      </w:pPr>
      <w:r w:rsidRPr="00311A64">
        <w:rPr>
          <w:i/>
        </w:rPr>
        <w:t xml:space="preserve"> d = V × 12 in/ft/[C × A × 43560 sf/ac]</w:t>
      </w:r>
      <w:r w:rsidRPr="00311A64">
        <w:rPr>
          <w:i/>
        </w:rPr>
        <w:tab/>
      </w:r>
      <w:r w:rsidRPr="00311A64">
        <w:rPr>
          <w:i/>
        </w:rPr>
        <w:tab/>
      </w:r>
      <w:r w:rsidRPr="00311A64">
        <w:rPr>
          <w:i/>
        </w:rPr>
        <w:tab/>
      </w:r>
      <w:r w:rsidRPr="00311A64">
        <w:rPr>
          <w:i/>
        </w:rPr>
        <w:tab/>
      </w:r>
      <w:r w:rsidRPr="00311A64">
        <w:rPr>
          <w:i/>
        </w:rPr>
        <w:tab/>
      </w:r>
      <w:r w:rsidRPr="00311A64">
        <w:rPr>
          <w:i/>
        </w:rPr>
        <w:tab/>
      </w:r>
      <w:r w:rsidRPr="00311A64">
        <w:t xml:space="preserve">Equation </w:t>
      </w:r>
      <w:r w:rsidR="00126F3D" w:rsidRPr="00126DE5">
        <w:rPr>
          <w:rFonts w:cs="Arial"/>
          <w:b/>
          <w:color w:val="0070C0"/>
          <w:sz w:val="20"/>
        </w:rPr>
        <w:fldChar w:fldCharType="begin"/>
      </w:r>
      <w:r w:rsidR="009A485C" w:rsidRPr="00126DE5">
        <w:rPr>
          <w:rFonts w:cs="Arial"/>
          <w:b/>
          <w:color w:val="0070C0"/>
          <w:sz w:val="20"/>
        </w:rPr>
        <w:instrText xml:space="preserve"> STYLEREF 1 \s </w:instrText>
      </w:r>
      <w:r w:rsidR="00126F3D" w:rsidRPr="00126DE5">
        <w:rPr>
          <w:rFonts w:cs="Arial"/>
          <w:b/>
          <w:color w:val="0070C0"/>
          <w:sz w:val="20"/>
        </w:rPr>
        <w:fldChar w:fldCharType="separate"/>
      </w:r>
      <w:r w:rsidR="00126DE5" w:rsidRPr="00126DE5">
        <w:rPr>
          <w:rFonts w:cs="Arial"/>
          <w:b/>
          <w:noProof/>
          <w:color w:val="0070C0"/>
          <w:sz w:val="20"/>
        </w:rPr>
        <w:t>III</w:t>
      </w:r>
      <w:r w:rsidR="00126F3D" w:rsidRPr="00126DE5">
        <w:rPr>
          <w:rFonts w:cs="Arial"/>
          <w:b/>
          <w:color w:val="0070C0"/>
          <w:sz w:val="20"/>
        </w:rPr>
        <w:fldChar w:fldCharType="end"/>
      </w:r>
      <w:r w:rsidRPr="00311A64">
        <w:t>.</w:t>
      </w:r>
      <w:r w:rsidR="00126F3D" w:rsidRPr="00126DE5">
        <w:rPr>
          <w:rFonts w:cs="Arial"/>
          <w:b/>
          <w:color w:val="0070C0"/>
          <w:sz w:val="20"/>
        </w:rPr>
        <w:fldChar w:fldCharType="begin"/>
      </w:r>
      <w:r w:rsidR="009A485C" w:rsidRPr="00126DE5">
        <w:rPr>
          <w:rFonts w:cs="Arial"/>
          <w:b/>
          <w:color w:val="0070C0"/>
          <w:sz w:val="20"/>
        </w:rPr>
        <w:instrText xml:space="preserve"> SEQ Equation \* ARABIC \s 1 </w:instrText>
      </w:r>
      <w:r w:rsidR="00126F3D" w:rsidRPr="00126DE5">
        <w:rPr>
          <w:rFonts w:cs="Arial"/>
          <w:b/>
          <w:color w:val="0070C0"/>
          <w:sz w:val="20"/>
        </w:rPr>
        <w:fldChar w:fldCharType="separate"/>
      </w:r>
      <w:r w:rsidR="00126DE5" w:rsidRPr="00126DE5">
        <w:rPr>
          <w:rFonts w:cs="Arial"/>
          <w:b/>
          <w:noProof/>
          <w:color w:val="0070C0"/>
          <w:sz w:val="20"/>
        </w:rPr>
        <w:t>2</w:t>
      </w:r>
      <w:r w:rsidR="00126F3D" w:rsidRPr="00126DE5">
        <w:rPr>
          <w:rFonts w:cs="Arial"/>
          <w:b/>
          <w:color w:val="0070C0"/>
          <w:sz w:val="20"/>
        </w:rPr>
        <w:fldChar w:fldCharType="end"/>
      </w:r>
    </w:p>
    <w:p w:rsidR="004673AC" w:rsidRDefault="004673AC" w:rsidP="000828A6">
      <w:pPr>
        <w:pStyle w:val="CDMBTEXT"/>
      </w:pPr>
      <w:r w:rsidRPr="00311A64">
        <w:t xml:space="preserve">Any subtraction from the designs storm depth claimed in </w:t>
      </w:r>
      <w:r w:rsidR="000828A6">
        <w:t xml:space="preserve">Section </w:t>
      </w:r>
      <w:r w:rsidR="00126F3D" w:rsidRPr="00126DE5">
        <w:rPr>
          <w:rFonts w:cs="Arial"/>
          <w:b/>
          <w:color w:val="0070C0"/>
          <w:sz w:val="20"/>
        </w:rPr>
        <w:fldChar w:fldCharType="begin"/>
      </w:r>
      <w:r w:rsidR="000828A6" w:rsidRPr="00126DE5">
        <w:rPr>
          <w:rFonts w:cs="Arial"/>
          <w:b/>
          <w:color w:val="0070C0"/>
          <w:sz w:val="20"/>
        </w:rPr>
        <w:instrText xml:space="preserve"> REF _Ref285114460 \r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rFonts w:cs="Arial"/>
          <w:b/>
          <w:color w:val="0070C0"/>
          <w:sz w:val="20"/>
        </w:rPr>
        <w:t>III.1.3</w:t>
      </w:r>
      <w:r w:rsidR="00126F3D" w:rsidRPr="00126DE5">
        <w:rPr>
          <w:rFonts w:cs="Arial"/>
          <w:b/>
          <w:color w:val="0070C0"/>
          <w:sz w:val="20"/>
        </w:rPr>
        <w:fldChar w:fldCharType="end"/>
      </w:r>
      <w:r w:rsidR="000828A6">
        <w:t xml:space="preserve"> </w:t>
      </w:r>
      <w:r w:rsidRPr="00311A64">
        <w:t>to account for HSCs should be added to the back-computed design storm</w:t>
      </w:r>
      <w:r>
        <w:t xml:space="preserve"> depth after this calculation. </w:t>
      </w:r>
      <w:r w:rsidR="000828A6">
        <w:t xml:space="preserve"> </w:t>
      </w:r>
      <w:fldSimple w:instr=" REF _Ref260838567 \h  \* MERGEFORMAT ">
        <w:r w:rsidR="00126DE5" w:rsidRPr="00126DE5">
          <w:rPr>
            <w:rFonts w:cs="Arial"/>
            <w:b/>
            <w:color w:val="0070C0"/>
            <w:sz w:val="20"/>
          </w:rPr>
          <w:t xml:space="preserve">Example </w:t>
        </w:r>
        <w:r w:rsidR="00126DE5" w:rsidRPr="00126DE5">
          <w:rPr>
            <w:rFonts w:cs="Arial"/>
            <w:b/>
            <w:noProof/>
            <w:color w:val="0070C0"/>
            <w:sz w:val="20"/>
          </w:rPr>
          <w:t>III</w:t>
        </w:r>
        <w:r w:rsidR="00126DE5" w:rsidRPr="00126DE5">
          <w:rPr>
            <w:rFonts w:cs="Arial"/>
            <w:b/>
            <w:color w:val="0070C0"/>
            <w:sz w:val="20"/>
          </w:rPr>
          <w:t>.2</w:t>
        </w:r>
      </w:fldSimple>
      <w:r w:rsidRPr="00311A64">
        <w:t xml:space="preserve"> illustrates how a given volume of stormwater would be translated to an equivalent storm depth. </w:t>
      </w:r>
    </w:p>
    <w:p w:rsidR="004673AC" w:rsidRPr="007A343A" w:rsidRDefault="004673AC" w:rsidP="0027571A">
      <w:pPr>
        <w:pStyle w:val="ExampleHeading"/>
      </w:pPr>
      <w:bookmarkStart w:id="103" w:name="_Ref260838567"/>
      <w:bookmarkStart w:id="104" w:name="_Toc262408833"/>
      <w:bookmarkStart w:id="105" w:name="_Toc285308096"/>
      <w:bookmarkStart w:id="106" w:name="_Toc288541050"/>
      <w:bookmarkStart w:id="107" w:name="_Toc288554441"/>
      <w:proofErr w:type="gramStart"/>
      <w:r w:rsidRPr="007A343A">
        <w:t xml:space="preserve">Example </w:t>
      </w:r>
      <w:r w:rsidR="00126F3D" w:rsidRPr="00126DE5">
        <w:rPr>
          <w:color w:val="0070C0"/>
        </w:rPr>
        <w:fldChar w:fldCharType="begin"/>
      </w:r>
      <w:r w:rsidR="003F38A8" w:rsidRPr="00126DE5">
        <w:rPr>
          <w:color w:val="0070C0"/>
        </w:rPr>
        <w:instrText xml:space="preserve"> STYLEREF 1 \s </w:instrText>
      </w:r>
      <w:r w:rsidR="00126F3D" w:rsidRPr="00126DE5">
        <w:rPr>
          <w:color w:val="0070C0"/>
        </w:rPr>
        <w:fldChar w:fldCharType="separate"/>
      </w:r>
      <w:r w:rsidR="00126DE5" w:rsidRPr="00126DE5">
        <w:rPr>
          <w:noProof/>
          <w:color w:val="0070C0"/>
        </w:rPr>
        <w:t>III</w:t>
      </w:r>
      <w:r w:rsidR="00126F3D" w:rsidRPr="00126DE5">
        <w:rPr>
          <w:color w:val="0070C0"/>
        </w:rPr>
        <w:fldChar w:fldCharType="end"/>
      </w:r>
      <w:r w:rsidR="002E1936" w:rsidRPr="007A343A">
        <w:t>.</w:t>
      </w:r>
      <w:proofErr w:type="gramEnd"/>
      <w:r w:rsidR="00126F3D" w:rsidRPr="00126DE5">
        <w:rPr>
          <w:color w:val="0070C0"/>
        </w:rPr>
        <w:fldChar w:fldCharType="begin"/>
      </w:r>
      <w:r w:rsidR="002E1936" w:rsidRPr="00126DE5">
        <w:rPr>
          <w:color w:val="0070C0"/>
        </w:rPr>
        <w:instrText xml:space="preserve"> SEQ Example \* ARABIC \s 1 </w:instrText>
      </w:r>
      <w:r w:rsidR="00126F3D" w:rsidRPr="00126DE5">
        <w:rPr>
          <w:color w:val="0070C0"/>
        </w:rPr>
        <w:fldChar w:fldCharType="separate"/>
      </w:r>
      <w:r w:rsidR="00126DE5" w:rsidRPr="00126DE5">
        <w:rPr>
          <w:noProof/>
          <w:color w:val="0070C0"/>
        </w:rPr>
        <w:t>2</w:t>
      </w:r>
      <w:r w:rsidR="00126F3D" w:rsidRPr="00126DE5">
        <w:rPr>
          <w:color w:val="0070C0"/>
        </w:rPr>
        <w:fldChar w:fldCharType="end"/>
      </w:r>
      <w:bookmarkEnd w:id="103"/>
      <w:r w:rsidRPr="007A343A">
        <w:t>: Back-computing Storm Depth from Runoff Volume</w:t>
      </w:r>
      <w:bookmarkEnd w:id="104"/>
      <w:bookmarkEnd w:id="105"/>
      <w:bookmarkEnd w:id="106"/>
      <w:bookmarkEnd w:id="107"/>
    </w:p>
    <w:p w:rsidR="004673AC" w:rsidRPr="00B53524" w:rsidRDefault="004673AC" w:rsidP="00EA1EA6">
      <w:pPr>
        <w:pStyle w:val="ExampleSubheading"/>
        <w:outlineLvl w:val="0"/>
        <w:rPr>
          <w:lang w:bidi="en-US"/>
        </w:rPr>
      </w:pPr>
      <w:bookmarkStart w:id="108" w:name="_Toc285308097"/>
      <w:r w:rsidRPr="00311A64">
        <w:rPr>
          <w:lang w:bidi="en-US"/>
        </w:rPr>
        <w:t>Given:</w:t>
      </w:r>
      <w:bookmarkEnd w:id="108"/>
    </w:p>
    <w:p w:rsidR="004673AC" w:rsidRPr="00B53524" w:rsidRDefault="004673AC" w:rsidP="00851327">
      <w:pPr>
        <w:pStyle w:val="ExampleBullets"/>
        <w:keepNext/>
      </w:pPr>
      <w:r w:rsidRPr="00311A64">
        <w:t>A drainage area consists of a 1 acre building roof surrounded by 0.25 acres of landscaping (80 percent composite imperviousness)</w:t>
      </w:r>
    </w:p>
    <w:p w:rsidR="004673AC" w:rsidRPr="00B53524" w:rsidRDefault="004673AC" w:rsidP="00851327">
      <w:pPr>
        <w:pStyle w:val="ExampleBullets"/>
        <w:keepNext/>
      </w:pPr>
      <w:r w:rsidRPr="00311A64">
        <w:t>An LID BMP with 1,200 cu-ft of storage is provided.</w:t>
      </w:r>
    </w:p>
    <w:p w:rsidR="004673AC" w:rsidRPr="00B53524" w:rsidRDefault="004673AC" w:rsidP="00EA1EA6">
      <w:pPr>
        <w:pStyle w:val="ExampleSubheading"/>
        <w:outlineLvl w:val="0"/>
      </w:pPr>
      <w:bookmarkStart w:id="109" w:name="_Toc285308098"/>
      <w:r w:rsidRPr="00311A64">
        <w:t>Required:</w:t>
      </w:r>
      <w:bookmarkEnd w:id="109"/>
      <w:r w:rsidRPr="00311A64">
        <w:t xml:space="preserve">  </w:t>
      </w:r>
    </w:p>
    <w:p w:rsidR="004673AC" w:rsidRPr="00B53524" w:rsidRDefault="004673AC" w:rsidP="00851327">
      <w:pPr>
        <w:pStyle w:val="ExampleBullets"/>
        <w:keepNext/>
      </w:pPr>
      <w:r w:rsidRPr="00311A64">
        <w:t>What is the equivalent design storm corresponding to this BMP volume?</w:t>
      </w:r>
    </w:p>
    <w:p w:rsidR="004673AC" w:rsidRPr="00B53524" w:rsidRDefault="004673AC" w:rsidP="00EA1EA6">
      <w:pPr>
        <w:pStyle w:val="ExampleSubheading"/>
        <w:outlineLvl w:val="0"/>
      </w:pPr>
      <w:bookmarkStart w:id="110" w:name="_Toc285308099"/>
      <w:r w:rsidRPr="00311A64">
        <w:t>Result:</w:t>
      </w:r>
      <w:bookmarkEnd w:id="110"/>
      <w:r w:rsidRPr="00311A64">
        <w:t xml:space="preserve"> </w:t>
      </w:r>
    </w:p>
    <w:p w:rsidR="004673AC" w:rsidRPr="00B53524" w:rsidRDefault="004673AC" w:rsidP="00853C9A">
      <w:pPr>
        <w:pStyle w:val="ExampleNumbers"/>
        <w:keepNext/>
        <w:numPr>
          <w:ilvl w:val="0"/>
          <w:numId w:val="100"/>
        </w:numPr>
        <w:ind w:left="720"/>
      </w:pPr>
      <w:r w:rsidRPr="00311A64">
        <w:t>From Equation 2.2:   d = V × 12 in/ft/[C × A × 43560 sf/ac]</w:t>
      </w:r>
    </w:p>
    <w:p w:rsidR="004673AC" w:rsidRPr="00B53524" w:rsidRDefault="004673AC" w:rsidP="00853C9A">
      <w:pPr>
        <w:pStyle w:val="ExampleNumbers"/>
      </w:pPr>
      <w:bookmarkStart w:id="111" w:name="_Toc285308100"/>
      <w:r w:rsidRPr="00311A64">
        <w:t>V = 1,200 cu-ft (given)</w:t>
      </w:r>
      <w:bookmarkEnd w:id="111"/>
    </w:p>
    <w:p w:rsidR="004673AC" w:rsidRPr="00B53524" w:rsidRDefault="004673AC" w:rsidP="00853C9A">
      <w:pPr>
        <w:pStyle w:val="ExampleNumbers"/>
        <w:keepNext/>
        <w:numPr>
          <w:ilvl w:val="0"/>
          <w:numId w:val="53"/>
        </w:numPr>
        <w:ind w:left="720"/>
      </w:pPr>
      <w:bookmarkStart w:id="112" w:name="_Toc285308101"/>
      <w:r w:rsidRPr="00311A64">
        <w:t>C = (0.8×0.75 + 0.15) = 0.75</w:t>
      </w:r>
      <w:bookmarkEnd w:id="112"/>
      <w:r w:rsidRPr="00311A64">
        <w:t xml:space="preserve"> </w:t>
      </w:r>
    </w:p>
    <w:p w:rsidR="004673AC" w:rsidRPr="00B53524" w:rsidRDefault="004673AC" w:rsidP="00853C9A">
      <w:pPr>
        <w:pStyle w:val="ExampleNumbers"/>
        <w:keepNext/>
        <w:numPr>
          <w:ilvl w:val="0"/>
          <w:numId w:val="53"/>
        </w:numPr>
        <w:ind w:left="720"/>
      </w:pPr>
      <w:bookmarkStart w:id="113" w:name="_Toc285308102"/>
      <w:r w:rsidRPr="00311A64">
        <w:t>A = 1.25 ac</w:t>
      </w:r>
      <w:bookmarkEnd w:id="113"/>
    </w:p>
    <w:p w:rsidR="004673AC" w:rsidRPr="00B53524" w:rsidRDefault="004673AC" w:rsidP="00853C9A">
      <w:pPr>
        <w:pStyle w:val="ExampleNumbers"/>
        <w:numPr>
          <w:ilvl w:val="0"/>
          <w:numId w:val="53"/>
        </w:numPr>
        <w:ind w:left="720"/>
      </w:pPr>
      <w:bookmarkStart w:id="114" w:name="_Toc285308103"/>
      <w:r w:rsidRPr="00311A64">
        <w:t xml:space="preserve">d = 1,200 cu-ft × 12 in/ft / [ 0.75 × 1.25 ac × 43560 sf/ac ] =  </w:t>
      </w:r>
      <w:r w:rsidRPr="00311A64">
        <w:rPr>
          <w:b/>
        </w:rPr>
        <w:t>0.35 inches</w:t>
      </w:r>
      <w:bookmarkEnd w:id="114"/>
    </w:p>
    <w:p w:rsidR="004673AC" w:rsidRDefault="004673AC" w:rsidP="00FE3A73"/>
    <w:p w:rsidR="0013104B" w:rsidRDefault="0013104B" w:rsidP="00A52883">
      <w:pPr>
        <w:pStyle w:val="Heading3"/>
      </w:pPr>
      <w:bookmarkStart w:id="115" w:name="_Toc260942877"/>
      <w:bookmarkStart w:id="116" w:name="_Toc260943106"/>
      <w:bookmarkStart w:id="117" w:name="_Toc285002547"/>
      <w:bookmarkStart w:id="118" w:name="_Toc285002636"/>
      <w:bookmarkStart w:id="119" w:name="_Toc285002731"/>
      <w:bookmarkStart w:id="120" w:name="_Ref285372773"/>
      <w:bookmarkEnd w:id="115"/>
      <w:bookmarkEnd w:id="116"/>
      <w:bookmarkEnd w:id="117"/>
      <w:bookmarkEnd w:id="118"/>
      <w:bookmarkEnd w:id="119"/>
      <w:r>
        <w:t xml:space="preserve">Simple Method Runoff Coefficient for </w:t>
      </w:r>
      <w:r w:rsidR="000828A6">
        <w:t>Flow-based BMP Sizing</w:t>
      </w:r>
      <w:bookmarkEnd w:id="120"/>
    </w:p>
    <w:p w:rsidR="000828A6" w:rsidRPr="00B53524" w:rsidRDefault="000828A6" w:rsidP="000828A6">
      <w:pPr>
        <w:pStyle w:val="CDMBTEXT"/>
      </w:pPr>
      <w:r>
        <w:t xml:space="preserve">This hydrologic method shall be used to calculate the runoff </w:t>
      </w:r>
      <w:r w:rsidR="000567D7">
        <w:t>flowrate</w:t>
      </w:r>
      <w:r>
        <w:t xml:space="preserve"> associated with </w:t>
      </w:r>
      <w:proofErr w:type="gramStart"/>
      <w:r w:rsidR="000567D7">
        <w:t>a water</w:t>
      </w:r>
      <w:proofErr w:type="gramEnd"/>
      <w:r w:rsidR="000567D7">
        <w:t xml:space="preserve"> quality design storm intensity</w:t>
      </w:r>
      <w:r>
        <w:t>.</w:t>
      </w:r>
      <w:r w:rsidR="000567D7" w:rsidRPr="000567D7">
        <w:t xml:space="preserve"> </w:t>
      </w:r>
      <w:r w:rsidR="000567D7" w:rsidRPr="00311A64">
        <w:t>D</w:t>
      </w:r>
      <w:r w:rsidRPr="00311A64">
        <w:t>esign flow calculations for flow-based BMPs should be calculated as:</w:t>
      </w:r>
    </w:p>
    <w:p w:rsidR="000828A6" w:rsidRPr="00B53524" w:rsidRDefault="000828A6" w:rsidP="000828A6">
      <w:pPr>
        <w:pStyle w:val="CDMBTEXT"/>
        <w:ind w:firstLine="720"/>
        <w:rPr>
          <w:i/>
        </w:rPr>
      </w:pPr>
      <w:r w:rsidRPr="00311A64">
        <w:rPr>
          <w:i/>
        </w:rPr>
        <w:t xml:space="preserve">Q = C × </w:t>
      </w:r>
      <w:proofErr w:type="spellStart"/>
      <w:r w:rsidRPr="00311A64">
        <w:rPr>
          <w:i/>
        </w:rPr>
        <w:t>i</w:t>
      </w:r>
      <w:proofErr w:type="spellEnd"/>
      <w:r w:rsidRPr="00311A64">
        <w:rPr>
          <w:i/>
        </w:rPr>
        <w:t xml:space="preserve"> × </w:t>
      </w:r>
      <w:proofErr w:type="gramStart"/>
      <w:r w:rsidRPr="00311A64">
        <w:rPr>
          <w:i/>
        </w:rPr>
        <w:t>A</w:t>
      </w:r>
      <w:proofErr w:type="gramEnd"/>
      <w:r w:rsidRPr="00311A64">
        <w:rPr>
          <w:i/>
        </w:rPr>
        <w:t xml:space="preserve"> </w:t>
      </w:r>
      <w:r w:rsidRPr="00311A64">
        <w:rPr>
          <w:i/>
        </w:rPr>
        <w:tab/>
      </w:r>
      <w:r w:rsidRPr="00311A64">
        <w:rPr>
          <w:i/>
        </w:rPr>
        <w:tab/>
      </w:r>
      <w:r w:rsidRPr="00311A64">
        <w:rPr>
          <w:i/>
        </w:rPr>
        <w:tab/>
      </w:r>
      <w:r w:rsidRPr="00311A64">
        <w:rPr>
          <w:i/>
        </w:rPr>
        <w:tab/>
      </w:r>
      <w:r w:rsidRPr="00311A64">
        <w:rPr>
          <w:i/>
        </w:rPr>
        <w:tab/>
      </w:r>
      <w:r w:rsidRPr="00311A64">
        <w:rPr>
          <w:i/>
        </w:rPr>
        <w:tab/>
      </w:r>
      <w:r w:rsidRPr="00311A64">
        <w:rPr>
          <w:i/>
        </w:rPr>
        <w:tab/>
      </w:r>
      <w:r w:rsidRPr="00311A64">
        <w:rPr>
          <w:i/>
        </w:rPr>
        <w:tab/>
      </w:r>
      <w:r w:rsidRPr="00311A64">
        <w:t xml:space="preserve">Equation </w:t>
      </w:r>
      <w:r w:rsidR="00126F3D" w:rsidRPr="00126DE5">
        <w:rPr>
          <w:rFonts w:cs="Arial"/>
          <w:b/>
          <w:color w:val="0070C0"/>
          <w:sz w:val="20"/>
        </w:rPr>
        <w:fldChar w:fldCharType="begin"/>
      </w:r>
      <w:r w:rsidR="009A485C" w:rsidRPr="00126DE5">
        <w:rPr>
          <w:rFonts w:cs="Arial"/>
          <w:b/>
          <w:color w:val="0070C0"/>
          <w:sz w:val="20"/>
        </w:rPr>
        <w:instrText xml:space="preserve"> STYLEREF 1 \s </w:instrText>
      </w:r>
      <w:r w:rsidR="00126F3D" w:rsidRPr="00126DE5">
        <w:rPr>
          <w:rFonts w:cs="Arial"/>
          <w:b/>
          <w:color w:val="0070C0"/>
          <w:sz w:val="20"/>
        </w:rPr>
        <w:fldChar w:fldCharType="separate"/>
      </w:r>
      <w:r w:rsidR="00126DE5" w:rsidRPr="00126DE5">
        <w:rPr>
          <w:rFonts w:cs="Arial"/>
          <w:b/>
          <w:noProof/>
          <w:color w:val="0070C0"/>
          <w:sz w:val="20"/>
        </w:rPr>
        <w:t>III</w:t>
      </w:r>
      <w:r w:rsidR="00126F3D" w:rsidRPr="00126DE5">
        <w:rPr>
          <w:rFonts w:cs="Arial"/>
          <w:b/>
          <w:color w:val="0070C0"/>
          <w:sz w:val="20"/>
        </w:rPr>
        <w:fldChar w:fldCharType="end"/>
      </w:r>
      <w:r w:rsidRPr="00311A64">
        <w:t>.</w:t>
      </w:r>
      <w:r w:rsidR="00126F3D" w:rsidRPr="00126DE5">
        <w:rPr>
          <w:rFonts w:cs="Arial"/>
          <w:b/>
          <w:color w:val="0070C0"/>
          <w:sz w:val="20"/>
        </w:rPr>
        <w:fldChar w:fldCharType="begin"/>
      </w:r>
      <w:r w:rsidR="009A485C" w:rsidRPr="00126DE5">
        <w:rPr>
          <w:rFonts w:cs="Arial"/>
          <w:b/>
          <w:color w:val="0070C0"/>
          <w:sz w:val="20"/>
        </w:rPr>
        <w:instrText xml:space="preserve"> SEQ Equation \* ARABIC \s 1 </w:instrText>
      </w:r>
      <w:r w:rsidR="00126F3D" w:rsidRPr="00126DE5">
        <w:rPr>
          <w:rFonts w:cs="Arial"/>
          <w:b/>
          <w:color w:val="0070C0"/>
          <w:sz w:val="20"/>
        </w:rPr>
        <w:fldChar w:fldCharType="separate"/>
      </w:r>
      <w:r w:rsidR="00126DE5" w:rsidRPr="00126DE5">
        <w:rPr>
          <w:rFonts w:cs="Arial"/>
          <w:b/>
          <w:noProof/>
          <w:color w:val="0070C0"/>
          <w:sz w:val="20"/>
        </w:rPr>
        <w:t>3</w:t>
      </w:r>
      <w:r w:rsidR="00126F3D" w:rsidRPr="00126DE5">
        <w:rPr>
          <w:rFonts w:cs="Arial"/>
          <w:b/>
          <w:color w:val="0070C0"/>
          <w:sz w:val="20"/>
        </w:rPr>
        <w:fldChar w:fldCharType="end"/>
      </w:r>
    </w:p>
    <w:p w:rsidR="000828A6" w:rsidRPr="00B53524" w:rsidRDefault="000828A6" w:rsidP="000828A6">
      <w:pPr>
        <w:pStyle w:val="CDMBTEXT"/>
      </w:pPr>
      <w:r w:rsidRPr="00311A64">
        <w:t>Where:</w:t>
      </w:r>
    </w:p>
    <w:p w:rsidR="000828A6" w:rsidRPr="00B53524" w:rsidRDefault="000828A6" w:rsidP="00A52883">
      <w:pPr>
        <w:pStyle w:val="CDMBTEXT"/>
        <w:ind w:left="720"/>
        <w:contextualSpacing/>
      </w:pPr>
      <w:r w:rsidRPr="00311A64">
        <w:rPr>
          <w:i/>
        </w:rPr>
        <w:t xml:space="preserve">Q </w:t>
      </w:r>
      <w:r w:rsidRPr="00311A64">
        <w:t>= design flowrate, cfs</w:t>
      </w:r>
    </w:p>
    <w:p w:rsidR="000828A6" w:rsidRPr="00B53524" w:rsidRDefault="000828A6" w:rsidP="00A52883">
      <w:pPr>
        <w:pStyle w:val="CDMBTEXT"/>
        <w:ind w:left="720"/>
        <w:contextualSpacing/>
      </w:pPr>
      <w:r w:rsidRPr="00311A64">
        <w:rPr>
          <w:i/>
        </w:rPr>
        <w:t>C</w:t>
      </w:r>
      <w:r w:rsidRPr="00311A64">
        <w:t xml:space="preserve"> = runoff coefficient </w:t>
      </w:r>
      <w:r w:rsidRPr="00311A64">
        <w:rPr>
          <w:i/>
        </w:rPr>
        <w:t>= (0.75 × imp + 0.15)</w:t>
      </w:r>
    </w:p>
    <w:p w:rsidR="000828A6" w:rsidRPr="00B53524" w:rsidRDefault="000828A6" w:rsidP="00A52883">
      <w:pPr>
        <w:pStyle w:val="CDMBTEXT"/>
        <w:ind w:left="1440"/>
        <w:contextualSpacing/>
      </w:pPr>
      <w:proofErr w:type="gramStart"/>
      <w:r w:rsidRPr="00311A64">
        <w:rPr>
          <w:i/>
        </w:rPr>
        <w:t>imp</w:t>
      </w:r>
      <w:proofErr w:type="gramEnd"/>
      <w:r w:rsidRPr="00311A64">
        <w:t xml:space="preserve"> = impervious fraction of drainage area (ranges from 0 to 1)</w:t>
      </w:r>
    </w:p>
    <w:p w:rsidR="000828A6" w:rsidRPr="00B53524" w:rsidRDefault="000828A6" w:rsidP="00A52883">
      <w:pPr>
        <w:pStyle w:val="CDMBTEXT"/>
        <w:ind w:left="720"/>
        <w:contextualSpacing/>
      </w:pPr>
      <w:proofErr w:type="spellStart"/>
      <w:r w:rsidRPr="00311A64">
        <w:rPr>
          <w:i/>
        </w:rPr>
        <w:t>i</w:t>
      </w:r>
      <w:proofErr w:type="spellEnd"/>
      <w:r w:rsidRPr="00311A64">
        <w:t xml:space="preserve"> = design intensity (inches)</w:t>
      </w:r>
    </w:p>
    <w:p w:rsidR="00FE704C" w:rsidRDefault="000828A6" w:rsidP="00A52883">
      <w:pPr>
        <w:pStyle w:val="CDMBTEXT"/>
        <w:ind w:left="720"/>
        <w:contextualSpacing/>
      </w:pPr>
      <w:r w:rsidRPr="00311A64">
        <w:rPr>
          <w:i/>
        </w:rPr>
        <w:t>A</w:t>
      </w:r>
      <w:r w:rsidRPr="00311A64">
        <w:t xml:space="preserve"> = tributary area (acres)</w:t>
      </w:r>
    </w:p>
    <w:p w:rsidR="00A52883" w:rsidRDefault="00A52883" w:rsidP="00A52883">
      <w:pPr>
        <w:pStyle w:val="CDMBTEXT"/>
        <w:ind w:left="720"/>
        <w:contextualSpacing/>
      </w:pPr>
    </w:p>
    <w:p w:rsidR="004D379D" w:rsidRPr="00B53524" w:rsidRDefault="004D379D" w:rsidP="004D379D">
      <w:pPr>
        <w:pStyle w:val="CDMBTEXT"/>
        <w:spacing w:after="120"/>
      </w:pPr>
      <w:r>
        <w:t xml:space="preserve">Note: the tributary area includes the portions of the drainage area within the project and any run-on from off-site areas that comingles with project runoff. </w:t>
      </w:r>
    </w:p>
    <w:p w:rsidR="0013104B" w:rsidRDefault="0013104B" w:rsidP="00A52883">
      <w:pPr>
        <w:pStyle w:val="Heading3"/>
      </w:pPr>
      <w:bookmarkStart w:id="121" w:name="_Ref285114460"/>
      <w:bookmarkStart w:id="122" w:name="_Ref285388301"/>
      <w:r w:rsidRPr="00E5705C">
        <w:t>Sizing and Accounting for Hydrologic Source Controls</w:t>
      </w:r>
      <w:bookmarkEnd w:id="121"/>
      <w:r w:rsidR="000567D7" w:rsidRPr="00E5705C">
        <w:t xml:space="preserve"> (HSCs</w:t>
      </w:r>
      <w:r w:rsidR="000567D7">
        <w:t>)</w:t>
      </w:r>
      <w:bookmarkEnd w:id="122"/>
    </w:p>
    <w:p w:rsidR="000567D7" w:rsidRDefault="00AE5495" w:rsidP="00FE3A73">
      <w:pPr>
        <w:pStyle w:val="ReportBodyText"/>
        <w:spacing w:before="240" w:after="240" w:line="280" w:lineRule="exact"/>
      </w:pPr>
      <w:r w:rsidRPr="00311A64">
        <w:t xml:space="preserve">The effects of HSCs are accounted for in hydrologic calculations as an adjustment to the storm depth used in the calculations described above. </w:t>
      </w:r>
      <w:r w:rsidR="000567D7" w:rsidRPr="00311A64">
        <w:t>Adjustments</w:t>
      </w:r>
      <w:r w:rsidR="000567D7">
        <w:t xml:space="preserve"> to design storm depth</w:t>
      </w:r>
      <w:r w:rsidR="000567D7" w:rsidRPr="00311A64">
        <w:t xml:space="preserve"> are based on the type and magnitude of HSCs employed for the drainage area</w:t>
      </w:r>
      <w:r w:rsidR="000567D7">
        <w:t>.  This section provides guidance for both elements of this calculation.</w:t>
      </w:r>
    </w:p>
    <w:p w:rsidR="009D1F44" w:rsidRDefault="009D1F44" w:rsidP="00EA1EA6">
      <w:pPr>
        <w:pStyle w:val="Heading4"/>
      </w:pPr>
      <w:bookmarkStart w:id="123" w:name="_Ref285399216"/>
      <w:r>
        <w:t>Calculating the Effective Storage Depth of HSCs</w:t>
      </w:r>
      <w:bookmarkEnd w:id="123"/>
    </w:p>
    <w:p w:rsidR="000D43C8" w:rsidRPr="00B53524" w:rsidRDefault="00126F3D" w:rsidP="000D43C8">
      <w:pPr>
        <w:pStyle w:val="CDMBTEXT"/>
      </w:pPr>
      <w:hyperlink w:anchor="_Hydrologic_Source_Control" w:history="1">
        <w:r w:rsidR="000D43C8" w:rsidRPr="00126DE5">
          <w:rPr>
            <w:rStyle w:val="Hyperlink"/>
            <w:b/>
            <w:color w:val="0070C0"/>
            <w:sz w:val="20"/>
          </w:rPr>
          <w:t>BMP Fact Sheets for HSCs</w:t>
        </w:r>
      </w:hyperlink>
      <w:r w:rsidR="000D43C8">
        <w:t xml:space="preserve"> include HSC-specific</w:t>
      </w:r>
      <w:r w:rsidR="000D43C8" w:rsidRPr="00311A64">
        <w:t xml:space="preserve"> criteria for quantifying storm depth retained. There may be more than one HSC in a single drainage area, and the effect of the suite of HSCs over a drainage area should be combined and area weighted as follows.</w:t>
      </w:r>
    </w:p>
    <w:p w:rsidR="000D43C8" w:rsidRPr="00B53524" w:rsidRDefault="000D43C8" w:rsidP="000D43C8">
      <w:pPr>
        <w:pStyle w:val="CDMBTEXT"/>
        <w:ind w:firstLine="720"/>
      </w:pPr>
      <w:proofErr w:type="gramStart"/>
      <w:r w:rsidRPr="00311A64">
        <w:t>d</w:t>
      </w:r>
      <w:r w:rsidRPr="00311A64">
        <w:rPr>
          <w:vertAlign w:val="subscript"/>
        </w:rPr>
        <w:t>HSC</w:t>
      </w:r>
      <w:proofErr w:type="gramEnd"/>
      <w:r w:rsidRPr="00311A64">
        <w:rPr>
          <w:vertAlign w:val="subscript"/>
        </w:rPr>
        <w:t xml:space="preserve"> total</w:t>
      </w:r>
      <w:r w:rsidRPr="00311A64">
        <w:t xml:space="preserve"> = ∑d</w:t>
      </w:r>
      <w:r w:rsidRPr="00311A64">
        <w:rPr>
          <w:vertAlign w:val="subscript"/>
        </w:rPr>
        <w:t>HSCi</w:t>
      </w:r>
      <w:r w:rsidRPr="00311A64">
        <w:t xml:space="preserve"> X IA</w:t>
      </w:r>
      <w:r w:rsidRPr="00311A64">
        <w:rPr>
          <w:vertAlign w:val="subscript"/>
        </w:rPr>
        <w:t>i</w:t>
      </w:r>
      <w:r w:rsidRPr="00311A64">
        <w:t xml:space="preserve"> / IA</w:t>
      </w:r>
      <w:r w:rsidRPr="00311A64">
        <w:rPr>
          <w:vertAlign w:val="subscript"/>
        </w:rPr>
        <w:t>total</w:t>
      </w:r>
      <w:r w:rsidRPr="00311A64">
        <w:rPr>
          <w:vertAlign w:val="subscript"/>
        </w:rPr>
        <w:tab/>
      </w:r>
      <w:r w:rsidRPr="00311A64">
        <w:rPr>
          <w:vertAlign w:val="subscript"/>
        </w:rPr>
        <w:tab/>
      </w:r>
      <w:r w:rsidRPr="00311A64">
        <w:tab/>
      </w:r>
      <w:r w:rsidRPr="00311A64">
        <w:tab/>
      </w:r>
      <w:r w:rsidRPr="00311A64">
        <w:tab/>
      </w:r>
      <w:r w:rsidRPr="00311A64">
        <w:tab/>
      </w:r>
      <w:r w:rsidRPr="00B53524">
        <w:rPr>
          <w:rStyle w:val="CDMBTEXTChar"/>
          <w:rFonts w:eastAsiaTheme="minorEastAsia"/>
        </w:rPr>
        <w:t xml:space="preserve">Equation </w:t>
      </w:r>
      <w:r w:rsidR="00126F3D" w:rsidRPr="00126DE5">
        <w:rPr>
          <w:rStyle w:val="CDMBTEXTChar"/>
          <w:rFonts w:eastAsiaTheme="minorEastAsia" w:cs="Arial"/>
          <w:b/>
          <w:color w:val="0070C0"/>
          <w:sz w:val="20"/>
        </w:rPr>
        <w:fldChar w:fldCharType="begin"/>
      </w:r>
      <w:r w:rsidRPr="00126DE5">
        <w:rPr>
          <w:rStyle w:val="CDMBTEXTChar"/>
          <w:rFonts w:eastAsiaTheme="minorEastAsia" w:cs="Arial"/>
          <w:b/>
          <w:color w:val="0070C0"/>
          <w:sz w:val="20"/>
        </w:rPr>
        <w:instrText xml:space="preserve"> STYLEREF 1 \s </w:instrText>
      </w:r>
      <w:r w:rsidR="00126F3D" w:rsidRPr="00126DE5">
        <w:rPr>
          <w:rStyle w:val="CDMBTEXTChar"/>
          <w:rFonts w:eastAsiaTheme="minorEastAsia" w:cs="Arial"/>
          <w:b/>
          <w:color w:val="0070C0"/>
          <w:sz w:val="20"/>
        </w:rPr>
        <w:fldChar w:fldCharType="separate"/>
      </w:r>
      <w:r w:rsidR="00126DE5" w:rsidRPr="00126DE5">
        <w:rPr>
          <w:rStyle w:val="CDMBTEXTChar"/>
          <w:rFonts w:eastAsiaTheme="minorEastAsia" w:cs="Arial"/>
          <w:b/>
          <w:noProof/>
          <w:color w:val="0070C0"/>
          <w:sz w:val="20"/>
        </w:rPr>
        <w:t>III</w:t>
      </w:r>
      <w:r w:rsidR="00126F3D" w:rsidRPr="00126DE5">
        <w:rPr>
          <w:rStyle w:val="CDMBTEXTChar"/>
          <w:rFonts w:eastAsiaTheme="minorEastAsia" w:cs="Arial"/>
          <w:b/>
          <w:color w:val="0070C0"/>
          <w:sz w:val="20"/>
        </w:rPr>
        <w:fldChar w:fldCharType="end"/>
      </w:r>
      <w:r w:rsidRPr="00B53524">
        <w:rPr>
          <w:rStyle w:val="CDMBTEXTChar"/>
          <w:rFonts w:eastAsiaTheme="minorEastAsia"/>
        </w:rPr>
        <w:t>.</w:t>
      </w:r>
      <w:r w:rsidR="00126F3D" w:rsidRPr="00126DE5">
        <w:rPr>
          <w:rStyle w:val="CDMBTEXTChar"/>
          <w:rFonts w:eastAsiaTheme="minorEastAsia" w:cs="Arial"/>
          <w:b/>
          <w:color w:val="0070C0"/>
          <w:sz w:val="20"/>
        </w:rPr>
        <w:fldChar w:fldCharType="begin"/>
      </w:r>
      <w:r w:rsidRPr="00126DE5">
        <w:rPr>
          <w:rStyle w:val="CDMBTEXTChar"/>
          <w:rFonts w:eastAsiaTheme="minorEastAsia" w:cs="Arial"/>
          <w:b/>
          <w:color w:val="0070C0"/>
          <w:sz w:val="20"/>
        </w:rPr>
        <w:instrText xml:space="preserve"> SEQ Equation \* ARABIC \s 1 </w:instrText>
      </w:r>
      <w:r w:rsidR="00126F3D" w:rsidRPr="00126DE5">
        <w:rPr>
          <w:rStyle w:val="CDMBTEXTChar"/>
          <w:rFonts w:eastAsiaTheme="minorEastAsia" w:cs="Arial"/>
          <w:b/>
          <w:color w:val="0070C0"/>
          <w:sz w:val="20"/>
        </w:rPr>
        <w:fldChar w:fldCharType="separate"/>
      </w:r>
      <w:r w:rsidR="00126DE5" w:rsidRPr="00126DE5">
        <w:rPr>
          <w:rStyle w:val="CDMBTEXTChar"/>
          <w:rFonts w:eastAsiaTheme="minorEastAsia" w:cs="Arial"/>
          <w:b/>
          <w:noProof/>
          <w:color w:val="0070C0"/>
          <w:sz w:val="20"/>
        </w:rPr>
        <w:t>4</w:t>
      </w:r>
      <w:r w:rsidR="00126F3D" w:rsidRPr="00126DE5">
        <w:rPr>
          <w:rStyle w:val="CDMBTEXTChar"/>
          <w:rFonts w:eastAsiaTheme="minorEastAsia" w:cs="Arial"/>
          <w:b/>
          <w:color w:val="0070C0"/>
          <w:sz w:val="20"/>
        </w:rPr>
        <w:fldChar w:fldCharType="end"/>
      </w:r>
    </w:p>
    <w:p w:rsidR="000D43C8" w:rsidRPr="00B53524" w:rsidRDefault="000D43C8" w:rsidP="000D43C8">
      <w:pPr>
        <w:pStyle w:val="CDMBTEXT"/>
        <w:spacing w:after="120" w:line="240" w:lineRule="auto"/>
      </w:pPr>
      <w:r w:rsidRPr="00B53524">
        <w:t>Where:</w:t>
      </w:r>
    </w:p>
    <w:p w:rsidR="000D43C8" w:rsidRPr="00B53524" w:rsidRDefault="000D43C8" w:rsidP="0027571A">
      <w:pPr>
        <w:pStyle w:val="CDMBTEXT"/>
        <w:spacing w:after="0" w:line="240" w:lineRule="auto"/>
        <w:ind w:left="720"/>
      </w:pPr>
      <w:proofErr w:type="gramStart"/>
      <w:r w:rsidRPr="00B53524">
        <w:t>d</w:t>
      </w:r>
      <w:r w:rsidRPr="00B53524">
        <w:rPr>
          <w:vertAlign w:val="subscript"/>
        </w:rPr>
        <w:t>HSC</w:t>
      </w:r>
      <w:proofErr w:type="gramEnd"/>
      <w:r w:rsidRPr="00B53524">
        <w:rPr>
          <w:vertAlign w:val="subscript"/>
        </w:rPr>
        <w:t xml:space="preserve"> total </w:t>
      </w:r>
      <w:r w:rsidRPr="00B53524">
        <w:t>= combined effect of HSCs in drainage area, inches</w:t>
      </w:r>
    </w:p>
    <w:p w:rsidR="000D43C8" w:rsidRPr="00B53524" w:rsidRDefault="000D43C8" w:rsidP="0027571A">
      <w:pPr>
        <w:pStyle w:val="CDMBTEXT"/>
        <w:spacing w:after="0" w:line="240" w:lineRule="auto"/>
        <w:ind w:left="720"/>
      </w:pPr>
      <w:proofErr w:type="gramStart"/>
      <w:r w:rsidRPr="00B53524">
        <w:t>d</w:t>
      </w:r>
      <w:r w:rsidRPr="00B53524">
        <w:rPr>
          <w:vertAlign w:val="subscript"/>
        </w:rPr>
        <w:t>HSCi</w:t>
      </w:r>
      <w:proofErr w:type="gramEnd"/>
      <w:r w:rsidRPr="00B53524">
        <w:t xml:space="preserve"> =</w:t>
      </w:r>
      <w:r w:rsidRPr="00B53524">
        <w:rPr>
          <w:vertAlign w:val="subscript"/>
        </w:rPr>
        <w:t xml:space="preserve"> </w:t>
      </w:r>
      <w:r w:rsidRPr="00B53524">
        <w:t>effect</w:t>
      </w:r>
      <w:r w:rsidRPr="00B53524">
        <w:rPr>
          <w:vertAlign w:val="subscript"/>
        </w:rPr>
        <w:t xml:space="preserve"> </w:t>
      </w:r>
      <w:r w:rsidRPr="00B53524">
        <w:t>of individual HSC</w:t>
      </w:r>
      <w:r w:rsidRPr="00B53524">
        <w:rPr>
          <w:vertAlign w:val="subscript"/>
        </w:rPr>
        <w:t>i</w:t>
      </w:r>
      <w:r w:rsidRPr="00B53524">
        <w:t xml:space="preserve"> per criteria in </w:t>
      </w:r>
      <w:r w:rsidR="002D3A19" w:rsidRPr="002E1936">
        <w:t>BMP Fact Sheets (</w:t>
      </w:r>
      <w:r w:rsidR="002E1936" w:rsidRPr="002E1936">
        <w:t xml:space="preserve">Section </w:t>
      </w:r>
      <w:fldSimple w:instr=" REF _Ref287698664 \r \h  \* MERGEFORMAT ">
        <w:r w:rsidR="00126DE5" w:rsidRPr="00126DE5">
          <w:rPr>
            <w:b/>
            <w:color w:val="0070C0"/>
            <w:sz w:val="20"/>
          </w:rPr>
          <w:t>XIV.1</w:t>
        </w:r>
      </w:fldSimple>
      <w:r w:rsidR="002D3A19" w:rsidRPr="002E1936">
        <w:t>)</w:t>
      </w:r>
      <w:r w:rsidRPr="002E1936">
        <w:t>,</w:t>
      </w:r>
      <w:r w:rsidRPr="00B53524">
        <w:t xml:space="preserve"> inches</w:t>
      </w:r>
    </w:p>
    <w:p w:rsidR="000D43C8" w:rsidRPr="00B53524" w:rsidRDefault="000D43C8" w:rsidP="0027571A">
      <w:pPr>
        <w:pStyle w:val="CDMBTEXT"/>
        <w:spacing w:after="0" w:line="240" w:lineRule="auto"/>
        <w:ind w:left="720"/>
      </w:pPr>
      <w:r w:rsidRPr="00B53524">
        <w:t>IA</w:t>
      </w:r>
      <w:r w:rsidRPr="00B53524">
        <w:rPr>
          <w:vertAlign w:val="subscript"/>
        </w:rPr>
        <w:t xml:space="preserve">i </w:t>
      </w:r>
      <w:r w:rsidRPr="00B53524">
        <w:t>= impervious area tributary to individual HSC</w:t>
      </w:r>
      <w:r w:rsidRPr="00B53524">
        <w:rPr>
          <w:vertAlign w:val="subscript"/>
        </w:rPr>
        <w:t>i</w:t>
      </w:r>
      <w:r w:rsidRPr="00B53524">
        <w:t xml:space="preserve"> (for street trees this is the impervious area beneath a fully established perennial canopy); areas cannot be counted twice if more than one HSC captures runoff from the same impervious area (e.g., street trees covering a roof top that is disconnected).</w:t>
      </w:r>
    </w:p>
    <w:p w:rsidR="000D43C8" w:rsidRDefault="000D43C8" w:rsidP="0027571A">
      <w:pPr>
        <w:pStyle w:val="CDMBTEXT"/>
        <w:spacing w:after="0" w:line="240" w:lineRule="auto"/>
        <w:ind w:left="720"/>
      </w:pPr>
      <w:r w:rsidRPr="00B53524">
        <w:t>IA</w:t>
      </w:r>
      <w:r w:rsidRPr="00B53524">
        <w:rPr>
          <w:vertAlign w:val="subscript"/>
        </w:rPr>
        <w:t xml:space="preserve">total </w:t>
      </w:r>
      <w:r w:rsidRPr="00B53524">
        <w:t>= total impervious area in drainage area</w:t>
      </w:r>
    </w:p>
    <w:p w:rsidR="0027571A" w:rsidRPr="00B53524" w:rsidRDefault="0027571A" w:rsidP="0027571A">
      <w:pPr>
        <w:pStyle w:val="CDMBTEXT"/>
        <w:spacing w:after="0" w:line="240" w:lineRule="auto"/>
        <w:ind w:left="720"/>
      </w:pPr>
    </w:p>
    <w:p w:rsidR="000D43C8" w:rsidRPr="00B53524" w:rsidRDefault="00126F3D" w:rsidP="000D43C8">
      <w:pPr>
        <w:pStyle w:val="CDMBTEXT"/>
      </w:pPr>
      <w:fldSimple w:instr=" REF _Ref285114221 \h  \* MERGEFORMAT ">
        <w:r w:rsidR="00126DE5" w:rsidRPr="00126DE5">
          <w:rPr>
            <w:rFonts w:cs="Arial"/>
            <w:b/>
            <w:color w:val="0070C0"/>
            <w:sz w:val="20"/>
          </w:rPr>
          <w:t xml:space="preserve">Example </w:t>
        </w:r>
        <w:r w:rsidR="00126DE5" w:rsidRPr="00126DE5">
          <w:rPr>
            <w:rFonts w:cs="Arial"/>
            <w:b/>
            <w:noProof/>
            <w:color w:val="0070C0"/>
            <w:sz w:val="20"/>
          </w:rPr>
          <w:t>III</w:t>
        </w:r>
        <w:r w:rsidR="00126DE5" w:rsidRPr="00126DE5">
          <w:rPr>
            <w:rFonts w:cs="Arial"/>
            <w:b/>
            <w:color w:val="0070C0"/>
            <w:sz w:val="20"/>
          </w:rPr>
          <w:t>.1</w:t>
        </w:r>
      </w:fldSimple>
      <w:r w:rsidR="00851327">
        <w:rPr>
          <w:b/>
          <w:color w:val="0070C0"/>
        </w:rPr>
        <w:t xml:space="preserve"> </w:t>
      </w:r>
      <w:r w:rsidR="000D43C8" w:rsidRPr="00311A64">
        <w:t xml:space="preserve">provides a template for calculation of the combined effective of HSCs in the drainage area (expressed in inches reduction of the design capture storm depth). </w:t>
      </w:r>
    </w:p>
    <w:tbl>
      <w:tblPr>
        <w:tblW w:w="91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96"/>
        <w:gridCol w:w="2862"/>
        <w:gridCol w:w="1560"/>
        <w:gridCol w:w="1698"/>
        <w:gridCol w:w="1756"/>
      </w:tblGrid>
      <w:tr w:rsidR="000D43C8" w:rsidRPr="00B53524" w:rsidTr="0027571A">
        <w:trPr>
          <w:tblHeader/>
        </w:trPr>
        <w:tc>
          <w:tcPr>
            <w:tcW w:w="9172" w:type="dxa"/>
            <w:gridSpan w:val="5"/>
            <w:tcBorders>
              <w:top w:val="nil"/>
              <w:left w:val="nil"/>
              <w:bottom w:val="single" w:sz="4" w:space="0" w:color="auto"/>
              <w:right w:val="nil"/>
            </w:tcBorders>
            <w:shd w:val="clear" w:color="auto" w:fill="auto"/>
          </w:tcPr>
          <w:p w:rsidR="000D43C8" w:rsidRPr="00524D76" w:rsidRDefault="00851327" w:rsidP="00647B99">
            <w:pPr>
              <w:pStyle w:val="Caption"/>
              <w:rPr>
                <w:rStyle w:val="TableHeadingChar"/>
                <w:rFonts w:ascii="Book Antiqua" w:eastAsiaTheme="minorEastAsia" w:hAnsi="Book Antiqua" w:cstheme="minorBidi"/>
                <w:b/>
                <w:sz w:val="22"/>
              </w:rPr>
            </w:pPr>
            <w:bookmarkStart w:id="124" w:name="_Ref285466117"/>
            <w:bookmarkStart w:id="125" w:name="_Toc260944513"/>
            <w:bookmarkStart w:id="126" w:name="_Toc262408810"/>
            <w:bookmarkStart w:id="127" w:name="_Toc288554442"/>
            <w:r w:rsidRPr="00524D76">
              <w:t xml:space="preserve">Example </w:t>
            </w:r>
            <w:fldSimple w:instr=" STYLEREF 1 \s ">
              <w:r w:rsidR="00126DE5" w:rsidRPr="00524D76">
                <w:rPr>
                  <w:noProof/>
                </w:rPr>
                <w:t>III</w:t>
              </w:r>
            </w:fldSimple>
            <w:r w:rsidR="002E1936" w:rsidRPr="00524D76">
              <w:t>.</w:t>
            </w:r>
            <w:fldSimple w:instr=" SEQ Example \* ARABIC \s 1 ">
              <w:r w:rsidR="00126DE5" w:rsidRPr="00524D76">
                <w:rPr>
                  <w:noProof/>
                </w:rPr>
                <w:t>3</w:t>
              </w:r>
            </w:fldSimple>
            <w:bookmarkEnd w:id="124"/>
            <w:r w:rsidR="000D43C8" w:rsidRPr="00524D76">
              <w:rPr>
                <w:rStyle w:val="TableHeadingChar"/>
                <w:rFonts w:ascii="Book Antiqua" w:eastAsiaTheme="minorEastAsia" w:hAnsi="Book Antiqua" w:cstheme="minorBidi"/>
                <w:b/>
                <w:sz w:val="22"/>
              </w:rPr>
              <w:t xml:space="preserve">: </w:t>
            </w:r>
            <w:r w:rsidR="000D43C8" w:rsidRPr="00524D76">
              <w:t>Hydrologic Source Control Calculation</w:t>
            </w:r>
            <w:r w:rsidR="0027571A" w:rsidRPr="00524D76">
              <w:t xml:space="preserve"> </w:t>
            </w:r>
            <w:r w:rsidRPr="00524D76">
              <w:t>Form</w:t>
            </w:r>
            <w:r w:rsidR="000D43C8" w:rsidRPr="00524D76">
              <w:t xml:space="preserve"> </w:t>
            </w:r>
            <w:r w:rsidRPr="00524D76">
              <w:t>(</w:t>
            </w:r>
            <w:bookmarkEnd w:id="125"/>
            <w:bookmarkEnd w:id="126"/>
            <w:r w:rsidR="00126F3D" w:rsidRPr="00524D76">
              <w:fldChar w:fldCharType="begin"/>
            </w:r>
            <w:r w:rsidRPr="00524D76">
              <w:instrText xml:space="preserve"> REF _Ref285398327 \h </w:instrText>
            </w:r>
            <w:r w:rsidR="0027571A" w:rsidRPr="00524D76">
              <w:instrText xml:space="preserve"> \* MERGEFORMAT </w:instrText>
            </w:r>
            <w:r w:rsidR="00126F3D" w:rsidRPr="00524D76">
              <w:fldChar w:fldCharType="separate"/>
            </w:r>
            <w:r w:rsidR="00126DE5" w:rsidRPr="00524D76">
              <w:t>Worksheet A</w:t>
            </w:r>
            <w:r w:rsidR="00126F3D" w:rsidRPr="00524D76">
              <w:fldChar w:fldCharType="end"/>
            </w:r>
            <w:r w:rsidRPr="00524D76">
              <w:t>)</w:t>
            </w:r>
            <w:bookmarkEnd w:id="127"/>
            <w:r w:rsidRPr="00524D76">
              <w:t xml:space="preserve"> </w:t>
            </w:r>
          </w:p>
        </w:tc>
      </w:tr>
      <w:tr w:rsidR="000D43C8" w:rsidRPr="00B53524" w:rsidTr="00201664">
        <w:trPr>
          <w:trHeight w:val="287"/>
          <w:tblHeader/>
        </w:trPr>
        <w:tc>
          <w:tcPr>
            <w:tcW w:w="1296" w:type="dxa"/>
            <w:tcBorders>
              <w:bottom w:val="nil"/>
              <w:right w:val="nil"/>
            </w:tcBorders>
            <w:vAlign w:val="bottom"/>
          </w:tcPr>
          <w:p w:rsidR="000D43C8" w:rsidRPr="00B53524" w:rsidRDefault="000D43C8" w:rsidP="00B31025">
            <w:pPr>
              <w:keepNext/>
              <w:spacing w:after="0"/>
              <w:jc w:val="center"/>
              <w:rPr>
                <w:rFonts w:ascii="Arial" w:hAnsi="Arial" w:cs="Arial"/>
                <w:color w:val="000000"/>
                <w:sz w:val="18"/>
              </w:rPr>
            </w:pPr>
          </w:p>
        </w:tc>
        <w:tc>
          <w:tcPr>
            <w:tcW w:w="2862" w:type="dxa"/>
            <w:tcBorders>
              <w:left w:val="nil"/>
              <w:bottom w:val="nil"/>
              <w:right w:val="nil"/>
            </w:tcBorders>
            <w:vAlign w:val="bottom"/>
          </w:tcPr>
          <w:p w:rsidR="000D43C8" w:rsidRPr="00B53524" w:rsidRDefault="002D3A19" w:rsidP="00B31025">
            <w:pPr>
              <w:keepNext/>
              <w:spacing w:after="0"/>
              <w:jc w:val="right"/>
              <w:rPr>
                <w:rFonts w:ascii="Arial" w:hAnsi="Arial" w:cs="Arial"/>
                <w:color w:val="000000"/>
                <w:sz w:val="18"/>
              </w:rPr>
            </w:pPr>
            <w:r>
              <w:rPr>
                <w:rFonts w:ascii="Arial" w:hAnsi="Arial" w:cs="Arial"/>
                <w:color w:val="000000"/>
                <w:sz w:val="18"/>
              </w:rPr>
              <w:t>D</w:t>
            </w:r>
            <w:r w:rsidR="000D43C8" w:rsidRPr="00311A64">
              <w:rPr>
                <w:rFonts w:ascii="Arial" w:hAnsi="Arial" w:cs="Arial"/>
                <w:color w:val="000000"/>
                <w:sz w:val="18"/>
              </w:rPr>
              <w:t>rainage area ID</w:t>
            </w:r>
          </w:p>
        </w:tc>
        <w:tc>
          <w:tcPr>
            <w:tcW w:w="1560" w:type="dxa"/>
            <w:tcBorders>
              <w:left w:val="nil"/>
              <w:bottom w:val="single" w:sz="4" w:space="0" w:color="auto"/>
              <w:right w:val="nil"/>
            </w:tcBorders>
            <w:vAlign w:val="bottom"/>
          </w:tcPr>
          <w:p w:rsidR="000D43C8" w:rsidRPr="00B53524" w:rsidRDefault="000D43C8" w:rsidP="00B31025">
            <w:pPr>
              <w:keepNext/>
              <w:spacing w:after="0"/>
              <w:jc w:val="center"/>
              <w:rPr>
                <w:rFonts w:ascii="Arial" w:hAnsi="Arial" w:cs="Arial"/>
                <w:color w:val="00B0F0"/>
                <w:sz w:val="20"/>
              </w:rPr>
            </w:pPr>
            <w:r w:rsidRPr="00311A64">
              <w:rPr>
                <w:rFonts w:ascii="Arial" w:hAnsi="Arial" w:cs="Arial"/>
                <w:color w:val="00B0F0"/>
                <w:sz w:val="20"/>
              </w:rPr>
              <w:t>A</w:t>
            </w:r>
          </w:p>
        </w:tc>
        <w:tc>
          <w:tcPr>
            <w:tcW w:w="1698" w:type="dxa"/>
            <w:tcBorders>
              <w:left w:val="nil"/>
              <w:bottom w:val="nil"/>
              <w:right w:val="nil"/>
            </w:tcBorders>
            <w:vAlign w:val="bottom"/>
          </w:tcPr>
          <w:p w:rsidR="000D43C8" w:rsidRPr="00B53524" w:rsidRDefault="000D43C8" w:rsidP="00B31025">
            <w:pPr>
              <w:keepNext/>
              <w:spacing w:after="0"/>
              <w:jc w:val="center"/>
              <w:rPr>
                <w:rFonts w:ascii="Arial" w:hAnsi="Arial" w:cs="Arial"/>
                <w:color w:val="000000"/>
                <w:sz w:val="18"/>
              </w:rPr>
            </w:pPr>
          </w:p>
        </w:tc>
        <w:tc>
          <w:tcPr>
            <w:tcW w:w="1756" w:type="dxa"/>
            <w:tcBorders>
              <w:left w:val="nil"/>
              <w:bottom w:val="nil"/>
            </w:tcBorders>
            <w:vAlign w:val="bottom"/>
          </w:tcPr>
          <w:p w:rsidR="000D43C8" w:rsidRPr="00B53524" w:rsidRDefault="000D43C8" w:rsidP="00B31025">
            <w:pPr>
              <w:keepNext/>
              <w:spacing w:after="0"/>
              <w:jc w:val="center"/>
              <w:rPr>
                <w:rFonts w:ascii="Arial" w:hAnsi="Arial" w:cs="Arial"/>
                <w:i/>
                <w:color w:val="000000"/>
                <w:sz w:val="18"/>
              </w:rPr>
            </w:pPr>
          </w:p>
        </w:tc>
      </w:tr>
      <w:tr w:rsidR="000D43C8" w:rsidRPr="00B53524" w:rsidTr="00201664">
        <w:trPr>
          <w:trHeight w:val="360"/>
          <w:tblHeader/>
        </w:trPr>
        <w:tc>
          <w:tcPr>
            <w:tcW w:w="1296" w:type="dxa"/>
            <w:tcBorders>
              <w:top w:val="nil"/>
              <w:bottom w:val="nil"/>
              <w:right w:val="nil"/>
            </w:tcBorders>
            <w:vAlign w:val="bottom"/>
          </w:tcPr>
          <w:p w:rsidR="000D43C8" w:rsidRPr="00B53524" w:rsidRDefault="000D43C8" w:rsidP="00B31025">
            <w:pPr>
              <w:keepNext/>
              <w:spacing w:after="0"/>
              <w:jc w:val="center"/>
              <w:rPr>
                <w:rFonts w:ascii="Arial" w:hAnsi="Arial" w:cs="Arial"/>
                <w:color w:val="000000"/>
                <w:sz w:val="18"/>
              </w:rPr>
            </w:pPr>
          </w:p>
        </w:tc>
        <w:tc>
          <w:tcPr>
            <w:tcW w:w="2862" w:type="dxa"/>
            <w:tcBorders>
              <w:top w:val="nil"/>
              <w:left w:val="nil"/>
              <w:bottom w:val="nil"/>
              <w:right w:val="nil"/>
            </w:tcBorders>
            <w:vAlign w:val="bottom"/>
          </w:tcPr>
          <w:p w:rsidR="000D43C8" w:rsidRPr="00B53524" w:rsidRDefault="000D43C8" w:rsidP="00B31025">
            <w:pPr>
              <w:keepNext/>
              <w:spacing w:after="0"/>
              <w:jc w:val="right"/>
              <w:rPr>
                <w:rFonts w:ascii="Arial" w:hAnsi="Arial" w:cs="Arial"/>
                <w:color w:val="000000"/>
                <w:sz w:val="18"/>
              </w:rPr>
            </w:pPr>
            <w:r w:rsidRPr="00311A64">
              <w:rPr>
                <w:rFonts w:ascii="Arial" w:hAnsi="Arial" w:cs="Arial"/>
                <w:color w:val="000000"/>
                <w:sz w:val="18"/>
              </w:rPr>
              <w:t>Total drainage area</w:t>
            </w:r>
          </w:p>
        </w:tc>
        <w:tc>
          <w:tcPr>
            <w:tcW w:w="1560" w:type="dxa"/>
            <w:tcBorders>
              <w:top w:val="single" w:sz="4" w:space="0" w:color="auto"/>
              <w:left w:val="nil"/>
              <w:bottom w:val="single" w:sz="4" w:space="0" w:color="auto"/>
              <w:right w:val="nil"/>
            </w:tcBorders>
            <w:vAlign w:val="bottom"/>
          </w:tcPr>
          <w:p w:rsidR="000D43C8" w:rsidRPr="00B53524" w:rsidRDefault="000D43C8" w:rsidP="00B31025">
            <w:pPr>
              <w:keepNext/>
              <w:spacing w:after="0"/>
              <w:jc w:val="center"/>
              <w:rPr>
                <w:rFonts w:ascii="Arial" w:hAnsi="Arial" w:cs="Arial"/>
                <w:color w:val="00B0F0"/>
                <w:sz w:val="20"/>
              </w:rPr>
            </w:pPr>
            <w:r w:rsidRPr="00311A64">
              <w:rPr>
                <w:rFonts w:ascii="Arial" w:hAnsi="Arial" w:cs="Arial"/>
                <w:color w:val="00B0F0"/>
                <w:sz w:val="20"/>
              </w:rPr>
              <w:t>2.1</w:t>
            </w:r>
          </w:p>
        </w:tc>
        <w:tc>
          <w:tcPr>
            <w:tcW w:w="1698" w:type="dxa"/>
            <w:tcBorders>
              <w:top w:val="nil"/>
              <w:left w:val="nil"/>
              <w:bottom w:val="nil"/>
              <w:right w:val="nil"/>
            </w:tcBorders>
            <w:vAlign w:val="bottom"/>
          </w:tcPr>
          <w:p w:rsidR="000D43C8" w:rsidRPr="00B53524" w:rsidRDefault="000D43C8" w:rsidP="00B31025">
            <w:pPr>
              <w:keepNext/>
              <w:spacing w:after="0"/>
              <w:rPr>
                <w:rFonts w:ascii="Arial" w:hAnsi="Arial" w:cs="Arial"/>
                <w:color w:val="000000"/>
                <w:sz w:val="18"/>
              </w:rPr>
            </w:pPr>
            <w:r w:rsidRPr="00311A64">
              <w:rPr>
                <w:rFonts w:ascii="Arial" w:hAnsi="Arial" w:cs="Arial"/>
                <w:color w:val="000000"/>
                <w:sz w:val="18"/>
              </w:rPr>
              <w:t>acres</w:t>
            </w:r>
          </w:p>
        </w:tc>
        <w:tc>
          <w:tcPr>
            <w:tcW w:w="1756" w:type="dxa"/>
            <w:tcBorders>
              <w:top w:val="nil"/>
              <w:left w:val="nil"/>
              <w:bottom w:val="nil"/>
            </w:tcBorders>
            <w:vAlign w:val="bottom"/>
          </w:tcPr>
          <w:p w:rsidR="000D43C8" w:rsidRPr="00B53524" w:rsidRDefault="000D43C8" w:rsidP="00B31025">
            <w:pPr>
              <w:keepNext/>
              <w:spacing w:after="0"/>
              <w:jc w:val="center"/>
              <w:rPr>
                <w:rFonts w:ascii="Arial" w:hAnsi="Arial" w:cs="Arial"/>
                <w:i/>
                <w:color w:val="000000"/>
                <w:sz w:val="18"/>
              </w:rPr>
            </w:pPr>
          </w:p>
        </w:tc>
      </w:tr>
      <w:tr w:rsidR="000D43C8" w:rsidRPr="00B53524" w:rsidTr="00201664">
        <w:trPr>
          <w:trHeight w:val="441"/>
          <w:tblHeader/>
        </w:trPr>
        <w:tc>
          <w:tcPr>
            <w:tcW w:w="4158" w:type="dxa"/>
            <w:gridSpan w:val="2"/>
            <w:tcBorders>
              <w:top w:val="nil"/>
              <w:bottom w:val="nil"/>
              <w:right w:val="nil"/>
            </w:tcBorders>
            <w:vAlign w:val="bottom"/>
          </w:tcPr>
          <w:p w:rsidR="000D43C8" w:rsidRPr="00B53524" w:rsidRDefault="000D43C8" w:rsidP="00B31025">
            <w:pPr>
              <w:keepNext/>
              <w:spacing w:after="0"/>
              <w:jc w:val="right"/>
              <w:rPr>
                <w:rFonts w:ascii="Arial" w:hAnsi="Arial" w:cs="Arial"/>
                <w:color w:val="000000"/>
                <w:sz w:val="18"/>
              </w:rPr>
            </w:pPr>
            <w:r w:rsidRPr="00311A64">
              <w:rPr>
                <w:rFonts w:ascii="Arial" w:hAnsi="Arial" w:cs="Arial"/>
                <w:color w:val="000000"/>
                <w:sz w:val="18"/>
              </w:rPr>
              <w:t>Total drainage area Impervious Area (IA</w:t>
            </w:r>
            <w:r w:rsidRPr="00311A64">
              <w:rPr>
                <w:rFonts w:ascii="Arial" w:hAnsi="Arial" w:cs="Arial"/>
                <w:color w:val="000000"/>
                <w:sz w:val="18"/>
                <w:vertAlign w:val="subscript"/>
              </w:rPr>
              <w:t>tota</w:t>
            </w:r>
            <w:r w:rsidRPr="00311A64">
              <w:rPr>
                <w:rFonts w:ascii="Arial" w:hAnsi="Arial" w:cs="Arial"/>
                <w:color w:val="000000"/>
                <w:sz w:val="18"/>
              </w:rPr>
              <w:t>l)</w:t>
            </w:r>
          </w:p>
        </w:tc>
        <w:tc>
          <w:tcPr>
            <w:tcW w:w="1560" w:type="dxa"/>
            <w:tcBorders>
              <w:top w:val="single" w:sz="4" w:space="0" w:color="auto"/>
              <w:left w:val="nil"/>
              <w:bottom w:val="single" w:sz="4" w:space="0" w:color="auto"/>
              <w:right w:val="nil"/>
            </w:tcBorders>
            <w:vAlign w:val="bottom"/>
          </w:tcPr>
          <w:p w:rsidR="000D43C8" w:rsidRPr="00B53524" w:rsidRDefault="000D43C8" w:rsidP="00B31025">
            <w:pPr>
              <w:keepNext/>
              <w:spacing w:after="0"/>
              <w:jc w:val="center"/>
              <w:rPr>
                <w:rFonts w:ascii="Arial" w:hAnsi="Arial" w:cs="Arial"/>
                <w:color w:val="00B0F0"/>
                <w:sz w:val="20"/>
              </w:rPr>
            </w:pPr>
            <w:r w:rsidRPr="00311A64">
              <w:rPr>
                <w:rFonts w:ascii="Arial" w:hAnsi="Arial" w:cs="Arial"/>
                <w:color w:val="00B0F0"/>
                <w:sz w:val="20"/>
              </w:rPr>
              <w:t>1.3</w:t>
            </w:r>
          </w:p>
        </w:tc>
        <w:tc>
          <w:tcPr>
            <w:tcW w:w="1698" w:type="dxa"/>
            <w:tcBorders>
              <w:top w:val="nil"/>
              <w:left w:val="nil"/>
              <w:bottom w:val="nil"/>
              <w:right w:val="nil"/>
            </w:tcBorders>
            <w:vAlign w:val="bottom"/>
          </w:tcPr>
          <w:p w:rsidR="000D43C8" w:rsidRPr="00B53524" w:rsidRDefault="000D43C8" w:rsidP="00B31025">
            <w:pPr>
              <w:keepNext/>
              <w:spacing w:after="0"/>
              <w:rPr>
                <w:rFonts w:ascii="Arial" w:hAnsi="Arial" w:cs="Arial"/>
                <w:color w:val="000000"/>
                <w:sz w:val="18"/>
              </w:rPr>
            </w:pPr>
            <w:r w:rsidRPr="00311A64">
              <w:rPr>
                <w:rFonts w:ascii="Arial" w:hAnsi="Arial" w:cs="Arial"/>
                <w:color w:val="000000"/>
                <w:sz w:val="18"/>
              </w:rPr>
              <w:t>acres</w:t>
            </w:r>
          </w:p>
        </w:tc>
        <w:tc>
          <w:tcPr>
            <w:tcW w:w="1756" w:type="dxa"/>
            <w:tcBorders>
              <w:top w:val="nil"/>
              <w:left w:val="nil"/>
              <w:bottom w:val="nil"/>
            </w:tcBorders>
            <w:vAlign w:val="bottom"/>
          </w:tcPr>
          <w:p w:rsidR="000D43C8" w:rsidRPr="00B53524" w:rsidRDefault="000D43C8" w:rsidP="00B31025">
            <w:pPr>
              <w:keepNext/>
              <w:spacing w:after="0"/>
              <w:jc w:val="center"/>
              <w:rPr>
                <w:rFonts w:ascii="Arial" w:hAnsi="Arial" w:cs="Arial"/>
                <w:i/>
                <w:color w:val="000000"/>
                <w:sz w:val="18"/>
              </w:rPr>
            </w:pPr>
          </w:p>
        </w:tc>
      </w:tr>
      <w:tr w:rsidR="000D43C8" w:rsidRPr="00B53524" w:rsidTr="00201664">
        <w:trPr>
          <w:trHeight w:val="152"/>
          <w:tblHeader/>
        </w:trPr>
        <w:tc>
          <w:tcPr>
            <w:tcW w:w="1296" w:type="dxa"/>
            <w:tcBorders>
              <w:top w:val="nil"/>
              <w:right w:val="nil"/>
            </w:tcBorders>
            <w:vAlign w:val="bottom"/>
          </w:tcPr>
          <w:p w:rsidR="000D43C8" w:rsidRPr="00B53524" w:rsidRDefault="000D43C8" w:rsidP="00B31025">
            <w:pPr>
              <w:keepNext/>
              <w:spacing w:after="0"/>
              <w:jc w:val="center"/>
              <w:rPr>
                <w:rFonts w:ascii="Arial" w:hAnsi="Arial" w:cs="Arial"/>
                <w:color w:val="000000"/>
                <w:sz w:val="18"/>
              </w:rPr>
            </w:pPr>
          </w:p>
        </w:tc>
        <w:tc>
          <w:tcPr>
            <w:tcW w:w="2862" w:type="dxa"/>
            <w:tcBorders>
              <w:top w:val="nil"/>
              <w:left w:val="nil"/>
              <w:right w:val="nil"/>
            </w:tcBorders>
            <w:vAlign w:val="bottom"/>
          </w:tcPr>
          <w:p w:rsidR="000D43C8" w:rsidRPr="00B53524" w:rsidRDefault="000D43C8" w:rsidP="00B31025">
            <w:pPr>
              <w:keepNext/>
              <w:spacing w:after="0"/>
              <w:jc w:val="right"/>
              <w:rPr>
                <w:rFonts w:ascii="Arial" w:hAnsi="Arial" w:cs="Arial"/>
                <w:color w:val="000000"/>
                <w:sz w:val="18"/>
              </w:rPr>
            </w:pPr>
          </w:p>
        </w:tc>
        <w:tc>
          <w:tcPr>
            <w:tcW w:w="1560" w:type="dxa"/>
            <w:tcBorders>
              <w:top w:val="single" w:sz="4" w:space="0" w:color="auto"/>
              <w:left w:val="nil"/>
              <w:right w:val="nil"/>
            </w:tcBorders>
            <w:vAlign w:val="bottom"/>
          </w:tcPr>
          <w:p w:rsidR="000D43C8" w:rsidRPr="00B53524" w:rsidRDefault="000D43C8" w:rsidP="00B31025">
            <w:pPr>
              <w:keepNext/>
              <w:spacing w:after="0"/>
              <w:jc w:val="center"/>
              <w:rPr>
                <w:rFonts w:ascii="Arial" w:hAnsi="Arial" w:cs="Arial"/>
                <w:color w:val="000000"/>
                <w:sz w:val="20"/>
                <w:u w:val="single"/>
              </w:rPr>
            </w:pPr>
          </w:p>
        </w:tc>
        <w:tc>
          <w:tcPr>
            <w:tcW w:w="1698" w:type="dxa"/>
            <w:tcBorders>
              <w:top w:val="nil"/>
              <w:left w:val="nil"/>
              <w:right w:val="nil"/>
            </w:tcBorders>
            <w:vAlign w:val="bottom"/>
          </w:tcPr>
          <w:p w:rsidR="000D43C8" w:rsidRPr="00B53524" w:rsidRDefault="000D43C8" w:rsidP="00B31025">
            <w:pPr>
              <w:keepNext/>
              <w:spacing w:after="0"/>
              <w:rPr>
                <w:rFonts w:ascii="Arial" w:hAnsi="Arial" w:cs="Arial"/>
                <w:color w:val="000000"/>
                <w:sz w:val="18"/>
              </w:rPr>
            </w:pPr>
          </w:p>
        </w:tc>
        <w:tc>
          <w:tcPr>
            <w:tcW w:w="1756" w:type="dxa"/>
            <w:tcBorders>
              <w:top w:val="nil"/>
              <w:left w:val="nil"/>
            </w:tcBorders>
            <w:vAlign w:val="bottom"/>
          </w:tcPr>
          <w:p w:rsidR="000D43C8" w:rsidRPr="00B53524" w:rsidRDefault="000D43C8" w:rsidP="00B31025">
            <w:pPr>
              <w:keepNext/>
              <w:spacing w:after="0"/>
              <w:jc w:val="center"/>
              <w:rPr>
                <w:rFonts w:ascii="Arial" w:hAnsi="Arial" w:cs="Arial"/>
                <w:i/>
                <w:color w:val="000000"/>
                <w:sz w:val="18"/>
              </w:rPr>
            </w:pPr>
          </w:p>
        </w:tc>
      </w:tr>
      <w:tr w:rsidR="000D43C8" w:rsidRPr="00B53524" w:rsidTr="00201664">
        <w:trPr>
          <w:trHeight w:val="360"/>
          <w:tblHeader/>
        </w:trPr>
        <w:tc>
          <w:tcPr>
            <w:tcW w:w="1296" w:type="dxa"/>
            <w:vAlign w:val="bottom"/>
          </w:tcPr>
          <w:p w:rsidR="000D43C8" w:rsidRPr="00B53524" w:rsidRDefault="000D43C8" w:rsidP="00B31025">
            <w:pPr>
              <w:keepNext/>
              <w:spacing w:after="0"/>
              <w:jc w:val="center"/>
              <w:rPr>
                <w:rFonts w:ascii="Arial" w:hAnsi="Arial" w:cs="Arial"/>
                <w:color w:val="000000"/>
                <w:sz w:val="18"/>
              </w:rPr>
            </w:pPr>
            <w:r w:rsidRPr="00311A64">
              <w:rPr>
                <w:rFonts w:ascii="Arial" w:hAnsi="Arial" w:cs="Arial"/>
                <w:color w:val="000000"/>
                <w:sz w:val="18"/>
              </w:rPr>
              <w:t>HSC ID</w:t>
            </w:r>
          </w:p>
        </w:tc>
        <w:tc>
          <w:tcPr>
            <w:tcW w:w="2862" w:type="dxa"/>
            <w:vAlign w:val="bottom"/>
          </w:tcPr>
          <w:p w:rsidR="000D43C8" w:rsidRPr="00B53524" w:rsidRDefault="000D43C8" w:rsidP="00B31025">
            <w:pPr>
              <w:keepNext/>
              <w:spacing w:after="0"/>
              <w:jc w:val="center"/>
              <w:rPr>
                <w:rFonts w:ascii="Arial" w:hAnsi="Arial" w:cs="Arial"/>
                <w:color w:val="000000"/>
                <w:sz w:val="18"/>
              </w:rPr>
            </w:pPr>
            <w:r w:rsidRPr="00311A64">
              <w:rPr>
                <w:rFonts w:ascii="Arial" w:hAnsi="Arial" w:cs="Arial"/>
                <w:color w:val="000000"/>
                <w:sz w:val="18"/>
              </w:rPr>
              <w:t>HSC Type/ Description/ Reference Section</w:t>
            </w:r>
          </w:p>
        </w:tc>
        <w:tc>
          <w:tcPr>
            <w:tcW w:w="1560" w:type="dxa"/>
            <w:vAlign w:val="bottom"/>
          </w:tcPr>
          <w:p w:rsidR="000D43C8" w:rsidRPr="00B53524" w:rsidRDefault="000D43C8" w:rsidP="00B31025">
            <w:pPr>
              <w:keepNext/>
              <w:spacing w:after="0"/>
              <w:jc w:val="center"/>
              <w:rPr>
                <w:rFonts w:ascii="Arial" w:hAnsi="Arial" w:cs="Arial"/>
                <w:color w:val="000000"/>
                <w:sz w:val="20"/>
              </w:rPr>
            </w:pPr>
            <w:r w:rsidRPr="00311A64">
              <w:rPr>
                <w:rFonts w:ascii="Arial" w:hAnsi="Arial" w:cs="Arial"/>
                <w:color w:val="000000"/>
                <w:sz w:val="20"/>
              </w:rPr>
              <w:t>Effect of individual HSC</w:t>
            </w:r>
            <w:r w:rsidRPr="00311A64">
              <w:rPr>
                <w:rFonts w:ascii="Arial" w:hAnsi="Arial" w:cs="Arial"/>
                <w:i/>
                <w:color w:val="000000"/>
                <w:sz w:val="20"/>
                <w:vertAlign w:val="subscript"/>
              </w:rPr>
              <w:t>i</w:t>
            </w:r>
            <w:r w:rsidRPr="00311A64">
              <w:rPr>
                <w:rFonts w:ascii="Arial" w:hAnsi="Arial" w:cs="Arial"/>
                <w:color w:val="000000"/>
                <w:sz w:val="20"/>
              </w:rPr>
              <w:t xml:space="preserve"> per criteria in </w:t>
            </w:r>
            <w:r w:rsidR="00DC2407">
              <w:rPr>
                <w:rFonts w:ascii="Arial" w:hAnsi="Arial" w:cs="Arial"/>
                <w:color w:val="000000"/>
                <w:sz w:val="20"/>
              </w:rPr>
              <w:t>HSC BMP Fact Sheets (</w:t>
            </w:r>
            <w:r w:rsidR="00DC2407" w:rsidRPr="00DC2407">
              <w:rPr>
                <w:rFonts w:ascii="Arial" w:hAnsi="Arial" w:cs="Arial"/>
                <w:b/>
                <w:color w:val="00B050"/>
                <w:sz w:val="20"/>
              </w:rPr>
              <w:t>TGD</w:t>
            </w:r>
            <w:r w:rsidR="00DC2407">
              <w:rPr>
                <w:rFonts w:ascii="Arial" w:hAnsi="Arial" w:cs="Arial"/>
                <w:color w:val="000000"/>
                <w:sz w:val="20"/>
              </w:rPr>
              <w:t xml:space="preserve"> </w:t>
            </w:r>
            <w:r w:rsidR="00DC2407" w:rsidRPr="00DC2407">
              <w:rPr>
                <w:rFonts w:ascii="Arial" w:hAnsi="Arial" w:cs="Arial"/>
                <w:b/>
                <w:color w:val="00B050"/>
                <w:sz w:val="20"/>
              </w:rPr>
              <w:t>Section 4.2</w:t>
            </w:r>
            <w:r w:rsidR="00DC2407">
              <w:rPr>
                <w:rFonts w:ascii="Arial" w:hAnsi="Arial" w:cs="Arial"/>
                <w:color w:val="000000"/>
                <w:sz w:val="20"/>
              </w:rPr>
              <w:t>)</w:t>
            </w:r>
          </w:p>
          <w:p w:rsidR="000D43C8" w:rsidRPr="00B53524" w:rsidRDefault="000D43C8" w:rsidP="00B31025">
            <w:pPr>
              <w:keepNext/>
              <w:spacing w:after="0"/>
              <w:jc w:val="center"/>
              <w:rPr>
                <w:rFonts w:ascii="Arial" w:hAnsi="Arial" w:cs="Arial"/>
                <w:i/>
                <w:color w:val="000000"/>
                <w:sz w:val="18"/>
              </w:rPr>
            </w:pPr>
            <w:r w:rsidRPr="00311A64">
              <w:rPr>
                <w:rFonts w:ascii="Arial" w:hAnsi="Arial" w:cs="Arial"/>
                <w:color w:val="000000"/>
                <w:sz w:val="20"/>
              </w:rPr>
              <w:t>(</w:t>
            </w:r>
            <w:r w:rsidRPr="00311A64">
              <w:rPr>
                <w:rFonts w:ascii="Arial" w:hAnsi="Arial" w:cs="Arial"/>
                <w:i/>
                <w:color w:val="000000"/>
                <w:sz w:val="18"/>
              </w:rPr>
              <w:t>d</w:t>
            </w:r>
            <w:r w:rsidRPr="00311A64">
              <w:rPr>
                <w:rFonts w:ascii="Arial" w:hAnsi="Arial" w:cs="Arial"/>
                <w:i/>
                <w:color w:val="000000"/>
                <w:sz w:val="18"/>
                <w:vertAlign w:val="subscript"/>
              </w:rPr>
              <w:t>HSCi</w:t>
            </w:r>
            <w:r w:rsidRPr="00311A64">
              <w:rPr>
                <w:rFonts w:ascii="Arial" w:hAnsi="Arial" w:cs="Arial"/>
                <w:color w:val="000000"/>
                <w:sz w:val="18"/>
              </w:rPr>
              <w:t>)</w:t>
            </w:r>
          </w:p>
        </w:tc>
        <w:tc>
          <w:tcPr>
            <w:tcW w:w="1698" w:type="dxa"/>
            <w:vAlign w:val="bottom"/>
          </w:tcPr>
          <w:p w:rsidR="000D43C8" w:rsidRPr="00B53524" w:rsidRDefault="000D43C8" w:rsidP="00B31025">
            <w:pPr>
              <w:keepNext/>
              <w:spacing w:after="0"/>
              <w:jc w:val="center"/>
              <w:rPr>
                <w:rFonts w:ascii="Arial" w:hAnsi="Arial" w:cs="Arial"/>
                <w:color w:val="000000"/>
                <w:sz w:val="18"/>
              </w:rPr>
            </w:pPr>
            <w:r w:rsidRPr="00311A64">
              <w:rPr>
                <w:rFonts w:ascii="Arial" w:hAnsi="Arial" w:cs="Arial"/>
                <w:color w:val="000000"/>
                <w:sz w:val="18"/>
              </w:rPr>
              <w:t>Impervious Area Tributary to HSC</w:t>
            </w:r>
            <w:r w:rsidRPr="00311A64">
              <w:rPr>
                <w:rFonts w:ascii="Arial" w:hAnsi="Arial" w:cs="Arial"/>
                <w:color w:val="000000"/>
                <w:sz w:val="18"/>
                <w:vertAlign w:val="subscript"/>
              </w:rPr>
              <w:t>i</w:t>
            </w:r>
          </w:p>
          <w:p w:rsidR="000D43C8" w:rsidRPr="00B53524" w:rsidRDefault="000D43C8" w:rsidP="00B31025">
            <w:pPr>
              <w:keepNext/>
              <w:spacing w:after="0"/>
              <w:jc w:val="center"/>
              <w:rPr>
                <w:rFonts w:ascii="Arial" w:hAnsi="Arial" w:cs="Arial"/>
                <w:color w:val="000000"/>
                <w:sz w:val="18"/>
              </w:rPr>
            </w:pPr>
            <w:r w:rsidRPr="00311A64">
              <w:rPr>
                <w:rFonts w:ascii="Arial" w:hAnsi="Arial" w:cs="Arial"/>
                <w:color w:val="000000"/>
                <w:sz w:val="18"/>
              </w:rPr>
              <w:t>(</w:t>
            </w:r>
            <w:r w:rsidRPr="00311A64">
              <w:rPr>
                <w:rFonts w:ascii="Arial" w:hAnsi="Arial" w:cs="Arial"/>
                <w:i/>
                <w:color w:val="000000"/>
                <w:sz w:val="18"/>
              </w:rPr>
              <w:t>IA</w:t>
            </w:r>
            <w:r w:rsidRPr="00311A64">
              <w:rPr>
                <w:rFonts w:ascii="Arial" w:hAnsi="Arial" w:cs="Arial"/>
                <w:i/>
                <w:color w:val="000000"/>
                <w:sz w:val="18"/>
                <w:vertAlign w:val="subscript"/>
              </w:rPr>
              <w:t>i</w:t>
            </w:r>
            <w:r w:rsidRPr="00311A64">
              <w:rPr>
                <w:rFonts w:ascii="Arial" w:hAnsi="Arial" w:cs="Arial"/>
                <w:color w:val="000000"/>
                <w:sz w:val="18"/>
              </w:rPr>
              <w:t>)</w:t>
            </w:r>
          </w:p>
        </w:tc>
        <w:tc>
          <w:tcPr>
            <w:tcW w:w="1756" w:type="dxa"/>
            <w:vAlign w:val="bottom"/>
          </w:tcPr>
          <w:p w:rsidR="000D43C8" w:rsidRPr="00B53524" w:rsidRDefault="000D43C8" w:rsidP="00B31025">
            <w:pPr>
              <w:keepNext/>
              <w:spacing w:after="0"/>
              <w:jc w:val="center"/>
              <w:rPr>
                <w:rFonts w:ascii="Arial" w:hAnsi="Arial" w:cs="Arial"/>
                <w:i/>
                <w:color w:val="000000"/>
                <w:sz w:val="18"/>
              </w:rPr>
            </w:pPr>
            <w:r w:rsidRPr="00311A64">
              <w:rPr>
                <w:rFonts w:ascii="Arial" w:hAnsi="Arial" w:cs="Arial"/>
                <w:i/>
                <w:color w:val="000000"/>
                <w:sz w:val="18"/>
              </w:rPr>
              <w:t>d</w:t>
            </w:r>
            <w:r w:rsidRPr="00311A64">
              <w:rPr>
                <w:rFonts w:ascii="Arial" w:hAnsi="Arial" w:cs="Arial"/>
                <w:i/>
                <w:color w:val="000000"/>
                <w:sz w:val="18"/>
                <w:vertAlign w:val="subscript"/>
              </w:rPr>
              <w:t>i</w:t>
            </w:r>
            <w:r w:rsidRPr="00311A64">
              <w:rPr>
                <w:rFonts w:ascii="Arial" w:hAnsi="Arial" w:cs="Arial"/>
                <w:i/>
                <w:color w:val="000000"/>
                <w:sz w:val="18"/>
              </w:rPr>
              <w:t xml:space="preserve"> × IA</w:t>
            </w:r>
            <w:r w:rsidRPr="00311A64">
              <w:rPr>
                <w:rFonts w:ascii="Arial" w:hAnsi="Arial" w:cs="Arial"/>
                <w:i/>
                <w:color w:val="000000"/>
                <w:sz w:val="18"/>
                <w:vertAlign w:val="subscript"/>
              </w:rPr>
              <w:t>i</w:t>
            </w:r>
          </w:p>
        </w:tc>
      </w:tr>
      <w:tr w:rsidR="000D43C8" w:rsidRPr="00B53524" w:rsidTr="00201664">
        <w:trPr>
          <w:trHeight w:val="360"/>
        </w:trPr>
        <w:tc>
          <w:tcPr>
            <w:tcW w:w="1296" w:type="dxa"/>
            <w:vAlign w:val="center"/>
          </w:tcPr>
          <w:p w:rsidR="000D43C8" w:rsidRPr="00B53524" w:rsidRDefault="000D43C8" w:rsidP="00B31025">
            <w:pPr>
              <w:keepNext/>
              <w:spacing w:after="0"/>
              <w:jc w:val="center"/>
              <w:rPr>
                <w:rFonts w:ascii="Arial" w:hAnsi="Arial" w:cs="Arial"/>
                <w:color w:val="00B0F0"/>
                <w:sz w:val="18"/>
              </w:rPr>
            </w:pPr>
            <w:r w:rsidRPr="00311A64">
              <w:rPr>
                <w:rFonts w:ascii="Arial" w:hAnsi="Arial" w:cs="Arial"/>
                <w:color w:val="00B0F0"/>
                <w:sz w:val="18"/>
              </w:rPr>
              <w:t>A-1</w:t>
            </w:r>
          </w:p>
        </w:tc>
        <w:tc>
          <w:tcPr>
            <w:tcW w:w="2862" w:type="dxa"/>
            <w:vAlign w:val="center"/>
          </w:tcPr>
          <w:p w:rsidR="000D43C8" w:rsidRPr="00B53524" w:rsidRDefault="000D43C8" w:rsidP="00B31025">
            <w:pPr>
              <w:keepNext/>
              <w:spacing w:after="0"/>
              <w:jc w:val="center"/>
              <w:rPr>
                <w:rFonts w:ascii="Arial" w:hAnsi="Arial" w:cs="Arial"/>
                <w:color w:val="00B0F0"/>
                <w:sz w:val="18"/>
              </w:rPr>
            </w:pPr>
            <w:r w:rsidRPr="00311A64">
              <w:rPr>
                <w:rFonts w:ascii="Arial" w:hAnsi="Arial" w:cs="Arial"/>
                <w:color w:val="00B0F0"/>
                <w:sz w:val="18"/>
              </w:rPr>
              <w:t>Downspout Dispersion, 1:2 ratio (0.5) of rooftop to pervious area for 0.38 acres</w:t>
            </w:r>
          </w:p>
        </w:tc>
        <w:tc>
          <w:tcPr>
            <w:tcW w:w="1560" w:type="dxa"/>
            <w:vAlign w:val="center"/>
          </w:tcPr>
          <w:p w:rsidR="000D43C8" w:rsidRPr="00B53524" w:rsidRDefault="000D43C8" w:rsidP="00B31025">
            <w:pPr>
              <w:keepNext/>
              <w:spacing w:after="0"/>
              <w:jc w:val="center"/>
              <w:rPr>
                <w:rFonts w:ascii="Arial" w:hAnsi="Arial" w:cs="Arial"/>
                <w:color w:val="00B0F0"/>
                <w:sz w:val="18"/>
              </w:rPr>
            </w:pPr>
            <w:r w:rsidRPr="00311A64">
              <w:rPr>
                <w:rFonts w:ascii="Arial" w:hAnsi="Arial" w:cs="Arial"/>
                <w:color w:val="00B0F0"/>
                <w:sz w:val="18"/>
              </w:rPr>
              <w:t>0.25”</w:t>
            </w:r>
          </w:p>
        </w:tc>
        <w:tc>
          <w:tcPr>
            <w:tcW w:w="1698" w:type="dxa"/>
            <w:vAlign w:val="center"/>
          </w:tcPr>
          <w:p w:rsidR="000D43C8" w:rsidRPr="00B53524" w:rsidRDefault="000D43C8" w:rsidP="00B31025">
            <w:pPr>
              <w:keepNext/>
              <w:spacing w:after="0"/>
              <w:jc w:val="center"/>
              <w:rPr>
                <w:rFonts w:ascii="Arial" w:hAnsi="Arial" w:cs="Arial"/>
                <w:color w:val="00B0F0"/>
                <w:sz w:val="18"/>
              </w:rPr>
            </w:pPr>
            <w:r w:rsidRPr="00311A64">
              <w:rPr>
                <w:rFonts w:ascii="Arial" w:hAnsi="Arial" w:cs="Arial"/>
                <w:color w:val="00B0F0"/>
                <w:sz w:val="18"/>
              </w:rPr>
              <w:t>0.38</w:t>
            </w:r>
          </w:p>
        </w:tc>
        <w:tc>
          <w:tcPr>
            <w:tcW w:w="1756" w:type="dxa"/>
            <w:vAlign w:val="center"/>
          </w:tcPr>
          <w:p w:rsidR="000D43C8" w:rsidRPr="00B53524" w:rsidRDefault="000D43C8" w:rsidP="00B31025">
            <w:pPr>
              <w:spacing w:after="0"/>
              <w:jc w:val="center"/>
              <w:rPr>
                <w:rFonts w:ascii="Arial" w:hAnsi="Arial" w:cs="Arial"/>
                <w:color w:val="00B0F0"/>
                <w:sz w:val="18"/>
              </w:rPr>
            </w:pPr>
            <w:r w:rsidRPr="00311A64">
              <w:rPr>
                <w:rFonts w:ascii="Arial" w:hAnsi="Arial" w:cs="Arial"/>
                <w:color w:val="00B0F0"/>
                <w:sz w:val="18"/>
              </w:rPr>
              <w:t>0.095</w:t>
            </w:r>
          </w:p>
        </w:tc>
      </w:tr>
      <w:tr w:rsidR="000D43C8" w:rsidRPr="00B53524" w:rsidTr="00201664">
        <w:trPr>
          <w:trHeight w:val="360"/>
        </w:trPr>
        <w:tc>
          <w:tcPr>
            <w:tcW w:w="1296" w:type="dxa"/>
            <w:vAlign w:val="center"/>
          </w:tcPr>
          <w:p w:rsidR="000D43C8" w:rsidRPr="00B53524" w:rsidRDefault="000D43C8" w:rsidP="00B31025">
            <w:pPr>
              <w:keepNext/>
              <w:spacing w:after="0"/>
              <w:jc w:val="center"/>
              <w:rPr>
                <w:rFonts w:ascii="Arial" w:hAnsi="Arial" w:cs="Arial"/>
                <w:color w:val="00B0F0"/>
                <w:sz w:val="18"/>
              </w:rPr>
            </w:pPr>
            <w:r w:rsidRPr="00311A64">
              <w:rPr>
                <w:rFonts w:ascii="Arial" w:hAnsi="Arial" w:cs="Arial"/>
                <w:color w:val="00B0F0"/>
                <w:sz w:val="18"/>
              </w:rPr>
              <w:t>A-2</w:t>
            </w:r>
          </w:p>
        </w:tc>
        <w:tc>
          <w:tcPr>
            <w:tcW w:w="2862" w:type="dxa"/>
            <w:vAlign w:val="center"/>
          </w:tcPr>
          <w:p w:rsidR="000D43C8" w:rsidRPr="00B53524" w:rsidRDefault="000D43C8" w:rsidP="00B31025">
            <w:pPr>
              <w:keepNext/>
              <w:spacing w:after="0"/>
              <w:jc w:val="center"/>
              <w:rPr>
                <w:rFonts w:ascii="Arial" w:hAnsi="Arial" w:cs="Arial"/>
                <w:color w:val="00B0F0"/>
                <w:sz w:val="18"/>
              </w:rPr>
            </w:pPr>
            <w:r w:rsidRPr="00311A64">
              <w:rPr>
                <w:rFonts w:ascii="Arial" w:hAnsi="Arial" w:cs="Arial"/>
                <w:color w:val="00B0F0"/>
                <w:sz w:val="18"/>
              </w:rPr>
              <w:t>Street Trees, perennial canopy over 0.25 acres of impervious area</w:t>
            </w:r>
          </w:p>
        </w:tc>
        <w:tc>
          <w:tcPr>
            <w:tcW w:w="1560" w:type="dxa"/>
            <w:vAlign w:val="center"/>
          </w:tcPr>
          <w:p w:rsidR="000D43C8" w:rsidRPr="00B53524" w:rsidRDefault="000D43C8" w:rsidP="00B31025">
            <w:pPr>
              <w:keepNext/>
              <w:spacing w:after="0"/>
              <w:jc w:val="center"/>
              <w:rPr>
                <w:rFonts w:ascii="Arial" w:hAnsi="Arial" w:cs="Arial"/>
                <w:color w:val="00B0F0"/>
                <w:sz w:val="18"/>
              </w:rPr>
            </w:pPr>
            <w:r w:rsidRPr="00311A64">
              <w:rPr>
                <w:rFonts w:ascii="Arial" w:hAnsi="Arial" w:cs="Arial"/>
                <w:color w:val="00B0F0"/>
                <w:sz w:val="18"/>
              </w:rPr>
              <w:t>0.05”</w:t>
            </w:r>
          </w:p>
        </w:tc>
        <w:tc>
          <w:tcPr>
            <w:tcW w:w="1698" w:type="dxa"/>
            <w:vAlign w:val="center"/>
          </w:tcPr>
          <w:p w:rsidR="000D43C8" w:rsidRPr="00B53524" w:rsidRDefault="000D43C8" w:rsidP="00B31025">
            <w:pPr>
              <w:keepNext/>
              <w:spacing w:after="0"/>
              <w:jc w:val="center"/>
              <w:rPr>
                <w:rFonts w:ascii="Arial" w:hAnsi="Arial" w:cs="Arial"/>
                <w:color w:val="00B0F0"/>
                <w:sz w:val="18"/>
              </w:rPr>
            </w:pPr>
            <w:r w:rsidRPr="00311A64">
              <w:rPr>
                <w:rFonts w:ascii="Arial" w:hAnsi="Arial" w:cs="Arial"/>
                <w:color w:val="00B0F0"/>
                <w:sz w:val="18"/>
              </w:rPr>
              <w:t>0.25</w:t>
            </w:r>
          </w:p>
        </w:tc>
        <w:tc>
          <w:tcPr>
            <w:tcW w:w="1756" w:type="dxa"/>
            <w:vAlign w:val="center"/>
          </w:tcPr>
          <w:p w:rsidR="000D43C8" w:rsidRPr="00B53524" w:rsidRDefault="000D43C8" w:rsidP="00B31025">
            <w:pPr>
              <w:spacing w:after="0"/>
              <w:jc w:val="center"/>
              <w:rPr>
                <w:rFonts w:ascii="Arial" w:hAnsi="Arial" w:cs="Arial"/>
                <w:color w:val="00B0F0"/>
                <w:sz w:val="18"/>
                <w:szCs w:val="18"/>
              </w:rPr>
            </w:pPr>
            <w:r w:rsidRPr="00311A64">
              <w:rPr>
                <w:rFonts w:ascii="Arial" w:hAnsi="Arial" w:cs="Arial"/>
                <w:color w:val="00B0F0"/>
                <w:sz w:val="18"/>
                <w:szCs w:val="18"/>
              </w:rPr>
              <w:t>0.0125</w:t>
            </w:r>
          </w:p>
        </w:tc>
      </w:tr>
      <w:tr w:rsidR="000D43C8" w:rsidRPr="00B53524" w:rsidTr="00201664">
        <w:trPr>
          <w:trHeight w:val="530"/>
        </w:trPr>
        <w:tc>
          <w:tcPr>
            <w:tcW w:w="1296" w:type="dxa"/>
            <w:vAlign w:val="center"/>
          </w:tcPr>
          <w:p w:rsidR="000D43C8" w:rsidRPr="00B53524" w:rsidRDefault="000D43C8" w:rsidP="00B31025">
            <w:pPr>
              <w:keepNext/>
              <w:spacing w:after="0"/>
              <w:jc w:val="center"/>
              <w:rPr>
                <w:rFonts w:ascii="Arial" w:hAnsi="Arial" w:cs="Arial"/>
                <w:color w:val="00B0F0"/>
                <w:sz w:val="18"/>
              </w:rPr>
            </w:pPr>
            <w:r w:rsidRPr="00311A64">
              <w:rPr>
                <w:rFonts w:ascii="Arial" w:hAnsi="Arial" w:cs="Arial"/>
                <w:color w:val="00B0F0"/>
                <w:sz w:val="18"/>
              </w:rPr>
              <w:t>A-3</w:t>
            </w:r>
          </w:p>
        </w:tc>
        <w:tc>
          <w:tcPr>
            <w:tcW w:w="2862" w:type="dxa"/>
            <w:vAlign w:val="center"/>
          </w:tcPr>
          <w:p w:rsidR="000D43C8" w:rsidRPr="00B53524" w:rsidRDefault="000D43C8" w:rsidP="00B31025">
            <w:pPr>
              <w:keepNext/>
              <w:spacing w:after="0"/>
              <w:jc w:val="center"/>
              <w:rPr>
                <w:rFonts w:ascii="Arial" w:hAnsi="Arial" w:cs="Arial"/>
                <w:color w:val="00B0F0"/>
                <w:sz w:val="18"/>
              </w:rPr>
            </w:pPr>
            <w:r w:rsidRPr="00311A64">
              <w:rPr>
                <w:rFonts w:ascii="Arial" w:hAnsi="Arial" w:cs="Arial"/>
                <w:color w:val="00B0F0"/>
                <w:sz w:val="18"/>
              </w:rPr>
              <w:t>Downspout Infiltration, 10-15 cu-ft storage per 1000 sf of roof for 0.21 acres</w:t>
            </w:r>
          </w:p>
        </w:tc>
        <w:tc>
          <w:tcPr>
            <w:tcW w:w="1560" w:type="dxa"/>
            <w:vAlign w:val="center"/>
          </w:tcPr>
          <w:p w:rsidR="000D43C8" w:rsidRPr="00B53524" w:rsidRDefault="000D43C8" w:rsidP="00B31025">
            <w:pPr>
              <w:keepNext/>
              <w:spacing w:after="0"/>
              <w:jc w:val="center"/>
              <w:rPr>
                <w:rFonts w:ascii="Arial" w:hAnsi="Arial" w:cs="Arial"/>
                <w:color w:val="00B0F0"/>
                <w:sz w:val="18"/>
              </w:rPr>
            </w:pPr>
            <w:r w:rsidRPr="00311A64">
              <w:rPr>
                <w:rFonts w:ascii="Arial" w:hAnsi="Arial" w:cs="Arial"/>
                <w:color w:val="00B0F0"/>
                <w:sz w:val="18"/>
              </w:rPr>
              <w:t>0.15”</w:t>
            </w:r>
          </w:p>
        </w:tc>
        <w:tc>
          <w:tcPr>
            <w:tcW w:w="1698" w:type="dxa"/>
            <w:vAlign w:val="center"/>
          </w:tcPr>
          <w:p w:rsidR="000D43C8" w:rsidRPr="00B53524" w:rsidRDefault="000D43C8" w:rsidP="00B31025">
            <w:pPr>
              <w:keepNext/>
              <w:spacing w:after="0"/>
              <w:jc w:val="center"/>
              <w:rPr>
                <w:rFonts w:ascii="Arial" w:hAnsi="Arial" w:cs="Arial"/>
                <w:color w:val="00B0F0"/>
                <w:sz w:val="18"/>
              </w:rPr>
            </w:pPr>
            <w:r w:rsidRPr="00311A64">
              <w:rPr>
                <w:rFonts w:ascii="Arial" w:hAnsi="Arial" w:cs="Arial"/>
                <w:color w:val="00B0F0"/>
                <w:sz w:val="18"/>
              </w:rPr>
              <w:t>0.21</w:t>
            </w:r>
          </w:p>
        </w:tc>
        <w:tc>
          <w:tcPr>
            <w:tcW w:w="1756" w:type="dxa"/>
            <w:vAlign w:val="center"/>
          </w:tcPr>
          <w:p w:rsidR="000D43C8" w:rsidRPr="00B53524" w:rsidRDefault="000D43C8" w:rsidP="00B31025">
            <w:pPr>
              <w:spacing w:after="0"/>
              <w:jc w:val="center"/>
              <w:rPr>
                <w:rFonts w:ascii="Arial" w:hAnsi="Arial" w:cs="Arial"/>
                <w:color w:val="00B0F0"/>
                <w:sz w:val="18"/>
                <w:szCs w:val="18"/>
              </w:rPr>
            </w:pPr>
            <w:r w:rsidRPr="00311A64">
              <w:rPr>
                <w:rFonts w:ascii="Arial" w:hAnsi="Arial" w:cs="Arial"/>
                <w:color w:val="00B0F0"/>
                <w:sz w:val="18"/>
                <w:szCs w:val="18"/>
              </w:rPr>
              <w:t>0.032</w:t>
            </w:r>
          </w:p>
        </w:tc>
      </w:tr>
      <w:tr w:rsidR="000D43C8" w:rsidRPr="00B53524" w:rsidTr="00201664">
        <w:trPr>
          <w:trHeight w:val="530"/>
        </w:trPr>
        <w:tc>
          <w:tcPr>
            <w:tcW w:w="1296" w:type="dxa"/>
            <w:vAlign w:val="center"/>
          </w:tcPr>
          <w:p w:rsidR="000D43C8" w:rsidRPr="00B53524" w:rsidRDefault="000D43C8" w:rsidP="00B31025">
            <w:pPr>
              <w:keepNext/>
              <w:spacing w:after="0"/>
              <w:jc w:val="center"/>
              <w:rPr>
                <w:rFonts w:ascii="Arial" w:hAnsi="Arial" w:cs="Arial"/>
                <w:color w:val="00B0F0"/>
                <w:sz w:val="18"/>
              </w:rPr>
            </w:pPr>
            <w:r w:rsidRPr="00311A64">
              <w:rPr>
                <w:rFonts w:ascii="Arial" w:hAnsi="Arial" w:cs="Arial"/>
                <w:color w:val="00B0F0"/>
                <w:sz w:val="18"/>
              </w:rPr>
              <w:t>A-4</w:t>
            </w:r>
          </w:p>
        </w:tc>
        <w:tc>
          <w:tcPr>
            <w:tcW w:w="2862" w:type="dxa"/>
            <w:vAlign w:val="center"/>
          </w:tcPr>
          <w:p w:rsidR="000D43C8" w:rsidRPr="00B53524" w:rsidRDefault="000D43C8" w:rsidP="00B31025">
            <w:pPr>
              <w:keepNext/>
              <w:spacing w:after="0"/>
              <w:jc w:val="center"/>
              <w:rPr>
                <w:rFonts w:ascii="Arial" w:hAnsi="Arial" w:cs="Arial"/>
                <w:color w:val="00B0F0"/>
                <w:sz w:val="18"/>
              </w:rPr>
            </w:pPr>
            <w:r w:rsidRPr="00311A64">
              <w:rPr>
                <w:rFonts w:ascii="Arial" w:hAnsi="Arial" w:cs="Arial"/>
                <w:color w:val="00B0F0"/>
                <w:sz w:val="18"/>
              </w:rPr>
              <w:t>Residential Rain Barrels, four 55 gallon barrels per 1000 sf of roof (4*55*50%=110 gal/1000 sf) for 0.2 acres</w:t>
            </w:r>
          </w:p>
        </w:tc>
        <w:tc>
          <w:tcPr>
            <w:tcW w:w="1560" w:type="dxa"/>
            <w:vAlign w:val="center"/>
          </w:tcPr>
          <w:p w:rsidR="000D43C8" w:rsidRPr="00B53524" w:rsidRDefault="000D43C8" w:rsidP="00B31025">
            <w:pPr>
              <w:keepNext/>
              <w:spacing w:after="0"/>
              <w:jc w:val="center"/>
              <w:rPr>
                <w:rFonts w:ascii="Arial" w:hAnsi="Arial" w:cs="Arial"/>
                <w:color w:val="00B0F0"/>
                <w:sz w:val="18"/>
              </w:rPr>
            </w:pPr>
            <w:r w:rsidRPr="00311A64">
              <w:rPr>
                <w:rFonts w:ascii="Arial" w:hAnsi="Arial" w:cs="Arial"/>
                <w:color w:val="00B0F0"/>
                <w:sz w:val="18"/>
              </w:rPr>
              <w:t>0.18”</w:t>
            </w:r>
          </w:p>
        </w:tc>
        <w:tc>
          <w:tcPr>
            <w:tcW w:w="1698" w:type="dxa"/>
            <w:vAlign w:val="center"/>
          </w:tcPr>
          <w:p w:rsidR="000D43C8" w:rsidRPr="00B53524" w:rsidRDefault="000D43C8" w:rsidP="00B31025">
            <w:pPr>
              <w:keepNext/>
              <w:spacing w:after="0"/>
              <w:jc w:val="center"/>
              <w:rPr>
                <w:rFonts w:ascii="Arial" w:hAnsi="Arial" w:cs="Arial"/>
                <w:color w:val="00B0F0"/>
                <w:sz w:val="18"/>
              </w:rPr>
            </w:pPr>
            <w:r w:rsidRPr="00311A64">
              <w:rPr>
                <w:rFonts w:ascii="Arial" w:hAnsi="Arial" w:cs="Arial"/>
                <w:color w:val="00B0F0"/>
                <w:sz w:val="18"/>
              </w:rPr>
              <w:t>0.2</w:t>
            </w:r>
          </w:p>
        </w:tc>
        <w:tc>
          <w:tcPr>
            <w:tcW w:w="1756" w:type="dxa"/>
            <w:vAlign w:val="center"/>
          </w:tcPr>
          <w:p w:rsidR="000D43C8" w:rsidRPr="00B53524" w:rsidRDefault="000D43C8" w:rsidP="00B31025">
            <w:pPr>
              <w:spacing w:after="0"/>
              <w:jc w:val="center"/>
              <w:rPr>
                <w:rFonts w:ascii="Arial" w:hAnsi="Arial" w:cs="Arial"/>
                <w:color w:val="00B0F0"/>
                <w:sz w:val="18"/>
                <w:szCs w:val="18"/>
              </w:rPr>
            </w:pPr>
            <w:r w:rsidRPr="00311A64">
              <w:rPr>
                <w:rFonts w:ascii="Arial" w:hAnsi="Arial" w:cs="Arial"/>
                <w:color w:val="00B0F0"/>
                <w:sz w:val="18"/>
                <w:szCs w:val="18"/>
              </w:rPr>
              <w:t>0.036</w:t>
            </w:r>
          </w:p>
        </w:tc>
      </w:tr>
      <w:tr w:rsidR="000D43C8" w:rsidRPr="00B53524" w:rsidTr="00201664">
        <w:trPr>
          <w:trHeight w:val="360"/>
        </w:trPr>
        <w:tc>
          <w:tcPr>
            <w:tcW w:w="1296" w:type="dxa"/>
            <w:vAlign w:val="center"/>
          </w:tcPr>
          <w:p w:rsidR="000D43C8" w:rsidRPr="00B53524" w:rsidRDefault="000D43C8" w:rsidP="00B31025">
            <w:pPr>
              <w:keepNext/>
              <w:spacing w:after="0"/>
              <w:jc w:val="center"/>
              <w:rPr>
                <w:rFonts w:ascii="Arial" w:hAnsi="Arial" w:cs="Arial"/>
                <w:color w:val="000000"/>
                <w:sz w:val="18"/>
              </w:rPr>
            </w:pPr>
          </w:p>
        </w:tc>
        <w:tc>
          <w:tcPr>
            <w:tcW w:w="2862" w:type="dxa"/>
            <w:vAlign w:val="center"/>
          </w:tcPr>
          <w:p w:rsidR="000D43C8" w:rsidRPr="00B53524" w:rsidRDefault="000D43C8" w:rsidP="00B31025">
            <w:pPr>
              <w:keepNext/>
              <w:spacing w:after="0"/>
              <w:jc w:val="center"/>
              <w:rPr>
                <w:rFonts w:ascii="Arial" w:hAnsi="Arial" w:cs="Arial"/>
                <w:color w:val="000000"/>
                <w:sz w:val="18"/>
              </w:rPr>
            </w:pPr>
          </w:p>
        </w:tc>
        <w:tc>
          <w:tcPr>
            <w:tcW w:w="1560" w:type="dxa"/>
            <w:vAlign w:val="center"/>
          </w:tcPr>
          <w:p w:rsidR="000D43C8" w:rsidRPr="00B53524" w:rsidRDefault="000D43C8" w:rsidP="00B31025">
            <w:pPr>
              <w:keepNext/>
              <w:spacing w:after="0"/>
              <w:jc w:val="center"/>
              <w:rPr>
                <w:rFonts w:ascii="Arial" w:hAnsi="Arial" w:cs="Arial"/>
                <w:color w:val="000000"/>
                <w:sz w:val="18"/>
              </w:rPr>
            </w:pPr>
          </w:p>
        </w:tc>
        <w:tc>
          <w:tcPr>
            <w:tcW w:w="1698" w:type="dxa"/>
            <w:vAlign w:val="center"/>
          </w:tcPr>
          <w:p w:rsidR="000D43C8" w:rsidRPr="00B53524" w:rsidRDefault="000D43C8" w:rsidP="00B31025">
            <w:pPr>
              <w:keepNext/>
              <w:spacing w:after="0"/>
              <w:jc w:val="center"/>
              <w:rPr>
                <w:rFonts w:ascii="Arial" w:hAnsi="Arial" w:cs="Arial"/>
                <w:color w:val="000000"/>
                <w:sz w:val="18"/>
              </w:rPr>
            </w:pPr>
          </w:p>
        </w:tc>
        <w:tc>
          <w:tcPr>
            <w:tcW w:w="1756" w:type="dxa"/>
            <w:vAlign w:val="center"/>
          </w:tcPr>
          <w:p w:rsidR="000D43C8" w:rsidRPr="00B53524" w:rsidRDefault="000D43C8" w:rsidP="00B31025">
            <w:pPr>
              <w:spacing w:after="0"/>
              <w:jc w:val="center"/>
              <w:rPr>
                <w:rFonts w:ascii="Arial" w:hAnsi="Arial" w:cs="Arial"/>
                <w:color w:val="000000"/>
                <w:sz w:val="18"/>
                <w:szCs w:val="18"/>
              </w:rPr>
            </w:pPr>
          </w:p>
        </w:tc>
      </w:tr>
      <w:tr w:rsidR="000D43C8" w:rsidRPr="00B53524" w:rsidTr="00201664">
        <w:trPr>
          <w:trHeight w:val="360"/>
        </w:trPr>
        <w:tc>
          <w:tcPr>
            <w:tcW w:w="1296" w:type="dxa"/>
            <w:vAlign w:val="center"/>
          </w:tcPr>
          <w:p w:rsidR="000D43C8" w:rsidRPr="00B53524" w:rsidRDefault="000D43C8" w:rsidP="00B31025">
            <w:pPr>
              <w:keepNext/>
              <w:spacing w:after="0"/>
              <w:jc w:val="center"/>
              <w:rPr>
                <w:rFonts w:ascii="Arial" w:hAnsi="Arial" w:cs="Arial"/>
                <w:color w:val="000000"/>
                <w:sz w:val="18"/>
              </w:rPr>
            </w:pPr>
          </w:p>
        </w:tc>
        <w:tc>
          <w:tcPr>
            <w:tcW w:w="2862" w:type="dxa"/>
            <w:vAlign w:val="center"/>
          </w:tcPr>
          <w:p w:rsidR="000D43C8" w:rsidRPr="00B53524" w:rsidRDefault="000D43C8" w:rsidP="00B31025">
            <w:pPr>
              <w:keepNext/>
              <w:spacing w:after="0"/>
              <w:jc w:val="center"/>
              <w:rPr>
                <w:rFonts w:ascii="Arial" w:hAnsi="Arial" w:cs="Arial"/>
                <w:color w:val="000000"/>
                <w:sz w:val="18"/>
              </w:rPr>
            </w:pPr>
          </w:p>
        </w:tc>
        <w:tc>
          <w:tcPr>
            <w:tcW w:w="1560" w:type="dxa"/>
            <w:vAlign w:val="center"/>
          </w:tcPr>
          <w:p w:rsidR="000D43C8" w:rsidRPr="00B53524" w:rsidRDefault="000D43C8" w:rsidP="00B31025">
            <w:pPr>
              <w:keepNext/>
              <w:spacing w:after="0"/>
              <w:jc w:val="center"/>
              <w:rPr>
                <w:rFonts w:ascii="Arial" w:hAnsi="Arial" w:cs="Arial"/>
                <w:color w:val="000000"/>
                <w:sz w:val="18"/>
              </w:rPr>
            </w:pPr>
          </w:p>
        </w:tc>
        <w:tc>
          <w:tcPr>
            <w:tcW w:w="1698" w:type="dxa"/>
            <w:vAlign w:val="center"/>
          </w:tcPr>
          <w:p w:rsidR="000D43C8" w:rsidRPr="00B53524" w:rsidRDefault="000D43C8" w:rsidP="00B31025">
            <w:pPr>
              <w:keepNext/>
              <w:spacing w:after="0"/>
              <w:jc w:val="center"/>
              <w:rPr>
                <w:rFonts w:ascii="Arial" w:hAnsi="Arial" w:cs="Arial"/>
                <w:color w:val="000000"/>
                <w:sz w:val="18"/>
              </w:rPr>
            </w:pPr>
          </w:p>
        </w:tc>
        <w:tc>
          <w:tcPr>
            <w:tcW w:w="1756" w:type="dxa"/>
            <w:vAlign w:val="center"/>
          </w:tcPr>
          <w:p w:rsidR="000D43C8" w:rsidRPr="00B53524" w:rsidRDefault="000D43C8" w:rsidP="00B31025">
            <w:pPr>
              <w:spacing w:after="0"/>
              <w:jc w:val="center"/>
              <w:rPr>
                <w:rFonts w:ascii="Arial" w:hAnsi="Arial" w:cs="Arial"/>
                <w:color w:val="000000"/>
                <w:sz w:val="18"/>
                <w:szCs w:val="18"/>
              </w:rPr>
            </w:pPr>
          </w:p>
        </w:tc>
      </w:tr>
      <w:tr w:rsidR="000D43C8" w:rsidRPr="00B53524" w:rsidTr="00201664">
        <w:trPr>
          <w:trHeight w:val="360"/>
        </w:trPr>
        <w:tc>
          <w:tcPr>
            <w:tcW w:w="1296" w:type="dxa"/>
            <w:vAlign w:val="center"/>
          </w:tcPr>
          <w:p w:rsidR="000D43C8" w:rsidRPr="00B53524" w:rsidRDefault="000D43C8" w:rsidP="00B31025">
            <w:pPr>
              <w:keepNext/>
              <w:spacing w:after="0"/>
              <w:jc w:val="center"/>
              <w:rPr>
                <w:rFonts w:ascii="Arial" w:hAnsi="Arial" w:cs="Arial"/>
                <w:color w:val="000000"/>
                <w:sz w:val="18"/>
              </w:rPr>
            </w:pPr>
          </w:p>
        </w:tc>
        <w:tc>
          <w:tcPr>
            <w:tcW w:w="2862" w:type="dxa"/>
            <w:vAlign w:val="center"/>
          </w:tcPr>
          <w:p w:rsidR="000D43C8" w:rsidRPr="00B53524" w:rsidRDefault="000D43C8" w:rsidP="00B31025">
            <w:pPr>
              <w:keepNext/>
              <w:spacing w:after="0"/>
              <w:jc w:val="center"/>
              <w:rPr>
                <w:rFonts w:ascii="Arial" w:hAnsi="Arial" w:cs="Arial"/>
                <w:color w:val="000000"/>
                <w:sz w:val="18"/>
              </w:rPr>
            </w:pPr>
          </w:p>
        </w:tc>
        <w:tc>
          <w:tcPr>
            <w:tcW w:w="1560" w:type="dxa"/>
            <w:vAlign w:val="center"/>
          </w:tcPr>
          <w:p w:rsidR="000D43C8" w:rsidRPr="00B53524" w:rsidRDefault="000D43C8" w:rsidP="00B31025">
            <w:pPr>
              <w:keepNext/>
              <w:spacing w:after="0"/>
              <w:jc w:val="center"/>
              <w:rPr>
                <w:rFonts w:ascii="Arial" w:hAnsi="Arial" w:cs="Arial"/>
                <w:color w:val="000000"/>
                <w:sz w:val="18"/>
              </w:rPr>
            </w:pPr>
          </w:p>
        </w:tc>
        <w:tc>
          <w:tcPr>
            <w:tcW w:w="1698" w:type="dxa"/>
            <w:vAlign w:val="center"/>
          </w:tcPr>
          <w:p w:rsidR="000D43C8" w:rsidRPr="00B53524" w:rsidRDefault="000D43C8" w:rsidP="00B31025">
            <w:pPr>
              <w:keepNext/>
              <w:spacing w:after="0"/>
              <w:jc w:val="center"/>
              <w:rPr>
                <w:rFonts w:ascii="Arial" w:hAnsi="Arial" w:cs="Arial"/>
                <w:color w:val="000000"/>
                <w:sz w:val="18"/>
              </w:rPr>
            </w:pPr>
          </w:p>
        </w:tc>
        <w:tc>
          <w:tcPr>
            <w:tcW w:w="1756" w:type="dxa"/>
            <w:vAlign w:val="center"/>
          </w:tcPr>
          <w:p w:rsidR="000D43C8" w:rsidRPr="00B53524" w:rsidRDefault="000D43C8" w:rsidP="00B31025">
            <w:pPr>
              <w:spacing w:after="0"/>
              <w:jc w:val="center"/>
              <w:rPr>
                <w:rFonts w:ascii="Arial" w:hAnsi="Arial" w:cs="Arial"/>
                <w:color w:val="000000"/>
                <w:sz w:val="18"/>
                <w:szCs w:val="18"/>
              </w:rPr>
            </w:pPr>
          </w:p>
        </w:tc>
      </w:tr>
      <w:tr w:rsidR="000D43C8" w:rsidRPr="00B53524" w:rsidTr="00201664">
        <w:trPr>
          <w:trHeight w:val="360"/>
        </w:trPr>
        <w:tc>
          <w:tcPr>
            <w:tcW w:w="1296" w:type="dxa"/>
            <w:vAlign w:val="center"/>
          </w:tcPr>
          <w:p w:rsidR="000D43C8" w:rsidRPr="00B53524" w:rsidRDefault="000D43C8" w:rsidP="00B31025">
            <w:pPr>
              <w:keepNext/>
              <w:spacing w:after="0"/>
              <w:jc w:val="center"/>
              <w:rPr>
                <w:rFonts w:ascii="Arial" w:hAnsi="Arial" w:cs="Arial"/>
                <w:color w:val="000000"/>
                <w:sz w:val="18"/>
              </w:rPr>
            </w:pPr>
          </w:p>
        </w:tc>
        <w:tc>
          <w:tcPr>
            <w:tcW w:w="2862" w:type="dxa"/>
            <w:vAlign w:val="center"/>
          </w:tcPr>
          <w:p w:rsidR="000D43C8" w:rsidRPr="00B53524" w:rsidRDefault="000D43C8" w:rsidP="00B31025">
            <w:pPr>
              <w:keepNext/>
              <w:spacing w:after="0"/>
              <w:jc w:val="center"/>
              <w:rPr>
                <w:rFonts w:ascii="Arial" w:hAnsi="Arial" w:cs="Arial"/>
                <w:color w:val="000000"/>
                <w:sz w:val="18"/>
              </w:rPr>
            </w:pPr>
          </w:p>
        </w:tc>
        <w:tc>
          <w:tcPr>
            <w:tcW w:w="1560" w:type="dxa"/>
            <w:vAlign w:val="center"/>
          </w:tcPr>
          <w:p w:rsidR="000D43C8" w:rsidRPr="00B53524" w:rsidRDefault="000D43C8" w:rsidP="00B31025">
            <w:pPr>
              <w:keepNext/>
              <w:spacing w:after="0"/>
              <w:jc w:val="center"/>
              <w:rPr>
                <w:rFonts w:ascii="Arial" w:hAnsi="Arial" w:cs="Arial"/>
                <w:color w:val="000000"/>
                <w:sz w:val="18"/>
              </w:rPr>
            </w:pPr>
          </w:p>
        </w:tc>
        <w:tc>
          <w:tcPr>
            <w:tcW w:w="1698" w:type="dxa"/>
            <w:vAlign w:val="center"/>
          </w:tcPr>
          <w:p w:rsidR="000D43C8" w:rsidRPr="00B53524" w:rsidRDefault="000D43C8" w:rsidP="00B31025">
            <w:pPr>
              <w:keepNext/>
              <w:spacing w:after="0"/>
              <w:jc w:val="center"/>
              <w:rPr>
                <w:rFonts w:ascii="Arial" w:hAnsi="Arial" w:cs="Arial"/>
                <w:color w:val="000000"/>
                <w:sz w:val="18"/>
              </w:rPr>
            </w:pPr>
          </w:p>
        </w:tc>
        <w:tc>
          <w:tcPr>
            <w:tcW w:w="1756" w:type="dxa"/>
            <w:vAlign w:val="center"/>
          </w:tcPr>
          <w:p w:rsidR="000D43C8" w:rsidRPr="00B53524" w:rsidRDefault="000D43C8" w:rsidP="00B31025">
            <w:pPr>
              <w:spacing w:after="0"/>
              <w:jc w:val="center"/>
              <w:rPr>
                <w:rFonts w:ascii="Arial" w:hAnsi="Arial" w:cs="Arial"/>
                <w:color w:val="000000"/>
                <w:sz w:val="18"/>
                <w:szCs w:val="18"/>
              </w:rPr>
            </w:pPr>
          </w:p>
        </w:tc>
      </w:tr>
      <w:tr w:rsidR="000D43C8" w:rsidRPr="00B53524" w:rsidTr="00201664">
        <w:trPr>
          <w:trHeight w:val="360"/>
        </w:trPr>
        <w:tc>
          <w:tcPr>
            <w:tcW w:w="1296" w:type="dxa"/>
            <w:vAlign w:val="center"/>
          </w:tcPr>
          <w:p w:rsidR="000D43C8" w:rsidRPr="00B53524" w:rsidRDefault="000D43C8" w:rsidP="00B31025">
            <w:pPr>
              <w:spacing w:after="0"/>
              <w:jc w:val="center"/>
              <w:rPr>
                <w:rFonts w:ascii="Arial" w:hAnsi="Arial" w:cs="Arial"/>
                <w:color w:val="000000"/>
                <w:sz w:val="18"/>
              </w:rPr>
            </w:pPr>
          </w:p>
        </w:tc>
        <w:tc>
          <w:tcPr>
            <w:tcW w:w="2862" w:type="dxa"/>
            <w:vAlign w:val="center"/>
          </w:tcPr>
          <w:p w:rsidR="000D43C8" w:rsidRPr="00B53524" w:rsidRDefault="000D43C8" w:rsidP="00B31025">
            <w:pPr>
              <w:spacing w:after="0"/>
              <w:jc w:val="center"/>
              <w:rPr>
                <w:rFonts w:ascii="Arial" w:hAnsi="Arial" w:cs="Arial"/>
                <w:color w:val="000000"/>
                <w:sz w:val="18"/>
              </w:rPr>
            </w:pPr>
          </w:p>
        </w:tc>
        <w:tc>
          <w:tcPr>
            <w:tcW w:w="1560" w:type="dxa"/>
            <w:vAlign w:val="center"/>
          </w:tcPr>
          <w:p w:rsidR="000D43C8" w:rsidRPr="00B53524" w:rsidRDefault="000D43C8" w:rsidP="00B31025">
            <w:pPr>
              <w:spacing w:after="0"/>
              <w:jc w:val="center"/>
              <w:rPr>
                <w:rFonts w:ascii="Arial" w:hAnsi="Arial" w:cs="Arial"/>
                <w:color w:val="000000"/>
                <w:sz w:val="18"/>
              </w:rPr>
            </w:pPr>
          </w:p>
        </w:tc>
        <w:tc>
          <w:tcPr>
            <w:tcW w:w="1698" w:type="dxa"/>
            <w:vAlign w:val="center"/>
          </w:tcPr>
          <w:p w:rsidR="000D43C8" w:rsidRPr="00B53524" w:rsidRDefault="000D43C8" w:rsidP="00B31025">
            <w:pPr>
              <w:spacing w:after="0"/>
              <w:jc w:val="center"/>
              <w:rPr>
                <w:rFonts w:ascii="Arial" w:hAnsi="Arial" w:cs="Arial"/>
                <w:color w:val="000000"/>
                <w:sz w:val="18"/>
              </w:rPr>
            </w:pPr>
          </w:p>
        </w:tc>
        <w:tc>
          <w:tcPr>
            <w:tcW w:w="1756" w:type="dxa"/>
            <w:vAlign w:val="center"/>
          </w:tcPr>
          <w:p w:rsidR="000D43C8" w:rsidRPr="00B53524" w:rsidRDefault="000D43C8" w:rsidP="00B31025">
            <w:pPr>
              <w:spacing w:after="0"/>
              <w:jc w:val="center"/>
              <w:rPr>
                <w:rFonts w:ascii="Arial" w:hAnsi="Arial" w:cs="Arial"/>
                <w:color w:val="000000"/>
                <w:sz w:val="18"/>
                <w:szCs w:val="18"/>
              </w:rPr>
            </w:pPr>
          </w:p>
        </w:tc>
      </w:tr>
      <w:tr w:rsidR="000D43C8" w:rsidRPr="00B53524" w:rsidTr="00201664">
        <w:trPr>
          <w:trHeight w:val="360"/>
        </w:trPr>
        <w:tc>
          <w:tcPr>
            <w:tcW w:w="1296" w:type="dxa"/>
            <w:vAlign w:val="center"/>
          </w:tcPr>
          <w:p w:rsidR="000D43C8" w:rsidRPr="00B53524" w:rsidRDefault="000D43C8" w:rsidP="00B31025">
            <w:pPr>
              <w:spacing w:after="0"/>
              <w:jc w:val="center"/>
              <w:rPr>
                <w:rFonts w:ascii="Arial" w:hAnsi="Arial" w:cs="Arial"/>
                <w:color w:val="000000"/>
                <w:sz w:val="18"/>
              </w:rPr>
            </w:pPr>
          </w:p>
        </w:tc>
        <w:tc>
          <w:tcPr>
            <w:tcW w:w="2862" w:type="dxa"/>
            <w:vAlign w:val="center"/>
          </w:tcPr>
          <w:p w:rsidR="000D43C8" w:rsidRPr="00B53524" w:rsidRDefault="000D43C8" w:rsidP="00B31025">
            <w:pPr>
              <w:spacing w:after="0"/>
              <w:jc w:val="center"/>
              <w:rPr>
                <w:rFonts w:ascii="Arial" w:hAnsi="Arial" w:cs="Arial"/>
                <w:color w:val="000000"/>
                <w:sz w:val="18"/>
              </w:rPr>
            </w:pPr>
          </w:p>
        </w:tc>
        <w:tc>
          <w:tcPr>
            <w:tcW w:w="1560" w:type="dxa"/>
            <w:vAlign w:val="center"/>
          </w:tcPr>
          <w:p w:rsidR="000D43C8" w:rsidRPr="00B53524" w:rsidRDefault="000D43C8" w:rsidP="00B31025">
            <w:pPr>
              <w:spacing w:after="0"/>
              <w:jc w:val="center"/>
              <w:rPr>
                <w:rFonts w:ascii="Arial" w:hAnsi="Arial" w:cs="Arial"/>
                <w:color w:val="000000"/>
                <w:sz w:val="18"/>
              </w:rPr>
            </w:pPr>
          </w:p>
        </w:tc>
        <w:tc>
          <w:tcPr>
            <w:tcW w:w="1698" w:type="dxa"/>
            <w:vAlign w:val="center"/>
          </w:tcPr>
          <w:p w:rsidR="000D43C8" w:rsidRPr="00B53524" w:rsidRDefault="000D43C8" w:rsidP="00B31025">
            <w:pPr>
              <w:spacing w:after="0"/>
              <w:jc w:val="center"/>
              <w:rPr>
                <w:rFonts w:ascii="Arial" w:hAnsi="Arial" w:cs="Arial"/>
                <w:color w:val="000000"/>
                <w:sz w:val="18"/>
              </w:rPr>
            </w:pPr>
          </w:p>
        </w:tc>
        <w:tc>
          <w:tcPr>
            <w:tcW w:w="1756" w:type="dxa"/>
            <w:vAlign w:val="center"/>
          </w:tcPr>
          <w:p w:rsidR="000D43C8" w:rsidRPr="00B53524" w:rsidRDefault="000D43C8" w:rsidP="00B31025">
            <w:pPr>
              <w:spacing w:after="0"/>
              <w:jc w:val="center"/>
              <w:rPr>
                <w:rFonts w:ascii="Arial" w:hAnsi="Arial" w:cs="Arial"/>
                <w:color w:val="000000"/>
                <w:sz w:val="18"/>
                <w:szCs w:val="18"/>
              </w:rPr>
            </w:pPr>
          </w:p>
        </w:tc>
      </w:tr>
      <w:tr w:rsidR="000D43C8" w:rsidRPr="00B53524" w:rsidTr="004D379D">
        <w:trPr>
          <w:trHeight w:val="360"/>
        </w:trPr>
        <w:tc>
          <w:tcPr>
            <w:tcW w:w="1296" w:type="dxa"/>
            <w:tcBorders>
              <w:bottom w:val="single" w:sz="4" w:space="0" w:color="auto"/>
            </w:tcBorders>
            <w:vAlign w:val="center"/>
          </w:tcPr>
          <w:p w:rsidR="000D43C8" w:rsidRPr="00B53524" w:rsidRDefault="000D43C8" w:rsidP="00B31025">
            <w:pPr>
              <w:spacing w:after="0"/>
              <w:jc w:val="center"/>
              <w:rPr>
                <w:rFonts w:ascii="Arial" w:hAnsi="Arial" w:cs="Arial"/>
                <w:color w:val="000000"/>
                <w:sz w:val="18"/>
              </w:rPr>
            </w:pPr>
          </w:p>
        </w:tc>
        <w:tc>
          <w:tcPr>
            <w:tcW w:w="2862" w:type="dxa"/>
            <w:tcBorders>
              <w:bottom w:val="single" w:sz="4" w:space="0" w:color="auto"/>
            </w:tcBorders>
            <w:vAlign w:val="center"/>
          </w:tcPr>
          <w:p w:rsidR="000D43C8" w:rsidRPr="00B53524" w:rsidRDefault="000D43C8" w:rsidP="00B31025">
            <w:pPr>
              <w:spacing w:after="0"/>
              <w:jc w:val="center"/>
              <w:rPr>
                <w:rFonts w:ascii="Arial" w:hAnsi="Arial" w:cs="Arial"/>
                <w:color w:val="000000"/>
                <w:sz w:val="18"/>
              </w:rPr>
            </w:pPr>
          </w:p>
        </w:tc>
        <w:tc>
          <w:tcPr>
            <w:tcW w:w="1560" w:type="dxa"/>
            <w:tcBorders>
              <w:bottom w:val="single" w:sz="4" w:space="0" w:color="auto"/>
            </w:tcBorders>
            <w:vAlign w:val="center"/>
          </w:tcPr>
          <w:p w:rsidR="000D43C8" w:rsidRPr="00B53524" w:rsidRDefault="000D43C8" w:rsidP="00B31025">
            <w:pPr>
              <w:spacing w:after="0"/>
              <w:jc w:val="center"/>
              <w:rPr>
                <w:rFonts w:ascii="Arial" w:hAnsi="Arial" w:cs="Arial"/>
                <w:color w:val="000000"/>
                <w:sz w:val="18"/>
              </w:rPr>
            </w:pPr>
          </w:p>
        </w:tc>
        <w:tc>
          <w:tcPr>
            <w:tcW w:w="1698" w:type="dxa"/>
            <w:tcBorders>
              <w:bottom w:val="single" w:sz="4" w:space="0" w:color="auto"/>
            </w:tcBorders>
            <w:vAlign w:val="center"/>
          </w:tcPr>
          <w:p w:rsidR="000D43C8" w:rsidRPr="00B53524" w:rsidRDefault="000D43C8" w:rsidP="00B31025">
            <w:pPr>
              <w:spacing w:after="0"/>
              <w:jc w:val="center"/>
              <w:rPr>
                <w:rFonts w:ascii="Arial" w:hAnsi="Arial" w:cs="Arial"/>
                <w:color w:val="000000"/>
                <w:sz w:val="18"/>
              </w:rPr>
            </w:pPr>
          </w:p>
        </w:tc>
        <w:tc>
          <w:tcPr>
            <w:tcW w:w="1756" w:type="dxa"/>
            <w:vAlign w:val="center"/>
          </w:tcPr>
          <w:p w:rsidR="000D43C8" w:rsidRPr="00B53524" w:rsidRDefault="000D43C8" w:rsidP="00B31025">
            <w:pPr>
              <w:spacing w:after="0"/>
              <w:jc w:val="center"/>
              <w:rPr>
                <w:rFonts w:ascii="Arial" w:hAnsi="Arial" w:cs="Arial"/>
                <w:color w:val="000000"/>
                <w:sz w:val="18"/>
                <w:szCs w:val="18"/>
              </w:rPr>
            </w:pPr>
          </w:p>
        </w:tc>
      </w:tr>
      <w:tr w:rsidR="004D379D" w:rsidRPr="00B53524" w:rsidTr="004D379D">
        <w:trPr>
          <w:trHeight w:val="360"/>
        </w:trPr>
        <w:tc>
          <w:tcPr>
            <w:tcW w:w="1296" w:type="dxa"/>
            <w:tcBorders>
              <w:bottom w:val="nil"/>
              <w:right w:val="nil"/>
            </w:tcBorders>
            <w:vAlign w:val="center"/>
          </w:tcPr>
          <w:p w:rsidR="004D379D" w:rsidRPr="00B53524" w:rsidRDefault="004D379D" w:rsidP="00B31025">
            <w:pPr>
              <w:spacing w:after="0"/>
              <w:jc w:val="center"/>
              <w:rPr>
                <w:rFonts w:ascii="Arial" w:hAnsi="Arial" w:cs="Arial"/>
                <w:color w:val="000000"/>
                <w:sz w:val="18"/>
              </w:rPr>
            </w:pPr>
          </w:p>
        </w:tc>
        <w:tc>
          <w:tcPr>
            <w:tcW w:w="2862" w:type="dxa"/>
            <w:tcBorders>
              <w:left w:val="nil"/>
              <w:bottom w:val="nil"/>
              <w:right w:val="single" w:sz="4" w:space="0" w:color="auto"/>
            </w:tcBorders>
            <w:vAlign w:val="center"/>
          </w:tcPr>
          <w:p w:rsidR="004D379D" w:rsidRPr="00B53524" w:rsidRDefault="004D379D" w:rsidP="004D379D">
            <w:pPr>
              <w:spacing w:after="0"/>
              <w:jc w:val="right"/>
              <w:rPr>
                <w:rFonts w:ascii="Arial" w:hAnsi="Arial" w:cs="Arial"/>
                <w:color w:val="000000"/>
                <w:sz w:val="18"/>
              </w:rPr>
            </w:pPr>
            <w:r w:rsidRPr="00311A64">
              <w:rPr>
                <w:rFonts w:ascii="Arial" w:hAnsi="Arial" w:cs="Arial"/>
                <w:color w:val="000000"/>
                <w:sz w:val="18"/>
              </w:rPr>
              <w:t>Box 1:</w:t>
            </w:r>
          </w:p>
        </w:tc>
        <w:tc>
          <w:tcPr>
            <w:tcW w:w="3258" w:type="dxa"/>
            <w:gridSpan w:val="2"/>
            <w:tcBorders>
              <w:left w:val="single" w:sz="4" w:space="0" w:color="auto"/>
              <w:bottom w:val="single" w:sz="4" w:space="0" w:color="auto"/>
            </w:tcBorders>
            <w:vAlign w:val="center"/>
          </w:tcPr>
          <w:p w:rsidR="004D379D" w:rsidRPr="00B53524" w:rsidRDefault="004D379D" w:rsidP="00B31025">
            <w:pPr>
              <w:spacing w:after="0"/>
              <w:jc w:val="right"/>
              <w:rPr>
                <w:rFonts w:ascii="Arial" w:hAnsi="Arial" w:cs="Arial"/>
                <w:color w:val="000000"/>
                <w:sz w:val="18"/>
              </w:rPr>
            </w:pPr>
            <w:r w:rsidRPr="00311A64">
              <w:rPr>
                <w:rFonts w:ascii="Arial" w:hAnsi="Arial" w:cs="Arial"/>
                <w:color w:val="000000"/>
                <w:sz w:val="18"/>
              </w:rPr>
              <w:t xml:space="preserve">∑ </w:t>
            </w:r>
            <w:r w:rsidRPr="00311A64">
              <w:rPr>
                <w:rFonts w:ascii="Arial" w:hAnsi="Arial" w:cs="Arial"/>
                <w:i/>
                <w:color w:val="000000"/>
                <w:sz w:val="18"/>
              </w:rPr>
              <w:t>d</w:t>
            </w:r>
            <w:r w:rsidRPr="00311A64">
              <w:rPr>
                <w:rFonts w:ascii="Arial" w:hAnsi="Arial" w:cs="Arial"/>
                <w:i/>
                <w:color w:val="000000"/>
                <w:sz w:val="18"/>
                <w:vertAlign w:val="subscript"/>
              </w:rPr>
              <w:t>i</w:t>
            </w:r>
            <w:r w:rsidRPr="00311A64">
              <w:rPr>
                <w:rFonts w:ascii="Arial" w:hAnsi="Arial" w:cs="Arial"/>
                <w:i/>
                <w:color w:val="000000"/>
                <w:sz w:val="18"/>
              </w:rPr>
              <w:t xml:space="preserve"> × IA</w:t>
            </w:r>
            <w:r w:rsidRPr="00311A64">
              <w:rPr>
                <w:rFonts w:ascii="Arial" w:hAnsi="Arial" w:cs="Arial"/>
                <w:i/>
                <w:color w:val="000000"/>
                <w:sz w:val="18"/>
                <w:vertAlign w:val="subscript"/>
              </w:rPr>
              <w:t xml:space="preserve">i </w:t>
            </w:r>
            <w:r w:rsidRPr="00311A64">
              <w:rPr>
                <w:rFonts w:ascii="Arial" w:hAnsi="Arial" w:cs="Arial"/>
                <w:i/>
                <w:color w:val="000000"/>
                <w:sz w:val="18"/>
              </w:rPr>
              <w:t>=</w:t>
            </w:r>
          </w:p>
        </w:tc>
        <w:tc>
          <w:tcPr>
            <w:tcW w:w="1756" w:type="dxa"/>
            <w:vAlign w:val="center"/>
          </w:tcPr>
          <w:p w:rsidR="004D379D" w:rsidRPr="00B53524" w:rsidRDefault="004D379D" w:rsidP="00B31025">
            <w:pPr>
              <w:spacing w:after="0"/>
              <w:jc w:val="center"/>
              <w:rPr>
                <w:rFonts w:ascii="Arial" w:hAnsi="Arial" w:cs="Arial"/>
                <w:color w:val="00B0F0"/>
                <w:sz w:val="18"/>
                <w:szCs w:val="18"/>
              </w:rPr>
            </w:pPr>
            <w:r w:rsidRPr="00311A64">
              <w:rPr>
                <w:rFonts w:ascii="Arial" w:hAnsi="Arial" w:cs="Arial"/>
                <w:color w:val="00B0F0"/>
                <w:sz w:val="18"/>
                <w:szCs w:val="18"/>
              </w:rPr>
              <w:t>0.175</w:t>
            </w:r>
          </w:p>
        </w:tc>
      </w:tr>
      <w:tr w:rsidR="004D379D" w:rsidRPr="00B53524" w:rsidTr="004D379D">
        <w:trPr>
          <w:trHeight w:val="458"/>
        </w:trPr>
        <w:tc>
          <w:tcPr>
            <w:tcW w:w="1296" w:type="dxa"/>
            <w:tcBorders>
              <w:top w:val="nil"/>
              <w:bottom w:val="nil"/>
              <w:right w:val="nil"/>
            </w:tcBorders>
            <w:vAlign w:val="center"/>
          </w:tcPr>
          <w:p w:rsidR="004D379D" w:rsidRPr="00B53524" w:rsidRDefault="004D379D" w:rsidP="00B31025">
            <w:pPr>
              <w:spacing w:after="0"/>
              <w:jc w:val="center"/>
              <w:rPr>
                <w:rFonts w:ascii="Arial" w:hAnsi="Arial" w:cs="Arial"/>
                <w:color w:val="000000"/>
                <w:sz w:val="18"/>
              </w:rPr>
            </w:pPr>
          </w:p>
        </w:tc>
        <w:tc>
          <w:tcPr>
            <w:tcW w:w="2862" w:type="dxa"/>
            <w:tcBorders>
              <w:top w:val="nil"/>
              <w:left w:val="nil"/>
              <w:bottom w:val="nil"/>
              <w:right w:val="single" w:sz="4" w:space="0" w:color="auto"/>
            </w:tcBorders>
            <w:vAlign w:val="center"/>
          </w:tcPr>
          <w:p w:rsidR="004D379D" w:rsidRPr="00B53524" w:rsidRDefault="004D379D" w:rsidP="004D379D">
            <w:pPr>
              <w:spacing w:after="0"/>
              <w:jc w:val="right"/>
              <w:rPr>
                <w:rFonts w:ascii="Arial" w:hAnsi="Arial" w:cs="Arial"/>
                <w:color w:val="000000"/>
                <w:sz w:val="18"/>
              </w:rPr>
            </w:pPr>
            <w:r w:rsidRPr="00311A64">
              <w:rPr>
                <w:rFonts w:ascii="Arial" w:hAnsi="Arial" w:cs="Arial"/>
                <w:color w:val="000000"/>
                <w:sz w:val="18"/>
              </w:rPr>
              <w:t>Box 2:</w:t>
            </w:r>
          </w:p>
        </w:tc>
        <w:tc>
          <w:tcPr>
            <w:tcW w:w="3258" w:type="dxa"/>
            <w:gridSpan w:val="2"/>
            <w:tcBorders>
              <w:top w:val="single" w:sz="4" w:space="0" w:color="auto"/>
              <w:left w:val="single" w:sz="4" w:space="0" w:color="auto"/>
              <w:bottom w:val="single" w:sz="4" w:space="0" w:color="auto"/>
            </w:tcBorders>
            <w:vAlign w:val="center"/>
          </w:tcPr>
          <w:p w:rsidR="004D379D" w:rsidRPr="00B53524" w:rsidRDefault="004D379D" w:rsidP="00B31025">
            <w:pPr>
              <w:spacing w:after="0"/>
              <w:jc w:val="right"/>
              <w:rPr>
                <w:rFonts w:ascii="Arial" w:hAnsi="Arial" w:cs="Arial"/>
                <w:color w:val="000000"/>
                <w:sz w:val="18"/>
              </w:rPr>
            </w:pPr>
            <w:r w:rsidRPr="00311A64">
              <w:rPr>
                <w:rFonts w:ascii="Arial" w:hAnsi="Arial" w:cs="Arial"/>
                <w:i/>
                <w:color w:val="000000"/>
                <w:sz w:val="18"/>
              </w:rPr>
              <w:t>IA</w:t>
            </w:r>
            <w:r w:rsidRPr="00311A64">
              <w:rPr>
                <w:rFonts w:ascii="Arial" w:hAnsi="Arial" w:cs="Arial"/>
                <w:i/>
                <w:color w:val="000000"/>
                <w:sz w:val="18"/>
                <w:vertAlign w:val="subscript"/>
              </w:rPr>
              <w:t xml:space="preserve">total </w:t>
            </w:r>
            <w:r w:rsidRPr="00311A64">
              <w:rPr>
                <w:rFonts w:ascii="Arial" w:hAnsi="Arial" w:cs="Arial"/>
                <w:color w:val="000000"/>
                <w:sz w:val="18"/>
              </w:rPr>
              <w:t>=</w:t>
            </w:r>
          </w:p>
        </w:tc>
        <w:tc>
          <w:tcPr>
            <w:tcW w:w="1756" w:type="dxa"/>
            <w:vAlign w:val="center"/>
          </w:tcPr>
          <w:p w:rsidR="004D379D" w:rsidRPr="00B53524" w:rsidRDefault="004D379D" w:rsidP="00B31025">
            <w:pPr>
              <w:spacing w:after="0"/>
              <w:jc w:val="center"/>
              <w:rPr>
                <w:rFonts w:ascii="Arial" w:hAnsi="Arial" w:cs="Arial"/>
                <w:color w:val="00B0F0"/>
                <w:sz w:val="18"/>
                <w:szCs w:val="18"/>
              </w:rPr>
            </w:pPr>
            <w:r w:rsidRPr="00311A64">
              <w:rPr>
                <w:rFonts w:ascii="Arial" w:hAnsi="Arial" w:cs="Arial"/>
                <w:color w:val="00B0F0"/>
                <w:sz w:val="18"/>
                <w:szCs w:val="18"/>
              </w:rPr>
              <w:t>1.3</w:t>
            </w:r>
          </w:p>
        </w:tc>
      </w:tr>
      <w:tr w:rsidR="004D379D" w:rsidRPr="00B53524" w:rsidTr="004D379D">
        <w:trPr>
          <w:trHeight w:val="360"/>
        </w:trPr>
        <w:tc>
          <w:tcPr>
            <w:tcW w:w="1296" w:type="dxa"/>
            <w:tcBorders>
              <w:top w:val="nil"/>
              <w:bottom w:val="nil"/>
              <w:right w:val="nil"/>
            </w:tcBorders>
            <w:vAlign w:val="center"/>
          </w:tcPr>
          <w:p w:rsidR="004D379D" w:rsidRPr="00B53524" w:rsidRDefault="004D379D" w:rsidP="00B31025">
            <w:pPr>
              <w:spacing w:after="0"/>
              <w:jc w:val="center"/>
              <w:rPr>
                <w:rFonts w:ascii="Arial" w:hAnsi="Arial" w:cs="Arial"/>
                <w:color w:val="000000"/>
                <w:sz w:val="18"/>
              </w:rPr>
            </w:pPr>
          </w:p>
        </w:tc>
        <w:tc>
          <w:tcPr>
            <w:tcW w:w="2862" w:type="dxa"/>
            <w:tcBorders>
              <w:top w:val="nil"/>
              <w:left w:val="nil"/>
              <w:bottom w:val="nil"/>
              <w:right w:val="single" w:sz="4" w:space="0" w:color="auto"/>
            </w:tcBorders>
            <w:vAlign w:val="center"/>
          </w:tcPr>
          <w:p w:rsidR="004D379D" w:rsidRPr="00B53524" w:rsidRDefault="004D379D" w:rsidP="004D379D">
            <w:pPr>
              <w:spacing w:after="0"/>
              <w:jc w:val="right"/>
              <w:rPr>
                <w:rFonts w:ascii="Arial" w:hAnsi="Arial" w:cs="Arial"/>
                <w:color w:val="000000"/>
                <w:sz w:val="18"/>
              </w:rPr>
            </w:pPr>
            <w:r w:rsidRPr="00311A64">
              <w:rPr>
                <w:rFonts w:ascii="Arial" w:hAnsi="Arial" w:cs="Arial"/>
                <w:color w:val="000000"/>
                <w:sz w:val="18"/>
              </w:rPr>
              <w:t>[Box 1]/[Box 2]:</w:t>
            </w:r>
            <w:r w:rsidRPr="00311A64">
              <w:rPr>
                <w:rFonts w:ascii="Arial" w:hAnsi="Arial" w:cs="Arial"/>
                <w:i/>
                <w:color w:val="000000"/>
                <w:sz w:val="18"/>
              </w:rPr>
              <w:t xml:space="preserve">  </w:t>
            </w:r>
          </w:p>
        </w:tc>
        <w:tc>
          <w:tcPr>
            <w:tcW w:w="3258" w:type="dxa"/>
            <w:gridSpan w:val="2"/>
            <w:tcBorders>
              <w:top w:val="single" w:sz="4" w:space="0" w:color="auto"/>
              <w:left w:val="single" w:sz="4" w:space="0" w:color="auto"/>
              <w:bottom w:val="single" w:sz="4" w:space="0" w:color="auto"/>
            </w:tcBorders>
            <w:vAlign w:val="center"/>
          </w:tcPr>
          <w:p w:rsidR="004D379D" w:rsidRPr="00B53524" w:rsidRDefault="004D379D" w:rsidP="00B31025">
            <w:pPr>
              <w:spacing w:after="0"/>
              <w:jc w:val="right"/>
              <w:rPr>
                <w:rFonts w:ascii="Arial" w:hAnsi="Arial" w:cs="Arial"/>
                <w:i/>
                <w:color w:val="000000"/>
                <w:sz w:val="18"/>
              </w:rPr>
            </w:pPr>
            <w:r w:rsidRPr="00311A64">
              <w:rPr>
                <w:rFonts w:ascii="Arial" w:hAnsi="Arial" w:cs="Arial"/>
                <w:i/>
                <w:color w:val="000000"/>
                <w:sz w:val="18"/>
              </w:rPr>
              <w:t>d</w:t>
            </w:r>
            <w:r w:rsidRPr="00311A64">
              <w:rPr>
                <w:rFonts w:ascii="Arial" w:hAnsi="Arial" w:cs="Arial"/>
                <w:i/>
                <w:color w:val="000000"/>
                <w:sz w:val="18"/>
                <w:vertAlign w:val="subscript"/>
              </w:rPr>
              <w:t xml:space="preserve">HSC total </w:t>
            </w:r>
            <w:r w:rsidRPr="00311A64">
              <w:rPr>
                <w:rFonts w:ascii="Arial" w:hAnsi="Arial" w:cs="Arial"/>
                <w:i/>
                <w:color w:val="000000"/>
                <w:sz w:val="18"/>
              </w:rPr>
              <w:t>=</w:t>
            </w:r>
          </w:p>
        </w:tc>
        <w:tc>
          <w:tcPr>
            <w:tcW w:w="1756" w:type="dxa"/>
            <w:vAlign w:val="center"/>
          </w:tcPr>
          <w:p w:rsidR="004D379D" w:rsidRPr="00B53524" w:rsidRDefault="004D379D" w:rsidP="00851327">
            <w:pPr>
              <w:keepNext/>
              <w:spacing w:after="0"/>
              <w:jc w:val="center"/>
              <w:rPr>
                <w:rFonts w:ascii="Arial" w:hAnsi="Arial" w:cs="Arial"/>
                <w:color w:val="00B0F0"/>
                <w:sz w:val="18"/>
                <w:szCs w:val="18"/>
              </w:rPr>
            </w:pPr>
            <w:r w:rsidRPr="00311A64">
              <w:rPr>
                <w:rFonts w:ascii="Arial" w:hAnsi="Arial" w:cs="Arial"/>
                <w:color w:val="00B0F0"/>
                <w:sz w:val="18"/>
                <w:szCs w:val="18"/>
              </w:rPr>
              <w:t>0.135</w:t>
            </w:r>
          </w:p>
        </w:tc>
      </w:tr>
      <w:tr w:rsidR="004D379D" w:rsidRPr="00B53524" w:rsidTr="004D379D">
        <w:trPr>
          <w:trHeight w:val="360"/>
        </w:trPr>
        <w:tc>
          <w:tcPr>
            <w:tcW w:w="1296" w:type="dxa"/>
            <w:tcBorders>
              <w:top w:val="nil"/>
              <w:right w:val="nil"/>
            </w:tcBorders>
            <w:vAlign w:val="center"/>
          </w:tcPr>
          <w:p w:rsidR="004D379D" w:rsidRPr="00B53524" w:rsidRDefault="004D379D" w:rsidP="00B31025">
            <w:pPr>
              <w:spacing w:after="0"/>
              <w:jc w:val="center"/>
              <w:rPr>
                <w:rFonts w:ascii="Arial" w:hAnsi="Arial" w:cs="Arial"/>
                <w:color w:val="000000"/>
                <w:sz w:val="18"/>
              </w:rPr>
            </w:pPr>
          </w:p>
        </w:tc>
        <w:tc>
          <w:tcPr>
            <w:tcW w:w="2862" w:type="dxa"/>
            <w:tcBorders>
              <w:top w:val="nil"/>
              <w:left w:val="nil"/>
              <w:right w:val="single" w:sz="4" w:space="0" w:color="auto"/>
            </w:tcBorders>
            <w:vAlign w:val="center"/>
          </w:tcPr>
          <w:p w:rsidR="004D379D" w:rsidRPr="00311A64" w:rsidRDefault="004D379D" w:rsidP="004D379D">
            <w:pPr>
              <w:spacing w:after="0"/>
              <w:jc w:val="right"/>
              <w:rPr>
                <w:rFonts w:ascii="Arial" w:hAnsi="Arial" w:cs="Arial"/>
                <w:color w:val="000000"/>
                <w:sz w:val="18"/>
              </w:rPr>
            </w:pPr>
          </w:p>
        </w:tc>
        <w:tc>
          <w:tcPr>
            <w:tcW w:w="3258" w:type="dxa"/>
            <w:gridSpan w:val="2"/>
            <w:tcBorders>
              <w:top w:val="single" w:sz="4" w:space="0" w:color="auto"/>
              <w:left w:val="single" w:sz="4" w:space="0" w:color="auto"/>
            </w:tcBorders>
            <w:vAlign w:val="center"/>
          </w:tcPr>
          <w:p w:rsidR="004D379D" w:rsidRPr="00311A64" w:rsidRDefault="004D379D" w:rsidP="00B31025">
            <w:pPr>
              <w:spacing w:after="0"/>
              <w:jc w:val="right"/>
              <w:rPr>
                <w:rFonts w:ascii="Arial" w:hAnsi="Arial" w:cs="Arial"/>
                <w:i/>
                <w:color w:val="000000"/>
                <w:sz w:val="18"/>
              </w:rPr>
            </w:pPr>
            <w:r>
              <w:rPr>
                <w:rFonts w:ascii="Arial" w:hAnsi="Arial" w:cs="Arial"/>
                <w:i/>
                <w:sz w:val="18"/>
              </w:rPr>
              <w:t>Percent Capture Provided by HSCs (</w:t>
            </w:r>
            <w:fldSimple w:instr=" REF _Ref285399288 \h  \* MERGEFORMAT ">
              <w:r w:rsidR="00126DE5" w:rsidRPr="00126DE5">
                <w:rPr>
                  <w:rFonts w:cs="Arial"/>
                  <w:b/>
                  <w:color w:val="0070C0"/>
                  <w:sz w:val="20"/>
                  <w:szCs w:val="20"/>
                </w:rPr>
                <w:t xml:space="preserve">Table </w:t>
              </w:r>
              <w:r w:rsidR="00126DE5" w:rsidRPr="00126DE5">
                <w:rPr>
                  <w:rFonts w:cs="Arial"/>
                  <w:b/>
                  <w:noProof/>
                  <w:color w:val="0070C0"/>
                  <w:sz w:val="20"/>
                  <w:szCs w:val="20"/>
                </w:rPr>
                <w:t>III</w:t>
              </w:r>
              <w:r w:rsidR="00126DE5" w:rsidRPr="00126DE5">
                <w:rPr>
                  <w:rFonts w:cs="Arial"/>
                  <w:b/>
                  <w:color w:val="0070C0"/>
                  <w:sz w:val="20"/>
                  <w:szCs w:val="20"/>
                </w:rPr>
                <w:t>.1</w:t>
              </w:r>
            </w:fldSimple>
            <w:r>
              <w:rPr>
                <w:rFonts w:ascii="Arial" w:hAnsi="Arial" w:cs="Arial"/>
                <w:i/>
                <w:sz w:val="18"/>
              </w:rPr>
              <w:t xml:space="preserve"> lowlands, interpolated)</w:t>
            </w:r>
          </w:p>
        </w:tc>
        <w:tc>
          <w:tcPr>
            <w:tcW w:w="1756" w:type="dxa"/>
            <w:vAlign w:val="center"/>
          </w:tcPr>
          <w:p w:rsidR="004D379D" w:rsidRPr="00311A64" w:rsidRDefault="004D379D" w:rsidP="00851327">
            <w:pPr>
              <w:keepNext/>
              <w:spacing w:after="0"/>
              <w:jc w:val="center"/>
              <w:rPr>
                <w:rFonts w:ascii="Arial" w:hAnsi="Arial" w:cs="Arial"/>
                <w:color w:val="00B0F0"/>
                <w:sz w:val="18"/>
                <w:szCs w:val="18"/>
              </w:rPr>
            </w:pPr>
            <w:r>
              <w:rPr>
                <w:rFonts w:ascii="Arial" w:hAnsi="Arial" w:cs="Arial"/>
                <w:color w:val="00B0F0"/>
                <w:sz w:val="18"/>
                <w:szCs w:val="18"/>
              </w:rPr>
              <w:t>26%</w:t>
            </w:r>
          </w:p>
        </w:tc>
      </w:tr>
    </w:tbl>
    <w:p w:rsidR="00851327" w:rsidRDefault="00851327" w:rsidP="00851327">
      <w:pPr>
        <w:pStyle w:val="CDMBTEXT"/>
      </w:pPr>
    </w:p>
    <w:p w:rsidR="000D43C8" w:rsidRDefault="000D43C8" w:rsidP="00EA1EA6">
      <w:pPr>
        <w:pStyle w:val="Heading4"/>
      </w:pPr>
      <w:r>
        <w:t>Computing Remaining Runoff Volume after HSCs</w:t>
      </w:r>
      <w:r w:rsidRPr="00311A64">
        <w:t xml:space="preserve"> </w:t>
      </w:r>
    </w:p>
    <w:p w:rsidR="000D43C8" w:rsidRDefault="000D43C8" w:rsidP="000D43C8">
      <w:pPr>
        <w:pStyle w:val="CDMBTEXT"/>
      </w:pPr>
      <w:r>
        <w:t>To compute the remaining runoff volume after HSCs, r</w:t>
      </w:r>
      <w:r w:rsidRPr="00311A64">
        <w:t>unoff volume calculations are performed exactly as described in Section</w:t>
      </w:r>
      <w:r>
        <w:t xml:space="preserve"> </w:t>
      </w:r>
      <w:fldSimple w:instr=" REF _Ref285114903 \r \h  \* MERGEFORMAT ">
        <w:r w:rsidR="00126DE5" w:rsidRPr="00126DE5">
          <w:rPr>
            <w:rFonts w:cs="Arial"/>
            <w:b/>
            <w:color w:val="0070C0"/>
            <w:sz w:val="20"/>
          </w:rPr>
          <w:t>III.1.1</w:t>
        </w:r>
      </w:fldSimple>
      <w:r w:rsidRPr="00311A64">
        <w:t>, with the exception that the storm depth used in the calculation is adjusted prior to the calculation.</w:t>
      </w:r>
      <w:r>
        <w:t xml:space="preserve"> </w:t>
      </w:r>
      <w:r w:rsidRPr="00311A64">
        <w:t xml:space="preserve"> </w:t>
      </w:r>
      <w:fldSimple w:instr=" REF _Ref285354442 \h  \* MERGEFORMAT ">
        <w:r w:rsidR="00126DE5" w:rsidRPr="00126DE5">
          <w:rPr>
            <w:b/>
            <w:color w:val="0070C0"/>
          </w:rPr>
          <w:t xml:space="preserve">Example </w:t>
        </w:r>
        <w:r w:rsidR="00126DE5" w:rsidRPr="00126DE5">
          <w:rPr>
            <w:b/>
            <w:noProof/>
            <w:color w:val="0070C0"/>
          </w:rPr>
          <w:t>III</w:t>
        </w:r>
        <w:r w:rsidR="00126DE5" w:rsidRPr="00126DE5">
          <w:rPr>
            <w:b/>
            <w:color w:val="0070C0"/>
          </w:rPr>
          <w:t>.</w:t>
        </w:r>
        <w:r w:rsidR="00126DE5" w:rsidRPr="00126DE5">
          <w:rPr>
            <w:b/>
            <w:noProof/>
            <w:color w:val="0070C0"/>
          </w:rPr>
          <w:t>4</w:t>
        </w:r>
      </w:fldSimple>
      <w:r w:rsidR="00433D7E">
        <w:t xml:space="preserve"> </w:t>
      </w:r>
      <w:r w:rsidR="00433D7E" w:rsidRPr="00311A64">
        <w:t xml:space="preserve">illustrates </w:t>
      </w:r>
      <w:r w:rsidR="00433D7E">
        <w:t xml:space="preserve">the approach for accounting for HSCs in hydrologic calculations and </w:t>
      </w:r>
      <w:r w:rsidR="00433D7E" w:rsidRPr="00311A64">
        <w:t xml:space="preserve">the effect that HSCs can have on reducing the required volume of downstream BMPs. </w:t>
      </w:r>
    </w:p>
    <w:p w:rsidR="00AE5495" w:rsidRPr="007A343A" w:rsidRDefault="00AE5495" w:rsidP="0027571A">
      <w:pPr>
        <w:pStyle w:val="ExampleHeading"/>
      </w:pPr>
      <w:bookmarkStart w:id="128" w:name="_Ref285354442"/>
      <w:bookmarkStart w:id="129" w:name="_Toc262408834"/>
      <w:bookmarkStart w:id="130" w:name="_Toc285308104"/>
      <w:bookmarkStart w:id="131" w:name="_Toc288541051"/>
      <w:bookmarkStart w:id="132" w:name="_Toc288554443"/>
      <w:proofErr w:type="gramStart"/>
      <w:r w:rsidRPr="007A343A">
        <w:t xml:space="preserve">Example </w:t>
      </w:r>
      <w:r w:rsidR="00126F3D" w:rsidRPr="00126DE5">
        <w:rPr>
          <w:color w:val="0070C0"/>
        </w:rPr>
        <w:fldChar w:fldCharType="begin"/>
      </w:r>
      <w:r w:rsidR="003F38A8" w:rsidRPr="00126DE5">
        <w:rPr>
          <w:color w:val="0070C0"/>
        </w:rPr>
        <w:instrText xml:space="preserve"> STYLEREF 1 \s </w:instrText>
      </w:r>
      <w:r w:rsidR="00126F3D" w:rsidRPr="00126DE5">
        <w:rPr>
          <w:color w:val="0070C0"/>
        </w:rPr>
        <w:fldChar w:fldCharType="separate"/>
      </w:r>
      <w:r w:rsidR="00126DE5" w:rsidRPr="00126DE5">
        <w:rPr>
          <w:noProof/>
          <w:color w:val="0070C0"/>
        </w:rPr>
        <w:t>III</w:t>
      </w:r>
      <w:r w:rsidR="00126F3D" w:rsidRPr="00126DE5">
        <w:rPr>
          <w:color w:val="0070C0"/>
        </w:rPr>
        <w:fldChar w:fldCharType="end"/>
      </w:r>
      <w:r w:rsidR="002E1936" w:rsidRPr="007A343A">
        <w:t>.</w:t>
      </w:r>
      <w:proofErr w:type="gramEnd"/>
      <w:r w:rsidR="00126F3D" w:rsidRPr="00126DE5">
        <w:rPr>
          <w:color w:val="0070C0"/>
        </w:rPr>
        <w:fldChar w:fldCharType="begin"/>
      </w:r>
      <w:r w:rsidR="002E1936" w:rsidRPr="00126DE5">
        <w:rPr>
          <w:color w:val="0070C0"/>
        </w:rPr>
        <w:instrText xml:space="preserve"> SEQ Example \* ARABIC \s 1 </w:instrText>
      </w:r>
      <w:r w:rsidR="00126F3D" w:rsidRPr="00126DE5">
        <w:rPr>
          <w:color w:val="0070C0"/>
        </w:rPr>
        <w:fldChar w:fldCharType="separate"/>
      </w:r>
      <w:r w:rsidR="00126DE5" w:rsidRPr="00126DE5">
        <w:rPr>
          <w:noProof/>
          <w:color w:val="0070C0"/>
        </w:rPr>
        <w:t>4</w:t>
      </w:r>
      <w:r w:rsidR="00126F3D" w:rsidRPr="00126DE5">
        <w:rPr>
          <w:color w:val="0070C0"/>
        </w:rPr>
        <w:fldChar w:fldCharType="end"/>
      </w:r>
      <w:bookmarkEnd w:id="128"/>
      <w:r w:rsidRPr="007A343A">
        <w:t>: Accounting for HSCs in Hydrologic Calculations</w:t>
      </w:r>
      <w:bookmarkEnd w:id="129"/>
      <w:bookmarkEnd w:id="130"/>
      <w:bookmarkEnd w:id="131"/>
      <w:bookmarkEnd w:id="132"/>
    </w:p>
    <w:p w:rsidR="00AE5495" w:rsidRPr="00B53524" w:rsidRDefault="00AE5495" w:rsidP="00EA1EA6">
      <w:pPr>
        <w:pStyle w:val="ExampleSubheading"/>
        <w:outlineLvl w:val="0"/>
        <w:rPr>
          <w:lang w:bidi="en-US"/>
        </w:rPr>
      </w:pPr>
      <w:bookmarkStart w:id="133" w:name="_Toc285308105"/>
      <w:r w:rsidRPr="00311A64">
        <w:rPr>
          <w:lang w:bidi="en-US"/>
        </w:rPr>
        <w:t>Given:</w:t>
      </w:r>
      <w:bookmarkEnd w:id="133"/>
    </w:p>
    <w:p w:rsidR="00AE5495" w:rsidRPr="00B53524" w:rsidRDefault="000D43C8" w:rsidP="00AE5495">
      <w:pPr>
        <w:pStyle w:val="ExampleBullets"/>
      </w:pPr>
      <w:r>
        <w:t>A drainage area consists of a 2.1 acres with 1.3 acres of impervious surface (62% imperviousness)</w:t>
      </w:r>
    </w:p>
    <w:p w:rsidR="00AE5495" w:rsidRPr="00B53524" w:rsidRDefault="000D43C8" w:rsidP="00AE5495">
      <w:pPr>
        <w:pStyle w:val="ExampleBullets"/>
      </w:pPr>
      <w:r>
        <w:t xml:space="preserve">The mix of </w:t>
      </w:r>
      <w:r w:rsidR="003C7091">
        <w:t>HSC</w:t>
      </w:r>
      <w:r>
        <w:t xml:space="preserve">s shown in </w:t>
      </w:r>
      <w:r w:rsidR="00126F3D" w:rsidRPr="00126DE5">
        <w:rPr>
          <w:rFonts w:ascii="Book Antiqua" w:hAnsi="Book Antiqua"/>
          <w:b/>
          <w:color w:val="0070C0"/>
        </w:rPr>
        <w:fldChar w:fldCharType="begin"/>
      </w:r>
      <w:r w:rsidR="0010727A" w:rsidRPr="00126DE5">
        <w:rPr>
          <w:rFonts w:ascii="Book Antiqua" w:hAnsi="Book Antiqua"/>
          <w:b/>
          <w:color w:val="0070C0"/>
        </w:rPr>
        <w:instrText xml:space="preserve"> REF _Ref285466117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 xml:space="preserve">Example </w:t>
      </w:r>
      <w:r w:rsidR="00126DE5" w:rsidRPr="00126DE5">
        <w:rPr>
          <w:rFonts w:ascii="Book Antiqua" w:hAnsi="Book Antiqua"/>
          <w:b/>
          <w:noProof/>
          <w:color w:val="0070C0"/>
        </w:rPr>
        <w:t>III</w:t>
      </w:r>
      <w:r w:rsidR="00126DE5" w:rsidRPr="00126DE5">
        <w:rPr>
          <w:rFonts w:ascii="Book Antiqua" w:hAnsi="Book Antiqua"/>
          <w:b/>
          <w:color w:val="0070C0"/>
        </w:rPr>
        <w:t>.</w:t>
      </w:r>
      <w:r w:rsidR="00126DE5" w:rsidRPr="00126DE5">
        <w:rPr>
          <w:rFonts w:ascii="Book Antiqua" w:hAnsi="Book Antiqua"/>
          <w:b/>
          <w:noProof/>
          <w:color w:val="0070C0"/>
        </w:rPr>
        <w:t>3</w:t>
      </w:r>
      <w:r w:rsidR="00126F3D" w:rsidRPr="00126DE5">
        <w:rPr>
          <w:rFonts w:ascii="Book Antiqua" w:hAnsi="Book Antiqua"/>
          <w:b/>
          <w:color w:val="0070C0"/>
        </w:rPr>
        <w:fldChar w:fldCharType="end"/>
      </w:r>
      <w:r w:rsidR="0010727A">
        <w:rPr>
          <w:b/>
          <w:color w:val="0070C0"/>
        </w:rPr>
        <w:t xml:space="preserve"> </w:t>
      </w:r>
      <w:r>
        <w:t xml:space="preserve">are used in the drainage area, resulting in an area-weighted average HSC effective retention depth of 0.14 inches </w:t>
      </w:r>
    </w:p>
    <w:p w:rsidR="00AE5495" w:rsidRPr="00B53524" w:rsidRDefault="00AE5495" w:rsidP="00AE5495">
      <w:pPr>
        <w:pStyle w:val="ExampleBullets"/>
      </w:pPr>
      <w:r w:rsidRPr="00311A64">
        <w:t xml:space="preserve">The unadjusted design storm depth at the project site is 0.85 inches.  </w:t>
      </w:r>
    </w:p>
    <w:p w:rsidR="00AE5495" w:rsidRPr="00B53524" w:rsidRDefault="00AE5495" w:rsidP="00EA1EA6">
      <w:pPr>
        <w:pStyle w:val="ExampleSubheading"/>
        <w:outlineLvl w:val="0"/>
      </w:pPr>
      <w:bookmarkStart w:id="134" w:name="_Toc285308106"/>
      <w:r w:rsidRPr="00311A64">
        <w:t>Result:</w:t>
      </w:r>
      <w:bookmarkEnd w:id="134"/>
      <w:r w:rsidRPr="00311A64">
        <w:t xml:space="preserve"> </w:t>
      </w:r>
    </w:p>
    <w:p w:rsidR="00AE5495" w:rsidRPr="00B53524" w:rsidRDefault="00AE5495" w:rsidP="009531AF">
      <w:pPr>
        <w:pStyle w:val="ExampleNumbers"/>
        <w:numPr>
          <w:ilvl w:val="0"/>
          <w:numId w:val="54"/>
        </w:numPr>
        <w:ind w:left="720"/>
      </w:pPr>
      <w:r w:rsidRPr="00311A64">
        <w:t>The</w:t>
      </w:r>
      <w:r w:rsidR="000D43C8">
        <w:t xml:space="preserve"> designer uses 0.85 inches – 0.14</w:t>
      </w:r>
      <w:r w:rsidRPr="00311A64">
        <w:t xml:space="preserve"> inches = 0.</w:t>
      </w:r>
      <w:r w:rsidR="000D43C8">
        <w:t>71</w:t>
      </w:r>
      <w:r w:rsidRPr="00311A64">
        <w:t xml:space="preserve"> inches in the calculation of runoff from the design storm depth</w:t>
      </w:r>
    </w:p>
    <w:p w:rsidR="00AE5495" w:rsidRPr="00B53524" w:rsidRDefault="003C7091" w:rsidP="00853C9A">
      <w:pPr>
        <w:pStyle w:val="ExampleNumbers"/>
        <w:numPr>
          <w:ilvl w:val="0"/>
          <w:numId w:val="53"/>
        </w:numPr>
        <w:tabs>
          <w:tab w:val="left" w:pos="720"/>
        </w:tabs>
        <w:ind w:left="720"/>
      </w:pPr>
      <w:r>
        <w:t>DCV</w:t>
      </w:r>
      <w:r w:rsidR="00AE5495" w:rsidRPr="00311A64">
        <w:t xml:space="preserve"> (with </w:t>
      </w:r>
      <w:r w:rsidR="000D43C8">
        <w:t>HSCs</w:t>
      </w:r>
      <w:r w:rsidR="00AE5495" w:rsidRPr="00311A64">
        <w:t xml:space="preserve">) = </w:t>
      </w:r>
      <w:r w:rsidR="00AE5495" w:rsidRPr="00311A64">
        <w:br/>
      </w:r>
      <w:r w:rsidR="000D43C8">
        <w:t>2.1</w:t>
      </w:r>
      <w:r w:rsidR="00AE5495" w:rsidRPr="00311A64">
        <w:t xml:space="preserve"> ac × 0.</w:t>
      </w:r>
      <w:r w:rsidR="000D43C8">
        <w:t>71</w:t>
      </w:r>
      <w:r w:rsidR="00AE5495" w:rsidRPr="00311A64">
        <w:t xml:space="preserve"> inches × (</w:t>
      </w:r>
      <w:r w:rsidR="000D43C8">
        <w:t>0.62</w:t>
      </w:r>
      <w:r w:rsidR="00AE5495" w:rsidRPr="00311A64">
        <w:t xml:space="preserve">×0.75 + 0.15) × 43560 sf/ac × 1/12 in/ft = </w:t>
      </w:r>
      <w:r w:rsidR="000D43C8">
        <w:t>3,330</w:t>
      </w:r>
      <w:r w:rsidR="00AE5495" w:rsidRPr="00311A64">
        <w:t xml:space="preserve"> cu-ft</w:t>
      </w:r>
    </w:p>
    <w:p w:rsidR="000D43C8" w:rsidRDefault="003C7091" w:rsidP="00853C9A">
      <w:pPr>
        <w:pStyle w:val="ExampleNumbers"/>
        <w:numPr>
          <w:ilvl w:val="0"/>
          <w:numId w:val="53"/>
        </w:numPr>
        <w:tabs>
          <w:tab w:val="left" w:pos="720"/>
        </w:tabs>
        <w:ind w:left="720"/>
      </w:pPr>
      <w:r>
        <w:t>DCV</w:t>
      </w:r>
      <w:r w:rsidR="00AE5495" w:rsidRPr="00311A64">
        <w:t xml:space="preserve"> (without </w:t>
      </w:r>
      <w:r w:rsidR="000D43C8">
        <w:t>HSCs</w:t>
      </w:r>
      <w:r w:rsidR="00AE5495" w:rsidRPr="00311A64">
        <w:t xml:space="preserve">) =  </w:t>
      </w:r>
      <w:r w:rsidR="000D43C8">
        <w:br/>
        <w:t>2.1</w:t>
      </w:r>
      <w:r w:rsidR="000D43C8" w:rsidRPr="00311A64">
        <w:t xml:space="preserve"> ac × 0.</w:t>
      </w:r>
      <w:r w:rsidR="000D43C8">
        <w:t>85</w:t>
      </w:r>
      <w:r w:rsidR="000D43C8" w:rsidRPr="00311A64">
        <w:t xml:space="preserve"> inches × (</w:t>
      </w:r>
      <w:r w:rsidR="000D43C8">
        <w:t>0.62</w:t>
      </w:r>
      <w:r w:rsidR="000D43C8" w:rsidRPr="00311A64">
        <w:t xml:space="preserve">×0.75 + 0.15) × 43560 sf/ac × 1/12 in/ft = </w:t>
      </w:r>
      <w:r w:rsidR="000D43C8">
        <w:t>3,990</w:t>
      </w:r>
      <w:r w:rsidR="000D43C8" w:rsidRPr="00311A64">
        <w:t xml:space="preserve"> cu-ft</w:t>
      </w:r>
    </w:p>
    <w:p w:rsidR="000B5480" w:rsidRDefault="000B5480" w:rsidP="000B5480">
      <w:pPr>
        <w:pStyle w:val="CDMBTEXT"/>
      </w:pPr>
    </w:p>
    <w:p w:rsidR="000B5480" w:rsidRDefault="000B5480" w:rsidP="00EA1EA6">
      <w:pPr>
        <w:pStyle w:val="Heading4"/>
      </w:pPr>
      <w:bookmarkStart w:id="135" w:name="_Ref285399984"/>
      <w:r>
        <w:t>Computing the Fraction of Average Long Term Runoff Reduced by HSCs</w:t>
      </w:r>
      <w:bookmarkEnd w:id="135"/>
    </w:p>
    <w:p w:rsidR="000B5480" w:rsidRPr="000B5480" w:rsidRDefault="00126F3D" w:rsidP="000B5480">
      <w:r w:rsidRPr="00126DE5">
        <w:rPr>
          <w:rFonts w:cs="Arial"/>
          <w:b/>
          <w:color w:val="0070C0"/>
          <w:sz w:val="20"/>
          <w:szCs w:val="20"/>
        </w:rPr>
        <w:fldChar w:fldCharType="begin"/>
      </w:r>
      <w:r w:rsidR="000B5480" w:rsidRPr="00126DE5">
        <w:rPr>
          <w:rFonts w:cs="Arial"/>
          <w:b/>
          <w:color w:val="0070C0"/>
          <w:sz w:val="20"/>
          <w:szCs w:val="20"/>
        </w:rPr>
        <w:instrText xml:space="preserve"> REF _Ref285399288 \h </w:instrText>
      </w:r>
      <w:r w:rsidRPr="00126DE5">
        <w:rPr>
          <w:rFonts w:cs="Arial"/>
          <w:b/>
          <w:color w:val="0070C0"/>
          <w:sz w:val="20"/>
          <w:szCs w:val="20"/>
        </w:rPr>
      </w:r>
      <w:r w:rsidRPr="00126DE5">
        <w:rPr>
          <w:rFonts w:cs="Arial"/>
          <w:b/>
          <w:color w:val="0070C0"/>
          <w:sz w:val="20"/>
          <w:szCs w:val="20"/>
        </w:rPr>
        <w:fldChar w:fldCharType="separate"/>
      </w:r>
      <w:r w:rsidR="00126DE5" w:rsidRPr="00126DE5">
        <w:rPr>
          <w:b/>
          <w:color w:val="0070C0"/>
        </w:rPr>
        <w:t xml:space="preserve">Table </w:t>
      </w:r>
      <w:r w:rsidR="00126DE5" w:rsidRPr="00126DE5">
        <w:rPr>
          <w:rFonts w:cs="Arial"/>
          <w:b/>
          <w:noProof/>
          <w:color w:val="0070C0"/>
        </w:rPr>
        <w:t>III</w:t>
      </w:r>
      <w:r w:rsidR="00126DE5" w:rsidRPr="00126DE5">
        <w:rPr>
          <w:b/>
          <w:color w:val="0070C0"/>
        </w:rPr>
        <w:t>.</w:t>
      </w:r>
      <w:r w:rsidR="00126DE5" w:rsidRPr="00126DE5">
        <w:rPr>
          <w:rFonts w:cs="Arial"/>
          <w:b/>
          <w:noProof/>
          <w:color w:val="0070C0"/>
        </w:rPr>
        <w:t>1</w:t>
      </w:r>
      <w:r w:rsidRPr="00126DE5">
        <w:rPr>
          <w:rFonts w:cs="Arial"/>
          <w:b/>
          <w:color w:val="0070C0"/>
          <w:sz w:val="20"/>
          <w:szCs w:val="20"/>
        </w:rPr>
        <w:fldChar w:fldCharType="end"/>
      </w:r>
      <w:r w:rsidR="000B5480">
        <w:t xml:space="preserve"> provides fraction of average annual runoff volume reduced by HSCs based on the effective storage volume of HSCs computed per Section </w:t>
      </w:r>
      <w:r w:rsidRPr="00126DE5">
        <w:rPr>
          <w:rFonts w:cs="Arial"/>
          <w:b/>
          <w:color w:val="0070C0"/>
          <w:sz w:val="20"/>
          <w:szCs w:val="20"/>
        </w:rPr>
        <w:fldChar w:fldCharType="begin"/>
      </w:r>
      <w:r w:rsidR="000B5480" w:rsidRPr="00126DE5">
        <w:rPr>
          <w:rFonts w:cs="Arial"/>
          <w:b/>
          <w:color w:val="0070C0"/>
          <w:sz w:val="20"/>
          <w:szCs w:val="20"/>
        </w:rPr>
        <w:instrText xml:space="preserve"> REF _Ref285399216 \r \h </w:instrText>
      </w:r>
      <w:r w:rsidRPr="00126DE5">
        <w:rPr>
          <w:rFonts w:cs="Arial"/>
          <w:b/>
          <w:color w:val="0070C0"/>
          <w:sz w:val="20"/>
          <w:szCs w:val="20"/>
        </w:rPr>
      </w:r>
      <w:r w:rsidRPr="00126DE5">
        <w:rPr>
          <w:rFonts w:cs="Arial"/>
          <w:b/>
          <w:color w:val="0070C0"/>
          <w:sz w:val="20"/>
          <w:szCs w:val="20"/>
        </w:rPr>
        <w:fldChar w:fldCharType="separate"/>
      </w:r>
      <w:r w:rsidR="00126DE5" w:rsidRPr="00126DE5">
        <w:rPr>
          <w:rFonts w:cs="Arial"/>
          <w:b/>
          <w:color w:val="0070C0"/>
          <w:sz w:val="20"/>
          <w:szCs w:val="20"/>
        </w:rPr>
        <w:t>III.1.3.1</w:t>
      </w:r>
      <w:r w:rsidRPr="00126DE5">
        <w:rPr>
          <w:rFonts w:cs="Arial"/>
          <w:b/>
          <w:color w:val="0070C0"/>
          <w:sz w:val="20"/>
          <w:szCs w:val="20"/>
        </w:rPr>
        <w:fldChar w:fldCharType="end"/>
      </w:r>
      <w:r w:rsidR="000B5480">
        <w:t xml:space="preserve">. </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09"/>
        <w:gridCol w:w="3435"/>
        <w:gridCol w:w="3132"/>
      </w:tblGrid>
      <w:tr w:rsidR="000B5480" w:rsidRPr="00B53524" w:rsidTr="0027571A">
        <w:trPr>
          <w:trHeight w:val="288"/>
          <w:tblHeader/>
        </w:trPr>
        <w:tc>
          <w:tcPr>
            <w:tcW w:w="9576" w:type="dxa"/>
            <w:gridSpan w:val="3"/>
            <w:tcBorders>
              <w:top w:val="nil"/>
              <w:left w:val="nil"/>
              <w:right w:val="nil"/>
            </w:tcBorders>
            <w:shd w:val="clear" w:color="auto" w:fill="auto"/>
          </w:tcPr>
          <w:p w:rsidR="000B5480" w:rsidRPr="00524D76" w:rsidRDefault="000B5480" w:rsidP="00647B99">
            <w:pPr>
              <w:pStyle w:val="Caption"/>
              <w:rPr>
                <w:rStyle w:val="TableHeadingChar"/>
                <w:rFonts w:eastAsiaTheme="minorEastAsia" w:cstheme="minorBidi"/>
                <w:b/>
                <w:sz w:val="22"/>
                <w:szCs w:val="18"/>
              </w:rPr>
            </w:pPr>
            <w:bookmarkStart w:id="136" w:name="_Ref285399288"/>
            <w:bookmarkStart w:id="137" w:name="_Toc288554376"/>
            <w:r w:rsidRPr="00524D76">
              <w:t xml:space="preserve">Table </w:t>
            </w:r>
            <w:r w:rsidR="00126F3D" w:rsidRPr="00524D76">
              <w:rPr>
                <w:rFonts w:cs="Arial"/>
              </w:rPr>
              <w:fldChar w:fldCharType="begin"/>
            </w:r>
            <w:r w:rsidR="00F83E79" w:rsidRPr="00524D76">
              <w:rPr>
                <w:rFonts w:cs="Arial"/>
              </w:rPr>
              <w:instrText xml:space="preserve"> STYLEREF 1 \s </w:instrText>
            </w:r>
            <w:r w:rsidR="00126F3D" w:rsidRPr="00524D76">
              <w:rPr>
                <w:rFonts w:cs="Arial"/>
              </w:rPr>
              <w:fldChar w:fldCharType="separate"/>
            </w:r>
            <w:r w:rsidR="00126DE5" w:rsidRPr="00524D76">
              <w:rPr>
                <w:rFonts w:cs="Arial"/>
                <w:noProof/>
              </w:rPr>
              <w:t>III</w:t>
            </w:r>
            <w:r w:rsidR="00126F3D" w:rsidRPr="00524D76">
              <w:rPr>
                <w:rFonts w:cs="Arial"/>
              </w:rPr>
              <w:fldChar w:fldCharType="end"/>
            </w:r>
            <w:r w:rsidRPr="00524D76">
              <w:t>.</w:t>
            </w:r>
            <w:r w:rsidR="00126F3D" w:rsidRPr="00524D76">
              <w:rPr>
                <w:rFonts w:cs="Arial"/>
              </w:rPr>
              <w:fldChar w:fldCharType="begin"/>
            </w:r>
            <w:r w:rsidR="00F83E79" w:rsidRPr="00524D76">
              <w:rPr>
                <w:rFonts w:cs="Arial"/>
              </w:rPr>
              <w:instrText xml:space="preserve"> SEQ Table \* ARABIC \s 1 </w:instrText>
            </w:r>
            <w:r w:rsidR="00126F3D" w:rsidRPr="00524D76">
              <w:rPr>
                <w:rFonts w:cs="Arial"/>
              </w:rPr>
              <w:fldChar w:fldCharType="separate"/>
            </w:r>
            <w:r w:rsidR="00126DE5" w:rsidRPr="00524D76">
              <w:rPr>
                <w:rFonts w:cs="Arial"/>
                <w:noProof/>
              </w:rPr>
              <w:t>1</w:t>
            </w:r>
            <w:r w:rsidR="00126F3D" w:rsidRPr="00524D76">
              <w:rPr>
                <w:rFonts w:cs="Arial"/>
              </w:rPr>
              <w:fldChar w:fldCharType="end"/>
            </w:r>
            <w:bookmarkEnd w:id="136"/>
            <w:r w:rsidRPr="00524D76">
              <w:t>: Fraction of Average Long Term Runoff Reduced (Capture Efficiency) by HSCs</w:t>
            </w:r>
            <w:bookmarkEnd w:id="137"/>
          </w:p>
        </w:tc>
      </w:tr>
      <w:tr w:rsidR="000B5480" w:rsidRPr="00B53524" w:rsidTr="00306D82">
        <w:trPr>
          <w:trHeight w:val="288"/>
          <w:tblHeader/>
        </w:trPr>
        <w:tc>
          <w:tcPr>
            <w:tcW w:w="3009" w:type="dxa"/>
            <w:vAlign w:val="bottom"/>
          </w:tcPr>
          <w:p w:rsidR="000B5480" w:rsidRPr="0010727A" w:rsidRDefault="000B5480" w:rsidP="0010727A">
            <w:pPr>
              <w:keepNext/>
              <w:spacing w:after="0"/>
              <w:jc w:val="center"/>
              <w:rPr>
                <w:rFonts w:ascii="Arial" w:hAnsi="Arial" w:cs="Arial"/>
                <w:color w:val="000000"/>
                <w:sz w:val="18"/>
              </w:rPr>
            </w:pPr>
            <w:r w:rsidRPr="00311A64">
              <w:rPr>
                <w:rFonts w:ascii="Arial" w:hAnsi="Arial" w:cs="Arial"/>
                <w:color w:val="000000"/>
                <w:sz w:val="18"/>
              </w:rPr>
              <w:t>Cumulative HSC Adjustment to Design Capture Storm Depth</w:t>
            </w:r>
            <w:r w:rsidR="0010727A">
              <w:rPr>
                <w:rFonts w:ascii="Arial" w:hAnsi="Arial" w:cs="Arial"/>
                <w:color w:val="000000"/>
                <w:sz w:val="18"/>
              </w:rPr>
              <w:t xml:space="preserve"> (</w:t>
            </w:r>
            <w:proofErr w:type="spellStart"/>
            <w:r w:rsidR="0010727A">
              <w:rPr>
                <w:rFonts w:ascii="Arial" w:hAnsi="Arial" w:cs="Arial"/>
                <w:color w:val="000000"/>
                <w:sz w:val="18"/>
              </w:rPr>
              <w:t>d</w:t>
            </w:r>
            <w:r w:rsidR="0010727A" w:rsidRPr="0010727A">
              <w:rPr>
                <w:rFonts w:ascii="Arial" w:hAnsi="Arial" w:cs="Arial"/>
                <w:color w:val="000000"/>
                <w:sz w:val="18"/>
                <w:vertAlign w:val="subscript"/>
              </w:rPr>
              <w:t>hsc</w:t>
            </w:r>
            <w:proofErr w:type="spellEnd"/>
            <w:r w:rsidR="0010727A">
              <w:rPr>
                <w:rFonts w:ascii="Arial" w:hAnsi="Arial" w:cs="Arial"/>
                <w:color w:val="000000"/>
                <w:sz w:val="18"/>
              </w:rPr>
              <w:t>)</w:t>
            </w:r>
          </w:p>
        </w:tc>
        <w:tc>
          <w:tcPr>
            <w:tcW w:w="3435" w:type="dxa"/>
            <w:vAlign w:val="bottom"/>
          </w:tcPr>
          <w:p w:rsidR="000B5480" w:rsidRPr="00B53524" w:rsidRDefault="000B5480" w:rsidP="000B5480">
            <w:pPr>
              <w:keepNext/>
              <w:spacing w:after="0"/>
              <w:jc w:val="center"/>
              <w:rPr>
                <w:rFonts w:ascii="Arial" w:hAnsi="Arial" w:cs="Arial"/>
                <w:color w:val="000000"/>
                <w:sz w:val="18"/>
              </w:rPr>
            </w:pPr>
            <w:r w:rsidRPr="00311A64">
              <w:rPr>
                <w:rFonts w:ascii="Arial" w:hAnsi="Arial" w:cs="Arial"/>
                <w:color w:val="000000"/>
                <w:sz w:val="18"/>
              </w:rPr>
              <w:t>Capture Efficiency Achieved</w:t>
            </w:r>
          </w:p>
          <w:p w:rsidR="000B5480" w:rsidRPr="00B53524" w:rsidRDefault="000B5480" w:rsidP="000B5480">
            <w:pPr>
              <w:keepNext/>
              <w:spacing w:after="0"/>
              <w:jc w:val="center"/>
              <w:rPr>
                <w:rFonts w:ascii="Arial" w:hAnsi="Arial" w:cs="Arial"/>
                <w:color w:val="000000"/>
                <w:sz w:val="18"/>
              </w:rPr>
            </w:pPr>
            <w:r w:rsidRPr="00311A64">
              <w:rPr>
                <w:rFonts w:ascii="Arial" w:hAnsi="Arial" w:cs="Arial"/>
                <w:color w:val="000000"/>
                <w:sz w:val="18"/>
              </w:rPr>
              <w:t>Lowland Regions (&lt;1,000 ft)</w:t>
            </w:r>
          </w:p>
        </w:tc>
        <w:tc>
          <w:tcPr>
            <w:tcW w:w="3132" w:type="dxa"/>
            <w:vAlign w:val="bottom"/>
          </w:tcPr>
          <w:p w:rsidR="000B5480" w:rsidRPr="00B53524" w:rsidRDefault="000B5480" w:rsidP="000B5480">
            <w:pPr>
              <w:keepNext/>
              <w:spacing w:after="0"/>
              <w:jc w:val="center"/>
              <w:rPr>
                <w:rFonts w:ascii="Arial" w:hAnsi="Arial" w:cs="Arial"/>
                <w:color w:val="000000"/>
                <w:sz w:val="18"/>
              </w:rPr>
            </w:pPr>
            <w:r w:rsidRPr="00311A64">
              <w:rPr>
                <w:rFonts w:ascii="Arial" w:hAnsi="Arial" w:cs="Arial"/>
                <w:color w:val="000000"/>
                <w:sz w:val="18"/>
              </w:rPr>
              <w:t>Capture Efficiency Achieved</w:t>
            </w:r>
          </w:p>
          <w:p w:rsidR="000B5480" w:rsidRPr="00B53524" w:rsidRDefault="000B5480" w:rsidP="000B5480">
            <w:pPr>
              <w:keepNext/>
              <w:spacing w:after="0"/>
              <w:jc w:val="center"/>
              <w:rPr>
                <w:rFonts w:ascii="Arial" w:hAnsi="Arial" w:cs="Arial"/>
                <w:color w:val="000000"/>
                <w:sz w:val="18"/>
              </w:rPr>
            </w:pPr>
            <w:r w:rsidRPr="00311A64">
              <w:rPr>
                <w:rFonts w:ascii="Arial" w:hAnsi="Arial" w:cs="Arial"/>
                <w:color w:val="000000"/>
                <w:sz w:val="18"/>
              </w:rPr>
              <w:t>Mountainous Regions (&gt;1,000 ft)</w:t>
            </w:r>
          </w:p>
        </w:tc>
      </w:tr>
      <w:tr w:rsidR="000B5480" w:rsidRPr="00B53524" w:rsidTr="00306D82">
        <w:trPr>
          <w:trHeight w:val="288"/>
        </w:trPr>
        <w:tc>
          <w:tcPr>
            <w:tcW w:w="3009" w:type="dxa"/>
            <w:vAlign w:val="center"/>
          </w:tcPr>
          <w:p w:rsidR="000B5480" w:rsidRPr="00B53524" w:rsidRDefault="000B5480" w:rsidP="000B5480">
            <w:pPr>
              <w:keepNext/>
              <w:spacing w:after="0"/>
              <w:jc w:val="center"/>
              <w:rPr>
                <w:rFonts w:ascii="Arial" w:hAnsi="Arial" w:cs="Arial"/>
                <w:color w:val="000000"/>
                <w:sz w:val="18"/>
              </w:rPr>
            </w:pPr>
            <w:r w:rsidRPr="00311A64">
              <w:rPr>
                <w:rFonts w:ascii="Arial" w:hAnsi="Arial" w:cs="Arial"/>
                <w:color w:val="000000"/>
                <w:sz w:val="18"/>
              </w:rPr>
              <w:t>&lt;0.05</w:t>
            </w:r>
          </w:p>
        </w:tc>
        <w:tc>
          <w:tcPr>
            <w:tcW w:w="3435" w:type="dxa"/>
            <w:vAlign w:val="center"/>
          </w:tcPr>
          <w:p w:rsidR="000B5480" w:rsidRPr="00B53524" w:rsidRDefault="000B5480" w:rsidP="000B5480">
            <w:pPr>
              <w:spacing w:after="0"/>
              <w:jc w:val="center"/>
              <w:rPr>
                <w:rFonts w:ascii="Arial" w:hAnsi="Arial" w:cs="Arial"/>
                <w:color w:val="000000"/>
                <w:sz w:val="18"/>
              </w:rPr>
            </w:pPr>
            <w:r w:rsidRPr="00311A64">
              <w:rPr>
                <w:rFonts w:ascii="Arial" w:hAnsi="Arial" w:cs="Arial"/>
                <w:color w:val="000000"/>
                <w:sz w:val="18"/>
              </w:rPr>
              <w:t>0</w:t>
            </w:r>
          </w:p>
        </w:tc>
        <w:tc>
          <w:tcPr>
            <w:tcW w:w="3132" w:type="dxa"/>
            <w:vAlign w:val="center"/>
          </w:tcPr>
          <w:p w:rsidR="000B5480" w:rsidRPr="00B53524" w:rsidRDefault="000B5480" w:rsidP="000B5480">
            <w:pPr>
              <w:spacing w:after="0"/>
              <w:jc w:val="center"/>
              <w:rPr>
                <w:rFonts w:ascii="Arial" w:hAnsi="Arial" w:cs="Arial"/>
                <w:color w:val="000000"/>
                <w:sz w:val="18"/>
              </w:rPr>
            </w:pPr>
            <w:r w:rsidRPr="00311A64">
              <w:rPr>
                <w:rFonts w:ascii="Arial" w:hAnsi="Arial" w:cs="Arial"/>
                <w:color w:val="000000"/>
                <w:sz w:val="18"/>
              </w:rPr>
              <w:t>0%</w:t>
            </w:r>
          </w:p>
        </w:tc>
      </w:tr>
      <w:tr w:rsidR="000B5480" w:rsidRPr="00B53524" w:rsidTr="00306D82">
        <w:trPr>
          <w:trHeight w:val="288"/>
        </w:trPr>
        <w:tc>
          <w:tcPr>
            <w:tcW w:w="3009" w:type="dxa"/>
            <w:vAlign w:val="center"/>
          </w:tcPr>
          <w:p w:rsidR="000B5480" w:rsidRPr="00B53524" w:rsidRDefault="000B5480" w:rsidP="000B5480">
            <w:pPr>
              <w:keepNext/>
              <w:spacing w:after="0"/>
              <w:jc w:val="center"/>
              <w:rPr>
                <w:rFonts w:ascii="Arial" w:hAnsi="Arial" w:cs="Arial"/>
                <w:color w:val="000000"/>
                <w:sz w:val="18"/>
              </w:rPr>
            </w:pPr>
            <w:r w:rsidRPr="00311A64">
              <w:rPr>
                <w:rFonts w:ascii="Arial" w:hAnsi="Arial" w:cs="Arial"/>
                <w:color w:val="000000"/>
                <w:sz w:val="18"/>
              </w:rPr>
              <w:t>0.05”</w:t>
            </w:r>
          </w:p>
        </w:tc>
        <w:tc>
          <w:tcPr>
            <w:tcW w:w="3435"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szCs w:val="18"/>
              </w:rPr>
              <w:t>8%</w:t>
            </w:r>
          </w:p>
        </w:tc>
        <w:tc>
          <w:tcPr>
            <w:tcW w:w="3132"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rPr>
              <w:t>7%</w:t>
            </w:r>
          </w:p>
        </w:tc>
      </w:tr>
      <w:tr w:rsidR="000B5480" w:rsidRPr="00B53524" w:rsidTr="00306D82">
        <w:trPr>
          <w:trHeight w:val="288"/>
        </w:trPr>
        <w:tc>
          <w:tcPr>
            <w:tcW w:w="3009" w:type="dxa"/>
            <w:vAlign w:val="center"/>
          </w:tcPr>
          <w:p w:rsidR="000B5480" w:rsidRPr="00B53524" w:rsidRDefault="000B5480" w:rsidP="000B5480">
            <w:pPr>
              <w:keepNext/>
              <w:spacing w:after="0"/>
              <w:jc w:val="center"/>
              <w:rPr>
                <w:rFonts w:ascii="Arial" w:hAnsi="Arial" w:cs="Arial"/>
                <w:color w:val="000000"/>
                <w:sz w:val="18"/>
              </w:rPr>
            </w:pPr>
            <w:r w:rsidRPr="00311A64">
              <w:rPr>
                <w:rFonts w:ascii="Arial" w:hAnsi="Arial" w:cs="Arial"/>
                <w:color w:val="000000"/>
                <w:sz w:val="18"/>
              </w:rPr>
              <w:t>0.1”</w:t>
            </w:r>
          </w:p>
        </w:tc>
        <w:tc>
          <w:tcPr>
            <w:tcW w:w="3435"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szCs w:val="18"/>
              </w:rPr>
              <w:t>20%</w:t>
            </w:r>
          </w:p>
        </w:tc>
        <w:tc>
          <w:tcPr>
            <w:tcW w:w="3132"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rPr>
              <w:t>16%</w:t>
            </w:r>
          </w:p>
        </w:tc>
      </w:tr>
      <w:tr w:rsidR="000B5480" w:rsidRPr="00B53524" w:rsidTr="00306D82">
        <w:trPr>
          <w:trHeight w:val="288"/>
        </w:trPr>
        <w:tc>
          <w:tcPr>
            <w:tcW w:w="3009" w:type="dxa"/>
            <w:vAlign w:val="center"/>
          </w:tcPr>
          <w:p w:rsidR="000B5480" w:rsidRPr="00B53524" w:rsidRDefault="000B5480" w:rsidP="000B5480">
            <w:pPr>
              <w:keepNext/>
              <w:spacing w:after="0"/>
              <w:jc w:val="center"/>
              <w:rPr>
                <w:rFonts w:ascii="Arial" w:hAnsi="Arial" w:cs="Arial"/>
                <w:color w:val="000000"/>
                <w:sz w:val="18"/>
              </w:rPr>
            </w:pPr>
            <w:r w:rsidRPr="00311A64">
              <w:rPr>
                <w:rFonts w:ascii="Arial" w:hAnsi="Arial" w:cs="Arial"/>
                <w:color w:val="000000"/>
                <w:sz w:val="18"/>
              </w:rPr>
              <w:t>0.2”</w:t>
            </w:r>
          </w:p>
        </w:tc>
        <w:tc>
          <w:tcPr>
            <w:tcW w:w="3435"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szCs w:val="18"/>
              </w:rPr>
              <w:t>37%</w:t>
            </w:r>
          </w:p>
        </w:tc>
        <w:tc>
          <w:tcPr>
            <w:tcW w:w="3132"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rPr>
              <w:t>31%</w:t>
            </w:r>
          </w:p>
        </w:tc>
      </w:tr>
      <w:tr w:rsidR="000B5480" w:rsidRPr="00B53524" w:rsidTr="00306D82">
        <w:trPr>
          <w:trHeight w:val="288"/>
        </w:trPr>
        <w:tc>
          <w:tcPr>
            <w:tcW w:w="3009" w:type="dxa"/>
            <w:vAlign w:val="center"/>
          </w:tcPr>
          <w:p w:rsidR="000B5480" w:rsidRPr="00B53524" w:rsidRDefault="000B5480" w:rsidP="000B5480">
            <w:pPr>
              <w:keepNext/>
              <w:spacing w:after="0"/>
              <w:jc w:val="center"/>
              <w:rPr>
                <w:rFonts w:ascii="Arial" w:hAnsi="Arial" w:cs="Arial"/>
                <w:color w:val="000000"/>
                <w:sz w:val="18"/>
              </w:rPr>
            </w:pPr>
            <w:r w:rsidRPr="00311A64">
              <w:rPr>
                <w:rFonts w:ascii="Arial" w:hAnsi="Arial" w:cs="Arial"/>
                <w:color w:val="000000"/>
                <w:sz w:val="18"/>
              </w:rPr>
              <w:t>0.3”</w:t>
            </w:r>
          </w:p>
        </w:tc>
        <w:tc>
          <w:tcPr>
            <w:tcW w:w="3435"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szCs w:val="18"/>
              </w:rPr>
              <w:t>48%</w:t>
            </w:r>
          </w:p>
        </w:tc>
        <w:tc>
          <w:tcPr>
            <w:tcW w:w="3132"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rPr>
              <w:t>42%</w:t>
            </w:r>
          </w:p>
        </w:tc>
      </w:tr>
      <w:tr w:rsidR="000B5480" w:rsidRPr="00B53524" w:rsidTr="00306D82">
        <w:trPr>
          <w:trHeight w:val="288"/>
        </w:trPr>
        <w:tc>
          <w:tcPr>
            <w:tcW w:w="3009" w:type="dxa"/>
            <w:vAlign w:val="center"/>
          </w:tcPr>
          <w:p w:rsidR="000B5480" w:rsidRPr="00B53524" w:rsidRDefault="000B5480" w:rsidP="000B5480">
            <w:pPr>
              <w:keepNext/>
              <w:spacing w:after="0"/>
              <w:jc w:val="center"/>
              <w:rPr>
                <w:rFonts w:ascii="Arial" w:hAnsi="Arial" w:cs="Arial"/>
                <w:color w:val="000000"/>
                <w:sz w:val="18"/>
              </w:rPr>
            </w:pPr>
            <w:r w:rsidRPr="00311A64">
              <w:rPr>
                <w:rFonts w:ascii="Arial" w:hAnsi="Arial" w:cs="Arial"/>
                <w:color w:val="000000"/>
                <w:sz w:val="18"/>
              </w:rPr>
              <w:t>0.4”</w:t>
            </w:r>
          </w:p>
        </w:tc>
        <w:tc>
          <w:tcPr>
            <w:tcW w:w="3435"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szCs w:val="18"/>
              </w:rPr>
              <w:t>57%</w:t>
            </w:r>
          </w:p>
        </w:tc>
        <w:tc>
          <w:tcPr>
            <w:tcW w:w="3132"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rPr>
              <w:t>50%</w:t>
            </w:r>
          </w:p>
        </w:tc>
      </w:tr>
      <w:tr w:rsidR="000B5480" w:rsidRPr="00B53524" w:rsidTr="00306D82">
        <w:trPr>
          <w:trHeight w:val="288"/>
        </w:trPr>
        <w:tc>
          <w:tcPr>
            <w:tcW w:w="3009" w:type="dxa"/>
            <w:vAlign w:val="center"/>
          </w:tcPr>
          <w:p w:rsidR="000B5480" w:rsidRPr="00B53524" w:rsidRDefault="000B5480" w:rsidP="000B5480">
            <w:pPr>
              <w:keepNext/>
              <w:spacing w:after="0"/>
              <w:jc w:val="center"/>
              <w:rPr>
                <w:rFonts w:ascii="Arial" w:hAnsi="Arial" w:cs="Arial"/>
                <w:color w:val="000000"/>
                <w:sz w:val="18"/>
              </w:rPr>
            </w:pPr>
            <w:r w:rsidRPr="00311A64">
              <w:rPr>
                <w:rFonts w:ascii="Arial" w:hAnsi="Arial" w:cs="Arial"/>
                <w:color w:val="000000"/>
                <w:sz w:val="18"/>
              </w:rPr>
              <w:t>0.5”</w:t>
            </w:r>
          </w:p>
        </w:tc>
        <w:tc>
          <w:tcPr>
            <w:tcW w:w="3435"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szCs w:val="18"/>
              </w:rPr>
              <w:t>64%</w:t>
            </w:r>
          </w:p>
        </w:tc>
        <w:tc>
          <w:tcPr>
            <w:tcW w:w="3132"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rPr>
              <w:t>57%</w:t>
            </w:r>
          </w:p>
        </w:tc>
      </w:tr>
      <w:tr w:rsidR="000B5480" w:rsidRPr="00B53524" w:rsidTr="00306D82">
        <w:trPr>
          <w:trHeight w:val="288"/>
        </w:trPr>
        <w:tc>
          <w:tcPr>
            <w:tcW w:w="3009" w:type="dxa"/>
            <w:vAlign w:val="center"/>
          </w:tcPr>
          <w:p w:rsidR="000B5480" w:rsidRPr="00B53524" w:rsidRDefault="000B5480" w:rsidP="000B5480">
            <w:pPr>
              <w:spacing w:after="0"/>
              <w:jc w:val="center"/>
              <w:rPr>
                <w:rFonts w:ascii="Arial" w:hAnsi="Arial" w:cs="Arial"/>
                <w:color w:val="000000"/>
                <w:sz w:val="18"/>
              </w:rPr>
            </w:pPr>
            <w:r w:rsidRPr="00311A64">
              <w:rPr>
                <w:rFonts w:ascii="Arial" w:hAnsi="Arial" w:cs="Arial"/>
                <w:color w:val="000000"/>
                <w:sz w:val="18"/>
              </w:rPr>
              <w:t>0.6”</w:t>
            </w:r>
          </w:p>
        </w:tc>
        <w:tc>
          <w:tcPr>
            <w:tcW w:w="3435"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szCs w:val="18"/>
              </w:rPr>
              <w:t>70%</w:t>
            </w:r>
          </w:p>
        </w:tc>
        <w:tc>
          <w:tcPr>
            <w:tcW w:w="3132"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rPr>
              <w:t>63%</w:t>
            </w:r>
          </w:p>
        </w:tc>
      </w:tr>
      <w:tr w:rsidR="000B5480" w:rsidRPr="00B53524" w:rsidTr="00306D82">
        <w:trPr>
          <w:trHeight w:val="288"/>
        </w:trPr>
        <w:tc>
          <w:tcPr>
            <w:tcW w:w="3009" w:type="dxa"/>
            <w:vAlign w:val="center"/>
          </w:tcPr>
          <w:p w:rsidR="000B5480" w:rsidRPr="00B53524" w:rsidRDefault="000B5480" w:rsidP="000B5480">
            <w:pPr>
              <w:spacing w:after="0"/>
              <w:jc w:val="center"/>
              <w:rPr>
                <w:rFonts w:ascii="Arial" w:hAnsi="Arial" w:cs="Arial"/>
                <w:color w:val="000000"/>
                <w:sz w:val="18"/>
              </w:rPr>
            </w:pPr>
            <w:r w:rsidRPr="00311A64">
              <w:rPr>
                <w:rFonts w:ascii="Arial" w:hAnsi="Arial" w:cs="Arial"/>
                <w:color w:val="000000"/>
                <w:sz w:val="18"/>
              </w:rPr>
              <w:t>0.7”</w:t>
            </w:r>
          </w:p>
        </w:tc>
        <w:tc>
          <w:tcPr>
            <w:tcW w:w="3435"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szCs w:val="18"/>
              </w:rPr>
              <w:t>75%</w:t>
            </w:r>
          </w:p>
        </w:tc>
        <w:tc>
          <w:tcPr>
            <w:tcW w:w="3132"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rPr>
              <w:t>68%</w:t>
            </w:r>
          </w:p>
        </w:tc>
      </w:tr>
      <w:tr w:rsidR="000B5480" w:rsidRPr="00B53524" w:rsidTr="00306D82">
        <w:trPr>
          <w:trHeight w:val="288"/>
        </w:trPr>
        <w:tc>
          <w:tcPr>
            <w:tcW w:w="3009" w:type="dxa"/>
            <w:vAlign w:val="center"/>
          </w:tcPr>
          <w:p w:rsidR="000B5480" w:rsidRPr="00B53524" w:rsidRDefault="000B5480" w:rsidP="000B5480">
            <w:pPr>
              <w:spacing w:after="0"/>
              <w:jc w:val="center"/>
              <w:rPr>
                <w:rFonts w:ascii="Arial" w:hAnsi="Arial" w:cs="Arial"/>
                <w:color w:val="000000"/>
                <w:sz w:val="18"/>
              </w:rPr>
            </w:pPr>
            <w:r w:rsidRPr="00311A64">
              <w:rPr>
                <w:rFonts w:ascii="Arial" w:hAnsi="Arial" w:cs="Arial"/>
                <w:color w:val="000000"/>
                <w:sz w:val="18"/>
              </w:rPr>
              <w:t>0.8”</w:t>
            </w:r>
          </w:p>
        </w:tc>
        <w:tc>
          <w:tcPr>
            <w:tcW w:w="3435"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szCs w:val="18"/>
              </w:rPr>
              <w:t>80%</w:t>
            </w:r>
          </w:p>
        </w:tc>
        <w:tc>
          <w:tcPr>
            <w:tcW w:w="3132"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rPr>
              <w:t>72%</w:t>
            </w:r>
          </w:p>
        </w:tc>
      </w:tr>
      <w:tr w:rsidR="000B5480" w:rsidRPr="00B53524" w:rsidTr="00306D82">
        <w:trPr>
          <w:trHeight w:val="288"/>
        </w:trPr>
        <w:tc>
          <w:tcPr>
            <w:tcW w:w="3009" w:type="dxa"/>
            <w:vAlign w:val="center"/>
          </w:tcPr>
          <w:p w:rsidR="000B5480" w:rsidRPr="00B53524" w:rsidRDefault="000B5480" w:rsidP="000B5480">
            <w:pPr>
              <w:spacing w:after="0"/>
              <w:jc w:val="center"/>
              <w:rPr>
                <w:rFonts w:ascii="Arial" w:hAnsi="Arial" w:cs="Arial"/>
                <w:color w:val="000000"/>
                <w:sz w:val="18"/>
              </w:rPr>
            </w:pPr>
            <w:r w:rsidRPr="00311A64">
              <w:rPr>
                <w:rFonts w:ascii="Arial" w:hAnsi="Arial" w:cs="Arial"/>
                <w:color w:val="000000"/>
                <w:sz w:val="18"/>
              </w:rPr>
              <w:t>0.9”</w:t>
            </w:r>
          </w:p>
        </w:tc>
        <w:tc>
          <w:tcPr>
            <w:tcW w:w="3435"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szCs w:val="18"/>
              </w:rPr>
              <w:t>80%</w:t>
            </w:r>
          </w:p>
        </w:tc>
        <w:tc>
          <w:tcPr>
            <w:tcW w:w="3132"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rPr>
              <w:t>76%</w:t>
            </w:r>
          </w:p>
        </w:tc>
      </w:tr>
      <w:tr w:rsidR="000B5480" w:rsidRPr="00B53524" w:rsidTr="00306D82">
        <w:trPr>
          <w:trHeight w:val="288"/>
        </w:trPr>
        <w:tc>
          <w:tcPr>
            <w:tcW w:w="3009" w:type="dxa"/>
            <w:vAlign w:val="center"/>
          </w:tcPr>
          <w:p w:rsidR="000B5480" w:rsidRPr="00B53524" w:rsidRDefault="000B5480" w:rsidP="000B5480">
            <w:pPr>
              <w:spacing w:after="0"/>
              <w:jc w:val="center"/>
              <w:rPr>
                <w:rFonts w:ascii="Arial" w:hAnsi="Arial" w:cs="Arial"/>
                <w:color w:val="000000"/>
                <w:sz w:val="18"/>
              </w:rPr>
            </w:pPr>
            <w:r w:rsidRPr="00311A64">
              <w:rPr>
                <w:rFonts w:ascii="Arial" w:hAnsi="Arial" w:cs="Arial"/>
                <w:color w:val="000000"/>
                <w:sz w:val="18"/>
              </w:rPr>
              <w:t>1.0”</w:t>
            </w:r>
          </w:p>
        </w:tc>
        <w:tc>
          <w:tcPr>
            <w:tcW w:w="3435"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szCs w:val="18"/>
              </w:rPr>
              <w:t>80%</w:t>
            </w:r>
          </w:p>
        </w:tc>
        <w:tc>
          <w:tcPr>
            <w:tcW w:w="3132" w:type="dxa"/>
            <w:vAlign w:val="center"/>
          </w:tcPr>
          <w:p w:rsidR="000B5480" w:rsidRPr="00B53524" w:rsidRDefault="000B5480" w:rsidP="000B5480">
            <w:pPr>
              <w:spacing w:after="0"/>
              <w:jc w:val="center"/>
              <w:rPr>
                <w:rFonts w:ascii="Arial" w:hAnsi="Arial" w:cs="Arial"/>
                <w:color w:val="000000"/>
                <w:sz w:val="18"/>
                <w:szCs w:val="18"/>
              </w:rPr>
            </w:pPr>
            <w:r w:rsidRPr="00311A64">
              <w:rPr>
                <w:rFonts w:ascii="Arial" w:hAnsi="Arial" w:cs="Arial"/>
                <w:color w:val="000000"/>
                <w:sz w:val="18"/>
              </w:rPr>
              <w:t>80%</w:t>
            </w:r>
          </w:p>
        </w:tc>
      </w:tr>
    </w:tbl>
    <w:p w:rsidR="00851327" w:rsidRDefault="00851327">
      <w:pPr>
        <w:spacing w:after="200"/>
        <w:rPr>
          <w:rFonts w:eastAsia="Times New Roman" w:cs="Times New Roman"/>
          <w:szCs w:val="20"/>
        </w:rPr>
      </w:pPr>
      <w:r>
        <w:br w:type="page"/>
      </w:r>
    </w:p>
    <w:tbl>
      <w:tblPr>
        <w:tblW w:w="91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96"/>
        <w:gridCol w:w="2862"/>
        <w:gridCol w:w="1560"/>
        <w:gridCol w:w="1698"/>
        <w:gridCol w:w="1756"/>
      </w:tblGrid>
      <w:tr w:rsidR="00851327" w:rsidRPr="00B53524" w:rsidTr="0027571A">
        <w:trPr>
          <w:tblHeader/>
        </w:trPr>
        <w:tc>
          <w:tcPr>
            <w:tcW w:w="9172" w:type="dxa"/>
            <w:gridSpan w:val="5"/>
            <w:tcBorders>
              <w:top w:val="nil"/>
              <w:left w:val="nil"/>
              <w:bottom w:val="single" w:sz="4" w:space="0" w:color="auto"/>
              <w:right w:val="nil"/>
            </w:tcBorders>
            <w:shd w:val="clear" w:color="auto" w:fill="auto"/>
          </w:tcPr>
          <w:p w:rsidR="00851327" w:rsidRPr="00524D76" w:rsidRDefault="00851327" w:rsidP="00647B99">
            <w:pPr>
              <w:pStyle w:val="Caption"/>
              <w:rPr>
                <w:rStyle w:val="TableHeadingChar"/>
              </w:rPr>
            </w:pPr>
            <w:bookmarkStart w:id="138" w:name="_Ref285398327"/>
            <w:bookmarkStart w:id="139" w:name="_Ref285531384"/>
            <w:bookmarkStart w:id="140" w:name="_Toc288554456"/>
            <w:r w:rsidRPr="00524D76">
              <w:t xml:space="preserve">Worksheet </w:t>
            </w:r>
            <w:fldSimple w:instr=" SEQ Worksheet \* ALPHABETIC ">
              <w:r w:rsidR="00126DE5" w:rsidRPr="00524D76">
                <w:rPr>
                  <w:noProof/>
                </w:rPr>
                <w:t>A</w:t>
              </w:r>
            </w:fldSimple>
            <w:bookmarkEnd w:id="138"/>
            <w:r w:rsidRPr="00524D76">
              <w:t>: Hydrologic Source Control Calculation Form</w:t>
            </w:r>
            <w:bookmarkEnd w:id="139"/>
            <w:bookmarkEnd w:id="140"/>
          </w:p>
        </w:tc>
      </w:tr>
      <w:tr w:rsidR="00851327" w:rsidRPr="002D3A19" w:rsidTr="002D3A19">
        <w:trPr>
          <w:trHeight w:val="287"/>
          <w:tblHeader/>
        </w:trPr>
        <w:tc>
          <w:tcPr>
            <w:tcW w:w="1296" w:type="dxa"/>
            <w:tcBorders>
              <w:bottom w:val="nil"/>
              <w:right w:val="nil"/>
            </w:tcBorders>
            <w:vAlign w:val="bottom"/>
          </w:tcPr>
          <w:p w:rsidR="00851327" w:rsidRPr="002D3A19" w:rsidRDefault="00851327" w:rsidP="002D3A19">
            <w:pPr>
              <w:keepNext/>
              <w:spacing w:after="0"/>
              <w:jc w:val="center"/>
              <w:rPr>
                <w:rFonts w:ascii="Arial" w:hAnsi="Arial" w:cs="Arial"/>
                <w:sz w:val="18"/>
              </w:rPr>
            </w:pPr>
          </w:p>
        </w:tc>
        <w:tc>
          <w:tcPr>
            <w:tcW w:w="2862" w:type="dxa"/>
            <w:tcBorders>
              <w:left w:val="nil"/>
              <w:bottom w:val="nil"/>
              <w:right w:val="nil"/>
            </w:tcBorders>
            <w:vAlign w:val="bottom"/>
          </w:tcPr>
          <w:p w:rsidR="00851327" w:rsidRPr="002D3A19" w:rsidRDefault="002D3A19" w:rsidP="002D3A19">
            <w:pPr>
              <w:keepNext/>
              <w:spacing w:after="0"/>
              <w:jc w:val="right"/>
              <w:rPr>
                <w:rFonts w:ascii="Arial" w:hAnsi="Arial" w:cs="Arial"/>
                <w:sz w:val="18"/>
              </w:rPr>
            </w:pPr>
            <w:r w:rsidRPr="002D3A19">
              <w:rPr>
                <w:rFonts w:ascii="Arial" w:hAnsi="Arial" w:cs="Arial"/>
                <w:sz w:val="18"/>
              </w:rPr>
              <w:t>D</w:t>
            </w:r>
            <w:r w:rsidR="00851327" w:rsidRPr="002D3A19">
              <w:rPr>
                <w:rFonts w:ascii="Arial" w:hAnsi="Arial" w:cs="Arial"/>
                <w:sz w:val="18"/>
              </w:rPr>
              <w:t>rainage area ID</w:t>
            </w:r>
          </w:p>
        </w:tc>
        <w:tc>
          <w:tcPr>
            <w:tcW w:w="1560" w:type="dxa"/>
            <w:tcBorders>
              <w:left w:val="nil"/>
              <w:bottom w:val="single" w:sz="4" w:space="0" w:color="auto"/>
              <w:right w:val="nil"/>
            </w:tcBorders>
            <w:vAlign w:val="bottom"/>
          </w:tcPr>
          <w:p w:rsidR="00851327" w:rsidRPr="002D3A19" w:rsidRDefault="00851327" w:rsidP="002D3A19">
            <w:pPr>
              <w:keepNext/>
              <w:spacing w:after="0"/>
              <w:jc w:val="center"/>
              <w:rPr>
                <w:rFonts w:ascii="Arial" w:hAnsi="Arial" w:cs="Arial"/>
                <w:sz w:val="20"/>
              </w:rPr>
            </w:pPr>
          </w:p>
        </w:tc>
        <w:tc>
          <w:tcPr>
            <w:tcW w:w="1698" w:type="dxa"/>
            <w:tcBorders>
              <w:left w:val="nil"/>
              <w:bottom w:val="nil"/>
              <w:right w:val="nil"/>
            </w:tcBorders>
            <w:vAlign w:val="bottom"/>
          </w:tcPr>
          <w:p w:rsidR="00851327" w:rsidRPr="002D3A19" w:rsidRDefault="00851327" w:rsidP="002D3A19">
            <w:pPr>
              <w:keepNext/>
              <w:spacing w:after="0"/>
              <w:jc w:val="center"/>
              <w:rPr>
                <w:rFonts w:ascii="Arial" w:hAnsi="Arial" w:cs="Arial"/>
                <w:sz w:val="18"/>
              </w:rPr>
            </w:pPr>
          </w:p>
        </w:tc>
        <w:tc>
          <w:tcPr>
            <w:tcW w:w="1756" w:type="dxa"/>
            <w:tcBorders>
              <w:left w:val="nil"/>
              <w:bottom w:val="nil"/>
            </w:tcBorders>
            <w:vAlign w:val="bottom"/>
          </w:tcPr>
          <w:p w:rsidR="00851327" w:rsidRPr="002D3A19" w:rsidRDefault="00851327" w:rsidP="002D3A19">
            <w:pPr>
              <w:keepNext/>
              <w:spacing w:after="0"/>
              <w:jc w:val="center"/>
              <w:rPr>
                <w:rFonts w:ascii="Arial" w:hAnsi="Arial" w:cs="Arial"/>
                <w:i/>
                <w:sz w:val="18"/>
              </w:rPr>
            </w:pPr>
          </w:p>
        </w:tc>
      </w:tr>
      <w:tr w:rsidR="00851327" w:rsidRPr="002D3A19" w:rsidTr="002D3A19">
        <w:trPr>
          <w:trHeight w:val="360"/>
          <w:tblHeader/>
        </w:trPr>
        <w:tc>
          <w:tcPr>
            <w:tcW w:w="1296" w:type="dxa"/>
            <w:tcBorders>
              <w:top w:val="nil"/>
              <w:bottom w:val="nil"/>
              <w:right w:val="nil"/>
            </w:tcBorders>
            <w:vAlign w:val="bottom"/>
          </w:tcPr>
          <w:p w:rsidR="00851327" w:rsidRPr="002D3A19" w:rsidRDefault="00851327" w:rsidP="002D3A19">
            <w:pPr>
              <w:keepNext/>
              <w:spacing w:after="0"/>
              <w:jc w:val="center"/>
              <w:rPr>
                <w:rFonts w:ascii="Arial" w:hAnsi="Arial" w:cs="Arial"/>
                <w:sz w:val="18"/>
              </w:rPr>
            </w:pPr>
          </w:p>
        </w:tc>
        <w:tc>
          <w:tcPr>
            <w:tcW w:w="2862" w:type="dxa"/>
            <w:tcBorders>
              <w:top w:val="nil"/>
              <w:left w:val="nil"/>
              <w:bottom w:val="nil"/>
              <w:right w:val="nil"/>
            </w:tcBorders>
            <w:vAlign w:val="bottom"/>
          </w:tcPr>
          <w:p w:rsidR="00851327" w:rsidRPr="002D3A19" w:rsidRDefault="00851327" w:rsidP="002D3A19">
            <w:pPr>
              <w:keepNext/>
              <w:spacing w:after="0"/>
              <w:jc w:val="right"/>
              <w:rPr>
                <w:rFonts w:ascii="Arial" w:hAnsi="Arial" w:cs="Arial"/>
                <w:sz w:val="18"/>
              </w:rPr>
            </w:pPr>
            <w:r w:rsidRPr="002D3A19">
              <w:rPr>
                <w:rFonts w:ascii="Arial" w:hAnsi="Arial" w:cs="Arial"/>
                <w:sz w:val="18"/>
              </w:rPr>
              <w:t>Total drainage area</w:t>
            </w:r>
          </w:p>
        </w:tc>
        <w:tc>
          <w:tcPr>
            <w:tcW w:w="1560" w:type="dxa"/>
            <w:tcBorders>
              <w:top w:val="single" w:sz="4" w:space="0" w:color="auto"/>
              <w:left w:val="nil"/>
              <w:bottom w:val="single" w:sz="4" w:space="0" w:color="auto"/>
              <w:right w:val="nil"/>
            </w:tcBorders>
            <w:vAlign w:val="bottom"/>
          </w:tcPr>
          <w:p w:rsidR="00851327" w:rsidRPr="002D3A19" w:rsidRDefault="00851327" w:rsidP="002D3A19">
            <w:pPr>
              <w:keepNext/>
              <w:spacing w:after="0"/>
              <w:jc w:val="center"/>
              <w:rPr>
                <w:rFonts w:ascii="Arial" w:hAnsi="Arial" w:cs="Arial"/>
                <w:sz w:val="20"/>
              </w:rPr>
            </w:pPr>
          </w:p>
        </w:tc>
        <w:tc>
          <w:tcPr>
            <w:tcW w:w="1698" w:type="dxa"/>
            <w:tcBorders>
              <w:top w:val="nil"/>
              <w:left w:val="nil"/>
              <w:bottom w:val="nil"/>
              <w:right w:val="nil"/>
            </w:tcBorders>
            <w:vAlign w:val="bottom"/>
          </w:tcPr>
          <w:p w:rsidR="00851327" w:rsidRPr="002D3A19" w:rsidRDefault="00851327" w:rsidP="002D3A19">
            <w:pPr>
              <w:keepNext/>
              <w:spacing w:after="0"/>
              <w:rPr>
                <w:rFonts w:ascii="Arial" w:hAnsi="Arial" w:cs="Arial"/>
                <w:sz w:val="18"/>
              </w:rPr>
            </w:pPr>
            <w:r w:rsidRPr="002D3A19">
              <w:rPr>
                <w:rFonts w:ascii="Arial" w:hAnsi="Arial" w:cs="Arial"/>
                <w:sz w:val="18"/>
              </w:rPr>
              <w:t>acres</w:t>
            </w:r>
          </w:p>
        </w:tc>
        <w:tc>
          <w:tcPr>
            <w:tcW w:w="1756" w:type="dxa"/>
            <w:tcBorders>
              <w:top w:val="nil"/>
              <w:left w:val="nil"/>
              <w:bottom w:val="nil"/>
            </w:tcBorders>
            <w:vAlign w:val="bottom"/>
          </w:tcPr>
          <w:p w:rsidR="00851327" w:rsidRPr="002D3A19" w:rsidRDefault="00851327" w:rsidP="002D3A19">
            <w:pPr>
              <w:keepNext/>
              <w:spacing w:after="0"/>
              <w:jc w:val="center"/>
              <w:rPr>
                <w:rFonts w:ascii="Arial" w:hAnsi="Arial" w:cs="Arial"/>
                <w:i/>
                <w:sz w:val="18"/>
              </w:rPr>
            </w:pPr>
          </w:p>
        </w:tc>
      </w:tr>
      <w:tr w:rsidR="00851327" w:rsidRPr="002D3A19" w:rsidTr="002D3A19">
        <w:trPr>
          <w:trHeight w:val="441"/>
          <w:tblHeader/>
        </w:trPr>
        <w:tc>
          <w:tcPr>
            <w:tcW w:w="4158" w:type="dxa"/>
            <w:gridSpan w:val="2"/>
            <w:tcBorders>
              <w:top w:val="nil"/>
              <w:bottom w:val="nil"/>
              <w:right w:val="nil"/>
            </w:tcBorders>
            <w:vAlign w:val="bottom"/>
          </w:tcPr>
          <w:p w:rsidR="00851327" w:rsidRPr="002D3A19" w:rsidRDefault="00851327" w:rsidP="002D3A19">
            <w:pPr>
              <w:keepNext/>
              <w:spacing w:after="0"/>
              <w:jc w:val="right"/>
              <w:rPr>
                <w:rFonts w:ascii="Arial" w:hAnsi="Arial" w:cs="Arial"/>
                <w:sz w:val="18"/>
              </w:rPr>
            </w:pPr>
            <w:r w:rsidRPr="002D3A19">
              <w:rPr>
                <w:rFonts w:ascii="Arial" w:hAnsi="Arial" w:cs="Arial"/>
                <w:sz w:val="18"/>
              </w:rPr>
              <w:t>Total drainage area Impervious Area (IA</w:t>
            </w:r>
            <w:r w:rsidRPr="002D3A19">
              <w:rPr>
                <w:rFonts w:ascii="Arial" w:hAnsi="Arial" w:cs="Arial"/>
                <w:sz w:val="18"/>
                <w:vertAlign w:val="subscript"/>
              </w:rPr>
              <w:t>tota</w:t>
            </w:r>
            <w:r w:rsidRPr="002D3A19">
              <w:rPr>
                <w:rFonts w:ascii="Arial" w:hAnsi="Arial" w:cs="Arial"/>
                <w:sz w:val="18"/>
              </w:rPr>
              <w:t>l)</w:t>
            </w:r>
          </w:p>
        </w:tc>
        <w:tc>
          <w:tcPr>
            <w:tcW w:w="1560" w:type="dxa"/>
            <w:tcBorders>
              <w:top w:val="single" w:sz="4" w:space="0" w:color="auto"/>
              <w:left w:val="nil"/>
              <w:bottom w:val="single" w:sz="4" w:space="0" w:color="auto"/>
              <w:right w:val="nil"/>
            </w:tcBorders>
            <w:vAlign w:val="bottom"/>
          </w:tcPr>
          <w:p w:rsidR="00851327" w:rsidRPr="002D3A19" w:rsidRDefault="00851327" w:rsidP="002D3A19">
            <w:pPr>
              <w:keepNext/>
              <w:spacing w:after="0"/>
              <w:jc w:val="center"/>
              <w:rPr>
                <w:rFonts w:ascii="Arial" w:hAnsi="Arial" w:cs="Arial"/>
                <w:sz w:val="20"/>
              </w:rPr>
            </w:pPr>
          </w:p>
        </w:tc>
        <w:tc>
          <w:tcPr>
            <w:tcW w:w="1698" w:type="dxa"/>
            <w:tcBorders>
              <w:top w:val="nil"/>
              <w:left w:val="nil"/>
              <w:bottom w:val="nil"/>
              <w:right w:val="nil"/>
            </w:tcBorders>
            <w:vAlign w:val="bottom"/>
          </w:tcPr>
          <w:p w:rsidR="00851327" w:rsidRPr="002D3A19" w:rsidRDefault="00851327" w:rsidP="002D3A19">
            <w:pPr>
              <w:keepNext/>
              <w:spacing w:after="0"/>
              <w:rPr>
                <w:rFonts w:ascii="Arial" w:hAnsi="Arial" w:cs="Arial"/>
                <w:sz w:val="18"/>
              </w:rPr>
            </w:pPr>
            <w:r w:rsidRPr="002D3A19">
              <w:rPr>
                <w:rFonts w:ascii="Arial" w:hAnsi="Arial" w:cs="Arial"/>
                <w:sz w:val="18"/>
              </w:rPr>
              <w:t>acres</w:t>
            </w:r>
          </w:p>
        </w:tc>
        <w:tc>
          <w:tcPr>
            <w:tcW w:w="1756" w:type="dxa"/>
            <w:tcBorders>
              <w:top w:val="nil"/>
              <w:left w:val="nil"/>
              <w:bottom w:val="nil"/>
            </w:tcBorders>
            <w:vAlign w:val="bottom"/>
          </w:tcPr>
          <w:p w:rsidR="00851327" w:rsidRPr="002D3A19" w:rsidRDefault="00851327" w:rsidP="002D3A19">
            <w:pPr>
              <w:keepNext/>
              <w:spacing w:after="0"/>
              <w:jc w:val="center"/>
              <w:rPr>
                <w:rFonts w:ascii="Arial" w:hAnsi="Arial" w:cs="Arial"/>
                <w:i/>
                <w:sz w:val="18"/>
              </w:rPr>
            </w:pPr>
          </w:p>
        </w:tc>
      </w:tr>
      <w:tr w:rsidR="00851327" w:rsidRPr="002D3A19" w:rsidTr="002D3A19">
        <w:trPr>
          <w:trHeight w:val="152"/>
          <w:tblHeader/>
        </w:trPr>
        <w:tc>
          <w:tcPr>
            <w:tcW w:w="1296" w:type="dxa"/>
            <w:tcBorders>
              <w:top w:val="nil"/>
              <w:right w:val="nil"/>
            </w:tcBorders>
            <w:vAlign w:val="bottom"/>
          </w:tcPr>
          <w:p w:rsidR="00851327" w:rsidRPr="002D3A19" w:rsidRDefault="00851327" w:rsidP="002D3A19">
            <w:pPr>
              <w:keepNext/>
              <w:spacing w:after="0"/>
              <w:jc w:val="center"/>
              <w:rPr>
                <w:rFonts w:ascii="Arial" w:hAnsi="Arial" w:cs="Arial"/>
                <w:sz w:val="18"/>
              </w:rPr>
            </w:pPr>
          </w:p>
        </w:tc>
        <w:tc>
          <w:tcPr>
            <w:tcW w:w="2862" w:type="dxa"/>
            <w:tcBorders>
              <w:top w:val="nil"/>
              <w:left w:val="nil"/>
              <w:right w:val="nil"/>
            </w:tcBorders>
            <w:vAlign w:val="bottom"/>
          </w:tcPr>
          <w:p w:rsidR="00851327" w:rsidRPr="002D3A19" w:rsidRDefault="00851327" w:rsidP="002D3A19">
            <w:pPr>
              <w:keepNext/>
              <w:spacing w:after="0"/>
              <w:jc w:val="right"/>
              <w:rPr>
                <w:rFonts w:ascii="Arial" w:hAnsi="Arial" w:cs="Arial"/>
                <w:sz w:val="18"/>
              </w:rPr>
            </w:pPr>
          </w:p>
        </w:tc>
        <w:tc>
          <w:tcPr>
            <w:tcW w:w="1560" w:type="dxa"/>
            <w:tcBorders>
              <w:top w:val="single" w:sz="4" w:space="0" w:color="auto"/>
              <w:left w:val="nil"/>
              <w:right w:val="nil"/>
            </w:tcBorders>
            <w:vAlign w:val="bottom"/>
          </w:tcPr>
          <w:p w:rsidR="00851327" w:rsidRPr="002D3A19" w:rsidRDefault="00851327" w:rsidP="002D3A19">
            <w:pPr>
              <w:keepNext/>
              <w:spacing w:after="0"/>
              <w:jc w:val="center"/>
              <w:rPr>
                <w:rFonts w:ascii="Arial" w:hAnsi="Arial" w:cs="Arial"/>
                <w:sz w:val="20"/>
                <w:u w:val="single"/>
              </w:rPr>
            </w:pPr>
          </w:p>
        </w:tc>
        <w:tc>
          <w:tcPr>
            <w:tcW w:w="1698" w:type="dxa"/>
            <w:tcBorders>
              <w:top w:val="nil"/>
              <w:left w:val="nil"/>
              <w:right w:val="nil"/>
            </w:tcBorders>
            <w:vAlign w:val="bottom"/>
          </w:tcPr>
          <w:p w:rsidR="00851327" w:rsidRPr="002D3A19" w:rsidRDefault="00851327" w:rsidP="002D3A19">
            <w:pPr>
              <w:keepNext/>
              <w:spacing w:after="0"/>
              <w:rPr>
                <w:rFonts w:ascii="Arial" w:hAnsi="Arial" w:cs="Arial"/>
                <w:sz w:val="18"/>
              </w:rPr>
            </w:pPr>
          </w:p>
        </w:tc>
        <w:tc>
          <w:tcPr>
            <w:tcW w:w="1756" w:type="dxa"/>
            <w:tcBorders>
              <w:top w:val="nil"/>
              <w:left w:val="nil"/>
            </w:tcBorders>
            <w:vAlign w:val="bottom"/>
          </w:tcPr>
          <w:p w:rsidR="00851327" w:rsidRPr="002D3A19" w:rsidRDefault="00851327" w:rsidP="002D3A19">
            <w:pPr>
              <w:keepNext/>
              <w:spacing w:after="0"/>
              <w:jc w:val="center"/>
              <w:rPr>
                <w:rFonts w:ascii="Arial" w:hAnsi="Arial" w:cs="Arial"/>
                <w:i/>
                <w:sz w:val="18"/>
              </w:rPr>
            </w:pPr>
          </w:p>
        </w:tc>
      </w:tr>
      <w:tr w:rsidR="00851327" w:rsidRPr="002D3A19" w:rsidTr="002D3A19">
        <w:trPr>
          <w:trHeight w:val="360"/>
          <w:tblHeader/>
        </w:trPr>
        <w:tc>
          <w:tcPr>
            <w:tcW w:w="1296" w:type="dxa"/>
            <w:vAlign w:val="bottom"/>
          </w:tcPr>
          <w:p w:rsidR="00851327" w:rsidRPr="002D3A19" w:rsidRDefault="00851327" w:rsidP="002D3A19">
            <w:pPr>
              <w:keepNext/>
              <w:spacing w:after="0"/>
              <w:jc w:val="center"/>
              <w:rPr>
                <w:rFonts w:ascii="Arial" w:hAnsi="Arial" w:cs="Arial"/>
                <w:sz w:val="18"/>
              </w:rPr>
            </w:pPr>
            <w:r w:rsidRPr="002D3A19">
              <w:rPr>
                <w:rFonts w:ascii="Arial" w:hAnsi="Arial" w:cs="Arial"/>
                <w:sz w:val="18"/>
              </w:rPr>
              <w:t>HSC ID</w:t>
            </w:r>
          </w:p>
        </w:tc>
        <w:tc>
          <w:tcPr>
            <w:tcW w:w="2862" w:type="dxa"/>
            <w:vAlign w:val="bottom"/>
          </w:tcPr>
          <w:p w:rsidR="00851327" w:rsidRPr="002D3A19" w:rsidRDefault="00851327" w:rsidP="00851327">
            <w:pPr>
              <w:keepNext/>
              <w:spacing w:after="0"/>
              <w:jc w:val="center"/>
              <w:rPr>
                <w:rFonts w:ascii="Arial" w:hAnsi="Arial" w:cs="Arial"/>
                <w:sz w:val="18"/>
              </w:rPr>
            </w:pPr>
            <w:r w:rsidRPr="002D3A19">
              <w:rPr>
                <w:rFonts w:ascii="Arial" w:hAnsi="Arial" w:cs="Arial"/>
                <w:sz w:val="18"/>
              </w:rPr>
              <w:t>HSC Type/ Description/ Reference BMP Fact Sheet</w:t>
            </w:r>
          </w:p>
        </w:tc>
        <w:tc>
          <w:tcPr>
            <w:tcW w:w="1560" w:type="dxa"/>
            <w:vAlign w:val="bottom"/>
          </w:tcPr>
          <w:p w:rsidR="00851327" w:rsidRPr="002D3A19" w:rsidRDefault="00851327" w:rsidP="002D3A19">
            <w:pPr>
              <w:keepNext/>
              <w:spacing w:after="0"/>
              <w:jc w:val="center"/>
              <w:rPr>
                <w:rFonts w:ascii="Arial" w:hAnsi="Arial" w:cs="Arial"/>
                <w:sz w:val="20"/>
              </w:rPr>
            </w:pPr>
            <w:r w:rsidRPr="002D3A19">
              <w:rPr>
                <w:rFonts w:ascii="Arial" w:hAnsi="Arial" w:cs="Arial"/>
                <w:sz w:val="20"/>
              </w:rPr>
              <w:t>Effect of individual HSC</w:t>
            </w:r>
            <w:r w:rsidRPr="002D3A19">
              <w:rPr>
                <w:rFonts w:ascii="Arial" w:hAnsi="Arial" w:cs="Arial"/>
                <w:i/>
                <w:sz w:val="20"/>
                <w:vertAlign w:val="subscript"/>
              </w:rPr>
              <w:t>i</w:t>
            </w:r>
            <w:r w:rsidRPr="002D3A19">
              <w:rPr>
                <w:rFonts w:ascii="Arial" w:hAnsi="Arial" w:cs="Arial"/>
                <w:sz w:val="20"/>
              </w:rPr>
              <w:t xml:space="preserve"> per criteria in </w:t>
            </w:r>
            <w:r w:rsidRPr="002D3A19">
              <w:rPr>
                <w:rFonts w:ascii="Arial" w:hAnsi="Arial" w:cs="Arial"/>
                <w:b/>
                <w:color w:val="00B050"/>
                <w:sz w:val="20"/>
              </w:rPr>
              <w:t>BMP Fact Sheets</w:t>
            </w:r>
            <w:r w:rsidR="00DC2407">
              <w:rPr>
                <w:rFonts w:ascii="Arial" w:hAnsi="Arial" w:cs="Arial"/>
                <w:b/>
                <w:color w:val="00B050"/>
                <w:sz w:val="20"/>
              </w:rPr>
              <w:t xml:space="preserve"> (TGD Section 4.2)</w:t>
            </w:r>
          </w:p>
          <w:p w:rsidR="00851327" w:rsidRPr="002D3A19" w:rsidRDefault="00851327" w:rsidP="00851327">
            <w:pPr>
              <w:keepNext/>
              <w:spacing w:after="0"/>
              <w:jc w:val="center"/>
              <w:rPr>
                <w:rFonts w:ascii="Arial" w:hAnsi="Arial" w:cs="Arial"/>
                <w:i/>
                <w:sz w:val="18"/>
              </w:rPr>
            </w:pPr>
            <w:r w:rsidRPr="002D3A19">
              <w:rPr>
                <w:rFonts w:ascii="Arial" w:hAnsi="Arial" w:cs="Arial"/>
                <w:sz w:val="20"/>
              </w:rPr>
              <w:t>(</w:t>
            </w:r>
            <w:r w:rsidRPr="002D3A19">
              <w:rPr>
                <w:rFonts w:ascii="Arial" w:hAnsi="Arial" w:cs="Arial"/>
                <w:i/>
                <w:sz w:val="18"/>
              </w:rPr>
              <w:t>d</w:t>
            </w:r>
            <w:r w:rsidRPr="002D3A19">
              <w:rPr>
                <w:rFonts w:ascii="Arial" w:hAnsi="Arial" w:cs="Arial"/>
                <w:i/>
                <w:sz w:val="18"/>
                <w:vertAlign w:val="subscript"/>
              </w:rPr>
              <w:t>HSCi</w:t>
            </w:r>
            <w:r w:rsidRPr="002D3A19">
              <w:rPr>
                <w:rFonts w:ascii="Arial" w:hAnsi="Arial" w:cs="Arial"/>
                <w:sz w:val="18"/>
              </w:rPr>
              <w:t>)</w:t>
            </w:r>
            <w:r w:rsidRPr="002D3A19">
              <w:rPr>
                <w:rFonts w:ascii="Arial" w:hAnsi="Arial" w:cs="Arial"/>
                <w:sz w:val="18"/>
                <w:vertAlign w:val="superscript"/>
              </w:rPr>
              <w:t>1</w:t>
            </w:r>
          </w:p>
        </w:tc>
        <w:tc>
          <w:tcPr>
            <w:tcW w:w="1698" w:type="dxa"/>
            <w:vAlign w:val="bottom"/>
          </w:tcPr>
          <w:p w:rsidR="00851327" w:rsidRPr="002D3A19" w:rsidRDefault="00851327" w:rsidP="002D3A19">
            <w:pPr>
              <w:keepNext/>
              <w:spacing w:after="0"/>
              <w:jc w:val="center"/>
              <w:rPr>
                <w:rFonts w:ascii="Arial" w:hAnsi="Arial" w:cs="Arial"/>
                <w:sz w:val="18"/>
              </w:rPr>
            </w:pPr>
            <w:r w:rsidRPr="002D3A19">
              <w:rPr>
                <w:rFonts w:ascii="Arial" w:hAnsi="Arial" w:cs="Arial"/>
                <w:sz w:val="18"/>
              </w:rPr>
              <w:t>Impervious Area Tributary to HSC</w:t>
            </w:r>
            <w:r w:rsidRPr="002D3A19">
              <w:rPr>
                <w:rFonts w:ascii="Arial" w:hAnsi="Arial" w:cs="Arial"/>
                <w:sz w:val="18"/>
                <w:vertAlign w:val="subscript"/>
              </w:rPr>
              <w:t>i</w:t>
            </w:r>
          </w:p>
          <w:p w:rsidR="00851327" w:rsidRPr="002D3A19" w:rsidRDefault="00851327" w:rsidP="002D3A19">
            <w:pPr>
              <w:keepNext/>
              <w:spacing w:after="0"/>
              <w:jc w:val="center"/>
              <w:rPr>
                <w:rFonts w:ascii="Arial" w:hAnsi="Arial" w:cs="Arial"/>
                <w:sz w:val="18"/>
              </w:rPr>
            </w:pPr>
            <w:r w:rsidRPr="002D3A19">
              <w:rPr>
                <w:rFonts w:ascii="Arial" w:hAnsi="Arial" w:cs="Arial"/>
                <w:sz w:val="18"/>
              </w:rPr>
              <w:t>(</w:t>
            </w:r>
            <w:r w:rsidRPr="002D3A19">
              <w:rPr>
                <w:rFonts w:ascii="Arial" w:hAnsi="Arial" w:cs="Arial"/>
                <w:i/>
                <w:sz w:val="18"/>
              </w:rPr>
              <w:t>IA</w:t>
            </w:r>
            <w:r w:rsidRPr="002D3A19">
              <w:rPr>
                <w:rFonts w:ascii="Arial" w:hAnsi="Arial" w:cs="Arial"/>
                <w:i/>
                <w:sz w:val="18"/>
                <w:vertAlign w:val="subscript"/>
              </w:rPr>
              <w:t>i</w:t>
            </w:r>
            <w:r w:rsidRPr="002D3A19">
              <w:rPr>
                <w:rFonts w:ascii="Arial" w:hAnsi="Arial" w:cs="Arial"/>
                <w:sz w:val="18"/>
              </w:rPr>
              <w:t>)</w:t>
            </w:r>
          </w:p>
        </w:tc>
        <w:tc>
          <w:tcPr>
            <w:tcW w:w="1756" w:type="dxa"/>
            <w:vAlign w:val="bottom"/>
          </w:tcPr>
          <w:p w:rsidR="00851327" w:rsidRPr="002D3A19" w:rsidRDefault="00851327" w:rsidP="002D3A19">
            <w:pPr>
              <w:keepNext/>
              <w:spacing w:after="0"/>
              <w:jc w:val="center"/>
              <w:rPr>
                <w:rFonts w:ascii="Arial" w:hAnsi="Arial" w:cs="Arial"/>
                <w:i/>
                <w:sz w:val="18"/>
              </w:rPr>
            </w:pPr>
            <w:r w:rsidRPr="002D3A19">
              <w:rPr>
                <w:rFonts w:ascii="Arial" w:hAnsi="Arial" w:cs="Arial"/>
                <w:i/>
                <w:sz w:val="18"/>
              </w:rPr>
              <w:t>d</w:t>
            </w:r>
            <w:r w:rsidRPr="002D3A19">
              <w:rPr>
                <w:rFonts w:ascii="Arial" w:hAnsi="Arial" w:cs="Arial"/>
                <w:i/>
                <w:sz w:val="18"/>
                <w:vertAlign w:val="subscript"/>
              </w:rPr>
              <w:t>i</w:t>
            </w:r>
            <w:r w:rsidRPr="002D3A19">
              <w:rPr>
                <w:rFonts w:ascii="Arial" w:hAnsi="Arial" w:cs="Arial"/>
                <w:i/>
                <w:sz w:val="18"/>
              </w:rPr>
              <w:t xml:space="preserve"> × IA</w:t>
            </w:r>
            <w:r w:rsidRPr="002D3A19">
              <w:rPr>
                <w:rFonts w:ascii="Arial" w:hAnsi="Arial" w:cs="Arial"/>
                <w:i/>
                <w:sz w:val="18"/>
                <w:vertAlign w:val="subscript"/>
              </w:rPr>
              <w:t>i</w:t>
            </w:r>
          </w:p>
        </w:tc>
      </w:tr>
      <w:tr w:rsidR="00851327" w:rsidRPr="002D3A19" w:rsidTr="002D3A19">
        <w:trPr>
          <w:trHeight w:val="360"/>
        </w:trPr>
        <w:tc>
          <w:tcPr>
            <w:tcW w:w="1296" w:type="dxa"/>
            <w:vAlign w:val="center"/>
          </w:tcPr>
          <w:p w:rsidR="00851327" w:rsidRPr="002D3A19" w:rsidRDefault="00851327" w:rsidP="002D3A19">
            <w:pPr>
              <w:keepNext/>
              <w:spacing w:after="0"/>
              <w:jc w:val="center"/>
              <w:rPr>
                <w:rFonts w:ascii="Arial" w:hAnsi="Arial" w:cs="Arial"/>
                <w:sz w:val="18"/>
              </w:rPr>
            </w:pPr>
          </w:p>
        </w:tc>
        <w:tc>
          <w:tcPr>
            <w:tcW w:w="2862" w:type="dxa"/>
            <w:vAlign w:val="center"/>
          </w:tcPr>
          <w:p w:rsidR="00851327" w:rsidRPr="002D3A19" w:rsidRDefault="00851327" w:rsidP="002D3A19">
            <w:pPr>
              <w:keepNext/>
              <w:spacing w:after="0"/>
              <w:jc w:val="center"/>
              <w:rPr>
                <w:rFonts w:ascii="Arial" w:hAnsi="Arial" w:cs="Arial"/>
                <w:sz w:val="18"/>
              </w:rPr>
            </w:pPr>
          </w:p>
        </w:tc>
        <w:tc>
          <w:tcPr>
            <w:tcW w:w="1560" w:type="dxa"/>
            <w:vAlign w:val="center"/>
          </w:tcPr>
          <w:p w:rsidR="00851327" w:rsidRPr="002D3A19" w:rsidRDefault="00851327" w:rsidP="002D3A19">
            <w:pPr>
              <w:keepNext/>
              <w:spacing w:after="0"/>
              <w:jc w:val="center"/>
              <w:rPr>
                <w:rFonts w:ascii="Arial" w:hAnsi="Arial" w:cs="Arial"/>
                <w:sz w:val="18"/>
              </w:rPr>
            </w:pPr>
          </w:p>
        </w:tc>
        <w:tc>
          <w:tcPr>
            <w:tcW w:w="1698" w:type="dxa"/>
            <w:vAlign w:val="center"/>
          </w:tcPr>
          <w:p w:rsidR="00851327" w:rsidRPr="002D3A19" w:rsidRDefault="00851327" w:rsidP="002D3A19">
            <w:pPr>
              <w:keepNext/>
              <w:spacing w:after="0"/>
              <w:jc w:val="center"/>
              <w:rPr>
                <w:rFonts w:ascii="Arial" w:hAnsi="Arial" w:cs="Arial"/>
                <w:sz w:val="18"/>
              </w:rPr>
            </w:pPr>
          </w:p>
        </w:tc>
        <w:tc>
          <w:tcPr>
            <w:tcW w:w="1756" w:type="dxa"/>
            <w:vAlign w:val="center"/>
          </w:tcPr>
          <w:p w:rsidR="00851327" w:rsidRPr="002D3A19" w:rsidRDefault="00851327" w:rsidP="002D3A19">
            <w:pPr>
              <w:spacing w:after="0"/>
              <w:jc w:val="center"/>
              <w:rPr>
                <w:rFonts w:ascii="Arial" w:hAnsi="Arial" w:cs="Arial"/>
                <w:sz w:val="18"/>
              </w:rPr>
            </w:pPr>
          </w:p>
        </w:tc>
      </w:tr>
      <w:tr w:rsidR="00851327" w:rsidRPr="002D3A19" w:rsidTr="002D3A19">
        <w:trPr>
          <w:trHeight w:val="360"/>
        </w:trPr>
        <w:tc>
          <w:tcPr>
            <w:tcW w:w="1296" w:type="dxa"/>
            <w:vAlign w:val="center"/>
          </w:tcPr>
          <w:p w:rsidR="00851327" w:rsidRPr="002D3A19" w:rsidRDefault="00851327" w:rsidP="002D3A19">
            <w:pPr>
              <w:keepNext/>
              <w:spacing w:after="0"/>
              <w:jc w:val="center"/>
              <w:rPr>
                <w:rFonts w:ascii="Arial" w:hAnsi="Arial" w:cs="Arial"/>
                <w:sz w:val="18"/>
              </w:rPr>
            </w:pPr>
          </w:p>
        </w:tc>
        <w:tc>
          <w:tcPr>
            <w:tcW w:w="2862" w:type="dxa"/>
            <w:vAlign w:val="center"/>
          </w:tcPr>
          <w:p w:rsidR="00851327" w:rsidRPr="002D3A19" w:rsidRDefault="00851327" w:rsidP="002D3A19">
            <w:pPr>
              <w:keepNext/>
              <w:spacing w:after="0"/>
              <w:jc w:val="center"/>
              <w:rPr>
                <w:rFonts w:ascii="Arial" w:hAnsi="Arial" w:cs="Arial"/>
                <w:sz w:val="18"/>
              </w:rPr>
            </w:pPr>
          </w:p>
        </w:tc>
        <w:tc>
          <w:tcPr>
            <w:tcW w:w="1560" w:type="dxa"/>
            <w:vAlign w:val="center"/>
          </w:tcPr>
          <w:p w:rsidR="00851327" w:rsidRPr="002D3A19" w:rsidRDefault="00851327" w:rsidP="002D3A19">
            <w:pPr>
              <w:keepNext/>
              <w:spacing w:after="0"/>
              <w:jc w:val="center"/>
              <w:rPr>
                <w:rFonts w:ascii="Arial" w:hAnsi="Arial" w:cs="Arial"/>
                <w:sz w:val="18"/>
              </w:rPr>
            </w:pPr>
          </w:p>
        </w:tc>
        <w:tc>
          <w:tcPr>
            <w:tcW w:w="1698" w:type="dxa"/>
            <w:vAlign w:val="center"/>
          </w:tcPr>
          <w:p w:rsidR="00851327" w:rsidRPr="002D3A19" w:rsidRDefault="00851327" w:rsidP="002D3A19">
            <w:pPr>
              <w:keepNext/>
              <w:spacing w:after="0"/>
              <w:jc w:val="center"/>
              <w:rPr>
                <w:rFonts w:ascii="Arial" w:hAnsi="Arial" w:cs="Arial"/>
                <w:sz w:val="18"/>
              </w:rPr>
            </w:pPr>
          </w:p>
        </w:tc>
        <w:tc>
          <w:tcPr>
            <w:tcW w:w="1756" w:type="dxa"/>
            <w:vAlign w:val="center"/>
          </w:tcPr>
          <w:p w:rsidR="00851327" w:rsidRPr="002D3A19" w:rsidRDefault="00851327" w:rsidP="002D3A19">
            <w:pPr>
              <w:spacing w:after="0"/>
              <w:jc w:val="center"/>
              <w:rPr>
                <w:rFonts w:ascii="Arial" w:hAnsi="Arial" w:cs="Arial"/>
                <w:sz w:val="18"/>
                <w:szCs w:val="18"/>
              </w:rPr>
            </w:pPr>
          </w:p>
        </w:tc>
      </w:tr>
      <w:tr w:rsidR="00851327" w:rsidRPr="002D3A19" w:rsidTr="00851327">
        <w:trPr>
          <w:trHeight w:val="305"/>
        </w:trPr>
        <w:tc>
          <w:tcPr>
            <w:tcW w:w="1296" w:type="dxa"/>
            <w:vAlign w:val="center"/>
          </w:tcPr>
          <w:p w:rsidR="00851327" w:rsidRPr="002D3A19" w:rsidRDefault="00851327" w:rsidP="002D3A19">
            <w:pPr>
              <w:keepNext/>
              <w:spacing w:after="0"/>
              <w:jc w:val="center"/>
              <w:rPr>
                <w:rFonts w:ascii="Arial" w:hAnsi="Arial" w:cs="Arial"/>
                <w:sz w:val="18"/>
              </w:rPr>
            </w:pPr>
          </w:p>
        </w:tc>
        <w:tc>
          <w:tcPr>
            <w:tcW w:w="2862" w:type="dxa"/>
            <w:vAlign w:val="center"/>
          </w:tcPr>
          <w:p w:rsidR="00851327" w:rsidRPr="002D3A19" w:rsidRDefault="00851327" w:rsidP="002D3A19">
            <w:pPr>
              <w:keepNext/>
              <w:spacing w:after="0"/>
              <w:jc w:val="center"/>
              <w:rPr>
                <w:rFonts w:ascii="Arial" w:hAnsi="Arial" w:cs="Arial"/>
                <w:sz w:val="18"/>
              </w:rPr>
            </w:pPr>
          </w:p>
        </w:tc>
        <w:tc>
          <w:tcPr>
            <w:tcW w:w="1560" w:type="dxa"/>
            <w:vAlign w:val="center"/>
          </w:tcPr>
          <w:p w:rsidR="00851327" w:rsidRPr="002D3A19" w:rsidRDefault="00851327" w:rsidP="002D3A19">
            <w:pPr>
              <w:keepNext/>
              <w:spacing w:after="0"/>
              <w:jc w:val="center"/>
              <w:rPr>
                <w:rFonts w:ascii="Arial" w:hAnsi="Arial" w:cs="Arial"/>
                <w:sz w:val="18"/>
              </w:rPr>
            </w:pPr>
          </w:p>
        </w:tc>
        <w:tc>
          <w:tcPr>
            <w:tcW w:w="1698" w:type="dxa"/>
            <w:vAlign w:val="center"/>
          </w:tcPr>
          <w:p w:rsidR="00851327" w:rsidRPr="002D3A19" w:rsidRDefault="00851327" w:rsidP="002D3A19">
            <w:pPr>
              <w:keepNext/>
              <w:spacing w:after="0"/>
              <w:jc w:val="center"/>
              <w:rPr>
                <w:rFonts w:ascii="Arial" w:hAnsi="Arial" w:cs="Arial"/>
                <w:sz w:val="18"/>
              </w:rPr>
            </w:pPr>
          </w:p>
        </w:tc>
        <w:tc>
          <w:tcPr>
            <w:tcW w:w="1756" w:type="dxa"/>
            <w:vAlign w:val="center"/>
          </w:tcPr>
          <w:p w:rsidR="00851327" w:rsidRPr="002D3A19" w:rsidRDefault="00851327" w:rsidP="002D3A19">
            <w:pPr>
              <w:spacing w:after="0"/>
              <w:jc w:val="center"/>
              <w:rPr>
                <w:rFonts w:ascii="Arial" w:hAnsi="Arial" w:cs="Arial"/>
                <w:sz w:val="18"/>
                <w:szCs w:val="18"/>
              </w:rPr>
            </w:pPr>
          </w:p>
        </w:tc>
      </w:tr>
      <w:tr w:rsidR="00851327" w:rsidRPr="002D3A19" w:rsidTr="00851327">
        <w:trPr>
          <w:trHeight w:val="314"/>
        </w:trPr>
        <w:tc>
          <w:tcPr>
            <w:tcW w:w="1296" w:type="dxa"/>
            <w:vAlign w:val="center"/>
          </w:tcPr>
          <w:p w:rsidR="00851327" w:rsidRPr="002D3A19" w:rsidRDefault="00851327" w:rsidP="002D3A19">
            <w:pPr>
              <w:keepNext/>
              <w:spacing w:after="0"/>
              <w:jc w:val="center"/>
              <w:rPr>
                <w:rFonts w:ascii="Arial" w:hAnsi="Arial" w:cs="Arial"/>
                <w:sz w:val="18"/>
              </w:rPr>
            </w:pPr>
          </w:p>
        </w:tc>
        <w:tc>
          <w:tcPr>
            <w:tcW w:w="2862" w:type="dxa"/>
            <w:vAlign w:val="center"/>
          </w:tcPr>
          <w:p w:rsidR="00851327" w:rsidRPr="002D3A19" w:rsidRDefault="00851327" w:rsidP="002D3A19">
            <w:pPr>
              <w:keepNext/>
              <w:spacing w:after="0"/>
              <w:jc w:val="center"/>
              <w:rPr>
                <w:rFonts w:ascii="Arial" w:hAnsi="Arial" w:cs="Arial"/>
                <w:sz w:val="18"/>
              </w:rPr>
            </w:pPr>
          </w:p>
        </w:tc>
        <w:tc>
          <w:tcPr>
            <w:tcW w:w="1560" w:type="dxa"/>
            <w:vAlign w:val="center"/>
          </w:tcPr>
          <w:p w:rsidR="00851327" w:rsidRPr="002D3A19" w:rsidRDefault="00851327" w:rsidP="002D3A19">
            <w:pPr>
              <w:keepNext/>
              <w:spacing w:after="0"/>
              <w:jc w:val="center"/>
              <w:rPr>
                <w:rFonts w:ascii="Arial" w:hAnsi="Arial" w:cs="Arial"/>
                <w:sz w:val="18"/>
              </w:rPr>
            </w:pPr>
          </w:p>
        </w:tc>
        <w:tc>
          <w:tcPr>
            <w:tcW w:w="1698" w:type="dxa"/>
            <w:vAlign w:val="center"/>
          </w:tcPr>
          <w:p w:rsidR="00851327" w:rsidRPr="002D3A19" w:rsidRDefault="00851327" w:rsidP="002D3A19">
            <w:pPr>
              <w:keepNext/>
              <w:spacing w:after="0"/>
              <w:jc w:val="center"/>
              <w:rPr>
                <w:rFonts w:ascii="Arial" w:hAnsi="Arial" w:cs="Arial"/>
                <w:sz w:val="18"/>
              </w:rPr>
            </w:pPr>
          </w:p>
        </w:tc>
        <w:tc>
          <w:tcPr>
            <w:tcW w:w="1756" w:type="dxa"/>
            <w:vAlign w:val="center"/>
          </w:tcPr>
          <w:p w:rsidR="00851327" w:rsidRPr="002D3A19" w:rsidRDefault="00851327" w:rsidP="002D3A19">
            <w:pPr>
              <w:spacing w:after="0"/>
              <w:jc w:val="center"/>
              <w:rPr>
                <w:rFonts w:ascii="Arial" w:hAnsi="Arial" w:cs="Arial"/>
                <w:sz w:val="18"/>
                <w:szCs w:val="18"/>
              </w:rPr>
            </w:pPr>
          </w:p>
        </w:tc>
      </w:tr>
      <w:tr w:rsidR="00851327" w:rsidRPr="002D3A19" w:rsidTr="002D3A19">
        <w:trPr>
          <w:trHeight w:val="360"/>
        </w:trPr>
        <w:tc>
          <w:tcPr>
            <w:tcW w:w="1296" w:type="dxa"/>
            <w:vAlign w:val="center"/>
          </w:tcPr>
          <w:p w:rsidR="00851327" w:rsidRPr="002D3A19" w:rsidRDefault="00851327" w:rsidP="002D3A19">
            <w:pPr>
              <w:keepNext/>
              <w:spacing w:after="0"/>
              <w:jc w:val="center"/>
              <w:rPr>
                <w:rFonts w:ascii="Arial" w:hAnsi="Arial" w:cs="Arial"/>
                <w:sz w:val="18"/>
              </w:rPr>
            </w:pPr>
          </w:p>
        </w:tc>
        <w:tc>
          <w:tcPr>
            <w:tcW w:w="2862" w:type="dxa"/>
            <w:vAlign w:val="center"/>
          </w:tcPr>
          <w:p w:rsidR="00851327" w:rsidRPr="002D3A19" w:rsidRDefault="00851327" w:rsidP="002D3A19">
            <w:pPr>
              <w:keepNext/>
              <w:spacing w:after="0"/>
              <w:jc w:val="center"/>
              <w:rPr>
                <w:rFonts w:ascii="Arial" w:hAnsi="Arial" w:cs="Arial"/>
                <w:sz w:val="18"/>
              </w:rPr>
            </w:pPr>
          </w:p>
        </w:tc>
        <w:tc>
          <w:tcPr>
            <w:tcW w:w="1560" w:type="dxa"/>
            <w:vAlign w:val="center"/>
          </w:tcPr>
          <w:p w:rsidR="00851327" w:rsidRPr="002D3A19" w:rsidRDefault="00851327" w:rsidP="002D3A19">
            <w:pPr>
              <w:keepNext/>
              <w:spacing w:after="0"/>
              <w:jc w:val="center"/>
              <w:rPr>
                <w:rFonts w:ascii="Arial" w:hAnsi="Arial" w:cs="Arial"/>
                <w:sz w:val="18"/>
              </w:rPr>
            </w:pPr>
          </w:p>
        </w:tc>
        <w:tc>
          <w:tcPr>
            <w:tcW w:w="1698" w:type="dxa"/>
            <w:vAlign w:val="center"/>
          </w:tcPr>
          <w:p w:rsidR="00851327" w:rsidRPr="002D3A19" w:rsidRDefault="00851327" w:rsidP="002D3A19">
            <w:pPr>
              <w:keepNext/>
              <w:spacing w:after="0"/>
              <w:jc w:val="center"/>
              <w:rPr>
                <w:rFonts w:ascii="Arial" w:hAnsi="Arial" w:cs="Arial"/>
                <w:sz w:val="18"/>
              </w:rPr>
            </w:pPr>
          </w:p>
        </w:tc>
        <w:tc>
          <w:tcPr>
            <w:tcW w:w="1756" w:type="dxa"/>
            <w:vAlign w:val="center"/>
          </w:tcPr>
          <w:p w:rsidR="00851327" w:rsidRPr="002D3A19" w:rsidRDefault="00851327" w:rsidP="002D3A19">
            <w:pPr>
              <w:spacing w:after="0"/>
              <w:jc w:val="center"/>
              <w:rPr>
                <w:rFonts w:ascii="Arial" w:hAnsi="Arial" w:cs="Arial"/>
                <w:sz w:val="18"/>
                <w:szCs w:val="18"/>
              </w:rPr>
            </w:pPr>
          </w:p>
        </w:tc>
      </w:tr>
      <w:tr w:rsidR="00851327" w:rsidRPr="002D3A19" w:rsidTr="002D3A19">
        <w:trPr>
          <w:trHeight w:val="360"/>
        </w:trPr>
        <w:tc>
          <w:tcPr>
            <w:tcW w:w="1296" w:type="dxa"/>
            <w:vAlign w:val="center"/>
          </w:tcPr>
          <w:p w:rsidR="00851327" w:rsidRPr="002D3A19" w:rsidRDefault="00851327" w:rsidP="002D3A19">
            <w:pPr>
              <w:keepNext/>
              <w:spacing w:after="0"/>
              <w:jc w:val="center"/>
              <w:rPr>
                <w:rFonts w:ascii="Arial" w:hAnsi="Arial" w:cs="Arial"/>
                <w:sz w:val="18"/>
              </w:rPr>
            </w:pPr>
          </w:p>
        </w:tc>
        <w:tc>
          <w:tcPr>
            <w:tcW w:w="2862" w:type="dxa"/>
            <w:vAlign w:val="center"/>
          </w:tcPr>
          <w:p w:rsidR="00851327" w:rsidRPr="002D3A19" w:rsidRDefault="00851327" w:rsidP="002D3A19">
            <w:pPr>
              <w:keepNext/>
              <w:spacing w:after="0"/>
              <w:jc w:val="center"/>
              <w:rPr>
                <w:rFonts w:ascii="Arial" w:hAnsi="Arial" w:cs="Arial"/>
                <w:sz w:val="18"/>
              </w:rPr>
            </w:pPr>
          </w:p>
        </w:tc>
        <w:tc>
          <w:tcPr>
            <w:tcW w:w="1560" w:type="dxa"/>
            <w:vAlign w:val="center"/>
          </w:tcPr>
          <w:p w:rsidR="00851327" w:rsidRPr="002D3A19" w:rsidRDefault="00851327" w:rsidP="002D3A19">
            <w:pPr>
              <w:keepNext/>
              <w:spacing w:after="0"/>
              <w:jc w:val="center"/>
              <w:rPr>
                <w:rFonts w:ascii="Arial" w:hAnsi="Arial" w:cs="Arial"/>
                <w:sz w:val="18"/>
              </w:rPr>
            </w:pPr>
          </w:p>
        </w:tc>
        <w:tc>
          <w:tcPr>
            <w:tcW w:w="1698" w:type="dxa"/>
            <w:vAlign w:val="center"/>
          </w:tcPr>
          <w:p w:rsidR="00851327" w:rsidRPr="002D3A19" w:rsidRDefault="00851327" w:rsidP="002D3A19">
            <w:pPr>
              <w:keepNext/>
              <w:spacing w:after="0"/>
              <w:jc w:val="center"/>
              <w:rPr>
                <w:rFonts w:ascii="Arial" w:hAnsi="Arial" w:cs="Arial"/>
                <w:sz w:val="18"/>
              </w:rPr>
            </w:pPr>
          </w:p>
        </w:tc>
        <w:tc>
          <w:tcPr>
            <w:tcW w:w="1756" w:type="dxa"/>
            <w:vAlign w:val="center"/>
          </w:tcPr>
          <w:p w:rsidR="00851327" w:rsidRPr="002D3A19" w:rsidRDefault="00851327" w:rsidP="002D3A19">
            <w:pPr>
              <w:spacing w:after="0"/>
              <w:jc w:val="center"/>
              <w:rPr>
                <w:rFonts w:ascii="Arial" w:hAnsi="Arial" w:cs="Arial"/>
                <w:sz w:val="18"/>
                <w:szCs w:val="18"/>
              </w:rPr>
            </w:pPr>
          </w:p>
        </w:tc>
      </w:tr>
      <w:tr w:rsidR="00851327" w:rsidRPr="002D3A19" w:rsidTr="002D3A19">
        <w:trPr>
          <w:trHeight w:val="360"/>
        </w:trPr>
        <w:tc>
          <w:tcPr>
            <w:tcW w:w="1296" w:type="dxa"/>
            <w:vAlign w:val="center"/>
          </w:tcPr>
          <w:p w:rsidR="00851327" w:rsidRPr="002D3A19" w:rsidRDefault="00851327" w:rsidP="002D3A19">
            <w:pPr>
              <w:keepNext/>
              <w:spacing w:after="0"/>
              <w:jc w:val="center"/>
              <w:rPr>
                <w:rFonts w:ascii="Arial" w:hAnsi="Arial" w:cs="Arial"/>
                <w:sz w:val="18"/>
              </w:rPr>
            </w:pPr>
          </w:p>
        </w:tc>
        <w:tc>
          <w:tcPr>
            <w:tcW w:w="2862" w:type="dxa"/>
            <w:vAlign w:val="center"/>
          </w:tcPr>
          <w:p w:rsidR="00851327" w:rsidRPr="002D3A19" w:rsidRDefault="00851327" w:rsidP="002D3A19">
            <w:pPr>
              <w:keepNext/>
              <w:spacing w:after="0"/>
              <w:jc w:val="center"/>
              <w:rPr>
                <w:rFonts w:ascii="Arial" w:hAnsi="Arial" w:cs="Arial"/>
                <w:sz w:val="18"/>
              </w:rPr>
            </w:pPr>
          </w:p>
        </w:tc>
        <w:tc>
          <w:tcPr>
            <w:tcW w:w="1560" w:type="dxa"/>
            <w:vAlign w:val="center"/>
          </w:tcPr>
          <w:p w:rsidR="00851327" w:rsidRPr="002D3A19" w:rsidRDefault="00851327" w:rsidP="002D3A19">
            <w:pPr>
              <w:keepNext/>
              <w:spacing w:after="0"/>
              <w:jc w:val="center"/>
              <w:rPr>
                <w:rFonts w:ascii="Arial" w:hAnsi="Arial" w:cs="Arial"/>
                <w:sz w:val="18"/>
              </w:rPr>
            </w:pPr>
          </w:p>
        </w:tc>
        <w:tc>
          <w:tcPr>
            <w:tcW w:w="1698" w:type="dxa"/>
            <w:vAlign w:val="center"/>
          </w:tcPr>
          <w:p w:rsidR="00851327" w:rsidRPr="002D3A19" w:rsidRDefault="00851327" w:rsidP="002D3A19">
            <w:pPr>
              <w:keepNext/>
              <w:spacing w:after="0"/>
              <w:jc w:val="center"/>
              <w:rPr>
                <w:rFonts w:ascii="Arial" w:hAnsi="Arial" w:cs="Arial"/>
                <w:sz w:val="18"/>
              </w:rPr>
            </w:pPr>
          </w:p>
        </w:tc>
        <w:tc>
          <w:tcPr>
            <w:tcW w:w="1756" w:type="dxa"/>
            <w:vAlign w:val="center"/>
          </w:tcPr>
          <w:p w:rsidR="00851327" w:rsidRPr="002D3A19" w:rsidRDefault="00851327" w:rsidP="002D3A19">
            <w:pPr>
              <w:spacing w:after="0"/>
              <w:jc w:val="center"/>
              <w:rPr>
                <w:rFonts w:ascii="Arial" w:hAnsi="Arial" w:cs="Arial"/>
                <w:sz w:val="18"/>
                <w:szCs w:val="18"/>
              </w:rPr>
            </w:pPr>
          </w:p>
        </w:tc>
      </w:tr>
      <w:tr w:rsidR="00851327" w:rsidRPr="002D3A19" w:rsidTr="002D3A19">
        <w:trPr>
          <w:trHeight w:val="360"/>
        </w:trPr>
        <w:tc>
          <w:tcPr>
            <w:tcW w:w="1296" w:type="dxa"/>
            <w:vAlign w:val="center"/>
          </w:tcPr>
          <w:p w:rsidR="00851327" w:rsidRPr="002D3A19" w:rsidRDefault="00851327" w:rsidP="002D3A19">
            <w:pPr>
              <w:keepNext/>
              <w:spacing w:after="0"/>
              <w:jc w:val="center"/>
              <w:rPr>
                <w:rFonts w:ascii="Arial" w:hAnsi="Arial" w:cs="Arial"/>
                <w:sz w:val="18"/>
              </w:rPr>
            </w:pPr>
          </w:p>
        </w:tc>
        <w:tc>
          <w:tcPr>
            <w:tcW w:w="2862" w:type="dxa"/>
            <w:vAlign w:val="center"/>
          </w:tcPr>
          <w:p w:rsidR="00851327" w:rsidRPr="002D3A19" w:rsidRDefault="00851327" w:rsidP="002D3A19">
            <w:pPr>
              <w:keepNext/>
              <w:spacing w:after="0"/>
              <w:jc w:val="center"/>
              <w:rPr>
                <w:rFonts w:ascii="Arial" w:hAnsi="Arial" w:cs="Arial"/>
                <w:sz w:val="18"/>
              </w:rPr>
            </w:pPr>
          </w:p>
        </w:tc>
        <w:tc>
          <w:tcPr>
            <w:tcW w:w="1560" w:type="dxa"/>
            <w:vAlign w:val="center"/>
          </w:tcPr>
          <w:p w:rsidR="00851327" w:rsidRPr="002D3A19" w:rsidRDefault="00851327" w:rsidP="002D3A19">
            <w:pPr>
              <w:keepNext/>
              <w:spacing w:after="0"/>
              <w:jc w:val="center"/>
              <w:rPr>
                <w:rFonts w:ascii="Arial" w:hAnsi="Arial" w:cs="Arial"/>
                <w:sz w:val="18"/>
              </w:rPr>
            </w:pPr>
          </w:p>
        </w:tc>
        <w:tc>
          <w:tcPr>
            <w:tcW w:w="1698" w:type="dxa"/>
            <w:vAlign w:val="center"/>
          </w:tcPr>
          <w:p w:rsidR="00851327" w:rsidRPr="002D3A19" w:rsidRDefault="00851327" w:rsidP="002D3A19">
            <w:pPr>
              <w:keepNext/>
              <w:spacing w:after="0"/>
              <w:jc w:val="center"/>
              <w:rPr>
                <w:rFonts w:ascii="Arial" w:hAnsi="Arial" w:cs="Arial"/>
                <w:sz w:val="18"/>
              </w:rPr>
            </w:pPr>
          </w:p>
        </w:tc>
        <w:tc>
          <w:tcPr>
            <w:tcW w:w="1756" w:type="dxa"/>
            <w:vAlign w:val="center"/>
          </w:tcPr>
          <w:p w:rsidR="00851327" w:rsidRPr="002D3A19" w:rsidRDefault="00851327" w:rsidP="002D3A19">
            <w:pPr>
              <w:spacing w:after="0"/>
              <w:jc w:val="center"/>
              <w:rPr>
                <w:rFonts w:ascii="Arial" w:hAnsi="Arial" w:cs="Arial"/>
                <w:sz w:val="18"/>
                <w:szCs w:val="18"/>
              </w:rPr>
            </w:pPr>
          </w:p>
        </w:tc>
      </w:tr>
      <w:tr w:rsidR="00851327" w:rsidRPr="002D3A19" w:rsidTr="002D3A19">
        <w:trPr>
          <w:trHeight w:val="360"/>
        </w:trPr>
        <w:tc>
          <w:tcPr>
            <w:tcW w:w="1296" w:type="dxa"/>
            <w:vAlign w:val="center"/>
          </w:tcPr>
          <w:p w:rsidR="00851327" w:rsidRPr="002D3A19" w:rsidRDefault="00851327" w:rsidP="002D3A19">
            <w:pPr>
              <w:spacing w:after="0"/>
              <w:jc w:val="center"/>
              <w:rPr>
                <w:rFonts w:ascii="Arial" w:hAnsi="Arial" w:cs="Arial"/>
                <w:sz w:val="18"/>
              </w:rPr>
            </w:pPr>
          </w:p>
        </w:tc>
        <w:tc>
          <w:tcPr>
            <w:tcW w:w="2862" w:type="dxa"/>
            <w:vAlign w:val="center"/>
          </w:tcPr>
          <w:p w:rsidR="00851327" w:rsidRPr="002D3A19" w:rsidRDefault="00851327" w:rsidP="002D3A19">
            <w:pPr>
              <w:spacing w:after="0"/>
              <w:jc w:val="center"/>
              <w:rPr>
                <w:rFonts w:ascii="Arial" w:hAnsi="Arial" w:cs="Arial"/>
                <w:sz w:val="18"/>
              </w:rPr>
            </w:pPr>
          </w:p>
        </w:tc>
        <w:tc>
          <w:tcPr>
            <w:tcW w:w="1560" w:type="dxa"/>
            <w:vAlign w:val="center"/>
          </w:tcPr>
          <w:p w:rsidR="00851327" w:rsidRPr="002D3A19" w:rsidRDefault="00851327" w:rsidP="002D3A19">
            <w:pPr>
              <w:spacing w:after="0"/>
              <w:jc w:val="center"/>
              <w:rPr>
                <w:rFonts w:ascii="Arial" w:hAnsi="Arial" w:cs="Arial"/>
                <w:sz w:val="18"/>
              </w:rPr>
            </w:pPr>
          </w:p>
        </w:tc>
        <w:tc>
          <w:tcPr>
            <w:tcW w:w="1698" w:type="dxa"/>
            <w:vAlign w:val="center"/>
          </w:tcPr>
          <w:p w:rsidR="00851327" w:rsidRPr="002D3A19" w:rsidRDefault="00851327" w:rsidP="002D3A19">
            <w:pPr>
              <w:spacing w:after="0"/>
              <w:jc w:val="center"/>
              <w:rPr>
                <w:rFonts w:ascii="Arial" w:hAnsi="Arial" w:cs="Arial"/>
                <w:sz w:val="18"/>
              </w:rPr>
            </w:pPr>
          </w:p>
        </w:tc>
        <w:tc>
          <w:tcPr>
            <w:tcW w:w="1756" w:type="dxa"/>
            <w:vAlign w:val="center"/>
          </w:tcPr>
          <w:p w:rsidR="00851327" w:rsidRPr="002D3A19" w:rsidRDefault="00851327" w:rsidP="002D3A19">
            <w:pPr>
              <w:spacing w:after="0"/>
              <w:jc w:val="center"/>
              <w:rPr>
                <w:rFonts w:ascii="Arial" w:hAnsi="Arial" w:cs="Arial"/>
                <w:sz w:val="18"/>
                <w:szCs w:val="18"/>
              </w:rPr>
            </w:pPr>
          </w:p>
        </w:tc>
      </w:tr>
      <w:tr w:rsidR="00851327" w:rsidRPr="002D3A19" w:rsidTr="002D3A19">
        <w:trPr>
          <w:trHeight w:val="360"/>
        </w:trPr>
        <w:tc>
          <w:tcPr>
            <w:tcW w:w="1296" w:type="dxa"/>
            <w:vAlign w:val="center"/>
          </w:tcPr>
          <w:p w:rsidR="00851327" w:rsidRPr="002D3A19" w:rsidRDefault="00851327" w:rsidP="002D3A19">
            <w:pPr>
              <w:spacing w:after="0"/>
              <w:jc w:val="center"/>
              <w:rPr>
                <w:rFonts w:ascii="Arial" w:hAnsi="Arial" w:cs="Arial"/>
                <w:sz w:val="18"/>
              </w:rPr>
            </w:pPr>
          </w:p>
        </w:tc>
        <w:tc>
          <w:tcPr>
            <w:tcW w:w="2862" w:type="dxa"/>
            <w:vAlign w:val="center"/>
          </w:tcPr>
          <w:p w:rsidR="00851327" w:rsidRPr="002D3A19" w:rsidRDefault="00851327" w:rsidP="002D3A19">
            <w:pPr>
              <w:spacing w:after="0"/>
              <w:jc w:val="center"/>
              <w:rPr>
                <w:rFonts w:ascii="Arial" w:hAnsi="Arial" w:cs="Arial"/>
                <w:sz w:val="18"/>
              </w:rPr>
            </w:pPr>
          </w:p>
        </w:tc>
        <w:tc>
          <w:tcPr>
            <w:tcW w:w="1560" w:type="dxa"/>
            <w:vAlign w:val="center"/>
          </w:tcPr>
          <w:p w:rsidR="00851327" w:rsidRPr="002D3A19" w:rsidRDefault="00851327" w:rsidP="002D3A19">
            <w:pPr>
              <w:spacing w:after="0"/>
              <w:jc w:val="center"/>
              <w:rPr>
                <w:rFonts w:ascii="Arial" w:hAnsi="Arial" w:cs="Arial"/>
                <w:sz w:val="18"/>
              </w:rPr>
            </w:pPr>
          </w:p>
        </w:tc>
        <w:tc>
          <w:tcPr>
            <w:tcW w:w="1698" w:type="dxa"/>
            <w:vAlign w:val="center"/>
          </w:tcPr>
          <w:p w:rsidR="00851327" w:rsidRPr="002D3A19" w:rsidRDefault="00851327" w:rsidP="002D3A19">
            <w:pPr>
              <w:spacing w:after="0"/>
              <w:jc w:val="center"/>
              <w:rPr>
                <w:rFonts w:ascii="Arial" w:hAnsi="Arial" w:cs="Arial"/>
                <w:sz w:val="18"/>
              </w:rPr>
            </w:pPr>
          </w:p>
        </w:tc>
        <w:tc>
          <w:tcPr>
            <w:tcW w:w="1756" w:type="dxa"/>
            <w:vAlign w:val="center"/>
          </w:tcPr>
          <w:p w:rsidR="00851327" w:rsidRPr="002D3A19" w:rsidRDefault="00851327" w:rsidP="002D3A19">
            <w:pPr>
              <w:spacing w:after="0"/>
              <w:jc w:val="center"/>
              <w:rPr>
                <w:rFonts w:ascii="Arial" w:hAnsi="Arial" w:cs="Arial"/>
                <w:sz w:val="18"/>
                <w:szCs w:val="18"/>
              </w:rPr>
            </w:pPr>
          </w:p>
        </w:tc>
      </w:tr>
      <w:tr w:rsidR="00851327" w:rsidRPr="002D3A19" w:rsidTr="004D379D">
        <w:trPr>
          <w:trHeight w:val="360"/>
        </w:trPr>
        <w:tc>
          <w:tcPr>
            <w:tcW w:w="1296" w:type="dxa"/>
            <w:tcBorders>
              <w:bottom w:val="single" w:sz="4" w:space="0" w:color="auto"/>
            </w:tcBorders>
            <w:vAlign w:val="center"/>
          </w:tcPr>
          <w:p w:rsidR="00851327" w:rsidRPr="002D3A19" w:rsidRDefault="00851327" w:rsidP="002D3A19">
            <w:pPr>
              <w:spacing w:after="0"/>
              <w:jc w:val="center"/>
              <w:rPr>
                <w:rFonts w:ascii="Arial" w:hAnsi="Arial" w:cs="Arial"/>
                <w:sz w:val="18"/>
              </w:rPr>
            </w:pPr>
          </w:p>
        </w:tc>
        <w:tc>
          <w:tcPr>
            <w:tcW w:w="2862" w:type="dxa"/>
            <w:tcBorders>
              <w:bottom w:val="single" w:sz="4" w:space="0" w:color="auto"/>
            </w:tcBorders>
            <w:vAlign w:val="center"/>
          </w:tcPr>
          <w:p w:rsidR="00851327" w:rsidRPr="002D3A19" w:rsidRDefault="00851327" w:rsidP="002D3A19">
            <w:pPr>
              <w:spacing w:after="0"/>
              <w:jc w:val="center"/>
              <w:rPr>
                <w:rFonts w:ascii="Arial" w:hAnsi="Arial" w:cs="Arial"/>
                <w:sz w:val="18"/>
              </w:rPr>
            </w:pPr>
          </w:p>
        </w:tc>
        <w:tc>
          <w:tcPr>
            <w:tcW w:w="1560" w:type="dxa"/>
            <w:tcBorders>
              <w:bottom w:val="single" w:sz="4" w:space="0" w:color="auto"/>
            </w:tcBorders>
            <w:vAlign w:val="center"/>
          </w:tcPr>
          <w:p w:rsidR="00851327" w:rsidRPr="002D3A19" w:rsidRDefault="00851327" w:rsidP="002D3A19">
            <w:pPr>
              <w:spacing w:after="0"/>
              <w:jc w:val="center"/>
              <w:rPr>
                <w:rFonts w:ascii="Arial" w:hAnsi="Arial" w:cs="Arial"/>
                <w:sz w:val="18"/>
              </w:rPr>
            </w:pPr>
          </w:p>
        </w:tc>
        <w:tc>
          <w:tcPr>
            <w:tcW w:w="1698" w:type="dxa"/>
            <w:tcBorders>
              <w:bottom w:val="single" w:sz="4" w:space="0" w:color="auto"/>
            </w:tcBorders>
            <w:vAlign w:val="center"/>
          </w:tcPr>
          <w:p w:rsidR="00851327" w:rsidRPr="002D3A19" w:rsidRDefault="00851327" w:rsidP="002D3A19">
            <w:pPr>
              <w:spacing w:after="0"/>
              <w:jc w:val="center"/>
              <w:rPr>
                <w:rFonts w:ascii="Arial" w:hAnsi="Arial" w:cs="Arial"/>
                <w:sz w:val="18"/>
              </w:rPr>
            </w:pPr>
          </w:p>
        </w:tc>
        <w:tc>
          <w:tcPr>
            <w:tcW w:w="1756" w:type="dxa"/>
            <w:vAlign w:val="center"/>
          </w:tcPr>
          <w:p w:rsidR="00851327" w:rsidRPr="002D3A19" w:rsidRDefault="00851327" w:rsidP="002D3A19">
            <w:pPr>
              <w:spacing w:after="0"/>
              <w:jc w:val="center"/>
              <w:rPr>
                <w:rFonts w:ascii="Arial" w:hAnsi="Arial" w:cs="Arial"/>
                <w:sz w:val="18"/>
                <w:szCs w:val="18"/>
              </w:rPr>
            </w:pPr>
          </w:p>
        </w:tc>
      </w:tr>
      <w:tr w:rsidR="004D379D" w:rsidRPr="002D3A19" w:rsidTr="004D379D">
        <w:trPr>
          <w:trHeight w:val="360"/>
        </w:trPr>
        <w:tc>
          <w:tcPr>
            <w:tcW w:w="1296" w:type="dxa"/>
            <w:tcBorders>
              <w:bottom w:val="nil"/>
              <w:right w:val="nil"/>
            </w:tcBorders>
            <w:vAlign w:val="center"/>
          </w:tcPr>
          <w:p w:rsidR="004D379D" w:rsidRPr="002D3A19" w:rsidRDefault="004D379D" w:rsidP="002D3A19">
            <w:pPr>
              <w:spacing w:after="0"/>
              <w:jc w:val="center"/>
              <w:rPr>
                <w:rFonts w:ascii="Arial" w:hAnsi="Arial" w:cs="Arial"/>
                <w:sz w:val="18"/>
              </w:rPr>
            </w:pPr>
          </w:p>
        </w:tc>
        <w:tc>
          <w:tcPr>
            <w:tcW w:w="2862" w:type="dxa"/>
            <w:tcBorders>
              <w:left w:val="nil"/>
              <w:bottom w:val="nil"/>
              <w:right w:val="single" w:sz="4" w:space="0" w:color="auto"/>
            </w:tcBorders>
            <w:vAlign w:val="center"/>
          </w:tcPr>
          <w:p w:rsidR="004D379D" w:rsidRPr="002D3A19" w:rsidRDefault="004D379D" w:rsidP="004D379D">
            <w:pPr>
              <w:spacing w:after="0"/>
              <w:jc w:val="right"/>
              <w:rPr>
                <w:rFonts w:ascii="Arial" w:hAnsi="Arial" w:cs="Arial"/>
                <w:sz w:val="18"/>
              </w:rPr>
            </w:pPr>
            <w:r w:rsidRPr="002D3A19">
              <w:rPr>
                <w:rFonts w:ascii="Arial" w:hAnsi="Arial" w:cs="Arial"/>
                <w:sz w:val="18"/>
              </w:rPr>
              <w:t>Box 1:</w:t>
            </w:r>
          </w:p>
        </w:tc>
        <w:tc>
          <w:tcPr>
            <w:tcW w:w="3258" w:type="dxa"/>
            <w:gridSpan w:val="2"/>
            <w:tcBorders>
              <w:left w:val="single" w:sz="4" w:space="0" w:color="auto"/>
              <w:bottom w:val="single" w:sz="4" w:space="0" w:color="auto"/>
            </w:tcBorders>
            <w:vAlign w:val="center"/>
          </w:tcPr>
          <w:p w:rsidR="004D379D" w:rsidRPr="002D3A19" w:rsidRDefault="004D379D" w:rsidP="002D3A19">
            <w:pPr>
              <w:spacing w:after="0"/>
              <w:jc w:val="right"/>
              <w:rPr>
                <w:rFonts w:ascii="Arial" w:hAnsi="Arial" w:cs="Arial"/>
                <w:sz w:val="18"/>
              </w:rPr>
            </w:pPr>
            <w:r w:rsidRPr="002D3A19">
              <w:rPr>
                <w:rFonts w:ascii="Arial" w:hAnsi="Arial" w:cs="Arial"/>
                <w:sz w:val="18"/>
              </w:rPr>
              <w:t xml:space="preserve">∑ </w:t>
            </w:r>
            <w:r w:rsidRPr="002D3A19">
              <w:rPr>
                <w:rFonts w:ascii="Arial" w:hAnsi="Arial" w:cs="Arial"/>
                <w:i/>
                <w:sz w:val="18"/>
              </w:rPr>
              <w:t>d</w:t>
            </w:r>
            <w:r w:rsidRPr="002D3A19">
              <w:rPr>
                <w:rFonts w:ascii="Arial" w:hAnsi="Arial" w:cs="Arial"/>
                <w:i/>
                <w:sz w:val="18"/>
                <w:vertAlign w:val="subscript"/>
              </w:rPr>
              <w:t>i</w:t>
            </w:r>
            <w:r w:rsidRPr="002D3A19">
              <w:rPr>
                <w:rFonts w:ascii="Arial" w:hAnsi="Arial" w:cs="Arial"/>
                <w:i/>
                <w:sz w:val="18"/>
              </w:rPr>
              <w:t xml:space="preserve"> × IA</w:t>
            </w:r>
            <w:r w:rsidRPr="002D3A19">
              <w:rPr>
                <w:rFonts w:ascii="Arial" w:hAnsi="Arial" w:cs="Arial"/>
                <w:i/>
                <w:sz w:val="18"/>
                <w:vertAlign w:val="subscript"/>
              </w:rPr>
              <w:t xml:space="preserve">i </w:t>
            </w:r>
            <w:r w:rsidRPr="002D3A19">
              <w:rPr>
                <w:rFonts w:ascii="Arial" w:hAnsi="Arial" w:cs="Arial"/>
                <w:i/>
                <w:sz w:val="18"/>
              </w:rPr>
              <w:t>=</w:t>
            </w:r>
          </w:p>
        </w:tc>
        <w:tc>
          <w:tcPr>
            <w:tcW w:w="1756" w:type="dxa"/>
            <w:vAlign w:val="center"/>
          </w:tcPr>
          <w:p w:rsidR="004D379D" w:rsidRPr="002D3A19" w:rsidRDefault="004D379D" w:rsidP="002D3A19">
            <w:pPr>
              <w:spacing w:after="0"/>
              <w:jc w:val="center"/>
              <w:rPr>
                <w:rFonts w:ascii="Arial" w:hAnsi="Arial" w:cs="Arial"/>
                <w:sz w:val="18"/>
                <w:szCs w:val="18"/>
              </w:rPr>
            </w:pPr>
          </w:p>
        </w:tc>
      </w:tr>
      <w:tr w:rsidR="004D379D" w:rsidRPr="002D3A19" w:rsidTr="004D379D">
        <w:trPr>
          <w:trHeight w:val="360"/>
        </w:trPr>
        <w:tc>
          <w:tcPr>
            <w:tcW w:w="1296" w:type="dxa"/>
            <w:tcBorders>
              <w:top w:val="nil"/>
              <w:bottom w:val="nil"/>
              <w:right w:val="nil"/>
            </w:tcBorders>
            <w:vAlign w:val="center"/>
          </w:tcPr>
          <w:p w:rsidR="004D379D" w:rsidRPr="002D3A19" w:rsidRDefault="004D379D" w:rsidP="002D3A19">
            <w:pPr>
              <w:spacing w:after="0"/>
              <w:jc w:val="center"/>
              <w:rPr>
                <w:rFonts w:ascii="Arial" w:hAnsi="Arial" w:cs="Arial"/>
                <w:sz w:val="18"/>
              </w:rPr>
            </w:pPr>
          </w:p>
        </w:tc>
        <w:tc>
          <w:tcPr>
            <w:tcW w:w="2862" w:type="dxa"/>
            <w:tcBorders>
              <w:top w:val="nil"/>
              <w:left w:val="nil"/>
              <w:bottom w:val="nil"/>
              <w:right w:val="single" w:sz="4" w:space="0" w:color="auto"/>
            </w:tcBorders>
            <w:vAlign w:val="center"/>
          </w:tcPr>
          <w:p w:rsidR="004D379D" w:rsidRPr="002D3A19" w:rsidRDefault="004D379D" w:rsidP="004D379D">
            <w:pPr>
              <w:spacing w:after="0"/>
              <w:jc w:val="right"/>
              <w:rPr>
                <w:rFonts w:ascii="Arial" w:hAnsi="Arial" w:cs="Arial"/>
                <w:sz w:val="18"/>
              </w:rPr>
            </w:pPr>
            <w:r w:rsidRPr="002D3A19">
              <w:rPr>
                <w:rFonts w:ascii="Arial" w:hAnsi="Arial" w:cs="Arial"/>
                <w:sz w:val="18"/>
              </w:rPr>
              <w:t>Box 2:</w:t>
            </w:r>
          </w:p>
        </w:tc>
        <w:tc>
          <w:tcPr>
            <w:tcW w:w="3258" w:type="dxa"/>
            <w:gridSpan w:val="2"/>
            <w:tcBorders>
              <w:top w:val="single" w:sz="4" w:space="0" w:color="auto"/>
              <w:left w:val="single" w:sz="4" w:space="0" w:color="auto"/>
              <w:bottom w:val="single" w:sz="4" w:space="0" w:color="auto"/>
            </w:tcBorders>
            <w:vAlign w:val="center"/>
          </w:tcPr>
          <w:p w:rsidR="004D379D" w:rsidRPr="002D3A19" w:rsidRDefault="004D379D" w:rsidP="002D3A19">
            <w:pPr>
              <w:spacing w:after="0"/>
              <w:jc w:val="right"/>
              <w:rPr>
                <w:rFonts w:ascii="Arial" w:hAnsi="Arial" w:cs="Arial"/>
                <w:sz w:val="18"/>
              </w:rPr>
            </w:pPr>
            <w:r w:rsidRPr="002D3A19">
              <w:rPr>
                <w:rFonts w:ascii="Arial" w:hAnsi="Arial" w:cs="Arial"/>
                <w:i/>
                <w:sz w:val="18"/>
              </w:rPr>
              <w:t>IA</w:t>
            </w:r>
            <w:r w:rsidRPr="002D3A19">
              <w:rPr>
                <w:rFonts w:ascii="Arial" w:hAnsi="Arial" w:cs="Arial"/>
                <w:i/>
                <w:sz w:val="18"/>
                <w:vertAlign w:val="subscript"/>
              </w:rPr>
              <w:t xml:space="preserve">total </w:t>
            </w:r>
            <w:r w:rsidRPr="002D3A19">
              <w:rPr>
                <w:rFonts w:ascii="Arial" w:hAnsi="Arial" w:cs="Arial"/>
                <w:sz w:val="18"/>
              </w:rPr>
              <w:t>=</w:t>
            </w:r>
          </w:p>
        </w:tc>
        <w:tc>
          <w:tcPr>
            <w:tcW w:w="1756" w:type="dxa"/>
            <w:vAlign w:val="center"/>
          </w:tcPr>
          <w:p w:rsidR="004D379D" w:rsidRPr="002D3A19" w:rsidRDefault="004D379D" w:rsidP="002D3A19">
            <w:pPr>
              <w:spacing w:after="0"/>
              <w:jc w:val="center"/>
              <w:rPr>
                <w:rFonts w:ascii="Arial" w:hAnsi="Arial" w:cs="Arial"/>
                <w:sz w:val="18"/>
                <w:szCs w:val="18"/>
              </w:rPr>
            </w:pPr>
          </w:p>
        </w:tc>
      </w:tr>
      <w:tr w:rsidR="004D379D" w:rsidRPr="002D3A19" w:rsidTr="004D379D">
        <w:trPr>
          <w:trHeight w:val="360"/>
        </w:trPr>
        <w:tc>
          <w:tcPr>
            <w:tcW w:w="1296" w:type="dxa"/>
            <w:tcBorders>
              <w:top w:val="nil"/>
              <w:bottom w:val="nil"/>
              <w:right w:val="nil"/>
            </w:tcBorders>
            <w:vAlign w:val="center"/>
          </w:tcPr>
          <w:p w:rsidR="004D379D" w:rsidRPr="002D3A19" w:rsidRDefault="004D379D" w:rsidP="002D3A19">
            <w:pPr>
              <w:spacing w:after="0"/>
              <w:jc w:val="center"/>
              <w:rPr>
                <w:rFonts w:ascii="Arial" w:hAnsi="Arial" w:cs="Arial"/>
                <w:sz w:val="18"/>
              </w:rPr>
            </w:pPr>
          </w:p>
        </w:tc>
        <w:tc>
          <w:tcPr>
            <w:tcW w:w="2862" w:type="dxa"/>
            <w:tcBorders>
              <w:top w:val="nil"/>
              <w:left w:val="nil"/>
              <w:bottom w:val="nil"/>
              <w:right w:val="single" w:sz="4" w:space="0" w:color="auto"/>
            </w:tcBorders>
            <w:vAlign w:val="center"/>
          </w:tcPr>
          <w:p w:rsidR="004D379D" w:rsidRPr="002D3A19" w:rsidRDefault="004D379D" w:rsidP="004D379D">
            <w:pPr>
              <w:spacing w:after="0"/>
              <w:jc w:val="right"/>
              <w:rPr>
                <w:rFonts w:ascii="Arial" w:hAnsi="Arial" w:cs="Arial"/>
                <w:sz w:val="18"/>
              </w:rPr>
            </w:pPr>
            <w:r w:rsidRPr="002D3A19">
              <w:rPr>
                <w:rFonts w:ascii="Arial" w:hAnsi="Arial" w:cs="Arial"/>
                <w:sz w:val="18"/>
              </w:rPr>
              <w:t>[Box 1]/[Box 2]:</w:t>
            </w:r>
            <w:r w:rsidRPr="002D3A19">
              <w:rPr>
                <w:rFonts w:ascii="Arial" w:hAnsi="Arial" w:cs="Arial"/>
                <w:i/>
                <w:sz w:val="18"/>
              </w:rPr>
              <w:t xml:space="preserve">  </w:t>
            </w:r>
          </w:p>
        </w:tc>
        <w:tc>
          <w:tcPr>
            <w:tcW w:w="3258" w:type="dxa"/>
            <w:gridSpan w:val="2"/>
            <w:tcBorders>
              <w:top w:val="single" w:sz="4" w:space="0" w:color="auto"/>
              <w:left w:val="single" w:sz="4" w:space="0" w:color="auto"/>
              <w:bottom w:val="single" w:sz="4" w:space="0" w:color="auto"/>
            </w:tcBorders>
            <w:vAlign w:val="center"/>
          </w:tcPr>
          <w:p w:rsidR="004D379D" w:rsidRPr="002D3A19" w:rsidRDefault="004D379D" w:rsidP="002D3A19">
            <w:pPr>
              <w:spacing w:after="0"/>
              <w:jc w:val="right"/>
              <w:rPr>
                <w:rFonts w:ascii="Arial" w:hAnsi="Arial" w:cs="Arial"/>
                <w:i/>
                <w:sz w:val="18"/>
              </w:rPr>
            </w:pPr>
            <w:r w:rsidRPr="002D3A19">
              <w:rPr>
                <w:rFonts w:ascii="Arial" w:hAnsi="Arial" w:cs="Arial"/>
                <w:i/>
                <w:sz w:val="18"/>
              </w:rPr>
              <w:t>d</w:t>
            </w:r>
            <w:r w:rsidRPr="002D3A19">
              <w:rPr>
                <w:rFonts w:ascii="Arial" w:hAnsi="Arial" w:cs="Arial"/>
                <w:i/>
                <w:sz w:val="18"/>
                <w:vertAlign w:val="subscript"/>
              </w:rPr>
              <w:t xml:space="preserve">HSC total </w:t>
            </w:r>
            <w:r w:rsidRPr="002D3A19">
              <w:rPr>
                <w:rFonts w:ascii="Arial" w:hAnsi="Arial" w:cs="Arial"/>
                <w:i/>
                <w:sz w:val="18"/>
              </w:rPr>
              <w:t>=</w:t>
            </w:r>
          </w:p>
        </w:tc>
        <w:tc>
          <w:tcPr>
            <w:tcW w:w="1756" w:type="dxa"/>
            <w:vAlign w:val="center"/>
          </w:tcPr>
          <w:p w:rsidR="004D379D" w:rsidRPr="002D3A19" w:rsidRDefault="004D379D" w:rsidP="00851327">
            <w:pPr>
              <w:keepNext/>
              <w:spacing w:after="0"/>
              <w:jc w:val="center"/>
              <w:rPr>
                <w:rFonts w:ascii="Arial" w:hAnsi="Arial" w:cs="Arial"/>
                <w:sz w:val="18"/>
                <w:szCs w:val="18"/>
              </w:rPr>
            </w:pPr>
          </w:p>
        </w:tc>
      </w:tr>
      <w:tr w:rsidR="004D379D" w:rsidRPr="002D3A19" w:rsidTr="004D379D">
        <w:trPr>
          <w:trHeight w:val="360"/>
        </w:trPr>
        <w:tc>
          <w:tcPr>
            <w:tcW w:w="1296" w:type="dxa"/>
            <w:tcBorders>
              <w:top w:val="nil"/>
              <w:right w:val="nil"/>
            </w:tcBorders>
            <w:vAlign w:val="center"/>
          </w:tcPr>
          <w:p w:rsidR="004D379D" w:rsidRPr="002D3A19" w:rsidRDefault="004D379D" w:rsidP="002D3A19">
            <w:pPr>
              <w:spacing w:after="0"/>
              <w:jc w:val="center"/>
              <w:rPr>
                <w:rFonts w:ascii="Arial" w:hAnsi="Arial" w:cs="Arial"/>
                <w:sz w:val="18"/>
              </w:rPr>
            </w:pPr>
          </w:p>
        </w:tc>
        <w:tc>
          <w:tcPr>
            <w:tcW w:w="2862" w:type="dxa"/>
            <w:tcBorders>
              <w:top w:val="nil"/>
              <w:left w:val="nil"/>
              <w:right w:val="single" w:sz="4" w:space="0" w:color="auto"/>
            </w:tcBorders>
            <w:vAlign w:val="center"/>
          </w:tcPr>
          <w:p w:rsidR="004D379D" w:rsidRPr="002D3A19" w:rsidRDefault="004D379D" w:rsidP="002D3A19">
            <w:pPr>
              <w:spacing w:after="0"/>
              <w:jc w:val="center"/>
              <w:rPr>
                <w:rFonts w:ascii="Arial" w:hAnsi="Arial" w:cs="Arial"/>
                <w:sz w:val="18"/>
              </w:rPr>
            </w:pPr>
          </w:p>
        </w:tc>
        <w:tc>
          <w:tcPr>
            <w:tcW w:w="3258" w:type="dxa"/>
            <w:gridSpan w:val="2"/>
            <w:tcBorders>
              <w:top w:val="single" w:sz="4" w:space="0" w:color="auto"/>
              <w:left w:val="single" w:sz="4" w:space="0" w:color="auto"/>
            </w:tcBorders>
            <w:vAlign w:val="center"/>
          </w:tcPr>
          <w:p w:rsidR="004D379D" w:rsidRPr="002D3A19" w:rsidRDefault="004D379D" w:rsidP="002D3A19">
            <w:pPr>
              <w:spacing w:after="0"/>
              <w:jc w:val="right"/>
              <w:rPr>
                <w:rFonts w:ascii="Arial" w:hAnsi="Arial" w:cs="Arial"/>
                <w:i/>
                <w:sz w:val="18"/>
              </w:rPr>
            </w:pPr>
            <w:r>
              <w:rPr>
                <w:rFonts w:ascii="Arial" w:hAnsi="Arial" w:cs="Arial"/>
                <w:i/>
                <w:sz w:val="18"/>
              </w:rPr>
              <w:t xml:space="preserve">Percent Capture Provided by HSCs </w:t>
            </w:r>
            <w:r w:rsidRPr="004D379D">
              <w:rPr>
                <w:rFonts w:ascii="Arial" w:hAnsi="Arial" w:cs="Arial"/>
                <w:i/>
                <w:sz w:val="14"/>
              </w:rPr>
              <w:t>(</w:t>
            </w:r>
            <w:fldSimple w:instr=" REF _Ref285399288 \h  \* MERGEFORMAT ">
              <w:r w:rsidR="00126DE5" w:rsidRPr="00126DE5">
                <w:rPr>
                  <w:rFonts w:cs="Arial"/>
                  <w:b/>
                  <w:color w:val="0070C0"/>
                  <w:sz w:val="20"/>
                  <w:szCs w:val="20"/>
                </w:rPr>
                <w:t xml:space="preserve">Table </w:t>
              </w:r>
              <w:r w:rsidR="00126DE5" w:rsidRPr="00126DE5">
                <w:rPr>
                  <w:rFonts w:cs="Arial"/>
                  <w:b/>
                  <w:noProof/>
                  <w:color w:val="0070C0"/>
                  <w:sz w:val="20"/>
                  <w:szCs w:val="20"/>
                </w:rPr>
                <w:t>III</w:t>
              </w:r>
              <w:r w:rsidR="00126DE5" w:rsidRPr="00126DE5">
                <w:rPr>
                  <w:rFonts w:cs="Arial"/>
                  <w:b/>
                  <w:color w:val="0070C0"/>
                  <w:sz w:val="20"/>
                  <w:szCs w:val="20"/>
                </w:rPr>
                <w:t>.1</w:t>
              </w:r>
            </w:fldSimple>
            <w:r>
              <w:rPr>
                <w:rFonts w:ascii="Arial" w:hAnsi="Arial" w:cs="Arial"/>
                <w:i/>
                <w:sz w:val="18"/>
              </w:rPr>
              <w:t>)</w:t>
            </w:r>
          </w:p>
        </w:tc>
        <w:tc>
          <w:tcPr>
            <w:tcW w:w="1756" w:type="dxa"/>
            <w:vAlign w:val="center"/>
          </w:tcPr>
          <w:p w:rsidR="004D379D" w:rsidRPr="002D3A19" w:rsidRDefault="004D379D" w:rsidP="00851327">
            <w:pPr>
              <w:keepNext/>
              <w:spacing w:after="0"/>
              <w:jc w:val="center"/>
              <w:rPr>
                <w:rFonts w:ascii="Arial" w:hAnsi="Arial" w:cs="Arial"/>
                <w:sz w:val="18"/>
                <w:szCs w:val="18"/>
              </w:rPr>
            </w:pPr>
          </w:p>
        </w:tc>
      </w:tr>
    </w:tbl>
    <w:p w:rsidR="00851327" w:rsidRPr="00851327" w:rsidRDefault="00851327">
      <w:pPr>
        <w:spacing w:after="200"/>
        <w:rPr>
          <w:rFonts w:ascii="Arial" w:hAnsi="Arial" w:cs="Arial"/>
          <w:sz w:val="20"/>
        </w:rPr>
      </w:pPr>
      <w:r w:rsidRPr="00851327">
        <w:rPr>
          <w:rFonts w:ascii="Arial" w:hAnsi="Arial" w:cs="Arial"/>
          <w:sz w:val="20"/>
        </w:rPr>
        <w:t xml:space="preserve">1 - For HSCs meeting criteria to be considered self-retaining, enter the </w:t>
      </w:r>
      <w:r w:rsidR="003C7091">
        <w:rPr>
          <w:rFonts w:ascii="Arial" w:hAnsi="Arial" w:cs="Arial"/>
          <w:sz w:val="20"/>
        </w:rPr>
        <w:t>DCV</w:t>
      </w:r>
      <w:r w:rsidRPr="00851327">
        <w:rPr>
          <w:rFonts w:ascii="Arial" w:hAnsi="Arial" w:cs="Arial"/>
          <w:sz w:val="20"/>
        </w:rPr>
        <w:t xml:space="preserve"> for the project.</w:t>
      </w:r>
    </w:p>
    <w:p w:rsidR="00851327" w:rsidRDefault="00851327">
      <w:pPr>
        <w:spacing w:after="200"/>
        <w:rPr>
          <w:rFonts w:eastAsia="Times New Roman" w:cs="Times New Roman"/>
          <w:szCs w:val="20"/>
        </w:rPr>
      </w:pPr>
      <w:r>
        <w:br w:type="page"/>
      </w:r>
    </w:p>
    <w:p w:rsidR="00851327" w:rsidRDefault="00851327" w:rsidP="00AE5495">
      <w:pPr>
        <w:pStyle w:val="CDMBTEXT"/>
      </w:pPr>
    </w:p>
    <w:p w:rsidR="00201664" w:rsidRDefault="00201664" w:rsidP="00A52883">
      <w:pPr>
        <w:pStyle w:val="Heading3"/>
      </w:pPr>
      <w:r>
        <w:t>General Guidelines for Use of Continuous Simulation Modeling</w:t>
      </w:r>
    </w:p>
    <w:p w:rsidR="00201664" w:rsidRDefault="00201664" w:rsidP="00AE5495">
      <w:pPr>
        <w:pStyle w:val="CDMBTEXT"/>
      </w:pPr>
      <w:r>
        <w:t xml:space="preserve">For projects with complex hydrologic conditions or for evaluation of complex BMP designs, </w:t>
      </w:r>
      <w:r w:rsidRPr="00201664">
        <w:t xml:space="preserve">an appropriate public domain continuous flow model [such as Storm Water Management Model (SWMM) or Hydrologic Engineering Center – Hydrologic Simulation Program – Fortran (HEC-HSPF)], </w:t>
      </w:r>
      <w:r>
        <w:t xml:space="preserve">may be used to develop and evaluate BMP designs. The model should be run using a local precipitation record and project-specific information about soils, slopes, and BMP designs.  Inputs should be thoroughly documented and conform to standards of engineering practice. </w:t>
      </w:r>
    </w:p>
    <w:p w:rsidR="00201664" w:rsidRDefault="00201664" w:rsidP="00AE5495">
      <w:pPr>
        <w:pStyle w:val="CDMBTEXT"/>
      </w:pPr>
      <w:r>
        <w:t xml:space="preserve">The </w:t>
      </w:r>
      <w:r w:rsidR="00433D7E">
        <w:t xml:space="preserve">acceptability of models is at the discretion of the reviewing agency, therefore the </w:t>
      </w:r>
      <w:r>
        <w:t>applicant should inquire with the reviewing agency regarding model preference and input assumptions.</w:t>
      </w:r>
    </w:p>
    <w:p w:rsidR="008C47D3" w:rsidRDefault="008C47D3" w:rsidP="00A52883">
      <w:pPr>
        <w:pStyle w:val="Heading2"/>
      </w:pPr>
      <w:bookmarkStart w:id="141" w:name="_Toc262462870"/>
      <w:bookmarkStart w:id="142" w:name="_Toc285308107"/>
      <w:bookmarkStart w:id="143" w:name="_Toc285315724"/>
      <w:bookmarkStart w:id="144" w:name="_Toc285492443"/>
      <w:bookmarkStart w:id="145" w:name="_Toc288541052"/>
      <w:bookmarkStart w:id="146" w:name="_Toc293937119"/>
      <w:r w:rsidRPr="00311A64">
        <w:t>Exhibits</w:t>
      </w:r>
      <w:r>
        <w:t xml:space="preserve"> and Nomographs</w:t>
      </w:r>
      <w:r w:rsidRPr="00311A64">
        <w:t xml:space="preserve"> Used for </w:t>
      </w:r>
      <w:r w:rsidR="002E1D95">
        <w:t xml:space="preserve">LID and WQDV/WQDF </w:t>
      </w:r>
      <w:r w:rsidRPr="00311A64">
        <w:t xml:space="preserve">Design </w:t>
      </w:r>
      <w:r>
        <w:t>Volume</w:t>
      </w:r>
      <w:r w:rsidRPr="00311A64">
        <w:t xml:space="preserve"> Calculations</w:t>
      </w:r>
      <w:bookmarkEnd w:id="141"/>
      <w:bookmarkEnd w:id="142"/>
      <w:bookmarkEnd w:id="143"/>
      <w:bookmarkEnd w:id="144"/>
      <w:bookmarkEnd w:id="145"/>
      <w:bookmarkEnd w:id="146"/>
    </w:p>
    <w:p w:rsidR="00440A12" w:rsidRDefault="00126F3D" w:rsidP="008C47D3">
      <w:pPr>
        <w:pStyle w:val="CDMBTEXT"/>
        <w:keepNext/>
      </w:pPr>
      <w:fldSimple w:instr=" REF _Ref285354586 \h  \* MERGEFORMAT ">
        <w:r w:rsidR="00126DE5" w:rsidRPr="00126DE5">
          <w:rPr>
            <w:rFonts w:cs="Arial"/>
            <w:b/>
            <w:color w:val="0070C0"/>
            <w:sz w:val="20"/>
          </w:rPr>
          <w:t>Figure III.1</w:t>
        </w:r>
      </w:fldSimple>
      <w:r w:rsidR="00433D7E">
        <w:t xml:space="preserve"> </w:t>
      </w:r>
      <w:r w:rsidR="008C47D3" w:rsidRPr="00311A64">
        <w:t>depicts the Design Capture Storm Depth</w:t>
      </w:r>
      <w:r w:rsidR="008C47D3" w:rsidRPr="00B53524">
        <w:rPr>
          <w:rStyle w:val="FootnoteReference"/>
        </w:rPr>
        <w:footnoteReference w:id="9"/>
      </w:r>
      <w:r w:rsidR="008C47D3" w:rsidRPr="00311A64">
        <w:t xml:space="preserve"> for Orange County.  A higher resolution version of this figure is provided in</w:t>
      </w:r>
      <w:r w:rsidR="008C47D3">
        <w:t xml:space="preserve"> </w:t>
      </w:r>
      <w:r w:rsidRPr="00126DE5">
        <w:rPr>
          <w:rFonts w:cs="Arial"/>
          <w:b/>
          <w:color w:val="0070C0"/>
          <w:sz w:val="20"/>
        </w:rPr>
        <w:fldChar w:fldCharType="begin"/>
      </w:r>
      <w:r w:rsidR="008C47D3" w:rsidRPr="00126DE5">
        <w:rPr>
          <w:rFonts w:cs="Arial"/>
          <w:b/>
          <w:color w:val="0070C0"/>
          <w:sz w:val="20"/>
        </w:rPr>
        <w:instrText xml:space="preserve"> REF _Ref285118309 \r \h </w:instrText>
      </w:r>
      <w:r w:rsidRPr="00126DE5">
        <w:rPr>
          <w:rFonts w:cs="Arial"/>
          <w:b/>
          <w:color w:val="0070C0"/>
          <w:sz w:val="20"/>
        </w:rPr>
      </w:r>
      <w:r w:rsidRPr="00126DE5">
        <w:rPr>
          <w:rFonts w:cs="Arial"/>
          <w:b/>
          <w:color w:val="0070C0"/>
          <w:sz w:val="20"/>
        </w:rPr>
        <w:fldChar w:fldCharType="separate"/>
      </w:r>
      <w:r w:rsidR="00126DE5" w:rsidRPr="00126DE5">
        <w:rPr>
          <w:rFonts w:cs="Arial"/>
          <w:b/>
          <w:color w:val="0070C0"/>
          <w:sz w:val="20"/>
        </w:rPr>
        <w:t>Appendix XVI</w:t>
      </w:r>
      <w:r w:rsidRPr="00126DE5">
        <w:rPr>
          <w:rFonts w:cs="Arial"/>
          <w:b/>
          <w:color w:val="0070C0"/>
          <w:sz w:val="20"/>
        </w:rPr>
        <w:fldChar w:fldCharType="end"/>
      </w:r>
      <w:r w:rsidR="008C47D3" w:rsidRPr="00311A64">
        <w:t>.</w:t>
      </w:r>
    </w:p>
    <w:p w:rsidR="008C47D3" w:rsidRPr="00B53524" w:rsidRDefault="008C47D3" w:rsidP="008C47D3">
      <w:pPr>
        <w:pStyle w:val="CDMBTEXT"/>
        <w:keepNext/>
      </w:pPr>
      <w:r w:rsidRPr="00311A64">
        <w:t xml:space="preserve"> </w:t>
      </w:r>
      <w:fldSimple w:instr=" REF _Ref257795285 \h  \* MERGEFORMAT ">
        <w:r w:rsidR="00126DE5" w:rsidRPr="00126DE5">
          <w:rPr>
            <w:rFonts w:cs="Arial"/>
            <w:b/>
            <w:color w:val="0070C0"/>
            <w:sz w:val="20"/>
          </w:rPr>
          <w:t>Figure III.2</w:t>
        </w:r>
      </w:fldSimple>
      <w:r w:rsidRPr="00311A64">
        <w:t xml:space="preserve"> presents a relationship between unit storage volume, drawdown time, and capture efficiency</w:t>
      </w:r>
      <w:r w:rsidRPr="00EB0B78">
        <w:t xml:space="preserve"> </w:t>
      </w:r>
      <w:r>
        <w:t xml:space="preserve">that is applicable across Orange County. </w:t>
      </w:r>
      <w:r w:rsidRPr="00311A64">
        <w:t>The relationships are developed based on continuous simulation of hourly precipitation data</w:t>
      </w:r>
      <w:r w:rsidR="002D3A19">
        <w:t xml:space="preserve"> per methods described in </w:t>
      </w:r>
      <w:r w:rsidR="00524D76" w:rsidRPr="00524D76">
        <w:rPr>
          <w:b/>
        </w:rPr>
        <w:t>Appendix</w:t>
      </w:r>
      <w:r w:rsidRPr="00311A64">
        <w:t xml:space="preserve"> </w:t>
      </w:r>
      <w:r w:rsidR="00126F3D" w:rsidRPr="00126DE5">
        <w:rPr>
          <w:rFonts w:cs="Arial"/>
          <w:b/>
          <w:color w:val="0070C0"/>
          <w:sz w:val="20"/>
        </w:rPr>
        <w:fldChar w:fldCharType="begin"/>
      </w:r>
      <w:r w:rsidR="002D3A19" w:rsidRPr="00126DE5">
        <w:rPr>
          <w:rFonts w:cs="Arial"/>
          <w:b/>
          <w:color w:val="0070C0"/>
          <w:sz w:val="20"/>
        </w:rPr>
        <w:instrText xml:space="preserve"> REF _Ref285398695 \r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rFonts w:cs="Arial"/>
          <w:b/>
          <w:color w:val="0070C0"/>
          <w:sz w:val="20"/>
        </w:rPr>
        <w:t>III.6</w:t>
      </w:r>
      <w:r w:rsidR="00126F3D" w:rsidRPr="00126DE5">
        <w:rPr>
          <w:rFonts w:cs="Arial"/>
          <w:b/>
          <w:color w:val="0070C0"/>
          <w:sz w:val="20"/>
        </w:rPr>
        <w:fldChar w:fldCharType="end"/>
      </w:r>
      <w:r w:rsidR="002D3A19">
        <w:t xml:space="preserve"> </w:t>
      </w:r>
      <w:r w:rsidRPr="00311A64">
        <w:t>and can be used in a variety of ways for design calculations as described in the following sections.</w:t>
      </w:r>
    </w:p>
    <w:p w:rsidR="008C47D3" w:rsidRPr="00B53524" w:rsidRDefault="00126F3D" w:rsidP="008C47D3">
      <w:pPr>
        <w:pStyle w:val="CDMBTEXT"/>
        <w:keepNext/>
      </w:pPr>
      <w:fldSimple w:instr=" REF _Ref257795303 \h  \* MERGEFORMAT ">
        <w:r w:rsidR="00126DE5" w:rsidRPr="00126DE5">
          <w:rPr>
            <w:rFonts w:cs="Arial"/>
            <w:b/>
            <w:color w:val="0070C0"/>
            <w:sz w:val="20"/>
          </w:rPr>
          <w:t>Figure III.3</w:t>
        </w:r>
      </w:fldSimple>
      <w:r w:rsidR="008C47D3" w:rsidRPr="00311A64">
        <w:t xml:space="preserve"> presents a relationship between unit storage volume, unit demand (assuming drawdown rate varies with </w:t>
      </w:r>
      <w:r w:rsidR="00FD5274">
        <w:t>ET</w:t>
      </w:r>
      <w:r w:rsidR="008C47D3" w:rsidRPr="00311A64">
        <w:t xml:space="preserve"> rate), and capture efficiency</w:t>
      </w:r>
      <w:r w:rsidR="008C47D3">
        <w:t xml:space="preserve"> that is applicable across Orange County for systems with irrigation as their only demand</w:t>
      </w:r>
      <w:r w:rsidR="008C47D3" w:rsidRPr="00311A64">
        <w:t xml:space="preserve">. The relationships are developed based on continuous simulation of hourly precipitation data and daily ET data </w:t>
      </w:r>
      <w:r w:rsidR="002D3A19">
        <w:t xml:space="preserve">per methods described in </w:t>
      </w:r>
      <w:r w:rsidR="00524D76" w:rsidRPr="00524D76">
        <w:rPr>
          <w:b/>
        </w:rPr>
        <w:t>Appendix</w:t>
      </w:r>
      <w:r w:rsidR="002D3A19" w:rsidRPr="00311A64">
        <w:t xml:space="preserve"> </w:t>
      </w:r>
      <w:r w:rsidRPr="00126DE5">
        <w:rPr>
          <w:rFonts w:cs="Arial"/>
          <w:b/>
          <w:color w:val="0070C0"/>
          <w:sz w:val="20"/>
        </w:rPr>
        <w:fldChar w:fldCharType="begin"/>
      </w:r>
      <w:r w:rsidR="002D3A19" w:rsidRPr="00126DE5">
        <w:rPr>
          <w:rFonts w:cs="Arial"/>
          <w:b/>
          <w:color w:val="0070C0"/>
          <w:sz w:val="20"/>
        </w:rPr>
        <w:instrText xml:space="preserve"> REF _Ref285398695 \r \h </w:instrText>
      </w:r>
      <w:r w:rsidRPr="00126DE5">
        <w:rPr>
          <w:rFonts w:cs="Arial"/>
          <w:b/>
          <w:color w:val="0070C0"/>
          <w:sz w:val="20"/>
        </w:rPr>
      </w:r>
      <w:r w:rsidRPr="00126DE5">
        <w:rPr>
          <w:rFonts w:cs="Arial"/>
          <w:b/>
          <w:color w:val="0070C0"/>
          <w:sz w:val="20"/>
        </w:rPr>
        <w:fldChar w:fldCharType="separate"/>
      </w:r>
      <w:r w:rsidR="00126DE5" w:rsidRPr="00126DE5">
        <w:rPr>
          <w:rFonts w:cs="Arial"/>
          <w:b/>
          <w:color w:val="0070C0"/>
          <w:sz w:val="20"/>
        </w:rPr>
        <w:t>III.6</w:t>
      </w:r>
      <w:r w:rsidRPr="00126DE5">
        <w:rPr>
          <w:rFonts w:cs="Arial"/>
          <w:b/>
          <w:color w:val="0070C0"/>
          <w:sz w:val="20"/>
        </w:rPr>
        <w:fldChar w:fldCharType="end"/>
      </w:r>
      <w:r w:rsidR="002D3A19">
        <w:t xml:space="preserve"> </w:t>
      </w:r>
      <w:r w:rsidR="008C47D3" w:rsidRPr="00311A64">
        <w:t xml:space="preserve">and can be used in a variety of ways for design calculations of harvest and use systems as described in the following sections. The effective irrigation area </w:t>
      </w:r>
      <w:r w:rsidR="008C47D3">
        <w:t xml:space="preserve">to tributary area </w:t>
      </w:r>
      <w:r w:rsidR="008C47D3" w:rsidRPr="00311A64">
        <w:t>ratio of the system (</w:t>
      </w:r>
      <w:r w:rsidR="008C47D3" w:rsidRPr="008C47D3">
        <w:rPr>
          <w:i/>
        </w:rPr>
        <w:t>EIATA</w:t>
      </w:r>
      <w:r w:rsidR="008C47D3" w:rsidRPr="00311A64">
        <w:t xml:space="preserve">) is calculated as follows: </w:t>
      </w:r>
    </w:p>
    <w:p w:rsidR="008C47D3" w:rsidRPr="00B53524" w:rsidRDefault="008C47D3" w:rsidP="008C47D3">
      <w:pPr>
        <w:pStyle w:val="CDMBTEXT"/>
      </w:pPr>
      <w:r>
        <w:t xml:space="preserve">The EIATA ratio </w:t>
      </w:r>
      <w:r w:rsidRPr="00311A64">
        <w:t xml:space="preserve">is calculated as follows: </w:t>
      </w:r>
    </w:p>
    <w:p w:rsidR="008C47D3" w:rsidRPr="00B53524" w:rsidRDefault="008C47D3" w:rsidP="008C47D3">
      <w:pPr>
        <w:pStyle w:val="CDMBTEXT"/>
        <w:ind w:left="720"/>
      </w:pPr>
      <w:r>
        <w:t>EIATA = L</w:t>
      </w:r>
      <w:r w:rsidRPr="00311A64">
        <w:t>A × K</w:t>
      </w:r>
      <w:r w:rsidRPr="00270987">
        <w:rPr>
          <w:vertAlign w:val="subscript"/>
        </w:rPr>
        <w:t>L</w:t>
      </w:r>
      <w:proofErr w:type="gramStart"/>
      <w:r w:rsidRPr="00311A64">
        <w:t>/[</w:t>
      </w:r>
      <w:proofErr w:type="gramEnd"/>
      <w:r w:rsidRPr="00311A64">
        <w:t>IE × Tributary Impervious Area]</w:t>
      </w:r>
    </w:p>
    <w:p w:rsidR="008C47D3" w:rsidRPr="00B53524" w:rsidRDefault="008C47D3" w:rsidP="008C47D3">
      <w:pPr>
        <w:pStyle w:val="CDMBTEXT"/>
      </w:pPr>
      <w:r w:rsidRPr="00311A64">
        <w:t>Where:</w:t>
      </w:r>
    </w:p>
    <w:p w:rsidR="008C47D3" w:rsidRPr="00B53524" w:rsidRDefault="008C47D3" w:rsidP="0027571A">
      <w:pPr>
        <w:pStyle w:val="CDMBTEXT"/>
        <w:spacing w:after="0"/>
        <w:ind w:left="720"/>
      </w:pPr>
      <w:r>
        <w:t>EIATA</w:t>
      </w:r>
      <w:r w:rsidR="00FE704C">
        <w:t xml:space="preserve"> = Effective Irrigated A</w:t>
      </w:r>
      <w:r w:rsidRPr="00311A64">
        <w:t xml:space="preserve">rea </w:t>
      </w:r>
      <w:r w:rsidR="00FE704C">
        <w:t>to Tributary A</w:t>
      </w:r>
      <w:r>
        <w:t xml:space="preserve">rea </w:t>
      </w:r>
      <w:r w:rsidRPr="00311A64">
        <w:t>ratio (ac/ac)</w:t>
      </w:r>
    </w:p>
    <w:p w:rsidR="008C47D3" w:rsidRPr="00B53524" w:rsidRDefault="008C47D3" w:rsidP="0027571A">
      <w:pPr>
        <w:pStyle w:val="CDMBTEXT"/>
        <w:spacing w:after="0"/>
        <w:ind w:left="720"/>
      </w:pPr>
      <w:r>
        <w:t>L</w:t>
      </w:r>
      <w:r w:rsidRPr="00311A64">
        <w:t xml:space="preserve">A = </w:t>
      </w:r>
      <w:r>
        <w:t xml:space="preserve">landscape </w:t>
      </w:r>
      <w:r w:rsidRPr="00311A64">
        <w:t xml:space="preserve">area irrigated with harvested water, </w:t>
      </w:r>
      <w:r>
        <w:t>sq-ft</w:t>
      </w:r>
    </w:p>
    <w:p w:rsidR="008C47D3" w:rsidRPr="00B53524" w:rsidRDefault="008C47D3" w:rsidP="0027571A">
      <w:pPr>
        <w:pStyle w:val="CDMBTEXT"/>
        <w:spacing w:after="0"/>
        <w:ind w:left="720"/>
      </w:pPr>
      <w:r w:rsidRPr="00311A64">
        <w:t>K</w:t>
      </w:r>
      <w:r w:rsidRPr="00270987">
        <w:rPr>
          <w:vertAlign w:val="subscript"/>
        </w:rPr>
        <w:t>L</w:t>
      </w:r>
      <w:r w:rsidRPr="00311A64">
        <w:t xml:space="preserve"> = </w:t>
      </w:r>
      <w:r>
        <w:t>Area-weighted landscape coefficient</w:t>
      </w:r>
      <w:r w:rsidR="002A451E">
        <w:t xml:space="preserve"> (see guidance and references in </w:t>
      </w:r>
      <w:r w:rsidR="00524D76" w:rsidRPr="00524D76">
        <w:rPr>
          <w:b/>
        </w:rPr>
        <w:t>Appendix</w:t>
      </w:r>
      <w:r w:rsidR="002A451E">
        <w:t xml:space="preserve"> </w:t>
      </w:r>
      <w:r w:rsidR="00126F3D" w:rsidRPr="00126DE5">
        <w:rPr>
          <w:b/>
          <w:color w:val="0070C0"/>
          <w:sz w:val="20"/>
        </w:rPr>
        <w:fldChar w:fldCharType="begin"/>
      </w:r>
      <w:r w:rsidR="002A451E" w:rsidRPr="00126DE5">
        <w:rPr>
          <w:b/>
          <w:color w:val="0070C0"/>
          <w:sz w:val="20"/>
        </w:rPr>
        <w:instrText xml:space="preserve"> REF _Ref285530460 \r \h </w:instrText>
      </w:r>
      <w:r w:rsidR="00126F3D" w:rsidRPr="00126DE5">
        <w:rPr>
          <w:b/>
          <w:color w:val="0070C0"/>
          <w:sz w:val="20"/>
        </w:rPr>
      </w:r>
      <w:r w:rsidR="00126F3D" w:rsidRPr="00126DE5">
        <w:rPr>
          <w:b/>
          <w:color w:val="0070C0"/>
          <w:sz w:val="20"/>
        </w:rPr>
        <w:fldChar w:fldCharType="separate"/>
      </w:r>
      <w:r w:rsidR="00126DE5" w:rsidRPr="00126DE5">
        <w:rPr>
          <w:b/>
          <w:color w:val="0070C0"/>
          <w:sz w:val="20"/>
        </w:rPr>
        <w:t>X.2.5.2</w:t>
      </w:r>
      <w:r w:rsidR="00126F3D" w:rsidRPr="00126DE5">
        <w:rPr>
          <w:b/>
          <w:color w:val="0070C0"/>
          <w:sz w:val="20"/>
        </w:rPr>
        <w:fldChar w:fldCharType="end"/>
      </w:r>
      <w:r w:rsidR="002A451E">
        <w:t>)</w:t>
      </w:r>
    </w:p>
    <w:p w:rsidR="008C47D3" w:rsidRDefault="008C47D3" w:rsidP="0027571A">
      <w:pPr>
        <w:pStyle w:val="CDMBTEXT"/>
        <w:spacing w:after="0"/>
        <w:ind w:left="720"/>
      </w:pPr>
      <w:r>
        <w:t>IE = irrigation efficiency (assume 0.90)</w:t>
      </w:r>
    </w:p>
    <w:p w:rsidR="0027571A" w:rsidRDefault="0027571A" w:rsidP="0027571A">
      <w:pPr>
        <w:pStyle w:val="CDMBTEXT"/>
        <w:spacing w:after="0"/>
        <w:ind w:left="720"/>
      </w:pPr>
    </w:p>
    <w:p w:rsidR="008E4BEC" w:rsidRDefault="00126F3D" w:rsidP="008E4BEC">
      <w:pPr>
        <w:pStyle w:val="CDMBTEXT"/>
        <w:keepNext/>
      </w:pPr>
      <w:fldSimple w:instr=" REF _Ref257795315 \h  \* MERGEFORMAT ">
        <w:r w:rsidR="00126DE5" w:rsidRPr="00126DE5">
          <w:rPr>
            <w:rFonts w:cs="Arial"/>
            <w:b/>
            <w:color w:val="0070C0"/>
            <w:sz w:val="20"/>
          </w:rPr>
          <w:t>Figure III.4</w:t>
        </w:r>
      </w:fldSimple>
      <w:r w:rsidR="008C47D3" w:rsidRPr="00311A64">
        <w:t xml:space="preserve"> presents a relationship between design intensity, catchment time of concentration, and capture efficiency</w:t>
      </w:r>
      <w:r w:rsidR="002D3A19">
        <w:t xml:space="preserve"> for off-line, flow-based BMPs.</w:t>
      </w:r>
      <w:r w:rsidR="008C47D3" w:rsidRPr="00311A64">
        <w:t xml:space="preserve"> The relationships are developed based on analysis of hourly and 5-minute precipitation data </w:t>
      </w:r>
      <w:r w:rsidR="002D3A19">
        <w:t xml:space="preserve">as described in per methods described in </w:t>
      </w:r>
      <w:r w:rsidR="00524D76" w:rsidRPr="00524D76">
        <w:rPr>
          <w:b/>
        </w:rPr>
        <w:t>Appendix</w:t>
      </w:r>
      <w:r w:rsidR="002D3A19" w:rsidRPr="00311A64">
        <w:t xml:space="preserve"> </w:t>
      </w:r>
      <w:r w:rsidRPr="00126DE5">
        <w:rPr>
          <w:rFonts w:cs="Arial"/>
          <w:b/>
          <w:color w:val="0070C0"/>
          <w:sz w:val="20"/>
        </w:rPr>
        <w:fldChar w:fldCharType="begin"/>
      </w:r>
      <w:r w:rsidR="002D3A19" w:rsidRPr="00126DE5">
        <w:rPr>
          <w:rFonts w:cs="Arial"/>
          <w:b/>
          <w:color w:val="0070C0"/>
          <w:sz w:val="20"/>
        </w:rPr>
        <w:instrText xml:space="preserve"> REF _Ref285398695 \r \h </w:instrText>
      </w:r>
      <w:r w:rsidRPr="00126DE5">
        <w:rPr>
          <w:rFonts w:cs="Arial"/>
          <w:b/>
          <w:color w:val="0070C0"/>
          <w:sz w:val="20"/>
        </w:rPr>
      </w:r>
      <w:r w:rsidRPr="00126DE5">
        <w:rPr>
          <w:rFonts w:cs="Arial"/>
          <w:b/>
          <w:color w:val="0070C0"/>
          <w:sz w:val="20"/>
        </w:rPr>
        <w:fldChar w:fldCharType="separate"/>
      </w:r>
      <w:r w:rsidR="00126DE5" w:rsidRPr="00126DE5">
        <w:rPr>
          <w:rFonts w:cs="Arial"/>
          <w:b/>
          <w:color w:val="0070C0"/>
          <w:sz w:val="20"/>
        </w:rPr>
        <w:t>III.6</w:t>
      </w:r>
      <w:r w:rsidRPr="00126DE5">
        <w:rPr>
          <w:rFonts w:cs="Arial"/>
          <w:b/>
          <w:color w:val="0070C0"/>
          <w:sz w:val="20"/>
        </w:rPr>
        <w:fldChar w:fldCharType="end"/>
      </w:r>
      <w:r w:rsidR="002D3A19">
        <w:t xml:space="preserve"> </w:t>
      </w:r>
      <w:r w:rsidR="008C47D3" w:rsidRPr="00311A64">
        <w:t>and can be used in a variety of ways for design calculations as described in the following sections.</w:t>
      </w:r>
      <w:r w:rsidR="008C47D3">
        <w:t xml:space="preserve"> It is applicable across Orange County</w:t>
      </w:r>
      <w:r w:rsidR="00DC2407">
        <w:t>.</w:t>
      </w:r>
    </w:p>
    <w:p w:rsidR="008C47D3" w:rsidRPr="002D3A19" w:rsidRDefault="008C47D3" w:rsidP="008E4BEC">
      <w:pPr>
        <w:pStyle w:val="CDMBTEXT"/>
        <w:keepNext/>
        <w:sectPr w:rsidR="008C47D3" w:rsidRPr="002D3A19" w:rsidSect="00BF43BB">
          <w:pgSz w:w="12240" w:h="15840" w:code="1"/>
          <w:pgMar w:top="1440" w:right="1440" w:bottom="1440" w:left="1440" w:header="720" w:footer="432" w:gutter="0"/>
          <w:pgNumType w:start="1" w:chapStyle="1"/>
          <w:cols w:space="720"/>
          <w:docGrid w:linePitch="360"/>
        </w:sectPr>
      </w:pPr>
      <w:r w:rsidRPr="002D3A19">
        <w:t>.</w:t>
      </w:r>
    </w:p>
    <w:p w:rsidR="002D3A19" w:rsidRPr="00524D76" w:rsidRDefault="00433D7E" w:rsidP="00647B99">
      <w:pPr>
        <w:pStyle w:val="Caption"/>
      </w:pPr>
      <w:bookmarkStart w:id="147" w:name="_Ref285354586"/>
      <w:bookmarkStart w:id="148" w:name="_Toc288555025"/>
      <w:r w:rsidRPr="00524D76">
        <w:t>Figure </w:t>
      </w:r>
      <w:fldSimple w:instr=" STYLEREF 1 \s ">
        <w:r w:rsidR="00524D76">
          <w:rPr>
            <w:noProof/>
          </w:rPr>
          <w:t>III</w:t>
        </w:r>
      </w:fldSimple>
      <w:r w:rsidR="00524D76">
        <w:t>.</w:t>
      </w:r>
      <w:fldSimple w:instr=" SEQ Figure \* ARABIC \s 1 ">
        <w:r w:rsidR="00524D76">
          <w:rPr>
            <w:noProof/>
          </w:rPr>
          <w:t>1</w:t>
        </w:r>
      </w:fldSimple>
      <w:bookmarkEnd w:id="147"/>
      <w:r w:rsidR="0027571A" w:rsidRPr="00524D76">
        <w:t xml:space="preserve">. </w:t>
      </w:r>
      <w:r w:rsidRPr="00524D76">
        <w:t>Design Capture Rainfall Zones in Orange County</w:t>
      </w:r>
      <w:bookmarkEnd w:id="148"/>
      <w:r w:rsidR="00DC2407" w:rsidRPr="00524D76">
        <w:t xml:space="preserve"> </w:t>
      </w:r>
    </w:p>
    <w:p w:rsidR="00DC2407" w:rsidRDefault="00DC2407" w:rsidP="00DC2407">
      <w:pPr>
        <w:rPr>
          <w:lang w:bidi="en-US"/>
        </w:rPr>
      </w:pPr>
    </w:p>
    <w:p w:rsidR="00B31025" w:rsidRPr="00B53524" w:rsidRDefault="00DC2407" w:rsidP="00DC2407">
      <w:r>
        <w:rPr>
          <w:lang w:bidi="en-US"/>
        </w:rPr>
        <w:t xml:space="preserve">See </w:t>
      </w:r>
      <w:r w:rsidRPr="00DC2407">
        <w:rPr>
          <w:b/>
          <w:color w:val="0070C0"/>
          <w:lang w:bidi="en-US"/>
        </w:rPr>
        <w:t xml:space="preserve">Exhibit </w:t>
      </w:r>
      <w:fldSimple w:instr=" REF _Ref288495267 \r \h  \* MERGEFORMAT ">
        <w:r w:rsidR="00126DE5" w:rsidRPr="00126DE5">
          <w:rPr>
            <w:b/>
            <w:color w:val="0070C0"/>
            <w:lang w:bidi="en-US"/>
          </w:rPr>
          <w:t>XVI.1</w:t>
        </w:r>
      </w:fldSimple>
    </w:p>
    <w:p w:rsidR="008C47D3" w:rsidRPr="00524D76" w:rsidRDefault="008C47D3" w:rsidP="00647B99">
      <w:pPr>
        <w:pStyle w:val="Caption"/>
      </w:pPr>
      <w:bookmarkStart w:id="149" w:name="_Ref257795285"/>
      <w:bookmarkStart w:id="150" w:name="_Ref285292977"/>
      <w:bookmarkStart w:id="151" w:name="_Toc262408821"/>
      <w:bookmarkStart w:id="152" w:name="_Toc288555026"/>
      <w:r w:rsidRPr="00524D76">
        <w:t>Figure </w:t>
      </w:r>
      <w:fldSimple w:instr=" STYLEREF 1 \s ">
        <w:r w:rsidR="00524D76">
          <w:rPr>
            <w:noProof/>
          </w:rPr>
          <w:t>III</w:t>
        </w:r>
      </w:fldSimple>
      <w:r w:rsidR="00524D76">
        <w:t>.</w:t>
      </w:r>
      <w:fldSimple w:instr=" SEQ Figure \* ARABIC \s 1 ">
        <w:r w:rsidR="00524D76">
          <w:rPr>
            <w:noProof/>
          </w:rPr>
          <w:t>2</w:t>
        </w:r>
      </w:fldSimple>
      <w:bookmarkEnd w:id="149"/>
      <w:bookmarkEnd w:id="150"/>
      <w:r w:rsidR="0027571A" w:rsidRPr="00524D76">
        <w:t xml:space="preserve">. </w:t>
      </w:r>
      <w:r w:rsidRPr="00524D76">
        <w:t>Capture Efficiency Nomograph for Constant Drawdown Systems in Orange County</w:t>
      </w:r>
      <w:bookmarkEnd w:id="151"/>
      <w:bookmarkEnd w:id="152"/>
    </w:p>
    <w:p w:rsidR="008C47D3" w:rsidRPr="00B53524" w:rsidRDefault="008E4BEC" w:rsidP="008C47D3">
      <w:pPr>
        <w:jc w:val="center"/>
      </w:pPr>
      <w:r>
        <w:rPr>
          <w:noProof/>
        </w:rPr>
        <w:drawing>
          <wp:inline distT="0" distB="0" distL="0" distR="0">
            <wp:extent cx="7223760" cy="5236687"/>
            <wp:effectExtent l="19050" t="0" r="0" b="0"/>
            <wp:docPr id="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email"/>
                    <a:srcRect/>
                    <a:stretch>
                      <a:fillRect/>
                    </a:stretch>
                  </pic:blipFill>
                  <pic:spPr bwMode="auto">
                    <a:xfrm>
                      <a:off x="0" y="0"/>
                      <a:ext cx="7223760" cy="5236687"/>
                    </a:xfrm>
                    <a:prstGeom prst="rect">
                      <a:avLst/>
                    </a:prstGeom>
                    <a:noFill/>
                  </pic:spPr>
                </pic:pic>
              </a:graphicData>
            </a:graphic>
          </wp:inline>
        </w:drawing>
      </w:r>
    </w:p>
    <w:p w:rsidR="008C47D3" w:rsidRPr="00524D76" w:rsidRDefault="008C47D3" w:rsidP="00647B99">
      <w:pPr>
        <w:pStyle w:val="Caption"/>
      </w:pPr>
      <w:bookmarkStart w:id="153" w:name="_Ref257795303"/>
      <w:bookmarkStart w:id="154" w:name="_Toc262408822"/>
      <w:bookmarkStart w:id="155" w:name="_Toc288555027"/>
      <w:r w:rsidRPr="00524D76">
        <w:t>Figure </w:t>
      </w:r>
      <w:fldSimple w:instr=" STYLEREF 1 \s ">
        <w:r w:rsidR="00524D76">
          <w:rPr>
            <w:noProof/>
          </w:rPr>
          <w:t>III</w:t>
        </w:r>
      </w:fldSimple>
      <w:r w:rsidR="00524D76">
        <w:t>.</w:t>
      </w:r>
      <w:fldSimple w:instr=" SEQ Figure \* ARABIC \s 1 ">
        <w:r w:rsidR="00524D76">
          <w:rPr>
            <w:noProof/>
          </w:rPr>
          <w:t>3</w:t>
        </w:r>
      </w:fldSimple>
      <w:bookmarkEnd w:id="153"/>
      <w:r w:rsidR="0027571A" w:rsidRPr="00524D76">
        <w:rPr>
          <w:rFonts w:cs="Arial"/>
        </w:rPr>
        <w:t>.</w:t>
      </w:r>
      <w:r w:rsidR="0027571A" w:rsidRPr="00524D76">
        <w:t xml:space="preserve"> </w:t>
      </w:r>
      <w:r w:rsidRPr="00524D76">
        <w:t>Capture Efficiency Nomograph for Harvest and Use Systems with Irrigation Demand in Orange County</w:t>
      </w:r>
      <w:bookmarkEnd w:id="154"/>
      <w:bookmarkEnd w:id="155"/>
      <w:r w:rsidRPr="00524D76">
        <w:t xml:space="preserve"> </w:t>
      </w:r>
    </w:p>
    <w:p w:rsidR="008C47D3" w:rsidRPr="00B53524" w:rsidRDefault="008C47D3" w:rsidP="008C47D3">
      <w:pPr>
        <w:jc w:val="center"/>
      </w:pPr>
      <w:r>
        <w:rPr>
          <w:noProof/>
        </w:rPr>
        <w:drawing>
          <wp:inline distT="0" distB="0" distL="0" distR="0">
            <wp:extent cx="7223760" cy="4661704"/>
            <wp:effectExtent l="1905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email"/>
                    <a:srcRect/>
                    <a:stretch>
                      <a:fillRect/>
                    </a:stretch>
                  </pic:blipFill>
                  <pic:spPr bwMode="auto">
                    <a:xfrm>
                      <a:off x="0" y="0"/>
                      <a:ext cx="7223760" cy="4661704"/>
                    </a:xfrm>
                    <a:prstGeom prst="rect">
                      <a:avLst/>
                    </a:prstGeom>
                    <a:noFill/>
                  </pic:spPr>
                </pic:pic>
              </a:graphicData>
            </a:graphic>
          </wp:inline>
        </w:drawing>
      </w:r>
    </w:p>
    <w:p w:rsidR="008C47D3" w:rsidRPr="00B53524" w:rsidRDefault="008C47D3" w:rsidP="008C47D3">
      <w:pPr>
        <w:pStyle w:val="CDMBTEXT"/>
      </w:pPr>
    </w:p>
    <w:p w:rsidR="008C47D3" w:rsidRPr="00524D76" w:rsidRDefault="008C47D3" w:rsidP="00647B99">
      <w:pPr>
        <w:pStyle w:val="Caption"/>
      </w:pPr>
      <w:bookmarkStart w:id="156" w:name="_Ref257795315"/>
      <w:bookmarkStart w:id="157" w:name="_Toc262408823"/>
      <w:bookmarkStart w:id="158" w:name="_Toc288555028"/>
      <w:r w:rsidRPr="00524D76">
        <w:t>Figure </w:t>
      </w:r>
      <w:fldSimple w:instr=" STYLEREF 1 \s ">
        <w:r w:rsidR="00524D76">
          <w:rPr>
            <w:noProof/>
          </w:rPr>
          <w:t>III</w:t>
        </w:r>
      </w:fldSimple>
      <w:r w:rsidR="00524D76">
        <w:t>.</w:t>
      </w:r>
      <w:fldSimple w:instr=" SEQ Figure \* ARABIC \s 1 ">
        <w:r w:rsidR="00524D76">
          <w:rPr>
            <w:noProof/>
          </w:rPr>
          <w:t>4</w:t>
        </w:r>
      </w:fldSimple>
      <w:bookmarkEnd w:id="156"/>
      <w:r w:rsidR="0027571A" w:rsidRPr="00524D76">
        <w:rPr>
          <w:rFonts w:cs="Arial"/>
        </w:rPr>
        <w:t xml:space="preserve">. </w:t>
      </w:r>
      <w:r w:rsidRPr="00524D76">
        <w:t>Capture Efficiency Nomograph for Off-line Flow-based Systems in Orange County</w:t>
      </w:r>
      <w:bookmarkEnd w:id="157"/>
      <w:bookmarkEnd w:id="158"/>
    </w:p>
    <w:p w:rsidR="008C47D3" w:rsidRPr="00B53524" w:rsidRDefault="008C47D3" w:rsidP="008C47D3">
      <w:pPr>
        <w:jc w:val="center"/>
      </w:pPr>
      <w:r>
        <w:rPr>
          <w:noProof/>
        </w:rPr>
        <w:drawing>
          <wp:inline distT="0" distB="0" distL="0" distR="0">
            <wp:extent cx="6655982" cy="4595315"/>
            <wp:effectExtent l="19050" t="0" r="0" b="0"/>
            <wp:docPr id="97"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5" cstate="email"/>
                    <a:srcRect/>
                    <a:stretch>
                      <a:fillRect/>
                    </a:stretch>
                  </pic:blipFill>
                  <pic:spPr bwMode="auto">
                    <a:xfrm>
                      <a:off x="0" y="0"/>
                      <a:ext cx="6657860" cy="4596612"/>
                    </a:xfrm>
                    <a:prstGeom prst="rect">
                      <a:avLst/>
                    </a:prstGeom>
                    <a:noFill/>
                  </pic:spPr>
                </pic:pic>
              </a:graphicData>
            </a:graphic>
          </wp:inline>
        </w:drawing>
      </w:r>
    </w:p>
    <w:p w:rsidR="008C47D3" w:rsidRDefault="008C47D3" w:rsidP="002D3A19">
      <w:pPr>
        <w:pStyle w:val="CDMBTEXT"/>
      </w:pPr>
    </w:p>
    <w:p w:rsidR="002F160D" w:rsidRPr="00B53524" w:rsidRDefault="002F160D" w:rsidP="002F160D">
      <w:pPr>
        <w:sectPr w:rsidR="002F160D" w:rsidRPr="00B53524" w:rsidSect="00BF43BB">
          <w:pgSz w:w="15840" w:h="12240" w:orient="landscape"/>
          <w:pgMar w:top="1440" w:right="1440" w:bottom="1440" w:left="1440" w:header="720" w:footer="432" w:gutter="0"/>
          <w:pgNumType w:chapStyle="1"/>
          <w:cols w:space="720"/>
          <w:docGrid w:linePitch="360"/>
        </w:sectPr>
      </w:pPr>
    </w:p>
    <w:p w:rsidR="008C47D3" w:rsidRDefault="0021105A" w:rsidP="00A52883">
      <w:pPr>
        <w:pStyle w:val="Heading2"/>
      </w:pPr>
      <w:bookmarkStart w:id="159" w:name="_Toc285002562"/>
      <w:bookmarkStart w:id="160" w:name="_Toc285002651"/>
      <w:bookmarkStart w:id="161" w:name="_Toc285002746"/>
      <w:bookmarkStart w:id="162" w:name="_Toc262462871"/>
      <w:bookmarkStart w:id="163" w:name="_Ref285302264"/>
      <w:bookmarkStart w:id="164" w:name="_Toc285308108"/>
      <w:bookmarkStart w:id="165" w:name="_Toc285315725"/>
      <w:bookmarkStart w:id="166" w:name="_Toc285492444"/>
      <w:bookmarkStart w:id="167" w:name="_Toc288541053"/>
      <w:bookmarkStart w:id="168" w:name="_Toc293937120"/>
      <w:bookmarkEnd w:id="159"/>
      <w:bookmarkEnd w:id="160"/>
      <w:bookmarkEnd w:id="161"/>
      <w:r>
        <w:t xml:space="preserve">Approved </w:t>
      </w:r>
      <w:r w:rsidR="008C47D3" w:rsidRPr="00311A64">
        <w:t xml:space="preserve">Methods </w:t>
      </w:r>
      <w:r>
        <w:t>for</w:t>
      </w:r>
      <w:r w:rsidR="008C47D3" w:rsidRPr="00311A64">
        <w:t xml:space="preserve"> </w:t>
      </w:r>
      <w:bookmarkEnd w:id="162"/>
      <w:r w:rsidR="008C47D3">
        <w:t xml:space="preserve">Calculating </w:t>
      </w:r>
      <w:r w:rsidR="002D3A19">
        <w:t xml:space="preserve">the </w:t>
      </w:r>
      <w:r w:rsidR="002E1D95">
        <w:t xml:space="preserve">LID </w:t>
      </w:r>
      <w:r w:rsidR="00115863">
        <w:t>D</w:t>
      </w:r>
      <w:r w:rsidR="00B31025">
        <w:t>esign Capture Volume</w:t>
      </w:r>
      <w:bookmarkEnd w:id="163"/>
      <w:bookmarkEnd w:id="164"/>
      <w:bookmarkEnd w:id="165"/>
      <w:bookmarkEnd w:id="166"/>
      <w:bookmarkEnd w:id="167"/>
      <w:bookmarkEnd w:id="168"/>
    </w:p>
    <w:p w:rsidR="00115863" w:rsidRPr="00115863" w:rsidRDefault="00115863" w:rsidP="00115863">
      <w:r>
        <w:t xml:space="preserve">This section describes approved methods for calculating LID </w:t>
      </w:r>
      <w:r w:rsidR="003C7091">
        <w:t>DCV</w:t>
      </w:r>
      <w:r w:rsidR="00B31025">
        <w:t>.</w:t>
      </w:r>
    </w:p>
    <w:p w:rsidR="008C47D3" w:rsidRDefault="008C47D3" w:rsidP="00A52883">
      <w:pPr>
        <w:pStyle w:val="Heading3"/>
      </w:pPr>
      <w:bookmarkStart w:id="169" w:name="_Ref287704619"/>
      <w:r>
        <w:t xml:space="preserve">Simple </w:t>
      </w:r>
      <w:r w:rsidR="00115863">
        <w:t>D</w:t>
      </w:r>
      <w:r w:rsidR="00FE704C">
        <w:t xml:space="preserve">esign Capture Volume </w:t>
      </w:r>
      <w:r w:rsidR="00115863">
        <w:t>Sizing Method</w:t>
      </w:r>
      <w:bookmarkEnd w:id="169"/>
    </w:p>
    <w:p w:rsidR="002F160D" w:rsidRPr="00B53524" w:rsidRDefault="002F160D" w:rsidP="002F160D">
      <w:pPr>
        <w:pStyle w:val="CDMBTEXT"/>
      </w:pPr>
      <w:r w:rsidRPr="00311A64">
        <w:t xml:space="preserve">This section describes the simplest method of </w:t>
      </w:r>
      <w:r w:rsidR="008C47D3">
        <w:t>sizing volume-based BMPs to</w:t>
      </w:r>
      <w:r w:rsidRPr="00311A64">
        <w:t xml:space="preserve"> </w:t>
      </w:r>
      <w:r>
        <w:t>manage the</w:t>
      </w:r>
      <w:r w:rsidR="003C7091">
        <w:t xml:space="preserve"> DCV</w:t>
      </w:r>
      <w:r w:rsidR="008C47D3">
        <w:t xml:space="preserve">. </w:t>
      </w:r>
      <w:r w:rsidRPr="00311A64">
        <w:t xml:space="preserve">It may result in BMPs that achieve greater than </w:t>
      </w:r>
      <w:r>
        <w:t>80 percent capture</w:t>
      </w:r>
      <w:r w:rsidRPr="00311A64">
        <w:t>, therefore may be somewhat oversized</w:t>
      </w:r>
      <w:r>
        <w:t xml:space="preserve"> to meet minimum </w:t>
      </w:r>
      <w:r w:rsidR="004D379D">
        <w:t xml:space="preserve">performance </w:t>
      </w:r>
      <w:r>
        <w:t>criteria</w:t>
      </w:r>
      <w:r w:rsidRPr="00311A64">
        <w:t>.</w:t>
      </w:r>
      <w:r w:rsidR="002A0445">
        <w:t xml:space="preserve"> </w:t>
      </w:r>
      <w:r w:rsidR="006E7FF0">
        <w:t>This would result where the DCV can draw down in less than 48 hours. If the size of the BMP that results from this method is impracticab</w:t>
      </w:r>
      <w:r w:rsidR="009E7FDA">
        <w:t xml:space="preserve">le because it is oversized, </w:t>
      </w:r>
      <w:r w:rsidR="002A0445">
        <w:t xml:space="preserve">the </w:t>
      </w:r>
      <w:r w:rsidR="00126F3D" w:rsidRPr="00126DE5">
        <w:rPr>
          <w:b/>
          <w:color w:val="0070C0"/>
          <w:sz w:val="20"/>
        </w:rPr>
        <w:fldChar w:fldCharType="begin"/>
      </w:r>
      <w:r w:rsidR="006E7FF0" w:rsidRPr="00126DE5">
        <w:rPr>
          <w:b/>
          <w:color w:val="0070C0"/>
          <w:sz w:val="20"/>
        </w:rPr>
        <w:instrText xml:space="preserve"> REF _Ref285384680 \h </w:instrText>
      </w:r>
      <w:r w:rsidR="00126F3D" w:rsidRPr="00126DE5">
        <w:rPr>
          <w:b/>
          <w:color w:val="0070C0"/>
          <w:sz w:val="20"/>
        </w:rPr>
      </w:r>
      <w:r w:rsidR="00126F3D" w:rsidRPr="00126DE5">
        <w:rPr>
          <w:b/>
          <w:color w:val="0070C0"/>
          <w:sz w:val="20"/>
        </w:rPr>
        <w:fldChar w:fldCharType="separate"/>
      </w:r>
      <w:r w:rsidR="00126DE5" w:rsidRPr="00126DE5">
        <w:rPr>
          <w:b/>
          <w:color w:val="0070C0"/>
        </w:rPr>
        <w:t>Capture Efficiency Method for Volume-Based, Constant Drawdown BMPs</w:t>
      </w:r>
      <w:r w:rsidR="00126F3D" w:rsidRPr="00126DE5">
        <w:rPr>
          <w:b/>
          <w:color w:val="0070C0"/>
          <w:sz w:val="20"/>
        </w:rPr>
        <w:fldChar w:fldCharType="end"/>
      </w:r>
      <w:r w:rsidR="006E7FF0">
        <w:t xml:space="preserve"> (</w:t>
      </w:r>
      <w:r w:rsidR="00524D76" w:rsidRPr="00524D76">
        <w:rPr>
          <w:b/>
        </w:rPr>
        <w:t>Appendix</w:t>
      </w:r>
      <w:r w:rsidR="006E7FF0">
        <w:t xml:space="preserve"> </w:t>
      </w:r>
      <w:r w:rsidR="00126F3D" w:rsidRPr="00126DE5">
        <w:rPr>
          <w:b/>
          <w:color w:val="0070C0"/>
          <w:sz w:val="20"/>
        </w:rPr>
        <w:fldChar w:fldCharType="begin"/>
      </w:r>
      <w:r w:rsidR="006E7FF0" w:rsidRPr="00126DE5">
        <w:rPr>
          <w:b/>
          <w:color w:val="0070C0"/>
          <w:sz w:val="20"/>
        </w:rPr>
        <w:instrText xml:space="preserve"> REF _Ref285384680 \r \h </w:instrText>
      </w:r>
      <w:r w:rsidR="00126F3D" w:rsidRPr="00126DE5">
        <w:rPr>
          <w:b/>
          <w:color w:val="0070C0"/>
          <w:sz w:val="20"/>
        </w:rPr>
      </w:r>
      <w:r w:rsidR="00126F3D" w:rsidRPr="00126DE5">
        <w:rPr>
          <w:b/>
          <w:color w:val="0070C0"/>
          <w:sz w:val="20"/>
        </w:rPr>
        <w:fldChar w:fldCharType="separate"/>
      </w:r>
      <w:r w:rsidR="00126DE5" w:rsidRPr="00126DE5">
        <w:rPr>
          <w:b/>
          <w:color w:val="0070C0"/>
          <w:sz w:val="20"/>
        </w:rPr>
        <w:t>III.3.2</w:t>
      </w:r>
      <w:r w:rsidR="00126F3D" w:rsidRPr="00126DE5">
        <w:rPr>
          <w:b/>
          <w:color w:val="0070C0"/>
          <w:sz w:val="20"/>
        </w:rPr>
        <w:fldChar w:fldCharType="end"/>
      </w:r>
      <w:r w:rsidR="006E7FF0">
        <w:t xml:space="preserve">) </w:t>
      </w:r>
      <w:r w:rsidR="002A0445">
        <w:t xml:space="preserve">is recommended. </w:t>
      </w:r>
    </w:p>
    <w:p w:rsidR="002F160D" w:rsidRPr="00B53524" w:rsidRDefault="002F160D" w:rsidP="00EA1EA6">
      <w:pPr>
        <w:pStyle w:val="CDMBTEXT"/>
        <w:keepNext/>
        <w:outlineLvl w:val="0"/>
        <w:rPr>
          <w:b/>
          <w:u w:val="single"/>
        </w:rPr>
      </w:pPr>
      <w:bookmarkStart w:id="170" w:name="_Toc285308109"/>
      <w:r w:rsidRPr="00311A64">
        <w:rPr>
          <w:b/>
          <w:u w:val="single"/>
        </w:rPr>
        <w:t>Stepwise Instructions:</w:t>
      </w:r>
      <w:bookmarkEnd w:id="170"/>
    </w:p>
    <w:p w:rsidR="002F160D" w:rsidRPr="00B53524" w:rsidRDefault="002F160D" w:rsidP="009531AF">
      <w:pPr>
        <w:pStyle w:val="CDMBTEXT"/>
        <w:numPr>
          <w:ilvl w:val="0"/>
          <w:numId w:val="6"/>
        </w:numPr>
        <w:contextualSpacing/>
      </w:pPr>
      <w:r w:rsidRPr="00311A64">
        <w:t>Look up the design capture storm depth from</w:t>
      </w:r>
      <w:r w:rsidR="00E5705C">
        <w:t xml:space="preserve"> </w:t>
      </w:r>
      <w:fldSimple w:instr=" REF _Ref285354586 \h  \* MERGEFORMAT ">
        <w:r w:rsidR="00126DE5" w:rsidRPr="00126DE5">
          <w:rPr>
            <w:rFonts w:cs="Arial"/>
            <w:b/>
            <w:color w:val="0070C0"/>
            <w:sz w:val="20"/>
          </w:rPr>
          <w:t>Figure III.1</w:t>
        </w:r>
      </w:fldSimple>
      <w:r w:rsidRPr="00311A64">
        <w:t xml:space="preserve">. </w:t>
      </w:r>
    </w:p>
    <w:p w:rsidR="002F160D" w:rsidRPr="00B53524" w:rsidRDefault="002F160D" w:rsidP="009531AF">
      <w:pPr>
        <w:pStyle w:val="CDMBTEXT"/>
        <w:numPr>
          <w:ilvl w:val="0"/>
          <w:numId w:val="6"/>
        </w:numPr>
        <w:contextualSpacing/>
      </w:pPr>
      <w:r w:rsidRPr="00311A64">
        <w:t xml:space="preserve">Compute the </w:t>
      </w:r>
      <w:r w:rsidR="003C7091">
        <w:t>DCV</w:t>
      </w:r>
      <w:r w:rsidRPr="00311A64">
        <w:t xml:space="preserve"> using </w:t>
      </w:r>
      <w:r w:rsidR="008C47D3">
        <w:t xml:space="preserve">the approved </w:t>
      </w:r>
      <w:r w:rsidRPr="00311A64">
        <w:t xml:space="preserve">hydrologic methods described in Sections </w:t>
      </w:r>
      <w:fldSimple w:instr=" REF _Ref285118554 \r \h  \* MERGEFORMAT ">
        <w:r w:rsidR="00126DE5" w:rsidRPr="00126DE5">
          <w:rPr>
            <w:rFonts w:cs="Arial"/>
            <w:b/>
            <w:color w:val="0070C0"/>
            <w:sz w:val="20"/>
          </w:rPr>
          <w:t>III.1</w:t>
        </w:r>
      </w:fldSimple>
      <w:r w:rsidRPr="00311A64">
        <w:t xml:space="preserve"> accounting for </w:t>
      </w:r>
      <w:r w:rsidR="003C7091">
        <w:t>HSC</w:t>
      </w:r>
      <w:r w:rsidRPr="00311A64">
        <w:t>s implemented upstream.</w:t>
      </w:r>
    </w:p>
    <w:p w:rsidR="002F160D" w:rsidRDefault="002F160D" w:rsidP="009531AF">
      <w:pPr>
        <w:pStyle w:val="CDMBTEXT"/>
        <w:numPr>
          <w:ilvl w:val="0"/>
          <w:numId w:val="6"/>
        </w:numPr>
        <w:contextualSpacing/>
      </w:pPr>
      <w:r w:rsidRPr="00311A64">
        <w:t xml:space="preserve">Design BMP(s) to ensure that the </w:t>
      </w:r>
      <w:r w:rsidR="003C7091">
        <w:t>DCV</w:t>
      </w:r>
      <w:r w:rsidRPr="00311A64">
        <w:t xml:space="preserve"> is fully retained (i.e., no surface discharge during the design event) and the stored volume draws down in no longer than 48 </w:t>
      </w:r>
      <w:r w:rsidR="008C47D3">
        <w:t xml:space="preserve">hours. </w:t>
      </w:r>
    </w:p>
    <w:p w:rsidR="0027571A" w:rsidRPr="00B53524" w:rsidRDefault="0027571A" w:rsidP="0027571A">
      <w:pPr>
        <w:pStyle w:val="CDMBTEXT"/>
        <w:ind w:left="720"/>
        <w:contextualSpacing/>
      </w:pPr>
    </w:p>
    <w:p w:rsidR="002F160D" w:rsidRPr="00B53524" w:rsidRDefault="002F160D" w:rsidP="002F160D">
      <w:pPr>
        <w:pStyle w:val="CDMBTEXT"/>
      </w:pPr>
      <w:r w:rsidRPr="00311A64">
        <w:t>Treatment control performance criteria are fully met where this method is used.</w:t>
      </w:r>
    </w:p>
    <w:p w:rsidR="002F160D" w:rsidRPr="007A343A" w:rsidRDefault="002F160D" w:rsidP="0027571A">
      <w:pPr>
        <w:pStyle w:val="ExampleHeading"/>
      </w:pPr>
      <w:bookmarkStart w:id="171" w:name="_Toc262408835"/>
      <w:bookmarkStart w:id="172" w:name="_Toc285308110"/>
      <w:bookmarkStart w:id="173" w:name="_Toc288541054"/>
      <w:bookmarkStart w:id="174" w:name="_Toc288554444"/>
      <w:proofErr w:type="gramStart"/>
      <w:r w:rsidRPr="007A343A">
        <w:t xml:space="preserve">Example </w:t>
      </w:r>
      <w:r w:rsidR="00126F3D" w:rsidRPr="00126DE5">
        <w:rPr>
          <w:color w:val="0070C0"/>
        </w:rPr>
        <w:fldChar w:fldCharType="begin"/>
      </w:r>
      <w:r w:rsidR="003F38A8" w:rsidRPr="00126DE5">
        <w:rPr>
          <w:color w:val="0070C0"/>
        </w:rPr>
        <w:instrText xml:space="preserve"> STYLEREF 1 \s </w:instrText>
      </w:r>
      <w:r w:rsidR="00126F3D" w:rsidRPr="00126DE5">
        <w:rPr>
          <w:color w:val="0070C0"/>
        </w:rPr>
        <w:fldChar w:fldCharType="separate"/>
      </w:r>
      <w:r w:rsidR="00126DE5" w:rsidRPr="00126DE5">
        <w:rPr>
          <w:noProof/>
          <w:color w:val="0070C0"/>
        </w:rPr>
        <w:t>III</w:t>
      </w:r>
      <w:r w:rsidR="00126F3D" w:rsidRPr="00126DE5">
        <w:rPr>
          <w:color w:val="0070C0"/>
        </w:rPr>
        <w:fldChar w:fldCharType="end"/>
      </w:r>
      <w:r w:rsidR="002E1936" w:rsidRPr="007A343A">
        <w:t>.</w:t>
      </w:r>
      <w:proofErr w:type="gramEnd"/>
      <w:r w:rsidR="00126F3D" w:rsidRPr="00126DE5">
        <w:rPr>
          <w:color w:val="0070C0"/>
        </w:rPr>
        <w:fldChar w:fldCharType="begin"/>
      </w:r>
      <w:r w:rsidR="002E1936" w:rsidRPr="00126DE5">
        <w:rPr>
          <w:color w:val="0070C0"/>
        </w:rPr>
        <w:instrText xml:space="preserve"> SEQ Example \* ARABIC \s 1 </w:instrText>
      </w:r>
      <w:r w:rsidR="00126F3D" w:rsidRPr="00126DE5">
        <w:rPr>
          <w:color w:val="0070C0"/>
        </w:rPr>
        <w:fldChar w:fldCharType="separate"/>
      </w:r>
      <w:r w:rsidR="00126DE5" w:rsidRPr="00126DE5">
        <w:rPr>
          <w:noProof/>
          <w:color w:val="0070C0"/>
        </w:rPr>
        <w:t>5</w:t>
      </w:r>
      <w:r w:rsidR="00126F3D" w:rsidRPr="00126DE5">
        <w:rPr>
          <w:color w:val="0070C0"/>
        </w:rPr>
        <w:fldChar w:fldCharType="end"/>
      </w:r>
      <w:r w:rsidRPr="007A343A">
        <w:t xml:space="preserve">: Computing </w:t>
      </w:r>
      <w:r w:rsidR="003C7091">
        <w:t>DCV</w:t>
      </w:r>
      <w:r w:rsidRPr="007A343A">
        <w:t xml:space="preserve"> using Simple Method</w:t>
      </w:r>
      <w:bookmarkEnd w:id="171"/>
      <w:bookmarkEnd w:id="172"/>
      <w:bookmarkEnd w:id="173"/>
      <w:bookmarkEnd w:id="174"/>
    </w:p>
    <w:p w:rsidR="002F160D" w:rsidRPr="00B53524" w:rsidRDefault="002F160D" w:rsidP="00EA1EA6">
      <w:pPr>
        <w:pStyle w:val="ExampleSubheading"/>
        <w:outlineLvl w:val="0"/>
      </w:pPr>
      <w:bookmarkStart w:id="175" w:name="_Toc285308111"/>
      <w:r w:rsidRPr="00311A64">
        <w:t>Given:</w:t>
      </w:r>
      <w:bookmarkEnd w:id="175"/>
    </w:p>
    <w:p w:rsidR="002F160D" w:rsidRPr="00B53524" w:rsidRDefault="002F160D" w:rsidP="002F160D">
      <w:pPr>
        <w:pStyle w:val="ExampleBullets"/>
      </w:pPr>
      <w:r w:rsidRPr="00311A64">
        <w:t>Redevelopment project, 85th percentile, 24-hr storm depth = 0.85 inches</w:t>
      </w:r>
    </w:p>
    <w:p w:rsidR="002F160D" w:rsidRPr="00B53524" w:rsidRDefault="002F160D" w:rsidP="002F160D">
      <w:pPr>
        <w:pStyle w:val="ExampleBullets"/>
      </w:pPr>
      <w:r w:rsidRPr="00311A64">
        <w:t>Drainage Area = 1.5 acres</w:t>
      </w:r>
    </w:p>
    <w:p w:rsidR="002F160D" w:rsidRPr="00B53524" w:rsidRDefault="002F160D" w:rsidP="002F160D">
      <w:pPr>
        <w:pStyle w:val="ExampleBullets"/>
      </w:pPr>
      <w:r w:rsidRPr="00311A64">
        <w:t>Imperviousness = 80%</w:t>
      </w:r>
    </w:p>
    <w:p w:rsidR="002F160D" w:rsidRPr="00B53524" w:rsidRDefault="002F160D" w:rsidP="002F160D">
      <w:pPr>
        <w:pStyle w:val="ExampleBullets"/>
      </w:pPr>
      <w:r w:rsidRPr="00311A64">
        <w:t>Effect</w:t>
      </w:r>
      <w:r w:rsidR="000921BE">
        <w:t xml:space="preserve">ive retention depth of </w:t>
      </w:r>
      <w:r w:rsidRPr="00311A64">
        <w:t>HSCs (d</w:t>
      </w:r>
      <w:r w:rsidRPr="00311A64">
        <w:rPr>
          <w:vertAlign w:val="subscript"/>
        </w:rPr>
        <w:t>HSC</w:t>
      </w:r>
      <w:r w:rsidRPr="00311A64">
        <w:t>) = 0.2 inches</w:t>
      </w:r>
    </w:p>
    <w:p w:rsidR="002F160D" w:rsidRPr="00B53524" w:rsidRDefault="002F160D" w:rsidP="002F160D">
      <w:pPr>
        <w:pStyle w:val="ExampleBullets"/>
      </w:pPr>
      <w:r w:rsidRPr="00311A64">
        <w:t>Design infiltration rate = 0.5 in/hr</w:t>
      </w:r>
    </w:p>
    <w:p w:rsidR="002F160D" w:rsidRPr="00B53524" w:rsidRDefault="002F160D" w:rsidP="00EA1EA6">
      <w:pPr>
        <w:pStyle w:val="ExampleSubheading"/>
        <w:outlineLvl w:val="0"/>
      </w:pPr>
      <w:bookmarkStart w:id="176" w:name="_Toc285308112"/>
      <w:r w:rsidRPr="00311A64">
        <w:t>Required:</w:t>
      </w:r>
      <w:bookmarkEnd w:id="176"/>
      <w:r w:rsidRPr="00311A64">
        <w:t xml:space="preserve">  </w:t>
      </w:r>
    </w:p>
    <w:p w:rsidR="002F160D" w:rsidRPr="00B53524" w:rsidRDefault="002F160D" w:rsidP="002F160D">
      <w:pPr>
        <w:pStyle w:val="ExampleBullets"/>
      </w:pPr>
      <w:r w:rsidRPr="00311A64">
        <w:t xml:space="preserve">Determine </w:t>
      </w:r>
      <w:r w:rsidR="000921BE">
        <w:t xml:space="preserve">LID </w:t>
      </w:r>
      <w:r w:rsidR="003C7091">
        <w:t>DCV</w:t>
      </w:r>
      <w:r w:rsidRPr="00311A64">
        <w:t xml:space="preserve"> by Simple Method and check that this volume can be drawn down in less than or equal to 48 hours</w:t>
      </w:r>
    </w:p>
    <w:p w:rsidR="002F160D" w:rsidRPr="00B53524" w:rsidRDefault="002F160D" w:rsidP="00EA1EA6">
      <w:pPr>
        <w:pStyle w:val="ExampleSubheading"/>
        <w:outlineLvl w:val="0"/>
      </w:pPr>
      <w:bookmarkStart w:id="177" w:name="_Toc285308113"/>
      <w:r w:rsidRPr="00311A64">
        <w:t>Solution:</w:t>
      </w:r>
      <w:bookmarkEnd w:id="177"/>
    </w:p>
    <w:p w:rsidR="002F160D" w:rsidRPr="00B53524" w:rsidRDefault="002F160D" w:rsidP="009531AF">
      <w:pPr>
        <w:pStyle w:val="ExampleNumbers"/>
        <w:numPr>
          <w:ilvl w:val="0"/>
          <w:numId w:val="55"/>
        </w:numPr>
        <w:ind w:left="720"/>
      </w:pPr>
      <w:r w:rsidRPr="00311A64">
        <w:t xml:space="preserve">Design capture storm depth = 0.85 inches from </w:t>
      </w:r>
      <w:fldSimple w:instr=" REF _Ref285354586 \h  \* MERGEFORMAT ">
        <w:r w:rsidR="00126DE5" w:rsidRPr="00126DE5">
          <w:rPr>
            <w:rFonts w:ascii="Book Antiqua" w:hAnsi="Book Antiqua"/>
            <w:b/>
            <w:color w:val="0070C0"/>
          </w:rPr>
          <w:t>Figure III.1</w:t>
        </w:r>
      </w:fldSimple>
      <w:r w:rsidR="00E5705C">
        <w:t>.</w:t>
      </w:r>
    </w:p>
    <w:p w:rsidR="000921BE" w:rsidRDefault="000921BE" w:rsidP="00853C9A">
      <w:pPr>
        <w:pStyle w:val="ExampleNumbers"/>
        <w:numPr>
          <w:ilvl w:val="0"/>
          <w:numId w:val="53"/>
        </w:numPr>
        <w:ind w:left="720"/>
      </w:pPr>
      <w:r>
        <w:t>Design capture storm depth, less HSCs = 0.85 inches – 0.2 inches = 0.65 inches</w:t>
      </w:r>
    </w:p>
    <w:p w:rsidR="002F160D" w:rsidRPr="00B53524" w:rsidRDefault="000921BE" w:rsidP="00853C9A">
      <w:pPr>
        <w:pStyle w:val="ExampleNumbers"/>
        <w:numPr>
          <w:ilvl w:val="0"/>
          <w:numId w:val="53"/>
        </w:numPr>
        <w:ind w:left="720"/>
      </w:pPr>
      <w:r>
        <w:t xml:space="preserve">DCV </w:t>
      </w:r>
      <w:r w:rsidR="002F160D" w:rsidRPr="00311A64">
        <w:t xml:space="preserve"> = 1.5 ac × (0.8*0.75 + 0.15) × (</w:t>
      </w:r>
      <w:r>
        <w:t>0.65 inches</w:t>
      </w:r>
      <w:r w:rsidR="002F160D" w:rsidRPr="00311A64">
        <w:t xml:space="preserve">) * 43,560 sf/ac × 1/12 in/ft = 2,650 cu-ft </w:t>
      </w:r>
    </w:p>
    <w:p w:rsidR="002F160D" w:rsidRPr="00B53524" w:rsidRDefault="002F160D" w:rsidP="00853C9A">
      <w:pPr>
        <w:pStyle w:val="ExampleNumbers"/>
        <w:numPr>
          <w:ilvl w:val="0"/>
          <w:numId w:val="53"/>
        </w:numPr>
        <w:ind w:left="720"/>
      </w:pPr>
      <w:r w:rsidRPr="00311A64">
        <w:t xml:space="preserve">Design BMP to provide remaining </w:t>
      </w:r>
      <w:r w:rsidR="003C7091">
        <w:t>DCV</w:t>
      </w:r>
      <w:r w:rsidRPr="00311A64">
        <w:t xml:space="preserve"> and ensure ≤ 48 hour drawdown.  </w:t>
      </w:r>
      <w:r w:rsidRPr="00311A64">
        <w:br/>
      </w:r>
      <w:r w:rsidRPr="00311A64">
        <w:br/>
        <w:t>Minimum area required = [</w:t>
      </w:r>
      <w:r w:rsidR="003C7091">
        <w:t>DCV</w:t>
      </w:r>
      <w:r w:rsidRPr="00311A64">
        <w:t xml:space="preserve">] / [maximum retention depth that can draw down in 48 hours] </w:t>
      </w:r>
      <w:r w:rsidRPr="00311A64">
        <w:br/>
      </w:r>
      <w:r w:rsidRPr="00311A64">
        <w:br/>
        <w:t>Max retention depth that can be drawn down in 48 hrs = 48 hrs × 0.5 in/hr = 24 inches = 2 ft</w:t>
      </w:r>
      <w:r w:rsidRPr="00311A64">
        <w:br/>
      </w:r>
      <w:r w:rsidRPr="00311A64">
        <w:br/>
        <w:t xml:space="preserve">Minimum area required = 2,650 cu-ft / 2-ft = 1,325 sq-ft </w:t>
      </w:r>
      <w:r w:rsidR="00043B81">
        <w:t>= 2.0 percent of project site.  At least t</w:t>
      </w:r>
      <w:r w:rsidRPr="00311A64">
        <w:t>his effective area should be provided for infiltration t</w:t>
      </w:r>
      <w:r w:rsidR="00043B81">
        <w:t>o ensure that water is completely</w:t>
      </w:r>
      <w:r w:rsidRPr="00311A64">
        <w:t xml:space="preserve"> drawn down in no greater than 48 hours. </w:t>
      </w:r>
    </w:p>
    <w:p w:rsidR="002F160D" w:rsidRPr="00B53524" w:rsidRDefault="002F160D" w:rsidP="00853C9A">
      <w:pPr>
        <w:pStyle w:val="ExampleNumbers"/>
        <w:numPr>
          <w:ilvl w:val="0"/>
          <w:numId w:val="53"/>
        </w:numPr>
        <w:ind w:left="720"/>
      </w:pPr>
      <w:r w:rsidRPr="00311A64">
        <w:t xml:space="preserve">Retention depth may be provided through surface storage plus pore storage </w:t>
      </w:r>
      <w:r w:rsidR="000921BE">
        <w:t xml:space="preserve">depending on BMP type.  See </w:t>
      </w:r>
      <w:r w:rsidR="000921BE" w:rsidRPr="00851327">
        <w:rPr>
          <w:b/>
          <w:color w:val="00B050"/>
        </w:rPr>
        <w:t>BMP Fact Sheets</w:t>
      </w:r>
      <w:r w:rsidR="000921BE">
        <w:t xml:space="preserve"> for BMP-specific guidance on </w:t>
      </w:r>
      <w:r w:rsidR="00043B81">
        <w:t xml:space="preserve">computing </w:t>
      </w:r>
      <w:r w:rsidR="000921BE">
        <w:t xml:space="preserve">drawdown </w:t>
      </w:r>
      <w:r w:rsidR="00043B81">
        <w:t xml:space="preserve">based on system </w:t>
      </w:r>
      <w:r w:rsidR="000921BE">
        <w:t>geometry.</w:t>
      </w:r>
    </w:p>
    <w:p w:rsidR="002F160D" w:rsidRDefault="002F160D" w:rsidP="002F160D">
      <w:pPr>
        <w:pStyle w:val="CDMBTEXT"/>
      </w:pPr>
    </w:p>
    <w:p w:rsidR="004D379D" w:rsidRDefault="004D379D">
      <w:pPr>
        <w:spacing w:after="200"/>
        <w:rPr>
          <w:rFonts w:eastAsia="Times New Roman" w:cs="Times New Roman"/>
          <w:szCs w:val="20"/>
        </w:rPr>
      </w:pPr>
      <w:r>
        <w:br w:type="page"/>
      </w:r>
    </w:p>
    <w:tbl>
      <w:tblPr>
        <w:tblW w:w="49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3"/>
        <w:gridCol w:w="5764"/>
        <w:gridCol w:w="1128"/>
        <w:gridCol w:w="1128"/>
        <w:gridCol w:w="1128"/>
        <w:gridCol w:w="11"/>
      </w:tblGrid>
      <w:tr w:rsidR="004B0AAA" w:rsidRPr="00041077" w:rsidTr="0027571A">
        <w:trPr>
          <w:trHeight w:val="432"/>
        </w:trPr>
        <w:tc>
          <w:tcPr>
            <w:tcW w:w="5000" w:type="pct"/>
            <w:gridSpan w:val="6"/>
            <w:tcBorders>
              <w:top w:val="nil"/>
              <w:left w:val="nil"/>
              <w:right w:val="nil"/>
            </w:tcBorders>
            <w:shd w:val="clear" w:color="auto" w:fill="auto"/>
            <w:noWrap/>
            <w:vAlign w:val="bottom"/>
            <w:hideMark/>
          </w:tcPr>
          <w:p w:rsidR="004B0AAA" w:rsidRPr="00524D76" w:rsidRDefault="004B0AAA" w:rsidP="00647B99">
            <w:pPr>
              <w:pStyle w:val="Caption"/>
            </w:pPr>
            <w:bookmarkStart w:id="178" w:name="_Ref285574542"/>
            <w:bookmarkStart w:id="179" w:name="_Toc288554457"/>
            <w:r w:rsidRPr="00524D76">
              <w:t xml:space="preserve">Worksheet </w:t>
            </w:r>
            <w:r w:rsidR="00126F3D" w:rsidRPr="00524D76">
              <w:rPr>
                <w:rFonts w:cs="Arial"/>
              </w:rPr>
              <w:fldChar w:fldCharType="begin"/>
            </w:r>
            <w:r w:rsidRPr="00524D76">
              <w:rPr>
                <w:rFonts w:cs="Arial"/>
              </w:rPr>
              <w:instrText xml:space="preserve"> SEQ Worksheet \* ALPHABETIC </w:instrText>
            </w:r>
            <w:r w:rsidR="00126F3D" w:rsidRPr="00524D76">
              <w:rPr>
                <w:rFonts w:cs="Arial"/>
              </w:rPr>
              <w:fldChar w:fldCharType="separate"/>
            </w:r>
            <w:r w:rsidR="00126DE5" w:rsidRPr="00524D76">
              <w:rPr>
                <w:rFonts w:cs="Arial"/>
                <w:noProof/>
              </w:rPr>
              <w:t>B</w:t>
            </w:r>
            <w:r w:rsidR="00126F3D" w:rsidRPr="00524D76">
              <w:rPr>
                <w:rFonts w:cs="Arial"/>
              </w:rPr>
              <w:fldChar w:fldCharType="end"/>
            </w:r>
            <w:r w:rsidRPr="00524D76">
              <w:t>: Simple Design Capture Volume Sizing Method</w:t>
            </w:r>
            <w:bookmarkEnd w:id="178"/>
            <w:bookmarkEnd w:id="179"/>
          </w:p>
        </w:tc>
      </w:tr>
      <w:tr w:rsidR="004B0AAA" w:rsidRPr="00041077" w:rsidTr="004B0AAA">
        <w:trPr>
          <w:trHeight w:val="432"/>
        </w:trPr>
        <w:tc>
          <w:tcPr>
            <w:tcW w:w="5000" w:type="pct"/>
            <w:gridSpan w:val="6"/>
            <w:shd w:val="clear" w:color="auto" w:fill="D9D9D9"/>
            <w:noWrap/>
            <w:vAlign w:val="bottom"/>
            <w:hideMark/>
          </w:tcPr>
          <w:p w:rsidR="004B0AAA" w:rsidRPr="00041077" w:rsidRDefault="004B0AAA" w:rsidP="004B0AAA">
            <w:pPr>
              <w:pStyle w:val="ExampleSubheading"/>
              <w:pBdr>
                <w:top w:val="none" w:sz="0" w:space="0" w:color="auto"/>
                <w:left w:val="none" w:sz="0" w:space="0" w:color="auto"/>
                <w:bottom w:val="none" w:sz="0" w:space="0" w:color="auto"/>
                <w:right w:val="none" w:sz="0" w:space="0" w:color="auto"/>
              </w:pBdr>
              <w:shd w:val="clear" w:color="auto" w:fill="D9D9D9"/>
              <w:ind w:left="0"/>
              <w:jc w:val="both"/>
              <w:outlineLvl w:val="0"/>
              <w:rPr>
                <w:rFonts w:ascii="Book Antiqua" w:hAnsi="Book Antiqua"/>
                <w:color w:val="000000"/>
              </w:rPr>
            </w:pPr>
            <w:r w:rsidRPr="00165DDD">
              <w:t xml:space="preserve">Step 1: </w:t>
            </w:r>
            <w:r>
              <w:t>Determine the design capture storm depth used for calculating volume</w:t>
            </w:r>
          </w:p>
        </w:tc>
      </w:tr>
      <w:tr w:rsidR="004B0AAA" w:rsidRPr="00041077" w:rsidTr="004B0AAA">
        <w:trPr>
          <w:gridAfter w:val="1"/>
          <w:wAfter w:w="6" w:type="pct"/>
          <w:trHeight w:val="432"/>
        </w:trPr>
        <w:tc>
          <w:tcPr>
            <w:tcW w:w="170" w:type="pct"/>
            <w:shd w:val="clear" w:color="auto" w:fill="auto"/>
            <w:noWrap/>
            <w:vAlign w:val="bottom"/>
            <w:hideMark/>
          </w:tcPr>
          <w:p w:rsidR="004B0AAA" w:rsidRPr="00041077" w:rsidRDefault="004B0AAA" w:rsidP="004B0AAA">
            <w:pPr>
              <w:spacing w:after="0" w:line="240" w:lineRule="auto"/>
              <w:jc w:val="right"/>
              <w:rPr>
                <w:rFonts w:eastAsia="Times New Roman" w:cs="Times New Roman"/>
                <w:color w:val="000000"/>
              </w:rPr>
            </w:pPr>
            <w:r w:rsidRPr="00041077">
              <w:rPr>
                <w:rFonts w:eastAsia="Times New Roman" w:cs="Times New Roman"/>
                <w:color w:val="000000"/>
              </w:rPr>
              <w:t>1</w:t>
            </w:r>
          </w:p>
        </w:tc>
        <w:tc>
          <w:tcPr>
            <w:tcW w:w="3039" w:type="pct"/>
            <w:shd w:val="clear" w:color="auto" w:fill="auto"/>
            <w:vAlign w:val="bottom"/>
            <w:hideMark/>
          </w:tcPr>
          <w:p w:rsidR="004B0AAA" w:rsidRPr="00165DDD" w:rsidRDefault="004B0AAA" w:rsidP="004B0AAA">
            <w:pPr>
              <w:spacing w:after="0" w:line="240" w:lineRule="auto"/>
              <w:jc w:val="both"/>
              <w:rPr>
                <w:rFonts w:ascii="Arial" w:eastAsia="Times New Roman" w:hAnsi="Arial" w:cs="Arial"/>
                <w:sz w:val="20"/>
                <w:szCs w:val="20"/>
              </w:rPr>
            </w:pPr>
            <w:r w:rsidRPr="00165DDD">
              <w:rPr>
                <w:rFonts w:ascii="Arial" w:eastAsia="Times New Roman" w:hAnsi="Arial" w:cs="Arial"/>
                <w:sz w:val="20"/>
                <w:szCs w:val="20"/>
              </w:rPr>
              <w:t>Enter design capture storm depth from</w:t>
            </w:r>
            <w:r>
              <w:rPr>
                <w:rFonts w:ascii="Arial" w:eastAsia="Times New Roman" w:hAnsi="Arial" w:cs="Arial"/>
                <w:sz w:val="20"/>
                <w:szCs w:val="20"/>
              </w:rPr>
              <w:t xml:space="preserve"> </w:t>
            </w:r>
            <w:r w:rsidR="00126F3D" w:rsidRPr="00126DE5">
              <w:rPr>
                <w:rFonts w:eastAsia="Times New Roman" w:cs="Arial"/>
                <w:b/>
                <w:color w:val="0070C0"/>
                <w:sz w:val="20"/>
                <w:szCs w:val="20"/>
              </w:rPr>
              <w:fldChar w:fldCharType="begin"/>
            </w:r>
            <w:r w:rsidRPr="00126DE5">
              <w:rPr>
                <w:rFonts w:eastAsia="Times New Roman" w:cs="Arial"/>
                <w:b/>
                <w:color w:val="0070C0"/>
                <w:sz w:val="20"/>
                <w:szCs w:val="20"/>
              </w:rPr>
              <w:instrText xml:space="preserve"> REF _Ref285354586 \h </w:instrText>
            </w:r>
            <w:r w:rsidR="00126F3D" w:rsidRPr="00126DE5">
              <w:rPr>
                <w:rFonts w:eastAsia="Times New Roman" w:cs="Arial"/>
                <w:b/>
                <w:color w:val="0070C0"/>
                <w:sz w:val="20"/>
                <w:szCs w:val="20"/>
              </w:rPr>
            </w:r>
            <w:r w:rsidR="00126F3D" w:rsidRPr="00126DE5">
              <w:rPr>
                <w:rFonts w:eastAsia="Times New Roman" w:cs="Arial"/>
                <w:b/>
                <w:color w:val="0070C0"/>
                <w:sz w:val="20"/>
                <w:szCs w:val="20"/>
              </w:rPr>
              <w:fldChar w:fldCharType="separate"/>
            </w:r>
            <w:r w:rsidR="00126DE5" w:rsidRPr="00126DE5">
              <w:rPr>
                <w:b/>
                <w:color w:val="0070C0"/>
              </w:rPr>
              <w:t>Figure </w:t>
            </w:r>
            <w:r w:rsidR="00126DE5" w:rsidRPr="00126DE5">
              <w:rPr>
                <w:b/>
                <w:noProof/>
                <w:color w:val="0070C0"/>
              </w:rPr>
              <w:t>III</w:t>
            </w:r>
            <w:r w:rsidR="00126DE5" w:rsidRPr="00126DE5">
              <w:rPr>
                <w:b/>
                <w:color w:val="0070C0"/>
              </w:rPr>
              <w:t>.</w:t>
            </w:r>
            <w:r w:rsidR="00126DE5" w:rsidRPr="00126DE5">
              <w:rPr>
                <w:b/>
                <w:noProof/>
                <w:color w:val="0070C0"/>
              </w:rPr>
              <w:t>1</w:t>
            </w:r>
            <w:r w:rsidR="00126F3D" w:rsidRPr="00126DE5">
              <w:rPr>
                <w:rFonts w:eastAsia="Times New Roman" w:cs="Arial"/>
                <w:b/>
                <w:color w:val="0070C0"/>
                <w:sz w:val="20"/>
                <w:szCs w:val="20"/>
              </w:rPr>
              <w:fldChar w:fldCharType="end"/>
            </w:r>
            <w:r w:rsidRPr="00165DDD">
              <w:rPr>
                <w:rFonts w:ascii="Arial" w:eastAsia="Times New Roman" w:hAnsi="Arial" w:cs="Arial"/>
                <w:sz w:val="20"/>
                <w:szCs w:val="20"/>
              </w:rPr>
              <w:t xml:space="preserve">, </w:t>
            </w:r>
            <w:r w:rsidRPr="00165DDD">
              <w:rPr>
                <w:rFonts w:ascii="Arial" w:eastAsia="Times New Roman" w:hAnsi="Arial" w:cs="Arial"/>
                <w:i/>
                <w:sz w:val="20"/>
                <w:szCs w:val="20"/>
              </w:rPr>
              <w:t xml:space="preserve">d </w:t>
            </w:r>
            <w:r w:rsidRPr="00165DDD">
              <w:rPr>
                <w:rFonts w:ascii="Arial" w:eastAsia="Times New Roman" w:hAnsi="Arial" w:cs="Arial"/>
                <w:sz w:val="20"/>
                <w:szCs w:val="20"/>
              </w:rPr>
              <w:t>(inches)</w:t>
            </w:r>
          </w:p>
        </w:tc>
        <w:tc>
          <w:tcPr>
            <w:tcW w:w="595" w:type="pct"/>
            <w:vAlign w:val="center"/>
          </w:tcPr>
          <w:p w:rsidR="004B0AAA" w:rsidRPr="00165DDD" w:rsidRDefault="004B0AAA" w:rsidP="004B0AAA">
            <w:pPr>
              <w:spacing w:after="0" w:line="240" w:lineRule="auto"/>
              <w:jc w:val="right"/>
              <w:rPr>
                <w:rFonts w:ascii="Arial" w:eastAsia="Times New Roman" w:hAnsi="Arial" w:cs="Arial"/>
                <w:sz w:val="20"/>
                <w:szCs w:val="20"/>
              </w:rPr>
            </w:pPr>
            <w:r w:rsidRPr="00165DDD">
              <w:rPr>
                <w:rFonts w:ascii="Arial" w:eastAsia="Times New Roman" w:hAnsi="Arial" w:cs="Arial"/>
                <w:sz w:val="20"/>
                <w:szCs w:val="20"/>
              </w:rPr>
              <w:t>d=</w:t>
            </w:r>
          </w:p>
        </w:tc>
        <w:tc>
          <w:tcPr>
            <w:tcW w:w="595" w:type="pct"/>
          </w:tcPr>
          <w:p w:rsidR="004B0AAA" w:rsidRPr="00165DDD" w:rsidRDefault="004B0AAA" w:rsidP="004B0AAA">
            <w:pPr>
              <w:spacing w:after="0" w:line="240" w:lineRule="auto"/>
              <w:rPr>
                <w:rFonts w:ascii="Arial" w:eastAsia="Times New Roman" w:hAnsi="Arial" w:cs="Arial"/>
                <w:sz w:val="20"/>
                <w:szCs w:val="20"/>
              </w:rPr>
            </w:pPr>
          </w:p>
        </w:tc>
        <w:tc>
          <w:tcPr>
            <w:tcW w:w="595" w:type="pct"/>
            <w:vAlign w:val="center"/>
          </w:tcPr>
          <w:p w:rsidR="004B0AAA" w:rsidRPr="00165DDD" w:rsidRDefault="004B0AAA" w:rsidP="004B0AAA">
            <w:pPr>
              <w:spacing w:after="0" w:line="240" w:lineRule="auto"/>
              <w:rPr>
                <w:rFonts w:ascii="Arial" w:eastAsia="Times New Roman" w:hAnsi="Arial" w:cs="Arial"/>
                <w:sz w:val="20"/>
                <w:szCs w:val="20"/>
              </w:rPr>
            </w:pPr>
            <w:r w:rsidRPr="00165DDD">
              <w:rPr>
                <w:rFonts w:ascii="Arial" w:eastAsia="Times New Roman" w:hAnsi="Arial" w:cs="Arial"/>
                <w:sz w:val="20"/>
                <w:szCs w:val="20"/>
              </w:rPr>
              <w:t>inches</w:t>
            </w:r>
          </w:p>
        </w:tc>
      </w:tr>
      <w:tr w:rsidR="004B0AAA" w:rsidRPr="00041077" w:rsidTr="004B0AAA">
        <w:trPr>
          <w:gridAfter w:val="1"/>
          <w:wAfter w:w="6" w:type="pct"/>
          <w:trHeight w:val="432"/>
        </w:trPr>
        <w:tc>
          <w:tcPr>
            <w:tcW w:w="170" w:type="pct"/>
            <w:shd w:val="clear" w:color="auto" w:fill="auto"/>
            <w:noWrap/>
            <w:vAlign w:val="bottom"/>
            <w:hideMark/>
          </w:tcPr>
          <w:p w:rsidR="004B0AAA" w:rsidRPr="00041077" w:rsidRDefault="004B0AAA" w:rsidP="004B0AAA">
            <w:pPr>
              <w:spacing w:after="0" w:line="240" w:lineRule="auto"/>
              <w:jc w:val="right"/>
              <w:rPr>
                <w:rFonts w:eastAsia="Times New Roman" w:cs="Times New Roman"/>
                <w:color w:val="000000"/>
              </w:rPr>
            </w:pPr>
            <w:r>
              <w:rPr>
                <w:rFonts w:eastAsia="Times New Roman" w:cs="Times New Roman"/>
                <w:color w:val="000000"/>
              </w:rPr>
              <w:t>2</w:t>
            </w:r>
          </w:p>
        </w:tc>
        <w:tc>
          <w:tcPr>
            <w:tcW w:w="3039" w:type="pct"/>
            <w:shd w:val="clear" w:color="auto" w:fill="auto"/>
            <w:vAlign w:val="bottom"/>
            <w:hideMark/>
          </w:tcPr>
          <w:p w:rsidR="004B0AAA" w:rsidRDefault="004B0AAA" w:rsidP="004B0AAA">
            <w:pPr>
              <w:spacing w:after="0" w:line="240" w:lineRule="auto"/>
              <w:jc w:val="both"/>
              <w:rPr>
                <w:rFonts w:ascii="Arial" w:eastAsia="Times New Roman" w:hAnsi="Arial" w:cs="Arial"/>
                <w:sz w:val="20"/>
                <w:szCs w:val="20"/>
              </w:rPr>
            </w:pPr>
            <w:r w:rsidRPr="00165DDD">
              <w:rPr>
                <w:rFonts w:ascii="Arial" w:eastAsia="Times New Roman" w:hAnsi="Arial" w:cs="Arial"/>
                <w:sz w:val="20"/>
                <w:szCs w:val="20"/>
              </w:rPr>
              <w:t xml:space="preserve">Enter the effect of provided HSCs, </w:t>
            </w:r>
            <w:r w:rsidRPr="00165DDD">
              <w:rPr>
                <w:rFonts w:ascii="Arial" w:eastAsia="Times New Roman" w:hAnsi="Arial" w:cs="Arial"/>
                <w:i/>
                <w:sz w:val="20"/>
                <w:szCs w:val="20"/>
              </w:rPr>
              <w:t>d</w:t>
            </w:r>
            <w:r w:rsidRPr="00165DDD">
              <w:rPr>
                <w:rFonts w:ascii="Arial" w:eastAsia="Times New Roman" w:hAnsi="Arial" w:cs="Arial"/>
                <w:i/>
                <w:sz w:val="20"/>
                <w:szCs w:val="20"/>
                <w:vertAlign w:val="subscript"/>
              </w:rPr>
              <w:t>HSC</w:t>
            </w:r>
            <w:r w:rsidRPr="00165DDD">
              <w:rPr>
                <w:rFonts w:ascii="Arial" w:eastAsia="Times New Roman" w:hAnsi="Arial" w:cs="Arial"/>
                <w:i/>
                <w:sz w:val="20"/>
                <w:szCs w:val="20"/>
              </w:rPr>
              <w:t xml:space="preserve"> </w:t>
            </w:r>
            <w:r w:rsidRPr="00165DDD">
              <w:rPr>
                <w:rFonts w:ascii="Arial" w:eastAsia="Times New Roman" w:hAnsi="Arial" w:cs="Arial"/>
                <w:sz w:val="20"/>
                <w:szCs w:val="20"/>
              </w:rPr>
              <w:t>(inches)</w:t>
            </w:r>
            <w:r>
              <w:rPr>
                <w:rFonts w:ascii="Arial" w:eastAsia="Times New Roman" w:hAnsi="Arial" w:cs="Arial"/>
                <w:sz w:val="20"/>
                <w:szCs w:val="20"/>
              </w:rPr>
              <w:t xml:space="preserve"> </w:t>
            </w:r>
          </w:p>
          <w:p w:rsidR="004B0AAA" w:rsidRPr="00165DDD" w:rsidRDefault="004B0AAA" w:rsidP="004B0AAA">
            <w:pPr>
              <w:spacing w:after="0" w:line="240" w:lineRule="auto"/>
              <w:jc w:val="both"/>
              <w:rPr>
                <w:rFonts w:ascii="Arial" w:eastAsia="Times New Roman" w:hAnsi="Arial" w:cs="Arial"/>
                <w:sz w:val="20"/>
                <w:szCs w:val="20"/>
              </w:rPr>
            </w:pPr>
            <w:r>
              <w:rPr>
                <w:rFonts w:ascii="Arial" w:eastAsia="Times New Roman" w:hAnsi="Arial" w:cs="Arial"/>
                <w:sz w:val="20"/>
                <w:szCs w:val="20"/>
              </w:rPr>
              <w:t>(</w:t>
            </w:r>
            <w:r w:rsidR="00126F3D" w:rsidRPr="00126DE5">
              <w:rPr>
                <w:rFonts w:eastAsia="Times New Roman" w:cs="Arial"/>
                <w:b/>
                <w:color w:val="0070C0"/>
                <w:sz w:val="20"/>
                <w:szCs w:val="20"/>
              </w:rPr>
              <w:fldChar w:fldCharType="begin"/>
            </w:r>
            <w:r w:rsidRPr="00126DE5">
              <w:rPr>
                <w:rFonts w:eastAsia="Times New Roman" w:cs="Arial"/>
                <w:b/>
                <w:color w:val="0070C0"/>
                <w:sz w:val="20"/>
                <w:szCs w:val="20"/>
              </w:rPr>
              <w:instrText xml:space="preserve"> REF _Ref285398327 \h </w:instrText>
            </w:r>
            <w:r w:rsidR="00126F3D" w:rsidRPr="00126DE5">
              <w:rPr>
                <w:rFonts w:eastAsia="Times New Roman" w:cs="Arial"/>
                <w:b/>
                <w:color w:val="0070C0"/>
                <w:sz w:val="20"/>
                <w:szCs w:val="20"/>
              </w:rPr>
            </w:r>
            <w:r w:rsidR="00126F3D" w:rsidRPr="00126DE5">
              <w:rPr>
                <w:rFonts w:eastAsia="Times New Roman" w:cs="Arial"/>
                <w:b/>
                <w:color w:val="0070C0"/>
                <w:sz w:val="20"/>
                <w:szCs w:val="20"/>
              </w:rPr>
              <w:fldChar w:fldCharType="separate"/>
            </w:r>
            <w:r w:rsidR="00126DE5" w:rsidRPr="00126DE5">
              <w:rPr>
                <w:b/>
                <w:color w:val="0070C0"/>
              </w:rPr>
              <w:t xml:space="preserve">Worksheet </w:t>
            </w:r>
            <w:r w:rsidR="00126DE5" w:rsidRPr="00126DE5">
              <w:rPr>
                <w:b/>
                <w:noProof/>
                <w:color w:val="0070C0"/>
              </w:rPr>
              <w:t>A</w:t>
            </w:r>
            <w:r w:rsidR="00126F3D" w:rsidRPr="00126DE5">
              <w:rPr>
                <w:rFonts w:eastAsia="Times New Roman" w:cs="Arial"/>
                <w:b/>
                <w:color w:val="0070C0"/>
                <w:sz w:val="20"/>
                <w:szCs w:val="20"/>
              </w:rPr>
              <w:fldChar w:fldCharType="end"/>
            </w:r>
            <w:r>
              <w:rPr>
                <w:rFonts w:ascii="Arial" w:eastAsia="Times New Roman" w:hAnsi="Arial" w:cs="Arial"/>
                <w:sz w:val="20"/>
                <w:szCs w:val="20"/>
              </w:rPr>
              <w:t>)</w:t>
            </w:r>
          </w:p>
        </w:tc>
        <w:tc>
          <w:tcPr>
            <w:tcW w:w="595" w:type="pct"/>
            <w:vAlign w:val="center"/>
          </w:tcPr>
          <w:p w:rsidR="004B0AAA" w:rsidRPr="00165DDD" w:rsidRDefault="004B0AAA" w:rsidP="004B0AAA">
            <w:pPr>
              <w:spacing w:after="0" w:line="240" w:lineRule="auto"/>
              <w:jc w:val="right"/>
              <w:rPr>
                <w:rFonts w:ascii="Arial" w:eastAsia="Times New Roman" w:hAnsi="Arial" w:cs="Arial"/>
                <w:sz w:val="20"/>
                <w:szCs w:val="20"/>
              </w:rPr>
            </w:pPr>
            <w:r w:rsidRPr="00165DDD">
              <w:rPr>
                <w:rFonts w:ascii="Arial" w:eastAsia="Times New Roman" w:hAnsi="Arial" w:cs="Arial"/>
                <w:sz w:val="20"/>
                <w:szCs w:val="20"/>
              </w:rPr>
              <w:t>d</w:t>
            </w:r>
            <w:r w:rsidRPr="00165DDD">
              <w:rPr>
                <w:rFonts w:ascii="Arial" w:eastAsia="Times New Roman" w:hAnsi="Arial" w:cs="Arial"/>
                <w:sz w:val="20"/>
                <w:szCs w:val="20"/>
                <w:vertAlign w:val="subscript"/>
              </w:rPr>
              <w:t>HSC</w:t>
            </w:r>
            <w:r w:rsidRPr="00165DDD">
              <w:rPr>
                <w:rFonts w:ascii="Arial" w:eastAsia="Times New Roman" w:hAnsi="Arial" w:cs="Arial"/>
                <w:sz w:val="20"/>
                <w:szCs w:val="20"/>
              </w:rPr>
              <w:t>=</w:t>
            </w:r>
          </w:p>
        </w:tc>
        <w:tc>
          <w:tcPr>
            <w:tcW w:w="595" w:type="pct"/>
          </w:tcPr>
          <w:p w:rsidR="004B0AAA" w:rsidRPr="00165DDD" w:rsidRDefault="004B0AAA" w:rsidP="004B0AAA">
            <w:pPr>
              <w:spacing w:after="0" w:line="240" w:lineRule="auto"/>
              <w:rPr>
                <w:rFonts w:ascii="Arial" w:eastAsia="Times New Roman" w:hAnsi="Arial" w:cs="Arial"/>
                <w:sz w:val="20"/>
                <w:szCs w:val="20"/>
              </w:rPr>
            </w:pPr>
          </w:p>
        </w:tc>
        <w:tc>
          <w:tcPr>
            <w:tcW w:w="595" w:type="pct"/>
            <w:vAlign w:val="center"/>
          </w:tcPr>
          <w:p w:rsidR="004B0AAA" w:rsidRPr="00165DDD" w:rsidRDefault="004B0AAA" w:rsidP="004B0AAA">
            <w:pPr>
              <w:spacing w:after="0" w:line="240" w:lineRule="auto"/>
              <w:rPr>
                <w:rFonts w:ascii="Arial" w:eastAsia="Times New Roman" w:hAnsi="Arial" w:cs="Arial"/>
                <w:sz w:val="20"/>
                <w:szCs w:val="20"/>
              </w:rPr>
            </w:pPr>
            <w:r w:rsidRPr="00165DDD">
              <w:rPr>
                <w:rFonts w:ascii="Arial" w:eastAsia="Times New Roman" w:hAnsi="Arial" w:cs="Arial"/>
                <w:sz w:val="20"/>
                <w:szCs w:val="20"/>
              </w:rPr>
              <w:t>inches</w:t>
            </w:r>
          </w:p>
        </w:tc>
      </w:tr>
      <w:tr w:rsidR="004B0AAA" w:rsidRPr="00041077" w:rsidTr="004B0AAA">
        <w:trPr>
          <w:gridAfter w:val="1"/>
          <w:wAfter w:w="6" w:type="pct"/>
          <w:trHeight w:val="432"/>
        </w:trPr>
        <w:tc>
          <w:tcPr>
            <w:tcW w:w="170" w:type="pct"/>
            <w:shd w:val="clear" w:color="auto" w:fill="auto"/>
            <w:noWrap/>
            <w:vAlign w:val="bottom"/>
            <w:hideMark/>
          </w:tcPr>
          <w:p w:rsidR="004B0AAA" w:rsidRPr="00041077" w:rsidRDefault="004B0AAA" w:rsidP="004B0AAA">
            <w:pPr>
              <w:spacing w:after="0" w:line="240" w:lineRule="auto"/>
              <w:jc w:val="right"/>
              <w:rPr>
                <w:rFonts w:eastAsia="Times New Roman" w:cs="Times New Roman"/>
                <w:color w:val="000000"/>
              </w:rPr>
            </w:pPr>
            <w:r>
              <w:rPr>
                <w:rFonts w:eastAsia="Times New Roman" w:cs="Times New Roman"/>
                <w:color w:val="000000"/>
              </w:rPr>
              <w:t>3</w:t>
            </w:r>
          </w:p>
        </w:tc>
        <w:tc>
          <w:tcPr>
            <w:tcW w:w="3039" w:type="pct"/>
            <w:shd w:val="clear" w:color="auto" w:fill="auto"/>
            <w:vAlign w:val="bottom"/>
            <w:hideMark/>
          </w:tcPr>
          <w:p w:rsidR="004B0AAA" w:rsidRPr="00165DDD" w:rsidRDefault="004B0AAA" w:rsidP="004B0AAA">
            <w:pPr>
              <w:spacing w:after="0" w:line="240" w:lineRule="auto"/>
              <w:jc w:val="both"/>
              <w:rPr>
                <w:rFonts w:ascii="Arial" w:eastAsia="Times New Roman" w:hAnsi="Arial" w:cs="Arial"/>
                <w:sz w:val="20"/>
                <w:szCs w:val="20"/>
              </w:rPr>
            </w:pPr>
            <w:r>
              <w:rPr>
                <w:rFonts w:eastAsia="Calibri" w:cs="Times New Roman"/>
              </w:rPr>
              <w:t xml:space="preserve">Calculate the remainder of the design capture storm depth, </w:t>
            </w:r>
            <w:proofErr w:type="spellStart"/>
            <w:r w:rsidRPr="00165DDD">
              <w:rPr>
                <w:rFonts w:eastAsia="Calibri" w:cs="Times New Roman"/>
                <w:i/>
              </w:rPr>
              <w:t>d</w:t>
            </w:r>
            <w:r w:rsidRPr="00165DDD">
              <w:rPr>
                <w:rFonts w:eastAsia="Calibri" w:cs="Times New Roman"/>
                <w:i/>
                <w:vertAlign w:val="subscript"/>
              </w:rPr>
              <w:t>remainder</w:t>
            </w:r>
            <w:proofErr w:type="spellEnd"/>
            <w:r>
              <w:rPr>
                <w:rFonts w:eastAsia="Calibri" w:cs="Times New Roman"/>
              </w:rPr>
              <w:t xml:space="preserve"> (inches)</w:t>
            </w:r>
            <w:r>
              <w:t xml:space="preserve"> (Line 1 – Line 2)</w:t>
            </w:r>
          </w:p>
        </w:tc>
        <w:tc>
          <w:tcPr>
            <w:tcW w:w="595" w:type="pct"/>
            <w:vAlign w:val="center"/>
          </w:tcPr>
          <w:p w:rsidR="004B0AAA" w:rsidRPr="00165DDD" w:rsidRDefault="004B0AAA" w:rsidP="004B0AAA">
            <w:pPr>
              <w:spacing w:after="0" w:line="240" w:lineRule="auto"/>
              <w:jc w:val="right"/>
              <w:rPr>
                <w:rFonts w:ascii="Arial" w:eastAsia="Times New Roman" w:hAnsi="Arial" w:cs="Arial"/>
                <w:sz w:val="20"/>
                <w:szCs w:val="20"/>
              </w:rPr>
            </w:pPr>
            <w:proofErr w:type="spellStart"/>
            <w:r w:rsidRPr="00165DDD">
              <w:rPr>
                <w:rFonts w:ascii="Arial" w:eastAsia="Times New Roman" w:hAnsi="Arial" w:cs="Arial"/>
                <w:sz w:val="20"/>
                <w:szCs w:val="20"/>
              </w:rPr>
              <w:t>d</w:t>
            </w:r>
            <w:r>
              <w:rPr>
                <w:rFonts w:ascii="Arial" w:eastAsia="Times New Roman" w:hAnsi="Arial" w:cs="Arial"/>
                <w:sz w:val="20"/>
                <w:szCs w:val="20"/>
                <w:vertAlign w:val="subscript"/>
              </w:rPr>
              <w:t>remainder</w:t>
            </w:r>
            <w:proofErr w:type="spellEnd"/>
            <w:r>
              <w:rPr>
                <w:rFonts w:ascii="Arial" w:eastAsia="Times New Roman" w:hAnsi="Arial" w:cs="Arial"/>
                <w:sz w:val="20"/>
                <w:szCs w:val="20"/>
              </w:rPr>
              <w:t>=</w:t>
            </w:r>
          </w:p>
        </w:tc>
        <w:tc>
          <w:tcPr>
            <w:tcW w:w="595" w:type="pct"/>
          </w:tcPr>
          <w:p w:rsidR="004B0AAA" w:rsidRPr="00165DDD" w:rsidRDefault="004B0AAA" w:rsidP="004B0AAA">
            <w:pPr>
              <w:spacing w:after="0" w:line="240" w:lineRule="auto"/>
              <w:rPr>
                <w:rFonts w:ascii="Arial" w:eastAsia="Times New Roman" w:hAnsi="Arial" w:cs="Arial"/>
                <w:sz w:val="20"/>
                <w:szCs w:val="20"/>
              </w:rPr>
            </w:pPr>
          </w:p>
        </w:tc>
        <w:tc>
          <w:tcPr>
            <w:tcW w:w="595" w:type="pct"/>
            <w:vAlign w:val="center"/>
          </w:tcPr>
          <w:p w:rsidR="004B0AAA" w:rsidRPr="00165DDD" w:rsidRDefault="004B0AAA" w:rsidP="004B0AAA">
            <w:pPr>
              <w:spacing w:after="0" w:line="240" w:lineRule="auto"/>
              <w:rPr>
                <w:rFonts w:ascii="Arial" w:eastAsia="Times New Roman" w:hAnsi="Arial" w:cs="Arial"/>
                <w:sz w:val="20"/>
                <w:szCs w:val="20"/>
              </w:rPr>
            </w:pPr>
            <w:r>
              <w:rPr>
                <w:rFonts w:ascii="Arial" w:eastAsia="Times New Roman" w:hAnsi="Arial" w:cs="Arial"/>
                <w:sz w:val="20"/>
                <w:szCs w:val="20"/>
              </w:rPr>
              <w:t>inches</w:t>
            </w:r>
          </w:p>
        </w:tc>
      </w:tr>
      <w:tr w:rsidR="004B0AAA" w:rsidRPr="00041077" w:rsidTr="004B0AAA">
        <w:trPr>
          <w:trHeight w:val="432"/>
        </w:trPr>
        <w:tc>
          <w:tcPr>
            <w:tcW w:w="5000" w:type="pct"/>
            <w:gridSpan w:val="6"/>
            <w:shd w:val="clear" w:color="auto" w:fill="D9D9D9"/>
            <w:noWrap/>
            <w:vAlign w:val="bottom"/>
            <w:hideMark/>
          </w:tcPr>
          <w:p w:rsidR="004B0AAA" w:rsidRPr="00041077" w:rsidRDefault="004B0AAA" w:rsidP="004B0AAA">
            <w:pPr>
              <w:pStyle w:val="ExampleSubheading"/>
              <w:pBdr>
                <w:top w:val="none" w:sz="0" w:space="0" w:color="auto"/>
                <w:left w:val="none" w:sz="0" w:space="0" w:color="auto"/>
                <w:bottom w:val="none" w:sz="0" w:space="0" w:color="auto"/>
                <w:right w:val="none" w:sz="0" w:space="0" w:color="auto"/>
              </w:pBdr>
              <w:shd w:val="clear" w:color="auto" w:fill="D9D9D9"/>
              <w:ind w:left="0"/>
              <w:jc w:val="both"/>
              <w:outlineLvl w:val="0"/>
              <w:rPr>
                <w:rFonts w:ascii="Book Antiqua" w:hAnsi="Book Antiqua"/>
                <w:color w:val="000000"/>
              </w:rPr>
            </w:pPr>
            <w:r>
              <w:t xml:space="preserve">Step 2: Calculate the </w:t>
            </w:r>
            <w:r w:rsidR="003C7091">
              <w:t>DCV</w:t>
            </w:r>
          </w:p>
        </w:tc>
      </w:tr>
      <w:tr w:rsidR="004B0AAA" w:rsidRPr="00041077" w:rsidTr="004B0AAA">
        <w:trPr>
          <w:gridAfter w:val="1"/>
          <w:wAfter w:w="6" w:type="pct"/>
          <w:trHeight w:val="432"/>
        </w:trPr>
        <w:tc>
          <w:tcPr>
            <w:tcW w:w="170" w:type="pct"/>
            <w:shd w:val="clear" w:color="auto" w:fill="auto"/>
            <w:noWrap/>
            <w:vAlign w:val="bottom"/>
            <w:hideMark/>
          </w:tcPr>
          <w:p w:rsidR="004B0AAA" w:rsidRPr="00041077" w:rsidRDefault="004B0AAA" w:rsidP="004B0AAA">
            <w:pPr>
              <w:spacing w:after="0" w:line="240" w:lineRule="auto"/>
              <w:jc w:val="right"/>
              <w:rPr>
                <w:rFonts w:eastAsia="Times New Roman" w:cs="Times New Roman"/>
                <w:color w:val="000000"/>
              </w:rPr>
            </w:pPr>
            <w:r>
              <w:rPr>
                <w:rFonts w:eastAsia="Times New Roman" w:cs="Times New Roman"/>
                <w:color w:val="000000"/>
              </w:rPr>
              <w:t>1</w:t>
            </w:r>
          </w:p>
        </w:tc>
        <w:tc>
          <w:tcPr>
            <w:tcW w:w="3039" w:type="pct"/>
            <w:shd w:val="clear" w:color="auto" w:fill="auto"/>
            <w:vAlign w:val="bottom"/>
            <w:hideMark/>
          </w:tcPr>
          <w:p w:rsidR="004B0AAA" w:rsidRPr="00165DDD" w:rsidRDefault="004B0AAA" w:rsidP="004B0AAA">
            <w:pPr>
              <w:spacing w:after="0" w:line="240" w:lineRule="auto"/>
              <w:jc w:val="both"/>
              <w:rPr>
                <w:rFonts w:ascii="Arial" w:eastAsia="Times New Roman" w:hAnsi="Arial" w:cs="Arial"/>
                <w:sz w:val="20"/>
                <w:szCs w:val="20"/>
              </w:rPr>
            </w:pPr>
            <w:r w:rsidRPr="00165DDD">
              <w:rPr>
                <w:rFonts w:ascii="Arial" w:eastAsia="Times New Roman" w:hAnsi="Arial" w:cs="Arial"/>
                <w:sz w:val="20"/>
                <w:szCs w:val="20"/>
              </w:rPr>
              <w:t xml:space="preserve">Enter Project area tributary to BMP (s), </w:t>
            </w:r>
            <w:r w:rsidRPr="00165DDD">
              <w:rPr>
                <w:rFonts w:ascii="Arial" w:eastAsia="Times New Roman" w:hAnsi="Arial" w:cs="Arial"/>
                <w:i/>
                <w:sz w:val="20"/>
                <w:szCs w:val="20"/>
              </w:rPr>
              <w:t>A</w:t>
            </w:r>
            <w:r w:rsidRPr="00165DDD">
              <w:rPr>
                <w:rFonts w:ascii="Arial" w:eastAsia="Times New Roman" w:hAnsi="Arial" w:cs="Arial"/>
                <w:sz w:val="20"/>
                <w:szCs w:val="20"/>
              </w:rPr>
              <w:t xml:space="preserve"> (acres)</w:t>
            </w:r>
          </w:p>
        </w:tc>
        <w:tc>
          <w:tcPr>
            <w:tcW w:w="595" w:type="pct"/>
            <w:vAlign w:val="center"/>
          </w:tcPr>
          <w:p w:rsidR="004B0AAA" w:rsidRPr="00165DDD" w:rsidRDefault="004B0AAA" w:rsidP="004B0AAA">
            <w:pPr>
              <w:spacing w:after="0" w:line="240" w:lineRule="auto"/>
              <w:jc w:val="right"/>
              <w:rPr>
                <w:rFonts w:ascii="Arial" w:eastAsia="Times New Roman" w:hAnsi="Arial" w:cs="Arial"/>
                <w:sz w:val="20"/>
                <w:szCs w:val="20"/>
              </w:rPr>
            </w:pPr>
            <w:r w:rsidRPr="00165DDD">
              <w:rPr>
                <w:rFonts w:ascii="Arial" w:eastAsia="Times New Roman" w:hAnsi="Arial" w:cs="Arial"/>
                <w:sz w:val="20"/>
                <w:szCs w:val="20"/>
              </w:rPr>
              <w:t>A=</w:t>
            </w:r>
          </w:p>
        </w:tc>
        <w:tc>
          <w:tcPr>
            <w:tcW w:w="595" w:type="pct"/>
          </w:tcPr>
          <w:p w:rsidR="004B0AAA" w:rsidRPr="00041077" w:rsidRDefault="004B0AAA" w:rsidP="004B0AAA">
            <w:pPr>
              <w:spacing w:after="0" w:line="240" w:lineRule="auto"/>
              <w:ind w:firstLineChars="500" w:firstLine="1100"/>
              <w:rPr>
                <w:rFonts w:eastAsia="Times New Roman" w:cs="Times New Roman"/>
                <w:color w:val="000000"/>
              </w:rPr>
            </w:pPr>
          </w:p>
        </w:tc>
        <w:tc>
          <w:tcPr>
            <w:tcW w:w="595" w:type="pct"/>
            <w:vAlign w:val="center"/>
          </w:tcPr>
          <w:p w:rsidR="004B0AAA" w:rsidRPr="00165DDD" w:rsidRDefault="004B0AAA" w:rsidP="004B0AAA">
            <w:pPr>
              <w:spacing w:after="0" w:line="240" w:lineRule="auto"/>
              <w:rPr>
                <w:rFonts w:ascii="Arial" w:eastAsia="Times New Roman" w:hAnsi="Arial" w:cs="Arial"/>
                <w:sz w:val="20"/>
                <w:szCs w:val="20"/>
              </w:rPr>
            </w:pPr>
            <w:r>
              <w:rPr>
                <w:rFonts w:ascii="Arial" w:eastAsia="Times New Roman" w:hAnsi="Arial" w:cs="Arial"/>
                <w:sz w:val="20"/>
                <w:szCs w:val="20"/>
              </w:rPr>
              <w:t>acres</w:t>
            </w:r>
          </w:p>
        </w:tc>
      </w:tr>
      <w:tr w:rsidR="004B0AAA" w:rsidRPr="00041077" w:rsidTr="004B0AAA">
        <w:trPr>
          <w:gridAfter w:val="1"/>
          <w:wAfter w:w="6" w:type="pct"/>
          <w:trHeight w:val="432"/>
        </w:trPr>
        <w:tc>
          <w:tcPr>
            <w:tcW w:w="170" w:type="pct"/>
            <w:shd w:val="clear" w:color="auto" w:fill="auto"/>
            <w:noWrap/>
            <w:vAlign w:val="bottom"/>
            <w:hideMark/>
          </w:tcPr>
          <w:p w:rsidR="004B0AAA" w:rsidRPr="00041077" w:rsidRDefault="004B0AAA" w:rsidP="004B0AAA">
            <w:pPr>
              <w:spacing w:after="0" w:line="240" w:lineRule="auto"/>
              <w:jc w:val="right"/>
              <w:rPr>
                <w:rFonts w:eastAsia="Times New Roman" w:cs="Times New Roman"/>
                <w:color w:val="000000"/>
              </w:rPr>
            </w:pPr>
            <w:r>
              <w:rPr>
                <w:rFonts w:eastAsia="Times New Roman" w:cs="Times New Roman"/>
                <w:color w:val="000000"/>
              </w:rPr>
              <w:t>2</w:t>
            </w:r>
          </w:p>
        </w:tc>
        <w:tc>
          <w:tcPr>
            <w:tcW w:w="3039" w:type="pct"/>
            <w:shd w:val="clear" w:color="auto" w:fill="auto"/>
            <w:vAlign w:val="bottom"/>
            <w:hideMark/>
          </w:tcPr>
          <w:p w:rsidR="004B0AAA" w:rsidRPr="00165DDD" w:rsidRDefault="004B0AAA" w:rsidP="004B0AAA">
            <w:pPr>
              <w:spacing w:after="0" w:line="240" w:lineRule="auto"/>
              <w:jc w:val="both"/>
              <w:rPr>
                <w:rFonts w:ascii="Arial" w:eastAsia="Times New Roman" w:hAnsi="Arial" w:cs="Arial"/>
                <w:sz w:val="20"/>
                <w:szCs w:val="20"/>
              </w:rPr>
            </w:pPr>
            <w:r w:rsidRPr="00165DDD">
              <w:rPr>
                <w:rFonts w:eastAsia="Calibri" w:cs="Times New Roman"/>
              </w:rPr>
              <w:t xml:space="preserve">Enter Project Imperviousness, </w:t>
            </w:r>
            <w:r w:rsidRPr="00165DDD">
              <w:rPr>
                <w:rFonts w:eastAsia="Calibri" w:cs="Times New Roman"/>
                <w:i/>
              </w:rPr>
              <w:t>imp</w:t>
            </w:r>
            <w:r w:rsidRPr="00165DDD">
              <w:rPr>
                <w:rFonts w:eastAsia="Calibri" w:cs="Times New Roman"/>
              </w:rPr>
              <w:t xml:space="preserve"> (unitless) </w:t>
            </w:r>
          </w:p>
        </w:tc>
        <w:tc>
          <w:tcPr>
            <w:tcW w:w="595" w:type="pct"/>
            <w:vAlign w:val="center"/>
          </w:tcPr>
          <w:p w:rsidR="004B0AAA" w:rsidRPr="00165DDD" w:rsidRDefault="004B0AAA" w:rsidP="004B0AAA">
            <w:pPr>
              <w:spacing w:after="0" w:line="240" w:lineRule="auto"/>
              <w:jc w:val="right"/>
              <w:rPr>
                <w:rFonts w:ascii="Arial" w:eastAsia="Times New Roman" w:hAnsi="Arial" w:cs="Arial"/>
                <w:sz w:val="20"/>
                <w:szCs w:val="20"/>
              </w:rPr>
            </w:pPr>
            <w:r>
              <w:rPr>
                <w:rFonts w:ascii="Arial" w:eastAsia="Times New Roman" w:hAnsi="Arial" w:cs="Arial"/>
                <w:sz w:val="20"/>
                <w:szCs w:val="20"/>
              </w:rPr>
              <w:t>imp=</w:t>
            </w:r>
          </w:p>
        </w:tc>
        <w:tc>
          <w:tcPr>
            <w:tcW w:w="595" w:type="pct"/>
          </w:tcPr>
          <w:p w:rsidR="004B0AAA" w:rsidRPr="00041077" w:rsidRDefault="004B0AAA" w:rsidP="004B0AAA">
            <w:pPr>
              <w:spacing w:after="0" w:line="240" w:lineRule="auto"/>
              <w:ind w:firstLineChars="500" w:firstLine="1100"/>
              <w:rPr>
                <w:rFonts w:eastAsia="Times New Roman" w:cs="Times New Roman"/>
                <w:color w:val="000000"/>
              </w:rPr>
            </w:pPr>
          </w:p>
        </w:tc>
        <w:tc>
          <w:tcPr>
            <w:tcW w:w="595" w:type="pct"/>
            <w:vAlign w:val="center"/>
          </w:tcPr>
          <w:p w:rsidR="004B0AAA" w:rsidRPr="00165DDD" w:rsidRDefault="004B0AAA" w:rsidP="004B0AAA">
            <w:pPr>
              <w:spacing w:after="0" w:line="240" w:lineRule="auto"/>
              <w:rPr>
                <w:rFonts w:ascii="Arial" w:eastAsia="Times New Roman" w:hAnsi="Arial" w:cs="Arial"/>
                <w:sz w:val="20"/>
                <w:szCs w:val="20"/>
              </w:rPr>
            </w:pPr>
          </w:p>
        </w:tc>
      </w:tr>
      <w:tr w:rsidR="004B0AAA" w:rsidRPr="00041077" w:rsidTr="004B0AAA">
        <w:trPr>
          <w:gridAfter w:val="1"/>
          <w:wAfter w:w="6" w:type="pct"/>
          <w:trHeight w:val="432"/>
        </w:trPr>
        <w:tc>
          <w:tcPr>
            <w:tcW w:w="170" w:type="pct"/>
            <w:shd w:val="clear" w:color="auto" w:fill="auto"/>
            <w:noWrap/>
            <w:vAlign w:val="bottom"/>
            <w:hideMark/>
          </w:tcPr>
          <w:p w:rsidR="004B0AAA" w:rsidRPr="00041077" w:rsidRDefault="004B0AAA" w:rsidP="004B0AAA">
            <w:pPr>
              <w:spacing w:after="0" w:line="240" w:lineRule="auto"/>
              <w:jc w:val="right"/>
              <w:rPr>
                <w:rFonts w:eastAsia="Times New Roman" w:cs="Times New Roman"/>
                <w:color w:val="000000"/>
              </w:rPr>
            </w:pPr>
            <w:r>
              <w:rPr>
                <w:rFonts w:eastAsia="Times New Roman" w:cs="Times New Roman"/>
                <w:color w:val="000000"/>
              </w:rPr>
              <w:t>3</w:t>
            </w:r>
          </w:p>
        </w:tc>
        <w:tc>
          <w:tcPr>
            <w:tcW w:w="3039" w:type="pct"/>
            <w:shd w:val="clear" w:color="auto" w:fill="auto"/>
            <w:vAlign w:val="bottom"/>
            <w:hideMark/>
          </w:tcPr>
          <w:p w:rsidR="004B0AAA" w:rsidRPr="00165DDD" w:rsidRDefault="004B0AAA" w:rsidP="004B0AAA">
            <w:pPr>
              <w:spacing w:after="0" w:line="240" w:lineRule="auto"/>
              <w:jc w:val="both"/>
              <w:rPr>
                <w:rFonts w:ascii="Arial" w:eastAsia="Times New Roman" w:hAnsi="Arial" w:cs="Arial"/>
                <w:sz w:val="20"/>
                <w:szCs w:val="20"/>
              </w:rPr>
            </w:pPr>
            <w:r w:rsidRPr="00165DDD">
              <w:rPr>
                <w:rFonts w:ascii="Arial" w:eastAsia="Times New Roman" w:hAnsi="Arial" w:cs="Arial"/>
                <w:sz w:val="20"/>
                <w:szCs w:val="20"/>
              </w:rPr>
              <w:t xml:space="preserve">Calculate runoff coefficient, </w:t>
            </w:r>
            <w:r w:rsidRPr="00165DDD">
              <w:rPr>
                <w:rFonts w:ascii="Arial" w:eastAsia="Times New Roman" w:hAnsi="Arial" w:cs="Arial"/>
                <w:i/>
                <w:sz w:val="20"/>
                <w:szCs w:val="20"/>
              </w:rPr>
              <w:t>C= (0.75 x imp) + 0.15</w:t>
            </w:r>
          </w:p>
        </w:tc>
        <w:tc>
          <w:tcPr>
            <w:tcW w:w="595" w:type="pct"/>
            <w:vAlign w:val="center"/>
          </w:tcPr>
          <w:p w:rsidR="004B0AAA" w:rsidRPr="00165DDD" w:rsidRDefault="004B0AAA" w:rsidP="004B0AAA">
            <w:pPr>
              <w:spacing w:after="0" w:line="240" w:lineRule="auto"/>
              <w:jc w:val="right"/>
              <w:rPr>
                <w:rFonts w:ascii="Arial" w:eastAsia="Times New Roman" w:hAnsi="Arial" w:cs="Arial"/>
                <w:sz w:val="20"/>
                <w:szCs w:val="20"/>
              </w:rPr>
            </w:pPr>
            <w:r>
              <w:rPr>
                <w:rFonts w:ascii="Arial" w:eastAsia="Times New Roman" w:hAnsi="Arial" w:cs="Arial"/>
                <w:sz w:val="20"/>
                <w:szCs w:val="20"/>
              </w:rPr>
              <w:t>C=</w:t>
            </w:r>
          </w:p>
        </w:tc>
        <w:tc>
          <w:tcPr>
            <w:tcW w:w="595" w:type="pct"/>
          </w:tcPr>
          <w:p w:rsidR="004B0AAA" w:rsidRPr="00041077" w:rsidRDefault="004B0AAA" w:rsidP="004B0AAA">
            <w:pPr>
              <w:spacing w:after="0" w:line="240" w:lineRule="auto"/>
              <w:ind w:firstLineChars="500" w:firstLine="1100"/>
              <w:rPr>
                <w:rFonts w:eastAsia="Times New Roman" w:cs="Times New Roman"/>
                <w:color w:val="000000"/>
              </w:rPr>
            </w:pPr>
          </w:p>
        </w:tc>
        <w:tc>
          <w:tcPr>
            <w:tcW w:w="595" w:type="pct"/>
            <w:vAlign w:val="center"/>
          </w:tcPr>
          <w:p w:rsidR="004B0AAA" w:rsidRPr="00165DDD" w:rsidRDefault="004B0AAA" w:rsidP="004B0AAA">
            <w:pPr>
              <w:spacing w:after="0" w:line="240" w:lineRule="auto"/>
              <w:rPr>
                <w:rFonts w:ascii="Arial" w:eastAsia="Times New Roman" w:hAnsi="Arial" w:cs="Arial"/>
                <w:sz w:val="20"/>
                <w:szCs w:val="20"/>
              </w:rPr>
            </w:pPr>
          </w:p>
        </w:tc>
      </w:tr>
      <w:tr w:rsidR="004B0AAA" w:rsidRPr="00041077" w:rsidTr="004B0AAA">
        <w:trPr>
          <w:gridAfter w:val="1"/>
          <w:wAfter w:w="6" w:type="pct"/>
          <w:trHeight w:val="432"/>
        </w:trPr>
        <w:tc>
          <w:tcPr>
            <w:tcW w:w="170" w:type="pct"/>
            <w:shd w:val="clear" w:color="auto" w:fill="auto"/>
            <w:noWrap/>
            <w:vAlign w:val="bottom"/>
            <w:hideMark/>
          </w:tcPr>
          <w:p w:rsidR="004B0AAA" w:rsidRPr="00041077" w:rsidRDefault="004B0AAA" w:rsidP="004B0AAA">
            <w:pPr>
              <w:spacing w:after="0" w:line="240" w:lineRule="auto"/>
              <w:jc w:val="right"/>
              <w:rPr>
                <w:rFonts w:eastAsia="Times New Roman" w:cs="Times New Roman"/>
                <w:color w:val="000000"/>
              </w:rPr>
            </w:pPr>
            <w:r>
              <w:rPr>
                <w:rFonts w:eastAsia="Times New Roman" w:cs="Times New Roman"/>
                <w:color w:val="000000"/>
              </w:rPr>
              <w:t>4</w:t>
            </w:r>
          </w:p>
        </w:tc>
        <w:tc>
          <w:tcPr>
            <w:tcW w:w="3039" w:type="pct"/>
            <w:shd w:val="clear" w:color="auto" w:fill="auto"/>
            <w:vAlign w:val="bottom"/>
            <w:hideMark/>
          </w:tcPr>
          <w:p w:rsidR="004B0AAA" w:rsidRPr="00165DDD" w:rsidRDefault="004B0AAA" w:rsidP="004B0AAA">
            <w:pPr>
              <w:spacing w:after="0" w:line="240" w:lineRule="auto"/>
              <w:jc w:val="both"/>
              <w:rPr>
                <w:rFonts w:ascii="Arial" w:eastAsia="Times New Roman" w:hAnsi="Arial" w:cs="Arial"/>
                <w:sz w:val="20"/>
                <w:szCs w:val="20"/>
              </w:rPr>
            </w:pPr>
            <w:r w:rsidRPr="00165DDD">
              <w:rPr>
                <w:rFonts w:ascii="Arial" w:eastAsia="Times New Roman" w:hAnsi="Arial" w:cs="Arial"/>
                <w:sz w:val="20"/>
                <w:szCs w:val="20"/>
              </w:rPr>
              <w:t xml:space="preserve">Calculate runoff volume, </w:t>
            </w:r>
            <w:proofErr w:type="spellStart"/>
            <w:r w:rsidRPr="00165DDD">
              <w:rPr>
                <w:rFonts w:ascii="Arial" w:eastAsia="Times New Roman" w:hAnsi="Arial" w:cs="Arial"/>
                <w:i/>
                <w:sz w:val="20"/>
                <w:szCs w:val="20"/>
              </w:rPr>
              <w:t>V</w:t>
            </w:r>
            <w:r>
              <w:rPr>
                <w:rFonts w:ascii="Arial" w:eastAsia="Times New Roman" w:hAnsi="Arial" w:cs="Arial"/>
                <w:i/>
                <w:sz w:val="20"/>
                <w:szCs w:val="20"/>
                <w:vertAlign w:val="subscript"/>
              </w:rPr>
              <w:t>design</w:t>
            </w:r>
            <w:proofErr w:type="spellEnd"/>
            <w:r w:rsidRPr="00165DDD">
              <w:rPr>
                <w:rFonts w:ascii="Arial" w:eastAsia="Times New Roman" w:hAnsi="Arial" w:cs="Arial"/>
                <w:i/>
                <w:sz w:val="20"/>
                <w:szCs w:val="20"/>
              </w:rPr>
              <w:t xml:space="preserve">= (C x </w:t>
            </w:r>
            <w:proofErr w:type="spellStart"/>
            <w:r w:rsidRPr="00165DDD">
              <w:rPr>
                <w:rFonts w:ascii="Arial" w:eastAsia="Times New Roman" w:hAnsi="Arial" w:cs="Arial"/>
                <w:i/>
                <w:sz w:val="20"/>
                <w:szCs w:val="20"/>
              </w:rPr>
              <w:t>d</w:t>
            </w:r>
            <w:r w:rsidRPr="00165DDD">
              <w:rPr>
                <w:rFonts w:ascii="Arial" w:eastAsia="Times New Roman" w:hAnsi="Arial" w:cs="Arial"/>
                <w:i/>
                <w:sz w:val="20"/>
                <w:szCs w:val="20"/>
                <w:vertAlign w:val="subscript"/>
              </w:rPr>
              <w:t>remainder</w:t>
            </w:r>
            <w:proofErr w:type="spellEnd"/>
            <w:r w:rsidRPr="00165DDD">
              <w:rPr>
                <w:rFonts w:ascii="Arial" w:eastAsia="Times New Roman" w:hAnsi="Arial" w:cs="Arial"/>
                <w:i/>
                <w:sz w:val="20"/>
                <w:szCs w:val="20"/>
              </w:rPr>
              <w:t xml:space="preserve"> x A x 43560 x (1/12))</w:t>
            </w:r>
          </w:p>
        </w:tc>
        <w:tc>
          <w:tcPr>
            <w:tcW w:w="595" w:type="pct"/>
            <w:vAlign w:val="center"/>
          </w:tcPr>
          <w:p w:rsidR="004B0AAA" w:rsidRPr="00165DDD" w:rsidRDefault="004B0AAA" w:rsidP="004B0AAA">
            <w:pPr>
              <w:spacing w:after="0" w:line="240" w:lineRule="auto"/>
              <w:jc w:val="right"/>
              <w:rPr>
                <w:rFonts w:ascii="Arial" w:eastAsia="Times New Roman" w:hAnsi="Arial" w:cs="Arial"/>
                <w:sz w:val="20"/>
                <w:szCs w:val="20"/>
              </w:rPr>
            </w:pPr>
            <w:proofErr w:type="spellStart"/>
            <w:r>
              <w:rPr>
                <w:rFonts w:ascii="Arial" w:eastAsia="Times New Roman" w:hAnsi="Arial" w:cs="Arial"/>
                <w:sz w:val="20"/>
                <w:szCs w:val="20"/>
              </w:rPr>
              <w:t>V</w:t>
            </w:r>
            <w:r>
              <w:rPr>
                <w:rFonts w:ascii="Arial" w:eastAsia="Times New Roman" w:hAnsi="Arial" w:cs="Arial"/>
                <w:sz w:val="20"/>
                <w:szCs w:val="20"/>
                <w:vertAlign w:val="subscript"/>
              </w:rPr>
              <w:t>design</w:t>
            </w:r>
            <w:proofErr w:type="spellEnd"/>
            <w:r>
              <w:rPr>
                <w:rFonts w:ascii="Arial" w:eastAsia="Times New Roman" w:hAnsi="Arial" w:cs="Arial"/>
                <w:sz w:val="20"/>
                <w:szCs w:val="20"/>
              </w:rPr>
              <w:t>=</w:t>
            </w:r>
          </w:p>
        </w:tc>
        <w:tc>
          <w:tcPr>
            <w:tcW w:w="595" w:type="pct"/>
          </w:tcPr>
          <w:p w:rsidR="004B0AAA" w:rsidRPr="00041077" w:rsidRDefault="004B0AAA" w:rsidP="004B0AAA">
            <w:pPr>
              <w:spacing w:after="0" w:line="240" w:lineRule="auto"/>
              <w:ind w:firstLineChars="500" w:firstLine="1100"/>
              <w:rPr>
                <w:rFonts w:eastAsia="Times New Roman" w:cs="Times New Roman"/>
                <w:color w:val="000000"/>
              </w:rPr>
            </w:pPr>
          </w:p>
        </w:tc>
        <w:tc>
          <w:tcPr>
            <w:tcW w:w="595" w:type="pct"/>
            <w:vAlign w:val="center"/>
          </w:tcPr>
          <w:p w:rsidR="004B0AAA" w:rsidRPr="00165DDD" w:rsidRDefault="004B0AAA" w:rsidP="004B0AAA">
            <w:pPr>
              <w:spacing w:after="0" w:line="240" w:lineRule="auto"/>
              <w:rPr>
                <w:rFonts w:ascii="Arial" w:eastAsia="Times New Roman" w:hAnsi="Arial" w:cs="Arial"/>
                <w:sz w:val="20"/>
                <w:szCs w:val="20"/>
              </w:rPr>
            </w:pPr>
            <w:r>
              <w:rPr>
                <w:rFonts w:ascii="Arial" w:eastAsia="Times New Roman" w:hAnsi="Arial" w:cs="Arial"/>
                <w:sz w:val="20"/>
                <w:szCs w:val="20"/>
              </w:rPr>
              <w:t>cu-ft</w:t>
            </w:r>
          </w:p>
        </w:tc>
      </w:tr>
      <w:tr w:rsidR="004B0AAA" w:rsidRPr="00041077" w:rsidTr="004B0AAA">
        <w:trPr>
          <w:gridAfter w:val="1"/>
          <w:wAfter w:w="6" w:type="pct"/>
          <w:trHeight w:val="432"/>
        </w:trPr>
        <w:tc>
          <w:tcPr>
            <w:tcW w:w="4994" w:type="pct"/>
            <w:gridSpan w:val="5"/>
            <w:shd w:val="clear" w:color="auto" w:fill="D9D9D9"/>
            <w:noWrap/>
            <w:vAlign w:val="bottom"/>
            <w:hideMark/>
          </w:tcPr>
          <w:p w:rsidR="004B0AAA" w:rsidRPr="00165DDD" w:rsidRDefault="004B0AAA" w:rsidP="004B0AAA">
            <w:pPr>
              <w:pStyle w:val="ExampleSubheading"/>
              <w:pBdr>
                <w:top w:val="none" w:sz="0" w:space="0" w:color="auto"/>
                <w:left w:val="none" w:sz="0" w:space="0" w:color="auto"/>
                <w:bottom w:val="none" w:sz="0" w:space="0" w:color="auto"/>
                <w:right w:val="none" w:sz="0" w:space="0" w:color="auto"/>
              </w:pBdr>
              <w:shd w:val="clear" w:color="auto" w:fill="D9D9D9"/>
              <w:ind w:left="0"/>
              <w:jc w:val="both"/>
              <w:outlineLvl w:val="0"/>
            </w:pPr>
            <w:r>
              <w:t xml:space="preserve">Step 3: Design BMPs to ensure full retention of the </w:t>
            </w:r>
            <w:r w:rsidR="003C7091">
              <w:t>DCV</w:t>
            </w:r>
          </w:p>
        </w:tc>
      </w:tr>
      <w:tr w:rsidR="004B0AAA" w:rsidRPr="00041077" w:rsidTr="004B0AAA">
        <w:trPr>
          <w:gridAfter w:val="1"/>
          <w:wAfter w:w="6" w:type="pct"/>
          <w:trHeight w:val="432"/>
        </w:trPr>
        <w:tc>
          <w:tcPr>
            <w:tcW w:w="4994" w:type="pct"/>
            <w:gridSpan w:val="5"/>
            <w:shd w:val="clear" w:color="auto" w:fill="D9D9D9"/>
            <w:noWrap/>
            <w:vAlign w:val="bottom"/>
            <w:hideMark/>
          </w:tcPr>
          <w:p w:rsidR="004B0AAA" w:rsidRPr="007E147F" w:rsidRDefault="004B0AAA" w:rsidP="004B0AAA">
            <w:pPr>
              <w:pStyle w:val="ExampleSubheading"/>
              <w:pBdr>
                <w:top w:val="none" w:sz="0" w:space="0" w:color="auto"/>
                <w:left w:val="none" w:sz="0" w:space="0" w:color="auto"/>
                <w:bottom w:val="none" w:sz="0" w:space="0" w:color="auto"/>
                <w:right w:val="none" w:sz="0" w:space="0" w:color="auto"/>
              </w:pBdr>
              <w:shd w:val="clear" w:color="auto" w:fill="D9D9D9"/>
              <w:ind w:left="0"/>
              <w:jc w:val="both"/>
              <w:outlineLvl w:val="0"/>
              <w:rPr>
                <w:i w:val="0"/>
              </w:rPr>
            </w:pPr>
            <w:r w:rsidRPr="007E147F">
              <w:rPr>
                <w:i w:val="0"/>
              </w:rPr>
              <w:t>Step 3a: Determine design infiltration rate</w:t>
            </w:r>
          </w:p>
        </w:tc>
      </w:tr>
      <w:tr w:rsidR="004B0AAA" w:rsidRPr="00041077" w:rsidTr="004B0AAA">
        <w:trPr>
          <w:gridAfter w:val="1"/>
          <w:wAfter w:w="6" w:type="pct"/>
          <w:trHeight w:val="432"/>
        </w:trPr>
        <w:tc>
          <w:tcPr>
            <w:tcW w:w="170" w:type="pct"/>
            <w:shd w:val="clear" w:color="auto" w:fill="auto"/>
            <w:noWrap/>
            <w:vAlign w:val="bottom"/>
            <w:hideMark/>
          </w:tcPr>
          <w:p w:rsidR="004B0AAA" w:rsidRPr="00041077" w:rsidRDefault="004B0AAA" w:rsidP="004B0AAA">
            <w:pPr>
              <w:spacing w:after="0" w:line="240" w:lineRule="auto"/>
              <w:jc w:val="right"/>
              <w:rPr>
                <w:rFonts w:eastAsia="Times New Roman" w:cs="Times New Roman"/>
                <w:color w:val="000000"/>
              </w:rPr>
            </w:pPr>
            <w:r>
              <w:rPr>
                <w:rFonts w:eastAsia="Times New Roman" w:cs="Times New Roman"/>
                <w:color w:val="000000"/>
              </w:rPr>
              <w:t>1</w:t>
            </w:r>
          </w:p>
        </w:tc>
        <w:tc>
          <w:tcPr>
            <w:tcW w:w="3039" w:type="pct"/>
            <w:shd w:val="clear" w:color="auto" w:fill="auto"/>
            <w:vAlign w:val="bottom"/>
            <w:hideMark/>
          </w:tcPr>
          <w:p w:rsidR="004B0AAA" w:rsidRDefault="004B0AAA" w:rsidP="004B0AAA">
            <w:pPr>
              <w:spacing w:after="0" w:line="240" w:lineRule="auto"/>
              <w:jc w:val="both"/>
              <w:rPr>
                <w:rFonts w:ascii="Arial" w:eastAsia="Times New Roman" w:hAnsi="Arial" w:cs="Arial"/>
                <w:sz w:val="20"/>
                <w:szCs w:val="20"/>
              </w:rPr>
            </w:pPr>
            <w:r>
              <w:rPr>
                <w:rFonts w:ascii="Arial" w:eastAsia="Times New Roman" w:hAnsi="Arial" w:cs="Arial"/>
                <w:sz w:val="20"/>
                <w:szCs w:val="20"/>
              </w:rPr>
              <w:t xml:space="preserve">Enter measured infiltration rate, </w:t>
            </w:r>
            <w:proofErr w:type="spellStart"/>
            <w:r>
              <w:rPr>
                <w:rFonts w:ascii="Arial" w:eastAsia="Times New Roman" w:hAnsi="Arial" w:cs="Arial"/>
                <w:i/>
                <w:sz w:val="20"/>
                <w:szCs w:val="20"/>
              </w:rPr>
              <w:t>K</w:t>
            </w:r>
            <w:r w:rsidRPr="00165DDD">
              <w:rPr>
                <w:rFonts w:ascii="Arial" w:eastAsia="Times New Roman" w:hAnsi="Arial" w:cs="Arial"/>
                <w:i/>
                <w:sz w:val="20"/>
                <w:szCs w:val="20"/>
                <w:vertAlign w:val="subscript"/>
              </w:rPr>
              <w:t>measured</w:t>
            </w:r>
            <w:proofErr w:type="spellEnd"/>
            <w:r w:rsidRPr="00165DDD">
              <w:rPr>
                <w:rFonts w:ascii="Arial" w:eastAsia="Times New Roman" w:hAnsi="Arial" w:cs="Arial"/>
                <w:i/>
                <w:sz w:val="20"/>
                <w:szCs w:val="20"/>
              </w:rPr>
              <w:t xml:space="preserve"> </w:t>
            </w:r>
            <w:r>
              <w:rPr>
                <w:rFonts w:ascii="Arial" w:eastAsia="Times New Roman" w:hAnsi="Arial" w:cs="Arial"/>
                <w:sz w:val="20"/>
                <w:szCs w:val="20"/>
              </w:rPr>
              <w:t>(in/hr)</w:t>
            </w:r>
          </w:p>
          <w:p w:rsidR="004B0AAA" w:rsidRPr="00165DDD" w:rsidRDefault="004B0AAA" w:rsidP="004B0AAA">
            <w:pPr>
              <w:spacing w:after="0" w:line="240" w:lineRule="auto"/>
              <w:jc w:val="both"/>
              <w:rPr>
                <w:rFonts w:ascii="Arial" w:eastAsia="Times New Roman" w:hAnsi="Arial" w:cs="Arial"/>
                <w:sz w:val="20"/>
                <w:szCs w:val="20"/>
              </w:rPr>
            </w:pPr>
            <w:r>
              <w:rPr>
                <w:rFonts w:ascii="Arial" w:eastAsia="Times New Roman" w:hAnsi="Arial" w:cs="Arial"/>
                <w:sz w:val="20"/>
                <w:szCs w:val="20"/>
              </w:rPr>
              <w:t>(</w:t>
            </w:r>
            <w:r w:rsidR="00126F3D" w:rsidRPr="00126DE5">
              <w:rPr>
                <w:rFonts w:eastAsia="Times New Roman" w:cs="Arial"/>
                <w:b/>
                <w:color w:val="0070C0"/>
                <w:sz w:val="20"/>
                <w:szCs w:val="20"/>
              </w:rPr>
              <w:fldChar w:fldCharType="begin"/>
            </w:r>
            <w:r w:rsidRPr="00126DE5">
              <w:rPr>
                <w:rFonts w:eastAsia="Times New Roman" w:cs="Arial"/>
                <w:b/>
                <w:color w:val="0070C0"/>
                <w:sz w:val="20"/>
                <w:szCs w:val="20"/>
              </w:rPr>
              <w:instrText xml:space="preserve"> REF _Ref285567395 \r \h </w:instrText>
            </w:r>
            <w:r w:rsidR="00126F3D" w:rsidRPr="00126DE5">
              <w:rPr>
                <w:rFonts w:eastAsia="Times New Roman" w:cs="Arial"/>
                <w:b/>
                <w:color w:val="0070C0"/>
                <w:sz w:val="20"/>
                <w:szCs w:val="20"/>
              </w:rPr>
            </w:r>
            <w:r w:rsidR="00126F3D" w:rsidRPr="00126DE5">
              <w:rPr>
                <w:rFonts w:eastAsia="Times New Roman" w:cs="Arial"/>
                <w:b/>
                <w:color w:val="0070C0"/>
                <w:sz w:val="20"/>
                <w:szCs w:val="20"/>
              </w:rPr>
              <w:fldChar w:fldCharType="separate"/>
            </w:r>
            <w:r w:rsidR="00126DE5" w:rsidRPr="00126DE5">
              <w:rPr>
                <w:rFonts w:eastAsia="Times New Roman" w:cs="Arial"/>
                <w:b/>
                <w:color w:val="0070C0"/>
                <w:sz w:val="20"/>
                <w:szCs w:val="20"/>
              </w:rPr>
              <w:t>Appendix VII</w:t>
            </w:r>
            <w:r w:rsidR="00126F3D" w:rsidRPr="00126DE5">
              <w:rPr>
                <w:rFonts w:eastAsia="Times New Roman" w:cs="Arial"/>
                <w:b/>
                <w:color w:val="0070C0"/>
                <w:sz w:val="20"/>
                <w:szCs w:val="20"/>
              </w:rPr>
              <w:fldChar w:fldCharType="end"/>
            </w:r>
            <w:r>
              <w:rPr>
                <w:rFonts w:ascii="Arial" w:eastAsia="Times New Roman" w:hAnsi="Arial" w:cs="Arial"/>
                <w:sz w:val="20"/>
                <w:szCs w:val="20"/>
              </w:rPr>
              <w:t>)</w:t>
            </w:r>
          </w:p>
        </w:tc>
        <w:tc>
          <w:tcPr>
            <w:tcW w:w="595" w:type="pct"/>
            <w:vAlign w:val="center"/>
          </w:tcPr>
          <w:p w:rsidR="004B0AAA" w:rsidRPr="007E147F" w:rsidRDefault="004B0AAA" w:rsidP="004B0AAA">
            <w:pPr>
              <w:spacing w:after="0" w:line="240" w:lineRule="auto"/>
              <w:jc w:val="right"/>
              <w:rPr>
                <w:rFonts w:ascii="Arial" w:eastAsia="Times New Roman" w:hAnsi="Arial" w:cs="Arial"/>
                <w:sz w:val="20"/>
                <w:szCs w:val="20"/>
              </w:rPr>
            </w:pPr>
            <w:proofErr w:type="spellStart"/>
            <w:r>
              <w:rPr>
                <w:rFonts w:ascii="Arial" w:eastAsia="Times New Roman" w:hAnsi="Arial" w:cs="Arial"/>
                <w:sz w:val="20"/>
                <w:szCs w:val="20"/>
              </w:rPr>
              <w:t>K</w:t>
            </w:r>
            <w:r>
              <w:rPr>
                <w:rFonts w:ascii="Arial" w:eastAsia="Times New Roman" w:hAnsi="Arial" w:cs="Arial"/>
                <w:sz w:val="20"/>
                <w:szCs w:val="20"/>
                <w:vertAlign w:val="subscript"/>
              </w:rPr>
              <w:t>measured</w:t>
            </w:r>
            <w:proofErr w:type="spellEnd"/>
            <w:r>
              <w:rPr>
                <w:rFonts w:ascii="Arial" w:eastAsia="Times New Roman" w:hAnsi="Arial" w:cs="Arial"/>
                <w:sz w:val="20"/>
                <w:szCs w:val="20"/>
              </w:rPr>
              <w:t>=</w:t>
            </w:r>
          </w:p>
        </w:tc>
        <w:tc>
          <w:tcPr>
            <w:tcW w:w="595" w:type="pct"/>
          </w:tcPr>
          <w:p w:rsidR="004B0AAA" w:rsidRPr="00041077" w:rsidRDefault="004B0AAA" w:rsidP="004B0AAA">
            <w:pPr>
              <w:spacing w:after="0" w:line="240" w:lineRule="auto"/>
              <w:ind w:firstLineChars="500" w:firstLine="1100"/>
              <w:rPr>
                <w:rFonts w:eastAsia="Times New Roman" w:cs="Times New Roman"/>
                <w:color w:val="000000"/>
              </w:rPr>
            </w:pPr>
          </w:p>
        </w:tc>
        <w:tc>
          <w:tcPr>
            <w:tcW w:w="595" w:type="pct"/>
            <w:vAlign w:val="center"/>
          </w:tcPr>
          <w:p w:rsidR="004B0AAA" w:rsidRPr="00165DDD" w:rsidRDefault="004B0AAA" w:rsidP="004B0AAA">
            <w:pPr>
              <w:spacing w:after="0" w:line="240" w:lineRule="auto"/>
              <w:rPr>
                <w:rFonts w:ascii="Arial" w:eastAsia="Times New Roman" w:hAnsi="Arial" w:cs="Arial"/>
                <w:sz w:val="20"/>
                <w:szCs w:val="20"/>
              </w:rPr>
            </w:pPr>
            <w:r>
              <w:rPr>
                <w:rFonts w:ascii="Arial" w:eastAsia="Times New Roman" w:hAnsi="Arial" w:cs="Arial"/>
                <w:sz w:val="20"/>
                <w:szCs w:val="20"/>
              </w:rPr>
              <w:t>In/hr</w:t>
            </w:r>
          </w:p>
        </w:tc>
      </w:tr>
      <w:tr w:rsidR="004B0AAA" w:rsidRPr="00041077" w:rsidTr="004B0AAA">
        <w:trPr>
          <w:gridAfter w:val="1"/>
          <w:wAfter w:w="6" w:type="pct"/>
          <w:trHeight w:val="432"/>
        </w:trPr>
        <w:tc>
          <w:tcPr>
            <w:tcW w:w="170" w:type="pct"/>
            <w:shd w:val="clear" w:color="auto" w:fill="auto"/>
            <w:noWrap/>
            <w:vAlign w:val="bottom"/>
            <w:hideMark/>
          </w:tcPr>
          <w:p w:rsidR="004B0AAA" w:rsidRPr="00041077" w:rsidRDefault="004B0AAA" w:rsidP="004B0AAA">
            <w:pPr>
              <w:spacing w:after="0" w:line="240" w:lineRule="auto"/>
              <w:jc w:val="right"/>
              <w:rPr>
                <w:rFonts w:eastAsia="Times New Roman" w:cs="Times New Roman"/>
                <w:color w:val="000000"/>
              </w:rPr>
            </w:pPr>
            <w:r>
              <w:rPr>
                <w:rFonts w:eastAsia="Times New Roman" w:cs="Times New Roman"/>
                <w:color w:val="000000"/>
              </w:rPr>
              <w:t>2</w:t>
            </w:r>
          </w:p>
        </w:tc>
        <w:tc>
          <w:tcPr>
            <w:tcW w:w="3039" w:type="pct"/>
            <w:shd w:val="clear" w:color="auto" w:fill="auto"/>
            <w:vAlign w:val="bottom"/>
            <w:hideMark/>
          </w:tcPr>
          <w:p w:rsidR="004B0AAA" w:rsidRPr="00165DDD" w:rsidRDefault="004B0AAA" w:rsidP="004B0AAA">
            <w:pPr>
              <w:spacing w:after="0" w:line="240" w:lineRule="auto"/>
              <w:jc w:val="both"/>
              <w:rPr>
                <w:rFonts w:ascii="Arial" w:eastAsia="Times New Roman" w:hAnsi="Arial" w:cs="Arial"/>
                <w:sz w:val="20"/>
                <w:szCs w:val="20"/>
              </w:rPr>
            </w:pPr>
            <w:r>
              <w:rPr>
                <w:rFonts w:ascii="Arial" w:eastAsia="Times New Roman" w:hAnsi="Arial" w:cs="Arial"/>
                <w:sz w:val="20"/>
                <w:szCs w:val="20"/>
              </w:rPr>
              <w:t xml:space="preserve">Enter combined safety factor from </w:t>
            </w:r>
            <w:r w:rsidR="00126F3D" w:rsidRPr="00126DE5">
              <w:rPr>
                <w:rFonts w:eastAsia="Times New Roman" w:cs="Arial"/>
                <w:b/>
                <w:color w:val="0070C0"/>
                <w:sz w:val="20"/>
                <w:szCs w:val="20"/>
              </w:rPr>
              <w:fldChar w:fldCharType="begin"/>
            </w:r>
            <w:r w:rsidRPr="00126DE5">
              <w:rPr>
                <w:rFonts w:eastAsia="Times New Roman" w:cs="Arial"/>
                <w:b/>
                <w:color w:val="0070C0"/>
                <w:sz w:val="20"/>
                <w:szCs w:val="20"/>
              </w:rPr>
              <w:instrText xml:space="preserve"> REF _Ref285393921 \h </w:instrText>
            </w:r>
            <w:r w:rsidR="00126F3D" w:rsidRPr="00126DE5">
              <w:rPr>
                <w:rFonts w:eastAsia="Times New Roman" w:cs="Arial"/>
                <w:b/>
                <w:color w:val="0070C0"/>
                <w:sz w:val="20"/>
                <w:szCs w:val="20"/>
              </w:rPr>
            </w:r>
            <w:r w:rsidR="00126F3D" w:rsidRPr="00126DE5">
              <w:rPr>
                <w:rFonts w:eastAsia="Times New Roman" w:cs="Arial"/>
                <w:b/>
                <w:color w:val="0070C0"/>
                <w:sz w:val="20"/>
                <w:szCs w:val="20"/>
              </w:rPr>
              <w:fldChar w:fldCharType="separate"/>
            </w:r>
            <w:r w:rsidR="00126DE5" w:rsidRPr="00126DE5">
              <w:rPr>
                <w:b/>
                <w:color w:val="0070C0"/>
              </w:rPr>
              <w:t xml:space="preserve">Worksheet </w:t>
            </w:r>
            <w:r w:rsidR="00126DE5" w:rsidRPr="00126DE5">
              <w:rPr>
                <w:rFonts w:cs="Arial"/>
                <w:b/>
                <w:noProof/>
                <w:color w:val="0070C0"/>
              </w:rPr>
              <w:t>H</w:t>
            </w:r>
            <w:r w:rsidR="00126F3D" w:rsidRPr="00126DE5">
              <w:rPr>
                <w:rFonts w:eastAsia="Times New Roman" w:cs="Arial"/>
                <w:b/>
                <w:color w:val="0070C0"/>
                <w:sz w:val="20"/>
                <w:szCs w:val="20"/>
              </w:rPr>
              <w:fldChar w:fldCharType="end"/>
            </w:r>
            <w:r>
              <w:rPr>
                <w:rFonts w:ascii="Arial" w:eastAsia="Times New Roman" w:hAnsi="Arial" w:cs="Arial"/>
                <w:sz w:val="20"/>
                <w:szCs w:val="20"/>
              </w:rPr>
              <w:t xml:space="preserve">, </w:t>
            </w:r>
            <w:proofErr w:type="spellStart"/>
            <w:r w:rsidRPr="00165DDD">
              <w:rPr>
                <w:rFonts w:ascii="Arial" w:eastAsia="Times New Roman" w:hAnsi="Arial" w:cs="Arial"/>
                <w:i/>
                <w:sz w:val="20"/>
                <w:szCs w:val="20"/>
              </w:rPr>
              <w:t>S</w:t>
            </w:r>
            <w:r w:rsidRPr="00165DDD">
              <w:rPr>
                <w:rFonts w:ascii="Arial" w:eastAsia="Times New Roman" w:hAnsi="Arial" w:cs="Arial"/>
                <w:i/>
                <w:sz w:val="20"/>
                <w:szCs w:val="20"/>
                <w:vertAlign w:val="subscript"/>
              </w:rPr>
              <w:t>final</w:t>
            </w:r>
            <w:proofErr w:type="spellEnd"/>
            <w:r w:rsidRPr="00165DDD">
              <w:rPr>
                <w:rFonts w:ascii="Arial" w:eastAsia="Times New Roman" w:hAnsi="Arial" w:cs="Arial"/>
                <w:i/>
                <w:sz w:val="20"/>
                <w:szCs w:val="20"/>
              </w:rPr>
              <w:t xml:space="preserve"> </w:t>
            </w:r>
            <w:r>
              <w:rPr>
                <w:rFonts w:ascii="Arial" w:eastAsia="Times New Roman" w:hAnsi="Arial" w:cs="Arial"/>
                <w:sz w:val="20"/>
                <w:szCs w:val="20"/>
              </w:rPr>
              <w:t>(unitless)</w:t>
            </w:r>
          </w:p>
        </w:tc>
        <w:tc>
          <w:tcPr>
            <w:tcW w:w="595" w:type="pct"/>
            <w:vAlign w:val="center"/>
          </w:tcPr>
          <w:p w:rsidR="004B0AAA" w:rsidRPr="007E147F" w:rsidRDefault="004B0AAA" w:rsidP="004B0AAA">
            <w:pPr>
              <w:spacing w:after="0" w:line="240" w:lineRule="auto"/>
              <w:jc w:val="right"/>
              <w:rPr>
                <w:rFonts w:ascii="Arial" w:eastAsia="Times New Roman" w:hAnsi="Arial" w:cs="Arial"/>
                <w:sz w:val="20"/>
                <w:szCs w:val="20"/>
              </w:rPr>
            </w:pPr>
            <w:proofErr w:type="spellStart"/>
            <w:r>
              <w:rPr>
                <w:rFonts w:ascii="Arial" w:eastAsia="Times New Roman" w:hAnsi="Arial" w:cs="Arial"/>
                <w:sz w:val="20"/>
                <w:szCs w:val="20"/>
              </w:rPr>
              <w:t>S</w:t>
            </w:r>
            <w:r>
              <w:rPr>
                <w:rFonts w:ascii="Arial" w:eastAsia="Times New Roman" w:hAnsi="Arial" w:cs="Arial"/>
                <w:sz w:val="20"/>
                <w:szCs w:val="20"/>
                <w:vertAlign w:val="subscript"/>
              </w:rPr>
              <w:t>final</w:t>
            </w:r>
            <w:proofErr w:type="spellEnd"/>
            <w:r>
              <w:rPr>
                <w:rFonts w:ascii="Arial" w:eastAsia="Times New Roman" w:hAnsi="Arial" w:cs="Arial"/>
                <w:sz w:val="20"/>
                <w:szCs w:val="20"/>
              </w:rPr>
              <w:t>=</w:t>
            </w:r>
          </w:p>
        </w:tc>
        <w:tc>
          <w:tcPr>
            <w:tcW w:w="595" w:type="pct"/>
          </w:tcPr>
          <w:p w:rsidR="004B0AAA" w:rsidRPr="00041077" w:rsidRDefault="004B0AAA" w:rsidP="004B0AAA">
            <w:pPr>
              <w:spacing w:after="0" w:line="240" w:lineRule="auto"/>
              <w:ind w:firstLineChars="500" w:firstLine="1100"/>
              <w:rPr>
                <w:rFonts w:eastAsia="Times New Roman" w:cs="Times New Roman"/>
                <w:color w:val="000000"/>
              </w:rPr>
            </w:pPr>
          </w:p>
        </w:tc>
        <w:tc>
          <w:tcPr>
            <w:tcW w:w="595" w:type="pct"/>
            <w:vAlign w:val="center"/>
          </w:tcPr>
          <w:p w:rsidR="004B0AAA" w:rsidRPr="00165DDD" w:rsidRDefault="004B0AAA" w:rsidP="004B0AAA">
            <w:pPr>
              <w:spacing w:after="0" w:line="240" w:lineRule="auto"/>
              <w:rPr>
                <w:rFonts w:ascii="Arial" w:eastAsia="Times New Roman" w:hAnsi="Arial" w:cs="Arial"/>
                <w:sz w:val="20"/>
                <w:szCs w:val="20"/>
              </w:rPr>
            </w:pPr>
          </w:p>
        </w:tc>
      </w:tr>
      <w:tr w:rsidR="004B0AAA" w:rsidRPr="00041077" w:rsidTr="004B0AAA">
        <w:trPr>
          <w:gridAfter w:val="1"/>
          <w:wAfter w:w="6" w:type="pct"/>
          <w:trHeight w:val="432"/>
        </w:trPr>
        <w:tc>
          <w:tcPr>
            <w:tcW w:w="170" w:type="pct"/>
            <w:shd w:val="clear" w:color="auto" w:fill="auto"/>
            <w:noWrap/>
            <w:vAlign w:val="bottom"/>
            <w:hideMark/>
          </w:tcPr>
          <w:p w:rsidR="004B0AAA" w:rsidRPr="00041077" w:rsidRDefault="004B0AAA" w:rsidP="004B0AAA">
            <w:pPr>
              <w:spacing w:after="0" w:line="240" w:lineRule="auto"/>
              <w:jc w:val="right"/>
              <w:rPr>
                <w:rFonts w:eastAsia="Times New Roman" w:cs="Times New Roman"/>
                <w:color w:val="000000"/>
              </w:rPr>
            </w:pPr>
            <w:r>
              <w:rPr>
                <w:rFonts w:eastAsia="Times New Roman" w:cs="Times New Roman"/>
                <w:color w:val="000000"/>
              </w:rPr>
              <w:t>3</w:t>
            </w:r>
          </w:p>
        </w:tc>
        <w:tc>
          <w:tcPr>
            <w:tcW w:w="3039" w:type="pct"/>
            <w:shd w:val="clear" w:color="auto" w:fill="auto"/>
            <w:vAlign w:val="bottom"/>
            <w:hideMark/>
          </w:tcPr>
          <w:p w:rsidR="004B0AAA" w:rsidRPr="00165DDD" w:rsidRDefault="004B0AAA" w:rsidP="004B0AAA">
            <w:pPr>
              <w:spacing w:after="0" w:line="240" w:lineRule="auto"/>
              <w:jc w:val="both"/>
              <w:rPr>
                <w:rFonts w:ascii="Arial" w:eastAsia="Times New Roman" w:hAnsi="Arial" w:cs="Arial"/>
                <w:sz w:val="20"/>
                <w:szCs w:val="20"/>
                <w:vertAlign w:val="subscript"/>
              </w:rPr>
            </w:pPr>
            <w:r>
              <w:rPr>
                <w:rFonts w:ascii="Arial" w:eastAsia="Times New Roman" w:hAnsi="Arial" w:cs="Arial"/>
                <w:sz w:val="20"/>
                <w:szCs w:val="20"/>
              </w:rPr>
              <w:t xml:space="preserve">Calculate design infiltration rate, </w:t>
            </w:r>
            <w:proofErr w:type="spellStart"/>
            <w:r>
              <w:rPr>
                <w:rFonts w:ascii="Arial" w:eastAsia="Times New Roman" w:hAnsi="Arial" w:cs="Arial"/>
                <w:i/>
                <w:sz w:val="20"/>
                <w:szCs w:val="20"/>
              </w:rPr>
              <w:t>K</w:t>
            </w:r>
            <w:r w:rsidRPr="00165DDD">
              <w:rPr>
                <w:rFonts w:ascii="Arial" w:eastAsia="Times New Roman" w:hAnsi="Arial" w:cs="Arial"/>
                <w:i/>
                <w:sz w:val="20"/>
                <w:szCs w:val="20"/>
                <w:vertAlign w:val="subscript"/>
              </w:rPr>
              <w:t>design</w:t>
            </w:r>
            <w:proofErr w:type="spellEnd"/>
            <w:r w:rsidRPr="00165DDD">
              <w:rPr>
                <w:rFonts w:ascii="Arial" w:eastAsia="Times New Roman" w:hAnsi="Arial" w:cs="Arial"/>
                <w:i/>
                <w:sz w:val="20"/>
                <w:szCs w:val="20"/>
              </w:rPr>
              <w:t xml:space="preserve"> = </w:t>
            </w:r>
            <w:proofErr w:type="spellStart"/>
            <w:r>
              <w:rPr>
                <w:rFonts w:ascii="Arial" w:eastAsia="Times New Roman" w:hAnsi="Arial" w:cs="Arial"/>
                <w:i/>
                <w:sz w:val="20"/>
                <w:szCs w:val="20"/>
              </w:rPr>
              <w:t>K</w:t>
            </w:r>
            <w:r w:rsidRPr="00165DDD">
              <w:rPr>
                <w:rFonts w:ascii="Arial" w:eastAsia="Times New Roman" w:hAnsi="Arial" w:cs="Arial"/>
                <w:i/>
                <w:sz w:val="20"/>
                <w:szCs w:val="20"/>
                <w:vertAlign w:val="subscript"/>
              </w:rPr>
              <w:t>measured</w:t>
            </w:r>
            <w:r w:rsidRPr="00165DDD">
              <w:rPr>
                <w:rFonts w:ascii="Arial" w:eastAsia="Times New Roman" w:hAnsi="Arial" w:cs="Arial"/>
                <w:i/>
                <w:sz w:val="20"/>
                <w:szCs w:val="20"/>
              </w:rPr>
              <w:t>×S</w:t>
            </w:r>
            <w:r w:rsidRPr="00165DDD">
              <w:rPr>
                <w:rFonts w:ascii="Arial" w:eastAsia="Times New Roman" w:hAnsi="Arial" w:cs="Arial"/>
                <w:i/>
                <w:sz w:val="20"/>
                <w:szCs w:val="20"/>
                <w:vertAlign w:val="subscript"/>
              </w:rPr>
              <w:t>final</w:t>
            </w:r>
            <w:proofErr w:type="spellEnd"/>
          </w:p>
        </w:tc>
        <w:tc>
          <w:tcPr>
            <w:tcW w:w="595" w:type="pct"/>
            <w:vAlign w:val="center"/>
          </w:tcPr>
          <w:p w:rsidR="004B0AAA" w:rsidRPr="007E147F" w:rsidRDefault="004B0AAA" w:rsidP="004B0AAA">
            <w:pPr>
              <w:spacing w:after="0" w:line="240" w:lineRule="auto"/>
              <w:jc w:val="right"/>
              <w:rPr>
                <w:rFonts w:ascii="Arial" w:eastAsia="Times New Roman" w:hAnsi="Arial" w:cs="Arial"/>
                <w:sz w:val="20"/>
                <w:szCs w:val="20"/>
              </w:rPr>
            </w:pPr>
            <w:proofErr w:type="spellStart"/>
            <w:r>
              <w:rPr>
                <w:rFonts w:ascii="Arial" w:eastAsia="Times New Roman" w:hAnsi="Arial" w:cs="Arial"/>
                <w:sz w:val="20"/>
                <w:szCs w:val="20"/>
              </w:rPr>
              <w:t>K</w:t>
            </w:r>
            <w:r>
              <w:rPr>
                <w:rFonts w:ascii="Arial" w:eastAsia="Times New Roman" w:hAnsi="Arial" w:cs="Arial"/>
                <w:sz w:val="20"/>
                <w:szCs w:val="20"/>
                <w:vertAlign w:val="subscript"/>
              </w:rPr>
              <w:t>design</w:t>
            </w:r>
            <w:proofErr w:type="spellEnd"/>
            <w:r>
              <w:rPr>
                <w:rFonts w:ascii="Arial" w:eastAsia="Times New Roman" w:hAnsi="Arial" w:cs="Arial"/>
                <w:sz w:val="20"/>
                <w:szCs w:val="20"/>
              </w:rPr>
              <w:t>=</w:t>
            </w:r>
          </w:p>
        </w:tc>
        <w:tc>
          <w:tcPr>
            <w:tcW w:w="595" w:type="pct"/>
          </w:tcPr>
          <w:p w:rsidR="004B0AAA" w:rsidRPr="00041077" w:rsidRDefault="004B0AAA" w:rsidP="004B0AAA">
            <w:pPr>
              <w:spacing w:after="0" w:line="240" w:lineRule="auto"/>
              <w:ind w:firstLineChars="500" w:firstLine="1100"/>
              <w:rPr>
                <w:rFonts w:eastAsia="Times New Roman" w:cs="Times New Roman"/>
                <w:color w:val="000000"/>
              </w:rPr>
            </w:pPr>
          </w:p>
        </w:tc>
        <w:tc>
          <w:tcPr>
            <w:tcW w:w="595" w:type="pct"/>
            <w:vAlign w:val="center"/>
          </w:tcPr>
          <w:p w:rsidR="004B0AAA" w:rsidRPr="00165DDD" w:rsidRDefault="004B0AAA" w:rsidP="004B0AAA">
            <w:pPr>
              <w:spacing w:after="0" w:line="240" w:lineRule="auto"/>
              <w:rPr>
                <w:rFonts w:ascii="Arial" w:eastAsia="Times New Roman" w:hAnsi="Arial" w:cs="Arial"/>
                <w:sz w:val="20"/>
                <w:szCs w:val="20"/>
              </w:rPr>
            </w:pPr>
            <w:r>
              <w:rPr>
                <w:rFonts w:ascii="Arial" w:eastAsia="Times New Roman" w:hAnsi="Arial" w:cs="Arial"/>
                <w:sz w:val="20"/>
                <w:szCs w:val="20"/>
              </w:rPr>
              <w:t>In/hr</w:t>
            </w:r>
          </w:p>
        </w:tc>
      </w:tr>
      <w:tr w:rsidR="004B0AAA" w:rsidRPr="00041077" w:rsidTr="004B0AAA">
        <w:trPr>
          <w:gridAfter w:val="1"/>
          <w:wAfter w:w="6" w:type="pct"/>
          <w:trHeight w:val="432"/>
        </w:trPr>
        <w:tc>
          <w:tcPr>
            <w:tcW w:w="4994" w:type="pct"/>
            <w:gridSpan w:val="5"/>
            <w:shd w:val="clear" w:color="auto" w:fill="D9D9D9"/>
            <w:noWrap/>
            <w:vAlign w:val="bottom"/>
            <w:hideMark/>
          </w:tcPr>
          <w:p w:rsidR="004B0AAA" w:rsidRPr="007E147F" w:rsidRDefault="004B0AAA" w:rsidP="004B0AAA">
            <w:pPr>
              <w:pStyle w:val="ExampleSubheading"/>
              <w:pBdr>
                <w:top w:val="none" w:sz="0" w:space="0" w:color="auto"/>
                <w:left w:val="none" w:sz="0" w:space="0" w:color="auto"/>
                <w:bottom w:val="none" w:sz="0" w:space="0" w:color="auto"/>
                <w:right w:val="none" w:sz="0" w:space="0" w:color="auto"/>
              </w:pBdr>
              <w:shd w:val="clear" w:color="auto" w:fill="D9D9D9"/>
              <w:ind w:left="0"/>
              <w:jc w:val="both"/>
              <w:outlineLvl w:val="0"/>
              <w:rPr>
                <w:i w:val="0"/>
              </w:rPr>
            </w:pPr>
            <w:r w:rsidRPr="007E147F">
              <w:rPr>
                <w:i w:val="0"/>
              </w:rPr>
              <w:t>Step 3b: Determine minimum BMP footprint</w:t>
            </w:r>
          </w:p>
        </w:tc>
      </w:tr>
      <w:tr w:rsidR="004B0AAA" w:rsidRPr="00041077" w:rsidTr="004B0AAA">
        <w:trPr>
          <w:gridAfter w:val="1"/>
          <w:wAfter w:w="6" w:type="pct"/>
          <w:trHeight w:val="432"/>
        </w:trPr>
        <w:tc>
          <w:tcPr>
            <w:tcW w:w="170" w:type="pct"/>
            <w:shd w:val="clear" w:color="auto" w:fill="auto"/>
            <w:noWrap/>
            <w:vAlign w:val="bottom"/>
            <w:hideMark/>
          </w:tcPr>
          <w:p w:rsidR="004B0AAA" w:rsidRPr="00041077" w:rsidRDefault="004B0AAA" w:rsidP="004B0AAA">
            <w:pPr>
              <w:spacing w:after="0" w:line="240" w:lineRule="auto"/>
              <w:jc w:val="right"/>
              <w:rPr>
                <w:rFonts w:eastAsia="Times New Roman" w:cs="Times New Roman"/>
                <w:color w:val="000000"/>
              </w:rPr>
            </w:pPr>
            <w:r>
              <w:rPr>
                <w:rFonts w:eastAsia="Times New Roman" w:cs="Times New Roman"/>
                <w:color w:val="000000"/>
              </w:rPr>
              <w:t>4</w:t>
            </w:r>
          </w:p>
        </w:tc>
        <w:tc>
          <w:tcPr>
            <w:tcW w:w="3039" w:type="pct"/>
            <w:shd w:val="clear" w:color="auto" w:fill="auto"/>
            <w:vAlign w:val="bottom"/>
            <w:hideMark/>
          </w:tcPr>
          <w:p w:rsidR="004B0AAA" w:rsidRPr="00165DDD" w:rsidRDefault="004B0AAA" w:rsidP="004B0AAA">
            <w:pPr>
              <w:spacing w:after="0" w:line="240" w:lineRule="auto"/>
              <w:jc w:val="both"/>
              <w:rPr>
                <w:rFonts w:ascii="Arial" w:eastAsia="Times New Roman" w:hAnsi="Arial" w:cs="Arial"/>
                <w:sz w:val="20"/>
                <w:szCs w:val="20"/>
              </w:rPr>
            </w:pPr>
            <w:r w:rsidRPr="00165DDD">
              <w:rPr>
                <w:rFonts w:ascii="Arial" w:eastAsia="Times New Roman" w:hAnsi="Arial" w:cs="Arial"/>
                <w:sz w:val="20"/>
                <w:szCs w:val="20"/>
              </w:rPr>
              <w:t xml:space="preserve">Enter drawdown time, </w:t>
            </w:r>
            <w:r w:rsidRPr="007E147F">
              <w:rPr>
                <w:rFonts w:ascii="Arial" w:eastAsia="Times New Roman" w:hAnsi="Arial" w:cs="Arial"/>
                <w:i/>
                <w:sz w:val="20"/>
                <w:szCs w:val="20"/>
              </w:rPr>
              <w:t>T</w:t>
            </w:r>
            <w:r w:rsidRPr="00165DDD">
              <w:rPr>
                <w:rFonts w:ascii="Arial" w:eastAsia="Times New Roman" w:hAnsi="Arial" w:cs="Arial"/>
                <w:sz w:val="20"/>
                <w:szCs w:val="20"/>
              </w:rPr>
              <w:t xml:space="preserve"> (max 48 hours)</w:t>
            </w:r>
          </w:p>
        </w:tc>
        <w:tc>
          <w:tcPr>
            <w:tcW w:w="595" w:type="pct"/>
            <w:vAlign w:val="center"/>
          </w:tcPr>
          <w:p w:rsidR="004B0AAA" w:rsidRPr="00165DDD" w:rsidRDefault="004B0AAA" w:rsidP="004B0AAA">
            <w:pPr>
              <w:spacing w:after="0" w:line="240" w:lineRule="auto"/>
              <w:jc w:val="right"/>
              <w:rPr>
                <w:rFonts w:ascii="Arial" w:eastAsia="Times New Roman" w:hAnsi="Arial" w:cs="Arial"/>
                <w:sz w:val="20"/>
                <w:szCs w:val="20"/>
              </w:rPr>
            </w:pPr>
            <w:r>
              <w:rPr>
                <w:rFonts w:ascii="Arial" w:eastAsia="Times New Roman" w:hAnsi="Arial" w:cs="Arial"/>
                <w:sz w:val="20"/>
                <w:szCs w:val="20"/>
              </w:rPr>
              <w:t>T=</w:t>
            </w:r>
          </w:p>
        </w:tc>
        <w:tc>
          <w:tcPr>
            <w:tcW w:w="595" w:type="pct"/>
          </w:tcPr>
          <w:p w:rsidR="004B0AAA" w:rsidRPr="00041077" w:rsidRDefault="004B0AAA" w:rsidP="004B0AAA">
            <w:pPr>
              <w:spacing w:after="0" w:line="240" w:lineRule="auto"/>
              <w:ind w:firstLineChars="500" w:firstLine="1100"/>
              <w:rPr>
                <w:rFonts w:eastAsia="Times New Roman" w:cs="Times New Roman"/>
                <w:color w:val="000000"/>
              </w:rPr>
            </w:pPr>
          </w:p>
        </w:tc>
        <w:tc>
          <w:tcPr>
            <w:tcW w:w="595" w:type="pct"/>
            <w:vAlign w:val="center"/>
          </w:tcPr>
          <w:p w:rsidR="004B0AAA" w:rsidRPr="00165DDD" w:rsidRDefault="004B0AAA" w:rsidP="004B0AAA">
            <w:pPr>
              <w:spacing w:after="0" w:line="240" w:lineRule="auto"/>
              <w:rPr>
                <w:rFonts w:ascii="Arial" w:eastAsia="Times New Roman" w:hAnsi="Arial" w:cs="Arial"/>
                <w:sz w:val="20"/>
                <w:szCs w:val="20"/>
              </w:rPr>
            </w:pPr>
            <w:r>
              <w:rPr>
                <w:rFonts w:ascii="Arial" w:eastAsia="Times New Roman" w:hAnsi="Arial" w:cs="Arial"/>
                <w:sz w:val="20"/>
                <w:szCs w:val="20"/>
              </w:rPr>
              <w:t>Hours</w:t>
            </w:r>
          </w:p>
        </w:tc>
      </w:tr>
      <w:tr w:rsidR="004B0AAA" w:rsidRPr="00041077" w:rsidTr="004B0AAA">
        <w:trPr>
          <w:gridAfter w:val="1"/>
          <w:wAfter w:w="6" w:type="pct"/>
          <w:trHeight w:val="432"/>
        </w:trPr>
        <w:tc>
          <w:tcPr>
            <w:tcW w:w="170" w:type="pct"/>
            <w:shd w:val="clear" w:color="auto" w:fill="auto"/>
            <w:noWrap/>
            <w:vAlign w:val="bottom"/>
            <w:hideMark/>
          </w:tcPr>
          <w:p w:rsidR="004B0AAA" w:rsidRPr="00041077" w:rsidRDefault="004B0AAA" w:rsidP="004B0AAA">
            <w:pPr>
              <w:spacing w:after="0" w:line="240" w:lineRule="auto"/>
              <w:jc w:val="right"/>
              <w:rPr>
                <w:rFonts w:eastAsia="Times New Roman" w:cs="Times New Roman"/>
                <w:color w:val="000000"/>
              </w:rPr>
            </w:pPr>
            <w:r>
              <w:rPr>
                <w:rFonts w:eastAsia="Times New Roman" w:cs="Times New Roman"/>
                <w:color w:val="000000"/>
              </w:rPr>
              <w:t>5</w:t>
            </w:r>
          </w:p>
        </w:tc>
        <w:tc>
          <w:tcPr>
            <w:tcW w:w="3039" w:type="pct"/>
            <w:shd w:val="clear" w:color="auto" w:fill="auto"/>
            <w:vAlign w:val="bottom"/>
            <w:hideMark/>
          </w:tcPr>
          <w:p w:rsidR="004B0AAA" w:rsidRPr="00165DDD" w:rsidRDefault="004B0AAA" w:rsidP="004B0AAA">
            <w:pPr>
              <w:spacing w:after="0" w:line="240" w:lineRule="auto"/>
              <w:jc w:val="both"/>
              <w:rPr>
                <w:rFonts w:ascii="Arial" w:eastAsia="Times New Roman" w:hAnsi="Arial" w:cs="Arial"/>
                <w:sz w:val="20"/>
                <w:szCs w:val="20"/>
              </w:rPr>
            </w:pPr>
            <w:r w:rsidRPr="00165DDD">
              <w:rPr>
                <w:rFonts w:ascii="Arial" w:eastAsia="Times New Roman" w:hAnsi="Arial" w:cs="Arial"/>
                <w:sz w:val="20"/>
                <w:szCs w:val="20"/>
              </w:rPr>
              <w:t>Calculate max retention depth that can be drawn down within the drawdown time</w:t>
            </w:r>
            <w:r>
              <w:rPr>
                <w:rFonts w:ascii="Arial" w:eastAsia="Times New Roman" w:hAnsi="Arial" w:cs="Arial"/>
                <w:sz w:val="20"/>
                <w:szCs w:val="20"/>
              </w:rPr>
              <w:t xml:space="preserve"> (feet)</w:t>
            </w:r>
            <w:r w:rsidRPr="00165DDD">
              <w:rPr>
                <w:rFonts w:ascii="Arial" w:eastAsia="Times New Roman" w:hAnsi="Arial" w:cs="Arial"/>
                <w:sz w:val="20"/>
                <w:szCs w:val="20"/>
              </w:rPr>
              <w:t xml:space="preserve">, </w:t>
            </w:r>
            <w:proofErr w:type="spellStart"/>
            <w:r w:rsidRPr="007E147F">
              <w:rPr>
                <w:rFonts w:ascii="Arial" w:eastAsia="Times New Roman" w:hAnsi="Arial" w:cs="Arial"/>
                <w:i/>
                <w:sz w:val="20"/>
                <w:szCs w:val="20"/>
              </w:rPr>
              <w:t>D</w:t>
            </w:r>
            <w:r w:rsidRPr="007E147F">
              <w:rPr>
                <w:rFonts w:ascii="Arial" w:eastAsia="Times New Roman" w:hAnsi="Arial" w:cs="Arial"/>
                <w:i/>
                <w:sz w:val="20"/>
                <w:szCs w:val="20"/>
                <w:vertAlign w:val="subscript"/>
              </w:rPr>
              <w:t>max</w:t>
            </w:r>
            <w:proofErr w:type="spellEnd"/>
            <w:r w:rsidRPr="007E147F">
              <w:rPr>
                <w:rFonts w:ascii="Arial" w:eastAsia="Times New Roman" w:hAnsi="Arial" w:cs="Arial"/>
                <w:i/>
                <w:sz w:val="20"/>
                <w:szCs w:val="20"/>
              </w:rPr>
              <w:t xml:space="preserve"> = </w:t>
            </w:r>
            <w:proofErr w:type="spellStart"/>
            <w:r>
              <w:rPr>
                <w:rFonts w:ascii="Arial" w:eastAsia="Times New Roman" w:hAnsi="Arial" w:cs="Arial"/>
                <w:i/>
                <w:sz w:val="20"/>
                <w:szCs w:val="20"/>
              </w:rPr>
              <w:t>K</w:t>
            </w:r>
            <w:r w:rsidRPr="007E147F">
              <w:rPr>
                <w:rFonts w:ascii="Arial" w:eastAsia="Times New Roman" w:hAnsi="Arial" w:cs="Arial"/>
                <w:i/>
                <w:sz w:val="20"/>
                <w:szCs w:val="20"/>
                <w:vertAlign w:val="subscript"/>
              </w:rPr>
              <w:t>design</w:t>
            </w:r>
            <w:proofErr w:type="spellEnd"/>
            <w:r w:rsidRPr="007E147F">
              <w:rPr>
                <w:rFonts w:ascii="Arial" w:eastAsia="Times New Roman" w:hAnsi="Arial" w:cs="Arial"/>
                <w:i/>
                <w:sz w:val="20"/>
                <w:szCs w:val="20"/>
              </w:rPr>
              <w:t xml:space="preserve"> x T x (1/12)</w:t>
            </w:r>
          </w:p>
        </w:tc>
        <w:tc>
          <w:tcPr>
            <w:tcW w:w="595" w:type="pct"/>
            <w:vAlign w:val="center"/>
          </w:tcPr>
          <w:p w:rsidR="004B0AAA" w:rsidRPr="007E147F" w:rsidRDefault="004B0AAA" w:rsidP="004B0AAA">
            <w:pPr>
              <w:spacing w:after="0" w:line="240" w:lineRule="auto"/>
              <w:jc w:val="right"/>
              <w:rPr>
                <w:rFonts w:ascii="Arial" w:eastAsia="Times New Roman" w:hAnsi="Arial" w:cs="Arial"/>
                <w:sz w:val="20"/>
                <w:szCs w:val="20"/>
              </w:rPr>
            </w:pPr>
            <w:proofErr w:type="spellStart"/>
            <w:r>
              <w:rPr>
                <w:rFonts w:ascii="Arial" w:eastAsia="Times New Roman" w:hAnsi="Arial" w:cs="Arial"/>
                <w:sz w:val="20"/>
                <w:szCs w:val="20"/>
              </w:rPr>
              <w:t>D</w:t>
            </w:r>
            <w:r>
              <w:rPr>
                <w:rFonts w:ascii="Arial" w:eastAsia="Times New Roman" w:hAnsi="Arial" w:cs="Arial"/>
                <w:sz w:val="20"/>
                <w:szCs w:val="20"/>
                <w:vertAlign w:val="subscript"/>
              </w:rPr>
              <w:t>max</w:t>
            </w:r>
            <w:proofErr w:type="spellEnd"/>
            <w:r>
              <w:rPr>
                <w:rFonts w:ascii="Arial" w:eastAsia="Times New Roman" w:hAnsi="Arial" w:cs="Arial"/>
                <w:sz w:val="20"/>
                <w:szCs w:val="20"/>
              </w:rPr>
              <w:t>=</w:t>
            </w:r>
          </w:p>
        </w:tc>
        <w:tc>
          <w:tcPr>
            <w:tcW w:w="595" w:type="pct"/>
          </w:tcPr>
          <w:p w:rsidR="004B0AAA" w:rsidRPr="00041077" w:rsidRDefault="004B0AAA" w:rsidP="004B0AAA">
            <w:pPr>
              <w:spacing w:after="0" w:line="240" w:lineRule="auto"/>
              <w:ind w:firstLineChars="500" w:firstLine="1100"/>
              <w:rPr>
                <w:rFonts w:eastAsia="Times New Roman" w:cs="Times New Roman"/>
                <w:color w:val="000000"/>
              </w:rPr>
            </w:pPr>
          </w:p>
        </w:tc>
        <w:tc>
          <w:tcPr>
            <w:tcW w:w="595" w:type="pct"/>
            <w:vAlign w:val="center"/>
          </w:tcPr>
          <w:p w:rsidR="004B0AAA" w:rsidRPr="00165DDD" w:rsidRDefault="004B0AAA" w:rsidP="004B0AAA">
            <w:pPr>
              <w:spacing w:after="0" w:line="240" w:lineRule="auto"/>
              <w:rPr>
                <w:rFonts w:ascii="Arial" w:eastAsia="Times New Roman" w:hAnsi="Arial" w:cs="Arial"/>
                <w:sz w:val="20"/>
                <w:szCs w:val="20"/>
              </w:rPr>
            </w:pPr>
            <w:r>
              <w:rPr>
                <w:rFonts w:ascii="Arial" w:eastAsia="Times New Roman" w:hAnsi="Arial" w:cs="Arial"/>
                <w:sz w:val="20"/>
                <w:szCs w:val="20"/>
              </w:rPr>
              <w:t>feet</w:t>
            </w:r>
          </w:p>
        </w:tc>
      </w:tr>
      <w:tr w:rsidR="004B0AAA" w:rsidRPr="00041077" w:rsidTr="004B0AAA">
        <w:trPr>
          <w:gridAfter w:val="1"/>
          <w:wAfter w:w="6" w:type="pct"/>
          <w:trHeight w:val="521"/>
        </w:trPr>
        <w:tc>
          <w:tcPr>
            <w:tcW w:w="170" w:type="pct"/>
            <w:shd w:val="clear" w:color="auto" w:fill="auto"/>
            <w:noWrap/>
            <w:vAlign w:val="bottom"/>
            <w:hideMark/>
          </w:tcPr>
          <w:p w:rsidR="004B0AAA" w:rsidRPr="00041077" w:rsidRDefault="004B0AAA" w:rsidP="004B0AAA">
            <w:pPr>
              <w:spacing w:after="0" w:line="240" w:lineRule="auto"/>
              <w:jc w:val="right"/>
              <w:rPr>
                <w:rFonts w:eastAsia="Times New Roman" w:cs="Times New Roman"/>
                <w:color w:val="000000"/>
              </w:rPr>
            </w:pPr>
            <w:r>
              <w:rPr>
                <w:rFonts w:eastAsia="Times New Roman" w:cs="Times New Roman"/>
                <w:color w:val="000000"/>
              </w:rPr>
              <w:t>6</w:t>
            </w:r>
          </w:p>
        </w:tc>
        <w:tc>
          <w:tcPr>
            <w:tcW w:w="3039" w:type="pct"/>
            <w:shd w:val="clear" w:color="auto" w:fill="auto"/>
            <w:vAlign w:val="bottom"/>
            <w:hideMark/>
          </w:tcPr>
          <w:p w:rsidR="004B0AAA" w:rsidRPr="00165DDD" w:rsidRDefault="004B0AAA" w:rsidP="004B0AAA">
            <w:pPr>
              <w:spacing w:after="0" w:line="240" w:lineRule="auto"/>
              <w:jc w:val="both"/>
              <w:rPr>
                <w:rFonts w:ascii="Arial" w:eastAsia="Times New Roman" w:hAnsi="Arial" w:cs="Arial"/>
                <w:sz w:val="20"/>
                <w:szCs w:val="20"/>
              </w:rPr>
            </w:pPr>
            <w:r w:rsidRPr="00165DDD">
              <w:rPr>
                <w:rFonts w:ascii="Arial" w:eastAsia="Times New Roman" w:hAnsi="Arial" w:cs="Arial"/>
                <w:sz w:val="20"/>
                <w:szCs w:val="20"/>
              </w:rPr>
              <w:t>Calculate minimum area required for BMP</w:t>
            </w:r>
            <w:r>
              <w:rPr>
                <w:rFonts w:ascii="Arial" w:eastAsia="Times New Roman" w:hAnsi="Arial" w:cs="Arial"/>
                <w:sz w:val="20"/>
                <w:szCs w:val="20"/>
              </w:rPr>
              <w:t xml:space="preserve"> (sq-ft)</w:t>
            </w:r>
            <w:r w:rsidRPr="00165DDD">
              <w:rPr>
                <w:rFonts w:ascii="Arial" w:eastAsia="Times New Roman" w:hAnsi="Arial" w:cs="Arial"/>
                <w:sz w:val="20"/>
                <w:szCs w:val="20"/>
              </w:rPr>
              <w:t xml:space="preserve">, </w:t>
            </w:r>
            <w:proofErr w:type="spellStart"/>
            <w:r w:rsidRPr="007E147F">
              <w:rPr>
                <w:rFonts w:ascii="Arial" w:eastAsia="Times New Roman" w:hAnsi="Arial" w:cs="Arial"/>
                <w:i/>
                <w:sz w:val="20"/>
                <w:szCs w:val="20"/>
              </w:rPr>
              <w:t>A</w:t>
            </w:r>
            <w:r w:rsidRPr="007E147F">
              <w:rPr>
                <w:rFonts w:ascii="Arial" w:eastAsia="Times New Roman" w:hAnsi="Arial" w:cs="Arial"/>
                <w:i/>
                <w:sz w:val="20"/>
                <w:szCs w:val="20"/>
                <w:vertAlign w:val="subscript"/>
              </w:rPr>
              <w:t>min</w:t>
            </w:r>
            <w:proofErr w:type="spellEnd"/>
            <w:r w:rsidRPr="007E147F">
              <w:rPr>
                <w:rFonts w:ascii="Arial" w:eastAsia="Times New Roman" w:hAnsi="Arial" w:cs="Arial"/>
                <w:i/>
                <w:sz w:val="20"/>
                <w:szCs w:val="20"/>
              </w:rPr>
              <w:t xml:space="preserve"> = </w:t>
            </w:r>
            <w:proofErr w:type="spellStart"/>
            <w:r w:rsidRPr="007E147F">
              <w:rPr>
                <w:rFonts w:ascii="Arial" w:eastAsia="Times New Roman" w:hAnsi="Arial" w:cs="Arial"/>
                <w:i/>
                <w:sz w:val="20"/>
                <w:szCs w:val="20"/>
              </w:rPr>
              <w:t>V</w:t>
            </w:r>
            <w:r w:rsidRPr="007E147F">
              <w:rPr>
                <w:rFonts w:ascii="Arial" w:eastAsia="Times New Roman" w:hAnsi="Arial" w:cs="Arial"/>
                <w:i/>
                <w:sz w:val="20"/>
                <w:szCs w:val="20"/>
                <w:vertAlign w:val="subscript"/>
              </w:rPr>
              <w:t>design</w:t>
            </w:r>
            <w:proofErr w:type="spellEnd"/>
            <w:r w:rsidRPr="007E147F">
              <w:rPr>
                <w:rFonts w:ascii="Arial" w:eastAsia="Times New Roman" w:hAnsi="Arial" w:cs="Arial"/>
                <w:i/>
                <w:sz w:val="20"/>
                <w:szCs w:val="20"/>
              </w:rPr>
              <w:t xml:space="preserve">/ </w:t>
            </w:r>
            <w:proofErr w:type="spellStart"/>
            <w:r w:rsidRPr="007E147F">
              <w:rPr>
                <w:rFonts w:ascii="Arial" w:eastAsia="Times New Roman" w:hAnsi="Arial" w:cs="Arial"/>
                <w:i/>
                <w:sz w:val="20"/>
                <w:szCs w:val="20"/>
              </w:rPr>
              <w:t>d</w:t>
            </w:r>
            <w:r w:rsidRPr="007E147F">
              <w:rPr>
                <w:rFonts w:ascii="Arial" w:eastAsia="Times New Roman" w:hAnsi="Arial" w:cs="Arial"/>
                <w:i/>
                <w:sz w:val="20"/>
                <w:szCs w:val="20"/>
                <w:vertAlign w:val="subscript"/>
              </w:rPr>
              <w:t>max</w:t>
            </w:r>
            <w:proofErr w:type="spellEnd"/>
          </w:p>
        </w:tc>
        <w:tc>
          <w:tcPr>
            <w:tcW w:w="595" w:type="pct"/>
            <w:vAlign w:val="center"/>
          </w:tcPr>
          <w:p w:rsidR="004B0AAA" w:rsidRPr="007E147F" w:rsidRDefault="004B0AAA" w:rsidP="004B0AAA">
            <w:pPr>
              <w:spacing w:after="0" w:line="240" w:lineRule="auto"/>
              <w:jc w:val="right"/>
              <w:rPr>
                <w:rFonts w:ascii="Arial" w:eastAsia="Times New Roman" w:hAnsi="Arial" w:cs="Arial"/>
                <w:sz w:val="20"/>
                <w:szCs w:val="20"/>
              </w:rPr>
            </w:pPr>
            <w:proofErr w:type="spellStart"/>
            <w:r>
              <w:rPr>
                <w:rFonts w:ascii="Arial" w:eastAsia="Times New Roman" w:hAnsi="Arial" w:cs="Arial"/>
                <w:sz w:val="20"/>
                <w:szCs w:val="20"/>
              </w:rPr>
              <w:t>A</w:t>
            </w:r>
            <w:r>
              <w:rPr>
                <w:rFonts w:ascii="Arial" w:eastAsia="Times New Roman" w:hAnsi="Arial" w:cs="Arial"/>
                <w:sz w:val="20"/>
                <w:szCs w:val="20"/>
                <w:vertAlign w:val="subscript"/>
              </w:rPr>
              <w:t>min</w:t>
            </w:r>
            <w:proofErr w:type="spellEnd"/>
            <w:r>
              <w:rPr>
                <w:rFonts w:ascii="Arial" w:eastAsia="Times New Roman" w:hAnsi="Arial" w:cs="Arial"/>
                <w:sz w:val="20"/>
                <w:szCs w:val="20"/>
              </w:rPr>
              <w:t>=</w:t>
            </w:r>
          </w:p>
        </w:tc>
        <w:tc>
          <w:tcPr>
            <w:tcW w:w="595" w:type="pct"/>
          </w:tcPr>
          <w:p w:rsidR="004B0AAA" w:rsidRPr="00041077" w:rsidRDefault="004B0AAA" w:rsidP="004B0AAA">
            <w:pPr>
              <w:spacing w:after="0" w:line="240" w:lineRule="auto"/>
              <w:ind w:firstLineChars="500" w:firstLine="1100"/>
              <w:rPr>
                <w:rFonts w:eastAsia="Times New Roman" w:cs="Times New Roman"/>
                <w:color w:val="000000"/>
              </w:rPr>
            </w:pPr>
          </w:p>
        </w:tc>
        <w:tc>
          <w:tcPr>
            <w:tcW w:w="595" w:type="pct"/>
            <w:vAlign w:val="center"/>
          </w:tcPr>
          <w:p w:rsidR="004B0AAA" w:rsidRPr="00165DDD" w:rsidRDefault="004B0AAA" w:rsidP="004B0AAA">
            <w:pPr>
              <w:keepNext/>
              <w:spacing w:after="0" w:line="240" w:lineRule="auto"/>
              <w:rPr>
                <w:rFonts w:ascii="Arial" w:eastAsia="Times New Roman" w:hAnsi="Arial" w:cs="Arial"/>
                <w:sz w:val="20"/>
                <w:szCs w:val="20"/>
              </w:rPr>
            </w:pPr>
            <w:r>
              <w:rPr>
                <w:rFonts w:ascii="Arial" w:eastAsia="Times New Roman" w:hAnsi="Arial" w:cs="Arial"/>
                <w:sz w:val="20"/>
                <w:szCs w:val="20"/>
              </w:rPr>
              <w:t>sq-ft</w:t>
            </w:r>
          </w:p>
        </w:tc>
      </w:tr>
    </w:tbl>
    <w:p w:rsidR="004D379D" w:rsidRDefault="004D379D" w:rsidP="002F160D">
      <w:pPr>
        <w:pStyle w:val="CDMBTEXT"/>
      </w:pPr>
    </w:p>
    <w:p w:rsidR="004D379D" w:rsidRDefault="004D379D">
      <w:pPr>
        <w:spacing w:after="200"/>
        <w:rPr>
          <w:rFonts w:eastAsia="Times New Roman" w:cs="Times New Roman"/>
          <w:szCs w:val="20"/>
        </w:rPr>
      </w:pPr>
      <w:r>
        <w:br w:type="page"/>
      </w:r>
    </w:p>
    <w:p w:rsidR="004D379D" w:rsidRPr="00B53524" w:rsidRDefault="004D379D" w:rsidP="002F160D">
      <w:pPr>
        <w:pStyle w:val="CDMBTEXT"/>
      </w:pPr>
    </w:p>
    <w:p w:rsidR="00FE3A73" w:rsidRDefault="002D19E2" w:rsidP="00A52883">
      <w:pPr>
        <w:pStyle w:val="Heading3"/>
      </w:pPr>
      <w:bookmarkStart w:id="180" w:name="_Toc285002569"/>
      <w:bookmarkStart w:id="181" w:name="_Toc285002658"/>
      <w:bookmarkStart w:id="182" w:name="_Toc285002753"/>
      <w:bookmarkStart w:id="183" w:name="_Ref285384680"/>
      <w:bookmarkEnd w:id="180"/>
      <w:bookmarkEnd w:id="181"/>
      <w:bookmarkEnd w:id="182"/>
      <w:r w:rsidRPr="002D19E2">
        <w:t>Capture Efficiency Method for Vo</w:t>
      </w:r>
      <w:r>
        <w:t>lume-B</w:t>
      </w:r>
      <w:r w:rsidRPr="002D19E2">
        <w:t>ased, Constant Drawdown BMPs</w:t>
      </w:r>
      <w:bookmarkEnd w:id="183"/>
      <w:r w:rsidRPr="002D19E2">
        <w:t xml:space="preserve"> </w:t>
      </w:r>
    </w:p>
    <w:p w:rsidR="002D19E2" w:rsidRDefault="002D19E2" w:rsidP="002D19E2">
      <w:pPr>
        <w:pStyle w:val="ReportBodyText"/>
        <w:spacing w:after="240" w:line="280" w:lineRule="exact"/>
      </w:pPr>
      <w:r w:rsidRPr="00311A64">
        <w:t xml:space="preserve">This section describes the </w:t>
      </w:r>
      <w:r>
        <w:t>recommended method of sizing volume-based BMPs to achieve the 80 percent capture performance criterion. This method has a number of potential applications in the Project WQMP preparation process, including:</w:t>
      </w:r>
    </w:p>
    <w:p w:rsidR="00FE3A73" w:rsidRDefault="002D19E2" w:rsidP="0027571A">
      <w:pPr>
        <w:pStyle w:val="ListBullet"/>
      </w:pPr>
      <w:r>
        <w:t>Use this method where a BMP</w:t>
      </w:r>
      <w:r w:rsidRPr="00311A64">
        <w:t xml:space="preserve"> can draw down in less than 48 hours and </w:t>
      </w:r>
      <w:r>
        <w:t xml:space="preserve">it is desired to demonstrate that 80 percent capture can be achieved using a BMP volume smaller than the </w:t>
      </w:r>
      <w:r w:rsidR="003C7091">
        <w:t>DCV</w:t>
      </w:r>
      <w:r>
        <w:t>.</w:t>
      </w:r>
    </w:p>
    <w:p w:rsidR="00FE3A73" w:rsidRDefault="002D19E2" w:rsidP="0027571A">
      <w:pPr>
        <w:pStyle w:val="ListBullet"/>
      </w:pPr>
      <w:r>
        <w:t xml:space="preserve">Use this method to determine how much volume (greater than the </w:t>
      </w:r>
      <w:r w:rsidR="003C7091">
        <w:t>DCV</w:t>
      </w:r>
      <w:r>
        <w:t xml:space="preserve">) must be provided to achieve 80 percent capture when </w:t>
      </w:r>
      <w:r w:rsidR="000921BE">
        <w:t xml:space="preserve">the </w:t>
      </w:r>
      <w:r>
        <w:t>drawdown time of the BMP exceeds 48 hours.</w:t>
      </w:r>
    </w:p>
    <w:p w:rsidR="00FE3A73" w:rsidRDefault="002D19E2" w:rsidP="0027571A">
      <w:pPr>
        <w:pStyle w:val="ListBullet"/>
      </w:pPr>
      <w:r>
        <w:t xml:space="preserve">Use this method to determine how much volume should be provided to achieve 80 percent capture where upstream BMP(s) have achieved some capture, but have not achieved 80 percent capture. </w:t>
      </w:r>
    </w:p>
    <w:p w:rsidR="002D19E2" w:rsidRPr="00B53524" w:rsidRDefault="002D19E2" w:rsidP="002D19E2">
      <w:pPr>
        <w:pStyle w:val="ReportBodyText"/>
        <w:spacing w:after="240" w:line="280" w:lineRule="exact"/>
      </w:pPr>
      <w:r w:rsidRPr="00311A64">
        <w:t xml:space="preserve">By nature, this is an iterative process that requires some </w:t>
      </w:r>
      <w:r w:rsidR="000921BE">
        <w:t xml:space="preserve">initial </w:t>
      </w:r>
      <w:r w:rsidRPr="00311A64">
        <w:t>assumptions about BMP design parameters</w:t>
      </w:r>
      <w:r w:rsidR="000921BE">
        <w:t xml:space="preserve"> and subsequent confirmation that these assumptions are valid</w:t>
      </w:r>
      <w:r w:rsidRPr="00311A64">
        <w:t>. For example sizing calculations depend on the assumed drawdown time</w:t>
      </w:r>
      <w:r w:rsidRPr="00311A64">
        <w:rPr>
          <w:vertAlign w:val="subscript"/>
        </w:rPr>
        <w:t xml:space="preserve">, </w:t>
      </w:r>
      <w:r w:rsidRPr="00311A64">
        <w:t>which depends on BMP depth, which may in turn</w:t>
      </w:r>
      <w:r w:rsidR="000921BE">
        <w:rPr>
          <w:vertAlign w:val="subscript"/>
        </w:rPr>
        <w:t xml:space="preserve"> </w:t>
      </w:r>
      <w:r w:rsidR="000921BE">
        <w:t>need to be adjusted to provide the required volume within the allowable footprint</w:t>
      </w:r>
      <w:r w:rsidRPr="00311A64">
        <w:t>. In general, the selection of reasonable BMP design parameters in the first iteration will result in minimal required additional iterations.</w:t>
      </w:r>
    </w:p>
    <w:p w:rsidR="002D19E2" w:rsidRPr="00B53524" w:rsidRDefault="002D19E2" w:rsidP="002D19E2">
      <w:pPr>
        <w:pStyle w:val="ReportBodyText"/>
        <w:spacing w:after="240" w:line="280" w:lineRule="exact"/>
      </w:pPr>
      <w:r>
        <w:t>This method is only suitable for volumetric BMPs that have a</w:t>
      </w:r>
      <w:r w:rsidRPr="00311A64">
        <w:t xml:space="preserve"> drawdown rate can be approximated as constant throughout the year</w:t>
      </w:r>
      <w:r w:rsidR="001B5D78">
        <w:t xml:space="preserve"> or over the wet season</w:t>
      </w:r>
      <w:r w:rsidRPr="00311A64">
        <w:t xml:space="preserve">. </w:t>
      </w:r>
      <w:r w:rsidR="001B5D78">
        <w:t xml:space="preserve"> </w:t>
      </w:r>
      <w:r w:rsidRPr="00311A64">
        <w:t xml:space="preserve">For these BMPs, </w:t>
      </w:r>
      <w:fldSimple w:instr=" REF _Ref257795285 \h  \* MERGEFORMAT ">
        <w:r w:rsidR="00126DE5" w:rsidRPr="00126DE5">
          <w:rPr>
            <w:rFonts w:cs="Arial"/>
            <w:b/>
            <w:color w:val="0070C0"/>
            <w:sz w:val="20"/>
            <w:szCs w:val="20"/>
          </w:rPr>
          <w:t>Figure III.2</w:t>
        </w:r>
      </w:fldSimple>
      <w:r w:rsidRPr="00311A64">
        <w:t xml:space="preserve"> should be used with the instructions below.  For flow-based BMPs, Section</w:t>
      </w:r>
      <w:r w:rsidR="001B5D78">
        <w:t xml:space="preserve"> </w:t>
      </w:r>
      <w:r w:rsidR="00126F3D" w:rsidRPr="00126DE5">
        <w:rPr>
          <w:rFonts w:cs="Arial"/>
          <w:b/>
          <w:color w:val="0070C0"/>
          <w:sz w:val="20"/>
          <w:szCs w:val="20"/>
        </w:rPr>
        <w:fldChar w:fldCharType="begin"/>
      </w:r>
      <w:r w:rsidR="00043B81" w:rsidRPr="00126DE5">
        <w:rPr>
          <w:b/>
          <w:color w:val="0070C0"/>
        </w:rPr>
        <w:instrText xml:space="preserve"> REF _Ref261617756 \r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b/>
          <w:color w:val="0070C0"/>
        </w:rPr>
        <w:t>III.4.3</w:t>
      </w:r>
      <w:r w:rsidR="00126F3D" w:rsidRPr="00126DE5">
        <w:rPr>
          <w:rFonts w:cs="Arial"/>
          <w:b/>
          <w:color w:val="0070C0"/>
          <w:sz w:val="20"/>
          <w:szCs w:val="20"/>
        </w:rPr>
        <w:fldChar w:fldCharType="end"/>
      </w:r>
      <w:r w:rsidRPr="00311A64">
        <w:t xml:space="preserve"> should be used.</w:t>
      </w:r>
    </w:p>
    <w:p w:rsidR="002D19E2" w:rsidRPr="00B53524" w:rsidRDefault="002D19E2" w:rsidP="00EA1EA6">
      <w:pPr>
        <w:pStyle w:val="CDMBTEXT"/>
        <w:outlineLvl w:val="0"/>
        <w:rPr>
          <w:b/>
          <w:u w:val="single"/>
        </w:rPr>
      </w:pPr>
      <w:bookmarkStart w:id="184" w:name="_Toc285308114"/>
      <w:r w:rsidRPr="00311A64">
        <w:rPr>
          <w:b/>
          <w:u w:val="single"/>
        </w:rPr>
        <w:t>Stepwise Instructions:</w:t>
      </w:r>
      <w:bookmarkEnd w:id="184"/>
    </w:p>
    <w:p w:rsidR="002D19E2" w:rsidRPr="00B53524" w:rsidRDefault="002D19E2" w:rsidP="009531AF">
      <w:pPr>
        <w:pStyle w:val="CDMBTEXT"/>
        <w:numPr>
          <w:ilvl w:val="0"/>
          <w:numId w:val="28"/>
        </w:numPr>
        <w:contextualSpacing/>
      </w:pPr>
      <w:r w:rsidRPr="00311A64">
        <w:t>Look up the 85</w:t>
      </w:r>
      <w:r w:rsidRPr="00311A64">
        <w:rPr>
          <w:vertAlign w:val="superscript"/>
        </w:rPr>
        <w:t>th</w:t>
      </w:r>
      <w:r w:rsidRPr="00311A64">
        <w:t xml:space="preserve"> percentile, 24-hour storm depth</w:t>
      </w:r>
      <w:r w:rsidR="001B5D78">
        <w:t xml:space="preserve"> for the project site</w:t>
      </w:r>
      <w:r w:rsidRPr="00311A64">
        <w:t xml:space="preserve"> from </w:t>
      </w:r>
      <w:r w:rsidR="00126F3D" w:rsidRPr="00126DE5">
        <w:rPr>
          <w:rFonts w:cs="Arial"/>
          <w:b/>
          <w:color w:val="0070C0"/>
          <w:sz w:val="20"/>
        </w:rPr>
        <w:fldChar w:fldCharType="begin"/>
      </w:r>
      <w:r w:rsidR="002D3A19" w:rsidRPr="00126DE5">
        <w:rPr>
          <w:rFonts w:cs="Arial"/>
          <w:b/>
          <w:color w:val="0070C0"/>
          <w:sz w:val="20"/>
        </w:rPr>
        <w:instrText xml:space="preserve"> REF _Ref285354586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b/>
          <w:color w:val="0070C0"/>
        </w:rPr>
        <w:t>Figure </w:t>
      </w:r>
      <w:r w:rsidR="00126DE5" w:rsidRPr="00126DE5">
        <w:rPr>
          <w:b/>
          <w:noProof/>
          <w:color w:val="0070C0"/>
        </w:rPr>
        <w:t>III</w:t>
      </w:r>
      <w:r w:rsidR="00126DE5" w:rsidRPr="00126DE5">
        <w:rPr>
          <w:b/>
          <w:color w:val="0070C0"/>
        </w:rPr>
        <w:t>.</w:t>
      </w:r>
      <w:r w:rsidR="00126DE5" w:rsidRPr="00126DE5">
        <w:rPr>
          <w:b/>
          <w:noProof/>
          <w:color w:val="0070C0"/>
        </w:rPr>
        <w:t>1</w:t>
      </w:r>
      <w:r w:rsidR="00126F3D" w:rsidRPr="00126DE5">
        <w:rPr>
          <w:rFonts w:cs="Arial"/>
          <w:b/>
          <w:color w:val="0070C0"/>
          <w:sz w:val="20"/>
        </w:rPr>
        <w:fldChar w:fldCharType="end"/>
      </w:r>
      <w:r w:rsidR="002D3A19">
        <w:rPr>
          <w:b/>
          <w:color w:val="0070C0"/>
        </w:rPr>
        <w:t>.</w:t>
      </w:r>
    </w:p>
    <w:p w:rsidR="002D19E2" w:rsidRPr="00B53524" w:rsidRDefault="002D19E2" w:rsidP="009531AF">
      <w:pPr>
        <w:pStyle w:val="CDMBTEXT"/>
        <w:numPr>
          <w:ilvl w:val="0"/>
          <w:numId w:val="28"/>
        </w:numPr>
        <w:contextualSpacing/>
      </w:pPr>
      <w:r w:rsidRPr="00311A64">
        <w:t xml:space="preserve">Estimate the drawdown time of the proposed BMP.  See </w:t>
      </w:r>
      <w:r w:rsidR="001B5D78">
        <w:t>the applicable</w:t>
      </w:r>
      <w:r w:rsidRPr="00311A64">
        <w:t xml:space="preserve"> BMP Fact Sheet for specific guidance on how to convert BMP geometry to estimated drawdown time. </w:t>
      </w:r>
      <w:r w:rsidR="001B5D78">
        <w:t xml:space="preserve">On </w:t>
      </w:r>
      <w:fldSimple w:instr=" REF _Ref257795285 \h  \* MERGEFORMAT ">
        <w:r w:rsidR="00126DE5" w:rsidRPr="00126DE5">
          <w:rPr>
            <w:rFonts w:cs="Arial"/>
            <w:b/>
            <w:color w:val="0070C0"/>
            <w:sz w:val="20"/>
          </w:rPr>
          <w:t>Figure III.2</w:t>
        </w:r>
      </w:fldSimple>
      <w:r w:rsidR="001B5D78">
        <w:t>, l</w:t>
      </w:r>
      <w:r w:rsidRPr="00311A64">
        <w:t>ocate where the</w:t>
      </w:r>
      <w:r w:rsidR="001B5D78">
        <w:t xml:space="preserve"> line corresponding to the</w:t>
      </w:r>
      <w:r w:rsidRPr="00311A64">
        <w:t xml:space="preserve"> estimated drawdown time inter</w:t>
      </w:r>
      <w:r w:rsidR="001B5D78">
        <w:t>sects with 80 percent capture</w:t>
      </w:r>
      <w:r w:rsidR="0063671C">
        <w:t xml:space="preserve">. </w:t>
      </w:r>
      <w:r w:rsidRPr="00311A64">
        <w:t>Pivot</w:t>
      </w:r>
      <w:r w:rsidR="001B5D78">
        <w:t xml:space="preserve"> to the X axis</w:t>
      </w:r>
      <w:r w:rsidRPr="00311A64">
        <w:t xml:space="preserve"> and read </w:t>
      </w:r>
      <w:r w:rsidR="001B5D78">
        <w:t>the fraction of the DCV that needs to be provided in the BMP. This is referred to as</w:t>
      </w:r>
      <w:r w:rsidRPr="00311A64">
        <w:t xml:space="preserve"> X</w:t>
      </w:r>
      <w:r w:rsidRPr="0063671C">
        <w:rPr>
          <w:vertAlign w:val="subscript"/>
        </w:rPr>
        <w:t>1</w:t>
      </w:r>
      <w:r w:rsidR="001B5D78">
        <w:t>.</w:t>
      </w:r>
      <w:r w:rsidRPr="00311A64">
        <w:t xml:space="preserve"> </w:t>
      </w:r>
    </w:p>
    <w:p w:rsidR="002D19E2" w:rsidRPr="00B53524" w:rsidRDefault="002D19E2" w:rsidP="009531AF">
      <w:pPr>
        <w:pStyle w:val="CDMBTEXT"/>
        <w:numPr>
          <w:ilvl w:val="0"/>
          <w:numId w:val="28"/>
        </w:numPr>
        <w:contextualSpacing/>
      </w:pPr>
      <w:r w:rsidRPr="00311A64">
        <w:t xml:space="preserve">Determine the capture efficiency achieved upstream of the BMP and trace a horizontal line on </w:t>
      </w:r>
      <w:fldSimple w:instr=" REF _Ref257795285 \h  \* MERGEFORMAT ">
        <w:r w:rsidR="00126DE5" w:rsidRPr="00126DE5">
          <w:rPr>
            <w:rFonts w:cs="Arial"/>
            <w:b/>
            <w:color w:val="0070C0"/>
            <w:sz w:val="20"/>
          </w:rPr>
          <w:t>Figure III.2</w:t>
        </w:r>
      </w:fldSimple>
      <w:r w:rsidRPr="00311A64">
        <w:rPr>
          <w:b/>
        </w:rPr>
        <w:t xml:space="preserve"> </w:t>
      </w:r>
      <w:r w:rsidRPr="00311A64">
        <w:t>co</w:t>
      </w:r>
      <w:r w:rsidR="0072515A">
        <w:t xml:space="preserve">rresponding to this value. Upstream </w:t>
      </w:r>
      <w:r w:rsidR="0063671C">
        <w:t>capture would result from HSCs or upstream LID BMPs.</w:t>
      </w:r>
    </w:p>
    <w:p w:rsidR="002D19E2" w:rsidRPr="00B53524" w:rsidRDefault="002D19E2" w:rsidP="009531AF">
      <w:pPr>
        <w:pStyle w:val="CDMBTEXT"/>
        <w:numPr>
          <w:ilvl w:val="0"/>
          <w:numId w:val="28"/>
        </w:numPr>
        <w:contextualSpacing/>
      </w:pPr>
      <w:r w:rsidRPr="00311A64">
        <w:t>Find where the line traced in (</w:t>
      </w:r>
      <w:r w:rsidR="0063671C">
        <w:t>3</w:t>
      </w:r>
      <w:r w:rsidRPr="00311A64">
        <w:t xml:space="preserve">) intersects with the drawdown time estimated in (2).  Pivot and read down to the horizontal axis to yield </w:t>
      </w:r>
      <w:r w:rsidR="0063671C">
        <w:t xml:space="preserve">the fraction of the DCV already provided by upstream HSCs and BMPs.  This is referred to as </w:t>
      </w:r>
      <w:r w:rsidRPr="00311A64">
        <w:t>X</w:t>
      </w:r>
      <w:r w:rsidRPr="00311A64">
        <w:rPr>
          <w:vertAlign w:val="subscript"/>
        </w:rPr>
        <w:t>2</w:t>
      </w:r>
      <w:r w:rsidRPr="00311A64">
        <w:t xml:space="preserve">.  </w:t>
      </w:r>
    </w:p>
    <w:p w:rsidR="002D19E2" w:rsidRPr="00B53524" w:rsidRDefault="002D19E2" w:rsidP="009531AF">
      <w:pPr>
        <w:pStyle w:val="CDMBTEXT"/>
        <w:numPr>
          <w:ilvl w:val="0"/>
          <w:numId w:val="28"/>
        </w:numPr>
        <w:contextualSpacing/>
      </w:pPr>
      <w:r w:rsidRPr="00311A64">
        <w:t>Subtract X</w:t>
      </w:r>
      <w:r w:rsidRPr="00311A64">
        <w:rPr>
          <w:vertAlign w:val="subscript"/>
        </w:rPr>
        <w:t>2</w:t>
      </w:r>
      <w:r w:rsidRPr="00311A64">
        <w:t xml:space="preserve"> from X</w:t>
      </w:r>
      <w:r w:rsidRPr="00311A64">
        <w:rPr>
          <w:vertAlign w:val="subscript"/>
        </w:rPr>
        <w:t>1</w:t>
      </w:r>
      <w:r w:rsidRPr="00311A64">
        <w:t xml:space="preserve"> to determine the fraction of the design volume that must be provided to achieve 80 percent capture. </w:t>
      </w:r>
    </w:p>
    <w:p w:rsidR="002D19E2" w:rsidRPr="00B53524" w:rsidRDefault="002D19E2" w:rsidP="009531AF">
      <w:pPr>
        <w:pStyle w:val="CDMBTEXT"/>
        <w:numPr>
          <w:ilvl w:val="0"/>
          <w:numId w:val="28"/>
        </w:numPr>
        <w:contextualSpacing/>
      </w:pPr>
      <w:r w:rsidRPr="00311A64">
        <w:t>Multiply the result of (</w:t>
      </w:r>
      <w:r w:rsidR="0063671C">
        <w:t>5</w:t>
      </w:r>
      <w:r w:rsidRPr="00311A64">
        <w:t>) by the 85</w:t>
      </w:r>
      <w:r w:rsidRPr="00311A64">
        <w:rPr>
          <w:vertAlign w:val="superscript"/>
        </w:rPr>
        <w:t>th</w:t>
      </w:r>
      <w:r w:rsidRPr="00311A64">
        <w:t xml:space="preserve"> percentile, 24-hour storm depth (1).</w:t>
      </w:r>
    </w:p>
    <w:p w:rsidR="002D19E2" w:rsidRPr="00B53524" w:rsidRDefault="002D19E2" w:rsidP="009531AF">
      <w:pPr>
        <w:pStyle w:val="CDMBTEXT"/>
        <w:numPr>
          <w:ilvl w:val="0"/>
          <w:numId w:val="28"/>
        </w:numPr>
        <w:contextualSpacing/>
      </w:pPr>
      <w:r w:rsidRPr="00311A64">
        <w:t>Compute runoff from the storm depth computed in (6) per guidance contained in Section</w:t>
      </w:r>
      <w:r w:rsidR="0063671C">
        <w:t xml:space="preserve"> </w:t>
      </w:r>
      <w:fldSimple w:instr=" REF _Ref285114903 \r \h  \* MERGEFORMAT ">
        <w:r w:rsidR="00126DE5" w:rsidRPr="00126DE5">
          <w:rPr>
            <w:rFonts w:cs="Arial"/>
            <w:b/>
            <w:color w:val="0070C0"/>
            <w:sz w:val="20"/>
          </w:rPr>
          <w:t>III.1.1</w:t>
        </w:r>
      </w:fldSimple>
      <w:r w:rsidRPr="00311A64">
        <w:t xml:space="preserve">.  This is the required BMP design volume. </w:t>
      </w:r>
    </w:p>
    <w:p w:rsidR="002D19E2" w:rsidRPr="00B53524" w:rsidRDefault="002D19E2" w:rsidP="009531AF">
      <w:pPr>
        <w:pStyle w:val="CDMBTEXT"/>
        <w:numPr>
          <w:ilvl w:val="0"/>
          <w:numId w:val="28"/>
        </w:numPr>
        <w:contextualSpacing/>
      </w:pPr>
      <w:r w:rsidRPr="00311A64">
        <w:t>Design the BMP to retain the required volume, and confirm that the drawdown time is no more than 25 percent greater than estimated in (2). If the computed drawdown time is greater than 125 percent of the estimated drawdown, then return to (2) and revise</w:t>
      </w:r>
      <w:r w:rsidR="0063671C">
        <w:t xml:space="preserve"> the initial drawdown time assumption</w:t>
      </w:r>
      <w:r w:rsidRPr="00311A64">
        <w:t xml:space="preserve">. </w:t>
      </w:r>
    </w:p>
    <w:p w:rsidR="002D19E2" w:rsidRPr="00B53524" w:rsidRDefault="002D19E2" w:rsidP="002D19E2">
      <w:pPr>
        <w:pStyle w:val="ReportBodyText"/>
        <w:spacing w:after="240" w:line="280" w:lineRule="exact"/>
      </w:pPr>
      <w:r w:rsidRPr="00311A64">
        <w:t>See the respective BMP facts sheets for BMP-specific instructions for the calculation of volume and drawdown time.</w:t>
      </w:r>
    </w:p>
    <w:p w:rsidR="002D19E2" w:rsidRPr="007A343A" w:rsidRDefault="002D19E2" w:rsidP="0027571A">
      <w:pPr>
        <w:pStyle w:val="ExampleHeading"/>
      </w:pPr>
      <w:bookmarkStart w:id="185" w:name="_Ref261601817"/>
      <w:bookmarkStart w:id="186" w:name="_Toc262408836"/>
      <w:bookmarkStart w:id="187" w:name="_Toc285308115"/>
      <w:bookmarkStart w:id="188" w:name="_Toc288541055"/>
      <w:bookmarkStart w:id="189" w:name="_Toc288554445"/>
      <w:proofErr w:type="gramStart"/>
      <w:r w:rsidRPr="007A343A">
        <w:t xml:space="preserve">Example </w:t>
      </w:r>
      <w:r w:rsidR="00126F3D" w:rsidRPr="00126DE5">
        <w:rPr>
          <w:color w:val="0070C0"/>
        </w:rPr>
        <w:fldChar w:fldCharType="begin"/>
      </w:r>
      <w:r w:rsidR="003F38A8" w:rsidRPr="00126DE5">
        <w:rPr>
          <w:color w:val="0070C0"/>
        </w:rPr>
        <w:instrText xml:space="preserve"> STYLEREF 1 \s </w:instrText>
      </w:r>
      <w:r w:rsidR="00126F3D" w:rsidRPr="00126DE5">
        <w:rPr>
          <w:color w:val="0070C0"/>
        </w:rPr>
        <w:fldChar w:fldCharType="separate"/>
      </w:r>
      <w:r w:rsidR="00126DE5" w:rsidRPr="00126DE5">
        <w:rPr>
          <w:noProof/>
          <w:color w:val="0070C0"/>
        </w:rPr>
        <w:t>III</w:t>
      </w:r>
      <w:r w:rsidR="00126F3D" w:rsidRPr="00126DE5">
        <w:rPr>
          <w:color w:val="0070C0"/>
        </w:rPr>
        <w:fldChar w:fldCharType="end"/>
      </w:r>
      <w:r w:rsidR="002E1936" w:rsidRPr="007A343A">
        <w:t>.</w:t>
      </w:r>
      <w:proofErr w:type="gramEnd"/>
      <w:r w:rsidR="00126F3D" w:rsidRPr="00126DE5">
        <w:rPr>
          <w:color w:val="0070C0"/>
        </w:rPr>
        <w:fldChar w:fldCharType="begin"/>
      </w:r>
      <w:r w:rsidR="002E1936" w:rsidRPr="00126DE5">
        <w:rPr>
          <w:color w:val="0070C0"/>
        </w:rPr>
        <w:instrText xml:space="preserve"> SEQ Example \* ARABIC \s 1 </w:instrText>
      </w:r>
      <w:r w:rsidR="00126F3D" w:rsidRPr="00126DE5">
        <w:rPr>
          <w:color w:val="0070C0"/>
        </w:rPr>
        <w:fldChar w:fldCharType="separate"/>
      </w:r>
      <w:r w:rsidR="00126DE5" w:rsidRPr="00126DE5">
        <w:rPr>
          <w:noProof/>
          <w:color w:val="0070C0"/>
        </w:rPr>
        <w:t>6</w:t>
      </w:r>
      <w:r w:rsidR="00126F3D" w:rsidRPr="00126DE5">
        <w:rPr>
          <w:color w:val="0070C0"/>
        </w:rPr>
        <w:fldChar w:fldCharType="end"/>
      </w:r>
      <w:bookmarkEnd w:id="185"/>
      <w:r w:rsidRPr="007A343A">
        <w:t>: Computing Design Criteria to Achieve Target Capture Efficiency, Bioretention BMP</w:t>
      </w:r>
      <w:bookmarkEnd w:id="186"/>
      <w:bookmarkEnd w:id="187"/>
      <w:bookmarkEnd w:id="188"/>
      <w:bookmarkEnd w:id="189"/>
    </w:p>
    <w:p w:rsidR="002D19E2" w:rsidRPr="00B53524" w:rsidRDefault="002D19E2" w:rsidP="00EA1EA6">
      <w:pPr>
        <w:pStyle w:val="ExampleSubheading"/>
        <w:outlineLvl w:val="0"/>
      </w:pPr>
      <w:bookmarkStart w:id="190" w:name="_Toc285308116"/>
      <w:r w:rsidRPr="00311A64">
        <w:t>Given:</w:t>
      </w:r>
      <w:bookmarkEnd w:id="190"/>
    </w:p>
    <w:p w:rsidR="002D19E2" w:rsidRPr="00B53524" w:rsidRDefault="002D19E2" w:rsidP="00FE704C">
      <w:pPr>
        <w:pStyle w:val="ExampleBullets"/>
        <w:keepNext/>
      </w:pPr>
      <w:r w:rsidRPr="00311A64">
        <w:t>85th percentile, 24-hr storm depth = 0.85 inches</w:t>
      </w:r>
    </w:p>
    <w:p w:rsidR="002D19E2" w:rsidRPr="00B53524" w:rsidRDefault="002D19E2" w:rsidP="00FE704C">
      <w:pPr>
        <w:pStyle w:val="ExampleBullets"/>
        <w:keepNext/>
      </w:pPr>
      <w:r w:rsidRPr="00311A64">
        <w:t>Drainage Area = 1.5 acres</w:t>
      </w:r>
    </w:p>
    <w:p w:rsidR="002D19E2" w:rsidRPr="00B53524" w:rsidRDefault="002D19E2" w:rsidP="00FE704C">
      <w:pPr>
        <w:pStyle w:val="ExampleBullets"/>
        <w:keepNext/>
      </w:pPr>
      <w:r w:rsidRPr="00311A64">
        <w:t>Imperviousness = 80%</w:t>
      </w:r>
    </w:p>
    <w:p w:rsidR="002D19E2" w:rsidRPr="00B53524" w:rsidRDefault="002D19E2" w:rsidP="00FE704C">
      <w:pPr>
        <w:pStyle w:val="ExampleBullets"/>
        <w:keepNext/>
      </w:pPr>
      <w:r w:rsidRPr="00311A64">
        <w:t>Effect of provided HSCs (d</w:t>
      </w:r>
      <w:r w:rsidRPr="00311A64">
        <w:rPr>
          <w:vertAlign w:val="subscript"/>
        </w:rPr>
        <w:t>HSC</w:t>
      </w:r>
      <w:r w:rsidRPr="00311A64">
        <w:t>) = 0.2 inches</w:t>
      </w:r>
    </w:p>
    <w:p w:rsidR="002D19E2" w:rsidRPr="00B53524" w:rsidRDefault="002D19E2" w:rsidP="00FE704C">
      <w:pPr>
        <w:pStyle w:val="ExampleBullets"/>
        <w:keepNext/>
      </w:pPr>
      <w:r w:rsidRPr="00311A64">
        <w:t>Assume to priority BMP to be considered is bioretention without underdrains, 24-inch total retention depth (surface ponding + pore space)</w:t>
      </w:r>
    </w:p>
    <w:p w:rsidR="002D19E2" w:rsidRPr="00B53524" w:rsidRDefault="002D19E2" w:rsidP="002D19E2">
      <w:pPr>
        <w:pStyle w:val="ExampleBullets"/>
      </w:pPr>
      <w:r w:rsidRPr="00311A64">
        <w:t>Design infiltration rate = 0.25 in/hr</w:t>
      </w:r>
    </w:p>
    <w:p w:rsidR="002D19E2" w:rsidRPr="00B53524" w:rsidRDefault="002D19E2" w:rsidP="00EA1EA6">
      <w:pPr>
        <w:pStyle w:val="ExampleSubheading"/>
        <w:outlineLvl w:val="0"/>
      </w:pPr>
      <w:bookmarkStart w:id="191" w:name="_Toc285308117"/>
      <w:r w:rsidRPr="00311A64">
        <w:t>Required:</w:t>
      </w:r>
      <w:bookmarkEnd w:id="191"/>
    </w:p>
    <w:p w:rsidR="002D19E2" w:rsidRPr="00B53524" w:rsidRDefault="002D19E2" w:rsidP="002D19E2">
      <w:pPr>
        <w:pStyle w:val="ExampleBullets"/>
      </w:pPr>
      <w:r w:rsidRPr="00311A64">
        <w:t>Determine volume required to achieve 80 percent capture</w:t>
      </w:r>
    </w:p>
    <w:p w:rsidR="002D19E2" w:rsidRPr="00B53524" w:rsidRDefault="002D19E2" w:rsidP="00EA1EA6">
      <w:pPr>
        <w:pStyle w:val="ExampleSubheading"/>
        <w:outlineLvl w:val="0"/>
      </w:pPr>
      <w:bookmarkStart w:id="192" w:name="_Toc285308118"/>
      <w:r w:rsidRPr="00311A64">
        <w:t>Solution:</w:t>
      </w:r>
      <w:bookmarkEnd w:id="192"/>
    </w:p>
    <w:p w:rsidR="002D19E2" w:rsidRPr="00B53524" w:rsidRDefault="002D19E2" w:rsidP="009531AF">
      <w:pPr>
        <w:pStyle w:val="ExampleNumbers"/>
        <w:numPr>
          <w:ilvl w:val="0"/>
          <w:numId w:val="56"/>
        </w:numPr>
        <w:ind w:left="720"/>
      </w:pPr>
      <w:r w:rsidRPr="00311A64">
        <w:t>85th percentile, 24-hr storm depth = 0.85 inches (</w:t>
      </w:r>
      <w:fldSimple w:instr=" REF _Ref285354586 \h  \* MERGEFORMAT ">
        <w:r w:rsidR="00126DE5" w:rsidRPr="00126DE5">
          <w:rPr>
            <w:rFonts w:ascii="Book Antiqua" w:hAnsi="Book Antiqua"/>
            <w:b/>
            <w:color w:val="0070C0"/>
          </w:rPr>
          <w:t>Figure III.1</w:t>
        </w:r>
      </w:fldSimple>
      <w:r w:rsidRPr="00311A64">
        <w:t>)</w:t>
      </w:r>
    </w:p>
    <w:p w:rsidR="002D19E2" w:rsidRPr="00B53524" w:rsidRDefault="002D19E2" w:rsidP="00853C9A">
      <w:pPr>
        <w:pStyle w:val="ExampleNumbers"/>
        <w:numPr>
          <w:ilvl w:val="0"/>
          <w:numId w:val="53"/>
        </w:numPr>
        <w:ind w:left="720"/>
      </w:pPr>
      <w:r w:rsidRPr="00311A64">
        <w:t xml:space="preserve">BMP has total retention depth of 24 inches with 0.25 in/hr. </w:t>
      </w:r>
      <w:r w:rsidRPr="00311A64">
        <w:br/>
      </w:r>
      <w:r w:rsidRPr="00B53524">
        <w:sym w:font="Wingdings" w:char="F0E0"/>
      </w:r>
      <w:r w:rsidRPr="00311A64">
        <w:t>24 in / 0.25 in/hr = 96 hour total dr</w:t>
      </w:r>
      <w:r w:rsidR="0063671C">
        <w:t xml:space="preserve">awdown </w:t>
      </w:r>
      <w:r w:rsidRPr="00311A64">
        <w:t xml:space="preserve"> </w:t>
      </w:r>
      <w:r w:rsidRPr="00311A64">
        <w:br/>
      </w:r>
      <w:r w:rsidRPr="00B53524">
        <w:sym w:font="Wingdings" w:char="F0E0"/>
      </w:r>
      <w:r w:rsidRPr="00311A64">
        <w:t xml:space="preserve">From </w:t>
      </w:r>
      <w:fldSimple w:instr=" REF _Ref261612156 \h  \* MERGEFORMAT ">
        <w:r w:rsidR="00126DE5" w:rsidRPr="00126DE5">
          <w:rPr>
            <w:rFonts w:ascii="Book Antiqua" w:hAnsi="Book Antiqua"/>
            <w:b/>
            <w:color w:val="0070C0"/>
          </w:rPr>
          <w:t xml:space="preserve">Figure </w:t>
        </w:r>
        <w:r w:rsidR="00126DE5" w:rsidRPr="00126DE5">
          <w:rPr>
            <w:rFonts w:ascii="Book Antiqua" w:hAnsi="Book Antiqua"/>
            <w:b/>
            <w:noProof/>
            <w:color w:val="0070C0"/>
          </w:rPr>
          <w:t>III</w:t>
        </w:r>
        <w:r w:rsidR="00126DE5" w:rsidRPr="00126DE5">
          <w:rPr>
            <w:rFonts w:ascii="Book Antiqua" w:hAnsi="Book Antiqua"/>
            <w:b/>
            <w:color w:val="0070C0"/>
          </w:rPr>
          <w:t>.5</w:t>
        </w:r>
      </w:fldSimple>
      <w:r w:rsidRPr="00311A64">
        <w:t>:  X</w:t>
      </w:r>
      <w:r w:rsidRPr="00311A64">
        <w:rPr>
          <w:vertAlign w:val="subscript"/>
        </w:rPr>
        <w:t>1</w:t>
      </w:r>
      <w:r w:rsidRPr="00311A64">
        <w:t xml:space="preserve"> = 1.38</w:t>
      </w:r>
    </w:p>
    <w:p w:rsidR="002D19E2" w:rsidRPr="00B53524" w:rsidRDefault="002D19E2" w:rsidP="00853C9A">
      <w:pPr>
        <w:pStyle w:val="ExampleNumbers"/>
        <w:numPr>
          <w:ilvl w:val="0"/>
          <w:numId w:val="53"/>
        </w:numPr>
        <w:ind w:left="720"/>
      </w:pPr>
      <w:r w:rsidRPr="00311A64">
        <w:t>Capture efficiency achieved by 0.2 inches of HSCs = 31%</w:t>
      </w:r>
      <w:r w:rsidR="0063671C">
        <w:t xml:space="preserve"> (</w:t>
      </w:r>
      <w:r w:rsidR="0063671C" w:rsidRPr="000B5480">
        <w:t>From</w:t>
      </w:r>
      <w:r w:rsidR="000B5480" w:rsidRPr="000B5480">
        <w:t xml:space="preserve"> </w:t>
      </w:r>
      <w:fldSimple w:instr=" REF _Ref285399288 \h  \* MERGEFORMAT ">
        <w:r w:rsidR="00126DE5" w:rsidRPr="00126DE5">
          <w:rPr>
            <w:rFonts w:ascii="Book Antiqua" w:hAnsi="Book Antiqua"/>
            <w:b/>
            <w:color w:val="0070C0"/>
          </w:rPr>
          <w:t xml:space="preserve">Table </w:t>
        </w:r>
        <w:r w:rsidR="00126DE5" w:rsidRPr="00126DE5">
          <w:rPr>
            <w:rFonts w:ascii="Book Antiqua" w:hAnsi="Book Antiqua"/>
            <w:b/>
            <w:noProof/>
            <w:color w:val="0070C0"/>
          </w:rPr>
          <w:t>III</w:t>
        </w:r>
        <w:r w:rsidR="00126DE5" w:rsidRPr="00126DE5">
          <w:rPr>
            <w:rFonts w:ascii="Book Antiqua" w:hAnsi="Book Antiqua"/>
            <w:b/>
            <w:color w:val="0070C0"/>
          </w:rPr>
          <w:t>.1</w:t>
        </w:r>
      </w:fldSimple>
      <w:r w:rsidR="0063671C" w:rsidRPr="000B5480">
        <w:t>)</w:t>
      </w:r>
      <w:r w:rsidRPr="000B5480">
        <w:t>.</w:t>
      </w:r>
      <w:r w:rsidRPr="00311A64">
        <w:t xml:space="preserve">  </w:t>
      </w:r>
    </w:p>
    <w:p w:rsidR="002D19E2" w:rsidRPr="00B53524" w:rsidRDefault="002D19E2" w:rsidP="00853C9A">
      <w:pPr>
        <w:pStyle w:val="ExampleNumbers"/>
        <w:numPr>
          <w:ilvl w:val="0"/>
          <w:numId w:val="53"/>
        </w:numPr>
        <w:ind w:left="720"/>
      </w:pPr>
      <w:r w:rsidRPr="00311A64">
        <w:t xml:space="preserve">From </w:t>
      </w:r>
      <w:fldSimple w:instr=" REF _Ref261612156 \h  \* MERGEFORMAT ">
        <w:r w:rsidR="00126DE5" w:rsidRPr="00126DE5">
          <w:rPr>
            <w:rFonts w:ascii="Book Antiqua" w:hAnsi="Book Antiqua"/>
            <w:b/>
            <w:color w:val="0070C0"/>
          </w:rPr>
          <w:t xml:space="preserve">Figure </w:t>
        </w:r>
        <w:r w:rsidR="00126DE5" w:rsidRPr="00126DE5">
          <w:rPr>
            <w:rFonts w:ascii="Book Antiqua" w:hAnsi="Book Antiqua"/>
            <w:b/>
            <w:noProof/>
            <w:color w:val="0070C0"/>
          </w:rPr>
          <w:t>III</w:t>
        </w:r>
        <w:r w:rsidR="00126DE5" w:rsidRPr="00126DE5">
          <w:rPr>
            <w:rFonts w:ascii="Book Antiqua" w:hAnsi="Book Antiqua"/>
            <w:b/>
            <w:color w:val="0070C0"/>
          </w:rPr>
          <w:t>.5</w:t>
        </w:r>
      </w:fldSimple>
      <w:r w:rsidRPr="00311A64">
        <w:t>: X</w:t>
      </w:r>
      <w:r w:rsidRPr="00311A64">
        <w:rPr>
          <w:vertAlign w:val="subscript"/>
        </w:rPr>
        <w:t>2</w:t>
      </w:r>
      <w:r w:rsidRPr="00311A64">
        <w:t xml:space="preserve"> = 0.26</w:t>
      </w:r>
    </w:p>
    <w:p w:rsidR="002D19E2" w:rsidRPr="00B53524" w:rsidRDefault="002D19E2" w:rsidP="00853C9A">
      <w:pPr>
        <w:pStyle w:val="ExampleNumbers"/>
        <w:numPr>
          <w:ilvl w:val="0"/>
          <w:numId w:val="53"/>
        </w:numPr>
        <w:ind w:left="720"/>
      </w:pPr>
      <w:r w:rsidRPr="00311A64">
        <w:t>Fraction of 85</w:t>
      </w:r>
      <w:r w:rsidRPr="00311A64">
        <w:rPr>
          <w:vertAlign w:val="superscript"/>
        </w:rPr>
        <w:t>th</w:t>
      </w:r>
      <w:r w:rsidRPr="00311A64">
        <w:t xml:space="preserve"> percentile, 24-hour storm depth required (X</w:t>
      </w:r>
      <w:r w:rsidRPr="00311A64">
        <w:rPr>
          <w:vertAlign w:val="subscript"/>
        </w:rPr>
        <w:t>1</w:t>
      </w:r>
      <w:r w:rsidRPr="00311A64">
        <w:t xml:space="preserve"> – X</w:t>
      </w:r>
      <w:r w:rsidRPr="00311A64">
        <w:rPr>
          <w:vertAlign w:val="subscript"/>
        </w:rPr>
        <w:t>2</w:t>
      </w:r>
      <w:r w:rsidRPr="00311A64">
        <w:t xml:space="preserve"> ) = (1.38 – 0.26) = 1.12</w:t>
      </w:r>
    </w:p>
    <w:p w:rsidR="002D19E2" w:rsidRPr="00B53524" w:rsidRDefault="002D19E2" w:rsidP="00853C9A">
      <w:pPr>
        <w:pStyle w:val="ExampleNumbers"/>
        <w:numPr>
          <w:ilvl w:val="0"/>
          <w:numId w:val="53"/>
        </w:numPr>
        <w:ind w:left="720"/>
      </w:pPr>
      <w:r w:rsidRPr="00311A64">
        <w:t xml:space="preserve">Required design storm depth = 0.85 inches * (1.12) = 0.95 inches </w:t>
      </w:r>
    </w:p>
    <w:p w:rsidR="002D19E2" w:rsidRPr="00B53524" w:rsidRDefault="002D19E2" w:rsidP="00853C9A">
      <w:pPr>
        <w:pStyle w:val="ExampleNumbers"/>
        <w:numPr>
          <w:ilvl w:val="0"/>
          <w:numId w:val="53"/>
        </w:numPr>
        <w:ind w:left="720"/>
      </w:pPr>
      <w:r w:rsidRPr="00311A64">
        <w:t>Required storage volume = 1.5 ac × 0.95 inches × (0.8×0.75 + 0.15) × 43560 sf/ac × 1/12 in/ft = 3,880 cu-ft</w:t>
      </w:r>
    </w:p>
    <w:p w:rsidR="002D19E2" w:rsidRPr="00B53524" w:rsidRDefault="002D19E2" w:rsidP="00853C9A">
      <w:pPr>
        <w:pStyle w:val="ExampleNumbers"/>
        <w:numPr>
          <w:ilvl w:val="0"/>
          <w:numId w:val="53"/>
        </w:numPr>
        <w:ind w:left="720"/>
      </w:pPr>
      <w:r w:rsidRPr="00311A64">
        <w:t xml:space="preserve">Check that 96 hour drawdown can be achieved for this volume. If recomputed drawdown time is more than 25% higher than original assumption, repeat steps starting with Step 2. </w:t>
      </w:r>
    </w:p>
    <w:p w:rsidR="002D19E2" w:rsidRPr="00B53524" w:rsidRDefault="002D19E2" w:rsidP="00EA1EA6">
      <w:pPr>
        <w:pStyle w:val="ExampleSubheading"/>
        <w:outlineLvl w:val="0"/>
      </w:pPr>
      <w:bookmarkStart w:id="193" w:name="_Toc285308119"/>
      <w:r w:rsidRPr="00311A64">
        <w:rPr>
          <w:shd w:val="clear" w:color="auto" w:fill="D9D9D9" w:themeFill="background1" w:themeFillShade="D9"/>
        </w:rPr>
        <w:t>Graphical operations supporting solution:</w:t>
      </w:r>
      <w:bookmarkEnd w:id="193"/>
    </w:p>
    <w:p w:rsidR="002D19E2" w:rsidRPr="000709C2" w:rsidRDefault="002D19E2" w:rsidP="002D19E2">
      <w:pPr>
        <w:pStyle w:val="ExampleText"/>
      </w:pPr>
    </w:p>
    <w:p w:rsidR="002D19E2" w:rsidRPr="000709C2" w:rsidRDefault="002D19E2" w:rsidP="002D19E2">
      <w:pPr>
        <w:pStyle w:val="ExampleText"/>
        <w:jc w:val="center"/>
      </w:pPr>
      <w:bookmarkStart w:id="194" w:name="_Ref261612156"/>
      <w:bookmarkStart w:id="195" w:name="_Toc262408824"/>
      <w:bookmarkStart w:id="196" w:name="_Toc288555029"/>
      <w:r w:rsidRPr="000709C2">
        <w:t xml:space="preserve">Figure </w:t>
      </w:r>
      <w:fldSimple w:instr=" STYLEREF 1 \s ">
        <w:r w:rsidR="00524D76">
          <w:rPr>
            <w:noProof/>
          </w:rPr>
          <w:t>III</w:t>
        </w:r>
      </w:fldSimple>
      <w:r w:rsidR="00524D76">
        <w:t>.</w:t>
      </w:r>
      <w:fldSimple w:instr=" SEQ Figure \* ARABIC \s 1 ">
        <w:r w:rsidR="00524D76">
          <w:rPr>
            <w:noProof/>
          </w:rPr>
          <w:t>5</w:t>
        </w:r>
      </w:fldSimple>
      <w:bookmarkEnd w:id="194"/>
      <w:r w:rsidRPr="000709C2">
        <w:br/>
        <w:t xml:space="preserve">Graphical Operations Supporting </w:t>
      </w:r>
      <w:fldSimple w:instr=" REF _Ref261601817 \h  \* MERGEFORMAT ">
        <w:r w:rsidR="00126DE5" w:rsidRPr="00126DE5">
          <w:rPr>
            <w:rFonts w:ascii="Book Antiqua" w:hAnsi="Book Antiqua"/>
            <w:i w:val="0"/>
            <w:color w:val="0070C0"/>
          </w:rPr>
          <w:t xml:space="preserve">Example </w:t>
        </w:r>
        <w:r w:rsidR="00126DE5" w:rsidRPr="00126DE5">
          <w:rPr>
            <w:rFonts w:ascii="Book Antiqua" w:hAnsi="Book Antiqua"/>
            <w:i w:val="0"/>
            <w:noProof/>
            <w:color w:val="0070C0"/>
          </w:rPr>
          <w:t>III</w:t>
        </w:r>
        <w:r w:rsidR="00126DE5" w:rsidRPr="00126DE5">
          <w:rPr>
            <w:rFonts w:ascii="Book Antiqua" w:hAnsi="Book Antiqua"/>
            <w:i w:val="0"/>
            <w:color w:val="0070C0"/>
          </w:rPr>
          <w:t>.6</w:t>
        </w:r>
        <w:bookmarkEnd w:id="195"/>
        <w:bookmarkEnd w:id="196"/>
      </w:fldSimple>
    </w:p>
    <w:p w:rsidR="002D19E2" w:rsidRPr="000709C2" w:rsidRDefault="002D19E2" w:rsidP="002D19E2">
      <w:pPr>
        <w:pStyle w:val="ExampleText"/>
      </w:pPr>
    </w:p>
    <w:p w:rsidR="002D19E2" w:rsidRPr="000709C2" w:rsidRDefault="004673AC" w:rsidP="002D19E2">
      <w:pPr>
        <w:pStyle w:val="ExampleText"/>
      </w:pPr>
      <w:r w:rsidRPr="000709C2">
        <w:rPr>
          <w:noProof/>
        </w:rPr>
        <w:drawing>
          <wp:inline distT="0" distB="0" distL="0" distR="0">
            <wp:extent cx="5652175" cy="4096926"/>
            <wp:effectExtent l="19050" t="0" r="5675" b="0"/>
            <wp:docPr id="100"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6" cstate="email"/>
                    <a:srcRect/>
                    <a:stretch>
                      <a:fillRect/>
                    </a:stretch>
                  </pic:blipFill>
                  <pic:spPr bwMode="auto">
                    <a:xfrm>
                      <a:off x="0" y="0"/>
                      <a:ext cx="5658484" cy="4101499"/>
                    </a:xfrm>
                    <a:prstGeom prst="rect">
                      <a:avLst/>
                    </a:prstGeom>
                    <a:noFill/>
                  </pic:spPr>
                </pic:pic>
              </a:graphicData>
            </a:graphic>
          </wp:inline>
        </w:drawing>
      </w:r>
    </w:p>
    <w:p w:rsidR="002D19E2" w:rsidRPr="000709C2" w:rsidRDefault="002D19E2" w:rsidP="002D19E2">
      <w:pPr>
        <w:pStyle w:val="ExampleText"/>
      </w:pPr>
    </w:p>
    <w:p w:rsidR="002D19E2" w:rsidRDefault="002D19E2" w:rsidP="002D19E2">
      <w:pPr>
        <w:pStyle w:val="ReportBodyText"/>
        <w:spacing w:after="240" w:line="280" w:lineRule="exact"/>
      </w:pPr>
    </w:p>
    <w:p w:rsidR="004B0AAA" w:rsidRDefault="004B0AAA">
      <w:pPr>
        <w:spacing w:after="200"/>
        <w:rPr>
          <w:rFonts w:eastAsiaTheme="majorEastAsia" w:cs="Times New Roman"/>
          <w:b/>
          <w:bCs/>
          <w:sz w:val="24"/>
        </w:rPr>
      </w:pPr>
      <w:bookmarkStart w:id="197" w:name="_Ref257654952"/>
      <w:bookmarkStart w:id="198" w:name="_Ref285119312"/>
      <w:r>
        <w:br w:type="page"/>
      </w:r>
    </w:p>
    <w:tbl>
      <w:tblPr>
        <w:tblW w:w="49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3"/>
        <w:gridCol w:w="5764"/>
        <w:gridCol w:w="1128"/>
        <w:gridCol w:w="1128"/>
        <w:gridCol w:w="1128"/>
        <w:gridCol w:w="11"/>
      </w:tblGrid>
      <w:tr w:rsidR="004B0AAA" w:rsidRPr="004B0AAA" w:rsidTr="0027571A">
        <w:trPr>
          <w:gridAfter w:val="1"/>
          <w:wAfter w:w="6" w:type="pct"/>
          <w:trHeight w:val="300"/>
          <w:tblHeader/>
        </w:trPr>
        <w:tc>
          <w:tcPr>
            <w:tcW w:w="4994" w:type="pct"/>
            <w:gridSpan w:val="5"/>
            <w:tcBorders>
              <w:top w:val="nil"/>
              <w:left w:val="nil"/>
              <w:bottom w:val="nil"/>
              <w:right w:val="nil"/>
            </w:tcBorders>
            <w:shd w:val="clear" w:color="auto" w:fill="auto"/>
            <w:noWrap/>
            <w:tcMar>
              <w:top w:w="36" w:type="dxa"/>
              <w:bottom w:w="36" w:type="dxa"/>
            </w:tcMar>
            <w:vAlign w:val="center"/>
            <w:hideMark/>
          </w:tcPr>
          <w:p w:rsidR="004B0AAA" w:rsidRPr="00524D76" w:rsidRDefault="004B0AAA" w:rsidP="00647B99">
            <w:pPr>
              <w:pStyle w:val="Caption"/>
              <w:rPr>
                <w:i/>
              </w:rPr>
            </w:pPr>
            <w:bookmarkStart w:id="199" w:name="_Ref285574546"/>
            <w:bookmarkStart w:id="200" w:name="_Toc288554458"/>
            <w:r w:rsidRPr="00524D76">
              <w:t xml:space="preserve">Worksheet </w:t>
            </w:r>
            <w:fldSimple w:instr=" SEQ Worksheet \* ALPHABETIC ">
              <w:r w:rsidR="00126DE5" w:rsidRPr="00524D76">
                <w:rPr>
                  <w:noProof/>
                </w:rPr>
                <w:t>C</w:t>
              </w:r>
            </w:fldSimple>
            <w:r w:rsidRPr="00524D76">
              <w:t>: Capture Efficiency Method for Volume-Based, Constant Drawdown BMPs</w:t>
            </w:r>
            <w:bookmarkEnd w:id="199"/>
            <w:bookmarkEnd w:id="200"/>
          </w:p>
        </w:tc>
      </w:tr>
      <w:tr w:rsidR="004B0AAA" w:rsidRPr="004B0AAA" w:rsidTr="004B0AAA">
        <w:trPr>
          <w:trHeight w:val="330"/>
        </w:trPr>
        <w:tc>
          <w:tcPr>
            <w:tcW w:w="5000" w:type="pct"/>
            <w:gridSpan w:val="6"/>
            <w:shd w:val="clear" w:color="auto" w:fill="D9D9D9"/>
            <w:noWrap/>
            <w:tcMar>
              <w:top w:w="36" w:type="dxa"/>
              <w:bottom w:w="36" w:type="dxa"/>
            </w:tcMar>
            <w:vAlign w:val="center"/>
            <w:hideMark/>
          </w:tcPr>
          <w:p w:rsidR="004B0AAA" w:rsidRPr="004B0AAA" w:rsidRDefault="004B0AAA" w:rsidP="004B0AAA">
            <w:pPr>
              <w:pStyle w:val="ExampleSubheading"/>
              <w:pBdr>
                <w:top w:val="none" w:sz="0" w:space="0" w:color="auto"/>
                <w:left w:val="none" w:sz="0" w:space="0" w:color="auto"/>
                <w:bottom w:val="none" w:sz="0" w:space="0" w:color="auto"/>
                <w:right w:val="none" w:sz="0" w:space="0" w:color="auto"/>
              </w:pBdr>
              <w:ind w:left="0"/>
              <w:outlineLvl w:val="0"/>
              <w:rPr>
                <w:color w:val="000000"/>
              </w:rPr>
            </w:pPr>
            <w:r w:rsidRPr="004B0AAA">
              <w:t xml:space="preserve">Step </w:t>
            </w:r>
            <w:r>
              <w:t>1</w:t>
            </w:r>
            <w:r w:rsidRPr="004B0AAA">
              <w:t>: Determine the design capture storm depth used for calculating volume</w:t>
            </w:r>
          </w:p>
        </w:tc>
      </w:tr>
      <w:tr w:rsidR="004B0AAA" w:rsidRPr="004B0AAA" w:rsidTr="004B0AAA">
        <w:trPr>
          <w:gridAfter w:val="1"/>
          <w:wAfter w:w="6" w:type="pct"/>
          <w:trHeight w:val="330"/>
        </w:trPr>
        <w:tc>
          <w:tcPr>
            <w:tcW w:w="170" w:type="pct"/>
            <w:shd w:val="clear" w:color="auto" w:fill="auto"/>
            <w:noWrap/>
            <w:tcMar>
              <w:top w:w="36" w:type="dxa"/>
              <w:bottom w:w="36" w:type="dxa"/>
            </w:tcMar>
            <w:vAlign w:val="center"/>
            <w:hideMark/>
          </w:tcPr>
          <w:p w:rsidR="004B0AAA" w:rsidRPr="004B0AAA" w:rsidRDefault="004B0AAA" w:rsidP="004B0AAA">
            <w:pPr>
              <w:spacing w:after="0" w:line="240" w:lineRule="auto"/>
              <w:jc w:val="center"/>
              <w:rPr>
                <w:rFonts w:ascii="Arial" w:eastAsia="Times New Roman" w:hAnsi="Arial" w:cs="Arial"/>
                <w:color w:val="000000"/>
                <w:sz w:val="20"/>
                <w:szCs w:val="20"/>
              </w:rPr>
            </w:pPr>
            <w:r w:rsidRPr="004B0AAA">
              <w:rPr>
                <w:rFonts w:ascii="Arial" w:eastAsia="Times New Roman" w:hAnsi="Arial" w:cs="Arial"/>
                <w:color w:val="000000"/>
                <w:sz w:val="20"/>
                <w:szCs w:val="20"/>
              </w:rPr>
              <w:t>1</w:t>
            </w:r>
          </w:p>
        </w:tc>
        <w:tc>
          <w:tcPr>
            <w:tcW w:w="3039" w:type="pct"/>
            <w:shd w:val="clear" w:color="auto" w:fill="auto"/>
            <w:tcMar>
              <w:top w:w="36" w:type="dxa"/>
              <w:bottom w:w="36" w:type="dxa"/>
            </w:tcMar>
            <w:vAlign w:val="bottom"/>
            <w:hideMark/>
          </w:tcPr>
          <w:p w:rsidR="004B0AAA" w:rsidRPr="004B0AAA" w:rsidRDefault="004B0AAA" w:rsidP="004B0AAA">
            <w:pPr>
              <w:spacing w:after="0" w:line="240" w:lineRule="auto"/>
              <w:jc w:val="both"/>
              <w:rPr>
                <w:rFonts w:ascii="Arial" w:eastAsia="Times New Roman" w:hAnsi="Arial" w:cs="Arial"/>
                <w:sz w:val="20"/>
                <w:szCs w:val="20"/>
              </w:rPr>
            </w:pPr>
            <w:r w:rsidRPr="004B0AAA">
              <w:rPr>
                <w:rFonts w:ascii="Arial" w:eastAsia="Times New Roman" w:hAnsi="Arial" w:cs="Arial"/>
                <w:sz w:val="20"/>
                <w:szCs w:val="20"/>
              </w:rPr>
              <w:t xml:space="preserve">Enter design capture storm depth from </w:t>
            </w:r>
            <w:fldSimple w:instr=" REF _Ref285354586 \h  \* MERGEFORMAT ">
              <w:r w:rsidR="00126DE5" w:rsidRPr="00126DE5">
                <w:rPr>
                  <w:rFonts w:cs="Arial"/>
                  <w:b/>
                  <w:color w:val="0070C0"/>
                  <w:sz w:val="20"/>
                  <w:szCs w:val="20"/>
                </w:rPr>
                <w:t>Figure III.1</w:t>
              </w:r>
            </w:fldSimple>
            <w:r w:rsidRPr="004B0AAA">
              <w:rPr>
                <w:rFonts w:ascii="Arial" w:eastAsia="Times New Roman" w:hAnsi="Arial" w:cs="Arial"/>
                <w:sz w:val="20"/>
                <w:szCs w:val="20"/>
              </w:rPr>
              <w:t xml:space="preserve">, </w:t>
            </w:r>
            <w:r w:rsidRPr="004B0AAA">
              <w:rPr>
                <w:rFonts w:ascii="Arial" w:eastAsia="Times New Roman" w:hAnsi="Arial" w:cs="Arial"/>
                <w:i/>
                <w:sz w:val="20"/>
                <w:szCs w:val="20"/>
              </w:rPr>
              <w:t xml:space="preserve">d </w:t>
            </w:r>
            <w:r w:rsidRPr="004B0AAA">
              <w:rPr>
                <w:rFonts w:ascii="Arial" w:eastAsia="Times New Roman" w:hAnsi="Arial" w:cs="Arial"/>
                <w:sz w:val="20"/>
                <w:szCs w:val="20"/>
              </w:rPr>
              <w:t>(inches)</w:t>
            </w:r>
          </w:p>
        </w:tc>
        <w:tc>
          <w:tcPr>
            <w:tcW w:w="595" w:type="pct"/>
            <w:tcMar>
              <w:top w:w="36" w:type="dxa"/>
              <w:bottom w:w="36" w:type="dxa"/>
            </w:tcMar>
            <w:vAlign w:val="center"/>
          </w:tcPr>
          <w:p w:rsidR="004B0AAA" w:rsidRPr="004B0AAA" w:rsidRDefault="004B0AAA" w:rsidP="004B0AAA">
            <w:pPr>
              <w:spacing w:after="0" w:line="240" w:lineRule="auto"/>
              <w:jc w:val="right"/>
              <w:rPr>
                <w:rFonts w:ascii="Arial" w:eastAsia="Times New Roman" w:hAnsi="Arial" w:cs="Arial"/>
                <w:sz w:val="20"/>
                <w:szCs w:val="20"/>
              </w:rPr>
            </w:pPr>
            <w:r w:rsidRPr="004B0AAA">
              <w:rPr>
                <w:rFonts w:ascii="Arial" w:eastAsia="Times New Roman" w:hAnsi="Arial" w:cs="Arial"/>
                <w:sz w:val="20"/>
                <w:szCs w:val="20"/>
              </w:rPr>
              <w:t>d=</w:t>
            </w:r>
          </w:p>
        </w:tc>
        <w:tc>
          <w:tcPr>
            <w:tcW w:w="595" w:type="pct"/>
            <w:tcMar>
              <w:top w:w="36" w:type="dxa"/>
              <w:bottom w:w="36" w:type="dxa"/>
            </w:tcMar>
            <w:vAlign w:val="center"/>
          </w:tcPr>
          <w:p w:rsidR="004B0AAA" w:rsidRPr="004B0AAA" w:rsidRDefault="004B0AAA" w:rsidP="004B0AAA">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4B0AAA" w:rsidRPr="004B0AAA" w:rsidRDefault="004B0AAA" w:rsidP="004B0AAA">
            <w:pPr>
              <w:spacing w:after="0" w:line="240" w:lineRule="auto"/>
              <w:rPr>
                <w:rFonts w:ascii="Arial" w:eastAsia="Times New Roman" w:hAnsi="Arial" w:cs="Arial"/>
                <w:sz w:val="20"/>
                <w:szCs w:val="20"/>
              </w:rPr>
            </w:pPr>
            <w:r w:rsidRPr="004B0AAA">
              <w:rPr>
                <w:rFonts w:ascii="Arial" w:eastAsia="Times New Roman" w:hAnsi="Arial" w:cs="Arial"/>
                <w:sz w:val="20"/>
                <w:szCs w:val="20"/>
              </w:rPr>
              <w:t>inches</w:t>
            </w:r>
          </w:p>
        </w:tc>
      </w:tr>
      <w:tr w:rsidR="004B0AAA" w:rsidRPr="004B0AAA" w:rsidTr="004B0AAA">
        <w:trPr>
          <w:gridAfter w:val="1"/>
          <w:wAfter w:w="6" w:type="pct"/>
          <w:trHeight w:val="330"/>
        </w:trPr>
        <w:tc>
          <w:tcPr>
            <w:tcW w:w="170" w:type="pct"/>
            <w:shd w:val="clear" w:color="auto" w:fill="auto"/>
            <w:noWrap/>
            <w:tcMar>
              <w:top w:w="36" w:type="dxa"/>
              <w:bottom w:w="36" w:type="dxa"/>
            </w:tcMar>
            <w:vAlign w:val="center"/>
            <w:hideMark/>
          </w:tcPr>
          <w:p w:rsidR="004B0AAA" w:rsidRPr="004B0AAA" w:rsidRDefault="004B0AAA" w:rsidP="004B0AAA">
            <w:pPr>
              <w:spacing w:after="0" w:line="240" w:lineRule="auto"/>
              <w:jc w:val="center"/>
              <w:rPr>
                <w:rFonts w:ascii="Arial" w:eastAsia="Times New Roman" w:hAnsi="Arial" w:cs="Arial"/>
                <w:color w:val="000000"/>
                <w:sz w:val="20"/>
                <w:szCs w:val="20"/>
              </w:rPr>
            </w:pPr>
            <w:r w:rsidRPr="004B0AAA">
              <w:rPr>
                <w:rFonts w:ascii="Arial" w:eastAsia="Times New Roman" w:hAnsi="Arial" w:cs="Arial"/>
                <w:color w:val="000000"/>
                <w:sz w:val="20"/>
                <w:szCs w:val="20"/>
              </w:rPr>
              <w:t>2</w:t>
            </w:r>
          </w:p>
        </w:tc>
        <w:tc>
          <w:tcPr>
            <w:tcW w:w="3039" w:type="pct"/>
            <w:shd w:val="clear" w:color="auto" w:fill="auto"/>
            <w:tcMar>
              <w:top w:w="36" w:type="dxa"/>
              <w:bottom w:w="36" w:type="dxa"/>
            </w:tcMar>
            <w:vAlign w:val="center"/>
            <w:hideMark/>
          </w:tcPr>
          <w:p w:rsidR="004B0AAA" w:rsidRPr="004B0AAA" w:rsidRDefault="004B0AAA" w:rsidP="004B0AAA">
            <w:pPr>
              <w:spacing w:after="0" w:line="240" w:lineRule="auto"/>
              <w:rPr>
                <w:rFonts w:ascii="Arial" w:eastAsia="Times New Roman" w:hAnsi="Arial" w:cs="Arial"/>
                <w:sz w:val="20"/>
                <w:szCs w:val="20"/>
              </w:rPr>
            </w:pPr>
            <w:r w:rsidRPr="004B0AAA">
              <w:rPr>
                <w:rFonts w:ascii="Arial" w:eastAsia="Times New Roman" w:hAnsi="Arial" w:cs="Arial"/>
                <w:sz w:val="20"/>
                <w:szCs w:val="20"/>
              </w:rPr>
              <w:t xml:space="preserve">Enter calculated drawdown time of the proposed BMP based on equation provided in applicable BMP Fact Sheet, </w:t>
            </w:r>
            <w:r w:rsidRPr="004B0AAA">
              <w:rPr>
                <w:rFonts w:ascii="Arial" w:eastAsia="Times New Roman" w:hAnsi="Arial" w:cs="Arial"/>
                <w:i/>
                <w:sz w:val="20"/>
                <w:szCs w:val="20"/>
              </w:rPr>
              <w:t xml:space="preserve">T </w:t>
            </w:r>
            <w:r w:rsidRPr="004B0AAA">
              <w:rPr>
                <w:rFonts w:ascii="Arial" w:eastAsia="Times New Roman" w:hAnsi="Arial" w:cs="Arial"/>
                <w:sz w:val="20"/>
                <w:szCs w:val="20"/>
              </w:rPr>
              <w:t>(hours)</w:t>
            </w:r>
          </w:p>
        </w:tc>
        <w:tc>
          <w:tcPr>
            <w:tcW w:w="595" w:type="pct"/>
            <w:tcMar>
              <w:top w:w="36" w:type="dxa"/>
              <w:bottom w:w="36" w:type="dxa"/>
            </w:tcMar>
            <w:vAlign w:val="center"/>
          </w:tcPr>
          <w:p w:rsidR="004B0AAA" w:rsidRPr="004B0AAA" w:rsidRDefault="004B0AAA" w:rsidP="004B0AAA">
            <w:pPr>
              <w:spacing w:after="0" w:line="240" w:lineRule="auto"/>
              <w:jc w:val="right"/>
              <w:rPr>
                <w:rFonts w:ascii="Arial" w:eastAsia="Times New Roman" w:hAnsi="Arial" w:cs="Arial"/>
                <w:sz w:val="20"/>
                <w:szCs w:val="20"/>
              </w:rPr>
            </w:pPr>
            <w:r w:rsidRPr="004B0AAA">
              <w:rPr>
                <w:rFonts w:ascii="Arial" w:eastAsia="Times New Roman" w:hAnsi="Arial" w:cs="Arial"/>
                <w:sz w:val="20"/>
                <w:szCs w:val="20"/>
              </w:rPr>
              <w:t>T=</w:t>
            </w:r>
          </w:p>
        </w:tc>
        <w:tc>
          <w:tcPr>
            <w:tcW w:w="595" w:type="pct"/>
            <w:tcMar>
              <w:top w:w="36" w:type="dxa"/>
              <w:bottom w:w="36" w:type="dxa"/>
            </w:tcMar>
            <w:vAlign w:val="center"/>
          </w:tcPr>
          <w:p w:rsidR="004B0AAA" w:rsidRPr="004B0AAA" w:rsidRDefault="004B0AAA" w:rsidP="004B0AAA">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4B0AAA" w:rsidRPr="004B0AAA" w:rsidRDefault="004B0AAA" w:rsidP="004B0AAA">
            <w:pPr>
              <w:spacing w:after="0" w:line="240" w:lineRule="auto"/>
              <w:rPr>
                <w:rFonts w:ascii="Arial" w:eastAsia="Times New Roman" w:hAnsi="Arial" w:cs="Arial"/>
                <w:sz w:val="20"/>
                <w:szCs w:val="20"/>
              </w:rPr>
            </w:pPr>
            <w:r w:rsidRPr="004B0AAA">
              <w:rPr>
                <w:rFonts w:ascii="Arial" w:eastAsia="Times New Roman" w:hAnsi="Arial" w:cs="Arial"/>
                <w:sz w:val="20"/>
                <w:szCs w:val="20"/>
              </w:rPr>
              <w:t>hours</w:t>
            </w:r>
          </w:p>
        </w:tc>
      </w:tr>
      <w:tr w:rsidR="004B0AAA" w:rsidRPr="004B0AAA" w:rsidTr="004B0AAA">
        <w:trPr>
          <w:gridAfter w:val="1"/>
          <w:wAfter w:w="6" w:type="pct"/>
          <w:trHeight w:val="330"/>
        </w:trPr>
        <w:tc>
          <w:tcPr>
            <w:tcW w:w="170" w:type="pct"/>
            <w:shd w:val="clear" w:color="auto" w:fill="auto"/>
            <w:noWrap/>
            <w:tcMar>
              <w:top w:w="36" w:type="dxa"/>
              <w:bottom w:w="36" w:type="dxa"/>
            </w:tcMar>
            <w:vAlign w:val="center"/>
            <w:hideMark/>
          </w:tcPr>
          <w:p w:rsidR="004B0AAA" w:rsidRPr="004B0AAA" w:rsidRDefault="004B0AAA" w:rsidP="004B0AAA">
            <w:pPr>
              <w:jc w:val="center"/>
              <w:rPr>
                <w:rFonts w:ascii="Arial" w:hAnsi="Arial" w:cs="Arial"/>
                <w:color w:val="000000"/>
                <w:sz w:val="20"/>
                <w:szCs w:val="20"/>
              </w:rPr>
            </w:pPr>
            <w:r w:rsidRPr="004B0AAA">
              <w:rPr>
                <w:rFonts w:ascii="Arial" w:hAnsi="Arial" w:cs="Arial"/>
                <w:color w:val="000000"/>
                <w:sz w:val="20"/>
                <w:szCs w:val="20"/>
              </w:rPr>
              <w:t>3</w:t>
            </w:r>
          </w:p>
        </w:tc>
        <w:tc>
          <w:tcPr>
            <w:tcW w:w="3039" w:type="pct"/>
            <w:shd w:val="clear" w:color="auto" w:fill="auto"/>
            <w:tcMar>
              <w:top w:w="36" w:type="dxa"/>
              <w:left w:w="115" w:type="dxa"/>
              <w:bottom w:w="36" w:type="dxa"/>
              <w:right w:w="115" w:type="dxa"/>
            </w:tcMar>
            <w:vAlign w:val="center"/>
            <w:hideMark/>
          </w:tcPr>
          <w:p w:rsidR="004B0AAA" w:rsidRPr="004B0AAA" w:rsidRDefault="004B0AAA" w:rsidP="004B0AAA">
            <w:pPr>
              <w:spacing w:after="0"/>
              <w:rPr>
                <w:rFonts w:ascii="Arial" w:hAnsi="Arial" w:cs="Arial"/>
                <w:color w:val="000000"/>
                <w:sz w:val="20"/>
                <w:szCs w:val="20"/>
              </w:rPr>
            </w:pPr>
            <w:r w:rsidRPr="004B0AAA">
              <w:rPr>
                <w:rFonts w:ascii="Arial" w:eastAsia="Times New Roman" w:hAnsi="Arial" w:cs="Arial"/>
                <w:sz w:val="20"/>
                <w:szCs w:val="20"/>
              </w:rPr>
              <w:t xml:space="preserve">Using </w:t>
            </w:r>
            <w:fldSimple w:instr=" REF _Ref257795285 \h  \* MERGEFORMAT ">
              <w:r w:rsidR="00126DE5" w:rsidRPr="00126DE5">
                <w:rPr>
                  <w:rFonts w:cs="Arial"/>
                  <w:b/>
                  <w:color w:val="0070C0"/>
                  <w:sz w:val="20"/>
                  <w:szCs w:val="20"/>
                </w:rPr>
                <w:t>Figure III.2</w:t>
              </w:r>
            </w:fldSimple>
            <w:r w:rsidRPr="004B0AAA">
              <w:rPr>
                <w:rFonts w:ascii="Arial" w:eastAsia="Times New Roman" w:hAnsi="Arial" w:cs="Arial"/>
                <w:sz w:val="20"/>
                <w:szCs w:val="20"/>
              </w:rPr>
              <w:t xml:space="preserve">, determine the "fraction of design capture storm depth" at which the </w:t>
            </w:r>
            <w:r>
              <w:rPr>
                <w:rFonts w:ascii="Arial" w:eastAsia="Times New Roman" w:hAnsi="Arial" w:cs="Arial"/>
                <w:sz w:val="20"/>
                <w:szCs w:val="20"/>
              </w:rPr>
              <w:t xml:space="preserve">BMP </w:t>
            </w:r>
            <w:r w:rsidRPr="004B0AAA">
              <w:rPr>
                <w:rFonts w:ascii="Arial" w:eastAsia="Times New Roman" w:hAnsi="Arial" w:cs="Arial"/>
                <w:sz w:val="20"/>
                <w:szCs w:val="20"/>
              </w:rPr>
              <w:t>drawdown time</w:t>
            </w:r>
            <w:r>
              <w:rPr>
                <w:rFonts w:ascii="Arial" w:eastAsia="Times New Roman" w:hAnsi="Arial" w:cs="Arial"/>
                <w:sz w:val="20"/>
                <w:szCs w:val="20"/>
              </w:rPr>
              <w:t xml:space="preserve"> (T) </w:t>
            </w:r>
            <w:r w:rsidRPr="004B0AAA">
              <w:rPr>
                <w:rFonts w:ascii="Arial" w:eastAsia="Times New Roman" w:hAnsi="Arial" w:cs="Arial"/>
                <w:sz w:val="20"/>
                <w:szCs w:val="20"/>
              </w:rPr>
              <w:t xml:space="preserve">line achieves 80% capture efficiency, </w:t>
            </w:r>
            <w:r w:rsidRPr="004B0AAA">
              <w:rPr>
                <w:rFonts w:ascii="Arial" w:eastAsia="Times New Roman" w:hAnsi="Arial" w:cs="Arial"/>
                <w:i/>
                <w:sz w:val="20"/>
                <w:szCs w:val="20"/>
              </w:rPr>
              <w:t>X</w:t>
            </w:r>
            <w:r w:rsidRPr="004B0AAA">
              <w:rPr>
                <w:rFonts w:ascii="Arial" w:eastAsia="Times New Roman" w:hAnsi="Arial" w:cs="Arial"/>
                <w:i/>
                <w:sz w:val="20"/>
                <w:szCs w:val="20"/>
                <w:vertAlign w:val="subscript"/>
              </w:rPr>
              <w:t>1</w:t>
            </w:r>
          </w:p>
        </w:tc>
        <w:tc>
          <w:tcPr>
            <w:tcW w:w="595" w:type="pct"/>
            <w:tcMar>
              <w:top w:w="36" w:type="dxa"/>
              <w:bottom w:w="36" w:type="dxa"/>
            </w:tcMar>
            <w:vAlign w:val="bottom"/>
          </w:tcPr>
          <w:p w:rsidR="004B0AAA" w:rsidRPr="004B0AAA" w:rsidRDefault="004B0AAA" w:rsidP="004B0AAA">
            <w:pPr>
              <w:jc w:val="right"/>
              <w:rPr>
                <w:rFonts w:ascii="Arial" w:hAnsi="Arial" w:cs="Arial"/>
                <w:color w:val="000000"/>
                <w:sz w:val="20"/>
                <w:szCs w:val="20"/>
              </w:rPr>
            </w:pPr>
            <w:r w:rsidRPr="004B0AAA">
              <w:rPr>
                <w:rFonts w:ascii="Arial" w:hAnsi="Arial" w:cs="Arial"/>
                <w:color w:val="000000"/>
                <w:sz w:val="20"/>
                <w:szCs w:val="20"/>
              </w:rPr>
              <w:t>X</w:t>
            </w:r>
            <w:r w:rsidRPr="004B0AAA">
              <w:rPr>
                <w:rFonts w:ascii="Arial" w:hAnsi="Arial" w:cs="Arial"/>
                <w:color w:val="000000"/>
                <w:sz w:val="20"/>
                <w:szCs w:val="20"/>
                <w:vertAlign w:val="subscript"/>
              </w:rPr>
              <w:t>1</w:t>
            </w:r>
            <w:r w:rsidRPr="004B0AAA">
              <w:rPr>
                <w:rFonts w:ascii="Arial" w:hAnsi="Arial" w:cs="Arial"/>
                <w:color w:val="000000"/>
                <w:sz w:val="20"/>
                <w:szCs w:val="20"/>
              </w:rPr>
              <w:t>=</w:t>
            </w:r>
          </w:p>
        </w:tc>
        <w:tc>
          <w:tcPr>
            <w:tcW w:w="595" w:type="pct"/>
            <w:tcMar>
              <w:top w:w="36" w:type="dxa"/>
              <w:bottom w:w="36" w:type="dxa"/>
            </w:tcMar>
            <w:vAlign w:val="center"/>
          </w:tcPr>
          <w:p w:rsidR="004B0AAA" w:rsidRPr="004B0AAA" w:rsidRDefault="004B0AAA" w:rsidP="004B0AAA">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4B0AAA" w:rsidRPr="004B0AAA" w:rsidRDefault="004B0AAA" w:rsidP="004B0AAA">
            <w:pPr>
              <w:spacing w:after="0" w:line="240" w:lineRule="auto"/>
              <w:rPr>
                <w:rFonts w:ascii="Arial" w:eastAsia="Times New Roman" w:hAnsi="Arial" w:cs="Arial"/>
                <w:sz w:val="20"/>
                <w:szCs w:val="20"/>
              </w:rPr>
            </w:pPr>
          </w:p>
        </w:tc>
      </w:tr>
      <w:tr w:rsidR="004B0AAA" w:rsidRPr="004B0AAA" w:rsidTr="004B0AAA">
        <w:trPr>
          <w:gridAfter w:val="1"/>
          <w:wAfter w:w="6" w:type="pct"/>
          <w:trHeight w:val="330"/>
        </w:trPr>
        <w:tc>
          <w:tcPr>
            <w:tcW w:w="170" w:type="pct"/>
            <w:shd w:val="clear" w:color="auto" w:fill="auto"/>
            <w:noWrap/>
            <w:tcMar>
              <w:top w:w="36" w:type="dxa"/>
              <w:bottom w:w="36" w:type="dxa"/>
            </w:tcMar>
            <w:vAlign w:val="center"/>
            <w:hideMark/>
          </w:tcPr>
          <w:p w:rsidR="004B0AAA" w:rsidRPr="004B0AAA" w:rsidRDefault="004B0AAA" w:rsidP="004B0AAA">
            <w:pPr>
              <w:spacing w:after="0" w:line="240" w:lineRule="auto"/>
              <w:jc w:val="center"/>
              <w:rPr>
                <w:rFonts w:ascii="Arial" w:eastAsia="Times New Roman" w:hAnsi="Arial" w:cs="Arial"/>
                <w:color w:val="000000"/>
                <w:sz w:val="20"/>
                <w:szCs w:val="20"/>
              </w:rPr>
            </w:pPr>
            <w:r w:rsidRPr="004B0AAA">
              <w:rPr>
                <w:rFonts w:ascii="Arial" w:eastAsia="Times New Roman" w:hAnsi="Arial" w:cs="Arial"/>
                <w:color w:val="000000"/>
                <w:sz w:val="20"/>
                <w:szCs w:val="20"/>
              </w:rPr>
              <w:t>4</w:t>
            </w:r>
          </w:p>
        </w:tc>
        <w:tc>
          <w:tcPr>
            <w:tcW w:w="3039" w:type="pct"/>
            <w:shd w:val="clear" w:color="auto" w:fill="auto"/>
            <w:tcMar>
              <w:top w:w="36" w:type="dxa"/>
              <w:bottom w:w="36" w:type="dxa"/>
            </w:tcMar>
            <w:vAlign w:val="center"/>
            <w:hideMark/>
          </w:tcPr>
          <w:p w:rsidR="004B0AAA" w:rsidRPr="004B0AAA" w:rsidRDefault="004B0AAA" w:rsidP="004B0AAA">
            <w:pPr>
              <w:spacing w:after="0" w:line="240" w:lineRule="auto"/>
              <w:rPr>
                <w:rFonts w:ascii="Arial" w:eastAsia="Times New Roman" w:hAnsi="Arial" w:cs="Arial"/>
                <w:sz w:val="20"/>
                <w:szCs w:val="20"/>
              </w:rPr>
            </w:pPr>
            <w:r w:rsidRPr="004B0AAA">
              <w:rPr>
                <w:rFonts w:ascii="Arial" w:eastAsia="Times New Roman" w:hAnsi="Arial" w:cs="Arial"/>
                <w:sz w:val="20"/>
                <w:szCs w:val="20"/>
              </w:rPr>
              <w:t xml:space="preserve">Enter the effect depth of provided HSCs upstream, </w:t>
            </w:r>
            <w:r w:rsidRPr="004B0AAA">
              <w:rPr>
                <w:rFonts w:ascii="Arial" w:eastAsia="Times New Roman" w:hAnsi="Arial" w:cs="Arial"/>
                <w:i/>
                <w:sz w:val="20"/>
                <w:szCs w:val="20"/>
              </w:rPr>
              <w:t>d</w:t>
            </w:r>
            <w:r w:rsidRPr="004B0AAA">
              <w:rPr>
                <w:rFonts w:ascii="Arial" w:eastAsia="Times New Roman" w:hAnsi="Arial" w:cs="Arial"/>
                <w:i/>
                <w:sz w:val="20"/>
                <w:szCs w:val="20"/>
                <w:vertAlign w:val="subscript"/>
              </w:rPr>
              <w:t>HSC</w:t>
            </w:r>
            <w:r w:rsidRPr="004B0AAA">
              <w:rPr>
                <w:rFonts w:ascii="Arial" w:eastAsia="Times New Roman" w:hAnsi="Arial" w:cs="Arial"/>
                <w:i/>
                <w:sz w:val="20"/>
                <w:szCs w:val="20"/>
              </w:rPr>
              <w:t xml:space="preserve"> </w:t>
            </w:r>
            <w:r w:rsidRPr="004B0AAA">
              <w:rPr>
                <w:rFonts w:ascii="Arial" w:eastAsia="Times New Roman" w:hAnsi="Arial" w:cs="Arial"/>
                <w:sz w:val="20"/>
                <w:szCs w:val="20"/>
              </w:rPr>
              <w:t>(inches) (</w:t>
            </w:r>
            <w:fldSimple w:instr=" REF _Ref285398327 \h  \* MERGEFORMAT ">
              <w:r w:rsidR="00126DE5" w:rsidRPr="00126DE5">
                <w:rPr>
                  <w:rFonts w:cs="Arial"/>
                  <w:b/>
                  <w:color w:val="0070C0"/>
                  <w:sz w:val="20"/>
                  <w:szCs w:val="20"/>
                </w:rPr>
                <w:t>Worksheet A</w:t>
              </w:r>
            </w:fldSimple>
            <w:r w:rsidRPr="004B0AAA">
              <w:rPr>
                <w:rFonts w:ascii="Arial" w:eastAsia="Times New Roman" w:hAnsi="Arial" w:cs="Arial"/>
                <w:sz w:val="20"/>
                <w:szCs w:val="20"/>
              </w:rPr>
              <w:t>)</w:t>
            </w:r>
          </w:p>
        </w:tc>
        <w:tc>
          <w:tcPr>
            <w:tcW w:w="595" w:type="pct"/>
            <w:tcMar>
              <w:top w:w="36" w:type="dxa"/>
              <w:bottom w:w="36" w:type="dxa"/>
            </w:tcMar>
            <w:vAlign w:val="center"/>
          </w:tcPr>
          <w:p w:rsidR="004B0AAA" w:rsidRPr="004B0AAA" w:rsidRDefault="004B0AAA" w:rsidP="004B0AAA">
            <w:pPr>
              <w:spacing w:after="0" w:line="240" w:lineRule="auto"/>
              <w:jc w:val="right"/>
              <w:rPr>
                <w:rFonts w:ascii="Arial" w:eastAsia="Times New Roman" w:hAnsi="Arial" w:cs="Arial"/>
                <w:sz w:val="20"/>
                <w:szCs w:val="20"/>
              </w:rPr>
            </w:pPr>
            <w:r w:rsidRPr="004B0AAA">
              <w:rPr>
                <w:rFonts w:ascii="Arial" w:eastAsia="Times New Roman" w:hAnsi="Arial" w:cs="Arial"/>
                <w:sz w:val="20"/>
                <w:szCs w:val="20"/>
              </w:rPr>
              <w:t>d</w:t>
            </w:r>
            <w:r w:rsidRPr="004B0AAA">
              <w:rPr>
                <w:rFonts w:ascii="Arial" w:eastAsia="Times New Roman" w:hAnsi="Arial" w:cs="Arial"/>
                <w:sz w:val="20"/>
                <w:szCs w:val="20"/>
                <w:vertAlign w:val="subscript"/>
              </w:rPr>
              <w:t>HSC</w:t>
            </w:r>
            <w:r w:rsidRPr="004B0AAA">
              <w:rPr>
                <w:rFonts w:ascii="Arial" w:eastAsia="Times New Roman" w:hAnsi="Arial" w:cs="Arial"/>
                <w:sz w:val="20"/>
                <w:szCs w:val="20"/>
              </w:rPr>
              <w:t>=</w:t>
            </w:r>
          </w:p>
        </w:tc>
        <w:tc>
          <w:tcPr>
            <w:tcW w:w="595" w:type="pct"/>
            <w:tcMar>
              <w:top w:w="36" w:type="dxa"/>
              <w:bottom w:w="36" w:type="dxa"/>
            </w:tcMar>
            <w:vAlign w:val="center"/>
          </w:tcPr>
          <w:p w:rsidR="004B0AAA" w:rsidRPr="004B0AAA" w:rsidRDefault="004B0AAA" w:rsidP="004B0AAA">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4B0AAA" w:rsidRPr="004B0AAA" w:rsidRDefault="004B0AAA" w:rsidP="004B0AAA">
            <w:pPr>
              <w:spacing w:after="0" w:line="240" w:lineRule="auto"/>
              <w:rPr>
                <w:rFonts w:ascii="Arial" w:eastAsia="Times New Roman" w:hAnsi="Arial" w:cs="Arial"/>
                <w:sz w:val="20"/>
                <w:szCs w:val="20"/>
              </w:rPr>
            </w:pPr>
            <w:r w:rsidRPr="004B0AAA">
              <w:rPr>
                <w:rFonts w:ascii="Arial" w:eastAsia="Times New Roman" w:hAnsi="Arial" w:cs="Arial"/>
                <w:sz w:val="20"/>
                <w:szCs w:val="20"/>
              </w:rPr>
              <w:t>inches</w:t>
            </w:r>
          </w:p>
        </w:tc>
      </w:tr>
      <w:tr w:rsidR="004B0AAA" w:rsidRPr="004B0AAA" w:rsidTr="004B0AAA">
        <w:trPr>
          <w:gridAfter w:val="1"/>
          <w:wAfter w:w="6" w:type="pct"/>
          <w:trHeight w:val="330"/>
        </w:trPr>
        <w:tc>
          <w:tcPr>
            <w:tcW w:w="170" w:type="pct"/>
            <w:shd w:val="clear" w:color="auto" w:fill="auto"/>
            <w:noWrap/>
            <w:tcMar>
              <w:top w:w="36" w:type="dxa"/>
              <w:bottom w:w="36" w:type="dxa"/>
            </w:tcMar>
            <w:vAlign w:val="center"/>
            <w:hideMark/>
          </w:tcPr>
          <w:p w:rsidR="004B0AAA" w:rsidRPr="004B0AAA" w:rsidRDefault="004B0AAA" w:rsidP="004B0AAA">
            <w:pPr>
              <w:spacing w:after="0" w:line="240" w:lineRule="auto"/>
              <w:jc w:val="center"/>
              <w:rPr>
                <w:rFonts w:ascii="Arial" w:eastAsia="Times New Roman" w:hAnsi="Arial" w:cs="Arial"/>
                <w:color w:val="000000"/>
                <w:sz w:val="20"/>
                <w:szCs w:val="20"/>
              </w:rPr>
            </w:pPr>
            <w:r w:rsidRPr="004B0AAA">
              <w:rPr>
                <w:rFonts w:ascii="Arial" w:eastAsia="Times New Roman" w:hAnsi="Arial" w:cs="Arial"/>
                <w:color w:val="000000"/>
                <w:sz w:val="20"/>
                <w:szCs w:val="20"/>
              </w:rPr>
              <w:t>5</w:t>
            </w:r>
          </w:p>
        </w:tc>
        <w:tc>
          <w:tcPr>
            <w:tcW w:w="3039" w:type="pct"/>
            <w:shd w:val="clear" w:color="auto" w:fill="auto"/>
            <w:tcMar>
              <w:top w:w="36" w:type="dxa"/>
              <w:bottom w:w="36" w:type="dxa"/>
            </w:tcMar>
            <w:vAlign w:val="center"/>
            <w:hideMark/>
          </w:tcPr>
          <w:p w:rsidR="004B0AAA" w:rsidRPr="004B0AAA" w:rsidRDefault="004B0AAA" w:rsidP="004B0AAA">
            <w:pPr>
              <w:spacing w:after="0"/>
              <w:rPr>
                <w:rFonts w:ascii="Arial" w:eastAsia="Times New Roman" w:hAnsi="Arial" w:cs="Arial"/>
                <w:i/>
                <w:sz w:val="20"/>
                <w:szCs w:val="20"/>
                <w:vertAlign w:val="subscript"/>
              </w:rPr>
            </w:pPr>
            <w:r w:rsidRPr="004B0AAA">
              <w:rPr>
                <w:rFonts w:ascii="Arial" w:eastAsia="Times New Roman" w:hAnsi="Arial" w:cs="Arial"/>
                <w:sz w:val="20"/>
                <w:szCs w:val="20"/>
              </w:rPr>
              <w:t>Enter capture efficiency corresponding to d</w:t>
            </w:r>
            <w:r w:rsidRPr="004B0AAA">
              <w:rPr>
                <w:rFonts w:ascii="Arial" w:eastAsia="Times New Roman" w:hAnsi="Arial" w:cs="Arial"/>
                <w:sz w:val="20"/>
                <w:szCs w:val="20"/>
                <w:vertAlign w:val="subscript"/>
              </w:rPr>
              <w:t>HSC</w:t>
            </w:r>
            <w:r w:rsidRPr="004B0AAA">
              <w:rPr>
                <w:rFonts w:ascii="Arial" w:eastAsia="Times New Roman" w:hAnsi="Arial" w:cs="Arial"/>
                <w:sz w:val="20"/>
                <w:szCs w:val="20"/>
              </w:rPr>
              <w:t xml:space="preserve">, </w:t>
            </w:r>
            <w:r w:rsidRPr="004B0AAA">
              <w:rPr>
                <w:rFonts w:ascii="Arial" w:eastAsia="Times New Roman" w:hAnsi="Arial" w:cs="Arial"/>
                <w:i/>
                <w:sz w:val="20"/>
                <w:szCs w:val="20"/>
              </w:rPr>
              <w:t>Y</w:t>
            </w:r>
            <w:r w:rsidRPr="004B0AAA">
              <w:rPr>
                <w:rFonts w:ascii="Arial" w:eastAsia="Times New Roman" w:hAnsi="Arial" w:cs="Arial"/>
                <w:i/>
                <w:sz w:val="20"/>
                <w:szCs w:val="20"/>
                <w:vertAlign w:val="subscript"/>
              </w:rPr>
              <w:t>2</w:t>
            </w:r>
          </w:p>
          <w:p w:rsidR="004B0AAA" w:rsidRPr="004B0AAA" w:rsidRDefault="004B0AAA" w:rsidP="004B0AAA">
            <w:pPr>
              <w:spacing w:after="0"/>
              <w:rPr>
                <w:rFonts w:ascii="Arial" w:hAnsi="Arial" w:cs="Arial"/>
                <w:color w:val="000000"/>
                <w:sz w:val="20"/>
                <w:szCs w:val="20"/>
                <w:vertAlign w:val="subscript"/>
              </w:rPr>
            </w:pPr>
            <w:r w:rsidRPr="004B0AAA">
              <w:rPr>
                <w:rFonts w:ascii="Arial" w:eastAsia="Times New Roman" w:hAnsi="Arial" w:cs="Arial"/>
                <w:sz w:val="20"/>
                <w:szCs w:val="20"/>
              </w:rPr>
              <w:t>(</w:t>
            </w:r>
            <w:fldSimple w:instr=" REF _Ref285398327 \h  \* MERGEFORMAT ">
              <w:r w:rsidR="00126DE5" w:rsidRPr="00126DE5">
                <w:rPr>
                  <w:rFonts w:cs="Arial"/>
                  <w:b/>
                  <w:color w:val="0070C0"/>
                  <w:sz w:val="20"/>
                  <w:szCs w:val="20"/>
                </w:rPr>
                <w:t>Worksheet A</w:t>
              </w:r>
            </w:fldSimple>
            <w:r w:rsidRPr="004B0AAA">
              <w:rPr>
                <w:rFonts w:ascii="Arial" w:eastAsia="Times New Roman" w:hAnsi="Arial" w:cs="Arial"/>
                <w:sz w:val="20"/>
                <w:szCs w:val="20"/>
              </w:rPr>
              <w:t>)</w:t>
            </w:r>
          </w:p>
        </w:tc>
        <w:tc>
          <w:tcPr>
            <w:tcW w:w="595" w:type="pct"/>
            <w:tcMar>
              <w:top w:w="36" w:type="dxa"/>
              <w:bottom w:w="36" w:type="dxa"/>
            </w:tcMar>
            <w:vAlign w:val="center"/>
          </w:tcPr>
          <w:p w:rsidR="004B0AAA" w:rsidRPr="004B0AAA" w:rsidRDefault="004B0AAA" w:rsidP="004B0AAA">
            <w:pPr>
              <w:spacing w:after="0" w:line="240" w:lineRule="auto"/>
              <w:jc w:val="right"/>
              <w:rPr>
                <w:rFonts w:ascii="Arial" w:eastAsia="Times New Roman" w:hAnsi="Arial" w:cs="Arial"/>
                <w:sz w:val="20"/>
                <w:szCs w:val="20"/>
              </w:rPr>
            </w:pPr>
            <w:r w:rsidRPr="004B0AAA">
              <w:rPr>
                <w:rFonts w:ascii="Arial" w:eastAsia="Times New Roman" w:hAnsi="Arial" w:cs="Arial"/>
                <w:sz w:val="20"/>
                <w:szCs w:val="20"/>
              </w:rPr>
              <w:t>Y</w:t>
            </w:r>
            <w:r w:rsidRPr="004B0AAA">
              <w:rPr>
                <w:rFonts w:ascii="Arial" w:eastAsia="Times New Roman" w:hAnsi="Arial" w:cs="Arial"/>
                <w:sz w:val="20"/>
                <w:szCs w:val="20"/>
                <w:vertAlign w:val="subscript"/>
              </w:rPr>
              <w:t>2</w:t>
            </w:r>
            <w:r w:rsidRPr="004B0AAA">
              <w:rPr>
                <w:rFonts w:ascii="Arial" w:eastAsia="Times New Roman" w:hAnsi="Arial" w:cs="Arial"/>
                <w:sz w:val="20"/>
                <w:szCs w:val="20"/>
              </w:rPr>
              <w:t>=</w:t>
            </w:r>
          </w:p>
        </w:tc>
        <w:tc>
          <w:tcPr>
            <w:tcW w:w="595" w:type="pct"/>
            <w:tcMar>
              <w:top w:w="36" w:type="dxa"/>
              <w:bottom w:w="36" w:type="dxa"/>
            </w:tcMar>
            <w:vAlign w:val="center"/>
          </w:tcPr>
          <w:p w:rsidR="004B0AAA" w:rsidRPr="004B0AAA" w:rsidRDefault="004B0AAA" w:rsidP="004B0AAA">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4B0AAA" w:rsidRPr="004B0AAA" w:rsidRDefault="004B0AAA" w:rsidP="004B0AAA">
            <w:pPr>
              <w:spacing w:after="0" w:line="240" w:lineRule="auto"/>
              <w:rPr>
                <w:rFonts w:ascii="Arial" w:eastAsia="Times New Roman" w:hAnsi="Arial" w:cs="Arial"/>
                <w:sz w:val="20"/>
                <w:szCs w:val="20"/>
              </w:rPr>
            </w:pPr>
            <w:r w:rsidRPr="004B0AAA">
              <w:rPr>
                <w:rFonts w:ascii="Arial" w:eastAsia="Times New Roman" w:hAnsi="Arial" w:cs="Arial"/>
                <w:sz w:val="20"/>
                <w:szCs w:val="20"/>
              </w:rPr>
              <w:t>%</w:t>
            </w:r>
          </w:p>
        </w:tc>
      </w:tr>
      <w:tr w:rsidR="004B0AAA" w:rsidRPr="004B0AAA" w:rsidTr="004B0AAA">
        <w:trPr>
          <w:gridAfter w:val="1"/>
          <w:wAfter w:w="6" w:type="pct"/>
          <w:trHeight w:val="330"/>
        </w:trPr>
        <w:tc>
          <w:tcPr>
            <w:tcW w:w="170" w:type="pct"/>
            <w:shd w:val="clear" w:color="auto" w:fill="auto"/>
            <w:noWrap/>
            <w:tcMar>
              <w:top w:w="36" w:type="dxa"/>
              <w:bottom w:w="36" w:type="dxa"/>
            </w:tcMar>
            <w:vAlign w:val="center"/>
            <w:hideMark/>
          </w:tcPr>
          <w:p w:rsidR="004B0AAA" w:rsidRPr="004B0AAA" w:rsidRDefault="004B0AAA" w:rsidP="004B0AAA">
            <w:pPr>
              <w:spacing w:after="0" w:line="240" w:lineRule="auto"/>
              <w:jc w:val="center"/>
              <w:rPr>
                <w:rFonts w:ascii="Arial" w:eastAsia="Times New Roman" w:hAnsi="Arial" w:cs="Arial"/>
                <w:color w:val="000000"/>
                <w:sz w:val="20"/>
                <w:szCs w:val="20"/>
              </w:rPr>
            </w:pPr>
            <w:r w:rsidRPr="004B0AAA">
              <w:rPr>
                <w:rFonts w:ascii="Arial" w:eastAsia="Times New Roman" w:hAnsi="Arial" w:cs="Arial"/>
                <w:color w:val="000000"/>
                <w:sz w:val="20"/>
                <w:szCs w:val="20"/>
              </w:rPr>
              <w:t>6</w:t>
            </w:r>
          </w:p>
        </w:tc>
        <w:tc>
          <w:tcPr>
            <w:tcW w:w="3039" w:type="pct"/>
            <w:shd w:val="clear" w:color="auto" w:fill="auto"/>
            <w:tcMar>
              <w:top w:w="36" w:type="dxa"/>
              <w:bottom w:w="36" w:type="dxa"/>
            </w:tcMar>
            <w:vAlign w:val="center"/>
            <w:hideMark/>
          </w:tcPr>
          <w:p w:rsidR="004B0AAA" w:rsidRPr="004B0AAA" w:rsidRDefault="004B0AAA" w:rsidP="004B0AAA">
            <w:pPr>
              <w:spacing w:after="0"/>
              <w:rPr>
                <w:rFonts w:ascii="Arial" w:eastAsia="Times New Roman" w:hAnsi="Arial" w:cs="Arial"/>
                <w:sz w:val="20"/>
                <w:szCs w:val="20"/>
                <w:vertAlign w:val="subscript"/>
              </w:rPr>
            </w:pPr>
            <w:r w:rsidRPr="004B0AAA">
              <w:rPr>
                <w:rFonts w:ascii="Arial" w:eastAsia="Times New Roman" w:hAnsi="Arial" w:cs="Arial"/>
                <w:sz w:val="20"/>
                <w:szCs w:val="20"/>
              </w:rPr>
              <w:t xml:space="preserve">Using </w:t>
            </w:r>
            <w:fldSimple w:instr=" REF _Ref257795285 \h  \* MERGEFORMAT ">
              <w:r w:rsidR="00126DE5" w:rsidRPr="00126DE5">
                <w:rPr>
                  <w:rFonts w:cs="Arial"/>
                  <w:b/>
                  <w:color w:val="0070C0"/>
                  <w:sz w:val="20"/>
                  <w:szCs w:val="20"/>
                </w:rPr>
                <w:t>Figure III.2</w:t>
              </w:r>
            </w:fldSimple>
            <w:r w:rsidRPr="004B0AAA">
              <w:rPr>
                <w:rFonts w:ascii="Arial" w:eastAsia="Times New Roman" w:hAnsi="Arial" w:cs="Arial"/>
                <w:sz w:val="20"/>
                <w:szCs w:val="20"/>
              </w:rPr>
              <w:t xml:space="preserve">, determine the fraction of "design capture storm depth" at which the drawdown time (T) achieves the </w:t>
            </w:r>
            <w:r>
              <w:rPr>
                <w:rFonts w:ascii="Arial" w:eastAsia="Times New Roman" w:hAnsi="Arial" w:cs="Arial"/>
                <w:sz w:val="20"/>
                <w:szCs w:val="20"/>
              </w:rPr>
              <w:t xml:space="preserve">equivalent of the </w:t>
            </w:r>
            <w:r w:rsidRPr="004B0AAA">
              <w:rPr>
                <w:rFonts w:ascii="Arial" w:eastAsia="Times New Roman" w:hAnsi="Arial" w:cs="Arial"/>
                <w:sz w:val="20"/>
                <w:szCs w:val="20"/>
              </w:rPr>
              <w:t>upstream capture efficiency(Y</w:t>
            </w:r>
            <w:r w:rsidRPr="004B0AAA">
              <w:rPr>
                <w:rFonts w:ascii="Arial" w:eastAsia="Times New Roman" w:hAnsi="Arial" w:cs="Arial"/>
                <w:sz w:val="20"/>
                <w:szCs w:val="20"/>
                <w:vertAlign w:val="subscript"/>
              </w:rPr>
              <w:t>2</w:t>
            </w:r>
            <w:r w:rsidRPr="004B0AAA">
              <w:rPr>
                <w:rFonts w:ascii="Arial" w:eastAsia="Times New Roman" w:hAnsi="Arial" w:cs="Arial"/>
                <w:sz w:val="20"/>
                <w:szCs w:val="20"/>
              </w:rPr>
              <w:t xml:space="preserve">), </w:t>
            </w:r>
            <w:r w:rsidRPr="004B0AAA">
              <w:rPr>
                <w:rFonts w:ascii="Arial" w:eastAsia="Times New Roman" w:hAnsi="Arial" w:cs="Arial"/>
                <w:i/>
                <w:sz w:val="20"/>
                <w:szCs w:val="20"/>
              </w:rPr>
              <w:t>X</w:t>
            </w:r>
            <w:r w:rsidRPr="004B0AAA">
              <w:rPr>
                <w:rFonts w:ascii="Arial" w:eastAsia="Times New Roman" w:hAnsi="Arial" w:cs="Arial"/>
                <w:i/>
                <w:sz w:val="20"/>
                <w:szCs w:val="20"/>
                <w:vertAlign w:val="subscript"/>
              </w:rPr>
              <w:t>2</w:t>
            </w:r>
          </w:p>
        </w:tc>
        <w:tc>
          <w:tcPr>
            <w:tcW w:w="595" w:type="pct"/>
            <w:tcMar>
              <w:top w:w="36" w:type="dxa"/>
              <w:bottom w:w="36" w:type="dxa"/>
            </w:tcMar>
            <w:vAlign w:val="center"/>
          </w:tcPr>
          <w:p w:rsidR="004B0AAA" w:rsidRPr="004B0AAA" w:rsidRDefault="004B0AAA" w:rsidP="004B0AAA">
            <w:pPr>
              <w:spacing w:after="0" w:line="240" w:lineRule="auto"/>
              <w:jc w:val="right"/>
              <w:rPr>
                <w:rFonts w:ascii="Arial" w:eastAsia="Times New Roman" w:hAnsi="Arial" w:cs="Arial"/>
                <w:sz w:val="20"/>
                <w:szCs w:val="20"/>
              </w:rPr>
            </w:pPr>
            <w:r w:rsidRPr="004B0AAA">
              <w:rPr>
                <w:rFonts w:ascii="Arial" w:eastAsia="Times New Roman" w:hAnsi="Arial" w:cs="Arial"/>
                <w:sz w:val="20"/>
                <w:szCs w:val="20"/>
              </w:rPr>
              <w:t>X</w:t>
            </w:r>
            <w:r w:rsidRPr="004B0AAA">
              <w:rPr>
                <w:rFonts w:ascii="Arial" w:eastAsia="Times New Roman" w:hAnsi="Arial" w:cs="Arial"/>
                <w:sz w:val="20"/>
                <w:szCs w:val="20"/>
                <w:vertAlign w:val="subscript"/>
              </w:rPr>
              <w:t>2</w:t>
            </w:r>
            <w:r w:rsidRPr="004B0AAA">
              <w:rPr>
                <w:rFonts w:ascii="Arial" w:eastAsia="Times New Roman" w:hAnsi="Arial" w:cs="Arial"/>
                <w:sz w:val="20"/>
                <w:szCs w:val="20"/>
              </w:rPr>
              <w:t>=</w:t>
            </w:r>
          </w:p>
        </w:tc>
        <w:tc>
          <w:tcPr>
            <w:tcW w:w="595" w:type="pct"/>
            <w:tcMar>
              <w:top w:w="36" w:type="dxa"/>
              <w:bottom w:w="36" w:type="dxa"/>
            </w:tcMar>
            <w:vAlign w:val="center"/>
          </w:tcPr>
          <w:p w:rsidR="004B0AAA" w:rsidRPr="004B0AAA" w:rsidRDefault="004B0AAA" w:rsidP="004B0AAA">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4B0AAA" w:rsidRPr="004B0AAA" w:rsidRDefault="004B0AAA" w:rsidP="004B0AAA">
            <w:pPr>
              <w:spacing w:after="0" w:line="240" w:lineRule="auto"/>
              <w:rPr>
                <w:rFonts w:ascii="Arial" w:eastAsia="Times New Roman" w:hAnsi="Arial" w:cs="Arial"/>
                <w:sz w:val="20"/>
                <w:szCs w:val="20"/>
              </w:rPr>
            </w:pPr>
          </w:p>
        </w:tc>
      </w:tr>
      <w:tr w:rsidR="004B0AAA" w:rsidRPr="004B0AAA" w:rsidTr="004B0AAA">
        <w:trPr>
          <w:gridAfter w:val="1"/>
          <w:wAfter w:w="6" w:type="pct"/>
          <w:trHeight w:val="330"/>
        </w:trPr>
        <w:tc>
          <w:tcPr>
            <w:tcW w:w="170" w:type="pct"/>
            <w:shd w:val="clear" w:color="auto" w:fill="auto"/>
            <w:noWrap/>
            <w:tcMar>
              <w:top w:w="36" w:type="dxa"/>
              <w:bottom w:w="36" w:type="dxa"/>
            </w:tcMar>
            <w:vAlign w:val="center"/>
            <w:hideMark/>
          </w:tcPr>
          <w:p w:rsidR="004B0AAA" w:rsidRPr="004B0AAA" w:rsidRDefault="004B0AAA" w:rsidP="004B0AAA">
            <w:pPr>
              <w:spacing w:after="0" w:line="240" w:lineRule="auto"/>
              <w:jc w:val="center"/>
              <w:rPr>
                <w:rFonts w:ascii="Arial" w:eastAsia="Times New Roman" w:hAnsi="Arial" w:cs="Arial"/>
                <w:color w:val="000000"/>
                <w:sz w:val="20"/>
                <w:szCs w:val="20"/>
              </w:rPr>
            </w:pPr>
            <w:r w:rsidRPr="004B0AAA">
              <w:rPr>
                <w:rFonts w:ascii="Arial" w:eastAsia="Times New Roman" w:hAnsi="Arial" w:cs="Arial"/>
                <w:color w:val="000000"/>
                <w:sz w:val="20"/>
                <w:szCs w:val="20"/>
              </w:rPr>
              <w:t>7</w:t>
            </w:r>
          </w:p>
        </w:tc>
        <w:tc>
          <w:tcPr>
            <w:tcW w:w="3039" w:type="pct"/>
            <w:shd w:val="clear" w:color="auto" w:fill="auto"/>
            <w:tcMar>
              <w:top w:w="36" w:type="dxa"/>
              <w:bottom w:w="36" w:type="dxa"/>
            </w:tcMar>
            <w:vAlign w:val="center"/>
            <w:hideMark/>
          </w:tcPr>
          <w:p w:rsidR="004B0AAA" w:rsidRPr="004B0AAA" w:rsidRDefault="004B0AAA" w:rsidP="004B0AAA">
            <w:pPr>
              <w:spacing w:after="0"/>
              <w:rPr>
                <w:rFonts w:ascii="Arial" w:eastAsia="Times New Roman" w:hAnsi="Arial" w:cs="Arial"/>
                <w:sz w:val="20"/>
                <w:szCs w:val="20"/>
              </w:rPr>
            </w:pPr>
            <w:r w:rsidRPr="004B0AAA">
              <w:rPr>
                <w:rFonts w:ascii="Arial" w:eastAsia="Times New Roman" w:hAnsi="Arial" w:cs="Arial"/>
                <w:sz w:val="20"/>
                <w:szCs w:val="20"/>
              </w:rPr>
              <w:t xml:space="preserve">Calculate the fraction of design volume that must be provided by BMP, </w:t>
            </w:r>
            <w:r w:rsidRPr="004B0AAA">
              <w:rPr>
                <w:rFonts w:ascii="Arial" w:eastAsia="Times New Roman" w:hAnsi="Arial" w:cs="Arial"/>
                <w:i/>
                <w:sz w:val="20"/>
                <w:szCs w:val="20"/>
              </w:rPr>
              <w:t>fraction = X</w:t>
            </w:r>
            <w:r w:rsidRPr="004B0AAA">
              <w:rPr>
                <w:rFonts w:ascii="Arial" w:eastAsia="Times New Roman" w:hAnsi="Arial" w:cs="Arial"/>
                <w:i/>
                <w:sz w:val="20"/>
                <w:szCs w:val="20"/>
                <w:vertAlign w:val="subscript"/>
              </w:rPr>
              <w:t xml:space="preserve">1 </w:t>
            </w:r>
            <w:r w:rsidRPr="004B0AAA">
              <w:rPr>
                <w:rFonts w:ascii="Arial" w:eastAsia="Times New Roman" w:hAnsi="Arial" w:cs="Arial"/>
                <w:i/>
                <w:sz w:val="20"/>
                <w:szCs w:val="20"/>
              </w:rPr>
              <w:t>- X</w:t>
            </w:r>
            <w:r w:rsidRPr="004B0AAA">
              <w:rPr>
                <w:rFonts w:ascii="Arial" w:eastAsia="Times New Roman" w:hAnsi="Arial" w:cs="Arial"/>
                <w:i/>
                <w:sz w:val="20"/>
                <w:szCs w:val="20"/>
                <w:vertAlign w:val="subscript"/>
              </w:rPr>
              <w:t>2</w:t>
            </w:r>
          </w:p>
        </w:tc>
        <w:tc>
          <w:tcPr>
            <w:tcW w:w="595" w:type="pct"/>
            <w:tcMar>
              <w:top w:w="36" w:type="dxa"/>
              <w:bottom w:w="36" w:type="dxa"/>
            </w:tcMar>
            <w:vAlign w:val="center"/>
          </w:tcPr>
          <w:p w:rsidR="004B0AAA" w:rsidRPr="004B0AAA" w:rsidRDefault="004B0AAA" w:rsidP="004B0AAA">
            <w:pPr>
              <w:spacing w:after="0" w:line="240" w:lineRule="auto"/>
              <w:jc w:val="right"/>
              <w:rPr>
                <w:rFonts w:ascii="Arial" w:eastAsia="Times New Roman" w:hAnsi="Arial" w:cs="Arial"/>
                <w:sz w:val="20"/>
                <w:szCs w:val="20"/>
              </w:rPr>
            </w:pPr>
            <w:r w:rsidRPr="004B0AAA">
              <w:rPr>
                <w:rFonts w:ascii="Arial" w:eastAsia="Times New Roman" w:hAnsi="Arial" w:cs="Arial"/>
                <w:sz w:val="20"/>
                <w:szCs w:val="20"/>
              </w:rPr>
              <w:t>fraction=</w:t>
            </w:r>
          </w:p>
        </w:tc>
        <w:tc>
          <w:tcPr>
            <w:tcW w:w="595" w:type="pct"/>
            <w:tcMar>
              <w:top w:w="36" w:type="dxa"/>
              <w:bottom w:w="36" w:type="dxa"/>
            </w:tcMar>
            <w:vAlign w:val="center"/>
          </w:tcPr>
          <w:p w:rsidR="004B0AAA" w:rsidRPr="004B0AAA" w:rsidRDefault="004B0AAA" w:rsidP="004B0AAA">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4B0AAA" w:rsidRPr="004B0AAA" w:rsidRDefault="004B0AAA" w:rsidP="004B0AAA">
            <w:pPr>
              <w:spacing w:after="0" w:line="240" w:lineRule="auto"/>
              <w:rPr>
                <w:rFonts w:ascii="Arial" w:eastAsia="Times New Roman" w:hAnsi="Arial" w:cs="Arial"/>
                <w:sz w:val="20"/>
                <w:szCs w:val="20"/>
              </w:rPr>
            </w:pPr>
          </w:p>
        </w:tc>
      </w:tr>
      <w:tr w:rsidR="004B0AAA" w:rsidRPr="004B0AAA" w:rsidTr="004B0AAA">
        <w:trPr>
          <w:gridAfter w:val="1"/>
          <w:wAfter w:w="6" w:type="pct"/>
          <w:trHeight w:val="330"/>
        </w:trPr>
        <w:tc>
          <w:tcPr>
            <w:tcW w:w="170" w:type="pct"/>
            <w:shd w:val="clear" w:color="auto" w:fill="auto"/>
            <w:noWrap/>
            <w:tcMar>
              <w:top w:w="36" w:type="dxa"/>
              <w:bottom w:w="36" w:type="dxa"/>
            </w:tcMar>
            <w:vAlign w:val="center"/>
            <w:hideMark/>
          </w:tcPr>
          <w:p w:rsidR="004B0AAA" w:rsidRPr="004B0AAA" w:rsidRDefault="004B0AAA" w:rsidP="004B0AAA">
            <w:pPr>
              <w:spacing w:after="0" w:line="240" w:lineRule="auto"/>
              <w:jc w:val="center"/>
              <w:rPr>
                <w:rFonts w:ascii="Arial" w:eastAsia="Times New Roman" w:hAnsi="Arial" w:cs="Arial"/>
                <w:color w:val="000000"/>
                <w:sz w:val="20"/>
                <w:szCs w:val="20"/>
              </w:rPr>
            </w:pPr>
            <w:r w:rsidRPr="004B0AAA">
              <w:rPr>
                <w:rFonts w:ascii="Arial" w:eastAsia="Times New Roman" w:hAnsi="Arial" w:cs="Arial"/>
                <w:color w:val="000000"/>
                <w:sz w:val="20"/>
                <w:szCs w:val="20"/>
              </w:rPr>
              <w:t>8</w:t>
            </w:r>
          </w:p>
        </w:tc>
        <w:tc>
          <w:tcPr>
            <w:tcW w:w="3039" w:type="pct"/>
            <w:shd w:val="clear" w:color="auto" w:fill="auto"/>
            <w:tcMar>
              <w:top w:w="36" w:type="dxa"/>
              <w:bottom w:w="36" w:type="dxa"/>
            </w:tcMar>
            <w:vAlign w:val="center"/>
            <w:hideMark/>
          </w:tcPr>
          <w:p w:rsidR="004B0AAA" w:rsidRPr="004B0AAA" w:rsidRDefault="004B0AAA" w:rsidP="004B0AAA">
            <w:pPr>
              <w:spacing w:after="0" w:line="240" w:lineRule="auto"/>
              <w:rPr>
                <w:rFonts w:ascii="Arial" w:eastAsia="Times New Roman" w:hAnsi="Arial" w:cs="Arial"/>
                <w:sz w:val="20"/>
                <w:szCs w:val="20"/>
              </w:rPr>
            </w:pPr>
            <w:r w:rsidRPr="004B0AAA">
              <w:rPr>
                <w:rFonts w:ascii="Arial" w:hAnsi="Arial" w:cs="Arial"/>
                <w:sz w:val="20"/>
                <w:szCs w:val="20"/>
              </w:rPr>
              <w:t xml:space="preserve">Calculate the resultant design capture storm depth (inches), </w:t>
            </w:r>
            <w:proofErr w:type="spellStart"/>
            <w:r w:rsidRPr="004B0AAA">
              <w:rPr>
                <w:rFonts w:ascii="Arial" w:hAnsi="Arial" w:cs="Arial"/>
                <w:i/>
                <w:sz w:val="20"/>
                <w:szCs w:val="20"/>
              </w:rPr>
              <w:t>d</w:t>
            </w:r>
            <w:r w:rsidRPr="004B0AAA">
              <w:rPr>
                <w:rFonts w:ascii="Arial" w:hAnsi="Arial" w:cs="Arial"/>
                <w:i/>
                <w:sz w:val="20"/>
                <w:szCs w:val="20"/>
                <w:vertAlign w:val="subscript"/>
              </w:rPr>
              <w:t>fraction</w:t>
            </w:r>
            <w:proofErr w:type="spellEnd"/>
            <w:r w:rsidRPr="004B0AAA">
              <w:rPr>
                <w:rFonts w:ascii="Arial" w:hAnsi="Arial" w:cs="Arial"/>
                <w:i/>
                <w:sz w:val="20"/>
                <w:szCs w:val="20"/>
              </w:rPr>
              <w:t>= fraction × d</w:t>
            </w:r>
            <w:r w:rsidRPr="004B0AAA">
              <w:rPr>
                <w:rFonts w:ascii="Arial" w:hAnsi="Arial" w:cs="Arial"/>
                <w:sz w:val="20"/>
                <w:szCs w:val="20"/>
              </w:rPr>
              <w:t xml:space="preserve"> </w:t>
            </w:r>
          </w:p>
        </w:tc>
        <w:tc>
          <w:tcPr>
            <w:tcW w:w="595" w:type="pct"/>
            <w:tcMar>
              <w:top w:w="36" w:type="dxa"/>
              <w:bottom w:w="36" w:type="dxa"/>
            </w:tcMar>
            <w:vAlign w:val="center"/>
          </w:tcPr>
          <w:p w:rsidR="004B0AAA" w:rsidRPr="004B0AAA" w:rsidRDefault="004B0AAA" w:rsidP="004B0AAA">
            <w:pPr>
              <w:spacing w:after="0" w:line="240" w:lineRule="auto"/>
              <w:jc w:val="right"/>
              <w:rPr>
                <w:rFonts w:ascii="Arial" w:eastAsia="Times New Roman" w:hAnsi="Arial" w:cs="Arial"/>
                <w:sz w:val="20"/>
                <w:szCs w:val="20"/>
              </w:rPr>
            </w:pPr>
            <w:proofErr w:type="spellStart"/>
            <w:r w:rsidRPr="004B0AAA">
              <w:rPr>
                <w:rFonts w:ascii="Arial" w:eastAsia="Times New Roman" w:hAnsi="Arial" w:cs="Arial"/>
                <w:sz w:val="20"/>
                <w:szCs w:val="20"/>
              </w:rPr>
              <w:t>d</w:t>
            </w:r>
            <w:r w:rsidRPr="004B0AAA">
              <w:rPr>
                <w:rFonts w:ascii="Arial" w:eastAsia="Times New Roman" w:hAnsi="Arial" w:cs="Arial"/>
                <w:sz w:val="20"/>
                <w:szCs w:val="20"/>
                <w:vertAlign w:val="subscript"/>
              </w:rPr>
              <w:t>fraction</w:t>
            </w:r>
            <w:proofErr w:type="spellEnd"/>
            <w:r w:rsidRPr="004B0AAA">
              <w:rPr>
                <w:rFonts w:ascii="Arial" w:eastAsia="Times New Roman" w:hAnsi="Arial" w:cs="Arial"/>
                <w:sz w:val="20"/>
                <w:szCs w:val="20"/>
              </w:rPr>
              <w:t>=</w:t>
            </w:r>
          </w:p>
        </w:tc>
        <w:tc>
          <w:tcPr>
            <w:tcW w:w="595" w:type="pct"/>
            <w:tcMar>
              <w:top w:w="36" w:type="dxa"/>
              <w:bottom w:w="36" w:type="dxa"/>
            </w:tcMar>
            <w:vAlign w:val="center"/>
          </w:tcPr>
          <w:p w:rsidR="004B0AAA" w:rsidRPr="004B0AAA" w:rsidRDefault="004B0AAA" w:rsidP="004B0AAA">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4B0AAA" w:rsidRPr="004B0AAA" w:rsidRDefault="004B0AAA" w:rsidP="004B0AAA">
            <w:pPr>
              <w:spacing w:after="0" w:line="240" w:lineRule="auto"/>
              <w:rPr>
                <w:rFonts w:ascii="Arial" w:eastAsia="Times New Roman" w:hAnsi="Arial" w:cs="Arial"/>
                <w:sz w:val="20"/>
                <w:szCs w:val="20"/>
              </w:rPr>
            </w:pPr>
            <w:r w:rsidRPr="004B0AAA">
              <w:rPr>
                <w:rFonts w:ascii="Arial" w:eastAsia="Times New Roman" w:hAnsi="Arial" w:cs="Arial"/>
                <w:sz w:val="20"/>
                <w:szCs w:val="20"/>
              </w:rPr>
              <w:t>inches</w:t>
            </w:r>
          </w:p>
        </w:tc>
      </w:tr>
      <w:tr w:rsidR="004B0AAA" w:rsidRPr="004B0AAA" w:rsidTr="004B0AAA">
        <w:trPr>
          <w:trHeight w:val="330"/>
        </w:trPr>
        <w:tc>
          <w:tcPr>
            <w:tcW w:w="5000" w:type="pct"/>
            <w:gridSpan w:val="6"/>
            <w:shd w:val="clear" w:color="auto" w:fill="D9D9D9"/>
            <w:noWrap/>
            <w:tcMar>
              <w:top w:w="36" w:type="dxa"/>
              <w:bottom w:w="36" w:type="dxa"/>
            </w:tcMar>
            <w:vAlign w:val="center"/>
            <w:hideMark/>
          </w:tcPr>
          <w:p w:rsidR="004B0AAA" w:rsidRPr="004B0AAA" w:rsidRDefault="004B0AAA" w:rsidP="004B0AAA">
            <w:pPr>
              <w:pStyle w:val="ExampleSubheading"/>
              <w:pBdr>
                <w:top w:val="none" w:sz="0" w:space="0" w:color="auto"/>
                <w:left w:val="none" w:sz="0" w:space="0" w:color="auto"/>
                <w:bottom w:val="none" w:sz="0" w:space="0" w:color="auto"/>
                <w:right w:val="none" w:sz="0" w:space="0" w:color="auto"/>
              </w:pBdr>
              <w:ind w:left="0"/>
              <w:outlineLvl w:val="0"/>
              <w:rPr>
                <w:color w:val="000000"/>
              </w:rPr>
            </w:pPr>
            <w:r w:rsidRPr="004B0AAA">
              <w:t xml:space="preserve">Step </w:t>
            </w:r>
            <w:r>
              <w:t>2</w:t>
            </w:r>
            <w:r w:rsidRPr="004B0AAA">
              <w:t xml:space="preserve">: Calculate the </w:t>
            </w:r>
            <w:r w:rsidR="003C7091">
              <w:t>DCV</w:t>
            </w:r>
          </w:p>
        </w:tc>
      </w:tr>
      <w:tr w:rsidR="004B0AAA" w:rsidRPr="004B0AAA" w:rsidTr="004B0AAA">
        <w:trPr>
          <w:gridAfter w:val="1"/>
          <w:wAfter w:w="6" w:type="pct"/>
          <w:trHeight w:val="330"/>
        </w:trPr>
        <w:tc>
          <w:tcPr>
            <w:tcW w:w="170" w:type="pct"/>
            <w:shd w:val="clear" w:color="auto" w:fill="auto"/>
            <w:noWrap/>
            <w:tcMar>
              <w:top w:w="36" w:type="dxa"/>
              <w:bottom w:w="36" w:type="dxa"/>
            </w:tcMar>
            <w:vAlign w:val="bottom"/>
            <w:hideMark/>
          </w:tcPr>
          <w:p w:rsidR="004B0AAA" w:rsidRPr="004B0AAA" w:rsidRDefault="004B0AAA" w:rsidP="004B0AAA">
            <w:pPr>
              <w:spacing w:after="0" w:line="240" w:lineRule="auto"/>
              <w:jc w:val="right"/>
              <w:rPr>
                <w:rFonts w:ascii="Arial" w:eastAsia="Times New Roman" w:hAnsi="Arial" w:cs="Arial"/>
                <w:color w:val="000000"/>
                <w:sz w:val="20"/>
                <w:szCs w:val="20"/>
              </w:rPr>
            </w:pPr>
            <w:r w:rsidRPr="004B0AAA">
              <w:rPr>
                <w:rFonts w:ascii="Arial" w:eastAsia="Times New Roman" w:hAnsi="Arial" w:cs="Arial"/>
                <w:color w:val="000000"/>
                <w:sz w:val="20"/>
                <w:szCs w:val="20"/>
              </w:rPr>
              <w:t>1</w:t>
            </w:r>
          </w:p>
        </w:tc>
        <w:tc>
          <w:tcPr>
            <w:tcW w:w="3039" w:type="pct"/>
            <w:shd w:val="clear" w:color="auto" w:fill="auto"/>
            <w:tcMar>
              <w:top w:w="36" w:type="dxa"/>
              <w:bottom w:w="36" w:type="dxa"/>
            </w:tcMar>
            <w:vAlign w:val="center"/>
            <w:hideMark/>
          </w:tcPr>
          <w:p w:rsidR="004B0AAA" w:rsidRPr="004B0AAA" w:rsidRDefault="004B0AAA" w:rsidP="004B0AAA">
            <w:pPr>
              <w:spacing w:after="0" w:line="240" w:lineRule="auto"/>
              <w:rPr>
                <w:rFonts w:ascii="Arial" w:eastAsia="Times New Roman" w:hAnsi="Arial" w:cs="Arial"/>
                <w:sz w:val="20"/>
                <w:szCs w:val="20"/>
              </w:rPr>
            </w:pPr>
            <w:r w:rsidRPr="004B0AAA">
              <w:rPr>
                <w:rFonts w:ascii="Arial" w:eastAsia="Times New Roman" w:hAnsi="Arial" w:cs="Arial"/>
                <w:sz w:val="20"/>
                <w:szCs w:val="20"/>
              </w:rPr>
              <w:t xml:space="preserve">Enter Project area tributary to BMP (s), </w:t>
            </w:r>
            <w:r w:rsidRPr="004B0AAA">
              <w:rPr>
                <w:rFonts w:ascii="Arial" w:eastAsia="Times New Roman" w:hAnsi="Arial" w:cs="Arial"/>
                <w:i/>
                <w:sz w:val="20"/>
                <w:szCs w:val="20"/>
              </w:rPr>
              <w:t>A</w:t>
            </w:r>
            <w:r w:rsidRPr="004B0AAA">
              <w:rPr>
                <w:rFonts w:ascii="Arial" w:eastAsia="Times New Roman" w:hAnsi="Arial" w:cs="Arial"/>
                <w:sz w:val="20"/>
                <w:szCs w:val="20"/>
              </w:rPr>
              <w:t xml:space="preserve"> (acres)</w:t>
            </w:r>
          </w:p>
        </w:tc>
        <w:tc>
          <w:tcPr>
            <w:tcW w:w="595" w:type="pct"/>
            <w:tcMar>
              <w:top w:w="36" w:type="dxa"/>
              <w:bottom w:w="36" w:type="dxa"/>
            </w:tcMar>
            <w:vAlign w:val="center"/>
          </w:tcPr>
          <w:p w:rsidR="004B0AAA" w:rsidRPr="004B0AAA" w:rsidRDefault="004B0AAA" w:rsidP="004B0AAA">
            <w:pPr>
              <w:spacing w:after="0" w:line="240" w:lineRule="auto"/>
              <w:jc w:val="right"/>
              <w:rPr>
                <w:rFonts w:ascii="Arial" w:eastAsia="Times New Roman" w:hAnsi="Arial" w:cs="Arial"/>
                <w:sz w:val="20"/>
                <w:szCs w:val="20"/>
              </w:rPr>
            </w:pPr>
            <w:r w:rsidRPr="004B0AAA">
              <w:rPr>
                <w:rFonts w:ascii="Arial" w:eastAsia="Times New Roman" w:hAnsi="Arial" w:cs="Arial"/>
                <w:sz w:val="20"/>
                <w:szCs w:val="20"/>
              </w:rPr>
              <w:t>A=</w:t>
            </w:r>
          </w:p>
        </w:tc>
        <w:tc>
          <w:tcPr>
            <w:tcW w:w="595" w:type="pct"/>
            <w:tcMar>
              <w:top w:w="36" w:type="dxa"/>
              <w:bottom w:w="36" w:type="dxa"/>
            </w:tcMar>
          </w:tcPr>
          <w:p w:rsidR="004B0AAA" w:rsidRPr="004B0AAA" w:rsidRDefault="004B0AAA" w:rsidP="004B0AAA">
            <w:pPr>
              <w:spacing w:after="0" w:line="240" w:lineRule="auto"/>
              <w:ind w:firstLineChars="500" w:firstLine="1000"/>
              <w:rPr>
                <w:rFonts w:ascii="Arial" w:eastAsia="Times New Roman" w:hAnsi="Arial" w:cs="Arial"/>
                <w:color w:val="000000"/>
                <w:sz w:val="20"/>
                <w:szCs w:val="20"/>
              </w:rPr>
            </w:pPr>
          </w:p>
        </w:tc>
        <w:tc>
          <w:tcPr>
            <w:tcW w:w="595" w:type="pct"/>
            <w:tcMar>
              <w:top w:w="36" w:type="dxa"/>
              <w:bottom w:w="36" w:type="dxa"/>
            </w:tcMar>
            <w:vAlign w:val="center"/>
          </w:tcPr>
          <w:p w:rsidR="004B0AAA" w:rsidRPr="004B0AAA" w:rsidRDefault="004B0AAA" w:rsidP="004B0AAA">
            <w:pPr>
              <w:spacing w:after="0" w:line="240" w:lineRule="auto"/>
              <w:rPr>
                <w:rFonts w:ascii="Arial" w:eastAsia="Times New Roman" w:hAnsi="Arial" w:cs="Arial"/>
                <w:sz w:val="20"/>
                <w:szCs w:val="20"/>
              </w:rPr>
            </w:pPr>
            <w:r w:rsidRPr="004B0AAA">
              <w:rPr>
                <w:rFonts w:ascii="Arial" w:eastAsia="Times New Roman" w:hAnsi="Arial" w:cs="Arial"/>
                <w:sz w:val="20"/>
                <w:szCs w:val="20"/>
              </w:rPr>
              <w:t>acres</w:t>
            </w:r>
          </w:p>
        </w:tc>
      </w:tr>
      <w:tr w:rsidR="004B0AAA" w:rsidRPr="004B0AAA" w:rsidTr="004B0AAA">
        <w:trPr>
          <w:gridAfter w:val="1"/>
          <w:wAfter w:w="6" w:type="pct"/>
          <w:trHeight w:val="330"/>
        </w:trPr>
        <w:tc>
          <w:tcPr>
            <w:tcW w:w="170" w:type="pct"/>
            <w:shd w:val="clear" w:color="auto" w:fill="auto"/>
            <w:noWrap/>
            <w:tcMar>
              <w:top w:w="36" w:type="dxa"/>
              <w:bottom w:w="36" w:type="dxa"/>
            </w:tcMar>
            <w:vAlign w:val="bottom"/>
            <w:hideMark/>
          </w:tcPr>
          <w:p w:rsidR="004B0AAA" w:rsidRPr="004B0AAA" w:rsidRDefault="004B0AAA" w:rsidP="004B0AAA">
            <w:pPr>
              <w:spacing w:after="0" w:line="240" w:lineRule="auto"/>
              <w:jc w:val="right"/>
              <w:rPr>
                <w:rFonts w:ascii="Arial" w:eastAsia="Times New Roman" w:hAnsi="Arial" w:cs="Arial"/>
                <w:color w:val="000000"/>
                <w:sz w:val="20"/>
                <w:szCs w:val="20"/>
              </w:rPr>
            </w:pPr>
            <w:r w:rsidRPr="004B0AAA">
              <w:rPr>
                <w:rFonts w:ascii="Arial" w:eastAsia="Times New Roman" w:hAnsi="Arial" w:cs="Arial"/>
                <w:color w:val="000000"/>
                <w:sz w:val="20"/>
                <w:szCs w:val="20"/>
              </w:rPr>
              <w:t>2</w:t>
            </w:r>
          </w:p>
        </w:tc>
        <w:tc>
          <w:tcPr>
            <w:tcW w:w="3039" w:type="pct"/>
            <w:shd w:val="clear" w:color="auto" w:fill="auto"/>
            <w:tcMar>
              <w:top w:w="36" w:type="dxa"/>
              <w:bottom w:w="36" w:type="dxa"/>
            </w:tcMar>
            <w:vAlign w:val="center"/>
            <w:hideMark/>
          </w:tcPr>
          <w:p w:rsidR="004B0AAA" w:rsidRPr="004B0AAA" w:rsidRDefault="004B0AAA" w:rsidP="004B0AAA">
            <w:pPr>
              <w:spacing w:after="0" w:line="240" w:lineRule="auto"/>
              <w:rPr>
                <w:rFonts w:ascii="Arial" w:eastAsia="Times New Roman" w:hAnsi="Arial" w:cs="Arial"/>
                <w:sz w:val="20"/>
                <w:szCs w:val="20"/>
              </w:rPr>
            </w:pPr>
            <w:r w:rsidRPr="004B0AAA">
              <w:rPr>
                <w:rFonts w:ascii="Arial" w:hAnsi="Arial" w:cs="Arial"/>
                <w:sz w:val="20"/>
                <w:szCs w:val="20"/>
              </w:rPr>
              <w:t xml:space="preserve">Enter Project Imperviousness, </w:t>
            </w:r>
            <w:r w:rsidRPr="004B0AAA">
              <w:rPr>
                <w:rFonts w:ascii="Arial" w:hAnsi="Arial" w:cs="Arial"/>
                <w:i/>
                <w:sz w:val="20"/>
                <w:szCs w:val="20"/>
              </w:rPr>
              <w:t>imp</w:t>
            </w:r>
            <w:r w:rsidRPr="004B0AAA">
              <w:rPr>
                <w:rFonts w:ascii="Arial" w:hAnsi="Arial" w:cs="Arial"/>
                <w:sz w:val="20"/>
                <w:szCs w:val="20"/>
              </w:rPr>
              <w:t xml:space="preserve"> (unitless) </w:t>
            </w:r>
          </w:p>
        </w:tc>
        <w:tc>
          <w:tcPr>
            <w:tcW w:w="595" w:type="pct"/>
            <w:tcMar>
              <w:top w:w="36" w:type="dxa"/>
              <w:bottom w:w="36" w:type="dxa"/>
            </w:tcMar>
            <w:vAlign w:val="center"/>
          </w:tcPr>
          <w:p w:rsidR="004B0AAA" w:rsidRPr="004B0AAA" w:rsidRDefault="004B0AAA" w:rsidP="004B0AAA">
            <w:pPr>
              <w:spacing w:after="0" w:line="240" w:lineRule="auto"/>
              <w:jc w:val="right"/>
              <w:rPr>
                <w:rFonts w:ascii="Arial" w:eastAsia="Times New Roman" w:hAnsi="Arial" w:cs="Arial"/>
                <w:sz w:val="20"/>
                <w:szCs w:val="20"/>
              </w:rPr>
            </w:pPr>
            <w:r w:rsidRPr="004B0AAA">
              <w:rPr>
                <w:rFonts w:ascii="Arial" w:eastAsia="Times New Roman" w:hAnsi="Arial" w:cs="Arial"/>
                <w:sz w:val="20"/>
                <w:szCs w:val="20"/>
              </w:rPr>
              <w:t>imp=</w:t>
            </w:r>
          </w:p>
        </w:tc>
        <w:tc>
          <w:tcPr>
            <w:tcW w:w="595" w:type="pct"/>
            <w:tcMar>
              <w:top w:w="36" w:type="dxa"/>
              <w:bottom w:w="36" w:type="dxa"/>
            </w:tcMar>
          </w:tcPr>
          <w:p w:rsidR="004B0AAA" w:rsidRPr="004B0AAA" w:rsidRDefault="004B0AAA" w:rsidP="004B0AAA">
            <w:pPr>
              <w:spacing w:after="0" w:line="240" w:lineRule="auto"/>
              <w:ind w:firstLineChars="500" w:firstLine="1000"/>
              <w:rPr>
                <w:rFonts w:ascii="Arial" w:eastAsia="Times New Roman" w:hAnsi="Arial" w:cs="Arial"/>
                <w:color w:val="000000"/>
                <w:sz w:val="20"/>
                <w:szCs w:val="20"/>
              </w:rPr>
            </w:pPr>
          </w:p>
        </w:tc>
        <w:tc>
          <w:tcPr>
            <w:tcW w:w="595" w:type="pct"/>
            <w:tcMar>
              <w:top w:w="36" w:type="dxa"/>
              <w:bottom w:w="36" w:type="dxa"/>
            </w:tcMar>
            <w:vAlign w:val="center"/>
          </w:tcPr>
          <w:p w:rsidR="004B0AAA" w:rsidRPr="004B0AAA" w:rsidRDefault="004B0AAA" w:rsidP="004B0AAA">
            <w:pPr>
              <w:spacing w:after="0" w:line="240" w:lineRule="auto"/>
              <w:rPr>
                <w:rFonts w:ascii="Arial" w:eastAsia="Times New Roman" w:hAnsi="Arial" w:cs="Arial"/>
                <w:sz w:val="20"/>
                <w:szCs w:val="20"/>
              </w:rPr>
            </w:pPr>
          </w:p>
        </w:tc>
      </w:tr>
      <w:tr w:rsidR="004B0AAA" w:rsidRPr="004B0AAA" w:rsidTr="004B0AAA">
        <w:trPr>
          <w:gridAfter w:val="1"/>
          <w:wAfter w:w="6" w:type="pct"/>
          <w:trHeight w:val="330"/>
        </w:trPr>
        <w:tc>
          <w:tcPr>
            <w:tcW w:w="170" w:type="pct"/>
            <w:shd w:val="clear" w:color="auto" w:fill="auto"/>
            <w:noWrap/>
            <w:tcMar>
              <w:top w:w="36" w:type="dxa"/>
              <w:bottom w:w="36" w:type="dxa"/>
            </w:tcMar>
            <w:vAlign w:val="bottom"/>
            <w:hideMark/>
          </w:tcPr>
          <w:p w:rsidR="004B0AAA" w:rsidRPr="004B0AAA" w:rsidRDefault="004B0AAA" w:rsidP="004B0AAA">
            <w:pPr>
              <w:spacing w:after="0" w:line="240" w:lineRule="auto"/>
              <w:jc w:val="right"/>
              <w:rPr>
                <w:rFonts w:ascii="Arial" w:eastAsia="Times New Roman" w:hAnsi="Arial" w:cs="Arial"/>
                <w:color w:val="000000"/>
                <w:sz w:val="20"/>
                <w:szCs w:val="20"/>
              </w:rPr>
            </w:pPr>
            <w:r w:rsidRPr="004B0AAA">
              <w:rPr>
                <w:rFonts w:ascii="Arial" w:eastAsia="Times New Roman" w:hAnsi="Arial" w:cs="Arial"/>
                <w:color w:val="000000"/>
                <w:sz w:val="20"/>
                <w:szCs w:val="20"/>
              </w:rPr>
              <w:t>3</w:t>
            </w:r>
          </w:p>
        </w:tc>
        <w:tc>
          <w:tcPr>
            <w:tcW w:w="3039" w:type="pct"/>
            <w:shd w:val="clear" w:color="auto" w:fill="auto"/>
            <w:tcMar>
              <w:top w:w="36" w:type="dxa"/>
              <w:bottom w:w="36" w:type="dxa"/>
            </w:tcMar>
            <w:vAlign w:val="center"/>
            <w:hideMark/>
          </w:tcPr>
          <w:p w:rsidR="004B0AAA" w:rsidRPr="004B0AAA" w:rsidRDefault="004B0AAA" w:rsidP="004B0AAA">
            <w:pPr>
              <w:spacing w:after="0" w:line="240" w:lineRule="auto"/>
              <w:rPr>
                <w:rFonts w:ascii="Arial" w:eastAsia="Times New Roman" w:hAnsi="Arial" w:cs="Arial"/>
                <w:sz w:val="20"/>
                <w:szCs w:val="20"/>
              </w:rPr>
            </w:pPr>
            <w:r w:rsidRPr="004B0AAA">
              <w:rPr>
                <w:rFonts w:ascii="Arial" w:eastAsia="Times New Roman" w:hAnsi="Arial" w:cs="Arial"/>
                <w:sz w:val="20"/>
                <w:szCs w:val="20"/>
              </w:rPr>
              <w:t xml:space="preserve">Calculate runoff coefficient, </w:t>
            </w:r>
            <w:r w:rsidRPr="004B0AAA">
              <w:rPr>
                <w:rFonts w:ascii="Arial" w:eastAsia="Times New Roman" w:hAnsi="Arial" w:cs="Arial"/>
                <w:i/>
                <w:sz w:val="20"/>
                <w:szCs w:val="20"/>
              </w:rPr>
              <w:t>C= (0.75 x imp) + 0.15</w:t>
            </w:r>
          </w:p>
        </w:tc>
        <w:tc>
          <w:tcPr>
            <w:tcW w:w="595" w:type="pct"/>
            <w:tcMar>
              <w:top w:w="36" w:type="dxa"/>
              <w:bottom w:w="36" w:type="dxa"/>
            </w:tcMar>
            <w:vAlign w:val="center"/>
          </w:tcPr>
          <w:p w:rsidR="004B0AAA" w:rsidRPr="004B0AAA" w:rsidRDefault="004B0AAA" w:rsidP="004B0AAA">
            <w:pPr>
              <w:spacing w:after="0" w:line="240" w:lineRule="auto"/>
              <w:jc w:val="right"/>
              <w:rPr>
                <w:rFonts w:ascii="Arial" w:eastAsia="Times New Roman" w:hAnsi="Arial" w:cs="Arial"/>
                <w:sz w:val="20"/>
                <w:szCs w:val="20"/>
              </w:rPr>
            </w:pPr>
            <w:r w:rsidRPr="004B0AAA">
              <w:rPr>
                <w:rFonts w:ascii="Arial" w:eastAsia="Times New Roman" w:hAnsi="Arial" w:cs="Arial"/>
                <w:sz w:val="20"/>
                <w:szCs w:val="20"/>
              </w:rPr>
              <w:t>C=</w:t>
            </w:r>
          </w:p>
        </w:tc>
        <w:tc>
          <w:tcPr>
            <w:tcW w:w="595" w:type="pct"/>
            <w:tcMar>
              <w:top w:w="36" w:type="dxa"/>
              <w:bottom w:w="36" w:type="dxa"/>
            </w:tcMar>
          </w:tcPr>
          <w:p w:rsidR="004B0AAA" w:rsidRPr="004B0AAA" w:rsidRDefault="004B0AAA" w:rsidP="004B0AAA">
            <w:pPr>
              <w:spacing w:after="0" w:line="240" w:lineRule="auto"/>
              <w:ind w:firstLineChars="500" w:firstLine="1000"/>
              <w:rPr>
                <w:rFonts w:ascii="Arial" w:eastAsia="Times New Roman" w:hAnsi="Arial" w:cs="Arial"/>
                <w:color w:val="000000"/>
                <w:sz w:val="20"/>
                <w:szCs w:val="20"/>
              </w:rPr>
            </w:pPr>
          </w:p>
        </w:tc>
        <w:tc>
          <w:tcPr>
            <w:tcW w:w="595" w:type="pct"/>
            <w:tcMar>
              <w:top w:w="36" w:type="dxa"/>
              <w:bottom w:w="36" w:type="dxa"/>
            </w:tcMar>
            <w:vAlign w:val="center"/>
          </w:tcPr>
          <w:p w:rsidR="004B0AAA" w:rsidRPr="004B0AAA" w:rsidRDefault="004B0AAA" w:rsidP="004B0AAA">
            <w:pPr>
              <w:spacing w:after="0" w:line="240" w:lineRule="auto"/>
              <w:rPr>
                <w:rFonts w:ascii="Arial" w:eastAsia="Times New Roman" w:hAnsi="Arial" w:cs="Arial"/>
                <w:sz w:val="20"/>
                <w:szCs w:val="20"/>
              </w:rPr>
            </w:pPr>
          </w:p>
        </w:tc>
      </w:tr>
      <w:tr w:rsidR="004B0AAA" w:rsidRPr="004B0AAA" w:rsidTr="004B0AAA">
        <w:trPr>
          <w:gridAfter w:val="1"/>
          <w:wAfter w:w="6" w:type="pct"/>
          <w:trHeight w:val="330"/>
        </w:trPr>
        <w:tc>
          <w:tcPr>
            <w:tcW w:w="170" w:type="pct"/>
            <w:shd w:val="clear" w:color="auto" w:fill="auto"/>
            <w:noWrap/>
            <w:tcMar>
              <w:top w:w="36" w:type="dxa"/>
              <w:bottom w:w="36" w:type="dxa"/>
            </w:tcMar>
            <w:vAlign w:val="bottom"/>
            <w:hideMark/>
          </w:tcPr>
          <w:p w:rsidR="004B0AAA" w:rsidRPr="004B0AAA" w:rsidRDefault="004B0AAA" w:rsidP="004B0AAA">
            <w:pPr>
              <w:spacing w:after="0" w:line="240" w:lineRule="auto"/>
              <w:jc w:val="right"/>
              <w:rPr>
                <w:rFonts w:ascii="Arial" w:eastAsia="Times New Roman" w:hAnsi="Arial" w:cs="Arial"/>
                <w:color w:val="000000"/>
                <w:sz w:val="20"/>
                <w:szCs w:val="20"/>
              </w:rPr>
            </w:pPr>
            <w:r w:rsidRPr="004B0AAA">
              <w:rPr>
                <w:rFonts w:ascii="Arial" w:eastAsia="Times New Roman" w:hAnsi="Arial" w:cs="Arial"/>
                <w:color w:val="000000"/>
                <w:sz w:val="20"/>
                <w:szCs w:val="20"/>
              </w:rPr>
              <w:t>4</w:t>
            </w:r>
          </w:p>
        </w:tc>
        <w:tc>
          <w:tcPr>
            <w:tcW w:w="3039" w:type="pct"/>
            <w:shd w:val="clear" w:color="auto" w:fill="auto"/>
            <w:tcMar>
              <w:top w:w="36" w:type="dxa"/>
              <w:bottom w:w="36" w:type="dxa"/>
            </w:tcMar>
            <w:vAlign w:val="center"/>
            <w:hideMark/>
          </w:tcPr>
          <w:p w:rsidR="004B0AAA" w:rsidRPr="004B0AAA" w:rsidRDefault="004B0AAA" w:rsidP="004B0AAA">
            <w:pPr>
              <w:spacing w:after="0" w:line="240" w:lineRule="auto"/>
              <w:rPr>
                <w:rFonts w:ascii="Arial" w:eastAsia="Times New Roman" w:hAnsi="Arial" w:cs="Arial"/>
                <w:sz w:val="20"/>
                <w:szCs w:val="20"/>
              </w:rPr>
            </w:pPr>
            <w:r w:rsidRPr="004B0AAA">
              <w:rPr>
                <w:rFonts w:ascii="Arial" w:eastAsia="Times New Roman" w:hAnsi="Arial" w:cs="Arial"/>
                <w:sz w:val="20"/>
                <w:szCs w:val="20"/>
              </w:rPr>
              <w:t xml:space="preserve">Calculate runoff volume, </w:t>
            </w:r>
            <w:proofErr w:type="spellStart"/>
            <w:r w:rsidRPr="004B0AAA">
              <w:rPr>
                <w:rFonts w:ascii="Arial" w:eastAsia="Times New Roman" w:hAnsi="Arial" w:cs="Arial"/>
                <w:i/>
                <w:sz w:val="20"/>
                <w:szCs w:val="20"/>
              </w:rPr>
              <w:t>V</w:t>
            </w:r>
            <w:r w:rsidRPr="004B0AAA">
              <w:rPr>
                <w:rFonts w:ascii="Arial" w:eastAsia="Times New Roman" w:hAnsi="Arial" w:cs="Arial"/>
                <w:i/>
                <w:sz w:val="20"/>
                <w:szCs w:val="20"/>
                <w:vertAlign w:val="subscript"/>
              </w:rPr>
              <w:t>design</w:t>
            </w:r>
            <w:proofErr w:type="spellEnd"/>
            <w:r w:rsidRPr="004B0AAA">
              <w:rPr>
                <w:rFonts w:ascii="Arial" w:eastAsia="Times New Roman" w:hAnsi="Arial" w:cs="Arial"/>
                <w:i/>
                <w:sz w:val="20"/>
                <w:szCs w:val="20"/>
              </w:rPr>
              <w:t xml:space="preserve">= (C x </w:t>
            </w:r>
            <w:proofErr w:type="spellStart"/>
            <w:r w:rsidRPr="004B0AAA">
              <w:rPr>
                <w:rFonts w:ascii="Arial" w:eastAsia="Times New Roman" w:hAnsi="Arial" w:cs="Arial"/>
                <w:i/>
                <w:sz w:val="20"/>
                <w:szCs w:val="20"/>
              </w:rPr>
              <w:t>d</w:t>
            </w:r>
            <w:r w:rsidRPr="004B0AAA">
              <w:rPr>
                <w:rFonts w:ascii="Arial" w:eastAsia="Times New Roman" w:hAnsi="Arial" w:cs="Arial"/>
                <w:i/>
                <w:sz w:val="20"/>
                <w:szCs w:val="20"/>
                <w:vertAlign w:val="subscript"/>
              </w:rPr>
              <w:t>rfraction</w:t>
            </w:r>
            <w:proofErr w:type="spellEnd"/>
            <w:r w:rsidRPr="004B0AAA">
              <w:rPr>
                <w:rFonts w:ascii="Arial" w:eastAsia="Times New Roman" w:hAnsi="Arial" w:cs="Arial"/>
                <w:i/>
                <w:sz w:val="20"/>
                <w:szCs w:val="20"/>
              </w:rPr>
              <w:t xml:space="preserve"> x A x 43560 x (1/12))</w:t>
            </w:r>
          </w:p>
        </w:tc>
        <w:tc>
          <w:tcPr>
            <w:tcW w:w="595" w:type="pct"/>
            <w:tcMar>
              <w:top w:w="36" w:type="dxa"/>
              <w:bottom w:w="36" w:type="dxa"/>
            </w:tcMar>
            <w:vAlign w:val="center"/>
          </w:tcPr>
          <w:p w:rsidR="004B0AAA" w:rsidRPr="004B0AAA" w:rsidRDefault="004B0AAA" w:rsidP="004B0AAA">
            <w:pPr>
              <w:spacing w:after="0" w:line="240" w:lineRule="auto"/>
              <w:jc w:val="right"/>
              <w:rPr>
                <w:rFonts w:ascii="Arial" w:eastAsia="Times New Roman" w:hAnsi="Arial" w:cs="Arial"/>
                <w:sz w:val="20"/>
                <w:szCs w:val="20"/>
              </w:rPr>
            </w:pPr>
            <w:proofErr w:type="spellStart"/>
            <w:r w:rsidRPr="004B0AAA">
              <w:rPr>
                <w:rFonts w:ascii="Arial" w:eastAsia="Times New Roman" w:hAnsi="Arial" w:cs="Arial"/>
                <w:sz w:val="20"/>
                <w:szCs w:val="20"/>
              </w:rPr>
              <w:t>V</w:t>
            </w:r>
            <w:r w:rsidRPr="004B0AAA">
              <w:rPr>
                <w:rFonts w:ascii="Arial" w:eastAsia="Times New Roman" w:hAnsi="Arial" w:cs="Arial"/>
                <w:sz w:val="20"/>
                <w:szCs w:val="20"/>
                <w:vertAlign w:val="subscript"/>
              </w:rPr>
              <w:t>design</w:t>
            </w:r>
            <w:proofErr w:type="spellEnd"/>
            <w:r w:rsidRPr="004B0AAA">
              <w:rPr>
                <w:rFonts w:ascii="Arial" w:eastAsia="Times New Roman" w:hAnsi="Arial" w:cs="Arial"/>
                <w:sz w:val="20"/>
                <w:szCs w:val="20"/>
              </w:rPr>
              <w:t>=</w:t>
            </w:r>
          </w:p>
        </w:tc>
        <w:tc>
          <w:tcPr>
            <w:tcW w:w="595" w:type="pct"/>
            <w:tcMar>
              <w:top w:w="36" w:type="dxa"/>
              <w:bottom w:w="36" w:type="dxa"/>
            </w:tcMar>
          </w:tcPr>
          <w:p w:rsidR="004B0AAA" w:rsidRPr="004B0AAA" w:rsidRDefault="004B0AAA" w:rsidP="004B0AAA">
            <w:pPr>
              <w:spacing w:after="0" w:line="240" w:lineRule="auto"/>
              <w:ind w:firstLineChars="500" w:firstLine="1000"/>
              <w:rPr>
                <w:rFonts w:ascii="Arial" w:eastAsia="Times New Roman" w:hAnsi="Arial" w:cs="Arial"/>
                <w:color w:val="000000"/>
                <w:sz w:val="20"/>
                <w:szCs w:val="20"/>
              </w:rPr>
            </w:pPr>
          </w:p>
        </w:tc>
        <w:tc>
          <w:tcPr>
            <w:tcW w:w="595" w:type="pct"/>
            <w:tcMar>
              <w:top w:w="36" w:type="dxa"/>
              <w:bottom w:w="36" w:type="dxa"/>
            </w:tcMar>
            <w:vAlign w:val="center"/>
          </w:tcPr>
          <w:p w:rsidR="004B0AAA" w:rsidRPr="004B0AAA" w:rsidRDefault="004B0AAA" w:rsidP="004B0AAA">
            <w:pPr>
              <w:spacing w:after="0" w:line="240" w:lineRule="auto"/>
              <w:rPr>
                <w:rFonts w:ascii="Arial" w:eastAsia="Times New Roman" w:hAnsi="Arial" w:cs="Arial"/>
                <w:sz w:val="20"/>
                <w:szCs w:val="20"/>
              </w:rPr>
            </w:pPr>
            <w:r w:rsidRPr="004B0AAA">
              <w:rPr>
                <w:rFonts w:ascii="Arial" w:eastAsia="Times New Roman" w:hAnsi="Arial" w:cs="Arial"/>
                <w:sz w:val="20"/>
                <w:szCs w:val="20"/>
              </w:rPr>
              <w:t>cu-ft</w:t>
            </w:r>
          </w:p>
        </w:tc>
      </w:tr>
      <w:tr w:rsidR="004B0AAA" w:rsidRPr="004B0AAA" w:rsidTr="004B0AAA">
        <w:trPr>
          <w:trHeight w:val="330"/>
        </w:trPr>
        <w:tc>
          <w:tcPr>
            <w:tcW w:w="5000" w:type="pct"/>
            <w:gridSpan w:val="6"/>
            <w:shd w:val="clear" w:color="auto" w:fill="D9D9D9"/>
            <w:noWrap/>
            <w:tcMar>
              <w:top w:w="36" w:type="dxa"/>
              <w:bottom w:w="36" w:type="dxa"/>
            </w:tcMar>
            <w:vAlign w:val="center"/>
            <w:hideMark/>
          </w:tcPr>
          <w:p w:rsidR="004B0AAA" w:rsidRPr="004B0AAA" w:rsidRDefault="004B0AAA" w:rsidP="004B0AAA">
            <w:pPr>
              <w:pStyle w:val="ExampleSubheading"/>
              <w:pBdr>
                <w:top w:val="none" w:sz="0" w:space="0" w:color="auto"/>
                <w:left w:val="none" w:sz="0" w:space="0" w:color="auto"/>
                <w:bottom w:val="none" w:sz="0" w:space="0" w:color="auto"/>
                <w:right w:val="none" w:sz="0" w:space="0" w:color="auto"/>
              </w:pBdr>
              <w:ind w:left="0"/>
              <w:outlineLvl w:val="0"/>
              <w:rPr>
                <w:color w:val="000000"/>
              </w:rPr>
            </w:pPr>
            <w:r>
              <w:t>Supporting Calculations</w:t>
            </w:r>
          </w:p>
        </w:tc>
      </w:tr>
      <w:tr w:rsidR="004B0AAA" w:rsidRPr="004B0AAA" w:rsidTr="004B0AAA">
        <w:trPr>
          <w:gridAfter w:val="1"/>
          <w:wAfter w:w="6" w:type="pct"/>
          <w:trHeight w:val="1691"/>
        </w:trPr>
        <w:tc>
          <w:tcPr>
            <w:tcW w:w="4994" w:type="pct"/>
            <w:gridSpan w:val="5"/>
            <w:shd w:val="clear" w:color="auto" w:fill="auto"/>
            <w:noWrap/>
            <w:tcMar>
              <w:top w:w="36" w:type="dxa"/>
              <w:bottom w:w="36" w:type="dxa"/>
            </w:tcMar>
            <w:hideMark/>
          </w:tcPr>
          <w:p w:rsidR="004B0AAA" w:rsidRPr="004B0AAA" w:rsidRDefault="004B0AAA" w:rsidP="001A75FD">
            <w:pPr>
              <w:spacing w:after="0" w:line="240" w:lineRule="auto"/>
              <w:rPr>
                <w:rFonts w:ascii="Arial" w:eastAsia="Times New Roman" w:hAnsi="Arial" w:cs="Arial"/>
                <w:sz w:val="20"/>
                <w:szCs w:val="20"/>
              </w:rPr>
            </w:pPr>
            <w:r>
              <w:rPr>
                <w:rFonts w:ascii="Arial" w:eastAsia="Times New Roman" w:hAnsi="Arial" w:cs="Arial"/>
                <w:sz w:val="20"/>
                <w:szCs w:val="20"/>
              </w:rPr>
              <w:t>Describe system</w:t>
            </w:r>
            <w:r w:rsidR="001A75FD">
              <w:rPr>
                <w:rFonts w:ascii="Arial" w:eastAsia="Times New Roman" w:hAnsi="Arial" w:cs="Arial"/>
                <w:sz w:val="20"/>
                <w:szCs w:val="20"/>
              </w:rPr>
              <w:t>:</w:t>
            </w:r>
          </w:p>
        </w:tc>
      </w:tr>
      <w:tr w:rsidR="004B0AAA" w:rsidRPr="004B0AAA" w:rsidTr="004B0AAA">
        <w:trPr>
          <w:gridAfter w:val="1"/>
          <w:wAfter w:w="6" w:type="pct"/>
          <w:trHeight w:val="1718"/>
        </w:trPr>
        <w:tc>
          <w:tcPr>
            <w:tcW w:w="4994" w:type="pct"/>
            <w:gridSpan w:val="5"/>
            <w:shd w:val="clear" w:color="auto" w:fill="auto"/>
            <w:noWrap/>
            <w:tcMar>
              <w:top w:w="36" w:type="dxa"/>
              <w:bottom w:w="36" w:type="dxa"/>
            </w:tcMar>
            <w:hideMark/>
          </w:tcPr>
          <w:p w:rsidR="004B0AAA" w:rsidRPr="004B0AAA" w:rsidRDefault="004B0AAA" w:rsidP="004B0AAA">
            <w:pPr>
              <w:spacing w:after="0" w:line="240" w:lineRule="auto"/>
              <w:rPr>
                <w:rFonts w:ascii="Arial" w:eastAsia="Times New Roman" w:hAnsi="Arial" w:cs="Arial"/>
                <w:sz w:val="20"/>
                <w:szCs w:val="20"/>
              </w:rPr>
            </w:pPr>
            <w:r>
              <w:rPr>
                <w:rFonts w:ascii="Arial" w:eastAsia="Times New Roman" w:hAnsi="Arial" w:cs="Arial"/>
                <w:sz w:val="20"/>
                <w:szCs w:val="20"/>
              </w:rPr>
              <w:t>Provide drawdown time calculations per applicable BMP Fact Sheet</w:t>
            </w:r>
            <w:r w:rsidR="001A75FD">
              <w:rPr>
                <w:rFonts w:ascii="Arial" w:eastAsia="Times New Roman" w:hAnsi="Arial" w:cs="Arial"/>
                <w:sz w:val="20"/>
                <w:szCs w:val="20"/>
              </w:rPr>
              <w:t>:</w:t>
            </w:r>
          </w:p>
        </w:tc>
      </w:tr>
      <w:tr w:rsidR="001A75FD" w:rsidRPr="004B0AAA" w:rsidTr="00B75BA5">
        <w:trPr>
          <w:trHeight w:val="330"/>
        </w:trPr>
        <w:tc>
          <w:tcPr>
            <w:tcW w:w="5000" w:type="pct"/>
            <w:gridSpan w:val="6"/>
            <w:shd w:val="clear" w:color="auto" w:fill="D9D9D9"/>
            <w:noWrap/>
            <w:tcMar>
              <w:top w:w="36" w:type="dxa"/>
              <w:bottom w:w="36" w:type="dxa"/>
            </w:tcMar>
            <w:vAlign w:val="center"/>
            <w:hideMark/>
          </w:tcPr>
          <w:p w:rsidR="001A75FD" w:rsidRPr="004B0AAA" w:rsidRDefault="001A75FD" w:rsidP="00B75BA5">
            <w:pPr>
              <w:pStyle w:val="ExampleSubheading"/>
              <w:pBdr>
                <w:top w:val="none" w:sz="0" w:space="0" w:color="auto"/>
                <w:left w:val="none" w:sz="0" w:space="0" w:color="auto"/>
                <w:bottom w:val="none" w:sz="0" w:space="0" w:color="auto"/>
                <w:right w:val="none" w:sz="0" w:space="0" w:color="auto"/>
              </w:pBdr>
              <w:ind w:left="0"/>
              <w:outlineLvl w:val="0"/>
              <w:rPr>
                <w:color w:val="000000"/>
              </w:rPr>
            </w:pPr>
            <w:r w:rsidRPr="001A75FD">
              <w:t>Graphical Operations</w:t>
            </w:r>
          </w:p>
        </w:tc>
      </w:tr>
      <w:tr w:rsidR="004B0AAA" w:rsidRPr="004B0AAA" w:rsidTr="004B0AAA">
        <w:trPr>
          <w:gridAfter w:val="1"/>
          <w:wAfter w:w="6" w:type="pct"/>
          <w:trHeight w:val="1718"/>
        </w:trPr>
        <w:tc>
          <w:tcPr>
            <w:tcW w:w="4994" w:type="pct"/>
            <w:gridSpan w:val="5"/>
            <w:shd w:val="clear" w:color="auto" w:fill="auto"/>
            <w:noWrap/>
            <w:tcMar>
              <w:top w:w="36" w:type="dxa"/>
              <w:bottom w:w="36" w:type="dxa"/>
            </w:tcMar>
            <w:hideMark/>
          </w:tcPr>
          <w:p w:rsidR="004B0AAA" w:rsidRDefault="004B0AAA" w:rsidP="004B0AAA">
            <w:pPr>
              <w:spacing w:after="0" w:line="240" w:lineRule="auto"/>
              <w:rPr>
                <w:rFonts w:ascii="Arial" w:eastAsia="Times New Roman" w:hAnsi="Arial" w:cs="Arial"/>
                <w:sz w:val="20"/>
                <w:szCs w:val="20"/>
              </w:rPr>
            </w:pPr>
            <w:r w:rsidRPr="004B0AAA">
              <w:rPr>
                <w:rFonts w:ascii="Arial" w:eastAsia="Times New Roman" w:hAnsi="Arial" w:cs="Arial"/>
                <w:noProof/>
                <w:sz w:val="20"/>
                <w:szCs w:val="20"/>
              </w:rPr>
              <w:drawing>
                <wp:inline distT="0" distB="0" distL="0" distR="0">
                  <wp:extent cx="5943600" cy="4308667"/>
                  <wp:effectExtent l="19050" t="0" r="0" b="0"/>
                  <wp:docPr id="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email"/>
                          <a:srcRect/>
                          <a:stretch>
                            <a:fillRect/>
                          </a:stretch>
                        </pic:blipFill>
                        <pic:spPr bwMode="auto">
                          <a:xfrm>
                            <a:off x="0" y="0"/>
                            <a:ext cx="5943600" cy="4308667"/>
                          </a:xfrm>
                          <a:prstGeom prst="rect">
                            <a:avLst/>
                          </a:prstGeom>
                          <a:noFill/>
                        </pic:spPr>
                      </pic:pic>
                    </a:graphicData>
                  </a:graphic>
                </wp:inline>
              </w:drawing>
            </w:r>
          </w:p>
          <w:p w:rsidR="001A75FD" w:rsidRDefault="001A75FD" w:rsidP="004B0AAA">
            <w:pPr>
              <w:spacing w:after="0" w:line="240" w:lineRule="auto"/>
              <w:rPr>
                <w:rFonts w:ascii="Arial" w:eastAsia="Times New Roman" w:hAnsi="Arial" w:cs="Arial"/>
                <w:sz w:val="20"/>
                <w:szCs w:val="20"/>
              </w:rPr>
            </w:pPr>
          </w:p>
          <w:p w:rsidR="001A75FD" w:rsidRDefault="001A75FD" w:rsidP="004B0AAA">
            <w:pPr>
              <w:spacing w:after="0" w:line="240" w:lineRule="auto"/>
              <w:rPr>
                <w:rFonts w:ascii="Arial" w:eastAsia="Times New Roman" w:hAnsi="Arial" w:cs="Arial"/>
                <w:sz w:val="20"/>
                <w:szCs w:val="20"/>
              </w:rPr>
            </w:pPr>
            <w:r>
              <w:rPr>
                <w:rFonts w:ascii="Arial" w:eastAsia="Times New Roman" w:hAnsi="Arial" w:cs="Arial"/>
                <w:sz w:val="20"/>
                <w:szCs w:val="20"/>
              </w:rPr>
              <w:t xml:space="preserve">Provide supporting graphical operations.  See </w:t>
            </w:r>
            <w:r w:rsidR="00126F3D" w:rsidRPr="00126DE5">
              <w:rPr>
                <w:rFonts w:eastAsia="Times New Roman" w:cs="Arial"/>
                <w:b/>
                <w:color w:val="0070C0"/>
                <w:sz w:val="20"/>
                <w:szCs w:val="20"/>
              </w:rPr>
              <w:fldChar w:fldCharType="begin"/>
            </w:r>
            <w:r w:rsidRPr="00126DE5">
              <w:rPr>
                <w:rFonts w:eastAsia="Times New Roman" w:cs="Arial"/>
                <w:b/>
                <w:color w:val="0070C0"/>
                <w:sz w:val="20"/>
                <w:szCs w:val="20"/>
              </w:rPr>
              <w:instrText xml:space="preserve"> REF _Ref261601817 \h </w:instrText>
            </w:r>
            <w:r w:rsidR="00126F3D" w:rsidRPr="00126DE5">
              <w:rPr>
                <w:rFonts w:eastAsia="Times New Roman" w:cs="Arial"/>
                <w:b/>
                <w:color w:val="0070C0"/>
                <w:sz w:val="20"/>
                <w:szCs w:val="20"/>
              </w:rPr>
            </w:r>
            <w:r w:rsidR="00126F3D" w:rsidRPr="00126DE5">
              <w:rPr>
                <w:rFonts w:eastAsia="Times New Roman" w:cs="Arial"/>
                <w:b/>
                <w:color w:val="0070C0"/>
                <w:sz w:val="20"/>
                <w:szCs w:val="20"/>
              </w:rPr>
              <w:fldChar w:fldCharType="separate"/>
            </w:r>
            <w:r w:rsidR="00126DE5" w:rsidRPr="00126DE5">
              <w:rPr>
                <w:b/>
                <w:color w:val="0070C0"/>
              </w:rPr>
              <w:t xml:space="preserve">Example </w:t>
            </w:r>
            <w:r w:rsidR="00126DE5" w:rsidRPr="00126DE5">
              <w:rPr>
                <w:b/>
                <w:noProof/>
                <w:color w:val="0070C0"/>
              </w:rPr>
              <w:t>III</w:t>
            </w:r>
            <w:r w:rsidR="00126DE5" w:rsidRPr="00126DE5">
              <w:rPr>
                <w:b/>
                <w:color w:val="0070C0"/>
              </w:rPr>
              <w:t>.</w:t>
            </w:r>
            <w:r w:rsidR="00126DE5" w:rsidRPr="00126DE5">
              <w:rPr>
                <w:b/>
                <w:noProof/>
                <w:color w:val="0070C0"/>
              </w:rPr>
              <w:t>6</w:t>
            </w:r>
            <w:r w:rsidR="00126F3D" w:rsidRPr="00126DE5">
              <w:rPr>
                <w:rFonts w:eastAsia="Times New Roman" w:cs="Arial"/>
                <w:b/>
                <w:color w:val="0070C0"/>
                <w:sz w:val="20"/>
                <w:szCs w:val="20"/>
              </w:rPr>
              <w:fldChar w:fldCharType="end"/>
            </w:r>
            <w:r>
              <w:rPr>
                <w:rFonts w:ascii="Arial" w:eastAsia="Times New Roman" w:hAnsi="Arial" w:cs="Arial"/>
                <w:sz w:val="20"/>
                <w:szCs w:val="20"/>
              </w:rPr>
              <w:t>.</w:t>
            </w:r>
          </w:p>
          <w:p w:rsidR="001A75FD" w:rsidRDefault="001A75FD" w:rsidP="004B0AAA">
            <w:pPr>
              <w:spacing w:after="0" w:line="240" w:lineRule="auto"/>
              <w:rPr>
                <w:rFonts w:ascii="Arial" w:eastAsia="Times New Roman" w:hAnsi="Arial" w:cs="Arial"/>
                <w:sz w:val="20"/>
                <w:szCs w:val="20"/>
              </w:rPr>
            </w:pPr>
          </w:p>
        </w:tc>
      </w:tr>
    </w:tbl>
    <w:p w:rsidR="004B0AAA" w:rsidRDefault="004B0AAA">
      <w:pPr>
        <w:spacing w:after="200"/>
      </w:pPr>
    </w:p>
    <w:p w:rsidR="004B0AAA" w:rsidRDefault="004B0AAA">
      <w:pPr>
        <w:spacing w:after="200"/>
        <w:rPr>
          <w:rFonts w:eastAsiaTheme="majorEastAsia" w:cs="Times New Roman"/>
          <w:b/>
          <w:bCs/>
          <w:sz w:val="24"/>
        </w:rPr>
      </w:pPr>
      <w:r>
        <w:br w:type="page"/>
      </w:r>
    </w:p>
    <w:p w:rsidR="00A27241" w:rsidRPr="00B53524" w:rsidRDefault="00A27241" w:rsidP="00A52883">
      <w:pPr>
        <w:pStyle w:val="Heading3"/>
      </w:pPr>
      <w:bookmarkStart w:id="201" w:name="_Ref287707497"/>
      <w:r w:rsidRPr="00311A64">
        <w:t>Capture Efficiency</w:t>
      </w:r>
      <w:r>
        <w:t xml:space="preserve"> Method</w:t>
      </w:r>
      <w:r w:rsidR="001B5D78">
        <w:t xml:space="preserve"> for</w:t>
      </w:r>
      <w:r w:rsidRPr="00311A64">
        <w:t xml:space="preserve"> Flow-based BMPs</w:t>
      </w:r>
      <w:bookmarkEnd w:id="197"/>
      <w:bookmarkEnd w:id="198"/>
      <w:bookmarkEnd w:id="201"/>
      <w:r w:rsidRPr="00311A64">
        <w:t xml:space="preserve"> </w:t>
      </w:r>
    </w:p>
    <w:p w:rsidR="00A27241" w:rsidRDefault="00A27241" w:rsidP="00A27241">
      <w:pPr>
        <w:pStyle w:val="ReportBodyText"/>
        <w:spacing w:after="240" w:line="280" w:lineRule="exact"/>
      </w:pPr>
      <w:r w:rsidRPr="00311A64">
        <w:t>This section describes the recommended method to compute</w:t>
      </w:r>
      <w:r>
        <w:t xml:space="preserve"> the</w:t>
      </w:r>
      <w:r w:rsidRPr="00311A64">
        <w:t xml:space="preserve"> design </w:t>
      </w:r>
      <w:r>
        <w:t>flowrate</w:t>
      </w:r>
      <w:r w:rsidRPr="00311A64">
        <w:t xml:space="preserve"> for flow-based BMPs to achieve 80 percent average annual capture efficiency.  This method </w:t>
      </w:r>
      <w:r>
        <w:t>allows accounting for the effects of</w:t>
      </w:r>
      <w:r w:rsidR="0063671C">
        <w:t xml:space="preserve"> </w:t>
      </w:r>
      <w:r w:rsidRPr="00311A64">
        <w:t xml:space="preserve">HSCs </w:t>
      </w:r>
      <w:r>
        <w:t xml:space="preserve">and </w:t>
      </w:r>
      <w:r w:rsidRPr="00311A64">
        <w:t xml:space="preserve">other BMPs upstream of the flow-based BMP. </w:t>
      </w:r>
      <w:r>
        <w:t>This method has a number of potential applications in the Project WQMP preparation process:</w:t>
      </w:r>
    </w:p>
    <w:p w:rsidR="00FE3A73" w:rsidRDefault="00A27241" w:rsidP="0027571A">
      <w:pPr>
        <w:pStyle w:val="ListBullet"/>
      </w:pPr>
      <w:r>
        <w:t xml:space="preserve">Use this method to compute the design flowrate to achieve 80 percent capture when HSCs or other BMPs have been provided upstream that already manage a portion of the </w:t>
      </w:r>
      <w:r w:rsidR="003C7091">
        <w:t>DCV</w:t>
      </w:r>
      <w:r>
        <w:t>.</w:t>
      </w:r>
    </w:p>
    <w:p w:rsidR="00FE3A73" w:rsidRDefault="00A27241" w:rsidP="0027571A">
      <w:pPr>
        <w:pStyle w:val="ListBullet"/>
      </w:pPr>
      <w:r>
        <w:t>Use this method to add a flow-based component to a BMP that already has a retention component.  This method results in the design flowrate for the flow-based component so that the BMP achieves a total of 80 percent capture between the volume-based and the flow-through component.</w:t>
      </w:r>
    </w:p>
    <w:p w:rsidR="00A27241" w:rsidRPr="00B53524" w:rsidRDefault="00A27241" w:rsidP="00EA1EA6">
      <w:pPr>
        <w:pStyle w:val="CDMBTEXT"/>
        <w:outlineLvl w:val="0"/>
        <w:rPr>
          <w:b/>
          <w:u w:val="single"/>
        </w:rPr>
      </w:pPr>
      <w:bookmarkStart w:id="202" w:name="_Toc285308120"/>
      <w:r w:rsidRPr="00311A64">
        <w:rPr>
          <w:b/>
          <w:u w:val="single"/>
        </w:rPr>
        <w:t>Stepwise Instructions:</w:t>
      </w:r>
      <w:bookmarkEnd w:id="202"/>
    </w:p>
    <w:p w:rsidR="00A27241" w:rsidRPr="00B53524" w:rsidRDefault="00A27241" w:rsidP="009531AF">
      <w:pPr>
        <w:pStyle w:val="ReportBodyText"/>
        <w:numPr>
          <w:ilvl w:val="0"/>
          <w:numId w:val="2"/>
        </w:numPr>
        <w:spacing w:after="240" w:line="280" w:lineRule="exact"/>
        <w:contextualSpacing/>
      </w:pPr>
      <w:r w:rsidRPr="00311A64">
        <w:t>Estimate the time of concentration (T</w:t>
      </w:r>
      <w:r w:rsidRPr="00311A64">
        <w:rPr>
          <w:vertAlign w:val="subscript"/>
        </w:rPr>
        <w:t>c</w:t>
      </w:r>
      <w:r w:rsidRPr="00311A64">
        <w:t>) of the tributary area per Section</w:t>
      </w:r>
      <w:r w:rsidR="00B32C4E">
        <w:rPr>
          <w:b/>
          <w:color w:val="0070C0"/>
        </w:rPr>
        <w:t xml:space="preserve"> </w:t>
      </w:r>
      <w:r w:rsidR="00126F3D" w:rsidRPr="00126DE5">
        <w:rPr>
          <w:rFonts w:cs="Arial"/>
          <w:b/>
          <w:color w:val="0070C0"/>
          <w:sz w:val="20"/>
          <w:szCs w:val="20"/>
        </w:rPr>
        <w:fldChar w:fldCharType="begin"/>
      </w:r>
      <w:r w:rsidR="00B32C4E" w:rsidRPr="00126DE5">
        <w:rPr>
          <w:rFonts w:cs="Arial"/>
          <w:b/>
          <w:color w:val="0070C0"/>
          <w:sz w:val="20"/>
          <w:szCs w:val="20"/>
        </w:rPr>
        <w:instrText xml:space="preserve"> REF _Ref285400004 \r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rFonts w:cs="Arial"/>
          <w:b/>
          <w:color w:val="0070C0"/>
          <w:sz w:val="20"/>
          <w:szCs w:val="20"/>
        </w:rPr>
        <w:t>IV.2</w:t>
      </w:r>
      <w:r w:rsidR="00126F3D" w:rsidRPr="00126DE5">
        <w:rPr>
          <w:rFonts w:cs="Arial"/>
          <w:b/>
          <w:color w:val="0070C0"/>
          <w:sz w:val="20"/>
          <w:szCs w:val="20"/>
        </w:rPr>
        <w:fldChar w:fldCharType="end"/>
      </w:r>
      <w:r w:rsidRPr="00311A64">
        <w:t xml:space="preserve">. </w:t>
      </w:r>
    </w:p>
    <w:p w:rsidR="00A27241" w:rsidRPr="00B53524" w:rsidRDefault="00A27241" w:rsidP="009531AF">
      <w:pPr>
        <w:pStyle w:val="ReportBodyText"/>
        <w:numPr>
          <w:ilvl w:val="0"/>
          <w:numId w:val="2"/>
        </w:numPr>
        <w:spacing w:after="240" w:line="280" w:lineRule="exact"/>
        <w:contextualSpacing/>
      </w:pPr>
      <w:r w:rsidRPr="00311A64">
        <w:t>Locate where the T</w:t>
      </w:r>
      <w:r w:rsidRPr="00311A64">
        <w:rPr>
          <w:vertAlign w:val="subscript"/>
        </w:rPr>
        <w:t>c</w:t>
      </w:r>
      <w:r w:rsidRPr="00311A64">
        <w:t xml:space="preserve"> line intersects with 80 percent capture on </w:t>
      </w:r>
      <w:fldSimple w:instr=" REF _Ref257795315 \h  \* MERGEFORMAT ">
        <w:r w:rsidR="00126DE5" w:rsidRPr="00126DE5">
          <w:rPr>
            <w:rFonts w:cs="Arial"/>
            <w:b/>
            <w:color w:val="0070C0"/>
            <w:sz w:val="20"/>
            <w:szCs w:val="20"/>
          </w:rPr>
          <w:t>Figure III.4</w:t>
        </w:r>
      </w:fldSimple>
      <w:r w:rsidRPr="00311A64">
        <w:t>. Pivot and read to the horizontal axis to yield I</w:t>
      </w:r>
      <w:r w:rsidRPr="00311A64">
        <w:rPr>
          <w:vertAlign w:val="subscript"/>
        </w:rPr>
        <w:t>1</w:t>
      </w:r>
      <w:r w:rsidRPr="00311A64">
        <w:t>.</w:t>
      </w:r>
    </w:p>
    <w:p w:rsidR="00A27241" w:rsidRPr="00B53524" w:rsidRDefault="00A27241" w:rsidP="009531AF">
      <w:pPr>
        <w:pStyle w:val="ReportBodyText"/>
        <w:numPr>
          <w:ilvl w:val="0"/>
          <w:numId w:val="2"/>
        </w:numPr>
        <w:spacing w:after="240" w:line="280" w:lineRule="exact"/>
        <w:contextualSpacing/>
      </w:pPr>
      <w:r w:rsidRPr="00311A64">
        <w:t xml:space="preserve">Determine the capture efficiency achieved upstream of the BMP and trace a horizontal line on </w:t>
      </w:r>
      <w:fldSimple w:instr=" REF _Ref257795315 \h  \* MERGEFORMAT ">
        <w:r w:rsidR="00126DE5" w:rsidRPr="00126DE5">
          <w:rPr>
            <w:rFonts w:cs="Arial"/>
            <w:b/>
            <w:color w:val="0070C0"/>
            <w:sz w:val="20"/>
            <w:szCs w:val="20"/>
          </w:rPr>
          <w:t>Figure III.4</w:t>
        </w:r>
      </w:fldSimple>
      <w:r w:rsidRPr="00311A64">
        <w:t xml:space="preserve"> corresponding to this value. This will generally be the capture efficiency achieved by upstream HSCs </w:t>
      </w:r>
      <w:r w:rsidRPr="00B32C4E">
        <w:t>(</w:t>
      </w:r>
      <w:r w:rsidR="00B32C4E" w:rsidRPr="00B32C4E">
        <w:t>Section</w:t>
      </w:r>
      <w:r w:rsidR="00B32C4E">
        <w:rPr>
          <w:b/>
          <w:color w:val="0070C0"/>
        </w:rPr>
        <w:t xml:space="preserve"> </w:t>
      </w:r>
      <w:r w:rsidR="00126F3D" w:rsidRPr="00126DE5">
        <w:rPr>
          <w:rFonts w:cs="Arial"/>
          <w:b/>
          <w:color w:val="0070C0"/>
          <w:sz w:val="20"/>
          <w:szCs w:val="20"/>
        </w:rPr>
        <w:fldChar w:fldCharType="begin"/>
      </w:r>
      <w:r w:rsidR="00B32C4E" w:rsidRPr="00126DE5">
        <w:rPr>
          <w:rFonts w:cs="Arial"/>
          <w:b/>
          <w:color w:val="0070C0"/>
          <w:sz w:val="20"/>
          <w:szCs w:val="20"/>
        </w:rPr>
        <w:instrText xml:space="preserve"> REF _Ref285399984 \r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rFonts w:cs="Arial"/>
          <w:b/>
          <w:color w:val="0070C0"/>
          <w:sz w:val="20"/>
          <w:szCs w:val="20"/>
        </w:rPr>
        <w:t>III.1.3.3</w:t>
      </w:r>
      <w:r w:rsidR="00126F3D" w:rsidRPr="00126DE5">
        <w:rPr>
          <w:rFonts w:cs="Arial"/>
          <w:b/>
          <w:color w:val="0070C0"/>
          <w:sz w:val="20"/>
          <w:szCs w:val="20"/>
        </w:rPr>
        <w:fldChar w:fldCharType="end"/>
      </w:r>
      <w:r w:rsidRPr="00311A64">
        <w:t>), but may account for the effect of an upstream LID BMP as well if a treatment train is used.</w:t>
      </w:r>
    </w:p>
    <w:p w:rsidR="00A27241" w:rsidRPr="00B53524" w:rsidRDefault="00A27241" w:rsidP="009531AF">
      <w:pPr>
        <w:pStyle w:val="ReportBodyText"/>
        <w:numPr>
          <w:ilvl w:val="0"/>
          <w:numId w:val="2"/>
        </w:numPr>
        <w:spacing w:after="240" w:line="280" w:lineRule="exact"/>
        <w:contextualSpacing/>
      </w:pPr>
      <w:r w:rsidRPr="00311A64">
        <w:t>Locate where the T</w:t>
      </w:r>
      <w:r w:rsidRPr="00311A64">
        <w:rPr>
          <w:vertAlign w:val="subscript"/>
        </w:rPr>
        <w:t>c</w:t>
      </w:r>
      <w:r w:rsidRPr="00311A64">
        <w:t xml:space="preserve"> line intersects with the line traced in (3).  Pivot and read down to the horizontal axis to yield I</w:t>
      </w:r>
      <w:r w:rsidRPr="00311A64">
        <w:rPr>
          <w:vertAlign w:val="subscript"/>
        </w:rPr>
        <w:t>2</w:t>
      </w:r>
      <w:r w:rsidRPr="00311A64">
        <w:t xml:space="preserve">.  </w:t>
      </w:r>
    </w:p>
    <w:p w:rsidR="00A27241" w:rsidRPr="00B53524" w:rsidRDefault="00A27241" w:rsidP="009531AF">
      <w:pPr>
        <w:pStyle w:val="ReportBodyText"/>
        <w:numPr>
          <w:ilvl w:val="0"/>
          <w:numId w:val="2"/>
        </w:numPr>
        <w:spacing w:after="240" w:line="280" w:lineRule="exact"/>
        <w:contextualSpacing/>
      </w:pPr>
      <w:r w:rsidRPr="00311A64">
        <w:t>Subtract I</w:t>
      </w:r>
      <w:r w:rsidRPr="00311A64">
        <w:rPr>
          <w:vertAlign w:val="subscript"/>
        </w:rPr>
        <w:t>2</w:t>
      </w:r>
      <w:r w:rsidRPr="00311A64">
        <w:t xml:space="preserve"> from I</w:t>
      </w:r>
      <w:r w:rsidRPr="00311A64">
        <w:rPr>
          <w:vertAlign w:val="subscript"/>
        </w:rPr>
        <w:t>1</w:t>
      </w:r>
      <w:r w:rsidRPr="00311A64">
        <w:t xml:space="preserve"> to yield the design intensity required to yield 80 percent capture.</w:t>
      </w:r>
    </w:p>
    <w:p w:rsidR="00A27241" w:rsidRPr="00B53524" w:rsidRDefault="00A27241" w:rsidP="009531AF">
      <w:pPr>
        <w:pStyle w:val="ReportBodyText"/>
        <w:numPr>
          <w:ilvl w:val="0"/>
          <w:numId w:val="2"/>
        </w:numPr>
        <w:spacing w:after="240" w:line="280" w:lineRule="exact"/>
        <w:contextualSpacing/>
      </w:pPr>
      <w:r w:rsidRPr="00311A64">
        <w:t xml:space="preserve"> Compute runoff flowrate from the design intensity as specified in Section </w:t>
      </w:r>
      <w:r w:rsidR="00126F3D" w:rsidRPr="00126DE5">
        <w:rPr>
          <w:rFonts w:cs="Arial"/>
          <w:b/>
          <w:color w:val="0070C0"/>
          <w:sz w:val="20"/>
          <w:szCs w:val="20"/>
        </w:rPr>
        <w:fldChar w:fldCharType="begin"/>
      </w:r>
      <w:r w:rsidR="00B32C4E" w:rsidRPr="00126DE5">
        <w:rPr>
          <w:rFonts w:cs="Arial"/>
          <w:b/>
          <w:color w:val="0070C0"/>
          <w:sz w:val="20"/>
          <w:szCs w:val="20"/>
        </w:rPr>
        <w:instrText xml:space="preserve"> REF _Ref285372773 \r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rFonts w:cs="Arial"/>
          <w:b/>
          <w:color w:val="0070C0"/>
          <w:sz w:val="20"/>
          <w:szCs w:val="20"/>
        </w:rPr>
        <w:t>III.1.2</w:t>
      </w:r>
      <w:r w:rsidR="00126F3D" w:rsidRPr="00126DE5">
        <w:rPr>
          <w:rFonts w:cs="Arial"/>
          <w:b/>
          <w:color w:val="0070C0"/>
          <w:sz w:val="20"/>
          <w:szCs w:val="20"/>
        </w:rPr>
        <w:fldChar w:fldCharType="end"/>
      </w:r>
      <w:r w:rsidR="00B32C4E">
        <w:rPr>
          <w:b/>
          <w:color w:val="0070C0"/>
        </w:rPr>
        <w:t xml:space="preserve">. </w:t>
      </w:r>
      <w:r w:rsidRPr="00311A64">
        <w:t xml:space="preserve">This is the required design flowrate for the BMP. </w:t>
      </w:r>
    </w:p>
    <w:p w:rsidR="00A27241" w:rsidRPr="00B53524" w:rsidRDefault="00A27241" w:rsidP="009531AF">
      <w:pPr>
        <w:pStyle w:val="ReportBodyText"/>
        <w:numPr>
          <w:ilvl w:val="0"/>
          <w:numId w:val="2"/>
        </w:numPr>
        <w:spacing w:after="240" w:line="280" w:lineRule="exact"/>
        <w:contextualSpacing/>
      </w:pPr>
      <w:r w:rsidRPr="00311A64">
        <w:t xml:space="preserve">Design the BMP to treat the required design flowrate.  </w:t>
      </w:r>
    </w:p>
    <w:p w:rsidR="00A27241" w:rsidRPr="007A343A" w:rsidRDefault="00A27241" w:rsidP="0027571A">
      <w:pPr>
        <w:pStyle w:val="ExampleHeading"/>
      </w:pPr>
      <w:bookmarkStart w:id="203" w:name="_Ref261611277"/>
      <w:bookmarkStart w:id="204" w:name="_Toc262408837"/>
      <w:bookmarkStart w:id="205" w:name="_Toc285308121"/>
      <w:bookmarkStart w:id="206" w:name="_Toc288541056"/>
      <w:bookmarkStart w:id="207" w:name="_Toc288554446"/>
      <w:proofErr w:type="gramStart"/>
      <w:r w:rsidRPr="007A343A">
        <w:t xml:space="preserve">Example </w:t>
      </w:r>
      <w:r w:rsidR="00126F3D" w:rsidRPr="00126DE5">
        <w:rPr>
          <w:color w:val="0070C0"/>
        </w:rPr>
        <w:fldChar w:fldCharType="begin"/>
      </w:r>
      <w:r w:rsidR="003F38A8" w:rsidRPr="00126DE5">
        <w:rPr>
          <w:color w:val="0070C0"/>
        </w:rPr>
        <w:instrText xml:space="preserve"> STYLEREF 1 \s </w:instrText>
      </w:r>
      <w:r w:rsidR="00126F3D" w:rsidRPr="00126DE5">
        <w:rPr>
          <w:color w:val="0070C0"/>
        </w:rPr>
        <w:fldChar w:fldCharType="separate"/>
      </w:r>
      <w:r w:rsidR="00126DE5" w:rsidRPr="00126DE5">
        <w:rPr>
          <w:noProof/>
          <w:color w:val="0070C0"/>
        </w:rPr>
        <w:t>III</w:t>
      </w:r>
      <w:r w:rsidR="00126F3D" w:rsidRPr="00126DE5">
        <w:rPr>
          <w:color w:val="0070C0"/>
        </w:rPr>
        <w:fldChar w:fldCharType="end"/>
      </w:r>
      <w:r w:rsidR="002E1936" w:rsidRPr="007A343A">
        <w:t>.</w:t>
      </w:r>
      <w:proofErr w:type="gramEnd"/>
      <w:r w:rsidR="00126F3D" w:rsidRPr="00126DE5">
        <w:rPr>
          <w:color w:val="0070C0"/>
        </w:rPr>
        <w:fldChar w:fldCharType="begin"/>
      </w:r>
      <w:r w:rsidR="002E1936" w:rsidRPr="00126DE5">
        <w:rPr>
          <w:color w:val="0070C0"/>
        </w:rPr>
        <w:instrText xml:space="preserve"> SEQ Example \* ARABIC \s 1 </w:instrText>
      </w:r>
      <w:r w:rsidR="00126F3D" w:rsidRPr="00126DE5">
        <w:rPr>
          <w:color w:val="0070C0"/>
        </w:rPr>
        <w:fldChar w:fldCharType="separate"/>
      </w:r>
      <w:r w:rsidR="00126DE5" w:rsidRPr="00126DE5">
        <w:rPr>
          <w:noProof/>
          <w:color w:val="0070C0"/>
        </w:rPr>
        <w:t>7</w:t>
      </w:r>
      <w:r w:rsidR="00126F3D" w:rsidRPr="00126DE5">
        <w:rPr>
          <w:color w:val="0070C0"/>
        </w:rPr>
        <w:fldChar w:fldCharType="end"/>
      </w:r>
      <w:bookmarkEnd w:id="203"/>
      <w:r w:rsidRPr="007A343A">
        <w:t>: Sizing to Achieve Target Average Annual Capture Efficiency, Flow-based BMPs</w:t>
      </w:r>
      <w:bookmarkEnd w:id="204"/>
      <w:bookmarkEnd w:id="205"/>
      <w:bookmarkEnd w:id="206"/>
      <w:bookmarkEnd w:id="207"/>
    </w:p>
    <w:p w:rsidR="00A27241" w:rsidRPr="00B53524" w:rsidRDefault="00A27241" w:rsidP="00EA1EA6">
      <w:pPr>
        <w:pStyle w:val="ExampleSubheading"/>
        <w:outlineLvl w:val="0"/>
      </w:pPr>
      <w:bookmarkStart w:id="208" w:name="_Toc285308122"/>
      <w:r w:rsidRPr="00311A64">
        <w:t>Given:</w:t>
      </w:r>
      <w:bookmarkEnd w:id="208"/>
    </w:p>
    <w:p w:rsidR="00A27241" w:rsidRPr="00B53524" w:rsidRDefault="00A27241" w:rsidP="00A27241">
      <w:pPr>
        <w:pStyle w:val="ExampleBullets"/>
      </w:pPr>
      <w:r w:rsidRPr="00311A64">
        <w:t>85th percentile, 24-hr storm depth = 0.95 inches</w:t>
      </w:r>
    </w:p>
    <w:p w:rsidR="00A27241" w:rsidRPr="00B53524" w:rsidRDefault="00A27241" w:rsidP="00A27241">
      <w:pPr>
        <w:pStyle w:val="ExampleBullets"/>
      </w:pPr>
      <w:r w:rsidRPr="00311A64">
        <w:t>Drainage Area = 3.5 acres</w:t>
      </w:r>
    </w:p>
    <w:p w:rsidR="00A27241" w:rsidRPr="00B53524" w:rsidRDefault="00A27241" w:rsidP="00A27241">
      <w:pPr>
        <w:pStyle w:val="ExampleBullets"/>
      </w:pPr>
      <w:r w:rsidRPr="00311A64">
        <w:t>Imperviousness = 95%</w:t>
      </w:r>
    </w:p>
    <w:p w:rsidR="00A27241" w:rsidRPr="00B53524" w:rsidRDefault="00A27241" w:rsidP="00A27241">
      <w:pPr>
        <w:pStyle w:val="ExampleBullets"/>
      </w:pPr>
      <w:r w:rsidRPr="00311A64">
        <w:t>Retention BMP provided upstream achieves 45 percent capture; does not fully meet requirements</w:t>
      </w:r>
    </w:p>
    <w:p w:rsidR="00A27241" w:rsidRPr="00B53524" w:rsidRDefault="00A27241" w:rsidP="00A27241">
      <w:pPr>
        <w:pStyle w:val="ExampleBullets"/>
      </w:pPr>
      <w:r w:rsidRPr="00311A64">
        <w:t>Assume swale is added as a biotreatment BMP downstream of retention</w:t>
      </w:r>
    </w:p>
    <w:p w:rsidR="00A27241" w:rsidRPr="00B53524" w:rsidRDefault="00A27241" w:rsidP="00EA1EA6">
      <w:pPr>
        <w:pStyle w:val="ExampleSubheading"/>
        <w:outlineLvl w:val="0"/>
      </w:pPr>
      <w:bookmarkStart w:id="209" w:name="_Toc285308123"/>
      <w:r w:rsidRPr="00311A64">
        <w:t>Required:</w:t>
      </w:r>
      <w:bookmarkEnd w:id="209"/>
    </w:p>
    <w:p w:rsidR="00A27241" w:rsidRPr="00B53524" w:rsidRDefault="00A27241" w:rsidP="00A27241">
      <w:pPr>
        <w:pStyle w:val="ExampleBullets"/>
      </w:pPr>
      <w:r w:rsidRPr="00311A64">
        <w:t>Determine swale design flowrate required to achieve 80 percent capture cumulatively</w:t>
      </w:r>
    </w:p>
    <w:p w:rsidR="00A27241" w:rsidRPr="00B53524" w:rsidRDefault="00A27241" w:rsidP="00EA1EA6">
      <w:pPr>
        <w:pStyle w:val="ExampleSubheading"/>
        <w:outlineLvl w:val="0"/>
      </w:pPr>
      <w:bookmarkStart w:id="210" w:name="_Toc285308124"/>
      <w:r w:rsidRPr="00311A64">
        <w:t>Solution:</w:t>
      </w:r>
      <w:bookmarkEnd w:id="210"/>
    </w:p>
    <w:p w:rsidR="00A27241" w:rsidRPr="00B53524" w:rsidRDefault="00A27241" w:rsidP="009531AF">
      <w:pPr>
        <w:pStyle w:val="ExampleNumbers"/>
        <w:numPr>
          <w:ilvl w:val="0"/>
          <w:numId w:val="57"/>
        </w:numPr>
        <w:ind w:left="720"/>
      </w:pPr>
      <w:r w:rsidRPr="00311A64">
        <w:t>T</w:t>
      </w:r>
      <w:r w:rsidRPr="000B5480">
        <w:rPr>
          <w:vertAlign w:val="subscript"/>
        </w:rPr>
        <w:t>c</w:t>
      </w:r>
      <w:r w:rsidRPr="00311A64">
        <w:t xml:space="preserve"> = 10 minutes (calculation</w:t>
      </w:r>
      <w:r w:rsidR="000B5480">
        <w:t xml:space="preserve"> would be</w:t>
      </w:r>
      <w:r w:rsidRPr="00311A64">
        <w:t xml:space="preserve"> per </w:t>
      </w:r>
      <w:r w:rsidR="00524D76" w:rsidRPr="00524D76">
        <w:rPr>
          <w:b/>
        </w:rPr>
        <w:t>Appendix</w:t>
      </w:r>
      <w:r w:rsidR="000B5480">
        <w:t xml:space="preserve"> </w:t>
      </w:r>
      <w:r w:rsidR="00126F3D" w:rsidRPr="00126DE5">
        <w:rPr>
          <w:rFonts w:ascii="Book Antiqua" w:hAnsi="Book Antiqua"/>
          <w:b/>
          <w:color w:val="0070C0"/>
        </w:rPr>
        <w:fldChar w:fldCharType="begin"/>
      </w:r>
      <w:r w:rsidR="000B5480" w:rsidRPr="00126DE5">
        <w:rPr>
          <w:rFonts w:ascii="Book Antiqua" w:hAnsi="Book Antiqua"/>
          <w:b/>
          <w:color w:val="0070C0"/>
        </w:rPr>
        <w:instrText xml:space="preserve"> REF _Ref285399420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IV.2</w:t>
      </w:r>
      <w:r w:rsidR="00126F3D" w:rsidRPr="00126DE5">
        <w:rPr>
          <w:rFonts w:ascii="Book Antiqua" w:hAnsi="Book Antiqua"/>
          <w:b/>
          <w:color w:val="0070C0"/>
        </w:rPr>
        <w:fldChar w:fldCharType="end"/>
      </w:r>
      <w:r w:rsidR="000B5480">
        <w:t>)</w:t>
      </w:r>
    </w:p>
    <w:p w:rsidR="00A27241" w:rsidRPr="00B53524" w:rsidRDefault="00A27241" w:rsidP="00853C9A">
      <w:pPr>
        <w:pStyle w:val="ExampleNumbers"/>
        <w:numPr>
          <w:ilvl w:val="0"/>
          <w:numId w:val="53"/>
        </w:numPr>
        <w:ind w:left="720"/>
      </w:pPr>
      <w:r w:rsidRPr="00311A64">
        <w:t xml:space="preserve">From </w:t>
      </w:r>
      <w:fldSimple w:instr=" REF _Ref261612191 \h  \* MERGEFORMAT ">
        <w:r w:rsidR="00126DE5" w:rsidRPr="00126DE5">
          <w:rPr>
            <w:rFonts w:ascii="Book Antiqua" w:hAnsi="Book Antiqua"/>
            <w:b/>
            <w:color w:val="0070C0"/>
          </w:rPr>
          <w:t xml:space="preserve">Figure </w:t>
        </w:r>
        <w:r w:rsidR="00126DE5" w:rsidRPr="00126DE5">
          <w:rPr>
            <w:rFonts w:ascii="Book Antiqua" w:hAnsi="Book Antiqua"/>
            <w:b/>
            <w:noProof/>
            <w:color w:val="0070C0"/>
          </w:rPr>
          <w:t>III</w:t>
        </w:r>
        <w:r w:rsidR="00126DE5" w:rsidRPr="00126DE5">
          <w:rPr>
            <w:rFonts w:ascii="Book Antiqua" w:hAnsi="Book Antiqua"/>
            <w:b/>
            <w:color w:val="0070C0"/>
          </w:rPr>
          <w:t>.6</w:t>
        </w:r>
      </w:fldSimple>
      <w:r w:rsidRPr="00311A64">
        <w:t xml:space="preserve">  I</w:t>
      </w:r>
      <w:r w:rsidRPr="00311A64">
        <w:rPr>
          <w:vertAlign w:val="subscript"/>
        </w:rPr>
        <w:t>1</w:t>
      </w:r>
      <w:r w:rsidRPr="00311A64">
        <w:t xml:space="preserve"> = 0.23 in/hr</w:t>
      </w:r>
    </w:p>
    <w:p w:rsidR="00A27241" w:rsidRPr="00B53524" w:rsidRDefault="00A27241" w:rsidP="00853C9A">
      <w:pPr>
        <w:pStyle w:val="ExampleNumbers"/>
        <w:numPr>
          <w:ilvl w:val="0"/>
          <w:numId w:val="53"/>
        </w:numPr>
        <w:ind w:left="720"/>
      </w:pPr>
      <w:r w:rsidRPr="00311A64">
        <w:t>Capture efficiency achieved in upstream BMPs = 45 percent (given)</w:t>
      </w:r>
    </w:p>
    <w:p w:rsidR="00A27241" w:rsidRPr="00B53524" w:rsidRDefault="00A27241" w:rsidP="00853C9A">
      <w:pPr>
        <w:pStyle w:val="ExampleNumbers"/>
        <w:numPr>
          <w:ilvl w:val="0"/>
          <w:numId w:val="53"/>
        </w:numPr>
        <w:ind w:left="720"/>
      </w:pPr>
      <w:r w:rsidRPr="00311A64">
        <w:t xml:space="preserve">From </w:t>
      </w:r>
      <w:fldSimple w:instr=" REF _Ref261612191 \h  \* MERGEFORMAT ">
        <w:r w:rsidR="00126DE5" w:rsidRPr="00126DE5">
          <w:rPr>
            <w:rFonts w:ascii="Book Antiqua" w:hAnsi="Book Antiqua"/>
            <w:b/>
            <w:color w:val="0070C0"/>
          </w:rPr>
          <w:t xml:space="preserve">Figure </w:t>
        </w:r>
        <w:r w:rsidR="00126DE5" w:rsidRPr="00126DE5">
          <w:rPr>
            <w:rFonts w:ascii="Book Antiqua" w:hAnsi="Book Antiqua"/>
            <w:b/>
            <w:noProof/>
            <w:color w:val="0070C0"/>
          </w:rPr>
          <w:t>III</w:t>
        </w:r>
        <w:r w:rsidR="00126DE5" w:rsidRPr="00126DE5">
          <w:rPr>
            <w:rFonts w:ascii="Book Antiqua" w:hAnsi="Book Antiqua"/>
            <w:b/>
            <w:color w:val="0070C0"/>
          </w:rPr>
          <w:t>.6</w:t>
        </w:r>
      </w:fldSimple>
      <w:r w:rsidRPr="00311A64">
        <w:t xml:space="preserve">  I</w:t>
      </w:r>
      <w:r w:rsidRPr="00311A64">
        <w:rPr>
          <w:vertAlign w:val="subscript"/>
        </w:rPr>
        <w:t>2</w:t>
      </w:r>
      <w:r w:rsidRPr="00311A64">
        <w:t xml:space="preserve"> = 0.07 in/hr</w:t>
      </w:r>
    </w:p>
    <w:p w:rsidR="00A27241" w:rsidRPr="00B53524" w:rsidRDefault="00A27241" w:rsidP="00853C9A">
      <w:pPr>
        <w:pStyle w:val="ExampleNumbers"/>
        <w:numPr>
          <w:ilvl w:val="0"/>
          <w:numId w:val="53"/>
        </w:numPr>
        <w:ind w:left="720"/>
      </w:pPr>
      <w:r w:rsidRPr="00311A64">
        <w:t>I</w:t>
      </w:r>
      <w:r w:rsidRPr="00311A64">
        <w:rPr>
          <w:vertAlign w:val="subscript"/>
        </w:rPr>
        <w:t>1</w:t>
      </w:r>
      <w:r w:rsidRPr="00311A64">
        <w:t xml:space="preserve"> – I</w:t>
      </w:r>
      <w:r w:rsidRPr="00311A64">
        <w:rPr>
          <w:vertAlign w:val="subscript"/>
        </w:rPr>
        <w:t>2</w:t>
      </w:r>
      <w:r w:rsidRPr="00311A64">
        <w:t xml:space="preserve"> = design intensity = 0.16 in/hr</w:t>
      </w:r>
    </w:p>
    <w:p w:rsidR="00A27241" w:rsidRPr="00B53524" w:rsidRDefault="00A27241" w:rsidP="00853C9A">
      <w:pPr>
        <w:pStyle w:val="ExampleNumbers"/>
        <w:numPr>
          <w:ilvl w:val="0"/>
          <w:numId w:val="53"/>
        </w:numPr>
        <w:ind w:left="720"/>
      </w:pPr>
      <w:r w:rsidRPr="00311A64">
        <w:t>Q</w:t>
      </w:r>
      <w:r w:rsidRPr="00311A64">
        <w:rPr>
          <w:vertAlign w:val="subscript"/>
        </w:rPr>
        <w:t>LID</w:t>
      </w:r>
      <w:r w:rsidRPr="00311A64">
        <w:t xml:space="preserve"> = [(0.95×0.75+0.15) × 0.16 in/hr × 3.5 ac ]= 0.48 cfs</w:t>
      </w:r>
    </w:p>
    <w:p w:rsidR="00A27241" w:rsidRPr="00B53524" w:rsidRDefault="00A27241" w:rsidP="00EA1EA6">
      <w:pPr>
        <w:pStyle w:val="ExampleSubheading"/>
        <w:outlineLvl w:val="0"/>
      </w:pPr>
      <w:bookmarkStart w:id="211" w:name="_Toc285308125"/>
      <w:r w:rsidRPr="00311A64">
        <w:t>Graphical operations supporting solution:</w:t>
      </w:r>
      <w:bookmarkEnd w:id="211"/>
    </w:p>
    <w:p w:rsidR="00A27241" w:rsidRPr="000709C2" w:rsidRDefault="00A27241" w:rsidP="00A27241">
      <w:pPr>
        <w:pStyle w:val="ExampleText"/>
      </w:pPr>
    </w:p>
    <w:p w:rsidR="00A27241" w:rsidRPr="000709C2" w:rsidRDefault="00A27241" w:rsidP="00A27241">
      <w:pPr>
        <w:pStyle w:val="ExampleText"/>
        <w:jc w:val="center"/>
      </w:pPr>
      <w:bookmarkStart w:id="212" w:name="_Ref261612191"/>
      <w:bookmarkStart w:id="213" w:name="_Toc262408825"/>
      <w:bookmarkStart w:id="214" w:name="_Toc288555030"/>
      <w:r w:rsidRPr="000709C2">
        <w:t xml:space="preserve">Figure </w:t>
      </w:r>
      <w:fldSimple w:instr=" STYLEREF 1 \s ">
        <w:r w:rsidR="00524D76">
          <w:rPr>
            <w:noProof/>
          </w:rPr>
          <w:t>III</w:t>
        </w:r>
      </w:fldSimple>
      <w:r w:rsidR="00524D76">
        <w:t>.</w:t>
      </w:r>
      <w:fldSimple w:instr=" SEQ Figure \* ARABIC \s 1 ">
        <w:r w:rsidR="00524D76">
          <w:rPr>
            <w:noProof/>
          </w:rPr>
          <w:t>6</w:t>
        </w:r>
      </w:fldSimple>
      <w:bookmarkEnd w:id="212"/>
      <w:r w:rsidRPr="000709C2">
        <w:br/>
        <w:t xml:space="preserve">Graphical Operations Supporting </w:t>
      </w:r>
      <w:fldSimple w:instr=" REF _Ref261611277 \h  \* MERGEFORMAT ">
        <w:r w:rsidR="00126DE5" w:rsidRPr="00126DE5">
          <w:rPr>
            <w:rFonts w:ascii="Book Antiqua" w:hAnsi="Book Antiqua"/>
            <w:i w:val="0"/>
            <w:color w:val="0070C0"/>
          </w:rPr>
          <w:t xml:space="preserve">Example </w:t>
        </w:r>
        <w:r w:rsidR="00126DE5" w:rsidRPr="00126DE5">
          <w:rPr>
            <w:rFonts w:ascii="Book Antiqua" w:hAnsi="Book Antiqua"/>
            <w:i w:val="0"/>
            <w:noProof/>
            <w:color w:val="0070C0"/>
          </w:rPr>
          <w:t>III</w:t>
        </w:r>
        <w:r w:rsidR="00126DE5" w:rsidRPr="00126DE5">
          <w:rPr>
            <w:rFonts w:ascii="Book Antiqua" w:hAnsi="Book Antiqua"/>
            <w:i w:val="0"/>
            <w:color w:val="0070C0"/>
          </w:rPr>
          <w:t>.7</w:t>
        </w:r>
        <w:bookmarkEnd w:id="213"/>
        <w:bookmarkEnd w:id="214"/>
      </w:fldSimple>
    </w:p>
    <w:p w:rsidR="00A27241" w:rsidRPr="000709C2" w:rsidRDefault="00A27241" w:rsidP="00A27241">
      <w:pPr>
        <w:pStyle w:val="ExampleText"/>
      </w:pPr>
    </w:p>
    <w:p w:rsidR="00A27241" w:rsidRPr="00B53524" w:rsidRDefault="004673AC" w:rsidP="00A27241">
      <w:pPr>
        <w:pStyle w:val="ExampleSubheading"/>
        <w:shd w:val="clear" w:color="auto" w:fill="auto"/>
        <w:spacing w:line="240" w:lineRule="auto"/>
      </w:pPr>
      <w:r>
        <w:rPr>
          <w:noProof/>
        </w:rPr>
        <w:drawing>
          <wp:inline distT="0" distB="0" distL="0" distR="0">
            <wp:extent cx="5642448" cy="3888873"/>
            <wp:effectExtent l="19050" t="0" r="0" b="0"/>
            <wp:docPr id="101"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8" cstate="email"/>
                    <a:srcRect/>
                    <a:stretch>
                      <a:fillRect/>
                    </a:stretch>
                  </pic:blipFill>
                  <pic:spPr bwMode="auto">
                    <a:xfrm>
                      <a:off x="0" y="0"/>
                      <a:ext cx="5641901" cy="3888496"/>
                    </a:xfrm>
                    <a:prstGeom prst="rect">
                      <a:avLst/>
                    </a:prstGeom>
                    <a:noFill/>
                  </pic:spPr>
                </pic:pic>
              </a:graphicData>
            </a:graphic>
          </wp:inline>
        </w:drawing>
      </w:r>
    </w:p>
    <w:p w:rsidR="00A27241" w:rsidRPr="00B53524" w:rsidRDefault="00A27241" w:rsidP="00A27241">
      <w:pPr>
        <w:pStyle w:val="ExampleSubheading"/>
        <w:shd w:val="clear" w:color="auto" w:fill="auto"/>
        <w:spacing w:line="240" w:lineRule="auto"/>
      </w:pPr>
    </w:p>
    <w:p w:rsidR="001A75FD" w:rsidRDefault="001A75FD">
      <w:pPr>
        <w:spacing w:after="200"/>
        <w:rPr>
          <w:rFonts w:eastAsia="Times New Roman" w:cs="Times New Roman"/>
        </w:rPr>
      </w:pPr>
      <w:r>
        <w:br w:type="page"/>
      </w:r>
    </w:p>
    <w:tbl>
      <w:tblPr>
        <w:tblW w:w="49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3"/>
        <w:gridCol w:w="5764"/>
        <w:gridCol w:w="1128"/>
        <w:gridCol w:w="1128"/>
        <w:gridCol w:w="1128"/>
        <w:gridCol w:w="11"/>
      </w:tblGrid>
      <w:tr w:rsidR="001A75FD" w:rsidRPr="004B0AAA" w:rsidTr="0027571A">
        <w:trPr>
          <w:gridAfter w:val="1"/>
          <w:wAfter w:w="6" w:type="pct"/>
          <w:trHeight w:val="300"/>
          <w:tblHeader/>
        </w:trPr>
        <w:tc>
          <w:tcPr>
            <w:tcW w:w="4994" w:type="pct"/>
            <w:gridSpan w:val="5"/>
            <w:tcBorders>
              <w:top w:val="nil"/>
              <w:left w:val="nil"/>
              <w:bottom w:val="nil"/>
              <w:right w:val="nil"/>
            </w:tcBorders>
            <w:shd w:val="clear" w:color="auto" w:fill="auto"/>
            <w:noWrap/>
            <w:tcMar>
              <w:top w:w="36" w:type="dxa"/>
              <w:bottom w:w="36" w:type="dxa"/>
            </w:tcMar>
            <w:vAlign w:val="center"/>
            <w:hideMark/>
          </w:tcPr>
          <w:p w:rsidR="001A75FD" w:rsidRPr="00524D76" w:rsidRDefault="001A75FD" w:rsidP="00647B99">
            <w:pPr>
              <w:pStyle w:val="Caption"/>
              <w:rPr>
                <w:i/>
              </w:rPr>
            </w:pPr>
            <w:bookmarkStart w:id="215" w:name="_Ref285574549"/>
            <w:bookmarkStart w:id="216" w:name="_Toc288554459"/>
            <w:r w:rsidRPr="00524D76">
              <w:t xml:space="preserve">Worksheet </w:t>
            </w:r>
            <w:fldSimple w:instr=" SEQ Worksheet \* ALPHABETIC ">
              <w:r w:rsidR="00126DE5" w:rsidRPr="00524D76">
                <w:rPr>
                  <w:noProof/>
                </w:rPr>
                <w:t>D</w:t>
              </w:r>
            </w:fldSimple>
            <w:r w:rsidRPr="00524D76">
              <w:t>: Capture Efficiency Method for Flow-Based BMPs</w:t>
            </w:r>
            <w:bookmarkEnd w:id="215"/>
            <w:bookmarkEnd w:id="216"/>
          </w:p>
        </w:tc>
      </w:tr>
      <w:tr w:rsidR="001A75FD" w:rsidRPr="004B0AAA" w:rsidTr="00B75BA5">
        <w:trPr>
          <w:trHeight w:val="330"/>
        </w:trPr>
        <w:tc>
          <w:tcPr>
            <w:tcW w:w="5000" w:type="pct"/>
            <w:gridSpan w:val="6"/>
            <w:shd w:val="clear" w:color="auto" w:fill="D9D9D9"/>
            <w:noWrap/>
            <w:tcMar>
              <w:top w:w="36" w:type="dxa"/>
              <w:bottom w:w="36" w:type="dxa"/>
            </w:tcMar>
            <w:vAlign w:val="center"/>
            <w:hideMark/>
          </w:tcPr>
          <w:p w:rsidR="001A75FD" w:rsidRPr="004B0AAA" w:rsidRDefault="001A75FD" w:rsidP="00B75BA5">
            <w:pPr>
              <w:pStyle w:val="ExampleSubheading"/>
              <w:pBdr>
                <w:top w:val="none" w:sz="0" w:space="0" w:color="auto"/>
                <w:left w:val="none" w:sz="0" w:space="0" w:color="auto"/>
                <w:bottom w:val="none" w:sz="0" w:space="0" w:color="auto"/>
                <w:right w:val="none" w:sz="0" w:space="0" w:color="auto"/>
              </w:pBdr>
              <w:ind w:left="0"/>
              <w:outlineLvl w:val="0"/>
              <w:rPr>
                <w:color w:val="000000"/>
              </w:rPr>
            </w:pPr>
            <w:r w:rsidRPr="004B0AAA">
              <w:t xml:space="preserve">Step </w:t>
            </w:r>
            <w:r>
              <w:t>1</w:t>
            </w:r>
            <w:r w:rsidRPr="004B0AAA">
              <w:t>: Determine the design capture storm depth used for calculating volume</w:t>
            </w:r>
          </w:p>
        </w:tc>
      </w:tr>
      <w:tr w:rsidR="001A75FD" w:rsidRPr="004B0AAA" w:rsidTr="00B75BA5">
        <w:trPr>
          <w:gridAfter w:val="1"/>
          <w:wAfter w:w="6" w:type="pct"/>
          <w:trHeight w:val="330"/>
        </w:trPr>
        <w:tc>
          <w:tcPr>
            <w:tcW w:w="170" w:type="pct"/>
            <w:shd w:val="clear" w:color="auto" w:fill="auto"/>
            <w:noWrap/>
            <w:tcMar>
              <w:top w:w="36" w:type="dxa"/>
              <w:bottom w:w="36" w:type="dxa"/>
            </w:tcMar>
            <w:vAlign w:val="bottom"/>
            <w:hideMark/>
          </w:tcPr>
          <w:p w:rsidR="001A75FD" w:rsidRPr="00043B81" w:rsidRDefault="001A75FD" w:rsidP="00B75BA5">
            <w:pPr>
              <w:spacing w:after="0" w:line="240" w:lineRule="auto"/>
              <w:jc w:val="right"/>
              <w:rPr>
                <w:rFonts w:ascii="Arial" w:eastAsia="Times New Roman" w:hAnsi="Arial" w:cs="Arial"/>
                <w:color w:val="000000"/>
              </w:rPr>
            </w:pPr>
            <w:r w:rsidRPr="00043B81">
              <w:rPr>
                <w:rFonts w:ascii="Arial" w:eastAsia="Times New Roman" w:hAnsi="Arial" w:cs="Arial"/>
                <w:color w:val="000000"/>
              </w:rPr>
              <w:t>1</w:t>
            </w:r>
          </w:p>
        </w:tc>
        <w:tc>
          <w:tcPr>
            <w:tcW w:w="3039" w:type="pct"/>
            <w:shd w:val="clear" w:color="auto" w:fill="auto"/>
            <w:tcMar>
              <w:top w:w="36" w:type="dxa"/>
              <w:bottom w:w="36" w:type="dxa"/>
            </w:tcMar>
            <w:vAlign w:val="center"/>
            <w:hideMark/>
          </w:tcPr>
          <w:p w:rsidR="001A75FD" w:rsidRPr="00043B81" w:rsidRDefault="001A75FD" w:rsidP="00B75BA5">
            <w:pPr>
              <w:spacing w:after="0" w:line="240" w:lineRule="auto"/>
              <w:rPr>
                <w:rFonts w:ascii="Arial" w:eastAsia="Times New Roman" w:hAnsi="Arial" w:cs="Arial"/>
                <w:sz w:val="20"/>
                <w:szCs w:val="20"/>
              </w:rPr>
            </w:pPr>
            <w:r w:rsidRPr="00043B81">
              <w:rPr>
                <w:rFonts w:ascii="Arial" w:eastAsia="Times New Roman" w:hAnsi="Arial" w:cs="Arial"/>
                <w:sz w:val="20"/>
                <w:szCs w:val="20"/>
              </w:rPr>
              <w:t>Enter the time of concentration, T</w:t>
            </w:r>
            <w:r w:rsidRPr="00043B81">
              <w:rPr>
                <w:rFonts w:ascii="Arial" w:eastAsia="Times New Roman" w:hAnsi="Arial" w:cs="Arial"/>
                <w:sz w:val="20"/>
                <w:szCs w:val="20"/>
                <w:vertAlign w:val="subscript"/>
              </w:rPr>
              <w:t>c</w:t>
            </w:r>
            <w:r w:rsidRPr="00043B81">
              <w:rPr>
                <w:rFonts w:ascii="Arial" w:eastAsia="Times New Roman" w:hAnsi="Arial" w:cs="Arial"/>
                <w:sz w:val="20"/>
                <w:szCs w:val="20"/>
              </w:rPr>
              <w:t xml:space="preserve"> (min) (See </w:t>
            </w:r>
            <w:r w:rsidR="00524D76" w:rsidRPr="00524D76">
              <w:rPr>
                <w:rFonts w:ascii="Arial" w:eastAsia="Times New Roman" w:hAnsi="Arial" w:cs="Arial"/>
                <w:b/>
                <w:sz w:val="20"/>
                <w:szCs w:val="20"/>
              </w:rPr>
              <w:t>Appendix</w:t>
            </w:r>
            <w:r w:rsidRPr="00043B81">
              <w:rPr>
                <w:rFonts w:ascii="Arial" w:eastAsia="Times New Roman" w:hAnsi="Arial" w:cs="Arial"/>
                <w:sz w:val="20"/>
                <w:szCs w:val="20"/>
              </w:rPr>
              <w:t xml:space="preserve"> </w:t>
            </w:r>
            <w:fldSimple w:instr=" REF _Ref285569131 \r \h  \* MERGEFORMAT ">
              <w:r w:rsidR="00126DE5" w:rsidRPr="00126DE5">
                <w:rPr>
                  <w:rFonts w:eastAsia="Times New Roman" w:cs="Arial"/>
                  <w:b/>
                  <w:color w:val="0070C0"/>
                  <w:sz w:val="20"/>
                  <w:szCs w:val="20"/>
                </w:rPr>
                <w:t>IV.2</w:t>
              </w:r>
            </w:fldSimple>
            <w:r w:rsidRPr="00043B81">
              <w:rPr>
                <w:rFonts w:ascii="Arial" w:eastAsia="Times New Roman" w:hAnsi="Arial" w:cs="Arial"/>
                <w:sz w:val="20"/>
                <w:szCs w:val="20"/>
              </w:rPr>
              <w:t>)</w:t>
            </w:r>
          </w:p>
        </w:tc>
        <w:tc>
          <w:tcPr>
            <w:tcW w:w="595" w:type="pct"/>
            <w:tcMar>
              <w:top w:w="36" w:type="dxa"/>
              <w:bottom w:w="36" w:type="dxa"/>
            </w:tcMar>
            <w:vAlign w:val="center"/>
          </w:tcPr>
          <w:p w:rsidR="001A75FD" w:rsidRPr="00043B81" w:rsidRDefault="001A75FD" w:rsidP="00B75BA5">
            <w:pPr>
              <w:spacing w:after="0" w:line="240" w:lineRule="auto"/>
              <w:jc w:val="right"/>
              <w:rPr>
                <w:rFonts w:ascii="Arial" w:eastAsia="Times New Roman" w:hAnsi="Arial" w:cs="Arial"/>
                <w:sz w:val="20"/>
                <w:szCs w:val="20"/>
              </w:rPr>
            </w:pPr>
            <w:r w:rsidRPr="00043B81">
              <w:rPr>
                <w:rFonts w:ascii="Arial" w:eastAsia="Times New Roman" w:hAnsi="Arial" w:cs="Arial"/>
                <w:sz w:val="20"/>
                <w:szCs w:val="20"/>
              </w:rPr>
              <w:t>T</w:t>
            </w:r>
            <w:r w:rsidRPr="00043B81">
              <w:rPr>
                <w:rFonts w:ascii="Arial" w:eastAsia="Times New Roman" w:hAnsi="Arial" w:cs="Arial"/>
                <w:sz w:val="20"/>
                <w:szCs w:val="20"/>
                <w:vertAlign w:val="subscript"/>
              </w:rPr>
              <w:t>c</w:t>
            </w:r>
            <w:r w:rsidRPr="00043B81">
              <w:rPr>
                <w:rFonts w:ascii="Arial" w:eastAsia="Times New Roman" w:hAnsi="Arial" w:cs="Arial"/>
                <w:sz w:val="20"/>
                <w:szCs w:val="20"/>
              </w:rPr>
              <w:t>=</w:t>
            </w:r>
          </w:p>
        </w:tc>
        <w:tc>
          <w:tcPr>
            <w:tcW w:w="595" w:type="pct"/>
            <w:tcMar>
              <w:top w:w="36" w:type="dxa"/>
              <w:bottom w:w="36" w:type="dxa"/>
            </w:tcMar>
            <w:vAlign w:val="center"/>
          </w:tcPr>
          <w:p w:rsidR="001A75FD" w:rsidRPr="00043B81" w:rsidRDefault="001A75FD" w:rsidP="00B75BA5">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1A75FD" w:rsidRPr="00043B81" w:rsidRDefault="001A75FD" w:rsidP="00B75BA5">
            <w:pPr>
              <w:spacing w:after="0" w:line="240" w:lineRule="auto"/>
              <w:rPr>
                <w:rFonts w:ascii="Arial" w:eastAsia="Times New Roman" w:hAnsi="Arial" w:cs="Arial"/>
                <w:sz w:val="20"/>
                <w:szCs w:val="20"/>
              </w:rPr>
            </w:pPr>
          </w:p>
        </w:tc>
      </w:tr>
      <w:tr w:rsidR="001A75FD" w:rsidRPr="004B0AAA" w:rsidTr="00B75BA5">
        <w:trPr>
          <w:gridAfter w:val="1"/>
          <w:wAfter w:w="6" w:type="pct"/>
          <w:trHeight w:val="330"/>
        </w:trPr>
        <w:tc>
          <w:tcPr>
            <w:tcW w:w="170" w:type="pct"/>
            <w:shd w:val="clear" w:color="auto" w:fill="auto"/>
            <w:noWrap/>
            <w:tcMar>
              <w:top w:w="36" w:type="dxa"/>
              <w:bottom w:w="36" w:type="dxa"/>
            </w:tcMar>
            <w:vAlign w:val="bottom"/>
            <w:hideMark/>
          </w:tcPr>
          <w:p w:rsidR="001A75FD" w:rsidRPr="00043B81" w:rsidRDefault="001A75FD" w:rsidP="00B75BA5">
            <w:pPr>
              <w:spacing w:after="0" w:line="240" w:lineRule="auto"/>
              <w:jc w:val="right"/>
              <w:rPr>
                <w:rFonts w:ascii="Arial" w:eastAsia="Times New Roman" w:hAnsi="Arial" w:cs="Arial"/>
                <w:color w:val="000000"/>
              </w:rPr>
            </w:pPr>
            <w:r w:rsidRPr="00043B81">
              <w:rPr>
                <w:rFonts w:ascii="Arial" w:eastAsia="Times New Roman" w:hAnsi="Arial" w:cs="Arial"/>
                <w:color w:val="000000"/>
              </w:rPr>
              <w:t>2</w:t>
            </w:r>
          </w:p>
        </w:tc>
        <w:tc>
          <w:tcPr>
            <w:tcW w:w="3039" w:type="pct"/>
            <w:shd w:val="clear" w:color="auto" w:fill="auto"/>
            <w:tcMar>
              <w:top w:w="36" w:type="dxa"/>
              <w:bottom w:w="36" w:type="dxa"/>
            </w:tcMar>
            <w:vAlign w:val="center"/>
            <w:hideMark/>
          </w:tcPr>
          <w:p w:rsidR="001A75FD" w:rsidRPr="00043B81" w:rsidRDefault="001A75FD" w:rsidP="001A75FD">
            <w:pPr>
              <w:spacing w:after="0" w:line="240" w:lineRule="auto"/>
              <w:rPr>
                <w:rFonts w:ascii="Arial" w:eastAsia="Times New Roman" w:hAnsi="Arial" w:cs="Arial"/>
                <w:sz w:val="20"/>
                <w:szCs w:val="20"/>
              </w:rPr>
            </w:pPr>
            <w:r w:rsidRPr="00043B81">
              <w:rPr>
                <w:rFonts w:ascii="Arial" w:eastAsia="Times New Roman" w:hAnsi="Arial" w:cs="Arial"/>
                <w:sz w:val="20"/>
                <w:szCs w:val="20"/>
              </w:rPr>
              <w:t xml:space="preserve">Using </w:t>
            </w:r>
            <w:fldSimple w:instr=" REF _Ref257795315 \h  \* MERGEFORMAT ">
              <w:r w:rsidR="00126DE5" w:rsidRPr="00126DE5">
                <w:rPr>
                  <w:rFonts w:cs="Arial"/>
                  <w:b/>
                  <w:color w:val="0070C0"/>
                </w:rPr>
                <w:t>Figure III.</w:t>
              </w:r>
              <w:r w:rsidR="00126DE5" w:rsidRPr="00126DE5">
                <w:rPr>
                  <w:rFonts w:cs="Arial"/>
                  <w:b/>
                  <w:noProof/>
                  <w:color w:val="0070C0"/>
                  <w:sz w:val="20"/>
                  <w:szCs w:val="20"/>
                </w:rPr>
                <w:t>4</w:t>
              </w:r>
            </w:fldSimple>
            <w:r w:rsidRPr="00043B81">
              <w:rPr>
                <w:rFonts w:ascii="Arial" w:eastAsia="Times New Roman" w:hAnsi="Arial" w:cs="Arial"/>
                <w:sz w:val="20"/>
                <w:szCs w:val="20"/>
              </w:rPr>
              <w:t>, determine the design intensity at which the estimated time of concentration (T</w:t>
            </w:r>
            <w:r w:rsidRPr="00043B81">
              <w:rPr>
                <w:rFonts w:ascii="Arial" w:eastAsia="Times New Roman" w:hAnsi="Arial" w:cs="Arial"/>
                <w:sz w:val="20"/>
                <w:szCs w:val="20"/>
                <w:vertAlign w:val="subscript"/>
              </w:rPr>
              <w:t>c</w:t>
            </w:r>
            <w:r w:rsidRPr="00043B81">
              <w:rPr>
                <w:rFonts w:ascii="Arial" w:eastAsia="Times New Roman" w:hAnsi="Arial" w:cs="Arial"/>
                <w:sz w:val="20"/>
                <w:szCs w:val="20"/>
              </w:rPr>
              <w:t xml:space="preserve">) achieves 80% capture efficiency, </w:t>
            </w:r>
            <w:r w:rsidRPr="00043B81">
              <w:rPr>
                <w:rFonts w:ascii="Arial" w:eastAsia="Times New Roman" w:hAnsi="Arial" w:cs="Arial"/>
                <w:i/>
                <w:sz w:val="20"/>
                <w:szCs w:val="20"/>
              </w:rPr>
              <w:t>I</w:t>
            </w:r>
            <w:r w:rsidRPr="00043B81">
              <w:rPr>
                <w:rFonts w:ascii="Arial" w:eastAsia="Times New Roman" w:hAnsi="Arial" w:cs="Arial"/>
                <w:i/>
                <w:sz w:val="20"/>
                <w:szCs w:val="20"/>
                <w:vertAlign w:val="subscript"/>
              </w:rPr>
              <w:t>1</w:t>
            </w:r>
          </w:p>
        </w:tc>
        <w:tc>
          <w:tcPr>
            <w:tcW w:w="595" w:type="pct"/>
            <w:tcMar>
              <w:top w:w="36" w:type="dxa"/>
              <w:bottom w:w="36" w:type="dxa"/>
            </w:tcMar>
            <w:vAlign w:val="center"/>
          </w:tcPr>
          <w:p w:rsidR="001A75FD" w:rsidRPr="00043B81" w:rsidRDefault="001A75FD" w:rsidP="00B75BA5">
            <w:pPr>
              <w:spacing w:after="0" w:line="240" w:lineRule="auto"/>
              <w:jc w:val="right"/>
              <w:rPr>
                <w:rFonts w:ascii="Arial" w:eastAsia="Times New Roman" w:hAnsi="Arial" w:cs="Arial"/>
                <w:sz w:val="20"/>
                <w:szCs w:val="20"/>
              </w:rPr>
            </w:pPr>
            <w:r w:rsidRPr="00043B81">
              <w:rPr>
                <w:rFonts w:ascii="Arial" w:eastAsia="Times New Roman" w:hAnsi="Arial" w:cs="Arial"/>
                <w:sz w:val="20"/>
                <w:szCs w:val="20"/>
              </w:rPr>
              <w:t>I</w:t>
            </w:r>
            <w:r w:rsidRPr="00043B81">
              <w:rPr>
                <w:rFonts w:ascii="Arial" w:eastAsia="Times New Roman" w:hAnsi="Arial" w:cs="Arial"/>
                <w:sz w:val="20"/>
                <w:szCs w:val="20"/>
                <w:vertAlign w:val="subscript"/>
              </w:rPr>
              <w:t>1</w:t>
            </w:r>
            <w:r w:rsidRPr="00043B81">
              <w:rPr>
                <w:rFonts w:ascii="Arial" w:eastAsia="Times New Roman" w:hAnsi="Arial" w:cs="Arial"/>
                <w:sz w:val="20"/>
                <w:szCs w:val="20"/>
              </w:rPr>
              <w:t>=</w:t>
            </w:r>
          </w:p>
        </w:tc>
        <w:tc>
          <w:tcPr>
            <w:tcW w:w="595" w:type="pct"/>
            <w:tcMar>
              <w:top w:w="36" w:type="dxa"/>
              <w:bottom w:w="36" w:type="dxa"/>
            </w:tcMar>
            <w:vAlign w:val="center"/>
          </w:tcPr>
          <w:p w:rsidR="001A75FD" w:rsidRPr="00043B81" w:rsidRDefault="001A75FD" w:rsidP="00B75BA5">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1A75FD" w:rsidRPr="00043B81" w:rsidRDefault="001A75FD" w:rsidP="00B75BA5">
            <w:pPr>
              <w:spacing w:after="0" w:line="240" w:lineRule="auto"/>
              <w:rPr>
                <w:rFonts w:ascii="Arial" w:eastAsia="Times New Roman" w:hAnsi="Arial" w:cs="Arial"/>
                <w:sz w:val="20"/>
                <w:szCs w:val="20"/>
              </w:rPr>
            </w:pPr>
            <w:r w:rsidRPr="00043B81">
              <w:rPr>
                <w:rFonts w:ascii="Arial" w:eastAsia="Times New Roman" w:hAnsi="Arial" w:cs="Arial"/>
                <w:sz w:val="20"/>
                <w:szCs w:val="20"/>
              </w:rPr>
              <w:t>in/hr</w:t>
            </w:r>
          </w:p>
        </w:tc>
      </w:tr>
      <w:tr w:rsidR="001A75FD" w:rsidRPr="004B0AAA" w:rsidTr="00B75BA5">
        <w:trPr>
          <w:gridAfter w:val="1"/>
          <w:wAfter w:w="6" w:type="pct"/>
          <w:trHeight w:val="330"/>
        </w:trPr>
        <w:tc>
          <w:tcPr>
            <w:tcW w:w="170" w:type="pct"/>
            <w:shd w:val="clear" w:color="auto" w:fill="auto"/>
            <w:noWrap/>
            <w:tcMar>
              <w:top w:w="36" w:type="dxa"/>
              <w:bottom w:w="36" w:type="dxa"/>
            </w:tcMar>
            <w:vAlign w:val="center"/>
            <w:hideMark/>
          </w:tcPr>
          <w:p w:rsidR="001A75FD" w:rsidRPr="00043B81" w:rsidRDefault="001A75FD" w:rsidP="00B75BA5">
            <w:pPr>
              <w:spacing w:after="0" w:line="240" w:lineRule="auto"/>
              <w:jc w:val="center"/>
              <w:rPr>
                <w:rFonts w:ascii="Arial" w:eastAsia="Times New Roman" w:hAnsi="Arial" w:cs="Arial"/>
                <w:color w:val="000000"/>
                <w:sz w:val="20"/>
                <w:szCs w:val="20"/>
              </w:rPr>
            </w:pPr>
            <w:r w:rsidRPr="00043B81">
              <w:rPr>
                <w:rFonts w:ascii="Arial" w:eastAsia="Times New Roman" w:hAnsi="Arial" w:cs="Arial"/>
                <w:color w:val="000000"/>
                <w:sz w:val="20"/>
                <w:szCs w:val="20"/>
              </w:rPr>
              <w:t>3</w:t>
            </w:r>
          </w:p>
        </w:tc>
        <w:tc>
          <w:tcPr>
            <w:tcW w:w="3039" w:type="pct"/>
            <w:shd w:val="clear" w:color="auto" w:fill="auto"/>
            <w:tcMar>
              <w:top w:w="36" w:type="dxa"/>
              <w:bottom w:w="36" w:type="dxa"/>
            </w:tcMar>
            <w:vAlign w:val="center"/>
            <w:hideMark/>
          </w:tcPr>
          <w:p w:rsidR="001A75FD" w:rsidRPr="00043B81" w:rsidRDefault="001A75FD" w:rsidP="00B75BA5">
            <w:pPr>
              <w:spacing w:after="0" w:line="240" w:lineRule="auto"/>
              <w:rPr>
                <w:rFonts w:ascii="Arial" w:eastAsia="Times New Roman" w:hAnsi="Arial" w:cs="Arial"/>
                <w:sz w:val="20"/>
                <w:szCs w:val="20"/>
              </w:rPr>
            </w:pPr>
            <w:r w:rsidRPr="00043B81">
              <w:rPr>
                <w:rFonts w:ascii="Arial" w:eastAsia="Times New Roman" w:hAnsi="Arial" w:cs="Arial"/>
                <w:sz w:val="20"/>
                <w:szCs w:val="20"/>
              </w:rPr>
              <w:t xml:space="preserve">Enter the effect depth of provided HSCs upstream, </w:t>
            </w:r>
            <w:r w:rsidRPr="00043B81">
              <w:rPr>
                <w:rFonts w:ascii="Arial" w:eastAsia="Times New Roman" w:hAnsi="Arial" w:cs="Arial"/>
                <w:i/>
                <w:sz w:val="20"/>
                <w:szCs w:val="20"/>
              </w:rPr>
              <w:t>d</w:t>
            </w:r>
            <w:r w:rsidRPr="00043B81">
              <w:rPr>
                <w:rFonts w:ascii="Arial" w:eastAsia="Times New Roman" w:hAnsi="Arial" w:cs="Arial"/>
                <w:i/>
                <w:sz w:val="20"/>
                <w:szCs w:val="20"/>
                <w:vertAlign w:val="subscript"/>
              </w:rPr>
              <w:t>HSC</w:t>
            </w:r>
            <w:r w:rsidRPr="00043B81">
              <w:rPr>
                <w:rFonts w:ascii="Arial" w:eastAsia="Times New Roman" w:hAnsi="Arial" w:cs="Arial"/>
                <w:i/>
                <w:sz w:val="20"/>
                <w:szCs w:val="20"/>
              </w:rPr>
              <w:t xml:space="preserve"> </w:t>
            </w:r>
            <w:r w:rsidRPr="00043B81">
              <w:rPr>
                <w:rFonts w:ascii="Arial" w:eastAsia="Times New Roman" w:hAnsi="Arial" w:cs="Arial"/>
                <w:sz w:val="20"/>
                <w:szCs w:val="20"/>
              </w:rPr>
              <w:t>(inches) (</w:t>
            </w:r>
            <w:fldSimple w:instr=" REF _Ref285398327 \h  \* MERGEFORMAT ">
              <w:r w:rsidR="00126DE5" w:rsidRPr="00126DE5">
                <w:rPr>
                  <w:rFonts w:cs="Arial"/>
                  <w:b/>
                  <w:color w:val="0070C0"/>
                  <w:sz w:val="20"/>
                  <w:szCs w:val="20"/>
                </w:rPr>
                <w:t>Worksheet A</w:t>
              </w:r>
            </w:fldSimple>
            <w:r w:rsidRPr="00043B81">
              <w:rPr>
                <w:rFonts w:ascii="Arial" w:eastAsia="Times New Roman" w:hAnsi="Arial" w:cs="Arial"/>
                <w:sz w:val="20"/>
                <w:szCs w:val="20"/>
              </w:rPr>
              <w:t>)</w:t>
            </w:r>
          </w:p>
        </w:tc>
        <w:tc>
          <w:tcPr>
            <w:tcW w:w="595" w:type="pct"/>
            <w:tcMar>
              <w:top w:w="36" w:type="dxa"/>
              <w:bottom w:w="36" w:type="dxa"/>
            </w:tcMar>
            <w:vAlign w:val="center"/>
          </w:tcPr>
          <w:p w:rsidR="001A75FD" w:rsidRPr="00043B81" w:rsidRDefault="001A75FD" w:rsidP="00B75BA5">
            <w:pPr>
              <w:spacing w:after="0" w:line="240" w:lineRule="auto"/>
              <w:jc w:val="right"/>
              <w:rPr>
                <w:rFonts w:ascii="Arial" w:eastAsia="Times New Roman" w:hAnsi="Arial" w:cs="Arial"/>
                <w:sz w:val="20"/>
                <w:szCs w:val="20"/>
              </w:rPr>
            </w:pPr>
            <w:r w:rsidRPr="00043B81">
              <w:rPr>
                <w:rFonts w:ascii="Arial" w:eastAsia="Times New Roman" w:hAnsi="Arial" w:cs="Arial"/>
                <w:sz w:val="20"/>
                <w:szCs w:val="20"/>
              </w:rPr>
              <w:t>d</w:t>
            </w:r>
            <w:r w:rsidRPr="00043B81">
              <w:rPr>
                <w:rFonts w:ascii="Arial" w:eastAsia="Times New Roman" w:hAnsi="Arial" w:cs="Arial"/>
                <w:sz w:val="20"/>
                <w:szCs w:val="20"/>
                <w:vertAlign w:val="subscript"/>
              </w:rPr>
              <w:t>HSC</w:t>
            </w:r>
            <w:r w:rsidRPr="00043B81">
              <w:rPr>
                <w:rFonts w:ascii="Arial" w:eastAsia="Times New Roman" w:hAnsi="Arial" w:cs="Arial"/>
                <w:sz w:val="20"/>
                <w:szCs w:val="20"/>
              </w:rPr>
              <w:t>=</w:t>
            </w:r>
          </w:p>
        </w:tc>
        <w:tc>
          <w:tcPr>
            <w:tcW w:w="595" w:type="pct"/>
            <w:tcMar>
              <w:top w:w="36" w:type="dxa"/>
              <w:bottom w:w="36" w:type="dxa"/>
            </w:tcMar>
            <w:vAlign w:val="center"/>
          </w:tcPr>
          <w:p w:rsidR="001A75FD" w:rsidRPr="00043B81" w:rsidRDefault="001A75FD" w:rsidP="00B75BA5">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1A75FD" w:rsidRPr="00043B81" w:rsidRDefault="001A75FD" w:rsidP="00B75BA5">
            <w:pPr>
              <w:spacing w:after="0" w:line="240" w:lineRule="auto"/>
              <w:rPr>
                <w:rFonts w:ascii="Arial" w:eastAsia="Times New Roman" w:hAnsi="Arial" w:cs="Arial"/>
                <w:sz w:val="20"/>
                <w:szCs w:val="20"/>
              </w:rPr>
            </w:pPr>
            <w:r w:rsidRPr="00043B81">
              <w:rPr>
                <w:rFonts w:ascii="Arial" w:eastAsia="Times New Roman" w:hAnsi="Arial" w:cs="Arial"/>
                <w:sz w:val="20"/>
                <w:szCs w:val="20"/>
              </w:rPr>
              <w:t>inches</w:t>
            </w:r>
          </w:p>
        </w:tc>
      </w:tr>
      <w:tr w:rsidR="001A75FD" w:rsidRPr="004B0AAA" w:rsidTr="00B75BA5">
        <w:trPr>
          <w:gridAfter w:val="1"/>
          <w:wAfter w:w="6" w:type="pct"/>
          <w:trHeight w:val="330"/>
        </w:trPr>
        <w:tc>
          <w:tcPr>
            <w:tcW w:w="170" w:type="pct"/>
            <w:shd w:val="clear" w:color="auto" w:fill="auto"/>
            <w:noWrap/>
            <w:tcMar>
              <w:top w:w="36" w:type="dxa"/>
              <w:bottom w:w="36" w:type="dxa"/>
            </w:tcMar>
            <w:vAlign w:val="center"/>
            <w:hideMark/>
          </w:tcPr>
          <w:p w:rsidR="001A75FD" w:rsidRPr="00043B81" w:rsidRDefault="001A75FD" w:rsidP="00B75BA5">
            <w:pPr>
              <w:spacing w:after="0" w:line="240" w:lineRule="auto"/>
              <w:jc w:val="center"/>
              <w:rPr>
                <w:rFonts w:ascii="Arial" w:eastAsia="Times New Roman" w:hAnsi="Arial" w:cs="Arial"/>
                <w:color w:val="000000"/>
                <w:sz w:val="20"/>
                <w:szCs w:val="20"/>
              </w:rPr>
            </w:pPr>
            <w:r w:rsidRPr="00043B81">
              <w:rPr>
                <w:rFonts w:ascii="Arial" w:eastAsia="Times New Roman" w:hAnsi="Arial" w:cs="Arial"/>
                <w:color w:val="000000"/>
                <w:sz w:val="20"/>
                <w:szCs w:val="20"/>
              </w:rPr>
              <w:t>4</w:t>
            </w:r>
          </w:p>
        </w:tc>
        <w:tc>
          <w:tcPr>
            <w:tcW w:w="3039" w:type="pct"/>
            <w:shd w:val="clear" w:color="auto" w:fill="auto"/>
            <w:tcMar>
              <w:top w:w="36" w:type="dxa"/>
              <w:bottom w:w="36" w:type="dxa"/>
            </w:tcMar>
            <w:vAlign w:val="center"/>
            <w:hideMark/>
          </w:tcPr>
          <w:p w:rsidR="001A75FD" w:rsidRPr="00043B81" w:rsidRDefault="001A75FD" w:rsidP="00B75BA5">
            <w:pPr>
              <w:spacing w:after="0"/>
              <w:rPr>
                <w:rFonts w:ascii="Arial" w:eastAsia="Times New Roman" w:hAnsi="Arial" w:cs="Arial"/>
                <w:i/>
                <w:sz w:val="20"/>
                <w:szCs w:val="20"/>
                <w:vertAlign w:val="subscript"/>
              </w:rPr>
            </w:pPr>
            <w:r w:rsidRPr="00043B81">
              <w:rPr>
                <w:rFonts w:ascii="Arial" w:eastAsia="Times New Roman" w:hAnsi="Arial" w:cs="Arial"/>
                <w:sz w:val="20"/>
                <w:szCs w:val="20"/>
              </w:rPr>
              <w:t>Enter capture efficiency corresponding to d</w:t>
            </w:r>
            <w:r w:rsidRPr="00043B81">
              <w:rPr>
                <w:rFonts w:ascii="Arial" w:eastAsia="Times New Roman" w:hAnsi="Arial" w:cs="Arial"/>
                <w:sz w:val="20"/>
                <w:szCs w:val="20"/>
                <w:vertAlign w:val="subscript"/>
              </w:rPr>
              <w:t>HSC</w:t>
            </w:r>
            <w:r w:rsidRPr="00043B81">
              <w:rPr>
                <w:rFonts w:ascii="Arial" w:eastAsia="Times New Roman" w:hAnsi="Arial" w:cs="Arial"/>
                <w:sz w:val="20"/>
                <w:szCs w:val="20"/>
              </w:rPr>
              <w:t xml:space="preserve">, </w:t>
            </w:r>
            <w:r w:rsidRPr="00043B81">
              <w:rPr>
                <w:rFonts w:ascii="Arial" w:eastAsia="Times New Roman" w:hAnsi="Arial" w:cs="Arial"/>
                <w:i/>
                <w:sz w:val="20"/>
                <w:szCs w:val="20"/>
              </w:rPr>
              <w:t>Y</w:t>
            </w:r>
            <w:r w:rsidRPr="00043B81">
              <w:rPr>
                <w:rFonts w:ascii="Arial" w:eastAsia="Times New Roman" w:hAnsi="Arial" w:cs="Arial"/>
                <w:i/>
                <w:sz w:val="20"/>
                <w:szCs w:val="20"/>
                <w:vertAlign w:val="subscript"/>
              </w:rPr>
              <w:t>2</w:t>
            </w:r>
          </w:p>
          <w:p w:rsidR="001A75FD" w:rsidRPr="00043B81" w:rsidRDefault="001A75FD" w:rsidP="00B75BA5">
            <w:pPr>
              <w:spacing w:after="0"/>
              <w:rPr>
                <w:rFonts w:ascii="Arial" w:hAnsi="Arial" w:cs="Arial"/>
                <w:color w:val="000000"/>
                <w:sz w:val="20"/>
                <w:szCs w:val="20"/>
                <w:vertAlign w:val="subscript"/>
              </w:rPr>
            </w:pPr>
            <w:r w:rsidRPr="00043B81">
              <w:rPr>
                <w:rFonts w:ascii="Arial" w:eastAsia="Times New Roman" w:hAnsi="Arial" w:cs="Arial"/>
                <w:sz w:val="20"/>
                <w:szCs w:val="20"/>
              </w:rPr>
              <w:t>(</w:t>
            </w:r>
            <w:fldSimple w:instr=" REF _Ref285398327 \h  \* MERGEFORMAT ">
              <w:r w:rsidR="00126DE5" w:rsidRPr="00126DE5">
                <w:rPr>
                  <w:rFonts w:cs="Arial"/>
                  <w:b/>
                  <w:color w:val="0070C0"/>
                  <w:sz w:val="20"/>
                  <w:szCs w:val="20"/>
                </w:rPr>
                <w:t>Worksheet A</w:t>
              </w:r>
            </w:fldSimple>
            <w:r w:rsidRPr="00043B81">
              <w:rPr>
                <w:rFonts w:ascii="Arial" w:eastAsia="Times New Roman" w:hAnsi="Arial" w:cs="Arial"/>
                <w:sz w:val="20"/>
                <w:szCs w:val="20"/>
              </w:rPr>
              <w:t>)</w:t>
            </w:r>
          </w:p>
        </w:tc>
        <w:tc>
          <w:tcPr>
            <w:tcW w:w="595" w:type="pct"/>
            <w:tcMar>
              <w:top w:w="36" w:type="dxa"/>
              <w:bottom w:w="36" w:type="dxa"/>
            </w:tcMar>
            <w:vAlign w:val="center"/>
          </w:tcPr>
          <w:p w:rsidR="001A75FD" w:rsidRPr="00043B81" w:rsidRDefault="001A75FD" w:rsidP="00B75BA5">
            <w:pPr>
              <w:spacing w:after="0" w:line="240" w:lineRule="auto"/>
              <w:jc w:val="right"/>
              <w:rPr>
                <w:rFonts w:ascii="Arial" w:eastAsia="Times New Roman" w:hAnsi="Arial" w:cs="Arial"/>
                <w:sz w:val="20"/>
                <w:szCs w:val="20"/>
              </w:rPr>
            </w:pPr>
            <w:r w:rsidRPr="00043B81">
              <w:rPr>
                <w:rFonts w:ascii="Arial" w:eastAsia="Times New Roman" w:hAnsi="Arial" w:cs="Arial"/>
                <w:sz w:val="20"/>
                <w:szCs w:val="20"/>
              </w:rPr>
              <w:t>Y</w:t>
            </w:r>
            <w:r w:rsidRPr="00043B81">
              <w:rPr>
                <w:rFonts w:ascii="Arial" w:eastAsia="Times New Roman" w:hAnsi="Arial" w:cs="Arial"/>
                <w:sz w:val="20"/>
                <w:szCs w:val="20"/>
                <w:vertAlign w:val="subscript"/>
              </w:rPr>
              <w:t>2</w:t>
            </w:r>
            <w:r w:rsidRPr="00043B81">
              <w:rPr>
                <w:rFonts w:ascii="Arial" w:eastAsia="Times New Roman" w:hAnsi="Arial" w:cs="Arial"/>
                <w:sz w:val="20"/>
                <w:szCs w:val="20"/>
              </w:rPr>
              <w:t>=</w:t>
            </w:r>
          </w:p>
        </w:tc>
        <w:tc>
          <w:tcPr>
            <w:tcW w:w="595" w:type="pct"/>
            <w:tcMar>
              <w:top w:w="36" w:type="dxa"/>
              <w:bottom w:w="36" w:type="dxa"/>
            </w:tcMar>
            <w:vAlign w:val="center"/>
          </w:tcPr>
          <w:p w:rsidR="001A75FD" w:rsidRPr="00043B81" w:rsidRDefault="001A75FD" w:rsidP="00B75BA5">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1A75FD" w:rsidRPr="00043B81" w:rsidRDefault="001A75FD" w:rsidP="00B75BA5">
            <w:pPr>
              <w:spacing w:after="0" w:line="240" w:lineRule="auto"/>
              <w:rPr>
                <w:rFonts w:ascii="Arial" w:eastAsia="Times New Roman" w:hAnsi="Arial" w:cs="Arial"/>
                <w:sz w:val="20"/>
                <w:szCs w:val="20"/>
              </w:rPr>
            </w:pPr>
            <w:r w:rsidRPr="00043B81">
              <w:rPr>
                <w:rFonts w:ascii="Arial" w:eastAsia="Times New Roman" w:hAnsi="Arial" w:cs="Arial"/>
                <w:sz w:val="20"/>
                <w:szCs w:val="20"/>
              </w:rPr>
              <w:t>%</w:t>
            </w:r>
          </w:p>
        </w:tc>
      </w:tr>
      <w:tr w:rsidR="001A75FD" w:rsidRPr="004B0AAA" w:rsidTr="00B75BA5">
        <w:trPr>
          <w:gridAfter w:val="1"/>
          <w:wAfter w:w="6" w:type="pct"/>
          <w:trHeight w:val="330"/>
        </w:trPr>
        <w:tc>
          <w:tcPr>
            <w:tcW w:w="170" w:type="pct"/>
            <w:shd w:val="clear" w:color="auto" w:fill="auto"/>
            <w:noWrap/>
            <w:tcMar>
              <w:top w:w="36" w:type="dxa"/>
              <w:bottom w:w="36" w:type="dxa"/>
            </w:tcMar>
            <w:vAlign w:val="center"/>
            <w:hideMark/>
          </w:tcPr>
          <w:p w:rsidR="001A75FD" w:rsidRPr="00043B81" w:rsidRDefault="001A75FD" w:rsidP="00B75BA5">
            <w:pPr>
              <w:spacing w:after="0" w:line="240" w:lineRule="auto"/>
              <w:jc w:val="center"/>
              <w:rPr>
                <w:rFonts w:ascii="Arial" w:eastAsia="Times New Roman" w:hAnsi="Arial" w:cs="Arial"/>
                <w:color w:val="000000"/>
                <w:sz w:val="20"/>
                <w:szCs w:val="20"/>
              </w:rPr>
            </w:pPr>
            <w:r w:rsidRPr="00043B81">
              <w:rPr>
                <w:rFonts w:ascii="Arial" w:eastAsia="Times New Roman" w:hAnsi="Arial" w:cs="Arial"/>
                <w:color w:val="000000"/>
                <w:sz w:val="20"/>
                <w:szCs w:val="20"/>
              </w:rPr>
              <w:t>5</w:t>
            </w:r>
          </w:p>
        </w:tc>
        <w:tc>
          <w:tcPr>
            <w:tcW w:w="3039" w:type="pct"/>
            <w:shd w:val="clear" w:color="auto" w:fill="auto"/>
            <w:tcMar>
              <w:top w:w="36" w:type="dxa"/>
              <w:bottom w:w="36" w:type="dxa"/>
            </w:tcMar>
            <w:vAlign w:val="center"/>
            <w:hideMark/>
          </w:tcPr>
          <w:p w:rsidR="001A75FD" w:rsidRPr="00043B81" w:rsidRDefault="001A75FD" w:rsidP="001A75FD">
            <w:pPr>
              <w:spacing w:after="0"/>
              <w:rPr>
                <w:rFonts w:ascii="Arial" w:eastAsia="Times New Roman" w:hAnsi="Arial" w:cs="Arial"/>
                <w:sz w:val="20"/>
                <w:szCs w:val="20"/>
                <w:vertAlign w:val="subscript"/>
              </w:rPr>
            </w:pPr>
            <w:r w:rsidRPr="00043B81">
              <w:rPr>
                <w:rFonts w:ascii="Arial" w:eastAsia="Times New Roman" w:hAnsi="Arial" w:cs="Arial"/>
                <w:sz w:val="20"/>
                <w:szCs w:val="20"/>
              </w:rPr>
              <w:t xml:space="preserve">Using </w:t>
            </w:r>
            <w:fldSimple w:instr=" REF _Ref257795315 \h  \* MERGEFORMAT ">
              <w:r w:rsidR="00126DE5" w:rsidRPr="00126DE5">
                <w:rPr>
                  <w:rFonts w:cs="Arial"/>
                  <w:b/>
                  <w:color w:val="0070C0"/>
                </w:rPr>
                <w:t>Figure III.</w:t>
              </w:r>
              <w:r w:rsidR="00126DE5" w:rsidRPr="00126DE5">
                <w:rPr>
                  <w:rFonts w:cs="Arial"/>
                  <w:b/>
                  <w:noProof/>
                  <w:color w:val="0070C0"/>
                  <w:sz w:val="20"/>
                  <w:szCs w:val="20"/>
                </w:rPr>
                <w:t>4</w:t>
              </w:r>
            </w:fldSimple>
            <w:r w:rsidRPr="00043B81">
              <w:rPr>
                <w:rFonts w:ascii="Arial" w:eastAsia="Times New Roman" w:hAnsi="Arial" w:cs="Arial"/>
                <w:sz w:val="20"/>
                <w:szCs w:val="20"/>
              </w:rPr>
              <w:t>, determine the design intensity at which the time of concentration (T</w:t>
            </w:r>
            <w:r w:rsidRPr="00043B81">
              <w:rPr>
                <w:rFonts w:ascii="Arial" w:eastAsia="Times New Roman" w:hAnsi="Arial" w:cs="Arial"/>
                <w:sz w:val="20"/>
                <w:szCs w:val="20"/>
                <w:vertAlign w:val="subscript"/>
              </w:rPr>
              <w:t>c</w:t>
            </w:r>
            <w:r w:rsidRPr="00043B81">
              <w:rPr>
                <w:rFonts w:ascii="Arial" w:eastAsia="Times New Roman" w:hAnsi="Arial" w:cs="Arial"/>
                <w:sz w:val="20"/>
                <w:szCs w:val="20"/>
              </w:rPr>
              <w:t>) achieves the upstream capture efficiency(Y</w:t>
            </w:r>
            <w:r w:rsidRPr="00043B81">
              <w:rPr>
                <w:rFonts w:ascii="Arial" w:eastAsia="Times New Roman" w:hAnsi="Arial" w:cs="Arial"/>
                <w:sz w:val="20"/>
                <w:szCs w:val="20"/>
                <w:vertAlign w:val="subscript"/>
              </w:rPr>
              <w:t>2</w:t>
            </w:r>
            <w:r w:rsidRPr="00043B81">
              <w:rPr>
                <w:rFonts w:ascii="Arial" w:eastAsia="Times New Roman" w:hAnsi="Arial" w:cs="Arial"/>
                <w:sz w:val="20"/>
                <w:szCs w:val="20"/>
              </w:rPr>
              <w:t xml:space="preserve">), </w:t>
            </w:r>
            <w:r w:rsidRPr="00043B81">
              <w:rPr>
                <w:rFonts w:ascii="Arial" w:eastAsia="Times New Roman" w:hAnsi="Arial" w:cs="Arial"/>
                <w:i/>
                <w:sz w:val="20"/>
                <w:szCs w:val="20"/>
              </w:rPr>
              <w:t>I</w:t>
            </w:r>
            <w:r w:rsidRPr="00043B81">
              <w:rPr>
                <w:rFonts w:ascii="Arial" w:eastAsia="Times New Roman" w:hAnsi="Arial" w:cs="Arial"/>
                <w:i/>
                <w:sz w:val="20"/>
                <w:szCs w:val="20"/>
                <w:vertAlign w:val="subscript"/>
              </w:rPr>
              <w:t>2</w:t>
            </w:r>
          </w:p>
        </w:tc>
        <w:tc>
          <w:tcPr>
            <w:tcW w:w="595" w:type="pct"/>
            <w:tcMar>
              <w:top w:w="36" w:type="dxa"/>
              <w:bottom w:w="36" w:type="dxa"/>
            </w:tcMar>
            <w:vAlign w:val="center"/>
          </w:tcPr>
          <w:p w:rsidR="001A75FD" w:rsidRPr="00043B81" w:rsidRDefault="001A75FD" w:rsidP="00B75BA5">
            <w:pPr>
              <w:spacing w:after="0" w:line="240" w:lineRule="auto"/>
              <w:jc w:val="right"/>
              <w:rPr>
                <w:rFonts w:ascii="Arial" w:eastAsia="Times New Roman" w:hAnsi="Arial" w:cs="Arial"/>
                <w:sz w:val="20"/>
                <w:szCs w:val="20"/>
              </w:rPr>
            </w:pPr>
            <w:r w:rsidRPr="00043B81">
              <w:rPr>
                <w:rFonts w:ascii="Arial" w:eastAsia="Times New Roman" w:hAnsi="Arial" w:cs="Arial"/>
                <w:sz w:val="20"/>
                <w:szCs w:val="20"/>
              </w:rPr>
              <w:t>I</w:t>
            </w:r>
            <w:r w:rsidRPr="00043B81">
              <w:rPr>
                <w:rFonts w:ascii="Arial" w:eastAsia="Times New Roman" w:hAnsi="Arial" w:cs="Arial"/>
                <w:sz w:val="20"/>
                <w:szCs w:val="20"/>
                <w:vertAlign w:val="subscript"/>
              </w:rPr>
              <w:t>2</w:t>
            </w:r>
            <w:r w:rsidRPr="00043B81">
              <w:rPr>
                <w:rFonts w:ascii="Arial" w:eastAsia="Times New Roman" w:hAnsi="Arial" w:cs="Arial"/>
                <w:sz w:val="20"/>
                <w:szCs w:val="20"/>
              </w:rPr>
              <w:t>=</w:t>
            </w:r>
          </w:p>
        </w:tc>
        <w:tc>
          <w:tcPr>
            <w:tcW w:w="595" w:type="pct"/>
            <w:tcMar>
              <w:top w:w="36" w:type="dxa"/>
              <w:bottom w:w="36" w:type="dxa"/>
            </w:tcMar>
            <w:vAlign w:val="center"/>
          </w:tcPr>
          <w:p w:rsidR="001A75FD" w:rsidRPr="00043B81" w:rsidRDefault="001A75FD" w:rsidP="00B75BA5">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1A75FD" w:rsidRPr="00043B81" w:rsidRDefault="001A75FD" w:rsidP="00B75BA5">
            <w:pPr>
              <w:spacing w:after="0" w:line="240" w:lineRule="auto"/>
              <w:rPr>
                <w:rFonts w:ascii="Arial" w:eastAsia="Times New Roman" w:hAnsi="Arial" w:cs="Arial"/>
                <w:sz w:val="20"/>
                <w:szCs w:val="20"/>
              </w:rPr>
            </w:pPr>
          </w:p>
        </w:tc>
      </w:tr>
      <w:tr w:rsidR="001A75FD" w:rsidRPr="004B0AAA" w:rsidTr="00B75BA5">
        <w:trPr>
          <w:gridAfter w:val="1"/>
          <w:wAfter w:w="6" w:type="pct"/>
          <w:trHeight w:val="330"/>
        </w:trPr>
        <w:tc>
          <w:tcPr>
            <w:tcW w:w="170" w:type="pct"/>
            <w:shd w:val="clear" w:color="auto" w:fill="auto"/>
            <w:noWrap/>
            <w:tcMar>
              <w:top w:w="36" w:type="dxa"/>
              <w:bottom w:w="36" w:type="dxa"/>
            </w:tcMar>
            <w:vAlign w:val="center"/>
            <w:hideMark/>
          </w:tcPr>
          <w:p w:rsidR="001A75FD" w:rsidRPr="00043B81" w:rsidRDefault="001A75FD" w:rsidP="00B75BA5">
            <w:pPr>
              <w:spacing w:after="0" w:line="240" w:lineRule="auto"/>
              <w:jc w:val="center"/>
              <w:rPr>
                <w:rFonts w:ascii="Arial" w:eastAsia="Times New Roman" w:hAnsi="Arial" w:cs="Arial"/>
                <w:color w:val="000000"/>
                <w:sz w:val="20"/>
                <w:szCs w:val="20"/>
              </w:rPr>
            </w:pPr>
            <w:r w:rsidRPr="00043B81">
              <w:rPr>
                <w:rFonts w:ascii="Arial" w:eastAsia="Times New Roman" w:hAnsi="Arial" w:cs="Arial"/>
                <w:color w:val="000000"/>
                <w:sz w:val="20"/>
                <w:szCs w:val="20"/>
              </w:rPr>
              <w:t>6</w:t>
            </w:r>
          </w:p>
        </w:tc>
        <w:tc>
          <w:tcPr>
            <w:tcW w:w="3039" w:type="pct"/>
            <w:shd w:val="clear" w:color="auto" w:fill="auto"/>
            <w:tcMar>
              <w:top w:w="36" w:type="dxa"/>
              <w:bottom w:w="36" w:type="dxa"/>
            </w:tcMar>
            <w:vAlign w:val="center"/>
            <w:hideMark/>
          </w:tcPr>
          <w:p w:rsidR="001A75FD" w:rsidRPr="00043B81" w:rsidRDefault="001A75FD" w:rsidP="00B75BA5">
            <w:pPr>
              <w:spacing w:after="0"/>
              <w:rPr>
                <w:rFonts w:ascii="Arial" w:eastAsia="Times New Roman" w:hAnsi="Arial" w:cs="Arial"/>
                <w:sz w:val="20"/>
                <w:szCs w:val="20"/>
              </w:rPr>
            </w:pPr>
            <w:r w:rsidRPr="00043B81">
              <w:rPr>
                <w:rFonts w:ascii="Arial" w:hAnsi="Arial" w:cs="Arial"/>
              </w:rPr>
              <w:t xml:space="preserve">Determine the design intensity </w:t>
            </w:r>
            <w:r w:rsidRPr="00043B81">
              <w:rPr>
                <w:rFonts w:ascii="Arial" w:eastAsia="Times New Roman" w:hAnsi="Arial" w:cs="Arial"/>
                <w:sz w:val="20"/>
                <w:szCs w:val="20"/>
              </w:rPr>
              <w:t xml:space="preserve">that must be provided by BMP, </w:t>
            </w:r>
            <w:proofErr w:type="spellStart"/>
            <w:r w:rsidRPr="00043B81">
              <w:rPr>
                <w:rFonts w:ascii="Arial" w:eastAsia="Times New Roman" w:hAnsi="Arial" w:cs="Arial"/>
                <w:i/>
                <w:sz w:val="20"/>
                <w:szCs w:val="20"/>
              </w:rPr>
              <w:t>I</w:t>
            </w:r>
            <w:r w:rsidRPr="00043B81">
              <w:rPr>
                <w:rFonts w:ascii="Arial" w:eastAsia="Times New Roman" w:hAnsi="Arial" w:cs="Arial"/>
                <w:i/>
                <w:sz w:val="20"/>
                <w:szCs w:val="20"/>
              </w:rPr>
              <w:softHyphen/>
            </w:r>
            <w:r w:rsidRPr="00043B81">
              <w:rPr>
                <w:rFonts w:ascii="Arial" w:eastAsia="Times New Roman" w:hAnsi="Arial" w:cs="Arial"/>
                <w:i/>
                <w:sz w:val="20"/>
                <w:szCs w:val="20"/>
                <w:vertAlign w:val="subscript"/>
              </w:rPr>
              <w:t>design</w:t>
            </w:r>
            <w:proofErr w:type="spellEnd"/>
            <w:r w:rsidRPr="00043B81">
              <w:rPr>
                <w:rFonts w:ascii="Arial" w:eastAsia="Times New Roman" w:hAnsi="Arial" w:cs="Arial"/>
                <w:i/>
                <w:sz w:val="20"/>
                <w:szCs w:val="20"/>
              </w:rPr>
              <w:t>= I</w:t>
            </w:r>
            <w:r w:rsidRPr="00043B81">
              <w:rPr>
                <w:rFonts w:ascii="Arial" w:eastAsia="Times New Roman" w:hAnsi="Arial" w:cs="Arial"/>
                <w:i/>
                <w:sz w:val="20"/>
                <w:szCs w:val="20"/>
                <w:vertAlign w:val="subscript"/>
              </w:rPr>
              <w:t>1</w:t>
            </w:r>
            <w:r w:rsidRPr="00043B81">
              <w:rPr>
                <w:rFonts w:ascii="Arial" w:eastAsia="Times New Roman" w:hAnsi="Arial" w:cs="Arial"/>
                <w:i/>
                <w:sz w:val="20"/>
                <w:szCs w:val="20"/>
              </w:rPr>
              <w:t>-I</w:t>
            </w:r>
            <w:r w:rsidRPr="00043B81">
              <w:rPr>
                <w:rFonts w:ascii="Arial" w:eastAsia="Times New Roman" w:hAnsi="Arial" w:cs="Arial"/>
                <w:i/>
                <w:sz w:val="20"/>
                <w:szCs w:val="20"/>
                <w:vertAlign w:val="subscript"/>
              </w:rPr>
              <w:t>2</w:t>
            </w:r>
          </w:p>
        </w:tc>
        <w:tc>
          <w:tcPr>
            <w:tcW w:w="595" w:type="pct"/>
            <w:tcMar>
              <w:top w:w="36" w:type="dxa"/>
              <w:bottom w:w="36" w:type="dxa"/>
            </w:tcMar>
            <w:vAlign w:val="center"/>
          </w:tcPr>
          <w:p w:rsidR="001A75FD" w:rsidRPr="00043B81" w:rsidRDefault="001A75FD" w:rsidP="00B75BA5">
            <w:pPr>
              <w:spacing w:after="0" w:line="240" w:lineRule="auto"/>
              <w:jc w:val="right"/>
              <w:rPr>
                <w:rFonts w:ascii="Arial" w:eastAsia="Times New Roman" w:hAnsi="Arial" w:cs="Arial"/>
                <w:sz w:val="20"/>
                <w:szCs w:val="20"/>
              </w:rPr>
            </w:pPr>
            <w:proofErr w:type="spellStart"/>
            <w:r w:rsidRPr="00043B81">
              <w:rPr>
                <w:rFonts w:ascii="Arial" w:eastAsia="Times New Roman" w:hAnsi="Arial" w:cs="Arial"/>
                <w:sz w:val="20"/>
                <w:szCs w:val="20"/>
              </w:rPr>
              <w:t>I</w:t>
            </w:r>
            <w:r w:rsidRPr="00043B81">
              <w:rPr>
                <w:rFonts w:ascii="Arial" w:eastAsia="Times New Roman" w:hAnsi="Arial" w:cs="Arial"/>
                <w:sz w:val="20"/>
                <w:szCs w:val="20"/>
                <w:vertAlign w:val="subscript"/>
              </w:rPr>
              <w:t>design</w:t>
            </w:r>
            <w:proofErr w:type="spellEnd"/>
            <w:r w:rsidRPr="00043B81">
              <w:rPr>
                <w:rFonts w:ascii="Arial" w:eastAsia="Times New Roman" w:hAnsi="Arial" w:cs="Arial"/>
                <w:sz w:val="20"/>
                <w:szCs w:val="20"/>
              </w:rPr>
              <w:t>=</w:t>
            </w:r>
          </w:p>
        </w:tc>
        <w:tc>
          <w:tcPr>
            <w:tcW w:w="595" w:type="pct"/>
            <w:tcMar>
              <w:top w:w="36" w:type="dxa"/>
              <w:bottom w:w="36" w:type="dxa"/>
            </w:tcMar>
            <w:vAlign w:val="center"/>
          </w:tcPr>
          <w:p w:rsidR="001A75FD" w:rsidRPr="00043B81" w:rsidRDefault="001A75FD" w:rsidP="00B75BA5">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1A75FD" w:rsidRPr="00043B81" w:rsidRDefault="001A75FD" w:rsidP="00B75BA5">
            <w:pPr>
              <w:spacing w:after="0" w:line="240" w:lineRule="auto"/>
              <w:rPr>
                <w:rFonts w:ascii="Arial" w:eastAsia="Times New Roman" w:hAnsi="Arial" w:cs="Arial"/>
                <w:sz w:val="20"/>
                <w:szCs w:val="20"/>
              </w:rPr>
            </w:pPr>
          </w:p>
        </w:tc>
      </w:tr>
      <w:tr w:rsidR="001A75FD" w:rsidRPr="004B0AAA" w:rsidTr="00B75BA5">
        <w:trPr>
          <w:trHeight w:val="330"/>
        </w:trPr>
        <w:tc>
          <w:tcPr>
            <w:tcW w:w="5000" w:type="pct"/>
            <w:gridSpan w:val="6"/>
            <w:shd w:val="clear" w:color="auto" w:fill="D9D9D9"/>
            <w:noWrap/>
            <w:tcMar>
              <w:top w:w="36" w:type="dxa"/>
              <w:bottom w:w="36" w:type="dxa"/>
            </w:tcMar>
            <w:vAlign w:val="center"/>
            <w:hideMark/>
          </w:tcPr>
          <w:p w:rsidR="001A75FD" w:rsidRPr="00043B81" w:rsidRDefault="001A75FD" w:rsidP="001A75FD">
            <w:pPr>
              <w:pStyle w:val="ExampleSubheading"/>
              <w:pBdr>
                <w:top w:val="none" w:sz="0" w:space="0" w:color="auto"/>
                <w:left w:val="none" w:sz="0" w:space="0" w:color="auto"/>
                <w:bottom w:val="none" w:sz="0" w:space="0" w:color="auto"/>
                <w:right w:val="none" w:sz="0" w:space="0" w:color="auto"/>
              </w:pBdr>
              <w:ind w:left="0"/>
              <w:outlineLvl w:val="0"/>
              <w:rPr>
                <w:color w:val="000000"/>
              </w:rPr>
            </w:pPr>
            <w:r w:rsidRPr="00043B81">
              <w:t>Step 2: Calculate the design flowrate</w:t>
            </w:r>
          </w:p>
        </w:tc>
      </w:tr>
      <w:tr w:rsidR="001A75FD" w:rsidRPr="004B0AAA" w:rsidTr="00B75BA5">
        <w:trPr>
          <w:gridAfter w:val="1"/>
          <w:wAfter w:w="6" w:type="pct"/>
          <w:trHeight w:val="330"/>
        </w:trPr>
        <w:tc>
          <w:tcPr>
            <w:tcW w:w="170" w:type="pct"/>
            <w:shd w:val="clear" w:color="auto" w:fill="auto"/>
            <w:noWrap/>
            <w:tcMar>
              <w:top w:w="36" w:type="dxa"/>
              <w:bottom w:w="36" w:type="dxa"/>
            </w:tcMar>
            <w:vAlign w:val="bottom"/>
            <w:hideMark/>
          </w:tcPr>
          <w:p w:rsidR="001A75FD" w:rsidRPr="00043B81" w:rsidRDefault="001A75FD" w:rsidP="00B75BA5">
            <w:pPr>
              <w:spacing w:after="0" w:line="240" w:lineRule="auto"/>
              <w:jc w:val="right"/>
              <w:rPr>
                <w:rFonts w:ascii="Arial" w:eastAsia="Times New Roman" w:hAnsi="Arial" w:cs="Arial"/>
                <w:color w:val="000000"/>
              </w:rPr>
            </w:pPr>
            <w:r w:rsidRPr="00043B81">
              <w:rPr>
                <w:rFonts w:ascii="Arial" w:eastAsia="Times New Roman" w:hAnsi="Arial" w:cs="Arial"/>
                <w:color w:val="000000"/>
              </w:rPr>
              <w:t>1</w:t>
            </w:r>
          </w:p>
        </w:tc>
        <w:tc>
          <w:tcPr>
            <w:tcW w:w="3039" w:type="pct"/>
            <w:shd w:val="clear" w:color="auto" w:fill="auto"/>
            <w:tcMar>
              <w:top w:w="36" w:type="dxa"/>
              <w:bottom w:w="36" w:type="dxa"/>
            </w:tcMar>
            <w:vAlign w:val="center"/>
            <w:hideMark/>
          </w:tcPr>
          <w:p w:rsidR="001A75FD" w:rsidRPr="00043B81" w:rsidRDefault="001A75FD" w:rsidP="00B75BA5">
            <w:pPr>
              <w:spacing w:after="0" w:line="240" w:lineRule="auto"/>
              <w:rPr>
                <w:rFonts w:ascii="Arial" w:eastAsia="Times New Roman" w:hAnsi="Arial" w:cs="Arial"/>
                <w:sz w:val="20"/>
                <w:szCs w:val="20"/>
              </w:rPr>
            </w:pPr>
            <w:r w:rsidRPr="00043B81">
              <w:rPr>
                <w:rFonts w:ascii="Arial" w:eastAsia="Times New Roman" w:hAnsi="Arial" w:cs="Arial"/>
                <w:sz w:val="20"/>
                <w:szCs w:val="20"/>
              </w:rPr>
              <w:t xml:space="preserve">Enter Project area tributary to BMP (s), </w:t>
            </w:r>
            <w:r w:rsidRPr="00043B81">
              <w:rPr>
                <w:rFonts w:ascii="Arial" w:eastAsia="Times New Roman" w:hAnsi="Arial" w:cs="Arial"/>
                <w:i/>
                <w:sz w:val="20"/>
                <w:szCs w:val="20"/>
              </w:rPr>
              <w:t>A</w:t>
            </w:r>
            <w:r w:rsidRPr="00043B81">
              <w:rPr>
                <w:rFonts w:ascii="Arial" w:eastAsia="Times New Roman" w:hAnsi="Arial" w:cs="Arial"/>
                <w:sz w:val="20"/>
                <w:szCs w:val="20"/>
              </w:rPr>
              <w:t xml:space="preserve"> (acres)</w:t>
            </w:r>
          </w:p>
        </w:tc>
        <w:tc>
          <w:tcPr>
            <w:tcW w:w="595" w:type="pct"/>
            <w:tcMar>
              <w:top w:w="36" w:type="dxa"/>
              <w:bottom w:w="36" w:type="dxa"/>
            </w:tcMar>
            <w:vAlign w:val="center"/>
          </w:tcPr>
          <w:p w:rsidR="001A75FD" w:rsidRPr="00043B81" w:rsidRDefault="001A75FD" w:rsidP="00B75BA5">
            <w:pPr>
              <w:spacing w:after="0" w:line="240" w:lineRule="auto"/>
              <w:jc w:val="right"/>
              <w:rPr>
                <w:rFonts w:ascii="Arial" w:eastAsia="Times New Roman" w:hAnsi="Arial" w:cs="Arial"/>
                <w:sz w:val="20"/>
                <w:szCs w:val="20"/>
              </w:rPr>
            </w:pPr>
            <w:r w:rsidRPr="00043B81">
              <w:rPr>
                <w:rFonts w:ascii="Arial" w:eastAsia="Times New Roman" w:hAnsi="Arial" w:cs="Arial"/>
                <w:sz w:val="20"/>
                <w:szCs w:val="20"/>
              </w:rPr>
              <w:t>A=</w:t>
            </w:r>
          </w:p>
        </w:tc>
        <w:tc>
          <w:tcPr>
            <w:tcW w:w="595" w:type="pct"/>
            <w:tcMar>
              <w:top w:w="36" w:type="dxa"/>
              <w:bottom w:w="36" w:type="dxa"/>
            </w:tcMar>
          </w:tcPr>
          <w:p w:rsidR="001A75FD" w:rsidRPr="00043B81" w:rsidRDefault="001A75FD" w:rsidP="00B75BA5">
            <w:pPr>
              <w:spacing w:after="0" w:line="240" w:lineRule="auto"/>
              <w:ind w:firstLineChars="500" w:firstLine="1100"/>
              <w:rPr>
                <w:rFonts w:ascii="Arial" w:eastAsia="Times New Roman" w:hAnsi="Arial" w:cs="Arial"/>
                <w:color w:val="000000"/>
              </w:rPr>
            </w:pPr>
          </w:p>
        </w:tc>
        <w:tc>
          <w:tcPr>
            <w:tcW w:w="595" w:type="pct"/>
            <w:tcMar>
              <w:top w:w="36" w:type="dxa"/>
              <w:bottom w:w="36" w:type="dxa"/>
            </w:tcMar>
            <w:vAlign w:val="center"/>
          </w:tcPr>
          <w:p w:rsidR="001A75FD" w:rsidRPr="00043B81" w:rsidRDefault="001A75FD" w:rsidP="00B75BA5">
            <w:pPr>
              <w:spacing w:after="0" w:line="240" w:lineRule="auto"/>
              <w:rPr>
                <w:rFonts w:ascii="Arial" w:eastAsia="Times New Roman" w:hAnsi="Arial" w:cs="Arial"/>
                <w:sz w:val="20"/>
                <w:szCs w:val="20"/>
              </w:rPr>
            </w:pPr>
            <w:r w:rsidRPr="00043B81">
              <w:rPr>
                <w:rFonts w:ascii="Arial" w:eastAsia="Times New Roman" w:hAnsi="Arial" w:cs="Arial"/>
                <w:sz w:val="20"/>
                <w:szCs w:val="20"/>
              </w:rPr>
              <w:t>acres</w:t>
            </w:r>
          </w:p>
        </w:tc>
      </w:tr>
      <w:tr w:rsidR="001A75FD" w:rsidRPr="004B0AAA" w:rsidTr="00B75BA5">
        <w:trPr>
          <w:gridAfter w:val="1"/>
          <w:wAfter w:w="6" w:type="pct"/>
          <w:trHeight w:val="330"/>
        </w:trPr>
        <w:tc>
          <w:tcPr>
            <w:tcW w:w="170" w:type="pct"/>
            <w:shd w:val="clear" w:color="auto" w:fill="auto"/>
            <w:noWrap/>
            <w:tcMar>
              <w:top w:w="36" w:type="dxa"/>
              <w:bottom w:w="36" w:type="dxa"/>
            </w:tcMar>
            <w:vAlign w:val="bottom"/>
            <w:hideMark/>
          </w:tcPr>
          <w:p w:rsidR="001A75FD" w:rsidRPr="00043B81" w:rsidRDefault="001A75FD" w:rsidP="00B75BA5">
            <w:pPr>
              <w:spacing w:after="0" w:line="240" w:lineRule="auto"/>
              <w:jc w:val="right"/>
              <w:rPr>
                <w:rFonts w:ascii="Arial" w:eastAsia="Times New Roman" w:hAnsi="Arial" w:cs="Arial"/>
                <w:color w:val="000000"/>
              </w:rPr>
            </w:pPr>
            <w:r w:rsidRPr="00043B81">
              <w:rPr>
                <w:rFonts w:ascii="Arial" w:eastAsia="Times New Roman" w:hAnsi="Arial" w:cs="Arial"/>
                <w:color w:val="000000"/>
              </w:rPr>
              <w:t>2</w:t>
            </w:r>
          </w:p>
        </w:tc>
        <w:tc>
          <w:tcPr>
            <w:tcW w:w="3039" w:type="pct"/>
            <w:shd w:val="clear" w:color="auto" w:fill="auto"/>
            <w:tcMar>
              <w:top w:w="36" w:type="dxa"/>
              <w:bottom w:w="36" w:type="dxa"/>
            </w:tcMar>
            <w:vAlign w:val="center"/>
            <w:hideMark/>
          </w:tcPr>
          <w:p w:rsidR="001A75FD" w:rsidRPr="00043B81" w:rsidRDefault="001A75FD" w:rsidP="00B75BA5">
            <w:pPr>
              <w:spacing w:after="0" w:line="240" w:lineRule="auto"/>
              <w:rPr>
                <w:rFonts w:ascii="Arial" w:eastAsia="Times New Roman" w:hAnsi="Arial" w:cs="Arial"/>
                <w:sz w:val="20"/>
                <w:szCs w:val="20"/>
              </w:rPr>
            </w:pPr>
            <w:r w:rsidRPr="00043B81">
              <w:rPr>
                <w:rFonts w:ascii="Arial" w:hAnsi="Arial" w:cs="Arial"/>
              </w:rPr>
              <w:t xml:space="preserve">Enter Project Imperviousness, </w:t>
            </w:r>
            <w:r w:rsidRPr="00043B81">
              <w:rPr>
                <w:rFonts w:ascii="Arial" w:hAnsi="Arial" w:cs="Arial"/>
                <w:i/>
              </w:rPr>
              <w:t>imp</w:t>
            </w:r>
            <w:r w:rsidRPr="00043B81">
              <w:rPr>
                <w:rFonts w:ascii="Arial" w:hAnsi="Arial" w:cs="Arial"/>
              </w:rPr>
              <w:t xml:space="preserve"> (unitless) </w:t>
            </w:r>
          </w:p>
        </w:tc>
        <w:tc>
          <w:tcPr>
            <w:tcW w:w="595" w:type="pct"/>
            <w:tcMar>
              <w:top w:w="36" w:type="dxa"/>
              <w:bottom w:w="36" w:type="dxa"/>
            </w:tcMar>
            <w:vAlign w:val="center"/>
          </w:tcPr>
          <w:p w:rsidR="001A75FD" w:rsidRPr="00043B81" w:rsidRDefault="001A75FD" w:rsidP="00B75BA5">
            <w:pPr>
              <w:spacing w:after="0" w:line="240" w:lineRule="auto"/>
              <w:jc w:val="right"/>
              <w:rPr>
                <w:rFonts w:ascii="Arial" w:eastAsia="Times New Roman" w:hAnsi="Arial" w:cs="Arial"/>
                <w:sz w:val="20"/>
                <w:szCs w:val="20"/>
              </w:rPr>
            </w:pPr>
            <w:r w:rsidRPr="00043B81">
              <w:rPr>
                <w:rFonts w:ascii="Arial" w:eastAsia="Times New Roman" w:hAnsi="Arial" w:cs="Arial"/>
                <w:sz w:val="20"/>
                <w:szCs w:val="20"/>
              </w:rPr>
              <w:t>imp=</w:t>
            </w:r>
          </w:p>
        </w:tc>
        <w:tc>
          <w:tcPr>
            <w:tcW w:w="595" w:type="pct"/>
            <w:tcMar>
              <w:top w:w="36" w:type="dxa"/>
              <w:bottom w:w="36" w:type="dxa"/>
            </w:tcMar>
          </w:tcPr>
          <w:p w:rsidR="001A75FD" w:rsidRPr="00043B81" w:rsidRDefault="001A75FD" w:rsidP="00B75BA5">
            <w:pPr>
              <w:spacing w:after="0" w:line="240" w:lineRule="auto"/>
              <w:ind w:firstLineChars="500" w:firstLine="1100"/>
              <w:rPr>
                <w:rFonts w:ascii="Arial" w:eastAsia="Times New Roman" w:hAnsi="Arial" w:cs="Arial"/>
                <w:color w:val="000000"/>
              </w:rPr>
            </w:pPr>
          </w:p>
        </w:tc>
        <w:tc>
          <w:tcPr>
            <w:tcW w:w="595" w:type="pct"/>
            <w:tcMar>
              <w:top w:w="36" w:type="dxa"/>
              <w:bottom w:w="36" w:type="dxa"/>
            </w:tcMar>
            <w:vAlign w:val="center"/>
          </w:tcPr>
          <w:p w:rsidR="001A75FD" w:rsidRPr="00043B81" w:rsidRDefault="001A75FD" w:rsidP="00B75BA5">
            <w:pPr>
              <w:spacing w:after="0" w:line="240" w:lineRule="auto"/>
              <w:rPr>
                <w:rFonts w:ascii="Arial" w:eastAsia="Times New Roman" w:hAnsi="Arial" w:cs="Arial"/>
                <w:sz w:val="20"/>
                <w:szCs w:val="20"/>
              </w:rPr>
            </w:pPr>
          </w:p>
        </w:tc>
      </w:tr>
      <w:tr w:rsidR="001A75FD" w:rsidRPr="004B0AAA" w:rsidTr="00B75BA5">
        <w:trPr>
          <w:gridAfter w:val="1"/>
          <w:wAfter w:w="6" w:type="pct"/>
          <w:trHeight w:val="330"/>
        </w:trPr>
        <w:tc>
          <w:tcPr>
            <w:tcW w:w="170" w:type="pct"/>
            <w:shd w:val="clear" w:color="auto" w:fill="auto"/>
            <w:noWrap/>
            <w:tcMar>
              <w:top w:w="36" w:type="dxa"/>
              <w:bottom w:w="36" w:type="dxa"/>
            </w:tcMar>
            <w:vAlign w:val="bottom"/>
            <w:hideMark/>
          </w:tcPr>
          <w:p w:rsidR="001A75FD" w:rsidRPr="00043B81" w:rsidRDefault="001A75FD" w:rsidP="00B75BA5">
            <w:pPr>
              <w:spacing w:after="0" w:line="240" w:lineRule="auto"/>
              <w:jc w:val="right"/>
              <w:rPr>
                <w:rFonts w:ascii="Arial" w:eastAsia="Times New Roman" w:hAnsi="Arial" w:cs="Arial"/>
                <w:color w:val="000000"/>
              </w:rPr>
            </w:pPr>
            <w:r w:rsidRPr="00043B81">
              <w:rPr>
                <w:rFonts w:ascii="Arial" w:eastAsia="Times New Roman" w:hAnsi="Arial" w:cs="Arial"/>
                <w:color w:val="000000"/>
              </w:rPr>
              <w:t>3</w:t>
            </w:r>
          </w:p>
        </w:tc>
        <w:tc>
          <w:tcPr>
            <w:tcW w:w="3039" w:type="pct"/>
            <w:shd w:val="clear" w:color="auto" w:fill="auto"/>
            <w:tcMar>
              <w:top w:w="36" w:type="dxa"/>
              <w:bottom w:w="36" w:type="dxa"/>
            </w:tcMar>
            <w:vAlign w:val="center"/>
            <w:hideMark/>
          </w:tcPr>
          <w:p w:rsidR="001A75FD" w:rsidRPr="00043B81" w:rsidRDefault="001A75FD" w:rsidP="00B75BA5">
            <w:pPr>
              <w:spacing w:after="0" w:line="240" w:lineRule="auto"/>
              <w:rPr>
                <w:rFonts w:ascii="Arial" w:eastAsia="Times New Roman" w:hAnsi="Arial" w:cs="Arial"/>
                <w:sz w:val="20"/>
                <w:szCs w:val="20"/>
              </w:rPr>
            </w:pPr>
            <w:r w:rsidRPr="00043B81">
              <w:rPr>
                <w:rFonts w:ascii="Arial" w:eastAsia="Times New Roman" w:hAnsi="Arial" w:cs="Arial"/>
                <w:sz w:val="20"/>
                <w:szCs w:val="20"/>
              </w:rPr>
              <w:t xml:space="preserve">Calculate runoff coefficient, </w:t>
            </w:r>
            <w:r w:rsidRPr="00043B81">
              <w:rPr>
                <w:rFonts w:ascii="Arial" w:eastAsia="Times New Roman" w:hAnsi="Arial" w:cs="Arial"/>
                <w:i/>
                <w:sz w:val="20"/>
                <w:szCs w:val="20"/>
              </w:rPr>
              <w:t>C= (0.75 x imp) + 0.15</w:t>
            </w:r>
          </w:p>
        </w:tc>
        <w:tc>
          <w:tcPr>
            <w:tcW w:w="595" w:type="pct"/>
            <w:tcMar>
              <w:top w:w="36" w:type="dxa"/>
              <w:bottom w:w="36" w:type="dxa"/>
            </w:tcMar>
            <w:vAlign w:val="center"/>
          </w:tcPr>
          <w:p w:rsidR="001A75FD" w:rsidRPr="00043B81" w:rsidRDefault="001A75FD" w:rsidP="00B75BA5">
            <w:pPr>
              <w:spacing w:after="0" w:line="240" w:lineRule="auto"/>
              <w:jc w:val="right"/>
              <w:rPr>
                <w:rFonts w:ascii="Arial" w:eastAsia="Times New Roman" w:hAnsi="Arial" w:cs="Arial"/>
                <w:sz w:val="20"/>
                <w:szCs w:val="20"/>
              </w:rPr>
            </w:pPr>
            <w:r w:rsidRPr="00043B81">
              <w:rPr>
                <w:rFonts w:ascii="Arial" w:eastAsia="Times New Roman" w:hAnsi="Arial" w:cs="Arial"/>
                <w:sz w:val="20"/>
                <w:szCs w:val="20"/>
              </w:rPr>
              <w:t>C=</w:t>
            </w:r>
          </w:p>
        </w:tc>
        <w:tc>
          <w:tcPr>
            <w:tcW w:w="595" w:type="pct"/>
            <w:tcMar>
              <w:top w:w="36" w:type="dxa"/>
              <w:bottom w:w="36" w:type="dxa"/>
            </w:tcMar>
          </w:tcPr>
          <w:p w:rsidR="001A75FD" w:rsidRPr="00043B81" w:rsidRDefault="001A75FD" w:rsidP="00B75BA5">
            <w:pPr>
              <w:spacing w:after="0" w:line="240" w:lineRule="auto"/>
              <w:ind w:firstLineChars="500" w:firstLine="1100"/>
              <w:rPr>
                <w:rFonts w:ascii="Arial" w:eastAsia="Times New Roman" w:hAnsi="Arial" w:cs="Arial"/>
                <w:color w:val="000000"/>
              </w:rPr>
            </w:pPr>
          </w:p>
        </w:tc>
        <w:tc>
          <w:tcPr>
            <w:tcW w:w="595" w:type="pct"/>
            <w:tcMar>
              <w:top w:w="36" w:type="dxa"/>
              <w:bottom w:w="36" w:type="dxa"/>
            </w:tcMar>
            <w:vAlign w:val="center"/>
          </w:tcPr>
          <w:p w:rsidR="001A75FD" w:rsidRPr="00043B81" w:rsidRDefault="001A75FD" w:rsidP="00B75BA5">
            <w:pPr>
              <w:spacing w:after="0" w:line="240" w:lineRule="auto"/>
              <w:rPr>
                <w:rFonts w:ascii="Arial" w:eastAsia="Times New Roman" w:hAnsi="Arial" w:cs="Arial"/>
                <w:sz w:val="20"/>
                <w:szCs w:val="20"/>
              </w:rPr>
            </w:pPr>
          </w:p>
        </w:tc>
      </w:tr>
      <w:tr w:rsidR="001A75FD" w:rsidRPr="004B0AAA" w:rsidTr="00B75BA5">
        <w:trPr>
          <w:gridAfter w:val="1"/>
          <w:wAfter w:w="6" w:type="pct"/>
          <w:trHeight w:val="330"/>
        </w:trPr>
        <w:tc>
          <w:tcPr>
            <w:tcW w:w="170" w:type="pct"/>
            <w:shd w:val="clear" w:color="auto" w:fill="auto"/>
            <w:noWrap/>
            <w:tcMar>
              <w:top w:w="36" w:type="dxa"/>
              <w:bottom w:w="36" w:type="dxa"/>
            </w:tcMar>
            <w:vAlign w:val="bottom"/>
            <w:hideMark/>
          </w:tcPr>
          <w:p w:rsidR="001A75FD" w:rsidRPr="00043B81" w:rsidRDefault="001A75FD" w:rsidP="00B75BA5">
            <w:pPr>
              <w:spacing w:after="0" w:line="240" w:lineRule="auto"/>
              <w:jc w:val="right"/>
              <w:rPr>
                <w:rFonts w:ascii="Arial" w:eastAsia="Times New Roman" w:hAnsi="Arial" w:cs="Arial"/>
                <w:color w:val="000000"/>
              </w:rPr>
            </w:pPr>
            <w:r w:rsidRPr="00043B81">
              <w:rPr>
                <w:rFonts w:ascii="Arial" w:eastAsia="Times New Roman" w:hAnsi="Arial" w:cs="Arial"/>
                <w:color w:val="000000"/>
              </w:rPr>
              <w:t>4</w:t>
            </w:r>
          </w:p>
        </w:tc>
        <w:tc>
          <w:tcPr>
            <w:tcW w:w="3039" w:type="pct"/>
            <w:shd w:val="clear" w:color="auto" w:fill="auto"/>
            <w:tcMar>
              <w:top w:w="36" w:type="dxa"/>
              <w:bottom w:w="36" w:type="dxa"/>
            </w:tcMar>
            <w:vAlign w:val="center"/>
            <w:hideMark/>
          </w:tcPr>
          <w:p w:rsidR="001A75FD" w:rsidRPr="00043B81" w:rsidRDefault="001A75FD" w:rsidP="00B75BA5">
            <w:pPr>
              <w:spacing w:after="0" w:line="240" w:lineRule="auto"/>
              <w:rPr>
                <w:rFonts w:ascii="Arial" w:eastAsia="Times New Roman" w:hAnsi="Arial" w:cs="Arial"/>
                <w:sz w:val="20"/>
                <w:szCs w:val="20"/>
              </w:rPr>
            </w:pPr>
            <w:r w:rsidRPr="00043B81">
              <w:rPr>
                <w:rFonts w:ascii="Arial" w:eastAsia="Times New Roman" w:hAnsi="Arial" w:cs="Arial"/>
                <w:sz w:val="20"/>
                <w:szCs w:val="20"/>
              </w:rPr>
              <w:t xml:space="preserve">Calculate design flowrate, </w:t>
            </w:r>
            <w:proofErr w:type="spellStart"/>
            <w:r w:rsidRPr="00043B81">
              <w:rPr>
                <w:rFonts w:ascii="Arial" w:eastAsia="Times New Roman" w:hAnsi="Arial" w:cs="Arial"/>
                <w:i/>
                <w:sz w:val="20"/>
                <w:szCs w:val="20"/>
              </w:rPr>
              <w:t>Q</w:t>
            </w:r>
            <w:r w:rsidRPr="00043B81">
              <w:rPr>
                <w:rFonts w:ascii="Arial" w:eastAsia="Times New Roman" w:hAnsi="Arial" w:cs="Arial"/>
                <w:i/>
                <w:sz w:val="20"/>
                <w:szCs w:val="20"/>
                <w:vertAlign w:val="subscript"/>
              </w:rPr>
              <w:t>design</w:t>
            </w:r>
            <w:proofErr w:type="spellEnd"/>
            <w:r w:rsidRPr="00043B81">
              <w:rPr>
                <w:rFonts w:ascii="Arial" w:eastAsia="Times New Roman" w:hAnsi="Arial" w:cs="Arial"/>
                <w:i/>
                <w:sz w:val="20"/>
                <w:szCs w:val="20"/>
              </w:rPr>
              <w:t xml:space="preserve">= (C x </w:t>
            </w:r>
            <w:proofErr w:type="spellStart"/>
            <w:r w:rsidRPr="00043B81">
              <w:rPr>
                <w:rFonts w:ascii="Arial" w:eastAsia="Times New Roman" w:hAnsi="Arial" w:cs="Arial"/>
                <w:i/>
                <w:sz w:val="20"/>
                <w:szCs w:val="20"/>
              </w:rPr>
              <w:t>i</w:t>
            </w:r>
            <w:r w:rsidRPr="00043B81">
              <w:rPr>
                <w:rFonts w:ascii="Arial" w:eastAsia="Times New Roman" w:hAnsi="Arial" w:cs="Arial"/>
                <w:i/>
                <w:sz w:val="20"/>
                <w:szCs w:val="20"/>
                <w:vertAlign w:val="subscript"/>
              </w:rPr>
              <w:t>design</w:t>
            </w:r>
            <w:proofErr w:type="spellEnd"/>
            <w:r w:rsidRPr="00043B81">
              <w:rPr>
                <w:rFonts w:ascii="Arial" w:eastAsia="Times New Roman" w:hAnsi="Arial" w:cs="Arial"/>
                <w:i/>
                <w:sz w:val="20"/>
                <w:szCs w:val="20"/>
              </w:rPr>
              <w:t xml:space="preserve"> x A)</w:t>
            </w:r>
          </w:p>
        </w:tc>
        <w:tc>
          <w:tcPr>
            <w:tcW w:w="595" w:type="pct"/>
            <w:tcMar>
              <w:top w:w="36" w:type="dxa"/>
              <w:bottom w:w="36" w:type="dxa"/>
            </w:tcMar>
            <w:vAlign w:val="center"/>
          </w:tcPr>
          <w:p w:rsidR="001A75FD" w:rsidRPr="00043B81" w:rsidRDefault="001A75FD" w:rsidP="00B75BA5">
            <w:pPr>
              <w:spacing w:after="0" w:line="240" w:lineRule="auto"/>
              <w:jc w:val="right"/>
              <w:rPr>
                <w:rFonts w:ascii="Arial" w:eastAsia="Times New Roman" w:hAnsi="Arial" w:cs="Arial"/>
                <w:sz w:val="20"/>
                <w:szCs w:val="20"/>
              </w:rPr>
            </w:pPr>
            <w:proofErr w:type="spellStart"/>
            <w:r w:rsidRPr="00043B81">
              <w:rPr>
                <w:rFonts w:ascii="Arial" w:eastAsia="Times New Roman" w:hAnsi="Arial" w:cs="Arial"/>
                <w:sz w:val="20"/>
                <w:szCs w:val="20"/>
              </w:rPr>
              <w:t>Q</w:t>
            </w:r>
            <w:r w:rsidRPr="00043B81">
              <w:rPr>
                <w:rFonts w:ascii="Arial" w:eastAsia="Times New Roman" w:hAnsi="Arial" w:cs="Arial"/>
                <w:sz w:val="20"/>
                <w:szCs w:val="20"/>
                <w:vertAlign w:val="subscript"/>
              </w:rPr>
              <w:t>design</w:t>
            </w:r>
            <w:proofErr w:type="spellEnd"/>
            <w:r w:rsidRPr="00043B81">
              <w:rPr>
                <w:rFonts w:ascii="Arial" w:eastAsia="Times New Roman" w:hAnsi="Arial" w:cs="Arial"/>
                <w:sz w:val="20"/>
                <w:szCs w:val="20"/>
              </w:rPr>
              <w:t>=</w:t>
            </w:r>
          </w:p>
        </w:tc>
        <w:tc>
          <w:tcPr>
            <w:tcW w:w="595" w:type="pct"/>
            <w:tcMar>
              <w:top w:w="36" w:type="dxa"/>
              <w:bottom w:w="36" w:type="dxa"/>
            </w:tcMar>
          </w:tcPr>
          <w:p w:rsidR="001A75FD" w:rsidRPr="00043B81" w:rsidRDefault="001A75FD" w:rsidP="00B75BA5">
            <w:pPr>
              <w:spacing w:after="0" w:line="240" w:lineRule="auto"/>
              <w:ind w:firstLineChars="500" w:firstLine="1100"/>
              <w:rPr>
                <w:rFonts w:ascii="Arial" w:eastAsia="Times New Roman" w:hAnsi="Arial" w:cs="Arial"/>
                <w:color w:val="000000"/>
              </w:rPr>
            </w:pPr>
          </w:p>
        </w:tc>
        <w:tc>
          <w:tcPr>
            <w:tcW w:w="595" w:type="pct"/>
            <w:tcMar>
              <w:top w:w="36" w:type="dxa"/>
              <w:bottom w:w="36" w:type="dxa"/>
            </w:tcMar>
            <w:vAlign w:val="center"/>
          </w:tcPr>
          <w:p w:rsidR="001A75FD" w:rsidRPr="00043B81" w:rsidRDefault="001A75FD" w:rsidP="00B75BA5">
            <w:pPr>
              <w:spacing w:after="0" w:line="240" w:lineRule="auto"/>
              <w:rPr>
                <w:rFonts w:ascii="Arial" w:eastAsia="Times New Roman" w:hAnsi="Arial" w:cs="Arial"/>
                <w:sz w:val="20"/>
                <w:szCs w:val="20"/>
              </w:rPr>
            </w:pPr>
            <w:r w:rsidRPr="00043B81">
              <w:rPr>
                <w:rFonts w:ascii="Arial" w:eastAsia="Times New Roman" w:hAnsi="Arial" w:cs="Arial"/>
                <w:sz w:val="20"/>
                <w:szCs w:val="20"/>
              </w:rPr>
              <w:t>cfs</w:t>
            </w:r>
          </w:p>
        </w:tc>
      </w:tr>
      <w:tr w:rsidR="001A75FD" w:rsidRPr="004B0AAA" w:rsidTr="00B75BA5">
        <w:trPr>
          <w:trHeight w:val="330"/>
        </w:trPr>
        <w:tc>
          <w:tcPr>
            <w:tcW w:w="5000" w:type="pct"/>
            <w:gridSpan w:val="6"/>
            <w:shd w:val="clear" w:color="auto" w:fill="D9D9D9"/>
            <w:noWrap/>
            <w:tcMar>
              <w:top w:w="36" w:type="dxa"/>
              <w:bottom w:w="36" w:type="dxa"/>
            </w:tcMar>
            <w:vAlign w:val="center"/>
            <w:hideMark/>
          </w:tcPr>
          <w:p w:rsidR="001A75FD" w:rsidRPr="004B0AAA" w:rsidRDefault="001A75FD" w:rsidP="00B75BA5">
            <w:pPr>
              <w:pStyle w:val="ExampleSubheading"/>
              <w:pBdr>
                <w:top w:val="none" w:sz="0" w:space="0" w:color="auto"/>
                <w:left w:val="none" w:sz="0" w:space="0" w:color="auto"/>
                <w:bottom w:val="none" w:sz="0" w:space="0" w:color="auto"/>
                <w:right w:val="none" w:sz="0" w:space="0" w:color="auto"/>
              </w:pBdr>
              <w:ind w:left="0"/>
              <w:outlineLvl w:val="0"/>
              <w:rPr>
                <w:color w:val="000000"/>
              </w:rPr>
            </w:pPr>
            <w:r>
              <w:t>Supporting Calculations</w:t>
            </w:r>
          </w:p>
        </w:tc>
      </w:tr>
      <w:tr w:rsidR="001A75FD" w:rsidRPr="004B0AAA" w:rsidTr="00B75BA5">
        <w:trPr>
          <w:gridAfter w:val="1"/>
          <w:wAfter w:w="6" w:type="pct"/>
          <w:trHeight w:val="1691"/>
        </w:trPr>
        <w:tc>
          <w:tcPr>
            <w:tcW w:w="4994" w:type="pct"/>
            <w:gridSpan w:val="5"/>
            <w:shd w:val="clear" w:color="auto" w:fill="auto"/>
            <w:noWrap/>
            <w:tcMar>
              <w:top w:w="36" w:type="dxa"/>
              <w:bottom w:w="36" w:type="dxa"/>
            </w:tcMar>
            <w:hideMark/>
          </w:tcPr>
          <w:p w:rsidR="001A75FD" w:rsidRPr="004B0AAA" w:rsidRDefault="001A75FD" w:rsidP="001A75FD">
            <w:pPr>
              <w:spacing w:after="0" w:line="240" w:lineRule="auto"/>
              <w:rPr>
                <w:rFonts w:ascii="Arial" w:eastAsia="Times New Roman" w:hAnsi="Arial" w:cs="Arial"/>
                <w:sz w:val="20"/>
                <w:szCs w:val="20"/>
              </w:rPr>
            </w:pPr>
            <w:r>
              <w:rPr>
                <w:rFonts w:ascii="Arial" w:eastAsia="Times New Roman" w:hAnsi="Arial" w:cs="Arial"/>
                <w:sz w:val="20"/>
                <w:szCs w:val="20"/>
              </w:rPr>
              <w:t>Describe system:</w:t>
            </w:r>
          </w:p>
        </w:tc>
      </w:tr>
      <w:tr w:rsidR="001A75FD" w:rsidRPr="004B0AAA" w:rsidTr="00B75BA5">
        <w:trPr>
          <w:gridAfter w:val="1"/>
          <w:wAfter w:w="6" w:type="pct"/>
          <w:trHeight w:val="1718"/>
        </w:trPr>
        <w:tc>
          <w:tcPr>
            <w:tcW w:w="4994" w:type="pct"/>
            <w:gridSpan w:val="5"/>
            <w:shd w:val="clear" w:color="auto" w:fill="auto"/>
            <w:noWrap/>
            <w:tcMar>
              <w:top w:w="36" w:type="dxa"/>
              <w:bottom w:w="36" w:type="dxa"/>
            </w:tcMar>
            <w:hideMark/>
          </w:tcPr>
          <w:p w:rsidR="001A75FD" w:rsidRPr="004B0AAA" w:rsidRDefault="001A75FD" w:rsidP="001A75FD">
            <w:pPr>
              <w:spacing w:after="0" w:line="240" w:lineRule="auto"/>
              <w:rPr>
                <w:rFonts w:ascii="Arial" w:eastAsia="Times New Roman" w:hAnsi="Arial" w:cs="Arial"/>
                <w:sz w:val="20"/>
                <w:szCs w:val="20"/>
              </w:rPr>
            </w:pPr>
            <w:r>
              <w:rPr>
                <w:rFonts w:ascii="Arial" w:eastAsia="Times New Roman" w:hAnsi="Arial" w:cs="Arial"/>
                <w:sz w:val="20"/>
                <w:szCs w:val="20"/>
              </w:rPr>
              <w:t>Provide time of concentration assumptions:</w:t>
            </w:r>
          </w:p>
        </w:tc>
      </w:tr>
      <w:tr w:rsidR="001A75FD" w:rsidRPr="004B0AAA" w:rsidTr="00B75BA5">
        <w:trPr>
          <w:trHeight w:val="330"/>
        </w:trPr>
        <w:tc>
          <w:tcPr>
            <w:tcW w:w="5000" w:type="pct"/>
            <w:gridSpan w:val="6"/>
            <w:shd w:val="clear" w:color="auto" w:fill="D9D9D9"/>
            <w:noWrap/>
            <w:tcMar>
              <w:top w:w="36" w:type="dxa"/>
              <w:bottom w:w="36" w:type="dxa"/>
            </w:tcMar>
            <w:vAlign w:val="center"/>
            <w:hideMark/>
          </w:tcPr>
          <w:p w:rsidR="001A75FD" w:rsidRPr="004B0AAA" w:rsidRDefault="001A75FD" w:rsidP="00B75BA5">
            <w:pPr>
              <w:pStyle w:val="ExampleSubheading"/>
              <w:pBdr>
                <w:top w:val="none" w:sz="0" w:space="0" w:color="auto"/>
                <w:left w:val="none" w:sz="0" w:space="0" w:color="auto"/>
                <w:bottom w:val="none" w:sz="0" w:space="0" w:color="auto"/>
                <w:right w:val="none" w:sz="0" w:space="0" w:color="auto"/>
              </w:pBdr>
              <w:ind w:left="0"/>
              <w:outlineLvl w:val="0"/>
              <w:rPr>
                <w:color w:val="000000"/>
              </w:rPr>
            </w:pPr>
            <w:r w:rsidRPr="001A75FD">
              <w:t>Graphical Operations</w:t>
            </w:r>
          </w:p>
        </w:tc>
      </w:tr>
      <w:tr w:rsidR="001A75FD" w:rsidRPr="004B0AAA" w:rsidTr="00B75BA5">
        <w:trPr>
          <w:gridAfter w:val="1"/>
          <w:wAfter w:w="6" w:type="pct"/>
          <w:trHeight w:val="1718"/>
        </w:trPr>
        <w:tc>
          <w:tcPr>
            <w:tcW w:w="4994" w:type="pct"/>
            <w:gridSpan w:val="5"/>
            <w:shd w:val="clear" w:color="auto" w:fill="auto"/>
            <w:noWrap/>
            <w:tcMar>
              <w:top w:w="36" w:type="dxa"/>
              <w:bottom w:w="36" w:type="dxa"/>
            </w:tcMar>
            <w:hideMark/>
          </w:tcPr>
          <w:p w:rsidR="001A75FD" w:rsidRDefault="001A75FD" w:rsidP="00B75BA5">
            <w:pPr>
              <w:spacing w:after="0" w:line="240" w:lineRule="auto"/>
              <w:rPr>
                <w:rFonts w:ascii="Arial" w:eastAsia="Times New Roman" w:hAnsi="Arial" w:cs="Arial"/>
                <w:sz w:val="20"/>
                <w:szCs w:val="20"/>
              </w:rPr>
            </w:pPr>
            <w:r w:rsidRPr="001A75FD">
              <w:rPr>
                <w:rFonts w:ascii="Arial" w:eastAsia="Times New Roman" w:hAnsi="Arial" w:cs="Arial"/>
                <w:noProof/>
                <w:sz w:val="20"/>
                <w:szCs w:val="20"/>
              </w:rPr>
              <w:drawing>
                <wp:inline distT="0" distB="0" distL="0" distR="0">
                  <wp:extent cx="6006189" cy="4146697"/>
                  <wp:effectExtent l="19050" t="0" r="0" b="0"/>
                  <wp:docPr id="53"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9" cstate="email"/>
                          <a:srcRect/>
                          <a:stretch>
                            <a:fillRect/>
                          </a:stretch>
                        </pic:blipFill>
                        <pic:spPr bwMode="auto">
                          <a:xfrm>
                            <a:off x="0" y="0"/>
                            <a:ext cx="6011779" cy="4150556"/>
                          </a:xfrm>
                          <a:prstGeom prst="rect">
                            <a:avLst/>
                          </a:prstGeom>
                          <a:noFill/>
                        </pic:spPr>
                      </pic:pic>
                    </a:graphicData>
                  </a:graphic>
                </wp:inline>
              </w:drawing>
            </w:r>
          </w:p>
          <w:p w:rsidR="001A75FD" w:rsidRDefault="001A75FD" w:rsidP="00B75BA5">
            <w:pPr>
              <w:spacing w:after="0" w:line="240" w:lineRule="auto"/>
              <w:rPr>
                <w:rFonts w:ascii="Arial" w:eastAsia="Times New Roman" w:hAnsi="Arial" w:cs="Arial"/>
                <w:sz w:val="20"/>
                <w:szCs w:val="20"/>
              </w:rPr>
            </w:pPr>
          </w:p>
          <w:p w:rsidR="001A75FD" w:rsidRDefault="001A75FD" w:rsidP="00B75BA5">
            <w:pPr>
              <w:spacing w:after="0" w:line="240" w:lineRule="auto"/>
              <w:rPr>
                <w:rFonts w:ascii="Arial" w:eastAsia="Times New Roman" w:hAnsi="Arial" w:cs="Arial"/>
                <w:sz w:val="20"/>
                <w:szCs w:val="20"/>
              </w:rPr>
            </w:pPr>
            <w:r>
              <w:rPr>
                <w:rFonts w:ascii="Arial" w:eastAsia="Times New Roman" w:hAnsi="Arial" w:cs="Arial"/>
                <w:sz w:val="20"/>
                <w:szCs w:val="20"/>
              </w:rPr>
              <w:t>Provide supporting grap</w:t>
            </w:r>
            <w:r w:rsidR="00043B81">
              <w:rPr>
                <w:rFonts w:ascii="Arial" w:eastAsia="Times New Roman" w:hAnsi="Arial" w:cs="Arial"/>
                <w:sz w:val="20"/>
                <w:szCs w:val="20"/>
              </w:rPr>
              <w:t xml:space="preserve">hical operations. </w:t>
            </w:r>
            <w:r>
              <w:rPr>
                <w:rFonts w:ascii="Arial" w:eastAsia="Times New Roman" w:hAnsi="Arial" w:cs="Arial"/>
                <w:sz w:val="20"/>
                <w:szCs w:val="20"/>
              </w:rPr>
              <w:t xml:space="preserve">See </w:t>
            </w:r>
            <w:r w:rsidR="00126F3D" w:rsidRPr="00126DE5">
              <w:rPr>
                <w:rFonts w:eastAsia="Times New Roman" w:cs="Arial"/>
                <w:b/>
                <w:color w:val="0070C0"/>
                <w:sz w:val="20"/>
                <w:szCs w:val="20"/>
              </w:rPr>
              <w:fldChar w:fldCharType="begin"/>
            </w:r>
            <w:r w:rsidRPr="00126DE5">
              <w:rPr>
                <w:rFonts w:eastAsia="Times New Roman" w:cs="Arial"/>
                <w:b/>
                <w:color w:val="0070C0"/>
                <w:sz w:val="20"/>
                <w:szCs w:val="20"/>
              </w:rPr>
              <w:instrText xml:space="preserve"> REF _Ref261611277 \h </w:instrText>
            </w:r>
            <w:r w:rsidR="00126F3D" w:rsidRPr="00126DE5">
              <w:rPr>
                <w:rFonts w:eastAsia="Times New Roman" w:cs="Arial"/>
                <w:b/>
                <w:color w:val="0070C0"/>
                <w:sz w:val="20"/>
                <w:szCs w:val="20"/>
              </w:rPr>
            </w:r>
            <w:r w:rsidR="00126F3D" w:rsidRPr="00126DE5">
              <w:rPr>
                <w:rFonts w:eastAsia="Times New Roman" w:cs="Arial"/>
                <w:b/>
                <w:color w:val="0070C0"/>
                <w:sz w:val="20"/>
                <w:szCs w:val="20"/>
              </w:rPr>
              <w:fldChar w:fldCharType="separate"/>
            </w:r>
            <w:r w:rsidR="00126DE5" w:rsidRPr="00126DE5">
              <w:rPr>
                <w:b/>
                <w:color w:val="0070C0"/>
              </w:rPr>
              <w:t xml:space="preserve">Example </w:t>
            </w:r>
            <w:r w:rsidR="00126DE5" w:rsidRPr="00126DE5">
              <w:rPr>
                <w:b/>
                <w:noProof/>
                <w:color w:val="0070C0"/>
              </w:rPr>
              <w:t>III</w:t>
            </w:r>
            <w:r w:rsidR="00126DE5" w:rsidRPr="00126DE5">
              <w:rPr>
                <w:b/>
                <w:color w:val="0070C0"/>
              </w:rPr>
              <w:t>.</w:t>
            </w:r>
            <w:r w:rsidR="00126DE5" w:rsidRPr="00126DE5">
              <w:rPr>
                <w:b/>
                <w:noProof/>
                <w:color w:val="0070C0"/>
              </w:rPr>
              <w:t>7</w:t>
            </w:r>
            <w:r w:rsidR="00126F3D" w:rsidRPr="00126DE5">
              <w:rPr>
                <w:rFonts w:eastAsia="Times New Roman" w:cs="Arial"/>
                <w:b/>
                <w:color w:val="0070C0"/>
                <w:sz w:val="20"/>
                <w:szCs w:val="20"/>
              </w:rPr>
              <w:fldChar w:fldCharType="end"/>
            </w:r>
            <w:r>
              <w:rPr>
                <w:rFonts w:ascii="Arial" w:eastAsia="Times New Roman" w:hAnsi="Arial" w:cs="Arial"/>
                <w:sz w:val="20"/>
                <w:szCs w:val="20"/>
              </w:rPr>
              <w:t>.</w:t>
            </w:r>
          </w:p>
          <w:p w:rsidR="001A75FD" w:rsidRDefault="001A75FD" w:rsidP="00B75BA5">
            <w:pPr>
              <w:spacing w:after="0" w:line="240" w:lineRule="auto"/>
              <w:rPr>
                <w:rFonts w:ascii="Arial" w:eastAsia="Times New Roman" w:hAnsi="Arial" w:cs="Arial"/>
                <w:sz w:val="20"/>
                <w:szCs w:val="20"/>
              </w:rPr>
            </w:pPr>
          </w:p>
        </w:tc>
      </w:tr>
    </w:tbl>
    <w:p w:rsidR="001A75FD" w:rsidRDefault="001A75FD" w:rsidP="00A27241">
      <w:pPr>
        <w:pStyle w:val="ReportBodyText"/>
        <w:spacing w:after="240" w:line="280" w:lineRule="exact"/>
      </w:pPr>
    </w:p>
    <w:p w:rsidR="001A75FD" w:rsidRDefault="001A75FD">
      <w:pPr>
        <w:spacing w:after="200"/>
        <w:rPr>
          <w:rFonts w:eastAsia="Times New Roman" w:cs="Times New Roman"/>
        </w:rPr>
      </w:pPr>
      <w:r>
        <w:br w:type="page"/>
      </w:r>
    </w:p>
    <w:p w:rsidR="001A75FD" w:rsidRPr="00B53524" w:rsidRDefault="001A75FD" w:rsidP="00A27241">
      <w:pPr>
        <w:pStyle w:val="ReportBodyText"/>
        <w:spacing w:after="240" w:line="280" w:lineRule="exact"/>
      </w:pPr>
    </w:p>
    <w:p w:rsidR="0063671C" w:rsidRPr="00CE32B9" w:rsidRDefault="0063671C" w:rsidP="00A52883">
      <w:pPr>
        <w:pStyle w:val="Heading2"/>
      </w:pPr>
      <w:bookmarkStart w:id="217" w:name="_Ref285302273"/>
      <w:bookmarkStart w:id="218" w:name="_Toc285308126"/>
      <w:bookmarkStart w:id="219" w:name="_Toc285315726"/>
      <w:bookmarkStart w:id="220" w:name="_Toc285492445"/>
      <w:bookmarkStart w:id="221" w:name="_Toc288541057"/>
      <w:bookmarkStart w:id="222" w:name="_Toc293937121"/>
      <w:bookmarkStart w:id="223" w:name="_Ref257652527"/>
      <w:r w:rsidRPr="00CE32B9">
        <w:t>Nomograph Methods for BMP Performance Estimation</w:t>
      </w:r>
      <w:bookmarkEnd w:id="217"/>
      <w:bookmarkEnd w:id="218"/>
      <w:bookmarkEnd w:id="219"/>
      <w:bookmarkEnd w:id="220"/>
      <w:bookmarkEnd w:id="221"/>
      <w:bookmarkEnd w:id="222"/>
    </w:p>
    <w:p w:rsidR="0063671C" w:rsidRPr="0063671C" w:rsidRDefault="00CE32B9" w:rsidP="00CE32B9">
      <w:pPr>
        <w:pStyle w:val="CDMBTEXT"/>
      </w:pPr>
      <w:r>
        <w:t xml:space="preserve">This section contains instructions for computing the performance of </w:t>
      </w:r>
      <w:r w:rsidR="00115863">
        <w:t xml:space="preserve">LID and treatment control </w:t>
      </w:r>
      <w:r>
        <w:t>BMPs based on the sizing and design of the system.  These</w:t>
      </w:r>
      <w:r w:rsidRPr="00311A64">
        <w:t xml:space="preserve"> calculation method</w:t>
      </w:r>
      <w:r>
        <w:t>s</w:t>
      </w:r>
      <w:r w:rsidRPr="00311A64">
        <w:t xml:space="preserve"> </w:t>
      </w:r>
      <w:r>
        <w:t>are applicable</w:t>
      </w:r>
      <w:r w:rsidRPr="00311A64">
        <w:t xml:space="preserve"> where </w:t>
      </w:r>
      <w:r>
        <w:t xml:space="preserve">less than the full </w:t>
      </w:r>
      <w:r w:rsidR="00115863">
        <w:t>design</w:t>
      </w:r>
      <w:r>
        <w:t xml:space="preserve"> volume is provided and it is necessary to quantify the </w:t>
      </w:r>
      <w:r w:rsidRPr="00311A64">
        <w:t>level of control has been achieved</w:t>
      </w:r>
      <w:r>
        <w:t xml:space="preserve"> (partial compliance)</w:t>
      </w:r>
      <w:r w:rsidRPr="00311A64">
        <w:t xml:space="preserve"> so that remaining </w:t>
      </w:r>
      <w:r w:rsidR="00115863">
        <w:t>design volume or flowrate</w:t>
      </w:r>
      <w:r w:rsidRPr="00311A64">
        <w:t xml:space="preserve"> can be calculated.</w:t>
      </w:r>
      <w:r>
        <w:t xml:space="preserve"> </w:t>
      </w:r>
      <w:r w:rsidRPr="00311A64">
        <w:t>The user enters th</w:t>
      </w:r>
      <w:r>
        <w:t>ese methods</w:t>
      </w:r>
      <w:r w:rsidRPr="00311A64">
        <w:t xml:space="preserve"> with a description of the system and the capture efficiency that has already bee</w:t>
      </w:r>
      <w:r w:rsidR="00115863">
        <w:t xml:space="preserve">n achieved by upstream BMPs. If it is desired to compute the </w:t>
      </w:r>
      <w:proofErr w:type="spellStart"/>
      <w:r w:rsidRPr="00311A64">
        <w:t>the</w:t>
      </w:r>
      <w:proofErr w:type="spellEnd"/>
      <w:r w:rsidRPr="00311A64">
        <w:t xml:space="preserve"> capture efficienc</w:t>
      </w:r>
      <w:r w:rsidR="00115863">
        <w:t>y of a series of BMPs</w:t>
      </w:r>
      <w:r w:rsidRPr="00311A64">
        <w:t>, the user starts with the upstream BMP and then repeats the steps for each sequential BMP provided.</w:t>
      </w:r>
    </w:p>
    <w:p w:rsidR="00001A88" w:rsidRPr="00B53524" w:rsidRDefault="00001A88" w:rsidP="00A52883">
      <w:pPr>
        <w:pStyle w:val="Heading3"/>
      </w:pPr>
      <w:r w:rsidRPr="00311A64">
        <w:t>Computing Capture Efficiency of Volume-based, Constant Drawdown BMP from Description of System Configuration</w:t>
      </w:r>
      <w:bookmarkEnd w:id="223"/>
    </w:p>
    <w:p w:rsidR="00001A88" w:rsidRDefault="00001A88" w:rsidP="00001A88">
      <w:pPr>
        <w:pStyle w:val="ReportBodyText"/>
        <w:spacing w:after="240" w:line="280" w:lineRule="exact"/>
      </w:pPr>
      <w:r w:rsidRPr="00311A64">
        <w:t xml:space="preserve">This section describes instructions for computing the capture efficiency for a given volume-based BMP configuration, considering the cumulative effects of upstream controls. This is applicable for BMPs that can be approximated to have a constant drawdown rate throughout the </w:t>
      </w:r>
      <w:r w:rsidR="00CE32B9">
        <w:t xml:space="preserve">wet season </w:t>
      </w:r>
      <w:r>
        <w:t>and is applicable across Orange County</w:t>
      </w:r>
      <w:r w:rsidRPr="00311A64">
        <w:t xml:space="preserve">. </w:t>
      </w:r>
    </w:p>
    <w:p w:rsidR="00001A88" w:rsidRPr="00B53524" w:rsidRDefault="00001A88" w:rsidP="00CE32B9">
      <w:pPr>
        <w:pStyle w:val="CDMBTEXT"/>
      </w:pPr>
      <w:r w:rsidRPr="00311A64">
        <w:t>Stepwise Instructions for Volume-based BMPs (without seasonally-varying use rate):</w:t>
      </w:r>
    </w:p>
    <w:p w:rsidR="00001A88" w:rsidRPr="00B53524" w:rsidRDefault="00001A88" w:rsidP="009531AF">
      <w:pPr>
        <w:pStyle w:val="ReportBodyText"/>
        <w:numPr>
          <w:ilvl w:val="0"/>
          <w:numId w:val="3"/>
        </w:numPr>
        <w:spacing w:after="240" w:line="280" w:lineRule="exact"/>
        <w:contextualSpacing/>
      </w:pPr>
      <w:r w:rsidRPr="00311A64">
        <w:t xml:space="preserve">Determine the storage volume provided in the BMP, and use the equation presented in Section </w:t>
      </w:r>
      <w:r w:rsidR="00126F3D" w:rsidRPr="00126DE5">
        <w:rPr>
          <w:rFonts w:cs="Arial"/>
          <w:b/>
          <w:color w:val="0070C0"/>
          <w:sz w:val="20"/>
          <w:szCs w:val="20"/>
        </w:rPr>
        <w:fldChar w:fldCharType="begin"/>
      </w:r>
      <w:r w:rsidR="00B32C4E" w:rsidRPr="00126DE5">
        <w:rPr>
          <w:rFonts w:cs="Arial"/>
          <w:b/>
          <w:color w:val="0070C0"/>
          <w:sz w:val="20"/>
          <w:szCs w:val="20"/>
        </w:rPr>
        <w:instrText xml:space="preserve"> REF _Ref285114903 \r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rFonts w:cs="Arial"/>
          <w:b/>
          <w:color w:val="0070C0"/>
          <w:sz w:val="20"/>
          <w:szCs w:val="20"/>
        </w:rPr>
        <w:t>III.1.1</w:t>
      </w:r>
      <w:r w:rsidR="00126F3D" w:rsidRPr="00126DE5">
        <w:rPr>
          <w:rFonts w:cs="Arial"/>
          <w:b/>
          <w:color w:val="0070C0"/>
          <w:sz w:val="20"/>
          <w:szCs w:val="20"/>
        </w:rPr>
        <w:fldChar w:fldCharType="end"/>
      </w:r>
      <w:r w:rsidR="00B32C4E">
        <w:rPr>
          <w:b/>
          <w:color w:val="0070C0"/>
        </w:rPr>
        <w:t xml:space="preserve"> </w:t>
      </w:r>
      <w:r w:rsidRPr="00311A64">
        <w:t xml:space="preserve">to back-compute the effective design storm depth provided.  Divide the provided storm depth by the design capture storm depth so that it is expressed as a fraction of the </w:t>
      </w:r>
      <w:r w:rsidR="003C7091">
        <w:t>DCV</w:t>
      </w:r>
      <w:r w:rsidRPr="00311A64">
        <w:t xml:space="preserve">.  For example, if 0.6 inches of storage is provided and the design capture storm depth is 0.9 inches, then the provided volume would be expressed as (0.6/0.9) = 0.67 of the </w:t>
      </w:r>
      <w:r w:rsidR="003C7091">
        <w:t>DCV</w:t>
      </w:r>
      <w:r w:rsidRPr="00311A64">
        <w:t>.</w:t>
      </w:r>
    </w:p>
    <w:p w:rsidR="00001A88" w:rsidRPr="00B53524" w:rsidRDefault="00001A88" w:rsidP="009531AF">
      <w:pPr>
        <w:pStyle w:val="ReportBodyText"/>
        <w:numPr>
          <w:ilvl w:val="0"/>
          <w:numId w:val="3"/>
        </w:numPr>
        <w:spacing w:after="240" w:line="280" w:lineRule="exact"/>
        <w:contextualSpacing/>
      </w:pPr>
      <w:r w:rsidRPr="00311A64">
        <w:t xml:space="preserve">Compute the drawdown time of the provided storage volume per guidance provided for respective BMPs in </w:t>
      </w:r>
      <w:r w:rsidR="00B32C4E">
        <w:t>BMP Fact Sheets (</w:t>
      </w:r>
      <w:r w:rsidR="00B32C4E" w:rsidRPr="00A214BC">
        <w:rPr>
          <w:b/>
          <w:color w:val="00B050"/>
        </w:rPr>
        <w:t>TGD Section 4</w:t>
      </w:r>
      <w:r w:rsidR="00B32C4E">
        <w:t>).</w:t>
      </w:r>
    </w:p>
    <w:p w:rsidR="00001A88" w:rsidRPr="00B53524" w:rsidRDefault="00001A88" w:rsidP="009531AF">
      <w:pPr>
        <w:pStyle w:val="ReportBodyText"/>
        <w:numPr>
          <w:ilvl w:val="0"/>
          <w:numId w:val="3"/>
        </w:numPr>
        <w:spacing w:after="240" w:line="280" w:lineRule="exact"/>
        <w:contextualSpacing/>
      </w:pPr>
      <w:r w:rsidRPr="00311A64">
        <w:t xml:space="preserve">Determine the capture efficiency that has already been provided upstream. This will have already been computed in a previous iteration of this method if upstream BMPs are provided.  Trace a horizontal line corresponding to this capture efficiency on </w:t>
      </w:r>
      <w:fldSimple w:instr=" REF _Ref257795285 \h  \* MERGEFORMAT ">
        <w:r w:rsidR="00126DE5" w:rsidRPr="00126DE5">
          <w:rPr>
            <w:rFonts w:cs="Arial"/>
            <w:b/>
            <w:color w:val="0070C0"/>
            <w:sz w:val="20"/>
            <w:szCs w:val="20"/>
          </w:rPr>
          <w:t>Figure III.2</w:t>
        </w:r>
      </w:fldSimple>
      <w:r w:rsidRPr="00311A64">
        <w:t>.  Locate where this line intersects with the drawdown line (2).  Pivot and read down to the horizontal axis. This is X</w:t>
      </w:r>
      <w:r w:rsidRPr="00311A64">
        <w:rPr>
          <w:vertAlign w:val="subscript"/>
        </w:rPr>
        <w:t>1.</w:t>
      </w:r>
    </w:p>
    <w:p w:rsidR="00001A88" w:rsidRPr="00B53524" w:rsidRDefault="00001A88" w:rsidP="009531AF">
      <w:pPr>
        <w:pStyle w:val="ReportBodyText"/>
        <w:numPr>
          <w:ilvl w:val="0"/>
          <w:numId w:val="3"/>
        </w:numPr>
        <w:spacing w:after="240" w:line="280" w:lineRule="exact"/>
        <w:contextualSpacing/>
      </w:pPr>
      <w:r w:rsidRPr="00311A64">
        <w:t>Add the result of (1) to the result of (3).  This is X</w:t>
      </w:r>
      <w:r w:rsidRPr="00311A64">
        <w:rPr>
          <w:vertAlign w:val="subscript"/>
        </w:rPr>
        <w:t>2</w:t>
      </w:r>
      <w:r w:rsidRPr="00311A64">
        <w:t xml:space="preserve">.  </w:t>
      </w:r>
    </w:p>
    <w:p w:rsidR="00001A88" w:rsidRPr="00B53524" w:rsidRDefault="00001A88" w:rsidP="009531AF">
      <w:pPr>
        <w:pStyle w:val="ReportBodyText"/>
        <w:numPr>
          <w:ilvl w:val="0"/>
          <w:numId w:val="3"/>
        </w:numPr>
        <w:spacing w:after="240" w:line="280" w:lineRule="exact"/>
        <w:contextualSpacing/>
      </w:pPr>
      <w:r w:rsidRPr="00311A64">
        <w:t>Draw a vertical line at X</w:t>
      </w:r>
      <w:r w:rsidRPr="00311A64">
        <w:rPr>
          <w:vertAlign w:val="subscript"/>
        </w:rPr>
        <w:t>2</w:t>
      </w:r>
      <w:r w:rsidRPr="00311A64">
        <w:t xml:space="preserve"> to intersect with the drawdown line.</w:t>
      </w:r>
    </w:p>
    <w:p w:rsidR="00001A88" w:rsidRPr="00B53524" w:rsidRDefault="00001A88" w:rsidP="009531AF">
      <w:pPr>
        <w:pStyle w:val="ReportBodyText"/>
        <w:numPr>
          <w:ilvl w:val="0"/>
          <w:numId w:val="3"/>
        </w:numPr>
        <w:spacing w:after="240" w:line="280" w:lineRule="exact"/>
        <w:contextualSpacing/>
      </w:pPr>
      <w:r w:rsidRPr="00311A64">
        <w:t xml:space="preserve">Pivot and read to the vertical axis.  This is the cumulative capture efficiency achieved by the BMP plus the upstream BMPs. </w:t>
      </w:r>
    </w:p>
    <w:p w:rsidR="00001A88" w:rsidRPr="007A343A" w:rsidRDefault="00001A88" w:rsidP="0027571A">
      <w:pPr>
        <w:pStyle w:val="ExampleHeading"/>
      </w:pPr>
      <w:bookmarkStart w:id="224" w:name="_Ref261769862"/>
      <w:bookmarkStart w:id="225" w:name="_Toc262408838"/>
      <w:bookmarkStart w:id="226" w:name="_Toc288541058"/>
      <w:bookmarkStart w:id="227" w:name="_Toc288554447"/>
      <w:proofErr w:type="gramStart"/>
      <w:r w:rsidRPr="007A343A">
        <w:t xml:space="preserve">Example </w:t>
      </w:r>
      <w:r w:rsidR="00126F3D" w:rsidRPr="00126DE5">
        <w:rPr>
          <w:color w:val="0070C0"/>
        </w:rPr>
        <w:fldChar w:fldCharType="begin"/>
      </w:r>
      <w:r w:rsidR="003F38A8" w:rsidRPr="00126DE5">
        <w:rPr>
          <w:color w:val="0070C0"/>
        </w:rPr>
        <w:instrText xml:space="preserve"> STYLEREF 1 \s </w:instrText>
      </w:r>
      <w:r w:rsidR="00126F3D" w:rsidRPr="00126DE5">
        <w:rPr>
          <w:color w:val="0070C0"/>
        </w:rPr>
        <w:fldChar w:fldCharType="separate"/>
      </w:r>
      <w:r w:rsidR="00126DE5" w:rsidRPr="00126DE5">
        <w:rPr>
          <w:noProof/>
          <w:color w:val="0070C0"/>
        </w:rPr>
        <w:t>III</w:t>
      </w:r>
      <w:r w:rsidR="00126F3D" w:rsidRPr="00126DE5">
        <w:rPr>
          <w:color w:val="0070C0"/>
        </w:rPr>
        <w:fldChar w:fldCharType="end"/>
      </w:r>
      <w:r w:rsidR="002E1936" w:rsidRPr="007A343A">
        <w:t>.</w:t>
      </w:r>
      <w:proofErr w:type="gramEnd"/>
      <w:r w:rsidR="00126F3D" w:rsidRPr="00126DE5">
        <w:rPr>
          <w:color w:val="0070C0"/>
        </w:rPr>
        <w:fldChar w:fldCharType="begin"/>
      </w:r>
      <w:r w:rsidR="002E1936" w:rsidRPr="00126DE5">
        <w:rPr>
          <w:color w:val="0070C0"/>
        </w:rPr>
        <w:instrText xml:space="preserve"> SEQ Example \* ARABIC \s 1 </w:instrText>
      </w:r>
      <w:r w:rsidR="00126F3D" w:rsidRPr="00126DE5">
        <w:rPr>
          <w:color w:val="0070C0"/>
        </w:rPr>
        <w:fldChar w:fldCharType="separate"/>
      </w:r>
      <w:r w:rsidR="00126DE5" w:rsidRPr="00126DE5">
        <w:rPr>
          <w:noProof/>
          <w:color w:val="0070C0"/>
        </w:rPr>
        <w:t>8</w:t>
      </w:r>
      <w:r w:rsidR="00126F3D" w:rsidRPr="00126DE5">
        <w:rPr>
          <w:color w:val="0070C0"/>
        </w:rPr>
        <w:fldChar w:fldCharType="end"/>
      </w:r>
      <w:bookmarkEnd w:id="224"/>
      <w:r w:rsidRPr="007A343A">
        <w:t>: Determining the Capture Efficiency of a Volume-based, Constant Drawdown BMP Based on Description of System</w:t>
      </w:r>
      <w:bookmarkEnd w:id="225"/>
      <w:bookmarkEnd w:id="226"/>
      <w:bookmarkEnd w:id="227"/>
    </w:p>
    <w:p w:rsidR="00001A88" w:rsidRPr="00B53524" w:rsidRDefault="00001A88" w:rsidP="00EA1EA6">
      <w:pPr>
        <w:pStyle w:val="ExampleSubheading"/>
        <w:outlineLvl w:val="0"/>
      </w:pPr>
      <w:bookmarkStart w:id="228" w:name="_Toc285308127"/>
      <w:r w:rsidRPr="00311A64">
        <w:t>Given:</w:t>
      </w:r>
      <w:bookmarkEnd w:id="228"/>
    </w:p>
    <w:p w:rsidR="00001A88" w:rsidRPr="00B53524" w:rsidRDefault="00001A88" w:rsidP="00001A88">
      <w:pPr>
        <w:pStyle w:val="ExampleBullets"/>
      </w:pPr>
      <w:r w:rsidRPr="00311A64">
        <w:t>High Density Project in Rainfall Zone 4:  85th percentile, 24-hr storm depth = 0.95 inches</w:t>
      </w:r>
    </w:p>
    <w:p w:rsidR="00001A88" w:rsidRPr="00B53524" w:rsidRDefault="00001A88" w:rsidP="00001A88">
      <w:pPr>
        <w:pStyle w:val="ExampleBullets"/>
      </w:pPr>
      <w:r w:rsidRPr="00311A64">
        <w:t>Drainage Area = 3.5 acres</w:t>
      </w:r>
    </w:p>
    <w:p w:rsidR="00001A88" w:rsidRPr="00B53524" w:rsidRDefault="00001A88" w:rsidP="00001A88">
      <w:pPr>
        <w:pStyle w:val="ExampleBullets"/>
      </w:pPr>
      <w:r w:rsidRPr="00311A64">
        <w:t>Imperviousness = 95%</w:t>
      </w:r>
    </w:p>
    <w:p w:rsidR="00001A88" w:rsidRPr="00B53524" w:rsidRDefault="003C7091" w:rsidP="00001A88">
      <w:pPr>
        <w:pStyle w:val="ExampleBullets"/>
      </w:pPr>
      <w:r>
        <w:t>HSC</w:t>
      </w:r>
      <w:r w:rsidR="00001A88" w:rsidRPr="00311A64">
        <w:t>s: 0.2 inches total = 31 percent capture</w:t>
      </w:r>
    </w:p>
    <w:p w:rsidR="00001A88" w:rsidRPr="00B53524" w:rsidRDefault="00001A88" w:rsidP="00001A88">
      <w:pPr>
        <w:pStyle w:val="ExampleBullets"/>
      </w:pPr>
      <w:r w:rsidRPr="00311A64">
        <w:t>BMP Storage Volume Provided = 5,400 cu-ft with 72 hour drawdown</w:t>
      </w:r>
    </w:p>
    <w:p w:rsidR="00001A88" w:rsidRPr="00B53524" w:rsidRDefault="00001A88" w:rsidP="00EA1EA6">
      <w:pPr>
        <w:pStyle w:val="ExampleSubheading"/>
        <w:outlineLvl w:val="0"/>
      </w:pPr>
      <w:bookmarkStart w:id="229" w:name="_Toc285308128"/>
      <w:r w:rsidRPr="00311A64">
        <w:t>Required:</w:t>
      </w:r>
      <w:bookmarkEnd w:id="229"/>
    </w:p>
    <w:p w:rsidR="00001A88" w:rsidRPr="00B53524" w:rsidRDefault="00001A88" w:rsidP="00001A88">
      <w:pPr>
        <w:pStyle w:val="ExampleBullets"/>
      </w:pPr>
      <w:r w:rsidRPr="00311A64">
        <w:t>Compute cumulative capture efficiency of the system described above</w:t>
      </w:r>
    </w:p>
    <w:p w:rsidR="00001A88" w:rsidRPr="00B53524" w:rsidRDefault="00001A88" w:rsidP="00EA1EA6">
      <w:pPr>
        <w:pStyle w:val="ExampleSubheading"/>
        <w:outlineLvl w:val="0"/>
      </w:pPr>
      <w:bookmarkStart w:id="230" w:name="_Toc285308129"/>
      <w:r w:rsidRPr="00311A64">
        <w:t>Solution:</w:t>
      </w:r>
      <w:bookmarkEnd w:id="230"/>
    </w:p>
    <w:p w:rsidR="00001A88" w:rsidRPr="00B53524" w:rsidRDefault="00001A88" w:rsidP="009531AF">
      <w:pPr>
        <w:pStyle w:val="ExampleNumbers"/>
        <w:numPr>
          <w:ilvl w:val="0"/>
          <w:numId w:val="58"/>
        </w:numPr>
        <w:ind w:left="720"/>
      </w:pPr>
      <w:r w:rsidRPr="00311A64">
        <w:t xml:space="preserve">Storage Volume </w:t>
      </w:r>
      <w:proofErr w:type="gramStart"/>
      <w:r w:rsidRPr="00311A64">
        <w:t>Provided</w:t>
      </w:r>
      <w:proofErr w:type="gramEnd"/>
      <w:r w:rsidRPr="00311A64">
        <w:t xml:space="preserve"> = 5,400 cu-ft (given).  </w:t>
      </w:r>
      <w:r w:rsidRPr="00311A64">
        <w:br/>
      </w:r>
      <w:r w:rsidRPr="00B53524">
        <w:sym w:font="Wingdings" w:char="F0E0"/>
      </w:r>
      <w:r w:rsidRPr="00311A64">
        <w:t>Effective design storm depth, d  = 5,400 cu-ft × 12 in/ft/[(0.95*0.75+0.15) × 3.5 ac × 43560 sf/ac] = 0.49 inches  (</w:t>
      </w:r>
      <w:r w:rsidR="000B5480">
        <w:t xml:space="preserve">See </w:t>
      </w:r>
      <w:r w:rsidR="00524D76" w:rsidRPr="00524D76">
        <w:rPr>
          <w:b/>
        </w:rPr>
        <w:t>Appendix</w:t>
      </w:r>
      <w:r w:rsidR="000B5480">
        <w:t xml:space="preserve"> </w:t>
      </w:r>
      <w:r w:rsidR="00126F3D" w:rsidRPr="00126DE5">
        <w:rPr>
          <w:rFonts w:ascii="Book Antiqua" w:hAnsi="Book Antiqua"/>
          <w:b/>
          <w:color w:val="0070C0"/>
        </w:rPr>
        <w:fldChar w:fldCharType="begin"/>
      </w:r>
      <w:r w:rsidR="000B5480" w:rsidRPr="00126DE5">
        <w:rPr>
          <w:rFonts w:ascii="Book Antiqua" w:hAnsi="Book Antiqua"/>
          <w:b/>
          <w:color w:val="0070C0"/>
        </w:rPr>
        <w:instrText xml:space="preserve"> REF _Ref285114903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III.1.1</w:t>
      </w:r>
      <w:r w:rsidR="00126F3D" w:rsidRPr="00126DE5">
        <w:rPr>
          <w:rFonts w:ascii="Book Antiqua" w:hAnsi="Book Antiqua"/>
          <w:b/>
          <w:color w:val="0070C0"/>
        </w:rPr>
        <w:fldChar w:fldCharType="end"/>
      </w:r>
      <w:r w:rsidRPr="00311A64">
        <w:t>)</w:t>
      </w:r>
      <w:r w:rsidRPr="00311A64">
        <w:br/>
      </w:r>
      <w:r w:rsidRPr="00B53524">
        <w:sym w:font="Wingdings" w:char="F0E0"/>
      </w:r>
      <w:r w:rsidRPr="00311A64">
        <w:t xml:space="preserve">Fraction of </w:t>
      </w:r>
      <w:r w:rsidR="003C7091">
        <w:t>DCV</w:t>
      </w:r>
      <w:r w:rsidRPr="00311A64">
        <w:t xml:space="preserve"> = 0.49 inches/0.95 inches = 0.52</w:t>
      </w:r>
    </w:p>
    <w:p w:rsidR="00001A88" w:rsidRPr="00B53524" w:rsidRDefault="00001A88" w:rsidP="00853C9A">
      <w:pPr>
        <w:pStyle w:val="ExampleNumbers"/>
        <w:numPr>
          <w:ilvl w:val="0"/>
          <w:numId w:val="53"/>
        </w:numPr>
        <w:ind w:left="720"/>
      </w:pPr>
      <w:r w:rsidRPr="00311A64">
        <w:t>72-hr constant drawdown (given)</w:t>
      </w:r>
    </w:p>
    <w:p w:rsidR="00001A88" w:rsidRPr="00B53524" w:rsidRDefault="00001A88" w:rsidP="00853C9A">
      <w:pPr>
        <w:pStyle w:val="ExampleNumbers"/>
        <w:numPr>
          <w:ilvl w:val="0"/>
          <w:numId w:val="53"/>
        </w:numPr>
        <w:ind w:left="720"/>
      </w:pPr>
      <w:r w:rsidRPr="00311A64">
        <w:t>31 percent (0.2” of HSCs</w:t>
      </w:r>
      <w:r w:rsidR="000B5480">
        <w:t xml:space="preserve"> from</w:t>
      </w:r>
      <w:r w:rsidR="000B5480" w:rsidRPr="000709C2">
        <w:rPr>
          <w:b/>
          <w:color w:val="0070C0"/>
        </w:rPr>
        <w:t xml:space="preserve"> </w:t>
      </w:r>
      <w:fldSimple w:instr=" REF _Ref285399288 \h  \* MERGEFORMAT ">
        <w:r w:rsidR="00126DE5" w:rsidRPr="00126DE5">
          <w:rPr>
            <w:rFonts w:ascii="Book Antiqua" w:hAnsi="Book Antiqua"/>
            <w:b/>
            <w:color w:val="0070C0"/>
          </w:rPr>
          <w:t xml:space="preserve">Table </w:t>
        </w:r>
        <w:r w:rsidR="00126DE5" w:rsidRPr="00126DE5">
          <w:rPr>
            <w:rFonts w:ascii="Book Antiqua" w:hAnsi="Book Antiqua"/>
            <w:b/>
            <w:noProof/>
            <w:color w:val="0070C0"/>
          </w:rPr>
          <w:t>III</w:t>
        </w:r>
        <w:r w:rsidR="00126DE5" w:rsidRPr="00126DE5">
          <w:rPr>
            <w:rFonts w:ascii="Book Antiqua" w:hAnsi="Book Antiqua"/>
            <w:b/>
            <w:color w:val="0070C0"/>
          </w:rPr>
          <w:t>.1</w:t>
        </w:r>
      </w:fldSimple>
      <w:r w:rsidRPr="00311A64">
        <w:t xml:space="preserve">). From </w:t>
      </w:r>
      <w:fldSimple w:instr=" REF _Ref261615966 \h  \* MERGEFORMAT ">
        <w:r w:rsidR="00126DE5" w:rsidRPr="00126DE5">
          <w:rPr>
            <w:rFonts w:ascii="Book Antiqua" w:hAnsi="Book Antiqua"/>
            <w:b/>
            <w:color w:val="0070C0"/>
          </w:rPr>
          <w:t xml:space="preserve">Figure </w:t>
        </w:r>
        <w:r w:rsidR="00126DE5" w:rsidRPr="00126DE5">
          <w:rPr>
            <w:rFonts w:ascii="Book Antiqua" w:hAnsi="Book Antiqua"/>
            <w:b/>
            <w:noProof/>
            <w:color w:val="0070C0"/>
          </w:rPr>
          <w:t>III</w:t>
        </w:r>
        <w:r w:rsidR="00126DE5" w:rsidRPr="00126DE5">
          <w:rPr>
            <w:rFonts w:ascii="Book Antiqua" w:hAnsi="Book Antiqua"/>
            <w:b/>
            <w:color w:val="0070C0"/>
          </w:rPr>
          <w:t>.7</w:t>
        </w:r>
      </w:fldSimple>
      <w:r w:rsidRPr="00311A64">
        <w:t>:  X</w:t>
      </w:r>
      <w:r w:rsidRPr="00311A64">
        <w:rPr>
          <w:vertAlign w:val="subscript"/>
        </w:rPr>
        <w:t>1</w:t>
      </w:r>
      <w:r w:rsidRPr="00311A64">
        <w:t xml:space="preserve"> = 0.22</w:t>
      </w:r>
    </w:p>
    <w:p w:rsidR="00001A88" w:rsidRPr="00B53524" w:rsidRDefault="00001A88" w:rsidP="00853C9A">
      <w:pPr>
        <w:pStyle w:val="ExampleNumbers"/>
        <w:numPr>
          <w:ilvl w:val="0"/>
          <w:numId w:val="53"/>
        </w:numPr>
        <w:ind w:left="720"/>
      </w:pPr>
      <w:r w:rsidRPr="00311A64">
        <w:t>X</w:t>
      </w:r>
      <w:r w:rsidRPr="00311A64">
        <w:rPr>
          <w:vertAlign w:val="subscript"/>
        </w:rPr>
        <w:t>2</w:t>
      </w:r>
      <w:r w:rsidRPr="00311A64">
        <w:t xml:space="preserve"> = 0.22 + 0.52 = 0.74</w:t>
      </w:r>
    </w:p>
    <w:p w:rsidR="00001A88" w:rsidRPr="00B53524" w:rsidRDefault="00001A88" w:rsidP="00853C9A">
      <w:pPr>
        <w:pStyle w:val="ExampleNumbers"/>
        <w:numPr>
          <w:ilvl w:val="0"/>
          <w:numId w:val="53"/>
        </w:numPr>
        <w:ind w:left="720"/>
      </w:pPr>
      <w:r w:rsidRPr="00311A64">
        <w:t>X</w:t>
      </w:r>
      <w:r w:rsidRPr="00311A64">
        <w:rPr>
          <w:vertAlign w:val="subscript"/>
        </w:rPr>
        <w:t>2</w:t>
      </w:r>
      <w:r w:rsidRPr="00311A64">
        <w:t xml:space="preserve"> = 0.74 (draw line up to 72 hour drawdown line)</w:t>
      </w:r>
    </w:p>
    <w:p w:rsidR="00001A88" w:rsidRPr="00B53524" w:rsidRDefault="00001A88" w:rsidP="00853C9A">
      <w:pPr>
        <w:pStyle w:val="ExampleNumbers"/>
        <w:numPr>
          <w:ilvl w:val="0"/>
          <w:numId w:val="53"/>
        </w:numPr>
        <w:ind w:left="720"/>
      </w:pPr>
      <w:r w:rsidRPr="00311A64">
        <w:t xml:space="preserve">From </w:t>
      </w:r>
      <w:fldSimple w:instr=" REF _Ref261615966 \h  \* MERGEFORMAT ">
        <w:r w:rsidR="00126DE5" w:rsidRPr="00126DE5">
          <w:rPr>
            <w:rFonts w:ascii="Book Antiqua" w:hAnsi="Book Antiqua"/>
            <w:b/>
            <w:color w:val="0070C0"/>
          </w:rPr>
          <w:t xml:space="preserve">Figure </w:t>
        </w:r>
        <w:r w:rsidR="00126DE5" w:rsidRPr="00126DE5">
          <w:rPr>
            <w:rFonts w:ascii="Book Antiqua" w:hAnsi="Book Antiqua"/>
            <w:b/>
            <w:noProof/>
            <w:color w:val="0070C0"/>
          </w:rPr>
          <w:t>III</w:t>
        </w:r>
        <w:r w:rsidR="00126DE5" w:rsidRPr="00126DE5">
          <w:rPr>
            <w:rFonts w:ascii="Book Antiqua" w:hAnsi="Book Antiqua"/>
            <w:b/>
            <w:color w:val="0070C0"/>
          </w:rPr>
          <w:t>.7</w:t>
        </w:r>
      </w:fldSimple>
      <w:r w:rsidRPr="00311A64">
        <w:t>, the cumulative capture efficiency achieved by the combination of HSCs and the volumetric BMP is 65%.</w:t>
      </w:r>
    </w:p>
    <w:p w:rsidR="00001A88" w:rsidRPr="00B53524" w:rsidRDefault="00001A88" w:rsidP="00EA1EA6">
      <w:pPr>
        <w:pStyle w:val="ExampleSubheading"/>
        <w:outlineLvl w:val="0"/>
      </w:pPr>
      <w:bookmarkStart w:id="231" w:name="_Toc285308130"/>
      <w:r w:rsidRPr="00311A64">
        <w:t>Graphical operations supporting solution:</w:t>
      </w:r>
      <w:bookmarkEnd w:id="231"/>
    </w:p>
    <w:p w:rsidR="00001A88" w:rsidRPr="000709C2" w:rsidRDefault="00001A88" w:rsidP="00001A88">
      <w:pPr>
        <w:pStyle w:val="ExampleText"/>
        <w:jc w:val="center"/>
      </w:pPr>
      <w:bookmarkStart w:id="232" w:name="_Ref261615966"/>
      <w:bookmarkStart w:id="233" w:name="_Toc262408826"/>
      <w:bookmarkStart w:id="234" w:name="_Toc288555031"/>
      <w:r w:rsidRPr="000709C2">
        <w:t xml:space="preserve">Figure </w:t>
      </w:r>
      <w:fldSimple w:instr=" STYLEREF 1 \s ">
        <w:r w:rsidR="00524D76">
          <w:rPr>
            <w:noProof/>
          </w:rPr>
          <w:t>III</w:t>
        </w:r>
      </w:fldSimple>
      <w:r w:rsidR="00524D76">
        <w:t>.</w:t>
      </w:r>
      <w:fldSimple w:instr=" SEQ Figure \* ARABIC \s 1 ">
        <w:r w:rsidR="00524D76">
          <w:rPr>
            <w:noProof/>
          </w:rPr>
          <w:t>7</w:t>
        </w:r>
      </w:fldSimple>
      <w:bookmarkEnd w:id="232"/>
      <w:r w:rsidRPr="000709C2">
        <w:br/>
        <w:t xml:space="preserve">Graphical Operations Supporting </w:t>
      </w:r>
      <w:fldSimple w:instr=" REF _Ref261769862 \h  \* MERGEFORMAT ">
        <w:r w:rsidR="00126DE5" w:rsidRPr="00126DE5">
          <w:rPr>
            <w:rFonts w:ascii="Book Antiqua" w:hAnsi="Book Antiqua"/>
            <w:i w:val="0"/>
            <w:color w:val="0070C0"/>
          </w:rPr>
          <w:t xml:space="preserve">Example </w:t>
        </w:r>
        <w:r w:rsidR="00126DE5" w:rsidRPr="00126DE5">
          <w:rPr>
            <w:rFonts w:ascii="Book Antiqua" w:hAnsi="Book Antiqua"/>
            <w:i w:val="0"/>
            <w:noProof/>
            <w:color w:val="0070C0"/>
          </w:rPr>
          <w:t>III</w:t>
        </w:r>
        <w:r w:rsidR="00126DE5" w:rsidRPr="00126DE5">
          <w:rPr>
            <w:rFonts w:ascii="Book Antiqua" w:hAnsi="Book Antiqua"/>
            <w:i w:val="0"/>
            <w:color w:val="0070C0"/>
          </w:rPr>
          <w:t>.8</w:t>
        </w:r>
        <w:bookmarkEnd w:id="233"/>
        <w:bookmarkEnd w:id="234"/>
      </w:fldSimple>
    </w:p>
    <w:p w:rsidR="00001A88" w:rsidRPr="000709C2" w:rsidRDefault="004673AC" w:rsidP="00001A88">
      <w:pPr>
        <w:pStyle w:val="ExampleText"/>
        <w:jc w:val="center"/>
      </w:pPr>
      <w:r w:rsidRPr="000709C2">
        <w:rPr>
          <w:noProof/>
        </w:rPr>
        <w:drawing>
          <wp:inline distT="0" distB="0" distL="0" distR="0">
            <wp:extent cx="5289851" cy="3831771"/>
            <wp:effectExtent l="19050" t="0" r="6049" b="0"/>
            <wp:docPr id="102"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0" cstate="email"/>
                    <a:srcRect/>
                    <a:stretch>
                      <a:fillRect/>
                    </a:stretch>
                  </pic:blipFill>
                  <pic:spPr bwMode="auto">
                    <a:xfrm>
                      <a:off x="0" y="0"/>
                      <a:ext cx="5301878" cy="3840483"/>
                    </a:xfrm>
                    <a:prstGeom prst="rect">
                      <a:avLst/>
                    </a:prstGeom>
                    <a:noFill/>
                  </pic:spPr>
                </pic:pic>
              </a:graphicData>
            </a:graphic>
          </wp:inline>
        </w:drawing>
      </w:r>
    </w:p>
    <w:p w:rsidR="00001A88" w:rsidRPr="000709C2" w:rsidRDefault="00001A88" w:rsidP="00001A88">
      <w:pPr>
        <w:pStyle w:val="ExampleText"/>
        <w:jc w:val="center"/>
      </w:pPr>
    </w:p>
    <w:p w:rsidR="00001A88" w:rsidRDefault="00001A88" w:rsidP="00001A88">
      <w:pPr>
        <w:pStyle w:val="ReportBodyText"/>
        <w:spacing w:after="240" w:line="280" w:lineRule="exact"/>
      </w:pPr>
    </w:p>
    <w:p w:rsidR="001A75FD" w:rsidRDefault="001A75FD">
      <w:pPr>
        <w:spacing w:after="200"/>
        <w:rPr>
          <w:rFonts w:eastAsia="Times New Roman" w:cs="Times New Roman"/>
        </w:rPr>
      </w:pPr>
      <w:r>
        <w:br w:type="page"/>
      </w:r>
    </w:p>
    <w:tbl>
      <w:tblPr>
        <w:tblW w:w="49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3"/>
        <w:gridCol w:w="5764"/>
        <w:gridCol w:w="1128"/>
        <w:gridCol w:w="1128"/>
        <w:gridCol w:w="1128"/>
        <w:gridCol w:w="11"/>
      </w:tblGrid>
      <w:tr w:rsidR="0081261C" w:rsidRPr="004E0B13" w:rsidTr="0027571A">
        <w:trPr>
          <w:gridAfter w:val="1"/>
          <w:wAfter w:w="6" w:type="pct"/>
          <w:trHeight w:val="300"/>
          <w:tblHeader/>
        </w:trPr>
        <w:tc>
          <w:tcPr>
            <w:tcW w:w="4994" w:type="pct"/>
            <w:gridSpan w:val="5"/>
            <w:tcBorders>
              <w:top w:val="nil"/>
              <w:left w:val="nil"/>
              <w:bottom w:val="nil"/>
              <w:right w:val="nil"/>
            </w:tcBorders>
            <w:shd w:val="clear" w:color="auto" w:fill="auto"/>
            <w:noWrap/>
            <w:tcMar>
              <w:top w:w="36" w:type="dxa"/>
              <w:bottom w:w="36" w:type="dxa"/>
            </w:tcMar>
            <w:vAlign w:val="center"/>
            <w:hideMark/>
          </w:tcPr>
          <w:p w:rsidR="0081261C" w:rsidRPr="00524D76" w:rsidRDefault="0081261C" w:rsidP="00647B99">
            <w:pPr>
              <w:pStyle w:val="Caption"/>
              <w:rPr>
                <w:i/>
              </w:rPr>
            </w:pPr>
            <w:bookmarkStart w:id="235" w:name="_Ref285574554"/>
            <w:bookmarkStart w:id="236" w:name="_Toc288554460"/>
            <w:r w:rsidRPr="00524D76">
              <w:t xml:space="preserve">Worksheet </w:t>
            </w:r>
            <w:fldSimple w:instr=" SEQ Worksheet \* ALPHABETIC ">
              <w:r w:rsidR="00126DE5" w:rsidRPr="00524D76">
                <w:rPr>
                  <w:noProof/>
                </w:rPr>
                <w:t>E</w:t>
              </w:r>
            </w:fldSimple>
            <w:r w:rsidRPr="00524D76">
              <w:t>: Determining Capture Efficiency of Volume Based, Constant Drawdown BMP based on Design Volume</w:t>
            </w:r>
            <w:bookmarkEnd w:id="235"/>
            <w:bookmarkEnd w:id="236"/>
          </w:p>
        </w:tc>
      </w:tr>
      <w:tr w:rsidR="001A75FD" w:rsidRPr="004E0B13" w:rsidTr="00B75BA5">
        <w:trPr>
          <w:trHeight w:val="330"/>
        </w:trPr>
        <w:tc>
          <w:tcPr>
            <w:tcW w:w="5000" w:type="pct"/>
            <w:gridSpan w:val="6"/>
            <w:shd w:val="clear" w:color="auto" w:fill="D9D9D9"/>
            <w:noWrap/>
            <w:tcMar>
              <w:top w:w="36" w:type="dxa"/>
              <w:bottom w:w="36" w:type="dxa"/>
            </w:tcMar>
            <w:vAlign w:val="center"/>
            <w:hideMark/>
          </w:tcPr>
          <w:p w:rsidR="001A75FD" w:rsidRPr="004E0B13" w:rsidRDefault="001A75FD" w:rsidP="004E0B13">
            <w:pPr>
              <w:pStyle w:val="ExampleSubheading"/>
              <w:pBdr>
                <w:top w:val="none" w:sz="0" w:space="0" w:color="auto"/>
                <w:left w:val="none" w:sz="0" w:space="0" w:color="auto"/>
                <w:bottom w:val="none" w:sz="0" w:space="0" w:color="auto"/>
                <w:right w:val="none" w:sz="0" w:space="0" w:color="auto"/>
              </w:pBdr>
              <w:spacing w:before="0" w:after="0" w:line="264" w:lineRule="auto"/>
              <w:ind w:left="0"/>
              <w:outlineLvl w:val="0"/>
              <w:rPr>
                <w:color w:val="000000"/>
              </w:rPr>
            </w:pPr>
            <w:r w:rsidRPr="004E0B13">
              <w:t>Step 1: Determine the design capture storm depth used for calculating volume</w:t>
            </w:r>
          </w:p>
        </w:tc>
      </w:tr>
      <w:tr w:rsidR="001A75FD" w:rsidRPr="004E0B13" w:rsidTr="00B75BA5">
        <w:trPr>
          <w:gridAfter w:val="1"/>
          <w:wAfter w:w="6" w:type="pct"/>
          <w:trHeight w:val="330"/>
        </w:trPr>
        <w:tc>
          <w:tcPr>
            <w:tcW w:w="170" w:type="pct"/>
            <w:shd w:val="clear" w:color="auto" w:fill="auto"/>
            <w:noWrap/>
            <w:tcMar>
              <w:top w:w="36" w:type="dxa"/>
              <w:bottom w:w="36" w:type="dxa"/>
            </w:tcMar>
            <w:vAlign w:val="center"/>
            <w:hideMark/>
          </w:tcPr>
          <w:p w:rsidR="001A75FD" w:rsidRPr="004E0B13" w:rsidRDefault="001A75FD" w:rsidP="004E0B13">
            <w:pPr>
              <w:spacing w:after="0" w:line="264" w:lineRule="auto"/>
              <w:jc w:val="center"/>
              <w:rPr>
                <w:rFonts w:ascii="Arial" w:eastAsia="Times New Roman" w:hAnsi="Arial" w:cs="Arial"/>
                <w:color w:val="000000"/>
              </w:rPr>
            </w:pPr>
            <w:r w:rsidRPr="004E0B13">
              <w:rPr>
                <w:rFonts w:ascii="Arial" w:eastAsia="Times New Roman" w:hAnsi="Arial" w:cs="Arial"/>
                <w:color w:val="000000"/>
              </w:rPr>
              <w:t>1</w:t>
            </w:r>
          </w:p>
        </w:tc>
        <w:tc>
          <w:tcPr>
            <w:tcW w:w="3039" w:type="pct"/>
            <w:shd w:val="clear" w:color="auto" w:fill="auto"/>
            <w:tcMar>
              <w:top w:w="36" w:type="dxa"/>
              <w:bottom w:w="36" w:type="dxa"/>
            </w:tcMar>
            <w:vAlign w:val="center"/>
            <w:hideMark/>
          </w:tcPr>
          <w:p w:rsidR="001A75FD" w:rsidRPr="004E0B13" w:rsidRDefault="001A75FD"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Enter design capture storm depth from</w:t>
            </w:r>
            <w:r w:rsidR="0081261C" w:rsidRPr="004E0B13">
              <w:rPr>
                <w:rFonts w:ascii="Arial" w:eastAsia="Times New Roman" w:hAnsi="Arial" w:cs="Arial"/>
                <w:sz w:val="20"/>
                <w:szCs w:val="20"/>
              </w:rPr>
              <w:t xml:space="preserve"> </w:t>
            </w:r>
            <w:fldSimple w:instr=" REF _Ref285354586 \h  \* MERGEFORMAT ">
              <w:r w:rsidR="00126DE5" w:rsidRPr="00126DE5">
                <w:rPr>
                  <w:rFonts w:cs="Arial"/>
                  <w:b/>
                  <w:color w:val="0070C0"/>
                  <w:sz w:val="20"/>
                  <w:szCs w:val="20"/>
                </w:rPr>
                <w:t>Figure III.1</w:t>
              </w:r>
            </w:fldSimple>
            <w:r w:rsidRPr="004E0B13">
              <w:rPr>
                <w:rFonts w:ascii="Arial" w:eastAsia="Times New Roman" w:hAnsi="Arial" w:cs="Arial"/>
                <w:sz w:val="20"/>
                <w:szCs w:val="20"/>
              </w:rPr>
              <w:t xml:space="preserve">, </w:t>
            </w:r>
            <w:r w:rsidRPr="004E0B13">
              <w:rPr>
                <w:rFonts w:ascii="Arial" w:eastAsia="Times New Roman" w:hAnsi="Arial" w:cs="Arial"/>
                <w:i/>
                <w:sz w:val="20"/>
                <w:szCs w:val="20"/>
              </w:rPr>
              <w:t xml:space="preserve">d </w:t>
            </w:r>
            <w:r w:rsidRPr="004E0B13">
              <w:rPr>
                <w:rFonts w:ascii="Arial" w:eastAsia="Times New Roman" w:hAnsi="Arial" w:cs="Arial"/>
                <w:sz w:val="20"/>
                <w:szCs w:val="20"/>
              </w:rPr>
              <w:t>(inches)</w:t>
            </w:r>
          </w:p>
        </w:tc>
        <w:tc>
          <w:tcPr>
            <w:tcW w:w="595" w:type="pct"/>
            <w:tcMar>
              <w:top w:w="36" w:type="dxa"/>
              <w:bottom w:w="36" w:type="dxa"/>
            </w:tcMar>
            <w:vAlign w:val="center"/>
          </w:tcPr>
          <w:p w:rsidR="001A75FD" w:rsidRPr="004E0B13" w:rsidRDefault="001A75FD" w:rsidP="004E0B13">
            <w:pPr>
              <w:spacing w:after="0" w:line="264" w:lineRule="auto"/>
              <w:jc w:val="right"/>
              <w:rPr>
                <w:rFonts w:ascii="Arial" w:eastAsia="Times New Roman" w:hAnsi="Arial" w:cs="Arial"/>
                <w:sz w:val="20"/>
                <w:szCs w:val="20"/>
              </w:rPr>
            </w:pPr>
            <w:r w:rsidRPr="004E0B13">
              <w:rPr>
                <w:rFonts w:ascii="Arial" w:eastAsia="Times New Roman" w:hAnsi="Arial" w:cs="Arial"/>
                <w:sz w:val="20"/>
                <w:szCs w:val="20"/>
              </w:rPr>
              <w:t>d=</w:t>
            </w:r>
          </w:p>
        </w:tc>
        <w:tc>
          <w:tcPr>
            <w:tcW w:w="595" w:type="pct"/>
            <w:tcMar>
              <w:top w:w="36" w:type="dxa"/>
              <w:bottom w:w="36" w:type="dxa"/>
            </w:tcMar>
            <w:vAlign w:val="center"/>
          </w:tcPr>
          <w:p w:rsidR="001A75FD" w:rsidRPr="004E0B13" w:rsidRDefault="001A75FD"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1A75FD" w:rsidRPr="004E0B13" w:rsidRDefault="001A75FD"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inches</w:t>
            </w:r>
          </w:p>
        </w:tc>
      </w:tr>
      <w:tr w:rsidR="001A75FD" w:rsidRPr="004E0B13" w:rsidTr="00B75BA5">
        <w:trPr>
          <w:gridAfter w:val="1"/>
          <w:wAfter w:w="6" w:type="pct"/>
          <w:trHeight w:val="330"/>
        </w:trPr>
        <w:tc>
          <w:tcPr>
            <w:tcW w:w="170" w:type="pct"/>
            <w:shd w:val="clear" w:color="auto" w:fill="auto"/>
            <w:noWrap/>
            <w:tcMar>
              <w:top w:w="36" w:type="dxa"/>
              <w:bottom w:w="36" w:type="dxa"/>
            </w:tcMar>
            <w:vAlign w:val="center"/>
            <w:hideMark/>
          </w:tcPr>
          <w:p w:rsidR="001A75FD" w:rsidRPr="004E0B13" w:rsidRDefault="001A75FD" w:rsidP="004E0B13">
            <w:pPr>
              <w:spacing w:after="0" w:line="264" w:lineRule="auto"/>
              <w:jc w:val="center"/>
              <w:rPr>
                <w:rFonts w:ascii="Arial" w:eastAsia="Times New Roman" w:hAnsi="Arial" w:cs="Arial"/>
                <w:color w:val="000000"/>
              </w:rPr>
            </w:pPr>
            <w:r w:rsidRPr="004E0B13">
              <w:rPr>
                <w:rFonts w:ascii="Arial" w:eastAsia="Times New Roman" w:hAnsi="Arial" w:cs="Arial"/>
                <w:color w:val="000000"/>
              </w:rPr>
              <w:t>2</w:t>
            </w:r>
          </w:p>
        </w:tc>
        <w:tc>
          <w:tcPr>
            <w:tcW w:w="3039" w:type="pct"/>
            <w:shd w:val="clear" w:color="auto" w:fill="auto"/>
            <w:tcMar>
              <w:top w:w="36" w:type="dxa"/>
              <w:bottom w:w="36" w:type="dxa"/>
            </w:tcMar>
            <w:vAlign w:val="center"/>
            <w:hideMark/>
          </w:tcPr>
          <w:p w:rsidR="001A75FD" w:rsidRPr="004E0B13" w:rsidRDefault="0081261C"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Enter</w:t>
            </w:r>
            <w:r w:rsidR="001A75FD" w:rsidRPr="004E0B13">
              <w:rPr>
                <w:rFonts w:ascii="Arial" w:eastAsia="Times New Roman" w:hAnsi="Arial" w:cs="Arial"/>
                <w:sz w:val="20"/>
                <w:szCs w:val="20"/>
              </w:rPr>
              <w:t xml:space="preserve"> the </w:t>
            </w:r>
            <w:r w:rsidR="001A75FD" w:rsidRPr="004E0B13">
              <w:rPr>
                <w:rFonts w:ascii="Arial" w:hAnsi="Arial" w:cs="Arial"/>
              </w:rPr>
              <w:t xml:space="preserve">storage volume provided in the BMP, </w:t>
            </w:r>
            <w:r w:rsidR="001A75FD" w:rsidRPr="004E0B13">
              <w:rPr>
                <w:rFonts w:ascii="Arial" w:hAnsi="Arial" w:cs="Arial"/>
                <w:i/>
              </w:rPr>
              <w:t>V</w:t>
            </w:r>
            <w:r w:rsidR="001A75FD" w:rsidRPr="004E0B13">
              <w:rPr>
                <w:rFonts w:ascii="Arial" w:hAnsi="Arial" w:cs="Arial"/>
              </w:rPr>
              <w:t xml:space="preserve"> (cu-ft)</w:t>
            </w:r>
          </w:p>
        </w:tc>
        <w:tc>
          <w:tcPr>
            <w:tcW w:w="595" w:type="pct"/>
            <w:tcMar>
              <w:top w:w="36" w:type="dxa"/>
              <w:bottom w:w="36" w:type="dxa"/>
            </w:tcMar>
            <w:vAlign w:val="center"/>
          </w:tcPr>
          <w:p w:rsidR="001A75FD" w:rsidRPr="004E0B13" w:rsidRDefault="001A75FD" w:rsidP="004E0B13">
            <w:pPr>
              <w:spacing w:after="0" w:line="264" w:lineRule="auto"/>
              <w:jc w:val="right"/>
              <w:rPr>
                <w:rFonts w:ascii="Arial" w:eastAsia="Times New Roman" w:hAnsi="Arial" w:cs="Arial"/>
                <w:sz w:val="20"/>
                <w:szCs w:val="20"/>
              </w:rPr>
            </w:pPr>
            <w:r w:rsidRPr="004E0B13">
              <w:rPr>
                <w:rFonts w:ascii="Arial" w:eastAsia="Times New Roman" w:hAnsi="Arial" w:cs="Arial"/>
                <w:sz w:val="20"/>
                <w:szCs w:val="20"/>
              </w:rPr>
              <w:t>V=</w:t>
            </w:r>
          </w:p>
        </w:tc>
        <w:tc>
          <w:tcPr>
            <w:tcW w:w="595" w:type="pct"/>
            <w:tcMar>
              <w:top w:w="36" w:type="dxa"/>
              <w:bottom w:w="36" w:type="dxa"/>
            </w:tcMar>
            <w:vAlign w:val="center"/>
          </w:tcPr>
          <w:p w:rsidR="001A75FD" w:rsidRPr="004E0B13" w:rsidRDefault="001A75FD"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1A75FD" w:rsidRPr="004E0B13" w:rsidRDefault="001A75FD"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cu-ft</w:t>
            </w:r>
          </w:p>
        </w:tc>
      </w:tr>
      <w:tr w:rsidR="001A75FD" w:rsidRPr="004E0B13" w:rsidTr="00B75BA5">
        <w:trPr>
          <w:gridAfter w:val="1"/>
          <w:wAfter w:w="6" w:type="pct"/>
          <w:trHeight w:val="330"/>
        </w:trPr>
        <w:tc>
          <w:tcPr>
            <w:tcW w:w="170" w:type="pct"/>
            <w:shd w:val="clear" w:color="auto" w:fill="auto"/>
            <w:noWrap/>
            <w:tcMar>
              <w:top w:w="36" w:type="dxa"/>
              <w:bottom w:w="36" w:type="dxa"/>
            </w:tcMar>
            <w:vAlign w:val="center"/>
            <w:hideMark/>
          </w:tcPr>
          <w:p w:rsidR="001A75FD" w:rsidRPr="004E0B13" w:rsidRDefault="001A75FD" w:rsidP="004E0B13">
            <w:pPr>
              <w:spacing w:after="0" w:line="264" w:lineRule="auto"/>
              <w:jc w:val="center"/>
              <w:rPr>
                <w:rFonts w:ascii="Arial" w:eastAsia="Times New Roman" w:hAnsi="Arial" w:cs="Arial"/>
                <w:color w:val="000000"/>
              </w:rPr>
            </w:pPr>
            <w:r w:rsidRPr="004E0B13">
              <w:rPr>
                <w:rFonts w:ascii="Arial" w:eastAsia="Times New Roman" w:hAnsi="Arial" w:cs="Arial"/>
                <w:color w:val="000000"/>
              </w:rPr>
              <w:t>3</w:t>
            </w:r>
          </w:p>
        </w:tc>
        <w:tc>
          <w:tcPr>
            <w:tcW w:w="3039" w:type="pct"/>
            <w:shd w:val="clear" w:color="auto" w:fill="auto"/>
            <w:tcMar>
              <w:top w:w="36" w:type="dxa"/>
              <w:bottom w:w="36" w:type="dxa"/>
            </w:tcMar>
            <w:vAlign w:val="center"/>
            <w:hideMark/>
          </w:tcPr>
          <w:p w:rsidR="001A75FD" w:rsidRPr="004E0B13" w:rsidRDefault="001A75FD"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 xml:space="preserve">Enter Project area tributary to BMP (s), </w:t>
            </w:r>
            <w:r w:rsidRPr="004E0B13">
              <w:rPr>
                <w:rFonts w:ascii="Arial" w:eastAsia="Times New Roman" w:hAnsi="Arial" w:cs="Arial"/>
                <w:i/>
                <w:sz w:val="20"/>
                <w:szCs w:val="20"/>
              </w:rPr>
              <w:t>A</w:t>
            </w:r>
            <w:r w:rsidRPr="004E0B13">
              <w:rPr>
                <w:rFonts w:ascii="Arial" w:eastAsia="Times New Roman" w:hAnsi="Arial" w:cs="Arial"/>
                <w:sz w:val="20"/>
                <w:szCs w:val="20"/>
              </w:rPr>
              <w:t xml:space="preserve"> (acres)</w:t>
            </w:r>
          </w:p>
        </w:tc>
        <w:tc>
          <w:tcPr>
            <w:tcW w:w="595" w:type="pct"/>
            <w:tcMar>
              <w:top w:w="36" w:type="dxa"/>
              <w:bottom w:w="36" w:type="dxa"/>
            </w:tcMar>
            <w:vAlign w:val="center"/>
          </w:tcPr>
          <w:p w:rsidR="001A75FD" w:rsidRPr="004E0B13" w:rsidRDefault="001A75FD" w:rsidP="004E0B13">
            <w:pPr>
              <w:spacing w:after="0" w:line="264" w:lineRule="auto"/>
              <w:jc w:val="right"/>
              <w:rPr>
                <w:rFonts w:ascii="Arial" w:eastAsia="Times New Roman" w:hAnsi="Arial" w:cs="Arial"/>
                <w:sz w:val="20"/>
                <w:szCs w:val="20"/>
              </w:rPr>
            </w:pPr>
            <w:r w:rsidRPr="004E0B13">
              <w:rPr>
                <w:rFonts w:ascii="Arial" w:eastAsia="Times New Roman" w:hAnsi="Arial" w:cs="Arial"/>
                <w:sz w:val="20"/>
                <w:szCs w:val="20"/>
              </w:rPr>
              <w:t>A=</w:t>
            </w:r>
          </w:p>
        </w:tc>
        <w:tc>
          <w:tcPr>
            <w:tcW w:w="595" w:type="pct"/>
            <w:tcMar>
              <w:top w:w="36" w:type="dxa"/>
              <w:bottom w:w="36" w:type="dxa"/>
            </w:tcMar>
            <w:vAlign w:val="center"/>
          </w:tcPr>
          <w:p w:rsidR="001A75FD" w:rsidRPr="004E0B13" w:rsidRDefault="001A75FD"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1A75FD" w:rsidRPr="004E0B13" w:rsidRDefault="001A75FD"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acres</w:t>
            </w:r>
          </w:p>
        </w:tc>
      </w:tr>
      <w:tr w:rsidR="001A75FD" w:rsidRPr="004E0B13" w:rsidTr="00B75BA5">
        <w:trPr>
          <w:gridAfter w:val="1"/>
          <w:wAfter w:w="6" w:type="pct"/>
          <w:trHeight w:val="330"/>
        </w:trPr>
        <w:tc>
          <w:tcPr>
            <w:tcW w:w="170" w:type="pct"/>
            <w:shd w:val="clear" w:color="auto" w:fill="auto"/>
            <w:noWrap/>
            <w:tcMar>
              <w:top w:w="36" w:type="dxa"/>
              <w:bottom w:w="36" w:type="dxa"/>
            </w:tcMar>
            <w:vAlign w:val="center"/>
            <w:hideMark/>
          </w:tcPr>
          <w:p w:rsidR="001A75FD" w:rsidRPr="004E0B13" w:rsidRDefault="001A75FD" w:rsidP="004E0B13">
            <w:pPr>
              <w:spacing w:after="0" w:line="264" w:lineRule="auto"/>
              <w:jc w:val="center"/>
              <w:rPr>
                <w:rFonts w:ascii="Arial" w:eastAsia="Times New Roman" w:hAnsi="Arial" w:cs="Arial"/>
                <w:color w:val="000000"/>
              </w:rPr>
            </w:pPr>
            <w:r w:rsidRPr="004E0B13">
              <w:rPr>
                <w:rFonts w:ascii="Arial" w:eastAsia="Times New Roman" w:hAnsi="Arial" w:cs="Arial"/>
                <w:color w:val="000000"/>
              </w:rPr>
              <w:t>4</w:t>
            </w:r>
          </w:p>
        </w:tc>
        <w:tc>
          <w:tcPr>
            <w:tcW w:w="3039" w:type="pct"/>
            <w:shd w:val="clear" w:color="auto" w:fill="auto"/>
            <w:tcMar>
              <w:top w:w="36" w:type="dxa"/>
              <w:bottom w:w="36" w:type="dxa"/>
            </w:tcMar>
            <w:vAlign w:val="center"/>
            <w:hideMark/>
          </w:tcPr>
          <w:p w:rsidR="001A75FD" w:rsidRPr="004E0B13" w:rsidRDefault="001A75FD" w:rsidP="004E0B13">
            <w:pPr>
              <w:spacing w:after="0" w:line="264" w:lineRule="auto"/>
              <w:rPr>
                <w:rFonts w:ascii="Arial" w:eastAsia="Times New Roman" w:hAnsi="Arial" w:cs="Arial"/>
                <w:sz w:val="20"/>
                <w:szCs w:val="20"/>
              </w:rPr>
            </w:pPr>
            <w:r w:rsidRPr="004E0B13">
              <w:rPr>
                <w:rFonts w:ascii="Arial" w:hAnsi="Arial" w:cs="Arial"/>
              </w:rPr>
              <w:t xml:space="preserve">Enter Project Imperviousness, </w:t>
            </w:r>
            <w:r w:rsidRPr="004E0B13">
              <w:rPr>
                <w:rFonts w:ascii="Arial" w:hAnsi="Arial" w:cs="Arial"/>
                <w:i/>
              </w:rPr>
              <w:t>imp</w:t>
            </w:r>
            <w:r w:rsidRPr="004E0B13">
              <w:rPr>
                <w:rFonts w:ascii="Arial" w:hAnsi="Arial" w:cs="Arial"/>
              </w:rPr>
              <w:t xml:space="preserve"> (unitless) </w:t>
            </w:r>
          </w:p>
        </w:tc>
        <w:tc>
          <w:tcPr>
            <w:tcW w:w="595" w:type="pct"/>
            <w:tcMar>
              <w:top w:w="36" w:type="dxa"/>
              <w:bottom w:w="36" w:type="dxa"/>
            </w:tcMar>
            <w:vAlign w:val="center"/>
          </w:tcPr>
          <w:p w:rsidR="001A75FD" w:rsidRPr="004E0B13" w:rsidRDefault="001A75FD" w:rsidP="004E0B13">
            <w:pPr>
              <w:spacing w:after="0" w:line="264" w:lineRule="auto"/>
              <w:jc w:val="right"/>
              <w:rPr>
                <w:rFonts w:ascii="Arial" w:eastAsia="Times New Roman" w:hAnsi="Arial" w:cs="Arial"/>
                <w:sz w:val="20"/>
                <w:szCs w:val="20"/>
              </w:rPr>
            </w:pPr>
            <w:r w:rsidRPr="004E0B13">
              <w:rPr>
                <w:rFonts w:ascii="Arial" w:eastAsia="Times New Roman" w:hAnsi="Arial" w:cs="Arial"/>
                <w:sz w:val="20"/>
                <w:szCs w:val="20"/>
              </w:rPr>
              <w:t>imp=</w:t>
            </w:r>
          </w:p>
        </w:tc>
        <w:tc>
          <w:tcPr>
            <w:tcW w:w="595" w:type="pct"/>
            <w:tcMar>
              <w:top w:w="36" w:type="dxa"/>
              <w:bottom w:w="36" w:type="dxa"/>
            </w:tcMar>
            <w:vAlign w:val="center"/>
          </w:tcPr>
          <w:p w:rsidR="001A75FD" w:rsidRPr="004E0B13" w:rsidRDefault="001A75FD"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1A75FD" w:rsidRPr="004E0B13" w:rsidRDefault="001A75FD" w:rsidP="004E0B13">
            <w:pPr>
              <w:spacing w:after="0" w:line="264" w:lineRule="auto"/>
              <w:rPr>
                <w:rFonts w:ascii="Arial" w:eastAsia="Times New Roman" w:hAnsi="Arial" w:cs="Arial"/>
                <w:sz w:val="20"/>
                <w:szCs w:val="20"/>
              </w:rPr>
            </w:pPr>
          </w:p>
        </w:tc>
      </w:tr>
      <w:tr w:rsidR="001A75FD" w:rsidRPr="004E0B13" w:rsidTr="00B75BA5">
        <w:trPr>
          <w:gridAfter w:val="1"/>
          <w:wAfter w:w="6" w:type="pct"/>
          <w:trHeight w:val="330"/>
        </w:trPr>
        <w:tc>
          <w:tcPr>
            <w:tcW w:w="170" w:type="pct"/>
            <w:shd w:val="clear" w:color="auto" w:fill="auto"/>
            <w:noWrap/>
            <w:tcMar>
              <w:top w:w="36" w:type="dxa"/>
              <w:bottom w:w="36" w:type="dxa"/>
            </w:tcMar>
            <w:vAlign w:val="center"/>
            <w:hideMark/>
          </w:tcPr>
          <w:p w:rsidR="001A75FD" w:rsidRPr="004E0B13" w:rsidRDefault="001A75FD" w:rsidP="004E0B13">
            <w:pPr>
              <w:spacing w:after="0" w:line="264" w:lineRule="auto"/>
              <w:jc w:val="center"/>
              <w:rPr>
                <w:rFonts w:ascii="Arial" w:eastAsia="Times New Roman" w:hAnsi="Arial" w:cs="Arial"/>
                <w:color w:val="000000"/>
              </w:rPr>
            </w:pPr>
            <w:r w:rsidRPr="004E0B13">
              <w:rPr>
                <w:rFonts w:ascii="Arial" w:eastAsia="Times New Roman" w:hAnsi="Arial" w:cs="Arial"/>
                <w:color w:val="000000"/>
              </w:rPr>
              <w:t>5</w:t>
            </w:r>
          </w:p>
        </w:tc>
        <w:tc>
          <w:tcPr>
            <w:tcW w:w="3039" w:type="pct"/>
            <w:shd w:val="clear" w:color="auto" w:fill="auto"/>
            <w:tcMar>
              <w:top w:w="36" w:type="dxa"/>
              <w:bottom w:w="36" w:type="dxa"/>
            </w:tcMar>
            <w:vAlign w:val="center"/>
            <w:hideMark/>
          </w:tcPr>
          <w:p w:rsidR="001A75FD" w:rsidRPr="004E0B13" w:rsidRDefault="001A75FD"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 xml:space="preserve">Calculate runoff coefficient, </w:t>
            </w:r>
            <w:r w:rsidRPr="004E0B13">
              <w:rPr>
                <w:rFonts w:ascii="Arial" w:eastAsia="Times New Roman" w:hAnsi="Arial" w:cs="Arial"/>
                <w:i/>
                <w:sz w:val="20"/>
                <w:szCs w:val="20"/>
              </w:rPr>
              <w:t>C= (0.75 x imp) + 0.15</w:t>
            </w:r>
          </w:p>
        </w:tc>
        <w:tc>
          <w:tcPr>
            <w:tcW w:w="595" w:type="pct"/>
            <w:tcMar>
              <w:top w:w="36" w:type="dxa"/>
              <w:bottom w:w="36" w:type="dxa"/>
            </w:tcMar>
            <w:vAlign w:val="center"/>
          </w:tcPr>
          <w:p w:rsidR="001A75FD" w:rsidRPr="004E0B13" w:rsidRDefault="001A75FD" w:rsidP="004E0B13">
            <w:pPr>
              <w:spacing w:after="0" w:line="264" w:lineRule="auto"/>
              <w:jc w:val="right"/>
              <w:rPr>
                <w:rFonts w:ascii="Arial" w:eastAsia="Times New Roman" w:hAnsi="Arial" w:cs="Arial"/>
                <w:sz w:val="20"/>
                <w:szCs w:val="20"/>
              </w:rPr>
            </w:pPr>
            <w:r w:rsidRPr="004E0B13">
              <w:rPr>
                <w:rFonts w:ascii="Arial" w:eastAsia="Times New Roman" w:hAnsi="Arial" w:cs="Arial"/>
                <w:sz w:val="20"/>
                <w:szCs w:val="20"/>
              </w:rPr>
              <w:t>C=</w:t>
            </w:r>
          </w:p>
        </w:tc>
        <w:tc>
          <w:tcPr>
            <w:tcW w:w="595" w:type="pct"/>
            <w:tcMar>
              <w:top w:w="36" w:type="dxa"/>
              <w:bottom w:w="36" w:type="dxa"/>
            </w:tcMar>
            <w:vAlign w:val="center"/>
          </w:tcPr>
          <w:p w:rsidR="001A75FD" w:rsidRPr="004E0B13" w:rsidRDefault="001A75FD"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1A75FD" w:rsidRPr="004E0B13" w:rsidRDefault="001A75FD" w:rsidP="004E0B13">
            <w:pPr>
              <w:spacing w:after="0" w:line="264" w:lineRule="auto"/>
              <w:rPr>
                <w:rFonts w:ascii="Arial" w:eastAsia="Times New Roman" w:hAnsi="Arial" w:cs="Arial"/>
                <w:sz w:val="20"/>
                <w:szCs w:val="20"/>
              </w:rPr>
            </w:pPr>
          </w:p>
        </w:tc>
      </w:tr>
      <w:tr w:rsidR="001A75FD" w:rsidRPr="004E0B13" w:rsidTr="00B75BA5">
        <w:trPr>
          <w:gridAfter w:val="1"/>
          <w:wAfter w:w="6" w:type="pct"/>
          <w:trHeight w:val="330"/>
        </w:trPr>
        <w:tc>
          <w:tcPr>
            <w:tcW w:w="170" w:type="pct"/>
            <w:shd w:val="clear" w:color="auto" w:fill="auto"/>
            <w:noWrap/>
            <w:tcMar>
              <w:top w:w="36" w:type="dxa"/>
              <w:bottom w:w="36" w:type="dxa"/>
            </w:tcMar>
            <w:vAlign w:val="center"/>
            <w:hideMark/>
          </w:tcPr>
          <w:p w:rsidR="001A75FD" w:rsidRPr="004E0B13" w:rsidRDefault="001A75FD" w:rsidP="004E0B13">
            <w:pPr>
              <w:spacing w:after="0" w:line="264" w:lineRule="auto"/>
              <w:jc w:val="center"/>
              <w:rPr>
                <w:rFonts w:ascii="Arial" w:eastAsia="Times New Roman" w:hAnsi="Arial" w:cs="Arial"/>
                <w:color w:val="000000"/>
              </w:rPr>
            </w:pPr>
            <w:r w:rsidRPr="004E0B13">
              <w:rPr>
                <w:rFonts w:ascii="Arial" w:eastAsia="Times New Roman" w:hAnsi="Arial" w:cs="Arial"/>
                <w:color w:val="000000"/>
              </w:rPr>
              <w:t>6</w:t>
            </w:r>
          </w:p>
        </w:tc>
        <w:tc>
          <w:tcPr>
            <w:tcW w:w="3039" w:type="pct"/>
            <w:shd w:val="clear" w:color="auto" w:fill="auto"/>
            <w:tcMar>
              <w:top w:w="36" w:type="dxa"/>
              <w:bottom w:w="36" w:type="dxa"/>
            </w:tcMar>
            <w:vAlign w:val="center"/>
            <w:hideMark/>
          </w:tcPr>
          <w:p w:rsidR="001A75FD" w:rsidRPr="004E0B13" w:rsidRDefault="001A75FD" w:rsidP="004E0B13">
            <w:pPr>
              <w:spacing w:after="0" w:line="264" w:lineRule="auto"/>
              <w:rPr>
                <w:rFonts w:ascii="Arial" w:eastAsia="Times New Roman" w:hAnsi="Arial" w:cs="Arial"/>
                <w:sz w:val="20"/>
                <w:szCs w:val="20"/>
              </w:rPr>
            </w:pPr>
            <w:r w:rsidRPr="004E0B13">
              <w:rPr>
                <w:rFonts w:ascii="Arial" w:hAnsi="Arial" w:cs="Arial"/>
              </w:rPr>
              <w:t>Calculate the effective design storm depth provided (inches),</w:t>
            </w:r>
            <w:r w:rsidRPr="004E0B13">
              <w:rPr>
                <w:rFonts w:ascii="Arial" w:hAnsi="Arial" w:cs="Arial"/>
                <w:i/>
              </w:rPr>
              <w:t xml:space="preserve"> </w:t>
            </w:r>
            <w:proofErr w:type="spellStart"/>
            <w:r w:rsidRPr="004E0B13">
              <w:rPr>
                <w:rFonts w:ascii="Arial" w:hAnsi="Arial" w:cs="Arial"/>
                <w:i/>
              </w:rPr>
              <w:t>d</w:t>
            </w:r>
            <w:r w:rsidRPr="004E0B13">
              <w:rPr>
                <w:rFonts w:ascii="Arial" w:hAnsi="Arial" w:cs="Arial"/>
                <w:i/>
                <w:vertAlign w:val="subscript"/>
              </w:rPr>
              <w:t>provided</w:t>
            </w:r>
            <w:proofErr w:type="spellEnd"/>
            <w:r w:rsidRPr="004E0B13">
              <w:rPr>
                <w:rFonts w:ascii="Arial" w:hAnsi="Arial" w:cs="Arial"/>
                <w:i/>
              </w:rPr>
              <w:t>=(V × 12)/(C × A × 43560)</w:t>
            </w:r>
          </w:p>
        </w:tc>
        <w:tc>
          <w:tcPr>
            <w:tcW w:w="595" w:type="pct"/>
            <w:tcMar>
              <w:top w:w="36" w:type="dxa"/>
              <w:bottom w:w="36" w:type="dxa"/>
            </w:tcMar>
            <w:vAlign w:val="center"/>
          </w:tcPr>
          <w:p w:rsidR="001A75FD" w:rsidRPr="004E0B13" w:rsidRDefault="001A75FD" w:rsidP="004E0B13">
            <w:pPr>
              <w:spacing w:after="0" w:line="264" w:lineRule="auto"/>
              <w:jc w:val="right"/>
              <w:rPr>
                <w:rFonts w:ascii="Arial" w:eastAsia="Times New Roman" w:hAnsi="Arial" w:cs="Arial"/>
                <w:sz w:val="20"/>
                <w:szCs w:val="20"/>
              </w:rPr>
            </w:pPr>
            <w:proofErr w:type="spellStart"/>
            <w:r w:rsidRPr="004E0B13">
              <w:rPr>
                <w:rFonts w:ascii="Arial" w:eastAsia="Times New Roman" w:hAnsi="Arial" w:cs="Arial"/>
                <w:sz w:val="20"/>
                <w:szCs w:val="20"/>
              </w:rPr>
              <w:t>d</w:t>
            </w:r>
            <w:r w:rsidRPr="004E0B13">
              <w:rPr>
                <w:rFonts w:ascii="Arial" w:eastAsia="Times New Roman" w:hAnsi="Arial" w:cs="Arial"/>
                <w:sz w:val="20"/>
                <w:szCs w:val="20"/>
                <w:vertAlign w:val="subscript"/>
              </w:rPr>
              <w:t>provided</w:t>
            </w:r>
            <w:proofErr w:type="spellEnd"/>
            <w:r w:rsidRPr="004E0B13">
              <w:rPr>
                <w:rFonts w:ascii="Arial" w:eastAsia="Times New Roman" w:hAnsi="Arial" w:cs="Arial"/>
                <w:sz w:val="20"/>
                <w:szCs w:val="20"/>
              </w:rPr>
              <w:t>=</w:t>
            </w:r>
          </w:p>
        </w:tc>
        <w:tc>
          <w:tcPr>
            <w:tcW w:w="595" w:type="pct"/>
            <w:tcMar>
              <w:top w:w="36" w:type="dxa"/>
              <w:bottom w:w="36" w:type="dxa"/>
            </w:tcMar>
            <w:vAlign w:val="center"/>
          </w:tcPr>
          <w:p w:rsidR="001A75FD" w:rsidRPr="004E0B13" w:rsidRDefault="001A75FD"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1A75FD" w:rsidRPr="004E0B13" w:rsidRDefault="001A75FD"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inches</w:t>
            </w:r>
          </w:p>
        </w:tc>
      </w:tr>
      <w:tr w:rsidR="001A75FD" w:rsidRPr="004E0B13" w:rsidTr="00B75BA5">
        <w:trPr>
          <w:gridAfter w:val="1"/>
          <w:wAfter w:w="6" w:type="pct"/>
          <w:trHeight w:val="330"/>
        </w:trPr>
        <w:tc>
          <w:tcPr>
            <w:tcW w:w="170" w:type="pct"/>
            <w:shd w:val="clear" w:color="auto" w:fill="auto"/>
            <w:noWrap/>
            <w:tcMar>
              <w:top w:w="36" w:type="dxa"/>
              <w:bottom w:w="36" w:type="dxa"/>
            </w:tcMar>
            <w:vAlign w:val="center"/>
            <w:hideMark/>
          </w:tcPr>
          <w:p w:rsidR="001A75FD" w:rsidRPr="004E0B13" w:rsidRDefault="001A75FD" w:rsidP="004E0B13">
            <w:pPr>
              <w:spacing w:after="0" w:line="264" w:lineRule="auto"/>
              <w:jc w:val="center"/>
              <w:rPr>
                <w:rFonts w:ascii="Arial" w:eastAsia="Times New Roman" w:hAnsi="Arial" w:cs="Arial"/>
                <w:color w:val="000000"/>
              </w:rPr>
            </w:pPr>
            <w:r w:rsidRPr="004E0B13">
              <w:rPr>
                <w:rFonts w:ascii="Arial" w:eastAsia="Times New Roman" w:hAnsi="Arial" w:cs="Arial"/>
                <w:color w:val="000000"/>
              </w:rPr>
              <w:t>7</w:t>
            </w:r>
          </w:p>
        </w:tc>
        <w:tc>
          <w:tcPr>
            <w:tcW w:w="3039" w:type="pct"/>
            <w:shd w:val="clear" w:color="auto" w:fill="auto"/>
            <w:tcMar>
              <w:top w:w="36" w:type="dxa"/>
              <w:bottom w:w="36" w:type="dxa"/>
            </w:tcMar>
            <w:vAlign w:val="center"/>
            <w:hideMark/>
          </w:tcPr>
          <w:p w:rsidR="001A75FD" w:rsidRPr="004E0B13" w:rsidRDefault="0081261C" w:rsidP="004E0B13">
            <w:pPr>
              <w:spacing w:after="0" w:line="264" w:lineRule="auto"/>
              <w:rPr>
                <w:rFonts w:ascii="Arial" w:eastAsia="Times New Roman" w:hAnsi="Arial" w:cs="Arial"/>
                <w:sz w:val="20"/>
                <w:szCs w:val="20"/>
              </w:rPr>
            </w:pPr>
            <w:r w:rsidRPr="004E0B13">
              <w:rPr>
                <w:rFonts w:ascii="Arial" w:hAnsi="Arial" w:cs="Arial"/>
              </w:rPr>
              <w:t xml:space="preserve">Calculate the design storm depth as a </w:t>
            </w:r>
            <w:r w:rsidR="001A75FD" w:rsidRPr="004E0B13">
              <w:rPr>
                <w:rFonts w:ascii="Arial" w:hAnsi="Arial" w:cs="Arial"/>
              </w:rPr>
              <w:t>fraction of the design capture depth,</w:t>
            </w:r>
            <w:r w:rsidR="001A75FD" w:rsidRPr="004E0B13">
              <w:rPr>
                <w:rFonts w:ascii="Arial" w:hAnsi="Arial" w:cs="Arial"/>
                <w:i/>
              </w:rPr>
              <w:t xml:space="preserve"> </w:t>
            </w:r>
            <w:proofErr w:type="spellStart"/>
            <w:r w:rsidR="001A75FD" w:rsidRPr="004E0B13">
              <w:rPr>
                <w:rFonts w:ascii="Arial" w:hAnsi="Arial" w:cs="Arial"/>
                <w:i/>
              </w:rPr>
              <w:t>X</w:t>
            </w:r>
            <w:r w:rsidR="001A75FD" w:rsidRPr="004E0B13">
              <w:rPr>
                <w:rFonts w:ascii="Arial" w:hAnsi="Arial" w:cs="Arial"/>
                <w:i/>
                <w:vertAlign w:val="subscript"/>
              </w:rPr>
              <w:t>fraction</w:t>
            </w:r>
            <w:proofErr w:type="spellEnd"/>
            <w:r w:rsidR="001A75FD" w:rsidRPr="004E0B13">
              <w:rPr>
                <w:rFonts w:ascii="Arial" w:hAnsi="Arial" w:cs="Arial"/>
                <w:i/>
              </w:rPr>
              <w:t xml:space="preserve"> = </w:t>
            </w:r>
            <w:proofErr w:type="spellStart"/>
            <w:r w:rsidR="001A75FD" w:rsidRPr="004E0B13">
              <w:rPr>
                <w:rFonts w:ascii="Arial" w:hAnsi="Arial" w:cs="Arial"/>
                <w:i/>
              </w:rPr>
              <w:t>d</w:t>
            </w:r>
            <w:r w:rsidR="001A75FD" w:rsidRPr="004E0B13">
              <w:rPr>
                <w:rFonts w:ascii="Arial" w:hAnsi="Arial" w:cs="Arial"/>
                <w:i/>
                <w:vertAlign w:val="subscript"/>
              </w:rPr>
              <w:t>provided</w:t>
            </w:r>
            <w:proofErr w:type="spellEnd"/>
            <w:r w:rsidR="001A75FD" w:rsidRPr="004E0B13">
              <w:rPr>
                <w:rFonts w:ascii="Arial" w:hAnsi="Arial" w:cs="Arial"/>
                <w:i/>
              </w:rPr>
              <w:t>/d</w:t>
            </w:r>
          </w:p>
        </w:tc>
        <w:tc>
          <w:tcPr>
            <w:tcW w:w="595" w:type="pct"/>
            <w:tcMar>
              <w:top w:w="36" w:type="dxa"/>
              <w:bottom w:w="36" w:type="dxa"/>
            </w:tcMar>
            <w:vAlign w:val="center"/>
          </w:tcPr>
          <w:p w:rsidR="001A75FD" w:rsidRPr="004E0B13" w:rsidRDefault="001A75FD" w:rsidP="004E0B13">
            <w:pPr>
              <w:spacing w:after="0" w:line="264" w:lineRule="auto"/>
              <w:jc w:val="right"/>
              <w:rPr>
                <w:rFonts w:ascii="Arial" w:eastAsia="Times New Roman" w:hAnsi="Arial" w:cs="Arial"/>
                <w:sz w:val="20"/>
                <w:szCs w:val="20"/>
              </w:rPr>
            </w:pPr>
            <w:proofErr w:type="spellStart"/>
            <w:r w:rsidRPr="004E0B13">
              <w:rPr>
                <w:rFonts w:ascii="Arial" w:eastAsia="Times New Roman" w:hAnsi="Arial" w:cs="Arial"/>
                <w:sz w:val="20"/>
                <w:szCs w:val="20"/>
              </w:rPr>
              <w:t>X</w:t>
            </w:r>
            <w:r w:rsidRPr="004E0B13">
              <w:rPr>
                <w:rFonts w:ascii="Arial" w:eastAsia="Times New Roman" w:hAnsi="Arial" w:cs="Arial"/>
                <w:sz w:val="20"/>
                <w:szCs w:val="20"/>
                <w:vertAlign w:val="subscript"/>
              </w:rPr>
              <w:t>fraction</w:t>
            </w:r>
            <w:proofErr w:type="spellEnd"/>
            <w:r w:rsidRPr="004E0B13">
              <w:rPr>
                <w:rFonts w:ascii="Arial" w:eastAsia="Times New Roman" w:hAnsi="Arial" w:cs="Arial"/>
                <w:sz w:val="20"/>
                <w:szCs w:val="20"/>
              </w:rPr>
              <w:t>=</w:t>
            </w:r>
          </w:p>
        </w:tc>
        <w:tc>
          <w:tcPr>
            <w:tcW w:w="595" w:type="pct"/>
            <w:tcMar>
              <w:top w:w="36" w:type="dxa"/>
              <w:bottom w:w="36" w:type="dxa"/>
            </w:tcMar>
            <w:vAlign w:val="center"/>
          </w:tcPr>
          <w:p w:rsidR="001A75FD" w:rsidRPr="004E0B13" w:rsidRDefault="001A75FD"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1A75FD" w:rsidRPr="004E0B13" w:rsidRDefault="001A75FD" w:rsidP="004E0B13">
            <w:pPr>
              <w:spacing w:after="0" w:line="264" w:lineRule="auto"/>
              <w:rPr>
                <w:rFonts w:ascii="Arial" w:eastAsia="Times New Roman" w:hAnsi="Arial" w:cs="Arial"/>
                <w:sz w:val="20"/>
                <w:szCs w:val="20"/>
              </w:rPr>
            </w:pPr>
          </w:p>
        </w:tc>
      </w:tr>
      <w:tr w:rsidR="001A75FD" w:rsidRPr="004E0B13" w:rsidTr="00B75BA5">
        <w:trPr>
          <w:gridAfter w:val="1"/>
          <w:wAfter w:w="6" w:type="pct"/>
          <w:trHeight w:val="330"/>
        </w:trPr>
        <w:tc>
          <w:tcPr>
            <w:tcW w:w="4994" w:type="pct"/>
            <w:gridSpan w:val="5"/>
            <w:shd w:val="clear" w:color="auto" w:fill="D9D9D9"/>
            <w:noWrap/>
            <w:tcMar>
              <w:top w:w="36" w:type="dxa"/>
              <w:bottom w:w="36" w:type="dxa"/>
            </w:tcMar>
            <w:vAlign w:val="bottom"/>
            <w:hideMark/>
          </w:tcPr>
          <w:p w:rsidR="001A75FD" w:rsidRPr="004E0B13" w:rsidRDefault="001A75FD" w:rsidP="004E0B13">
            <w:pPr>
              <w:pStyle w:val="ExampleSubheading"/>
              <w:pBdr>
                <w:top w:val="none" w:sz="0" w:space="0" w:color="auto"/>
                <w:left w:val="none" w:sz="0" w:space="0" w:color="auto"/>
                <w:bottom w:val="none" w:sz="0" w:space="0" w:color="auto"/>
                <w:right w:val="none" w:sz="0" w:space="0" w:color="auto"/>
              </w:pBdr>
              <w:spacing w:before="0" w:after="0" w:line="264" w:lineRule="auto"/>
              <w:ind w:left="0"/>
              <w:outlineLvl w:val="0"/>
            </w:pPr>
            <w:r w:rsidRPr="004E0B13">
              <w:t>Step 2: Calculate the capture efficiency of the BMP system</w:t>
            </w:r>
          </w:p>
        </w:tc>
      </w:tr>
      <w:tr w:rsidR="001A75FD" w:rsidRPr="004E0B13" w:rsidTr="00B75BA5">
        <w:trPr>
          <w:gridAfter w:val="1"/>
          <w:wAfter w:w="6" w:type="pct"/>
          <w:trHeight w:val="330"/>
        </w:trPr>
        <w:tc>
          <w:tcPr>
            <w:tcW w:w="170" w:type="pct"/>
            <w:shd w:val="clear" w:color="auto" w:fill="auto"/>
            <w:noWrap/>
            <w:tcMar>
              <w:top w:w="36" w:type="dxa"/>
              <w:bottom w:w="36" w:type="dxa"/>
            </w:tcMar>
            <w:vAlign w:val="center"/>
            <w:hideMark/>
          </w:tcPr>
          <w:p w:rsidR="001A75FD" w:rsidRPr="004E0B13" w:rsidRDefault="001A75FD" w:rsidP="004E0B13">
            <w:pPr>
              <w:spacing w:after="0" w:line="264" w:lineRule="auto"/>
              <w:jc w:val="center"/>
              <w:rPr>
                <w:rFonts w:ascii="Arial" w:eastAsia="Times New Roman" w:hAnsi="Arial" w:cs="Arial"/>
                <w:color w:val="000000"/>
              </w:rPr>
            </w:pPr>
            <w:r w:rsidRPr="004E0B13">
              <w:rPr>
                <w:rFonts w:ascii="Arial" w:eastAsia="Times New Roman" w:hAnsi="Arial" w:cs="Arial"/>
                <w:color w:val="000000"/>
              </w:rPr>
              <w:t>1</w:t>
            </w:r>
          </w:p>
        </w:tc>
        <w:tc>
          <w:tcPr>
            <w:tcW w:w="3039" w:type="pct"/>
            <w:shd w:val="clear" w:color="auto" w:fill="auto"/>
            <w:tcMar>
              <w:top w:w="36" w:type="dxa"/>
              <w:bottom w:w="36" w:type="dxa"/>
            </w:tcMar>
            <w:vAlign w:val="center"/>
            <w:hideMark/>
          </w:tcPr>
          <w:p w:rsidR="001A75FD" w:rsidRPr="004E0B13" w:rsidRDefault="001A75FD"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Determine the drawdown time of the proposed BMP</w:t>
            </w:r>
            <w:r w:rsidR="0081261C" w:rsidRPr="004E0B13">
              <w:rPr>
                <w:rFonts w:ascii="Arial" w:eastAsia="Times New Roman" w:hAnsi="Arial" w:cs="Arial"/>
                <w:sz w:val="20"/>
                <w:szCs w:val="20"/>
              </w:rPr>
              <w:t xml:space="preserve"> based on equations provided in the applicable BMP Fact Sheet</w:t>
            </w:r>
            <w:r w:rsidRPr="004E0B13">
              <w:rPr>
                <w:rFonts w:ascii="Arial" w:eastAsia="Times New Roman" w:hAnsi="Arial" w:cs="Arial"/>
                <w:sz w:val="20"/>
                <w:szCs w:val="20"/>
              </w:rPr>
              <w:t xml:space="preserve">, </w:t>
            </w:r>
            <w:r w:rsidRPr="004E0B13">
              <w:rPr>
                <w:rFonts w:ascii="Arial" w:eastAsia="Times New Roman" w:hAnsi="Arial" w:cs="Arial"/>
                <w:i/>
                <w:sz w:val="20"/>
                <w:szCs w:val="20"/>
              </w:rPr>
              <w:t xml:space="preserve">T </w:t>
            </w:r>
            <w:r w:rsidRPr="004E0B13">
              <w:rPr>
                <w:rFonts w:ascii="Arial" w:eastAsia="Times New Roman" w:hAnsi="Arial" w:cs="Arial"/>
                <w:sz w:val="20"/>
                <w:szCs w:val="20"/>
              </w:rPr>
              <w:t>(hours)</w:t>
            </w:r>
          </w:p>
        </w:tc>
        <w:tc>
          <w:tcPr>
            <w:tcW w:w="595" w:type="pct"/>
            <w:tcMar>
              <w:top w:w="36" w:type="dxa"/>
              <w:bottom w:w="36" w:type="dxa"/>
            </w:tcMar>
            <w:vAlign w:val="center"/>
          </w:tcPr>
          <w:p w:rsidR="001A75FD" w:rsidRPr="004E0B13" w:rsidRDefault="001A75FD" w:rsidP="004E0B13">
            <w:pPr>
              <w:spacing w:after="0" w:line="264" w:lineRule="auto"/>
              <w:jc w:val="right"/>
              <w:rPr>
                <w:rFonts w:ascii="Arial" w:eastAsia="Times New Roman" w:hAnsi="Arial" w:cs="Arial"/>
                <w:sz w:val="20"/>
                <w:szCs w:val="20"/>
              </w:rPr>
            </w:pPr>
            <w:r w:rsidRPr="004E0B13">
              <w:rPr>
                <w:rFonts w:ascii="Arial" w:eastAsia="Times New Roman" w:hAnsi="Arial" w:cs="Arial"/>
                <w:sz w:val="20"/>
                <w:szCs w:val="20"/>
              </w:rPr>
              <w:t>T=</w:t>
            </w:r>
          </w:p>
        </w:tc>
        <w:tc>
          <w:tcPr>
            <w:tcW w:w="595" w:type="pct"/>
            <w:tcMar>
              <w:top w:w="36" w:type="dxa"/>
              <w:bottom w:w="36" w:type="dxa"/>
            </w:tcMar>
            <w:vAlign w:val="center"/>
          </w:tcPr>
          <w:p w:rsidR="001A75FD" w:rsidRPr="004E0B13" w:rsidRDefault="001A75FD"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1A75FD" w:rsidRPr="004E0B13" w:rsidRDefault="001A75FD"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hours</w:t>
            </w:r>
          </w:p>
        </w:tc>
      </w:tr>
      <w:tr w:rsidR="001A75FD" w:rsidRPr="004E0B13" w:rsidTr="00B75BA5">
        <w:trPr>
          <w:gridAfter w:val="1"/>
          <w:wAfter w:w="6" w:type="pct"/>
          <w:trHeight w:val="330"/>
        </w:trPr>
        <w:tc>
          <w:tcPr>
            <w:tcW w:w="170" w:type="pct"/>
            <w:shd w:val="clear" w:color="auto" w:fill="auto"/>
            <w:noWrap/>
            <w:tcMar>
              <w:top w:w="36" w:type="dxa"/>
              <w:bottom w:w="36" w:type="dxa"/>
            </w:tcMar>
            <w:vAlign w:val="center"/>
            <w:hideMark/>
          </w:tcPr>
          <w:p w:rsidR="001A75FD" w:rsidRPr="004E0B13" w:rsidRDefault="001A75FD" w:rsidP="004E0B13">
            <w:pPr>
              <w:spacing w:after="0" w:line="264" w:lineRule="auto"/>
              <w:jc w:val="center"/>
              <w:rPr>
                <w:rFonts w:ascii="Arial" w:eastAsia="Times New Roman" w:hAnsi="Arial" w:cs="Arial"/>
                <w:color w:val="000000"/>
              </w:rPr>
            </w:pPr>
            <w:r w:rsidRPr="004E0B13">
              <w:rPr>
                <w:rFonts w:ascii="Arial" w:eastAsia="Times New Roman" w:hAnsi="Arial" w:cs="Arial"/>
                <w:color w:val="000000"/>
              </w:rPr>
              <w:t>2</w:t>
            </w:r>
          </w:p>
        </w:tc>
        <w:tc>
          <w:tcPr>
            <w:tcW w:w="3039" w:type="pct"/>
            <w:shd w:val="clear" w:color="auto" w:fill="auto"/>
            <w:tcMar>
              <w:top w:w="36" w:type="dxa"/>
              <w:bottom w:w="36" w:type="dxa"/>
            </w:tcMar>
            <w:vAlign w:val="center"/>
            <w:hideMark/>
          </w:tcPr>
          <w:p w:rsidR="001A75FD" w:rsidRPr="004E0B13" w:rsidRDefault="001A75FD"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 xml:space="preserve">Enter the effect of provided HSCs upstream, </w:t>
            </w:r>
            <w:r w:rsidRPr="004E0B13">
              <w:rPr>
                <w:rFonts w:ascii="Arial" w:eastAsia="Times New Roman" w:hAnsi="Arial" w:cs="Arial"/>
                <w:i/>
                <w:sz w:val="20"/>
                <w:szCs w:val="20"/>
              </w:rPr>
              <w:t>d</w:t>
            </w:r>
            <w:r w:rsidRPr="004E0B13">
              <w:rPr>
                <w:rFonts w:ascii="Arial" w:eastAsia="Times New Roman" w:hAnsi="Arial" w:cs="Arial"/>
                <w:i/>
                <w:sz w:val="20"/>
                <w:szCs w:val="20"/>
                <w:vertAlign w:val="subscript"/>
              </w:rPr>
              <w:t>HSC</w:t>
            </w:r>
            <w:r w:rsidRPr="004E0B13">
              <w:rPr>
                <w:rFonts w:ascii="Arial" w:eastAsia="Times New Roman" w:hAnsi="Arial" w:cs="Arial"/>
                <w:i/>
                <w:sz w:val="20"/>
                <w:szCs w:val="20"/>
              </w:rPr>
              <w:t xml:space="preserve"> </w:t>
            </w:r>
            <w:r w:rsidRPr="004E0B13">
              <w:rPr>
                <w:rFonts w:ascii="Arial" w:eastAsia="Times New Roman" w:hAnsi="Arial" w:cs="Arial"/>
                <w:sz w:val="20"/>
                <w:szCs w:val="20"/>
              </w:rPr>
              <w:t>(inches)</w:t>
            </w:r>
          </w:p>
          <w:p w:rsidR="0081261C" w:rsidRPr="00126DE5" w:rsidRDefault="00126F3D" w:rsidP="004E0B13">
            <w:pPr>
              <w:pStyle w:val="ReportBodyText"/>
              <w:spacing w:after="0" w:line="264" w:lineRule="auto"/>
              <w:rPr>
                <w:rFonts w:cs="Arial"/>
                <w:b/>
                <w:color w:val="0070C0"/>
                <w:sz w:val="20"/>
                <w:szCs w:val="20"/>
              </w:rPr>
            </w:pPr>
            <w:fldSimple w:instr=" REF _Ref285398327 \h  \* MERGEFORMAT ">
              <w:r w:rsidR="00126DE5" w:rsidRPr="00126DE5">
                <w:rPr>
                  <w:rFonts w:cs="Arial"/>
                  <w:b/>
                  <w:color w:val="0070C0"/>
                  <w:sz w:val="20"/>
                  <w:szCs w:val="20"/>
                </w:rPr>
                <w:t>Worksheet A</w:t>
              </w:r>
            </w:fldSimple>
          </w:p>
        </w:tc>
        <w:tc>
          <w:tcPr>
            <w:tcW w:w="595" w:type="pct"/>
            <w:tcMar>
              <w:top w:w="36" w:type="dxa"/>
              <w:bottom w:w="36" w:type="dxa"/>
            </w:tcMar>
            <w:vAlign w:val="center"/>
          </w:tcPr>
          <w:p w:rsidR="001A75FD" w:rsidRPr="004E0B13" w:rsidRDefault="001A75FD" w:rsidP="004E0B13">
            <w:pPr>
              <w:spacing w:after="0" w:line="264" w:lineRule="auto"/>
              <w:jc w:val="right"/>
              <w:rPr>
                <w:rFonts w:ascii="Arial" w:eastAsia="Times New Roman" w:hAnsi="Arial" w:cs="Arial"/>
                <w:sz w:val="20"/>
                <w:szCs w:val="20"/>
              </w:rPr>
            </w:pPr>
            <w:r w:rsidRPr="004E0B13">
              <w:rPr>
                <w:rFonts w:ascii="Arial" w:eastAsia="Times New Roman" w:hAnsi="Arial" w:cs="Arial"/>
                <w:sz w:val="20"/>
                <w:szCs w:val="20"/>
              </w:rPr>
              <w:t>d</w:t>
            </w:r>
            <w:r w:rsidRPr="004E0B13">
              <w:rPr>
                <w:rFonts w:ascii="Arial" w:eastAsia="Times New Roman" w:hAnsi="Arial" w:cs="Arial"/>
                <w:sz w:val="20"/>
                <w:szCs w:val="20"/>
                <w:vertAlign w:val="subscript"/>
              </w:rPr>
              <w:t>HSC</w:t>
            </w:r>
            <w:r w:rsidRPr="004E0B13">
              <w:rPr>
                <w:rFonts w:ascii="Arial" w:eastAsia="Times New Roman" w:hAnsi="Arial" w:cs="Arial"/>
                <w:sz w:val="20"/>
                <w:szCs w:val="20"/>
              </w:rPr>
              <w:t>=</w:t>
            </w:r>
          </w:p>
        </w:tc>
        <w:tc>
          <w:tcPr>
            <w:tcW w:w="595" w:type="pct"/>
            <w:tcMar>
              <w:top w:w="36" w:type="dxa"/>
              <w:bottom w:w="36" w:type="dxa"/>
            </w:tcMar>
            <w:vAlign w:val="center"/>
          </w:tcPr>
          <w:p w:rsidR="001A75FD" w:rsidRPr="004E0B13" w:rsidRDefault="001A75FD"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1A75FD" w:rsidRPr="004E0B13" w:rsidRDefault="001A75FD"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inches</w:t>
            </w:r>
          </w:p>
        </w:tc>
      </w:tr>
      <w:tr w:rsidR="001A75FD" w:rsidRPr="004E0B13" w:rsidTr="00B75BA5">
        <w:trPr>
          <w:gridAfter w:val="1"/>
          <w:wAfter w:w="6" w:type="pct"/>
          <w:trHeight w:val="330"/>
        </w:trPr>
        <w:tc>
          <w:tcPr>
            <w:tcW w:w="170" w:type="pct"/>
            <w:shd w:val="clear" w:color="auto" w:fill="auto"/>
            <w:noWrap/>
            <w:tcMar>
              <w:top w:w="36" w:type="dxa"/>
              <w:bottom w:w="36" w:type="dxa"/>
            </w:tcMar>
            <w:vAlign w:val="center"/>
            <w:hideMark/>
          </w:tcPr>
          <w:p w:rsidR="001A75FD" w:rsidRPr="004E0B13" w:rsidRDefault="001A75FD" w:rsidP="004E0B13">
            <w:pPr>
              <w:spacing w:after="0" w:line="264" w:lineRule="auto"/>
              <w:jc w:val="center"/>
              <w:rPr>
                <w:rFonts w:ascii="Arial" w:eastAsia="Times New Roman" w:hAnsi="Arial" w:cs="Arial"/>
                <w:color w:val="000000"/>
              </w:rPr>
            </w:pPr>
            <w:r w:rsidRPr="004E0B13">
              <w:rPr>
                <w:rFonts w:ascii="Arial" w:eastAsia="Times New Roman" w:hAnsi="Arial" w:cs="Arial"/>
                <w:color w:val="000000"/>
              </w:rPr>
              <w:t>3</w:t>
            </w:r>
          </w:p>
        </w:tc>
        <w:tc>
          <w:tcPr>
            <w:tcW w:w="3039" w:type="pct"/>
            <w:shd w:val="clear" w:color="auto" w:fill="auto"/>
            <w:tcMar>
              <w:top w:w="36" w:type="dxa"/>
              <w:bottom w:w="36" w:type="dxa"/>
            </w:tcMar>
            <w:vAlign w:val="center"/>
            <w:hideMark/>
          </w:tcPr>
          <w:p w:rsidR="001A75FD" w:rsidRPr="004E0B13" w:rsidRDefault="001A75FD" w:rsidP="004E0B13">
            <w:pPr>
              <w:spacing w:after="0" w:line="264" w:lineRule="auto"/>
              <w:rPr>
                <w:rFonts w:ascii="Arial" w:eastAsia="Times New Roman" w:hAnsi="Arial" w:cs="Arial"/>
                <w:i/>
                <w:sz w:val="20"/>
                <w:szCs w:val="20"/>
                <w:vertAlign w:val="subscript"/>
              </w:rPr>
            </w:pPr>
            <w:r w:rsidRPr="004E0B13">
              <w:rPr>
                <w:rFonts w:ascii="Arial" w:eastAsia="Times New Roman" w:hAnsi="Arial" w:cs="Arial"/>
                <w:sz w:val="20"/>
                <w:szCs w:val="20"/>
              </w:rPr>
              <w:t>Enter capture efficiency corresponding to d</w:t>
            </w:r>
            <w:r w:rsidRPr="004E0B13">
              <w:rPr>
                <w:rFonts w:ascii="Arial" w:eastAsia="Times New Roman" w:hAnsi="Arial" w:cs="Arial"/>
                <w:sz w:val="20"/>
                <w:szCs w:val="20"/>
                <w:vertAlign w:val="subscript"/>
              </w:rPr>
              <w:t>HSC</w:t>
            </w:r>
            <w:r w:rsidRPr="004E0B13">
              <w:rPr>
                <w:rFonts w:ascii="Arial" w:eastAsia="Times New Roman" w:hAnsi="Arial" w:cs="Arial"/>
                <w:sz w:val="20"/>
                <w:szCs w:val="20"/>
              </w:rPr>
              <w:t xml:space="preserve"> from Table 6.7 (regionally based), </w:t>
            </w:r>
            <w:r w:rsidRPr="004E0B13">
              <w:rPr>
                <w:rFonts w:ascii="Arial" w:eastAsia="Times New Roman" w:hAnsi="Arial" w:cs="Arial"/>
                <w:i/>
                <w:sz w:val="20"/>
                <w:szCs w:val="20"/>
              </w:rPr>
              <w:t>Y</w:t>
            </w:r>
            <w:r w:rsidRPr="004E0B13">
              <w:rPr>
                <w:rFonts w:ascii="Arial" w:eastAsia="Times New Roman" w:hAnsi="Arial" w:cs="Arial"/>
                <w:i/>
                <w:sz w:val="20"/>
                <w:szCs w:val="20"/>
                <w:vertAlign w:val="subscript"/>
              </w:rPr>
              <w:t>1</w:t>
            </w:r>
          </w:p>
          <w:p w:rsidR="0081261C" w:rsidRPr="00126DE5" w:rsidRDefault="00126F3D" w:rsidP="004E0B13">
            <w:pPr>
              <w:pStyle w:val="ReportBodyText"/>
              <w:spacing w:after="0" w:line="264" w:lineRule="auto"/>
              <w:rPr>
                <w:rFonts w:cs="Arial"/>
                <w:b/>
                <w:color w:val="0070C0"/>
                <w:sz w:val="20"/>
                <w:szCs w:val="20"/>
              </w:rPr>
            </w:pPr>
            <w:fldSimple w:instr=" REF _Ref285398327 \h  \* MERGEFORMAT ">
              <w:r w:rsidR="00126DE5" w:rsidRPr="00126DE5">
                <w:rPr>
                  <w:rFonts w:cs="Arial"/>
                  <w:b/>
                  <w:color w:val="0070C0"/>
                  <w:sz w:val="20"/>
                  <w:szCs w:val="20"/>
                </w:rPr>
                <w:t>Worksheet A</w:t>
              </w:r>
            </w:fldSimple>
          </w:p>
        </w:tc>
        <w:tc>
          <w:tcPr>
            <w:tcW w:w="595" w:type="pct"/>
            <w:tcMar>
              <w:top w:w="36" w:type="dxa"/>
              <w:bottom w:w="36" w:type="dxa"/>
            </w:tcMar>
            <w:vAlign w:val="center"/>
          </w:tcPr>
          <w:p w:rsidR="001A75FD" w:rsidRPr="004E0B13" w:rsidRDefault="001A75FD" w:rsidP="004E0B13">
            <w:pPr>
              <w:spacing w:after="0" w:line="264" w:lineRule="auto"/>
              <w:jc w:val="right"/>
              <w:rPr>
                <w:rFonts w:ascii="Arial" w:eastAsia="Times New Roman" w:hAnsi="Arial" w:cs="Arial"/>
                <w:sz w:val="20"/>
                <w:szCs w:val="20"/>
              </w:rPr>
            </w:pPr>
            <w:r w:rsidRPr="004E0B13">
              <w:rPr>
                <w:rFonts w:ascii="Arial" w:eastAsia="Times New Roman" w:hAnsi="Arial" w:cs="Arial"/>
                <w:sz w:val="20"/>
                <w:szCs w:val="20"/>
              </w:rPr>
              <w:t>Y</w:t>
            </w:r>
            <w:r w:rsidRPr="004E0B13">
              <w:rPr>
                <w:rFonts w:ascii="Arial" w:eastAsia="Times New Roman" w:hAnsi="Arial" w:cs="Arial"/>
                <w:sz w:val="20"/>
                <w:szCs w:val="20"/>
                <w:vertAlign w:val="subscript"/>
              </w:rPr>
              <w:t>1</w:t>
            </w:r>
            <w:r w:rsidRPr="004E0B13">
              <w:rPr>
                <w:rFonts w:ascii="Arial" w:eastAsia="Times New Roman" w:hAnsi="Arial" w:cs="Arial"/>
                <w:sz w:val="20"/>
                <w:szCs w:val="20"/>
              </w:rPr>
              <w:t>=</w:t>
            </w:r>
          </w:p>
        </w:tc>
        <w:tc>
          <w:tcPr>
            <w:tcW w:w="595" w:type="pct"/>
            <w:tcMar>
              <w:top w:w="36" w:type="dxa"/>
              <w:bottom w:w="36" w:type="dxa"/>
            </w:tcMar>
            <w:vAlign w:val="center"/>
          </w:tcPr>
          <w:p w:rsidR="001A75FD" w:rsidRPr="004E0B13" w:rsidRDefault="001A75FD"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1A75FD" w:rsidRPr="004E0B13" w:rsidRDefault="001A75FD"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w:t>
            </w:r>
          </w:p>
        </w:tc>
      </w:tr>
      <w:tr w:rsidR="001A75FD" w:rsidRPr="004E0B13" w:rsidTr="00B75BA5">
        <w:trPr>
          <w:gridAfter w:val="1"/>
          <w:wAfter w:w="6" w:type="pct"/>
          <w:trHeight w:val="330"/>
        </w:trPr>
        <w:tc>
          <w:tcPr>
            <w:tcW w:w="170" w:type="pct"/>
            <w:shd w:val="clear" w:color="auto" w:fill="auto"/>
            <w:noWrap/>
            <w:tcMar>
              <w:top w:w="36" w:type="dxa"/>
              <w:bottom w:w="36" w:type="dxa"/>
            </w:tcMar>
            <w:vAlign w:val="center"/>
            <w:hideMark/>
          </w:tcPr>
          <w:p w:rsidR="001A75FD" w:rsidRPr="004E0B13" w:rsidRDefault="001A75FD" w:rsidP="004E0B13">
            <w:pPr>
              <w:spacing w:after="0" w:line="264" w:lineRule="auto"/>
              <w:jc w:val="center"/>
              <w:rPr>
                <w:rFonts w:ascii="Arial" w:eastAsia="Times New Roman" w:hAnsi="Arial" w:cs="Arial"/>
                <w:color w:val="000000"/>
              </w:rPr>
            </w:pPr>
            <w:r w:rsidRPr="004E0B13">
              <w:rPr>
                <w:rFonts w:ascii="Arial" w:eastAsia="Times New Roman" w:hAnsi="Arial" w:cs="Arial"/>
                <w:color w:val="000000"/>
              </w:rPr>
              <w:t>4</w:t>
            </w:r>
          </w:p>
        </w:tc>
        <w:tc>
          <w:tcPr>
            <w:tcW w:w="3039" w:type="pct"/>
            <w:shd w:val="clear" w:color="auto" w:fill="auto"/>
            <w:tcMar>
              <w:top w:w="36" w:type="dxa"/>
              <w:bottom w:w="36" w:type="dxa"/>
            </w:tcMar>
            <w:vAlign w:val="center"/>
            <w:hideMark/>
          </w:tcPr>
          <w:p w:rsidR="001A75FD" w:rsidRPr="004E0B13" w:rsidRDefault="001A75FD" w:rsidP="004E0B13">
            <w:pPr>
              <w:pStyle w:val="ReportBodyText"/>
              <w:spacing w:after="0" w:line="264" w:lineRule="auto"/>
              <w:rPr>
                <w:rFonts w:ascii="Arial" w:hAnsi="Arial" w:cs="Arial"/>
              </w:rPr>
            </w:pPr>
            <w:r w:rsidRPr="004E0B13">
              <w:rPr>
                <w:rFonts w:ascii="Arial" w:hAnsi="Arial" w:cs="Arial"/>
                <w:sz w:val="20"/>
                <w:szCs w:val="20"/>
              </w:rPr>
              <w:t xml:space="preserve">Using </w:t>
            </w:r>
            <w:fldSimple w:instr=" REF _Ref257795285 \h  \* MERGEFORMAT ">
              <w:r w:rsidR="00126DE5" w:rsidRPr="00126DE5">
                <w:rPr>
                  <w:rFonts w:cs="Arial"/>
                  <w:b/>
                  <w:color w:val="0070C0"/>
                  <w:sz w:val="20"/>
                  <w:szCs w:val="20"/>
                </w:rPr>
                <w:t>Figure III.2</w:t>
              </w:r>
            </w:fldSimple>
            <w:r w:rsidRPr="004E0B13">
              <w:rPr>
                <w:rFonts w:ascii="Arial" w:hAnsi="Arial" w:cs="Arial"/>
                <w:sz w:val="20"/>
                <w:szCs w:val="20"/>
              </w:rPr>
              <w:t>, determine the fraction of "design capture storm depth" at which the drawdown time (T) achieves the upstream capture efficiency(Y</w:t>
            </w:r>
            <w:r w:rsidRPr="004E0B13">
              <w:rPr>
                <w:rFonts w:ascii="Arial" w:hAnsi="Arial" w:cs="Arial"/>
                <w:sz w:val="20"/>
                <w:szCs w:val="20"/>
                <w:vertAlign w:val="subscript"/>
              </w:rPr>
              <w:t>1</w:t>
            </w:r>
            <w:r w:rsidRPr="004E0B13">
              <w:rPr>
                <w:rFonts w:ascii="Arial" w:hAnsi="Arial" w:cs="Arial"/>
                <w:sz w:val="20"/>
                <w:szCs w:val="20"/>
              </w:rPr>
              <w:t xml:space="preserve">), </w:t>
            </w:r>
            <w:r w:rsidRPr="004E0B13">
              <w:rPr>
                <w:rFonts w:ascii="Arial" w:hAnsi="Arial" w:cs="Arial"/>
                <w:i/>
                <w:sz w:val="20"/>
                <w:szCs w:val="20"/>
              </w:rPr>
              <w:t>X</w:t>
            </w:r>
            <w:r w:rsidRPr="004E0B13">
              <w:rPr>
                <w:rFonts w:ascii="Arial" w:hAnsi="Arial" w:cs="Arial"/>
                <w:i/>
                <w:sz w:val="20"/>
                <w:szCs w:val="20"/>
                <w:vertAlign w:val="subscript"/>
              </w:rPr>
              <w:t>1</w:t>
            </w:r>
          </w:p>
        </w:tc>
        <w:tc>
          <w:tcPr>
            <w:tcW w:w="595" w:type="pct"/>
            <w:tcMar>
              <w:top w:w="36" w:type="dxa"/>
              <w:bottom w:w="36" w:type="dxa"/>
            </w:tcMar>
            <w:vAlign w:val="center"/>
          </w:tcPr>
          <w:p w:rsidR="001A75FD" w:rsidRPr="004E0B13" w:rsidRDefault="001A75FD" w:rsidP="004E0B13">
            <w:pPr>
              <w:spacing w:after="0" w:line="264" w:lineRule="auto"/>
              <w:jc w:val="right"/>
              <w:rPr>
                <w:rFonts w:ascii="Arial" w:eastAsia="Times New Roman" w:hAnsi="Arial" w:cs="Arial"/>
                <w:sz w:val="20"/>
                <w:szCs w:val="20"/>
              </w:rPr>
            </w:pPr>
            <w:r w:rsidRPr="004E0B13">
              <w:rPr>
                <w:rFonts w:ascii="Arial" w:eastAsia="Times New Roman" w:hAnsi="Arial" w:cs="Arial"/>
                <w:sz w:val="20"/>
                <w:szCs w:val="20"/>
              </w:rPr>
              <w:t>X</w:t>
            </w:r>
            <w:r w:rsidRPr="004E0B13">
              <w:rPr>
                <w:rFonts w:ascii="Arial" w:eastAsia="Times New Roman" w:hAnsi="Arial" w:cs="Arial"/>
                <w:sz w:val="20"/>
                <w:szCs w:val="20"/>
                <w:vertAlign w:val="subscript"/>
              </w:rPr>
              <w:t>1</w:t>
            </w:r>
            <w:r w:rsidRPr="004E0B13">
              <w:rPr>
                <w:rFonts w:ascii="Arial" w:eastAsia="Times New Roman" w:hAnsi="Arial" w:cs="Arial"/>
                <w:sz w:val="20"/>
                <w:szCs w:val="20"/>
              </w:rPr>
              <w:t>=</w:t>
            </w:r>
          </w:p>
        </w:tc>
        <w:tc>
          <w:tcPr>
            <w:tcW w:w="595" w:type="pct"/>
            <w:tcMar>
              <w:top w:w="36" w:type="dxa"/>
              <w:bottom w:w="36" w:type="dxa"/>
            </w:tcMar>
            <w:vAlign w:val="center"/>
          </w:tcPr>
          <w:p w:rsidR="001A75FD" w:rsidRPr="004E0B13" w:rsidRDefault="001A75FD"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1A75FD" w:rsidRPr="004E0B13" w:rsidRDefault="001A75FD" w:rsidP="004E0B13">
            <w:pPr>
              <w:spacing w:after="0" w:line="264" w:lineRule="auto"/>
              <w:rPr>
                <w:rFonts w:ascii="Arial" w:eastAsia="Times New Roman" w:hAnsi="Arial" w:cs="Arial"/>
                <w:sz w:val="20"/>
                <w:szCs w:val="20"/>
              </w:rPr>
            </w:pPr>
          </w:p>
        </w:tc>
      </w:tr>
      <w:tr w:rsidR="001A75FD" w:rsidRPr="004E0B13" w:rsidTr="00B75BA5">
        <w:trPr>
          <w:gridAfter w:val="1"/>
          <w:wAfter w:w="6" w:type="pct"/>
          <w:trHeight w:val="330"/>
        </w:trPr>
        <w:tc>
          <w:tcPr>
            <w:tcW w:w="170" w:type="pct"/>
            <w:shd w:val="clear" w:color="auto" w:fill="auto"/>
            <w:noWrap/>
            <w:tcMar>
              <w:top w:w="36" w:type="dxa"/>
              <w:bottom w:w="36" w:type="dxa"/>
            </w:tcMar>
            <w:vAlign w:val="center"/>
            <w:hideMark/>
          </w:tcPr>
          <w:p w:rsidR="001A75FD" w:rsidRPr="004E0B13" w:rsidRDefault="001A75FD" w:rsidP="004E0B13">
            <w:pPr>
              <w:spacing w:after="0" w:line="264" w:lineRule="auto"/>
              <w:jc w:val="center"/>
              <w:rPr>
                <w:rFonts w:ascii="Arial" w:eastAsia="Times New Roman" w:hAnsi="Arial" w:cs="Arial"/>
                <w:color w:val="000000"/>
              </w:rPr>
            </w:pPr>
            <w:r w:rsidRPr="004E0B13">
              <w:rPr>
                <w:rFonts w:ascii="Arial" w:eastAsia="Times New Roman" w:hAnsi="Arial" w:cs="Arial"/>
                <w:color w:val="000000"/>
              </w:rPr>
              <w:t>5</w:t>
            </w:r>
          </w:p>
        </w:tc>
        <w:tc>
          <w:tcPr>
            <w:tcW w:w="3039" w:type="pct"/>
            <w:shd w:val="clear" w:color="auto" w:fill="auto"/>
            <w:tcMar>
              <w:top w:w="36" w:type="dxa"/>
              <w:bottom w:w="36" w:type="dxa"/>
            </w:tcMar>
            <w:vAlign w:val="center"/>
            <w:hideMark/>
          </w:tcPr>
          <w:p w:rsidR="001A75FD" w:rsidRPr="004E0B13" w:rsidRDefault="001A75FD" w:rsidP="004E0B13">
            <w:pPr>
              <w:pStyle w:val="ReportBodyText"/>
              <w:spacing w:after="0" w:line="264" w:lineRule="auto"/>
              <w:rPr>
                <w:rFonts w:ascii="Arial" w:hAnsi="Arial" w:cs="Arial"/>
                <w:sz w:val="20"/>
                <w:szCs w:val="20"/>
              </w:rPr>
            </w:pPr>
            <w:r w:rsidRPr="004E0B13">
              <w:rPr>
                <w:rFonts w:ascii="Arial" w:hAnsi="Arial" w:cs="Arial"/>
                <w:sz w:val="20"/>
                <w:szCs w:val="20"/>
              </w:rPr>
              <w:t xml:space="preserve">Determine the fraction of design capture storm depth corresponding to the cumulative capture efficiency, </w:t>
            </w:r>
            <w:r w:rsidRPr="004E0B13">
              <w:rPr>
                <w:rFonts w:ascii="Arial" w:hAnsi="Arial" w:cs="Arial"/>
                <w:i/>
                <w:sz w:val="20"/>
                <w:szCs w:val="20"/>
              </w:rPr>
              <w:t>X</w:t>
            </w:r>
            <w:r w:rsidRPr="004E0B13">
              <w:rPr>
                <w:rFonts w:ascii="Arial" w:hAnsi="Arial" w:cs="Arial"/>
                <w:i/>
                <w:sz w:val="20"/>
                <w:szCs w:val="20"/>
                <w:vertAlign w:val="subscript"/>
              </w:rPr>
              <w:t>2</w:t>
            </w:r>
            <w:r w:rsidRPr="004E0B13">
              <w:rPr>
                <w:rFonts w:ascii="Arial" w:hAnsi="Arial" w:cs="Arial"/>
                <w:i/>
                <w:sz w:val="20"/>
                <w:szCs w:val="20"/>
              </w:rPr>
              <w:t>=X</w:t>
            </w:r>
            <w:r w:rsidRPr="004E0B13">
              <w:rPr>
                <w:rFonts w:ascii="Arial" w:hAnsi="Arial" w:cs="Arial"/>
                <w:i/>
                <w:sz w:val="20"/>
                <w:szCs w:val="20"/>
                <w:vertAlign w:val="subscript"/>
              </w:rPr>
              <w:t>1</w:t>
            </w:r>
            <w:r w:rsidRPr="004E0B13">
              <w:rPr>
                <w:rFonts w:ascii="Arial" w:hAnsi="Arial" w:cs="Arial"/>
                <w:i/>
                <w:sz w:val="20"/>
                <w:szCs w:val="20"/>
              </w:rPr>
              <w:t>+X</w:t>
            </w:r>
            <w:r w:rsidRPr="004E0B13">
              <w:rPr>
                <w:rFonts w:ascii="Arial" w:hAnsi="Arial" w:cs="Arial"/>
                <w:i/>
                <w:sz w:val="20"/>
                <w:szCs w:val="20"/>
                <w:vertAlign w:val="subscript"/>
              </w:rPr>
              <w:t>fraction</w:t>
            </w:r>
          </w:p>
        </w:tc>
        <w:tc>
          <w:tcPr>
            <w:tcW w:w="595" w:type="pct"/>
            <w:tcMar>
              <w:top w:w="36" w:type="dxa"/>
              <w:bottom w:w="36" w:type="dxa"/>
            </w:tcMar>
            <w:vAlign w:val="center"/>
          </w:tcPr>
          <w:p w:rsidR="001A75FD" w:rsidRPr="004E0B13" w:rsidRDefault="001A75FD" w:rsidP="004E0B13">
            <w:pPr>
              <w:spacing w:after="0" w:line="264" w:lineRule="auto"/>
              <w:jc w:val="right"/>
              <w:rPr>
                <w:rFonts w:ascii="Arial" w:eastAsia="Times New Roman" w:hAnsi="Arial" w:cs="Arial"/>
                <w:sz w:val="20"/>
                <w:szCs w:val="20"/>
              </w:rPr>
            </w:pPr>
            <w:r w:rsidRPr="004E0B13">
              <w:rPr>
                <w:rFonts w:ascii="Arial" w:eastAsia="Times New Roman" w:hAnsi="Arial" w:cs="Arial"/>
                <w:sz w:val="20"/>
                <w:szCs w:val="20"/>
              </w:rPr>
              <w:t>X</w:t>
            </w:r>
            <w:r w:rsidRPr="004E0B13">
              <w:rPr>
                <w:rFonts w:ascii="Arial" w:eastAsia="Times New Roman" w:hAnsi="Arial" w:cs="Arial"/>
                <w:sz w:val="20"/>
                <w:szCs w:val="20"/>
                <w:vertAlign w:val="subscript"/>
              </w:rPr>
              <w:t>2</w:t>
            </w:r>
            <w:r w:rsidRPr="004E0B13">
              <w:rPr>
                <w:rFonts w:ascii="Arial" w:eastAsia="Times New Roman" w:hAnsi="Arial" w:cs="Arial"/>
                <w:sz w:val="20"/>
                <w:szCs w:val="20"/>
              </w:rPr>
              <w:t>=</w:t>
            </w:r>
          </w:p>
        </w:tc>
        <w:tc>
          <w:tcPr>
            <w:tcW w:w="595" w:type="pct"/>
            <w:tcMar>
              <w:top w:w="36" w:type="dxa"/>
              <w:bottom w:w="36" w:type="dxa"/>
            </w:tcMar>
            <w:vAlign w:val="center"/>
          </w:tcPr>
          <w:p w:rsidR="001A75FD" w:rsidRPr="004E0B13" w:rsidRDefault="001A75FD"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1A75FD" w:rsidRPr="004E0B13" w:rsidRDefault="001A75FD" w:rsidP="004E0B13">
            <w:pPr>
              <w:spacing w:after="0" w:line="264" w:lineRule="auto"/>
              <w:rPr>
                <w:rFonts w:ascii="Arial" w:eastAsia="Times New Roman" w:hAnsi="Arial" w:cs="Arial"/>
                <w:sz w:val="20"/>
                <w:szCs w:val="20"/>
              </w:rPr>
            </w:pPr>
          </w:p>
        </w:tc>
      </w:tr>
      <w:tr w:rsidR="001A75FD" w:rsidRPr="004E0B13" w:rsidTr="00B75BA5">
        <w:trPr>
          <w:gridAfter w:val="1"/>
          <w:wAfter w:w="6" w:type="pct"/>
          <w:trHeight w:val="330"/>
        </w:trPr>
        <w:tc>
          <w:tcPr>
            <w:tcW w:w="170" w:type="pct"/>
            <w:shd w:val="clear" w:color="auto" w:fill="auto"/>
            <w:noWrap/>
            <w:tcMar>
              <w:top w:w="36" w:type="dxa"/>
              <w:bottom w:w="36" w:type="dxa"/>
            </w:tcMar>
            <w:vAlign w:val="center"/>
            <w:hideMark/>
          </w:tcPr>
          <w:p w:rsidR="001A75FD" w:rsidRPr="004E0B13" w:rsidRDefault="001A75FD" w:rsidP="004E0B13">
            <w:pPr>
              <w:spacing w:after="0" w:line="264" w:lineRule="auto"/>
              <w:jc w:val="center"/>
              <w:rPr>
                <w:rFonts w:ascii="Arial" w:eastAsia="Times New Roman" w:hAnsi="Arial" w:cs="Arial"/>
                <w:color w:val="000000"/>
              </w:rPr>
            </w:pPr>
            <w:r w:rsidRPr="004E0B13">
              <w:rPr>
                <w:rFonts w:ascii="Arial" w:eastAsia="Times New Roman" w:hAnsi="Arial" w:cs="Arial"/>
                <w:color w:val="000000"/>
              </w:rPr>
              <w:t>6</w:t>
            </w:r>
          </w:p>
        </w:tc>
        <w:tc>
          <w:tcPr>
            <w:tcW w:w="3039" w:type="pct"/>
            <w:shd w:val="clear" w:color="auto" w:fill="auto"/>
            <w:tcMar>
              <w:top w:w="36" w:type="dxa"/>
              <w:bottom w:w="36" w:type="dxa"/>
            </w:tcMar>
            <w:vAlign w:val="center"/>
            <w:hideMark/>
          </w:tcPr>
          <w:p w:rsidR="001A75FD" w:rsidRPr="004E0B13" w:rsidRDefault="001A75FD" w:rsidP="004E0B13">
            <w:pPr>
              <w:pStyle w:val="ReportBodyText"/>
              <w:spacing w:after="0" w:line="264" w:lineRule="auto"/>
              <w:rPr>
                <w:rFonts w:ascii="Arial" w:hAnsi="Arial" w:cs="Arial"/>
              </w:rPr>
            </w:pPr>
            <w:r w:rsidRPr="004E0B13">
              <w:rPr>
                <w:rFonts w:ascii="Arial" w:hAnsi="Arial" w:cs="Arial"/>
                <w:sz w:val="20"/>
                <w:szCs w:val="20"/>
              </w:rPr>
              <w:t xml:space="preserve">Using </w:t>
            </w:r>
            <w:fldSimple w:instr=" REF _Ref257795285 \h  \* MERGEFORMAT ">
              <w:r w:rsidR="00126DE5" w:rsidRPr="00126DE5">
                <w:rPr>
                  <w:rFonts w:cs="Arial"/>
                  <w:b/>
                  <w:color w:val="0070C0"/>
                  <w:sz w:val="20"/>
                  <w:szCs w:val="20"/>
                </w:rPr>
                <w:t>Figure III.2</w:t>
              </w:r>
            </w:fldSimple>
            <w:r w:rsidRPr="004E0B13">
              <w:rPr>
                <w:rFonts w:ascii="Arial" w:hAnsi="Arial" w:cs="Arial"/>
                <w:sz w:val="20"/>
                <w:szCs w:val="20"/>
              </w:rPr>
              <w:t>, determine the capture efficiency corresponding to total fraction of design storm depth (X</w:t>
            </w:r>
            <w:r w:rsidRPr="004E0B13">
              <w:rPr>
                <w:rFonts w:ascii="Arial" w:hAnsi="Arial" w:cs="Arial"/>
                <w:sz w:val="20"/>
                <w:szCs w:val="20"/>
                <w:vertAlign w:val="subscript"/>
              </w:rPr>
              <w:t>2</w:t>
            </w:r>
            <w:r w:rsidRPr="004E0B13">
              <w:rPr>
                <w:rFonts w:ascii="Arial" w:hAnsi="Arial" w:cs="Arial"/>
                <w:sz w:val="20"/>
                <w:szCs w:val="20"/>
              </w:rPr>
              <w:t xml:space="preserve">) for drawdown time (T), </w:t>
            </w:r>
            <w:r w:rsidRPr="004E0B13">
              <w:rPr>
                <w:rFonts w:ascii="Arial" w:hAnsi="Arial" w:cs="Arial"/>
                <w:i/>
                <w:sz w:val="20"/>
                <w:szCs w:val="20"/>
              </w:rPr>
              <w:t>Y</w:t>
            </w:r>
            <w:r w:rsidRPr="004E0B13">
              <w:rPr>
                <w:rFonts w:ascii="Arial" w:hAnsi="Arial" w:cs="Arial"/>
                <w:i/>
                <w:sz w:val="20"/>
                <w:szCs w:val="20"/>
                <w:vertAlign w:val="subscript"/>
              </w:rPr>
              <w:t>2</w:t>
            </w:r>
          </w:p>
        </w:tc>
        <w:tc>
          <w:tcPr>
            <w:tcW w:w="595" w:type="pct"/>
            <w:tcMar>
              <w:top w:w="36" w:type="dxa"/>
              <w:bottom w:w="36" w:type="dxa"/>
            </w:tcMar>
            <w:vAlign w:val="center"/>
          </w:tcPr>
          <w:p w:rsidR="001A75FD" w:rsidRPr="004E0B13" w:rsidRDefault="001A75FD" w:rsidP="004E0B13">
            <w:pPr>
              <w:spacing w:after="0" w:line="264" w:lineRule="auto"/>
              <w:jc w:val="right"/>
              <w:rPr>
                <w:rFonts w:ascii="Arial" w:eastAsia="Times New Roman" w:hAnsi="Arial" w:cs="Arial"/>
                <w:sz w:val="20"/>
                <w:szCs w:val="20"/>
              </w:rPr>
            </w:pPr>
            <w:r w:rsidRPr="004E0B13">
              <w:rPr>
                <w:rFonts w:ascii="Arial" w:eastAsia="Times New Roman" w:hAnsi="Arial" w:cs="Arial"/>
                <w:sz w:val="20"/>
                <w:szCs w:val="20"/>
              </w:rPr>
              <w:t>Y</w:t>
            </w:r>
            <w:r w:rsidRPr="004E0B13">
              <w:rPr>
                <w:rFonts w:ascii="Arial" w:eastAsia="Times New Roman" w:hAnsi="Arial" w:cs="Arial"/>
                <w:sz w:val="20"/>
                <w:szCs w:val="20"/>
                <w:vertAlign w:val="subscript"/>
              </w:rPr>
              <w:t>2</w:t>
            </w:r>
            <w:r w:rsidRPr="004E0B13">
              <w:rPr>
                <w:rFonts w:ascii="Arial" w:eastAsia="Times New Roman" w:hAnsi="Arial" w:cs="Arial"/>
                <w:sz w:val="20"/>
                <w:szCs w:val="20"/>
              </w:rPr>
              <w:t>=</w:t>
            </w:r>
          </w:p>
        </w:tc>
        <w:tc>
          <w:tcPr>
            <w:tcW w:w="595" w:type="pct"/>
            <w:tcMar>
              <w:top w:w="36" w:type="dxa"/>
              <w:bottom w:w="36" w:type="dxa"/>
            </w:tcMar>
            <w:vAlign w:val="center"/>
          </w:tcPr>
          <w:p w:rsidR="001A75FD" w:rsidRPr="004E0B13" w:rsidRDefault="001A75FD"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1A75FD" w:rsidRPr="004E0B13" w:rsidRDefault="001A75FD"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w:t>
            </w:r>
          </w:p>
        </w:tc>
      </w:tr>
      <w:tr w:rsidR="0081261C" w:rsidRPr="004E0B13" w:rsidTr="00B75BA5">
        <w:trPr>
          <w:trHeight w:val="330"/>
        </w:trPr>
        <w:tc>
          <w:tcPr>
            <w:tcW w:w="5000" w:type="pct"/>
            <w:gridSpan w:val="6"/>
            <w:shd w:val="clear" w:color="auto" w:fill="D9D9D9"/>
            <w:noWrap/>
            <w:tcMar>
              <w:top w:w="36" w:type="dxa"/>
              <w:bottom w:w="36" w:type="dxa"/>
            </w:tcMar>
            <w:vAlign w:val="center"/>
            <w:hideMark/>
          </w:tcPr>
          <w:p w:rsidR="0081261C" w:rsidRPr="004E0B13" w:rsidRDefault="0081261C" w:rsidP="004E0B13">
            <w:pPr>
              <w:pStyle w:val="ExampleSubheading"/>
              <w:pBdr>
                <w:top w:val="none" w:sz="0" w:space="0" w:color="auto"/>
                <w:left w:val="none" w:sz="0" w:space="0" w:color="auto"/>
                <w:bottom w:val="none" w:sz="0" w:space="0" w:color="auto"/>
                <w:right w:val="none" w:sz="0" w:space="0" w:color="auto"/>
              </w:pBdr>
              <w:spacing w:before="0" w:after="0" w:line="264" w:lineRule="auto"/>
              <w:ind w:left="0"/>
              <w:outlineLvl w:val="0"/>
              <w:rPr>
                <w:color w:val="000000"/>
              </w:rPr>
            </w:pPr>
            <w:r w:rsidRPr="004E0B13">
              <w:t>Supporting Calculations</w:t>
            </w:r>
          </w:p>
        </w:tc>
      </w:tr>
      <w:tr w:rsidR="0081261C" w:rsidRPr="004E0B13" w:rsidTr="0081261C">
        <w:trPr>
          <w:gridAfter w:val="1"/>
          <w:wAfter w:w="6" w:type="pct"/>
          <w:trHeight w:val="1511"/>
        </w:trPr>
        <w:tc>
          <w:tcPr>
            <w:tcW w:w="4994" w:type="pct"/>
            <w:gridSpan w:val="5"/>
            <w:shd w:val="clear" w:color="auto" w:fill="auto"/>
            <w:noWrap/>
            <w:tcMar>
              <w:top w:w="36" w:type="dxa"/>
              <w:bottom w:w="36" w:type="dxa"/>
            </w:tcMar>
            <w:hideMark/>
          </w:tcPr>
          <w:p w:rsidR="0081261C" w:rsidRPr="004E0B13" w:rsidRDefault="0081261C" w:rsidP="004E0B13">
            <w:pPr>
              <w:keepNext/>
              <w:spacing w:after="0" w:line="264" w:lineRule="auto"/>
              <w:rPr>
                <w:rFonts w:ascii="Arial" w:eastAsia="Times New Roman" w:hAnsi="Arial" w:cs="Arial"/>
                <w:sz w:val="20"/>
                <w:szCs w:val="20"/>
              </w:rPr>
            </w:pPr>
            <w:r w:rsidRPr="004E0B13">
              <w:rPr>
                <w:rFonts w:ascii="Arial" w:eastAsia="Times New Roman" w:hAnsi="Arial" w:cs="Arial"/>
                <w:sz w:val="20"/>
                <w:szCs w:val="20"/>
              </w:rPr>
              <w:t>Describe system:</w:t>
            </w:r>
          </w:p>
        </w:tc>
      </w:tr>
      <w:tr w:rsidR="0081261C" w:rsidRPr="004E0B13" w:rsidTr="0081261C">
        <w:trPr>
          <w:gridAfter w:val="1"/>
          <w:wAfter w:w="6" w:type="pct"/>
          <w:trHeight w:val="1619"/>
        </w:trPr>
        <w:tc>
          <w:tcPr>
            <w:tcW w:w="4994" w:type="pct"/>
            <w:gridSpan w:val="5"/>
            <w:shd w:val="clear" w:color="auto" w:fill="auto"/>
            <w:noWrap/>
            <w:tcMar>
              <w:top w:w="36" w:type="dxa"/>
              <w:bottom w:w="36" w:type="dxa"/>
            </w:tcMar>
            <w:hideMark/>
          </w:tcPr>
          <w:p w:rsidR="0081261C" w:rsidRPr="004E0B13" w:rsidRDefault="0081261C"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Provide drawdown calculations per equations in applicable BMP Fact Sheet:</w:t>
            </w:r>
          </w:p>
        </w:tc>
      </w:tr>
      <w:tr w:rsidR="0081261C" w:rsidRPr="004E0B13" w:rsidTr="00B75BA5">
        <w:trPr>
          <w:trHeight w:val="330"/>
        </w:trPr>
        <w:tc>
          <w:tcPr>
            <w:tcW w:w="5000" w:type="pct"/>
            <w:gridSpan w:val="6"/>
            <w:shd w:val="clear" w:color="auto" w:fill="D9D9D9"/>
            <w:noWrap/>
            <w:tcMar>
              <w:top w:w="36" w:type="dxa"/>
              <w:bottom w:w="36" w:type="dxa"/>
            </w:tcMar>
            <w:vAlign w:val="center"/>
            <w:hideMark/>
          </w:tcPr>
          <w:p w:rsidR="0081261C" w:rsidRPr="004E0B13" w:rsidRDefault="0081261C" w:rsidP="004E0B13">
            <w:pPr>
              <w:pStyle w:val="ExampleSubheading"/>
              <w:pBdr>
                <w:top w:val="none" w:sz="0" w:space="0" w:color="auto"/>
                <w:left w:val="none" w:sz="0" w:space="0" w:color="auto"/>
                <w:bottom w:val="none" w:sz="0" w:space="0" w:color="auto"/>
                <w:right w:val="none" w:sz="0" w:space="0" w:color="auto"/>
              </w:pBdr>
              <w:spacing w:before="0" w:after="0" w:line="264" w:lineRule="auto"/>
              <w:ind w:left="0"/>
              <w:outlineLvl w:val="0"/>
              <w:rPr>
                <w:color w:val="000000"/>
              </w:rPr>
            </w:pPr>
            <w:r w:rsidRPr="004E0B13">
              <w:t>Graphical Operations</w:t>
            </w:r>
          </w:p>
        </w:tc>
      </w:tr>
      <w:tr w:rsidR="0081261C" w:rsidRPr="004E0B13" w:rsidTr="00B75BA5">
        <w:trPr>
          <w:gridAfter w:val="1"/>
          <w:wAfter w:w="6" w:type="pct"/>
          <w:trHeight w:val="1718"/>
        </w:trPr>
        <w:tc>
          <w:tcPr>
            <w:tcW w:w="4994" w:type="pct"/>
            <w:gridSpan w:val="5"/>
            <w:shd w:val="clear" w:color="auto" w:fill="auto"/>
            <w:noWrap/>
            <w:tcMar>
              <w:top w:w="36" w:type="dxa"/>
              <w:bottom w:w="36" w:type="dxa"/>
            </w:tcMar>
            <w:hideMark/>
          </w:tcPr>
          <w:p w:rsidR="0081261C" w:rsidRPr="004E0B13" w:rsidRDefault="0081261C" w:rsidP="004E0B13">
            <w:pPr>
              <w:pStyle w:val="CDMBTEXT"/>
              <w:spacing w:after="0"/>
              <w:rPr>
                <w:rFonts w:ascii="Arial" w:hAnsi="Arial" w:cs="Arial"/>
              </w:rPr>
            </w:pPr>
            <w:r w:rsidRPr="004E0B13">
              <w:rPr>
                <w:rFonts w:ascii="Arial" w:hAnsi="Arial" w:cs="Arial"/>
                <w:noProof/>
              </w:rPr>
              <w:drawing>
                <wp:inline distT="0" distB="0" distL="0" distR="0">
                  <wp:extent cx="5943600" cy="4308667"/>
                  <wp:effectExtent l="19050" t="0" r="0" b="0"/>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email"/>
                          <a:srcRect/>
                          <a:stretch>
                            <a:fillRect/>
                          </a:stretch>
                        </pic:blipFill>
                        <pic:spPr bwMode="auto">
                          <a:xfrm>
                            <a:off x="0" y="0"/>
                            <a:ext cx="5943600" cy="4308667"/>
                          </a:xfrm>
                          <a:prstGeom prst="rect">
                            <a:avLst/>
                          </a:prstGeom>
                          <a:noFill/>
                        </pic:spPr>
                      </pic:pic>
                    </a:graphicData>
                  </a:graphic>
                </wp:inline>
              </w:drawing>
            </w:r>
          </w:p>
          <w:p w:rsidR="0081261C" w:rsidRPr="004E0B13" w:rsidRDefault="0081261C" w:rsidP="004E0B13">
            <w:pPr>
              <w:spacing w:after="0" w:line="264" w:lineRule="auto"/>
              <w:rPr>
                <w:rFonts w:ascii="Arial" w:eastAsia="Times New Roman" w:hAnsi="Arial" w:cs="Arial"/>
                <w:sz w:val="20"/>
                <w:szCs w:val="20"/>
              </w:rPr>
            </w:pPr>
          </w:p>
          <w:p w:rsidR="0081261C" w:rsidRPr="004E0B13" w:rsidRDefault="00497E2A" w:rsidP="004E0B13">
            <w:pPr>
              <w:pStyle w:val="ReportBodyText"/>
              <w:spacing w:after="0" w:line="264" w:lineRule="auto"/>
              <w:rPr>
                <w:rFonts w:ascii="Arial" w:hAnsi="Arial" w:cs="Arial"/>
                <w:sz w:val="20"/>
                <w:szCs w:val="20"/>
              </w:rPr>
            </w:pPr>
            <w:r>
              <w:rPr>
                <w:rFonts w:ascii="Arial" w:hAnsi="Arial" w:cs="Arial"/>
                <w:sz w:val="20"/>
                <w:szCs w:val="20"/>
              </w:rPr>
              <w:t>Use this graph to p</w:t>
            </w:r>
            <w:r w:rsidR="0081261C" w:rsidRPr="004E0B13">
              <w:rPr>
                <w:rFonts w:ascii="Arial" w:hAnsi="Arial" w:cs="Arial"/>
                <w:sz w:val="20"/>
                <w:szCs w:val="20"/>
              </w:rPr>
              <w:t xml:space="preserve">rovide </w:t>
            </w:r>
            <w:r>
              <w:rPr>
                <w:rFonts w:ascii="Arial" w:hAnsi="Arial" w:cs="Arial"/>
                <w:sz w:val="20"/>
                <w:szCs w:val="20"/>
              </w:rPr>
              <w:t xml:space="preserve">the </w:t>
            </w:r>
            <w:r w:rsidR="0081261C" w:rsidRPr="004E0B13">
              <w:rPr>
                <w:rFonts w:ascii="Arial" w:hAnsi="Arial" w:cs="Arial"/>
                <w:sz w:val="20"/>
                <w:szCs w:val="20"/>
              </w:rPr>
              <w:t xml:space="preserve">supporting graphical operations. See </w:t>
            </w:r>
            <w:fldSimple w:instr=" REF _Ref261769862 \h  \* MERGEFORMAT ">
              <w:r w:rsidR="00126DE5" w:rsidRPr="00126DE5">
                <w:rPr>
                  <w:rFonts w:cs="Arial"/>
                  <w:b/>
                  <w:color w:val="0070C0"/>
                  <w:sz w:val="20"/>
                  <w:szCs w:val="20"/>
                </w:rPr>
                <w:t xml:space="preserve">Example </w:t>
              </w:r>
              <w:r w:rsidR="00126DE5" w:rsidRPr="00126DE5">
                <w:rPr>
                  <w:rFonts w:cs="Arial"/>
                  <w:b/>
                  <w:noProof/>
                  <w:color w:val="0070C0"/>
                  <w:sz w:val="20"/>
                  <w:szCs w:val="20"/>
                </w:rPr>
                <w:t>III</w:t>
              </w:r>
              <w:r w:rsidR="00126DE5" w:rsidRPr="00126DE5">
                <w:rPr>
                  <w:rFonts w:cs="Arial"/>
                  <w:b/>
                  <w:color w:val="0070C0"/>
                  <w:sz w:val="20"/>
                  <w:szCs w:val="20"/>
                </w:rPr>
                <w:t>.8</w:t>
              </w:r>
            </w:fldSimple>
            <w:r w:rsidR="0081261C" w:rsidRPr="004E0B13">
              <w:rPr>
                <w:rFonts w:ascii="Arial" w:hAnsi="Arial" w:cs="Arial"/>
              </w:rPr>
              <w:t>.</w:t>
            </w:r>
          </w:p>
        </w:tc>
      </w:tr>
    </w:tbl>
    <w:p w:rsidR="00001A88" w:rsidRPr="00B53524" w:rsidRDefault="00001A88" w:rsidP="00A52883">
      <w:pPr>
        <w:pStyle w:val="Heading3"/>
      </w:pPr>
      <w:bookmarkStart w:id="237" w:name="_Ref257642808"/>
      <w:bookmarkStart w:id="238" w:name="_Ref261617752"/>
      <w:r w:rsidRPr="00311A64">
        <w:t>Computing Average Annual Capture Efficiency of Harvest and Use BMPs with Seasonally-Varying Use Rate (Irrigation Demand)</w:t>
      </w:r>
      <w:bookmarkEnd w:id="237"/>
      <w:r w:rsidRPr="00311A64">
        <w:t xml:space="preserve"> based on System Description</w:t>
      </w:r>
      <w:bookmarkEnd w:id="238"/>
    </w:p>
    <w:p w:rsidR="00001A88" w:rsidRPr="00B53524" w:rsidRDefault="00001A88" w:rsidP="00001A88">
      <w:pPr>
        <w:pStyle w:val="ReportBodyText"/>
        <w:spacing w:after="240" w:line="280" w:lineRule="exact"/>
      </w:pPr>
      <w:r w:rsidRPr="00311A64">
        <w:t>This section describes instructions for computing the capture efficiency for a given harvest and use BMP configuration with seasonally varying use rate (irrigation demand), considering the cumulative effects of upstream controls</w:t>
      </w:r>
      <w:r>
        <w:t xml:space="preserve"> and is applicable across Orange County</w:t>
      </w:r>
      <w:r w:rsidRPr="00311A64">
        <w:t xml:space="preserve">. </w:t>
      </w:r>
    </w:p>
    <w:p w:rsidR="00001A88" w:rsidRPr="00B53524" w:rsidRDefault="00001A88" w:rsidP="00CE32B9">
      <w:pPr>
        <w:pStyle w:val="CDMBTEXT"/>
      </w:pPr>
      <w:r w:rsidRPr="00311A64">
        <w:t>Stepwise Instructions for Harvest and Use BMP (with seasonally-varying irrigation demand):</w:t>
      </w:r>
    </w:p>
    <w:p w:rsidR="00001A88" w:rsidRPr="00B53524" w:rsidRDefault="00001A88" w:rsidP="009531AF">
      <w:pPr>
        <w:pStyle w:val="ReportBodyText"/>
        <w:numPr>
          <w:ilvl w:val="0"/>
          <w:numId w:val="4"/>
        </w:numPr>
        <w:spacing w:after="0" w:line="280" w:lineRule="exact"/>
      </w:pPr>
      <w:r w:rsidRPr="00311A64">
        <w:t xml:space="preserve">Determine the storage volume provided in the BMP, and use the equation presented in </w:t>
      </w:r>
      <w:r w:rsidR="00524D76" w:rsidRPr="00524D76">
        <w:rPr>
          <w:b/>
        </w:rPr>
        <w:t>Appendix</w:t>
      </w:r>
      <w:r w:rsidR="00B32C4E">
        <w:t xml:space="preserve"> </w:t>
      </w:r>
      <w:r w:rsidR="00126F3D" w:rsidRPr="00126DE5">
        <w:rPr>
          <w:rFonts w:cs="Arial"/>
          <w:b/>
          <w:color w:val="0070C0"/>
          <w:sz w:val="20"/>
          <w:szCs w:val="20"/>
        </w:rPr>
        <w:fldChar w:fldCharType="begin"/>
      </w:r>
      <w:r w:rsidR="00B32C4E" w:rsidRPr="00126DE5">
        <w:rPr>
          <w:rFonts w:cs="Arial"/>
          <w:b/>
          <w:color w:val="0070C0"/>
          <w:sz w:val="20"/>
          <w:szCs w:val="20"/>
        </w:rPr>
        <w:instrText xml:space="preserve"> REF _Ref285114903 \r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rFonts w:cs="Arial"/>
          <w:b/>
          <w:color w:val="0070C0"/>
          <w:sz w:val="20"/>
          <w:szCs w:val="20"/>
        </w:rPr>
        <w:t>III.1.1</w:t>
      </w:r>
      <w:r w:rsidR="00126F3D" w:rsidRPr="00126DE5">
        <w:rPr>
          <w:rFonts w:cs="Arial"/>
          <w:b/>
          <w:color w:val="0070C0"/>
          <w:sz w:val="20"/>
          <w:szCs w:val="20"/>
        </w:rPr>
        <w:fldChar w:fldCharType="end"/>
      </w:r>
      <w:r w:rsidR="00B32C4E">
        <w:t xml:space="preserve"> </w:t>
      </w:r>
      <w:r w:rsidRPr="00311A64">
        <w:t xml:space="preserve">to back-compute the effective design storm depth provided.  Divide the provided storm depth by the design capture storm depth so that it is expressed as a fraction of the </w:t>
      </w:r>
      <w:r w:rsidR="003C7091">
        <w:t>DCV</w:t>
      </w:r>
      <w:r w:rsidRPr="00311A64">
        <w:t xml:space="preserve">.  For example, if 0.6 inches of storage is provided and the design capture storm depth is 0.9 inches, then the provided volume would be expressed as (0.6/0.9) = 0.67 of the </w:t>
      </w:r>
      <w:r w:rsidR="003C7091">
        <w:t>DCV</w:t>
      </w:r>
      <w:r w:rsidRPr="00311A64">
        <w:t xml:space="preserve">. </w:t>
      </w:r>
    </w:p>
    <w:p w:rsidR="00001A88" w:rsidRPr="00B53524" w:rsidRDefault="00001A88" w:rsidP="009531AF">
      <w:pPr>
        <w:pStyle w:val="ReportBodyText"/>
        <w:numPr>
          <w:ilvl w:val="0"/>
          <w:numId w:val="4"/>
        </w:numPr>
        <w:spacing w:after="240" w:line="280" w:lineRule="exact"/>
      </w:pPr>
      <w:r w:rsidRPr="00311A64">
        <w:t>Estimate the effective irrigation area ratio of the system (</w:t>
      </w:r>
      <w:r w:rsidR="002A451E" w:rsidRPr="00043B81">
        <w:rPr>
          <w:i/>
        </w:rPr>
        <w:t>E</w:t>
      </w:r>
      <w:r w:rsidRPr="00311A64">
        <w:rPr>
          <w:i/>
        </w:rPr>
        <w:t>I</w:t>
      </w:r>
      <w:r w:rsidR="002A451E">
        <w:rPr>
          <w:i/>
        </w:rPr>
        <w:t>ATA</w:t>
      </w:r>
      <w:r w:rsidRPr="00311A64">
        <w:t xml:space="preserve">): </w:t>
      </w:r>
    </w:p>
    <w:p w:rsidR="0014047B" w:rsidRDefault="002A451E">
      <w:pPr>
        <w:pStyle w:val="CDMBTEXT"/>
        <w:ind w:left="1440"/>
      </w:pPr>
      <w:r>
        <w:t>EIATA = L</w:t>
      </w:r>
      <w:r w:rsidRPr="00311A64">
        <w:t>A × K</w:t>
      </w:r>
      <w:r w:rsidRPr="00270987">
        <w:rPr>
          <w:vertAlign w:val="subscript"/>
        </w:rPr>
        <w:t>L</w:t>
      </w:r>
      <w:proofErr w:type="gramStart"/>
      <w:r w:rsidRPr="00311A64">
        <w:t>/[</w:t>
      </w:r>
      <w:proofErr w:type="gramEnd"/>
      <w:r w:rsidRPr="00311A64">
        <w:t>IE × Tributary Impervious Area]</w:t>
      </w:r>
    </w:p>
    <w:p w:rsidR="0014047B" w:rsidRDefault="002A451E">
      <w:pPr>
        <w:pStyle w:val="CDMBTEXT"/>
        <w:ind w:left="720"/>
      </w:pPr>
      <w:r w:rsidRPr="00311A64">
        <w:t>Where:</w:t>
      </w:r>
    </w:p>
    <w:p w:rsidR="0014047B" w:rsidRDefault="002A451E" w:rsidP="007D631A">
      <w:pPr>
        <w:pStyle w:val="CDMBTEXT"/>
        <w:spacing w:after="0"/>
        <w:ind w:left="1440"/>
      </w:pPr>
      <w:r>
        <w:t>EIATA = Effective Irrigated A</w:t>
      </w:r>
      <w:r w:rsidRPr="00311A64">
        <w:t xml:space="preserve">rea </w:t>
      </w:r>
      <w:r>
        <w:t xml:space="preserve">to Tributary Area </w:t>
      </w:r>
      <w:r w:rsidRPr="00311A64">
        <w:t>ratio (ac/ac)</w:t>
      </w:r>
    </w:p>
    <w:p w:rsidR="0014047B" w:rsidRDefault="002A451E" w:rsidP="007D631A">
      <w:pPr>
        <w:pStyle w:val="CDMBTEXT"/>
        <w:spacing w:after="0"/>
        <w:ind w:left="1440"/>
      </w:pPr>
      <w:r>
        <w:t>L</w:t>
      </w:r>
      <w:r w:rsidRPr="00311A64">
        <w:t xml:space="preserve">A = </w:t>
      </w:r>
      <w:r>
        <w:t xml:space="preserve">landscape </w:t>
      </w:r>
      <w:r w:rsidRPr="00311A64">
        <w:t xml:space="preserve">area irrigated with harvested water, </w:t>
      </w:r>
      <w:r>
        <w:t>sq-ft</w:t>
      </w:r>
    </w:p>
    <w:p w:rsidR="0014047B" w:rsidRDefault="002A451E" w:rsidP="007D631A">
      <w:pPr>
        <w:pStyle w:val="CDMBTEXT"/>
        <w:spacing w:after="0"/>
        <w:ind w:left="1440"/>
      </w:pPr>
      <w:r w:rsidRPr="00311A64">
        <w:t>K</w:t>
      </w:r>
      <w:r w:rsidRPr="00270987">
        <w:rPr>
          <w:vertAlign w:val="subscript"/>
        </w:rPr>
        <w:t>L</w:t>
      </w:r>
      <w:r w:rsidRPr="00311A64">
        <w:t xml:space="preserve"> = </w:t>
      </w:r>
      <w:r>
        <w:t xml:space="preserve">Area-weighted landscape coefficient (see guidance and references in </w:t>
      </w:r>
      <w:r w:rsidR="00524D76" w:rsidRPr="00524D76">
        <w:rPr>
          <w:b/>
        </w:rPr>
        <w:t>Appendix</w:t>
      </w:r>
      <w:r>
        <w:t xml:space="preserve"> </w:t>
      </w:r>
      <w:r w:rsidR="00126F3D" w:rsidRPr="00126DE5">
        <w:rPr>
          <w:b/>
          <w:color w:val="0070C0"/>
          <w:sz w:val="20"/>
        </w:rPr>
        <w:fldChar w:fldCharType="begin"/>
      </w:r>
      <w:r w:rsidRPr="00126DE5">
        <w:rPr>
          <w:b/>
          <w:color w:val="0070C0"/>
          <w:sz w:val="20"/>
        </w:rPr>
        <w:instrText xml:space="preserve"> REF _Ref285530460 \r \h </w:instrText>
      </w:r>
      <w:r w:rsidR="00126F3D" w:rsidRPr="00126DE5">
        <w:rPr>
          <w:b/>
          <w:color w:val="0070C0"/>
          <w:sz w:val="20"/>
        </w:rPr>
      </w:r>
      <w:r w:rsidR="00126F3D" w:rsidRPr="00126DE5">
        <w:rPr>
          <w:b/>
          <w:color w:val="0070C0"/>
          <w:sz w:val="20"/>
        </w:rPr>
        <w:fldChar w:fldCharType="separate"/>
      </w:r>
      <w:r w:rsidR="00126DE5" w:rsidRPr="00126DE5">
        <w:rPr>
          <w:b/>
          <w:color w:val="0070C0"/>
          <w:sz w:val="20"/>
        </w:rPr>
        <w:t>X.2.5.2</w:t>
      </w:r>
      <w:r w:rsidR="00126F3D" w:rsidRPr="00126DE5">
        <w:rPr>
          <w:b/>
          <w:color w:val="0070C0"/>
          <w:sz w:val="20"/>
        </w:rPr>
        <w:fldChar w:fldCharType="end"/>
      </w:r>
      <w:r>
        <w:t>)</w:t>
      </w:r>
    </w:p>
    <w:p w:rsidR="00001A88" w:rsidRDefault="002A451E" w:rsidP="007D631A">
      <w:pPr>
        <w:pStyle w:val="CDMBTEXT"/>
        <w:spacing w:after="0"/>
        <w:ind w:left="1440"/>
      </w:pPr>
      <w:r>
        <w:t>IE = irrigation efficiency (assume 0.90)</w:t>
      </w:r>
    </w:p>
    <w:p w:rsidR="007D631A" w:rsidRPr="00B53524" w:rsidRDefault="007D631A" w:rsidP="007D631A">
      <w:pPr>
        <w:pStyle w:val="CDMBTEXT"/>
        <w:spacing w:after="0"/>
        <w:ind w:left="1440"/>
      </w:pPr>
    </w:p>
    <w:p w:rsidR="00001A88" w:rsidRPr="00B53524" w:rsidRDefault="00001A88" w:rsidP="009531AF">
      <w:pPr>
        <w:pStyle w:val="ReportBodyText"/>
        <w:numPr>
          <w:ilvl w:val="0"/>
          <w:numId w:val="4"/>
        </w:numPr>
        <w:spacing w:after="240" w:line="280" w:lineRule="exact"/>
        <w:contextualSpacing/>
      </w:pPr>
      <w:r w:rsidRPr="00311A64">
        <w:t xml:space="preserve">Determine the capture efficiency that has already been provided upstream. This will have already been computed in a previous iteration of this method if upstream BMPs are provided.  Trace a horizontal line corresponding to this capture efficiency on </w:t>
      </w:r>
      <w:fldSimple w:instr=" REF _Ref257795303 \h  \* MERGEFORMAT ">
        <w:r w:rsidR="00126DE5" w:rsidRPr="00126DE5">
          <w:rPr>
            <w:rFonts w:cs="Arial"/>
            <w:b/>
            <w:color w:val="0070C0"/>
            <w:sz w:val="20"/>
            <w:szCs w:val="20"/>
          </w:rPr>
          <w:t>Figure III.3</w:t>
        </w:r>
      </w:fldSimple>
      <w:r w:rsidRPr="00311A64">
        <w:t xml:space="preserve">.  Locate where this line intersects with the </w:t>
      </w:r>
      <w:r w:rsidR="002A451E">
        <w:t>EIATA</w:t>
      </w:r>
      <w:r w:rsidRPr="00311A64">
        <w:t xml:space="preserve"> line (2).  Pivot and read down to the horizontal axis. This is X</w:t>
      </w:r>
      <w:r w:rsidRPr="00311A64">
        <w:rPr>
          <w:vertAlign w:val="subscript"/>
        </w:rPr>
        <w:t>1.</w:t>
      </w:r>
    </w:p>
    <w:p w:rsidR="00001A88" w:rsidRPr="00B53524" w:rsidRDefault="00001A88" w:rsidP="009531AF">
      <w:pPr>
        <w:pStyle w:val="ReportBodyText"/>
        <w:numPr>
          <w:ilvl w:val="0"/>
          <w:numId w:val="4"/>
        </w:numPr>
        <w:spacing w:after="240" w:line="280" w:lineRule="exact"/>
        <w:contextualSpacing/>
      </w:pPr>
      <w:r w:rsidRPr="00311A64">
        <w:t>Add the result of (1) to the result of (3).  This is X</w:t>
      </w:r>
      <w:r w:rsidRPr="00311A64">
        <w:rPr>
          <w:vertAlign w:val="subscript"/>
        </w:rPr>
        <w:t>2</w:t>
      </w:r>
      <w:r w:rsidRPr="00311A64">
        <w:t xml:space="preserve">. </w:t>
      </w:r>
    </w:p>
    <w:p w:rsidR="00001A88" w:rsidRPr="00B53524" w:rsidRDefault="00001A88" w:rsidP="009531AF">
      <w:pPr>
        <w:pStyle w:val="ReportBodyText"/>
        <w:numPr>
          <w:ilvl w:val="0"/>
          <w:numId w:val="4"/>
        </w:numPr>
        <w:spacing w:after="240" w:line="280" w:lineRule="exact"/>
        <w:contextualSpacing/>
      </w:pPr>
      <w:r w:rsidRPr="00311A64">
        <w:t>Draw a vertical line at X</w:t>
      </w:r>
      <w:r w:rsidRPr="00311A64">
        <w:rPr>
          <w:vertAlign w:val="subscript"/>
        </w:rPr>
        <w:t>2</w:t>
      </w:r>
      <w:r w:rsidRPr="00311A64">
        <w:t xml:space="preserve"> to intersect with the drawdown line.</w:t>
      </w:r>
    </w:p>
    <w:p w:rsidR="00001A88" w:rsidRPr="00B53524" w:rsidRDefault="00001A88" w:rsidP="009531AF">
      <w:pPr>
        <w:pStyle w:val="ReportBodyText"/>
        <w:numPr>
          <w:ilvl w:val="0"/>
          <w:numId w:val="4"/>
        </w:numPr>
        <w:spacing w:after="240" w:line="280" w:lineRule="exact"/>
        <w:contextualSpacing/>
      </w:pPr>
      <w:r w:rsidRPr="00311A64">
        <w:t>Pivot and read to the vertical axis.  This is the cumulative capture efficiency achieved by the BMP plus the upstream BMPs.</w:t>
      </w:r>
    </w:p>
    <w:p w:rsidR="00001A88" w:rsidRPr="00B53524" w:rsidRDefault="00001A88" w:rsidP="00A52883">
      <w:pPr>
        <w:pStyle w:val="Heading3"/>
      </w:pPr>
      <w:bookmarkStart w:id="239" w:name="_Ref261617756"/>
      <w:r w:rsidRPr="00311A64">
        <w:t>Computing Average Annual Capture Efficiency of Flow-based BMP Based on System Description</w:t>
      </w:r>
      <w:bookmarkEnd w:id="239"/>
      <w:r w:rsidRPr="00311A64">
        <w:t xml:space="preserve"> </w:t>
      </w:r>
    </w:p>
    <w:p w:rsidR="00001A88" w:rsidRPr="00B53524" w:rsidRDefault="00001A88" w:rsidP="00001A88">
      <w:pPr>
        <w:pStyle w:val="ReportBodyText"/>
        <w:spacing w:after="240" w:line="280" w:lineRule="exact"/>
      </w:pPr>
      <w:r w:rsidRPr="00311A64">
        <w:t>This section describes instructions for computing the capture efficiency for a given flow-based BMP configuration, considering the cumulative effects of upstream controls</w:t>
      </w:r>
      <w:r>
        <w:t xml:space="preserve"> and is applicable across Orange County</w:t>
      </w:r>
      <w:r w:rsidRPr="00311A64">
        <w:t xml:space="preserve">. </w:t>
      </w:r>
    </w:p>
    <w:p w:rsidR="00001A88" w:rsidRPr="00B53524" w:rsidRDefault="00001A88" w:rsidP="00CE32B9">
      <w:pPr>
        <w:pStyle w:val="CDMBTEXT"/>
      </w:pPr>
      <w:r w:rsidRPr="00311A64">
        <w:t>Stepwise Instructions for Flow-based BMPs:</w:t>
      </w:r>
    </w:p>
    <w:p w:rsidR="00001A88" w:rsidRPr="00B53524" w:rsidRDefault="00001A88" w:rsidP="009531AF">
      <w:pPr>
        <w:pStyle w:val="ReportBodyText"/>
        <w:numPr>
          <w:ilvl w:val="0"/>
          <w:numId w:val="5"/>
        </w:numPr>
        <w:spacing w:after="240" w:line="280" w:lineRule="exact"/>
        <w:contextualSpacing/>
      </w:pPr>
      <w:r w:rsidRPr="00311A64">
        <w:t xml:space="preserve">Determine the design flowrate of the BMP, and use the equation presented in Section </w:t>
      </w:r>
      <w:r w:rsidR="00126F3D" w:rsidRPr="00126DE5">
        <w:rPr>
          <w:rFonts w:cs="Arial"/>
          <w:b/>
          <w:color w:val="0070C0"/>
          <w:sz w:val="20"/>
          <w:szCs w:val="20"/>
        </w:rPr>
        <w:fldChar w:fldCharType="begin"/>
      </w:r>
      <w:r w:rsidR="00B32C4E" w:rsidRPr="00126DE5">
        <w:rPr>
          <w:rFonts w:cs="Arial"/>
          <w:b/>
          <w:color w:val="0070C0"/>
          <w:sz w:val="20"/>
          <w:szCs w:val="20"/>
        </w:rPr>
        <w:instrText xml:space="preserve"> REF _Ref285114903 \r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rFonts w:cs="Arial"/>
          <w:b/>
          <w:color w:val="0070C0"/>
          <w:sz w:val="20"/>
          <w:szCs w:val="20"/>
        </w:rPr>
        <w:t>III.1.1</w:t>
      </w:r>
      <w:r w:rsidR="00126F3D" w:rsidRPr="00126DE5">
        <w:rPr>
          <w:rFonts w:cs="Arial"/>
          <w:b/>
          <w:color w:val="0070C0"/>
          <w:sz w:val="20"/>
          <w:szCs w:val="20"/>
        </w:rPr>
        <w:fldChar w:fldCharType="end"/>
      </w:r>
      <w:r w:rsidR="00B32C4E">
        <w:rPr>
          <w:b/>
          <w:color w:val="0070C0"/>
        </w:rPr>
        <w:t xml:space="preserve"> </w:t>
      </w:r>
      <w:r w:rsidRPr="00311A64">
        <w:t xml:space="preserve">to back-compute the effective design storm intensity provided. </w:t>
      </w:r>
    </w:p>
    <w:p w:rsidR="00001A88" w:rsidRPr="00B53524" w:rsidRDefault="00001A88" w:rsidP="009531AF">
      <w:pPr>
        <w:pStyle w:val="ReportBodyText"/>
        <w:numPr>
          <w:ilvl w:val="0"/>
          <w:numId w:val="5"/>
        </w:numPr>
        <w:spacing w:after="240" w:line="280" w:lineRule="exact"/>
        <w:contextualSpacing/>
      </w:pPr>
      <w:r w:rsidRPr="00311A64">
        <w:t>Estimate the time of concentration (T</w:t>
      </w:r>
      <w:r w:rsidRPr="00311A64">
        <w:rPr>
          <w:vertAlign w:val="subscript"/>
        </w:rPr>
        <w:t>c</w:t>
      </w:r>
      <w:r w:rsidRPr="00311A64">
        <w:t>) of the tributary area per Section</w:t>
      </w:r>
      <w:r w:rsidR="00B32C4E">
        <w:rPr>
          <w:b/>
          <w:color w:val="0070C0"/>
        </w:rPr>
        <w:t xml:space="preserve"> </w:t>
      </w:r>
      <w:r w:rsidR="00126F3D" w:rsidRPr="00126DE5">
        <w:rPr>
          <w:rFonts w:cs="Arial"/>
          <w:b/>
          <w:color w:val="0070C0"/>
          <w:sz w:val="20"/>
          <w:szCs w:val="20"/>
        </w:rPr>
        <w:fldChar w:fldCharType="begin"/>
      </w:r>
      <w:r w:rsidR="00B32C4E" w:rsidRPr="00126DE5">
        <w:rPr>
          <w:rFonts w:cs="Arial"/>
          <w:b/>
          <w:color w:val="0070C0"/>
          <w:sz w:val="20"/>
          <w:szCs w:val="20"/>
        </w:rPr>
        <w:instrText xml:space="preserve"> REF _Ref285399892 \r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rFonts w:cs="Arial"/>
          <w:b/>
          <w:color w:val="0070C0"/>
          <w:sz w:val="20"/>
          <w:szCs w:val="20"/>
        </w:rPr>
        <w:t>IV.2</w:t>
      </w:r>
      <w:r w:rsidR="00126F3D" w:rsidRPr="00126DE5">
        <w:rPr>
          <w:rFonts w:cs="Arial"/>
          <w:b/>
          <w:color w:val="0070C0"/>
          <w:sz w:val="20"/>
          <w:szCs w:val="20"/>
        </w:rPr>
        <w:fldChar w:fldCharType="end"/>
      </w:r>
      <w:r w:rsidRPr="00311A64">
        <w:t xml:space="preserve">. </w:t>
      </w:r>
    </w:p>
    <w:p w:rsidR="00001A88" w:rsidRPr="00B53524" w:rsidRDefault="00001A88" w:rsidP="009531AF">
      <w:pPr>
        <w:pStyle w:val="ReportBodyText"/>
        <w:numPr>
          <w:ilvl w:val="0"/>
          <w:numId w:val="5"/>
        </w:numPr>
        <w:spacing w:after="240" w:line="280" w:lineRule="exact"/>
        <w:contextualSpacing/>
      </w:pPr>
      <w:r w:rsidRPr="00311A64">
        <w:t>Determine the capture efficiency that has already been provided upstream. This will have already been computed in a previous iteration of this method</w:t>
      </w:r>
      <w:r w:rsidR="00B32C4E">
        <w:t xml:space="preserve"> if upstream BMPs are provided.</w:t>
      </w:r>
      <w:r w:rsidRPr="00311A64">
        <w:t xml:space="preserve"> Trace a horizontal line corresponding to this capture efficiency on </w:t>
      </w:r>
      <w:fldSimple w:instr=" REF _Ref257795315 \h  \* MERGEFORMAT ">
        <w:r w:rsidR="00126DE5" w:rsidRPr="00126DE5">
          <w:rPr>
            <w:rFonts w:cs="Arial"/>
            <w:b/>
            <w:color w:val="0070C0"/>
            <w:sz w:val="20"/>
            <w:szCs w:val="20"/>
          </w:rPr>
          <w:t>Figure III.4</w:t>
        </w:r>
      </w:fldSimple>
      <w:r w:rsidRPr="00311A64">
        <w:t>.  Locate where this line intersects with the T</w:t>
      </w:r>
      <w:r w:rsidRPr="00311A64">
        <w:rPr>
          <w:vertAlign w:val="subscript"/>
        </w:rPr>
        <w:t>c</w:t>
      </w:r>
      <w:r w:rsidRPr="00311A64">
        <w:t xml:space="preserve"> line (2).  Pivot and read down to the horizontal axis. This is I</w:t>
      </w:r>
      <w:r w:rsidRPr="00311A64">
        <w:rPr>
          <w:vertAlign w:val="subscript"/>
        </w:rPr>
        <w:t>1.</w:t>
      </w:r>
    </w:p>
    <w:p w:rsidR="00001A88" w:rsidRPr="00B53524" w:rsidRDefault="00001A88" w:rsidP="009531AF">
      <w:pPr>
        <w:pStyle w:val="ReportBodyText"/>
        <w:numPr>
          <w:ilvl w:val="0"/>
          <w:numId w:val="5"/>
        </w:numPr>
        <w:spacing w:after="240" w:line="280" w:lineRule="exact"/>
        <w:contextualSpacing/>
      </w:pPr>
      <w:r w:rsidRPr="00311A64">
        <w:t>Add the result of (1) to the result of (3).  This is I</w:t>
      </w:r>
      <w:r w:rsidRPr="00311A64">
        <w:rPr>
          <w:vertAlign w:val="subscript"/>
        </w:rPr>
        <w:t>2</w:t>
      </w:r>
      <w:r w:rsidRPr="00311A64">
        <w:t xml:space="preserve">.  </w:t>
      </w:r>
    </w:p>
    <w:p w:rsidR="00001A88" w:rsidRPr="00B53524" w:rsidRDefault="00001A88" w:rsidP="009531AF">
      <w:pPr>
        <w:pStyle w:val="ReportBodyText"/>
        <w:numPr>
          <w:ilvl w:val="0"/>
          <w:numId w:val="5"/>
        </w:numPr>
        <w:spacing w:after="240" w:line="280" w:lineRule="exact"/>
        <w:contextualSpacing/>
      </w:pPr>
      <w:r w:rsidRPr="00311A64">
        <w:t>Draw a vertical line at I</w:t>
      </w:r>
      <w:r w:rsidRPr="00311A64">
        <w:rPr>
          <w:vertAlign w:val="subscript"/>
        </w:rPr>
        <w:t>2</w:t>
      </w:r>
      <w:r w:rsidRPr="00311A64">
        <w:t xml:space="preserve"> to intersect with the T</w:t>
      </w:r>
      <w:r w:rsidRPr="00311A64">
        <w:rPr>
          <w:vertAlign w:val="subscript"/>
        </w:rPr>
        <w:t>c</w:t>
      </w:r>
      <w:r w:rsidRPr="00311A64">
        <w:t xml:space="preserve"> line.</w:t>
      </w:r>
    </w:p>
    <w:p w:rsidR="00FE3A73" w:rsidRDefault="00001A88" w:rsidP="009531AF">
      <w:pPr>
        <w:pStyle w:val="ReportBodyText"/>
        <w:numPr>
          <w:ilvl w:val="0"/>
          <w:numId w:val="5"/>
        </w:numPr>
        <w:spacing w:after="240" w:line="280" w:lineRule="exact"/>
        <w:contextualSpacing/>
      </w:pPr>
      <w:r w:rsidRPr="00311A64">
        <w:t>Pivot and read to the vertical axis.  This is the cumulative capture efficiency achieved by the BMP plus the upstream BMPs.</w:t>
      </w:r>
    </w:p>
    <w:p w:rsidR="0081261C" w:rsidRDefault="0081261C">
      <w:pPr>
        <w:spacing w:after="200"/>
        <w:rPr>
          <w:rFonts w:eastAsia="Times New Roman" w:cs="Times New Roman"/>
        </w:rPr>
      </w:pPr>
      <w:r>
        <w:br w:type="page"/>
      </w:r>
    </w:p>
    <w:tbl>
      <w:tblPr>
        <w:tblW w:w="49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3"/>
        <w:gridCol w:w="5764"/>
        <w:gridCol w:w="1128"/>
        <w:gridCol w:w="1128"/>
        <w:gridCol w:w="1128"/>
        <w:gridCol w:w="11"/>
      </w:tblGrid>
      <w:tr w:rsidR="0081261C" w:rsidRPr="004E0B13" w:rsidTr="007D631A">
        <w:trPr>
          <w:gridAfter w:val="1"/>
          <w:wAfter w:w="6" w:type="pct"/>
          <w:trHeight w:val="300"/>
          <w:tblHeader/>
        </w:trPr>
        <w:tc>
          <w:tcPr>
            <w:tcW w:w="4994" w:type="pct"/>
            <w:gridSpan w:val="5"/>
            <w:tcBorders>
              <w:top w:val="nil"/>
              <w:left w:val="nil"/>
              <w:bottom w:val="nil"/>
              <w:right w:val="nil"/>
            </w:tcBorders>
            <w:shd w:val="clear" w:color="auto" w:fill="auto"/>
            <w:noWrap/>
            <w:tcMar>
              <w:top w:w="36" w:type="dxa"/>
              <w:bottom w:w="36" w:type="dxa"/>
            </w:tcMar>
            <w:vAlign w:val="center"/>
            <w:hideMark/>
          </w:tcPr>
          <w:p w:rsidR="0081261C" w:rsidRPr="00524D76" w:rsidRDefault="0081261C" w:rsidP="00647B99">
            <w:pPr>
              <w:pStyle w:val="Caption"/>
              <w:rPr>
                <w:i/>
              </w:rPr>
            </w:pPr>
            <w:bookmarkStart w:id="240" w:name="_Ref285574559"/>
            <w:bookmarkStart w:id="241" w:name="_Toc288554461"/>
            <w:r w:rsidRPr="00524D76">
              <w:t xml:space="preserve">Worksheet </w:t>
            </w:r>
            <w:fldSimple w:instr=" SEQ Worksheet \* ALPHABETIC ">
              <w:r w:rsidR="00126DE5" w:rsidRPr="00524D76">
                <w:rPr>
                  <w:noProof/>
                </w:rPr>
                <w:t>F</w:t>
              </w:r>
            </w:fldSimple>
            <w:r w:rsidRPr="00524D76">
              <w:t>: Determining Capture Efficiency of a Flow-based BMP based on Treatment Capacity</w:t>
            </w:r>
            <w:bookmarkEnd w:id="240"/>
            <w:bookmarkEnd w:id="241"/>
          </w:p>
        </w:tc>
      </w:tr>
      <w:tr w:rsidR="0081261C" w:rsidRPr="004E0B13" w:rsidTr="00B75BA5">
        <w:trPr>
          <w:trHeight w:val="330"/>
        </w:trPr>
        <w:tc>
          <w:tcPr>
            <w:tcW w:w="5000" w:type="pct"/>
            <w:gridSpan w:val="6"/>
            <w:shd w:val="clear" w:color="auto" w:fill="D9D9D9"/>
            <w:noWrap/>
            <w:tcMar>
              <w:top w:w="36" w:type="dxa"/>
              <w:bottom w:w="36" w:type="dxa"/>
            </w:tcMar>
            <w:vAlign w:val="center"/>
            <w:hideMark/>
          </w:tcPr>
          <w:p w:rsidR="0081261C" w:rsidRPr="004E0B13" w:rsidRDefault="0081261C" w:rsidP="004E0B13">
            <w:pPr>
              <w:pStyle w:val="ExampleSubheading"/>
              <w:pBdr>
                <w:top w:val="none" w:sz="0" w:space="0" w:color="auto"/>
                <w:left w:val="none" w:sz="0" w:space="0" w:color="auto"/>
                <w:bottom w:val="none" w:sz="0" w:space="0" w:color="auto"/>
                <w:right w:val="none" w:sz="0" w:space="0" w:color="auto"/>
              </w:pBdr>
              <w:spacing w:before="0" w:after="0" w:line="264" w:lineRule="auto"/>
              <w:ind w:left="0"/>
              <w:outlineLvl w:val="0"/>
              <w:rPr>
                <w:color w:val="000000"/>
              </w:rPr>
            </w:pPr>
            <w:r w:rsidRPr="004E0B13">
              <w:t>Step 1: Determine the design intensity used for calculating design flowrate</w:t>
            </w:r>
          </w:p>
        </w:tc>
      </w:tr>
      <w:tr w:rsidR="0081261C" w:rsidRPr="004E0B13" w:rsidTr="00B75BA5">
        <w:trPr>
          <w:gridAfter w:val="1"/>
          <w:wAfter w:w="6" w:type="pct"/>
          <w:trHeight w:val="330"/>
        </w:trPr>
        <w:tc>
          <w:tcPr>
            <w:tcW w:w="170" w:type="pct"/>
            <w:shd w:val="clear" w:color="auto" w:fill="auto"/>
            <w:noWrap/>
            <w:tcMar>
              <w:top w:w="36" w:type="dxa"/>
              <w:bottom w:w="36" w:type="dxa"/>
            </w:tcMar>
            <w:vAlign w:val="bottom"/>
            <w:hideMark/>
          </w:tcPr>
          <w:p w:rsidR="0081261C" w:rsidRPr="004E0B13" w:rsidRDefault="0081261C" w:rsidP="004E0B13">
            <w:pPr>
              <w:spacing w:after="0" w:line="264" w:lineRule="auto"/>
              <w:jc w:val="right"/>
              <w:rPr>
                <w:rFonts w:ascii="Arial" w:eastAsia="Times New Roman" w:hAnsi="Arial" w:cs="Arial"/>
                <w:color w:val="000000"/>
                <w:sz w:val="20"/>
                <w:szCs w:val="20"/>
              </w:rPr>
            </w:pPr>
            <w:r w:rsidRPr="004E0B13">
              <w:rPr>
                <w:rFonts w:ascii="Arial" w:eastAsia="Times New Roman" w:hAnsi="Arial" w:cs="Arial"/>
                <w:color w:val="000000"/>
                <w:sz w:val="20"/>
                <w:szCs w:val="20"/>
              </w:rPr>
              <w:t>1</w:t>
            </w:r>
          </w:p>
        </w:tc>
        <w:tc>
          <w:tcPr>
            <w:tcW w:w="3039" w:type="pct"/>
            <w:shd w:val="clear" w:color="auto" w:fill="auto"/>
            <w:tcMar>
              <w:top w:w="36" w:type="dxa"/>
              <w:bottom w:w="36" w:type="dxa"/>
            </w:tcMar>
            <w:vAlign w:val="center"/>
            <w:hideMark/>
          </w:tcPr>
          <w:p w:rsidR="0081261C" w:rsidRPr="004E0B13" w:rsidRDefault="0081261C"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 xml:space="preserve">Determine the design flowrate of the BMP, </w:t>
            </w:r>
            <w:r w:rsidRPr="004E0B13">
              <w:rPr>
                <w:rFonts w:ascii="Arial" w:eastAsia="Times New Roman" w:hAnsi="Arial" w:cs="Arial"/>
                <w:i/>
                <w:sz w:val="20"/>
                <w:szCs w:val="20"/>
              </w:rPr>
              <w:t>Q</w:t>
            </w:r>
            <w:r w:rsidRPr="004E0B13">
              <w:rPr>
                <w:rFonts w:ascii="Arial" w:eastAsia="Times New Roman" w:hAnsi="Arial" w:cs="Arial"/>
                <w:sz w:val="20"/>
                <w:szCs w:val="20"/>
              </w:rPr>
              <w:t xml:space="preserve"> (cfs) </w:t>
            </w:r>
          </w:p>
        </w:tc>
        <w:tc>
          <w:tcPr>
            <w:tcW w:w="595" w:type="pct"/>
            <w:tcMar>
              <w:top w:w="36" w:type="dxa"/>
              <w:bottom w:w="36" w:type="dxa"/>
            </w:tcMar>
            <w:vAlign w:val="center"/>
          </w:tcPr>
          <w:p w:rsidR="0081261C" w:rsidRPr="004E0B13" w:rsidRDefault="0081261C" w:rsidP="004E0B13">
            <w:pPr>
              <w:spacing w:after="0" w:line="264" w:lineRule="auto"/>
              <w:jc w:val="right"/>
              <w:rPr>
                <w:rFonts w:ascii="Arial" w:eastAsia="Times New Roman" w:hAnsi="Arial" w:cs="Arial"/>
                <w:sz w:val="20"/>
                <w:szCs w:val="20"/>
              </w:rPr>
            </w:pPr>
            <w:r w:rsidRPr="004E0B13">
              <w:rPr>
                <w:rFonts w:ascii="Arial" w:eastAsia="Times New Roman" w:hAnsi="Arial" w:cs="Arial"/>
                <w:sz w:val="20"/>
                <w:szCs w:val="20"/>
              </w:rPr>
              <w:t>Q=</w:t>
            </w:r>
          </w:p>
        </w:tc>
        <w:tc>
          <w:tcPr>
            <w:tcW w:w="595" w:type="pct"/>
            <w:tcMar>
              <w:top w:w="36" w:type="dxa"/>
              <w:bottom w:w="36" w:type="dxa"/>
            </w:tcMar>
            <w:vAlign w:val="center"/>
          </w:tcPr>
          <w:p w:rsidR="0081261C" w:rsidRPr="004E0B13" w:rsidRDefault="0081261C"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81261C" w:rsidRPr="004E0B13" w:rsidRDefault="0081261C"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cfs</w:t>
            </w:r>
          </w:p>
        </w:tc>
      </w:tr>
      <w:tr w:rsidR="0081261C" w:rsidRPr="004E0B13" w:rsidTr="00B75BA5">
        <w:trPr>
          <w:gridAfter w:val="1"/>
          <w:wAfter w:w="6" w:type="pct"/>
          <w:trHeight w:val="330"/>
        </w:trPr>
        <w:tc>
          <w:tcPr>
            <w:tcW w:w="170" w:type="pct"/>
            <w:shd w:val="clear" w:color="auto" w:fill="auto"/>
            <w:noWrap/>
            <w:tcMar>
              <w:top w:w="36" w:type="dxa"/>
              <w:bottom w:w="36" w:type="dxa"/>
            </w:tcMar>
            <w:vAlign w:val="bottom"/>
            <w:hideMark/>
          </w:tcPr>
          <w:p w:rsidR="0081261C" w:rsidRPr="004E0B13" w:rsidRDefault="0081261C" w:rsidP="004E0B13">
            <w:pPr>
              <w:spacing w:after="0" w:line="264" w:lineRule="auto"/>
              <w:jc w:val="right"/>
              <w:rPr>
                <w:rFonts w:ascii="Arial" w:eastAsia="Times New Roman" w:hAnsi="Arial" w:cs="Arial"/>
                <w:color w:val="000000"/>
                <w:sz w:val="20"/>
                <w:szCs w:val="20"/>
              </w:rPr>
            </w:pPr>
            <w:r w:rsidRPr="004E0B13">
              <w:rPr>
                <w:rFonts w:ascii="Arial" w:eastAsia="Times New Roman" w:hAnsi="Arial" w:cs="Arial"/>
                <w:color w:val="000000"/>
                <w:sz w:val="20"/>
                <w:szCs w:val="20"/>
              </w:rPr>
              <w:t>2</w:t>
            </w:r>
          </w:p>
        </w:tc>
        <w:tc>
          <w:tcPr>
            <w:tcW w:w="3039" w:type="pct"/>
            <w:shd w:val="clear" w:color="auto" w:fill="auto"/>
            <w:tcMar>
              <w:top w:w="36" w:type="dxa"/>
              <w:bottom w:w="36" w:type="dxa"/>
            </w:tcMar>
            <w:vAlign w:val="center"/>
            <w:hideMark/>
          </w:tcPr>
          <w:p w:rsidR="0081261C" w:rsidRPr="004E0B13" w:rsidRDefault="0081261C" w:rsidP="004E0B13">
            <w:pPr>
              <w:spacing w:after="0" w:line="264" w:lineRule="auto"/>
              <w:rPr>
                <w:rFonts w:ascii="Arial" w:eastAsia="Times New Roman" w:hAnsi="Arial" w:cs="Arial"/>
                <w:sz w:val="20"/>
                <w:szCs w:val="20"/>
              </w:rPr>
            </w:pPr>
            <w:r w:rsidRPr="004E0B13">
              <w:rPr>
                <w:rFonts w:ascii="Arial" w:hAnsi="Arial" w:cs="Arial"/>
                <w:sz w:val="20"/>
                <w:szCs w:val="20"/>
              </w:rPr>
              <w:t xml:space="preserve">Enter Project Imperviousness, </w:t>
            </w:r>
            <w:r w:rsidRPr="004E0B13">
              <w:rPr>
                <w:rFonts w:ascii="Arial" w:hAnsi="Arial" w:cs="Arial"/>
                <w:i/>
                <w:sz w:val="20"/>
                <w:szCs w:val="20"/>
              </w:rPr>
              <w:t>imp</w:t>
            </w:r>
            <w:r w:rsidRPr="004E0B13">
              <w:rPr>
                <w:rFonts w:ascii="Arial" w:hAnsi="Arial" w:cs="Arial"/>
                <w:sz w:val="20"/>
                <w:szCs w:val="20"/>
              </w:rPr>
              <w:t xml:space="preserve"> (unitless) </w:t>
            </w:r>
          </w:p>
        </w:tc>
        <w:tc>
          <w:tcPr>
            <w:tcW w:w="595" w:type="pct"/>
            <w:tcMar>
              <w:top w:w="36" w:type="dxa"/>
              <w:bottom w:w="36" w:type="dxa"/>
            </w:tcMar>
            <w:vAlign w:val="center"/>
          </w:tcPr>
          <w:p w:rsidR="0081261C" w:rsidRPr="004E0B13" w:rsidRDefault="0081261C" w:rsidP="004E0B13">
            <w:pPr>
              <w:spacing w:after="0" w:line="264" w:lineRule="auto"/>
              <w:jc w:val="right"/>
              <w:rPr>
                <w:rFonts w:ascii="Arial" w:eastAsia="Times New Roman" w:hAnsi="Arial" w:cs="Arial"/>
                <w:sz w:val="20"/>
                <w:szCs w:val="20"/>
              </w:rPr>
            </w:pPr>
            <w:r w:rsidRPr="004E0B13">
              <w:rPr>
                <w:rFonts w:ascii="Arial" w:eastAsia="Times New Roman" w:hAnsi="Arial" w:cs="Arial"/>
                <w:sz w:val="20"/>
                <w:szCs w:val="20"/>
              </w:rPr>
              <w:t>imp=</w:t>
            </w:r>
          </w:p>
        </w:tc>
        <w:tc>
          <w:tcPr>
            <w:tcW w:w="595" w:type="pct"/>
            <w:tcMar>
              <w:top w:w="36" w:type="dxa"/>
              <w:bottom w:w="36" w:type="dxa"/>
            </w:tcMar>
          </w:tcPr>
          <w:p w:rsidR="0081261C" w:rsidRPr="004E0B13" w:rsidRDefault="0081261C" w:rsidP="004E0B13">
            <w:pPr>
              <w:spacing w:after="0" w:line="264" w:lineRule="auto"/>
              <w:ind w:firstLineChars="500" w:firstLine="1000"/>
              <w:rPr>
                <w:rFonts w:ascii="Arial" w:eastAsia="Times New Roman" w:hAnsi="Arial" w:cs="Arial"/>
                <w:color w:val="000000"/>
                <w:sz w:val="20"/>
                <w:szCs w:val="20"/>
              </w:rPr>
            </w:pPr>
          </w:p>
        </w:tc>
        <w:tc>
          <w:tcPr>
            <w:tcW w:w="595" w:type="pct"/>
            <w:tcMar>
              <w:top w:w="36" w:type="dxa"/>
              <w:bottom w:w="36" w:type="dxa"/>
            </w:tcMar>
            <w:vAlign w:val="center"/>
          </w:tcPr>
          <w:p w:rsidR="0081261C" w:rsidRPr="004E0B13" w:rsidRDefault="0081261C" w:rsidP="004E0B13">
            <w:pPr>
              <w:spacing w:after="0" w:line="264" w:lineRule="auto"/>
              <w:rPr>
                <w:rFonts w:ascii="Arial" w:eastAsia="Times New Roman" w:hAnsi="Arial" w:cs="Arial"/>
                <w:sz w:val="20"/>
                <w:szCs w:val="20"/>
              </w:rPr>
            </w:pPr>
          </w:p>
        </w:tc>
      </w:tr>
      <w:tr w:rsidR="0081261C" w:rsidRPr="004E0B13" w:rsidTr="00B75BA5">
        <w:trPr>
          <w:gridAfter w:val="1"/>
          <w:wAfter w:w="6" w:type="pct"/>
          <w:trHeight w:val="330"/>
        </w:trPr>
        <w:tc>
          <w:tcPr>
            <w:tcW w:w="170" w:type="pct"/>
            <w:shd w:val="clear" w:color="auto" w:fill="auto"/>
            <w:noWrap/>
            <w:tcMar>
              <w:top w:w="36" w:type="dxa"/>
              <w:bottom w:w="36" w:type="dxa"/>
            </w:tcMar>
            <w:vAlign w:val="bottom"/>
            <w:hideMark/>
          </w:tcPr>
          <w:p w:rsidR="0081261C" w:rsidRPr="004E0B13" w:rsidRDefault="0081261C" w:rsidP="004E0B13">
            <w:pPr>
              <w:spacing w:after="0" w:line="264" w:lineRule="auto"/>
              <w:jc w:val="right"/>
              <w:rPr>
                <w:rFonts w:ascii="Arial" w:eastAsia="Times New Roman" w:hAnsi="Arial" w:cs="Arial"/>
                <w:color w:val="000000"/>
                <w:sz w:val="20"/>
                <w:szCs w:val="20"/>
              </w:rPr>
            </w:pPr>
            <w:r w:rsidRPr="004E0B13">
              <w:rPr>
                <w:rFonts w:ascii="Arial" w:eastAsia="Times New Roman" w:hAnsi="Arial" w:cs="Arial"/>
                <w:color w:val="000000"/>
                <w:sz w:val="20"/>
                <w:szCs w:val="20"/>
              </w:rPr>
              <w:t>3</w:t>
            </w:r>
          </w:p>
        </w:tc>
        <w:tc>
          <w:tcPr>
            <w:tcW w:w="3039" w:type="pct"/>
            <w:shd w:val="clear" w:color="auto" w:fill="auto"/>
            <w:tcMar>
              <w:top w:w="36" w:type="dxa"/>
              <w:bottom w:w="36" w:type="dxa"/>
            </w:tcMar>
            <w:vAlign w:val="center"/>
            <w:hideMark/>
          </w:tcPr>
          <w:p w:rsidR="0081261C" w:rsidRPr="004E0B13" w:rsidRDefault="0081261C"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 xml:space="preserve">Calculate runoff coefficient, </w:t>
            </w:r>
            <w:r w:rsidRPr="004E0B13">
              <w:rPr>
                <w:rFonts w:ascii="Arial" w:eastAsia="Times New Roman" w:hAnsi="Arial" w:cs="Arial"/>
                <w:i/>
                <w:sz w:val="20"/>
                <w:szCs w:val="20"/>
              </w:rPr>
              <w:t>C= (0.75 x imp) + 0.15</w:t>
            </w:r>
          </w:p>
        </w:tc>
        <w:tc>
          <w:tcPr>
            <w:tcW w:w="595" w:type="pct"/>
            <w:tcMar>
              <w:top w:w="36" w:type="dxa"/>
              <w:bottom w:w="36" w:type="dxa"/>
            </w:tcMar>
            <w:vAlign w:val="center"/>
          </w:tcPr>
          <w:p w:rsidR="0081261C" w:rsidRPr="004E0B13" w:rsidRDefault="0081261C" w:rsidP="004E0B13">
            <w:pPr>
              <w:spacing w:after="0" w:line="264" w:lineRule="auto"/>
              <w:jc w:val="right"/>
              <w:rPr>
                <w:rFonts w:ascii="Arial" w:eastAsia="Times New Roman" w:hAnsi="Arial" w:cs="Arial"/>
                <w:sz w:val="20"/>
                <w:szCs w:val="20"/>
              </w:rPr>
            </w:pPr>
            <w:r w:rsidRPr="004E0B13">
              <w:rPr>
                <w:rFonts w:ascii="Arial" w:eastAsia="Times New Roman" w:hAnsi="Arial" w:cs="Arial"/>
                <w:sz w:val="20"/>
                <w:szCs w:val="20"/>
              </w:rPr>
              <w:t>C=</w:t>
            </w:r>
          </w:p>
        </w:tc>
        <w:tc>
          <w:tcPr>
            <w:tcW w:w="595" w:type="pct"/>
            <w:tcMar>
              <w:top w:w="36" w:type="dxa"/>
              <w:bottom w:w="36" w:type="dxa"/>
            </w:tcMar>
          </w:tcPr>
          <w:p w:rsidR="0081261C" w:rsidRPr="004E0B13" w:rsidRDefault="0081261C" w:rsidP="004E0B13">
            <w:pPr>
              <w:spacing w:after="0" w:line="264" w:lineRule="auto"/>
              <w:ind w:firstLineChars="500" w:firstLine="1000"/>
              <w:rPr>
                <w:rFonts w:ascii="Arial" w:eastAsia="Times New Roman" w:hAnsi="Arial" w:cs="Arial"/>
                <w:color w:val="000000"/>
                <w:sz w:val="20"/>
                <w:szCs w:val="20"/>
              </w:rPr>
            </w:pPr>
          </w:p>
        </w:tc>
        <w:tc>
          <w:tcPr>
            <w:tcW w:w="595" w:type="pct"/>
            <w:tcMar>
              <w:top w:w="36" w:type="dxa"/>
              <w:bottom w:w="36" w:type="dxa"/>
            </w:tcMar>
            <w:vAlign w:val="center"/>
          </w:tcPr>
          <w:p w:rsidR="0081261C" w:rsidRPr="004E0B13" w:rsidRDefault="0081261C" w:rsidP="004E0B13">
            <w:pPr>
              <w:spacing w:after="0" w:line="264" w:lineRule="auto"/>
              <w:rPr>
                <w:rFonts w:ascii="Arial" w:eastAsia="Times New Roman" w:hAnsi="Arial" w:cs="Arial"/>
                <w:sz w:val="20"/>
                <w:szCs w:val="20"/>
              </w:rPr>
            </w:pPr>
          </w:p>
        </w:tc>
      </w:tr>
      <w:tr w:rsidR="0081261C" w:rsidRPr="004E0B13" w:rsidTr="00B75BA5">
        <w:trPr>
          <w:gridAfter w:val="1"/>
          <w:wAfter w:w="6" w:type="pct"/>
          <w:trHeight w:val="330"/>
        </w:trPr>
        <w:tc>
          <w:tcPr>
            <w:tcW w:w="170" w:type="pct"/>
            <w:shd w:val="clear" w:color="auto" w:fill="auto"/>
            <w:noWrap/>
            <w:tcMar>
              <w:top w:w="36" w:type="dxa"/>
              <w:bottom w:w="36" w:type="dxa"/>
            </w:tcMar>
            <w:vAlign w:val="bottom"/>
            <w:hideMark/>
          </w:tcPr>
          <w:p w:rsidR="0081261C" w:rsidRPr="004E0B13" w:rsidRDefault="0081261C" w:rsidP="004E0B13">
            <w:pPr>
              <w:spacing w:after="0" w:line="264" w:lineRule="auto"/>
              <w:jc w:val="right"/>
              <w:rPr>
                <w:rFonts w:ascii="Arial" w:eastAsia="Times New Roman" w:hAnsi="Arial" w:cs="Arial"/>
                <w:color w:val="000000"/>
                <w:sz w:val="20"/>
                <w:szCs w:val="20"/>
              </w:rPr>
            </w:pPr>
            <w:r w:rsidRPr="004E0B13">
              <w:rPr>
                <w:rFonts w:ascii="Arial" w:eastAsia="Times New Roman" w:hAnsi="Arial" w:cs="Arial"/>
                <w:color w:val="000000"/>
                <w:sz w:val="20"/>
                <w:szCs w:val="20"/>
              </w:rPr>
              <w:t>4</w:t>
            </w:r>
          </w:p>
        </w:tc>
        <w:tc>
          <w:tcPr>
            <w:tcW w:w="3039" w:type="pct"/>
            <w:shd w:val="clear" w:color="auto" w:fill="auto"/>
            <w:tcMar>
              <w:top w:w="36" w:type="dxa"/>
              <w:bottom w:w="36" w:type="dxa"/>
            </w:tcMar>
            <w:vAlign w:val="center"/>
            <w:hideMark/>
          </w:tcPr>
          <w:p w:rsidR="0081261C" w:rsidRPr="004E0B13" w:rsidRDefault="0081261C"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 xml:space="preserve">Back calculate the equivalent intensity of rainfall treated in the BMP (cfs), </w:t>
            </w:r>
            <w:proofErr w:type="spellStart"/>
            <w:r w:rsidRPr="004E0B13">
              <w:rPr>
                <w:rFonts w:ascii="Arial" w:hAnsi="Arial" w:cs="Arial"/>
                <w:i/>
                <w:sz w:val="20"/>
                <w:szCs w:val="20"/>
              </w:rPr>
              <w:t>i</w:t>
            </w:r>
            <w:r w:rsidRPr="004E0B13">
              <w:rPr>
                <w:rFonts w:ascii="Arial" w:hAnsi="Arial" w:cs="Arial"/>
                <w:i/>
                <w:sz w:val="20"/>
                <w:szCs w:val="20"/>
                <w:vertAlign w:val="subscript"/>
              </w:rPr>
              <w:t>provided</w:t>
            </w:r>
            <w:proofErr w:type="spellEnd"/>
            <w:r w:rsidRPr="004E0B13">
              <w:rPr>
                <w:rFonts w:ascii="Arial" w:hAnsi="Arial" w:cs="Arial"/>
                <w:i/>
                <w:sz w:val="20"/>
                <w:szCs w:val="20"/>
              </w:rPr>
              <w:t>=Q/C</w:t>
            </w:r>
          </w:p>
        </w:tc>
        <w:tc>
          <w:tcPr>
            <w:tcW w:w="595" w:type="pct"/>
            <w:tcMar>
              <w:top w:w="36" w:type="dxa"/>
              <w:bottom w:w="36" w:type="dxa"/>
            </w:tcMar>
            <w:vAlign w:val="center"/>
          </w:tcPr>
          <w:p w:rsidR="0081261C" w:rsidRPr="004E0B13" w:rsidRDefault="0081261C" w:rsidP="004E0B13">
            <w:pPr>
              <w:spacing w:after="0" w:line="264" w:lineRule="auto"/>
              <w:jc w:val="right"/>
              <w:rPr>
                <w:rFonts w:ascii="Arial" w:eastAsia="Times New Roman" w:hAnsi="Arial" w:cs="Arial"/>
                <w:sz w:val="20"/>
                <w:szCs w:val="20"/>
              </w:rPr>
            </w:pPr>
            <w:proofErr w:type="spellStart"/>
            <w:r w:rsidRPr="004E0B13">
              <w:rPr>
                <w:rFonts w:ascii="Arial" w:hAnsi="Arial" w:cs="Arial"/>
                <w:i/>
                <w:sz w:val="20"/>
                <w:szCs w:val="20"/>
              </w:rPr>
              <w:t>i</w:t>
            </w:r>
            <w:r w:rsidRPr="004E0B13">
              <w:rPr>
                <w:rFonts w:ascii="Arial" w:hAnsi="Arial" w:cs="Arial"/>
                <w:i/>
                <w:sz w:val="20"/>
                <w:szCs w:val="20"/>
                <w:vertAlign w:val="subscript"/>
              </w:rPr>
              <w:t>provided</w:t>
            </w:r>
            <w:proofErr w:type="spellEnd"/>
            <w:r w:rsidRPr="004E0B13">
              <w:rPr>
                <w:rFonts w:ascii="Arial" w:hAnsi="Arial" w:cs="Arial"/>
                <w:sz w:val="20"/>
                <w:szCs w:val="20"/>
              </w:rPr>
              <w:t>=</w:t>
            </w:r>
          </w:p>
        </w:tc>
        <w:tc>
          <w:tcPr>
            <w:tcW w:w="595" w:type="pct"/>
            <w:tcMar>
              <w:top w:w="36" w:type="dxa"/>
              <w:bottom w:w="36" w:type="dxa"/>
            </w:tcMar>
            <w:vAlign w:val="center"/>
          </w:tcPr>
          <w:p w:rsidR="0081261C" w:rsidRPr="004E0B13" w:rsidRDefault="0081261C"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81261C" w:rsidRPr="004E0B13" w:rsidRDefault="0081261C"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in/hr</w:t>
            </w:r>
          </w:p>
        </w:tc>
      </w:tr>
      <w:tr w:rsidR="0081261C" w:rsidRPr="004E0B13" w:rsidTr="00B75BA5">
        <w:trPr>
          <w:gridAfter w:val="1"/>
          <w:wAfter w:w="6" w:type="pct"/>
          <w:trHeight w:val="330"/>
        </w:trPr>
        <w:tc>
          <w:tcPr>
            <w:tcW w:w="4994" w:type="pct"/>
            <w:gridSpan w:val="5"/>
            <w:shd w:val="clear" w:color="auto" w:fill="D9D9D9"/>
            <w:noWrap/>
            <w:tcMar>
              <w:top w:w="36" w:type="dxa"/>
              <w:bottom w:w="36" w:type="dxa"/>
            </w:tcMar>
            <w:vAlign w:val="bottom"/>
            <w:hideMark/>
          </w:tcPr>
          <w:p w:rsidR="0081261C" w:rsidRPr="004E0B13" w:rsidRDefault="0081261C" w:rsidP="004E0B13">
            <w:pPr>
              <w:pStyle w:val="ExampleSubheading"/>
              <w:pBdr>
                <w:top w:val="none" w:sz="0" w:space="0" w:color="auto"/>
                <w:left w:val="none" w:sz="0" w:space="0" w:color="auto"/>
                <w:bottom w:val="none" w:sz="0" w:space="0" w:color="auto"/>
                <w:right w:val="none" w:sz="0" w:space="0" w:color="auto"/>
              </w:pBdr>
              <w:spacing w:before="0" w:after="0" w:line="264" w:lineRule="auto"/>
              <w:ind w:left="0"/>
              <w:outlineLvl w:val="0"/>
            </w:pPr>
            <w:r w:rsidRPr="004E0B13">
              <w:t xml:space="preserve">Step 2: Calculate the capture efficiency of  </w:t>
            </w:r>
            <w:proofErr w:type="spellStart"/>
            <w:r w:rsidRPr="004E0B13">
              <w:t>theflow</w:t>
            </w:r>
            <w:proofErr w:type="spellEnd"/>
            <w:r w:rsidRPr="004E0B13">
              <w:t>-based BMP</w:t>
            </w:r>
          </w:p>
        </w:tc>
      </w:tr>
      <w:tr w:rsidR="0081261C" w:rsidRPr="004E0B13" w:rsidTr="00B75BA5">
        <w:trPr>
          <w:gridAfter w:val="1"/>
          <w:wAfter w:w="6" w:type="pct"/>
          <w:trHeight w:val="330"/>
        </w:trPr>
        <w:tc>
          <w:tcPr>
            <w:tcW w:w="170" w:type="pct"/>
            <w:shd w:val="clear" w:color="auto" w:fill="auto"/>
            <w:noWrap/>
            <w:tcMar>
              <w:top w:w="36" w:type="dxa"/>
              <w:bottom w:w="36" w:type="dxa"/>
            </w:tcMar>
            <w:vAlign w:val="bottom"/>
            <w:hideMark/>
          </w:tcPr>
          <w:p w:rsidR="0081261C" w:rsidRPr="004E0B13" w:rsidRDefault="0081261C" w:rsidP="004E0B13">
            <w:pPr>
              <w:spacing w:after="0" w:line="264" w:lineRule="auto"/>
              <w:jc w:val="right"/>
              <w:rPr>
                <w:rFonts w:ascii="Arial" w:eastAsia="Times New Roman" w:hAnsi="Arial" w:cs="Arial"/>
                <w:color w:val="000000"/>
                <w:sz w:val="20"/>
                <w:szCs w:val="20"/>
              </w:rPr>
            </w:pPr>
            <w:r w:rsidRPr="004E0B13">
              <w:rPr>
                <w:rFonts w:ascii="Arial" w:eastAsia="Times New Roman" w:hAnsi="Arial" w:cs="Arial"/>
                <w:color w:val="000000"/>
                <w:sz w:val="20"/>
                <w:szCs w:val="20"/>
              </w:rPr>
              <w:t>1</w:t>
            </w:r>
          </w:p>
        </w:tc>
        <w:tc>
          <w:tcPr>
            <w:tcW w:w="3039" w:type="pct"/>
            <w:shd w:val="clear" w:color="auto" w:fill="auto"/>
            <w:tcMar>
              <w:top w:w="36" w:type="dxa"/>
              <w:bottom w:w="36" w:type="dxa"/>
            </w:tcMar>
            <w:vAlign w:val="center"/>
            <w:hideMark/>
          </w:tcPr>
          <w:p w:rsidR="0081261C" w:rsidRPr="004E0B13" w:rsidRDefault="0081261C"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Enter the time of concentration, T</w:t>
            </w:r>
            <w:r w:rsidRPr="004E0B13">
              <w:rPr>
                <w:rFonts w:ascii="Arial" w:eastAsia="Times New Roman" w:hAnsi="Arial" w:cs="Arial"/>
                <w:sz w:val="20"/>
                <w:szCs w:val="20"/>
                <w:vertAlign w:val="subscript"/>
              </w:rPr>
              <w:t>c</w:t>
            </w:r>
            <w:r w:rsidRPr="004E0B13">
              <w:rPr>
                <w:rFonts w:ascii="Arial" w:eastAsia="Times New Roman" w:hAnsi="Arial" w:cs="Arial"/>
                <w:sz w:val="20"/>
                <w:szCs w:val="20"/>
              </w:rPr>
              <w:t xml:space="preserve"> (min)</w:t>
            </w:r>
            <w:r w:rsidR="004E0B13" w:rsidRPr="004E0B13">
              <w:rPr>
                <w:rFonts w:ascii="Arial" w:eastAsia="Times New Roman" w:hAnsi="Arial" w:cs="Arial"/>
                <w:sz w:val="20"/>
                <w:szCs w:val="20"/>
              </w:rPr>
              <w:t xml:space="preserve"> (Section </w:t>
            </w:r>
            <w:fldSimple w:instr=" REF _Ref285570227 \r \h  \* MERGEFORMAT ">
              <w:r w:rsidR="00126DE5" w:rsidRPr="00126DE5">
                <w:rPr>
                  <w:rFonts w:eastAsia="Times New Roman" w:cs="Arial"/>
                  <w:b/>
                  <w:color w:val="0070C0"/>
                  <w:sz w:val="20"/>
                  <w:szCs w:val="20"/>
                </w:rPr>
                <w:t>IV.2</w:t>
              </w:r>
            </w:fldSimple>
            <w:r w:rsidR="004E0B13" w:rsidRPr="004E0B13">
              <w:rPr>
                <w:rFonts w:ascii="Arial" w:eastAsia="Times New Roman" w:hAnsi="Arial" w:cs="Arial"/>
                <w:sz w:val="20"/>
                <w:szCs w:val="20"/>
              </w:rPr>
              <w:t>)</w:t>
            </w:r>
          </w:p>
        </w:tc>
        <w:tc>
          <w:tcPr>
            <w:tcW w:w="595" w:type="pct"/>
            <w:tcMar>
              <w:top w:w="36" w:type="dxa"/>
              <w:bottom w:w="36" w:type="dxa"/>
            </w:tcMar>
            <w:vAlign w:val="center"/>
          </w:tcPr>
          <w:p w:rsidR="0081261C" w:rsidRPr="004E0B13" w:rsidRDefault="0081261C" w:rsidP="004E0B13">
            <w:pPr>
              <w:spacing w:after="0" w:line="264" w:lineRule="auto"/>
              <w:jc w:val="right"/>
              <w:rPr>
                <w:rFonts w:ascii="Arial" w:eastAsia="Times New Roman" w:hAnsi="Arial" w:cs="Arial"/>
                <w:sz w:val="20"/>
                <w:szCs w:val="20"/>
              </w:rPr>
            </w:pPr>
            <w:r w:rsidRPr="004E0B13">
              <w:rPr>
                <w:rFonts w:ascii="Arial" w:eastAsia="Times New Roman" w:hAnsi="Arial" w:cs="Arial"/>
                <w:sz w:val="20"/>
                <w:szCs w:val="20"/>
              </w:rPr>
              <w:t>T</w:t>
            </w:r>
            <w:r w:rsidRPr="004E0B13">
              <w:rPr>
                <w:rFonts w:ascii="Arial" w:eastAsia="Times New Roman" w:hAnsi="Arial" w:cs="Arial"/>
                <w:sz w:val="20"/>
                <w:szCs w:val="20"/>
                <w:vertAlign w:val="subscript"/>
              </w:rPr>
              <w:t>c</w:t>
            </w:r>
            <w:r w:rsidRPr="004E0B13">
              <w:rPr>
                <w:rFonts w:ascii="Arial" w:eastAsia="Times New Roman" w:hAnsi="Arial" w:cs="Arial"/>
                <w:sz w:val="20"/>
                <w:szCs w:val="20"/>
              </w:rPr>
              <w:t>=</w:t>
            </w:r>
          </w:p>
        </w:tc>
        <w:tc>
          <w:tcPr>
            <w:tcW w:w="595" w:type="pct"/>
            <w:tcMar>
              <w:top w:w="36" w:type="dxa"/>
              <w:bottom w:w="36" w:type="dxa"/>
            </w:tcMar>
            <w:vAlign w:val="center"/>
          </w:tcPr>
          <w:p w:rsidR="0081261C" w:rsidRPr="004E0B13" w:rsidRDefault="0081261C"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81261C" w:rsidRPr="004E0B13" w:rsidRDefault="0081261C" w:rsidP="004E0B13">
            <w:pPr>
              <w:spacing w:after="0" w:line="264" w:lineRule="auto"/>
              <w:rPr>
                <w:rFonts w:ascii="Arial" w:eastAsia="Times New Roman" w:hAnsi="Arial" w:cs="Arial"/>
                <w:sz w:val="20"/>
                <w:szCs w:val="20"/>
              </w:rPr>
            </w:pPr>
          </w:p>
        </w:tc>
      </w:tr>
      <w:tr w:rsidR="0081261C" w:rsidRPr="004E0B13" w:rsidTr="00B75BA5">
        <w:trPr>
          <w:gridAfter w:val="1"/>
          <w:wAfter w:w="6" w:type="pct"/>
          <w:trHeight w:val="330"/>
        </w:trPr>
        <w:tc>
          <w:tcPr>
            <w:tcW w:w="170" w:type="pct"/>
            <w:shd w:val="clear" w:color="auto" w:fill="auto"/>
            <w:noWrap/>
            <w:tcMar>
              <w:top w:w="36" w:type="dxa"/>
              <w:bottom w:w="36" w:type="dxa"/>
            </w:tcMar>
            <w:vAlign w:val="bottom"/>
            <w:hideMark/>
          </w:tcPr>
          <w:p w:rsidR="0081261C" w:rsidRPr="004E0B13" w:rsidRDefault="0081261C" w:rsidP="004E0B13">
            <w:pPr>
              <w:spacing w:after="0" w:line="264" w:lineRule="auto"/>
              <w:jc w:val="right"/>
              <w:rPr>
                <w:rFonts w:ascii="Arial" w:eastAsia="Times New Roman" w:hAnsi="Arial" w:cs="Arial"/>
                <w:color w:val="000000"/>
                <w:sz w:val="20"/>
                <w:szCs w:val="20"/>
              </w:rPr>
            </w:pPr>
            <w:r w:rsidRPr="004E0B13">
              <w:rPr>
                <w:rFonts w:ascii="Arial" w:eastAsia="Times New Roman" w:hAnsi="Arial" w:cs="Arial"/>
                <w:color w:val="000000"/>
                <w:sz w:val="20"/>
                <w:szCs w:val="20"/>
              </w:rPr>
              <w:t>2</w:t>
            </w:r>
          </w:p>
        </w:tc>
        <w:tc>
          <w:tcPr>
            <w:tcW w:w="3039" w:type="pct"/>
            <w:shd w:val="clear" w:color="auto" w:fill="auto"/>
            <w:tcMar>
              <w:top w:w="36" w:type="dxa"/>
              <w:bottom w:w="36" w:type="dxa"/>
            </w:tcMar>
            <w:vAlign w:val="center"/>
            <w:hideMark/>
          </w:tcPr>
          <w:p w:rsidR="0081261C" w:rsidRPr="004E0B13" w:rsidRDefault="0081261C" w:rsidP="004E0B13">
            <w:pPr>
              <w:pStyle w:val="ReportBodyText"/>
              <w:spacing w:after="0" w:line="264" w:lineRule="auto"/>
              <w:rPr>
                <w:rFonts w:ascii="Arial" w:hAnsi="Arial" w:cs="Arial"/>
                <w:sz w:val="20"/>
                <w:szCs w:val="20"/>
              </w:rPr>
            </w:pPr>
            <w:r w:rsidRPr="004E0B13">
              <w:rPr>
                <w:rFonts w:ascii="Arial" w:hAnsi="Arial" w:cs="Arial"/>
                <w:sz w:val="20"/>
                <w:szCs w:val="20"/>
              </w:rPr>
              <w:t xml:space="preserve">Enter the effect of provided HSCs upstream, </w:t>
            </w:r>
            <w:r w:rsidRPr="004E0B13">
              <w:rPr>
                <w:rFonts w:ascii="Arial" w:hAnsi="Arial" w:cs="Arial"/>
                <w:i/>
                <w:sz w:val="20"/>
                <w:szCs w:val="20"/>
              </w:rPr>
              <w:t>d</w:t>
            </w:r>
            <w:r w:rsidRPr="004E0B13">
              <w:rPr>
                <w:rFonts w:ascii="Arial" w:hAnsi="Arial" w:cs="Arial"/>
                <w:i/>
                <w:sz w:val="20"/>
                <w:szCs w:val="20"/>
                <w:vertAlign w:val="subscript"/>
              </w:rPr>
              <w:t>HSC</w:t>
            </w:r>
            <w:r w:rsidRPr="004E0B13">
              <w:rPr>
                <w:rFonts w:ascii="Arial" w:hAnsi="Arial" w:cs="Arial"/>
                <w:i/>
                <w:sz w:val="20"/>
                <w:szCs w:val="20"/>
              </w:rPr>
              <w:t xml:space="preserve"> </w:t>
            </w:r>
            <w:r w:rsidRPr="004E0B13">
              <w:rPr>
                <w:rFonts w:ascii="Arial" w:hAnsi="Arial" w:cs="Arial"/>
                <w:sz w:val="20"/>
                <w:szCs w:val="20"/>
              </w:rPr>
              <w:t>(inches)</w:t>
            </w:r>
            <w:r w:rsidR="004E0B13" w:rsidRPr="004E0B13">
              <w:rPr>
                <w:rFonts w:ascii="Arial" w:hAnsi="Arial" w:cs="Arial"/>
                <w:sz w:val="20"/>
                <w:szCs w:val="20"/>
              </w:rPr>
              <w:t xml:space="preserve"> </w:t>
            </w:r>
            <w:fldSimple w:instr=" REF _Ref285398327 \h  \* MERGEFORMAT ">
              <w:r w:rsidR="00126DE5" w:rsidRPr="00126DE5">
                <w:rPr>
                  <w:rFonts w:cs="Arial"/>
                  <w:b/>
                  <w:color w:val="0070C0"/>
                  <w:sz w:val="20"/>
                  <w:szCs w:val="20"/>
                </w:rPr>
                <w:t>Worksheet A</w:t>
              </w:r>
            </w:fldSimple>
          </w:p>
        </w:tc>
        <w:tc>
          <w:tcPr>
            <w:tcW w:w="595" w:type="pct"/>
            <w:tcMar>
              <w:top w:w="36" w:type="dxa"/>
              <w:bottom w:w="36" w:type="dxa"/>
            </w:tcMar>
            <w:vAlign w:val="center"/>
          </w:tcPr>
          <w:p w:rsidR="0081261C" w:rsidRPr="004E0B13" w:rsidRDefault="0081261C" w:rsidP="004E0B13">
            <w:pPr>
              <w:spacing w:after="0" w:line="264" w:lineRule="auto"/>
              <w:jc w:val="right"/>
              <w:rPr>
                <w:rFonts w:ascii="Arial" w:eastAsia="Times New Roman" w:hAnsi="Arial" w:cs="Arial"/>
                <w:sz w:val="20"/>
                <w:szCs w:val="20"/>
              </w:rPr>
            </w:pPr>
            <w:r w:rsidRPr="004E0B13">
              <w:rPr>
                <w:rFonts w:ascii="Arial" w:eastAsia="Times New Roman" w:hAnsi="Arial" w:cs="Arial"/>
                <w:sz w:val="20"/>
                <w:szCs w:val="20"/>
              </w:rPr>
              <w:t>d</w:t>
            </w:r>
            <w:r w:rsidRPr="004E0B13">
              <w:rPr>
                <w:rFonts w:ascii="Arial" w:eastAsia="Times New Roman" w:hAnsi="Arial" w:cs="Arial"/>
                <w:sz w:val="20"/>
                <w:szCs w:val="20"/>
                <w:vertAlign w:val="subscript"/>
              </w:rPr>
              <w:t>HSC</w:t>
            </w:r>
            <w:r w:rsidRPr="004E0B13">
              <w:rPr>
                <w:rFonts w:ascii="Arial" w:eastAsia="Times New Roman" w:hAnsi="Arial" w:cs="Arial"/>
                <w:sz w:val="20"/>
                <w:szCs w:val="20"/>
              </w:rPr>
              <w:t>=</w:t>
            </w:r>
          </w:p>
        </w:tc>
        <w:tc>
          <w:tcPr>
            <w:tcW w:w="595" w:type="pct"/>
            <w:tcMar>
              <w:top w:w="36" w:type="dxa"/>
              <w:bottom w:w="36" w:type="dxa"/>
            </w:tcMar>
            <w:vAlign w:val="center"/>
          </w:tcPr>
          <w:p w:rsidR="0081261C" w:rsidRPr="004E0B13" w:rsidRDefault="0081261C"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81261C" w:rsidRPr="004E0B13" w:rsidRDefault="0081261C"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inches</w:t>
            </w:r>
          </w:p>
        </w:tc>
      </w:tr>
      <w:tr w:rsidR="0081261C" w:rsidRPr="004E0B13" w:rsidTr="00B75BA5">
        <w:trPr>
          <w:gridAfter w:val="1"/>
          <w:wAfter w:w="6" w:type="pct"/>
          <w:trHeight w:val="330"/>
        </w:trPr>
        <w:tc>
          <w:tcPr>
            <w:tcW w:w="170" w:type="pct"/>
            <w:shd w:val="clear" w:color="auto" w:fill="auto"/>
            <w:noWrap/>
            <w:tcMar>
              <w:top w:w="36" w:type="dxa"/>
              <w:bottom w:w="36" w:type="dxa"/>
            </w:tcMar>
            <w:vAlign w:val="bottom"/>
            <w:hideMark/>
          </w:tcPr>
          <w:p w:rsidR="0081261C" w:rsidRPr="004E0B13" w:rsidRDefault="0081261C" w:rsidP="004E0B13">
            <w:pPr>
              <w:spacing w:after="0" w:line="264" w:lineRule="auto"/>
              <w:jc w:val="right"/>
              <w:rPr>
                <w:rFonts w:ascii="Arial" w:eastAsia="Times New Roman" w:hAnsi="Arial" w:cs="Arial"/>
                <w:color w:val="000000"/>
                <w:sz w:val="20"/>
                <w:szCs w:val="20"/>
              </w:rPr>
            </w:pPr>
            <w:r w:rsidRPr="004E0B13">
              <w:rPr>
                <w:rFonts w:ascii="Arial" w:eastAsia="Times New Roman" w:hAnsi="Arial" w:cs="Arial"/>
                <w:color w:val="000000"/>
                <w:sz w:val="20"/>
                <w:szCs w:val="20"/>
              </w:rPr>
              <w:t>3</w:t>
            </w:r>
          </w:p>
        </w:tc>
        <w:tc>
          <w:tcPr>
            <w:tcW w:w="3039" w:type="pct"/>
            <w:shd w:val="clear" w:color="auto" w:fill="auto"/>
            <w:tcMar>
              <w:top w:w="36" w:type="dxa"/>
              <w:bottom w:w="36" w:type="dxa"/>
            </w:tcMar>
            <w:vAlign w:val="center"/>
            <w:hideMark/>
          </w:tcPr>
          <w:p w:rsidR="0081261C" w:rsidRPr="004E0B13" w:rsidRDefault="0081261C" w:rsidP="004E0B13">
            <w:pPr>
              <w:spacing w:after="0" w:line="264" w:lineRule="auto"/>
              <w:rPr>
                <w:rFonts w:ascii="Arial" w:eastAsia="Times New Roman" w:hAnsi="Arial" w:cs="Arial"/>
                <w:i/>
                <w:sz w:val="20"/>
                <w:szCs w:val="20"/>
                <w:vertAlign w:val="subscript"/>
              </w:rPr>
            </w:pPr>
            <w:r w:rsidRPr="004E0B13">
              <w:rPr>
                <w:rFonts w:ascii="Arial" w:eastAsia="Times New Roman" w:hAnsi="Arial" w:cs="Arial"/>
                <w:sz w:val="20"/>
                <w:szCs w:val="20"/>
              </w:rPr>
              <w:t>Enter the upstream capture efficiency corresponding to d</w:t>
            </w:r>
            <w:r w:rsidRPr="004E0B13">
              <w:rPr>
                <w:rFonts w:ascii="Arial" w:eastAsia="Times New Roman" w:hAnsi="Arial" w:cs="Arial"/>
                <w:sz w:val="20"/>
                <w:szCs w:val="20"/>
                <w:vertAlign w:val="subscript"/>
              </w:rPr>
              <w:t>HSC</w:t>
            </w:r>
            <w:r w:rsidRPr="004E0B13">
              <w:rPr>
                <w:rFonts w:ascii="Arial" w:eastAsia="Times New Roman" w:hAnsi="Arial" w:cs="Arial"/>
                <w:sz w:val="20"/>
                <w:szCs w:val="20"/>
              </w:rPr>
              <w:t xml:space="preserve"> from </w:t>
            </w:r>
            <w:r w:rsidR="00126F3D" w:rsidRPr="00126DE5">
              <w:rPr>
                <w:rFonts w:eastAsia="Times New Roman" w:cs="Arial"/>
                <w:b/>
                <w:color w:val="0070C0"/>
                <w:sz w:val="20"/>
                <w:szCs w:val="20"/>
              </w:rPr>
              <w:fldChar w:fldCharType="begin"/>
            </w:r>
            <w:r w:rsidR="00043B81" w:rsidRPr="00126DE5">
              <w:rPr>
                <w:rFonts w:eastAsia="Times New Roman" w:cs="Arial"/>
                <w:b/>
                <w:color w:val="0070C0"/>
                <w:sz w:val="20"/>
                <w:szCs w:val="20"/>
              </w:rPr>
              <w:instrText xml:space="preserve"> REF _Ref285399288 \h </w:instrText>
            </w:r>
            <w:r w:rsidR="00126F3D" w:rsidRPr="00126DE5">
              <w:rPr>
                <w:rFonts w:eastAsia="Times New Roman" w:cs="Arial"/>
                <w:b/>
                <w:color w:val="0070C0"/>
                <w:sz w:val="20"/>
                <w:szCs w:val="20"/>
              </w:rPr>
            </w:r>
            <w:r w:rsidR="00126F3D" w:rsidRPr="00126DE5">
              <w:rPr>
                <w:rFonts w:eastAsia="Times New Roman" w:cs="Arial"/>
                <w:b/>
                <w:color w:val="0070C0"/>
                <w:sz w:val="20"/>
                <w:szCs w:val="20"/>
              </w:rPr>
              <w:fldChar w:fldCharType="separate"/>
            </w:r>
            <w:r w:rsidR="00126DE5" w:rsidRPr="00126DE5">
              <w:rPr>
                <w:b/>
                <w:color w:val="0070C0"/>
              </w:rPr>
              <w:t xml:space="preserve">Table </w:t>
            </w:r>
            <w:r w:rsidR="00126DE5" w:rsidRPr="00126DE5">
              <w:rPr>
                <w:rFonts w:cs="Arial"/>
                <w:b/>
                <w:noProof/>
                <w:color w:val="0070C0"/>
              </w:rPr>
              <w:t>III</w:t>
            </w:r>
            <w:r w:rsidR="00126DE5" w:rsidRPr="00126DE5">
              <w:rPr>
                <w:b/>
                <w:color w:val="0070C0"/>
              </w:rPr>
              <w:t>.</w:t>
            </w:r>
            <w:r w:rsidR="00126DE5" w:rsidRPr="00126DE5">
              <w:rPr>
                <w:rFonts w:cs="Arial"/>
                <w:b/>
                <w:noProof/>
                <w:color w:val="0070C0"/>
              </w:rPr>
              <w:t>1</w:t>
            </w:r>
            <w:r w:rsidR="00126F3D" w:rsidRPr="00126DE5">
              <w:rPr>
                <w:rFonts w:eastAsia="Times New Roman" w:cs="Arial"/>
                <w:b/>
                <w:color w:val="0070C0"/>
                <w:sz w:val="20"/>
                <w:szCs w:val="20"/>
              </w:rPr>
              <w:fldChar w:fldCharType="end"/>
            </w:r>
            <w:r w:rsidR="00043B81">
              <w:rPr>
                <w:rFonts w:ascii="Arial" w:eastAsia="Times New Roman" w:hAnsi="Arial" w:cs="Arial"/>
                <w:sz w:val="20"/>
                <w:szCs w:val="20"/>
              </w:rPr>
              <w:t xml:space="preserve"> </w:t>
            </w:r>
            <w:r w:rsidRPr="004E0B13">
              <w:rPr>
                <w:rFonts w:ascii="Arial" w:eastAsia="Times New Roman" w:hAnsi="Arial" w:cs="Arial"/>
                <w:sz w:val="20"/>
                <w:szCs w:val="20"/>
              </w:rPr>
              <w:t xml:space="preserve">(regionally based), </w:t>
            </w:r>
            <w:r w:rsidRPr="004E0B13">
              <w:rPr>
                <w:rFonts w:ascii="Arial" w:eastAsia="Times New Roman" w:hAnsi="Arial" w:cs="Arial"/>
                <w:i/>
                <w:sz w:val="20"/>
                <w:szCs w:val="20"/>
              </w:rPr>
              <w:t>Y</w:t>
            </w:r>
            <w:r w:rsidRPr="004E0B13">
              <w:rPr>
                <w:rFonts w:ascii="Arial" w:eastAsia="Times New Roman" w:hAnsi="Arial" w:cs="Arial"/>
                <w:i/>
                <w:sz w:val="20"/>
                <w:szCs w:val="20"/>
                <w:vertAlign w:val="subscript"/>
              </w:rPr>
              <w:t>1</w:t>
            </w:r>
          </w:p>
          <w:p w:rsidR="004E0B13" w:rsidRPr="00126DE5" w:rsidRDefault="00126F3D" w:rsidP="004E0B13">
            <w:pPr>
              <w:pStyle w:val="ReportBodyText"/>
              <w:spacing w:after="0" w:line="264" w:lineRule="auto"/>
              <w:rPr>
                <w:rFonts w:cs="Arial"/>
                <w:b/>
                <w:color w:val="0070C0"/>
                <w:sz w:val="20"/>
                <w:szCs w:val="20"/>
              </w:rPr>
            </w:pPr>
            <w:fldSimple w:instr=" REF _Ref285398327 \h  \* MERGEFORMAT ">
              <w:r w:rsidR="00126DE5" w:rsidRPr="00126DE5">
                <w:rPr>
                  <w:rFonts w:cs="Arial"/>
                  <w:b/>
                  <w:color w:val="0070C0"/>
                  <w:sz w:val="20"/>
                  <w:szCs w:val="20"/>
                </w:rPr>
                <w:t>Worksheet A</w:t>
              </w:r>
            </w:fldSimple>
          </w:p>
        </w:tc>
        <w:tc>
          <w:tcPr>
            <w:tcW w:w="595" w:type="pct"/>
            <w:tcMar>
              <w:top w:w="36" w:type="dxa"/>
              <w:bottom w:w="36" w:type="dxa"/>
            </w:tcMar>
            <w:vAlign w:val="center"/>
          </w:tcPr>
          <w:p w:rsidR="0081261C" w:rsidRPr="004E0B13" w:rsidRDefault="0081261C" w:rsidP="004E0B13">
            <w:pPr>
              <w:spacing w:after="0" w:line="264" w:lineRule="auto"/>
              <w:jc w:val="right"/>
              <w:rPr>
                <w:rFonts w:ascii="Arial" w:eastAsia="Times New Roman" w:hAnsi="Arial" w:cs="Arial"/>
                <w:sz w:val="20"/>
                <w:szCs w:val="20"/>
              </w:rPr>
            </w:pPr>
            <w:r w:rsidRPr="004E0B13">
              <w:rPr>
                <w:rFonts w:ascii="Arial" w:eastAsia="Times New Roman" w:hAnsi="Arial" w:cs="Arial"/>
                <w:sz w:val="20"/>
                <w:szCs w:val="20"/>
              </w:rPr>
              <w:t>Y</w:t>
            </w:r>
            <w:r w:rsidRPr="004E0B13">
              <w:rPr>
                <w:rFonts w:ascii="Arial" w:eastAsia="Times New Roman" w:hAnsi="Arial" w:cs="Arial"/>
                <w:sz w:val="20"/>
                <w:szCs w:val="20"/>
                <w:vertAlign w:val="subscript"/>
              </w:rPr>
              <w:t>1</w:t>
            </w:r>
            <w:r w:rsidRPr="004E0B13">
              <w:rPr>
                <w:rFonts w:ascii="Arial" w:eastAsia="Times New Roman" w:hAnsi="Arial" w:cs="Arial"/>
                <w:sz w:val="20"/>
                <w:szCs w:val="20"/>
              </w:rPr>
              <w:t>=</w:t>
            </w:r>
          </w:p>
        </w:tc>
        <w:tc>
          <w:tcPr>
            <w:tcW w:w="595" w:type="pct"/>
            <w:tcMar>
              <w:top w:w="36" w:type="dxa"/>
              <w:bottom w:w="36" w:type="dxa"/>
            </w:tcMar>
            <w:vAlign w:val="center"/>
          </w:tcPr>
          <w:p w:rsidR="0081261C" w:rsidRPr="004E0B13" w:rsidRDefault="0081261C"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81261C" w:rsidRPr="004E0B13" w:rsidRDefault="0081261C"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w:t>
            </w:r>
          </w:p>
        </w:tc>
      </w:tr>
      <w:tr w:rsidR="0081261C" w:rsidRPr="004E0B13" w:rsidTr="00B75BA5">
        <w:trPr>
          <w:gridAfter w:val="1"/>
          <w:wAfter w:w="6" w:type="pct"/>
          <w:trHeight w:val="330"/>
        </w:trPr>
        <w:tc>
          <w:tcPr>
            <w:tcW w:w="170" w:type="pct"/>
            <w:shd w:val="clear" w:color="auto" w:fill="auto"/>
            <w:noWrap/>
            <w:tcMar>
              <w:top w:w="36" w:type="dxa"/>
              <w:bottom w:w="36" w:type="dxa"/>
            </w:tcMar>
            <w:vAlign w:val="bottom"/>
            <w:hideMark/>
          </w:tcPr>
          <w:p w:rsidR="0081261C" w:rsidRPr="004E0B13" w:rsidRDefault="0081261C" w:rsidP="004E0B13">
            <w:pPr>
              <w:spacing w:after="0" w:line="264" w:lineRule="auto"/>
              <w:jc w:val="right"/>
              <w:rPr>
                <w:rFonts w:ascii="Arial" w:eastAsia="Times New Roman" w:hAnsi="Arial" w:cs="Arial"/>
                <w:color w:val="000000"/>
                <w:sz w:val="20"/>
                <w:szCs w:val="20"/>
              </w:rPr>
            </w:pPr>
            <w:r w:rsidRPr="004E0B13">
              <w:rPr>
                <w:rFonts w:ascii="Arial" w:eastAsia="Times New Roman" w:hAnsi="Arial" w:cs="Arial"/>
                <w:color w:val="000000"/>
                <w:sz w:val="20"/>
                <w:szCs w:val="20"/>
              </w:rPr>
              <w:t>4</w:t>
            </w:r>
          </w:p>
        </w:tc>
        <w:tc>
          <w:tcPr>
            <w:tcW w:w="3039" w:type="pct"/>
            <w:shd w:val="clear" w:color="auto" w:fill="auto"/>
            <w:tcMar>
              <w:top w:w="36" w:type="dxa"/>
              <w:bottom w:w="36" w:type="dxa"/>
            </w:tcMar>
            <w:vAlign w:val="center"/>
            <w:hideMark/>
          </w:tcPr>
          <w:p w:rsidR="0081261C" w:rsidRPr="004E0B13" w:rsidRDefault="0081261C" w:rsidP="004E0B13">
            <w:pPr>
              <w:spacing w:after="0" w:line="264" w:lineRule="auto"/>
              <w:rPr>
                <w:rFonts w:ascii="Arial" w:eastAsia="Times New Roman" w:hAnsi="Arial" w:cs="Arial"/>
                <w:sz w:val="20"/>
                <w:szCs w:val="20"/>
                <w:vertAlign w:val="subscript"/>
              </w:rPr>
            </w:pPr>
            <w:r w:rsidRPr="004E0B13">
              <w:rPr>
                <w:rFonts w:ascii="Arial" w:eastAsia="Times New Roman" w:hAnsi="Arial" w:cs="Arial"/>
                <w:sz w:val="20"/>
                <w:szCs w:val="20"/>
              </w:rPr>
              <w:t xml:space="preserve">Using </w:t>
            </w:r>
            <w:fldSimple w:instr=" REF _Ref257795315 \h  \* MERGEFORMAT ">
              <w:r w:rsidR="00126DE5" w:rsidRPr="00126DE5">
                <w:rPr>
                  <w:rFonts w:cs="Arial"/>
                  <w:b/>
                  <w:color w:val="0070C0"/>
                  <w:sz w:val="20"/>
                  <w:szCs w:val="20"/>
                </w:rPr>
                <w:t>Figure III.4</w:t>
              </w:r>
            </w:fldSimple>
            <w:r w:rsidRPr="004E0B13">
              <w:rPr>
                <w:rFonts w:ascii="Arial" w:eastAsia="Times New Roman" w:hAnsi="Arial" w:cs="Arial"/>
                <w:sz w:val="20"/>
                <w:szCs w:val="20"/>
              </w:rPr>
              <w:t>, determine the design intensity at which the time of concentration (T</w:t>
            </w:r>
            <w:r w:rsidRPr="004E0B13">
              <w:rPr>
                <w:rFonts w:ascii="Arial" w:eastAsia="Times New Roman" w:hAnsi="Arial" w:cs="Arial"/>
                <w:sz w:val="20"/>
                <w:szCs w:val="20"/>
                <w:vertAlign w:val="subscript"/>
              </w:rPr>
              <w:t>c</w:t>
            </w:r>
            <w:r w:rsidRPr="004E0B13">
              <w:rPr>
                <w:rFonts w:ascii="Arial" w:eastAsia="Times New Roman" w:hAnsi="Arial" w:cs="Arial"/>
                <w:sz w:val="20"/>
                <w:szCs w:val="20"/>
              </w:rPr>
              <w:t>) achieves the upstream capture efficiency(Y</w:t>
            </w:r>
            <w:r w:rsidRPr="004E0B13">
              <w:rPr>
                <w:rFonts w:ascii="Arial" w:eastAsia="Times New Roman" w:hAnsi="Arial" w:cs="Arial"/>
                <w:sz w:val="20"/>
                <w:szCs w:val="20"/>
                <w:vertAlign w:val="subscript"/>
              </w:rPr>
              <w:t>1</w:t>
            </w:r>
            <w:r w:rsidRPr="004E0B13">
              <w:rPr>
                <w:rFonts w:ascii="Arial" w:eastAsia="Times New Roman" w:hAnsi="Arial" w:cs="Arial"/>
                <w:sz w:val="20"/>
                <w:szCs w:val="20"/>
              </w:rPr>
              <w:t xml:space="preserve">), </w:t>
            </w:r>
            <w:r w:rsidRPr="004E0B13">
              <w:rPr>
                <w:rFonts w:ascii="Arial" w:eastAsia="Times New Roman" w:hAnsi="Arial" w:cs="Arial"/>
                <w:i/>
                <w:sz w:val="20"/>
                <w:szCs w:val="20"/>
              </w:rPr>
              <w:t>I</w:t>
            </w:r>
            <w:r w:rsidRPr="004E0B13">
              <w:rPr>
                <w:rFonts w:ascii="Arial" w:eastAsia="Times New Roman" w:hAnsi="Arial" w:cs="Arial"/>
                <w:i/>
                <w:sz w:val="20"/>
                <w:szCs w:val="20"/>
                <w:vertAlign w:val="subscript"/>
              </w:rPr>
              <w:t>1</w:t>
            </w:r>
          </w:p>
        </w:tc>
        <w:tc>
          <w:tcPr>
            <w:tcW w:w="595" w:type="pct"/>
            <w:tcMar>
              <w:top w:w="36" w:type="dxa"/>
              <w:bottom w:w="36" w:type="dxa"/>
            </w:tcMar>
            <w:vAlign w:val="center"/>
          </w:tcPr>
          <w:p w:rsidR="0081261C" w:rsidRPr="004E0B13" w:rsidRDefault="0081261C" w:rsidP="004E0B13">
            <w:pPr>
              <w:spacing w:after="0" w:line="264" w:lineRule="auto"/>
              <w:jc w:val="right"/>
              <w:rPr>
                <w:rFonts w:ascii="Arial" w:eastAsia="Times New Roman" w:hAnsi="Arial" w:cs="Arial"/>
                <w:sz w:val="20"/>
                <w:szCs w:val="20"/>
              </w:rPr>
            </w:pPr>
            <w:r w:rsidRPr="004E0B13">
              <w:rPr>
                <w:rFonts w:ascii="Arial" w:eastAsia="Times New Roman" w:hAnsi="Arial" w:cs="Arial"/>
                <w:sz w:val="20"/>
                <w:szCs w:val="20"/>
              </w:rPr>
              <w:t>I</w:t>
            </w:r>
            <w:r w:rsidRPr="004E0B13">
              <w:rPr>
                <w:rFonts w:ascii="Arial" w:eastAsia="Times New Roman" w:hAnsi="Arial" w:cs="Arial"/>
                <w:sz w:val="20"/>
                <w:szCs w:val="20"/>
                <w:vertAlign w:val="subscript"/>
              </w:rPr>
              <w:t>1</w:t>
            </w:r>
            <w:r w:rsidRPr="004E0B13">
              <w:rPr>
                <w:rFonts w:ascii="Arial" w:eastAsia="Times New Roman" w:hAnsi="Arial" w:cs="Arial"/>
                <w:sz w:val="20"/>
                <w:szCs w:val="20"/>
              </w:rPr>
              <w:t>=</w:t>
            </w:r>
          </w:p>
        </w:tc>
        <w:tc>
          <w:tcPr>
            <w:tcW w:w="595" w:type="pct"/>
            <w:tcMar>
              <w:top w:w="36" w:type="dxa"/>
              <w:bottom w:w="36" w:type="dxa"/>
            </w:tcMar>
            <w:vAlign w:val="center"/>
          </w:tcPr>
          <w:p w:rsidR="0081261C" w:rsidRPr="004E0B13" w:rsidRDefault="0081261C"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81261C" w:rsidRPr="004E0B13" w:rsidRDefault="0081261C"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in/hr</w:t>
            </w:r>
          </w:p>
        </w:tc>
      </w:tr>
      <w:tr w:rsidR="0081261C" w:rsidRPr="004E0B13" w:rsidTr="00B75BA5">
        <w:trPr>
          <w:gridAfter w:val="1"/>
          <w:wAfter w:w="6" w:type="pct"/>
          <w:trHeight w:val="330"/>
        </w:trPr>
        <w:tc>
          <w:tcPr>
            <w:tcW w:w="170" w:type="pct"/>
            <w:shd w:val="clear" w:color="auto" w:fill="auto"/>
            <w:noWrap/>
            <w:tcMar>
              <w:top w:w="36" w:type="dxa"/>
              <w:bottom w:w="36" w:type="dxa"/>
            </w:tcMar>
            <w:vAlign w:val="bottom"/>
            <w:hideMark/>
          </w:tcPr>
          <w:p w:rsidR="0081261C" w:rsidRPr="004E0B13" w:rsidRDefault="0081261C" w:rsidP="004E0B13">
            <w:pPr>
              <w:spacing w:after="0" w:line="264" w:lineRule="auto"/>
              <w:jc w:val="right"/>
              <w:rPr>
                <w:rFonts w:ascii="Arial" w:eastAsia="Times New Roman" w:hAnsi="Arial" w:cs="Arial"/>
                <w:color w:val="000000"/>
                <w:sz w:val="20"/>
                <w:szCs w:val="20"/>
              </w:rPr>
            </w:pPr>
            <w:r w:rsidRPr="004E0B13">
              <w:rPr>
                <w:rFonts w:ascii="Arial" w:eastAsia="Times New Roman" w:hAnsi="Arial" w:cs="Arial"/>
                <w:color w:val="000000"/>
                <w:sz w:val="20"/>
                <w:szCs w:val="20"/>
              </w:rPr>
              <w:t>5</w:t>
            </w:r>
          </w:p>
        </w:tc>
        <w:tc>
          <w:tcPr>
            <w:tcW w:w="3039" w:type="pct"/>
            <w:shd w:val="clear" w:color="auto" w:fill="auto"/>
            <w:tcMar>
              <w:top w:w="36" w:type="dxa"/>
              <w:bottom w:w="36" w:type="dxa"/>
            </w:tcMar>
            <w:vAlign w:val="center"/>
            <w:hideMark/>
          </w:tcPr>
          <w:p w:rsidR="0081261C" w:rsidRPr="004E0B13" w:rsidRDefault="0081261C" w:rsidP="004E0B13">
            <w:pPr>
              <w:spacing w:after="0" w:line="264" w:lineRule="auto"/>
              <w:rPr>
                <w:rFonts w:ascii="Arial" w:eastAsia="Times New Roman" w:hAnsi="Arial" w:cs="Arial"/>
                <w:sz w:val="20"/>
                <w:szCs w:val="20"/>
              </w:rPr>
            </w:pPr>
            <w:r w:rsidRPr="004E0B13">
              <w:rPr>
                <w:rFonts w:ascii="Arial" w:hAnsi="Arial" w:cs="Arial"/>
                <w:sz w:val="20"/>
                <w:szCs w:val="20"/>
              </w:rPr>
              <w:t xml:space="preserve">Determine the </w:t>
            </w:r>
            <w:r w:rsidR="004E0B13" w:rsidRPr="004E0B13">
              <w:rPr>
                <w:rFonts w:ascii="Arial" w:hAnsi="Arial" w:cs="Arial"/>
                <w:sz w:val="20"/>
                <w:szCs w:val="20"/>
              </w:rPr>
              <w:t xml:space="preserve">cumulative </w:t>
            </w:r>
            <w:r w:rsidRPr="004E0B13">
              <w:rPr>
                <w:rFonts w:ascii="Arial" w:hAnsi="Arial" w:cs="Arial"/>
                <w:sz w:val="20"/>
                <w:szCs w:val="20"/>
              </w:rPr>
              <w:t xml:space="preserve">design intensity </w:t>
            </w:r>
            <w:r w:rsidRPr="004E0B13">
              <w:rPr>
                <w:rFonts w:ascii="Arial" w:eastAsia="Times New Roman" w:hAnsi="Arial" w:cs="Arial"/>
                <w:sz w:val="20"/>
                <w:szCs w:val="20"/>
              </w:rPr>
              <w:t xml:space="preserve">that is provided by upstream and project BMPs, </w:t>
            </w:r>
            <w:r w:rsidRPr="004E0B13">
              <w:rPr>
                <w:rFonts w:ascii="Arial" w:hAnsi="Arial" w:cs="Arial"/>
                <w:i/>
                <w:sz w:val="20"/>
                <w:szCs w:val="20"/>
              </w:rPr>
              <w:t>I</w:t>
            </w:r>
            <w:r w:rsidRPr="004E0B13">
              <w:rPr>
                <w:rFonts w:ascii="Arial" w:hAnsi="Arial" w:cs="Arial"/>
                <w:i/>
                <w:sz w:val="20"/>
                <w:szCs w:val="20"/>
                <w:vertAlign w:val="subscript"/>
              </w:rPr>
              <w:t>2</w:t>
            </w:r>
            <w:r w:rsidRPr="004E0B13">
              <w:rPr>
                <w:rFonts w:ascii="Arial" w:hAnsi="Arial" w:cs="Arial"/>
                <w:i/>
                <w:sz w:val="20"/>
                <w:szCs w:val="20"/>
              </w:rPr>
              <w:t xml:space="preserve"> = </w:t>
            </w:r>
            <w:proofErr w:type="spellStart"/>
            <w:r w:rsidRPr="004E0B13">
              <w:rPr>
                <w:rFonts w:ascii="Arial" w:hAnsi="Arial" w:cs="Arial"/>
                <w:i/>
                <w:sz w:val="20"/>
                <w:szCs w:val="20"/>
              </w:rPr>
              <w:t>I</w:t>
            </w:r>
            <w:r w:rsidRPr="004E0B13">
              <w:rPr>
                <w:rFonts w:ascii="Arial" w:hAnsi="Arial" w:cs="Arial"/>
                <w:i/>
                <w:sz w:val="20"/>
                <w:szCs w:val="20"/>
                <w:vertAlign w:val="subscript"/>
              </w:rPr>
              <w:t>provided</w:t>
            </w:r>
            <w:proofErr w:type="spellEnd"/>
            <w:r w:rsidRPr="004E0B13">
              <w:rPr>
                <w:rFonts w:ascii="Arial" w:hAnsi="Arial" w:cs="Arial"/>
                <w:i/>
                <w:sz w:val="20"/>
                <w:szCs w:val="20"/>
              </w:rPr>
              <w:t xml:space="preserve"> + I</w:t>
            </w:r>
            <w:r w:rsidRPr="004E0B13">
              <w:rPr>
                <w:rFonts w:ascii="Arial" w:hAnsi="Arial" w:cs="Arial"/>
                <w:i/>
                <w:sz w:val="20"/>
                <w:szCs w:val="20"/>
                <w:vertAlign w:val="subscript"/>
              </w:rPr>
              <w:t>1</w:t>
            </w:r>
            <w:r w:rsidRPr="004E0B13">
              <w:rPr>
                <w:rFonts w:ascii="Arial" w:hAnsi="Arial" w:cs="Arial"/>
                <w:i/>
                <w:sz w:val="20"/>
                <w:szCs w:val="20"/>
                <w:vertAlign w:val="subscript"/>
              </w:rPr>
              <w:tab/>
            </w:r>
          </w:p>
        </w:tc>
        <w:tc>
          <w:tcPr>
            <w:tcW w:w="595" w:type="pct"/>
            <w:tcMar>
              <w:top w:w="36" w:type="dxa"/>
              <w:bottom w:w="36" w:type="dxa"/>
            </w:tcMar>
            <w:vAlign w:val="center"/>
          </w:tcPr>
          <w:p w:rsidR="0081261C" w:rsidRPr="004E0B13" w:rsidRDefault="0081261C" w:rsidP="004E0B13">
            <w:pPr>
              <w:spacing w:after="0" w:line="264" w:lineRule="auto"/>
              <w:jc w:val="right"/>
              <w:rPr>
                <w:rFonts w:ascii="Arial" w:eastAsia="Times New Roman" w:hAnsi="Arial" w:cs="Arial"/>
                <w:sz w:val="20"/>
                <w:szCs w:val="20"/>
              </w:rPr>
            </w:pPr>
            <w:r w:rsidRPr="004E0B13">
              <w:rPr>
                <w:rFonts w:ascii="Arial" w:eastAsia="Times New Roman" w:hAnsi="Arial" w:cs="Arial"/>
                <w:sz w:val="20"/>
                <w:szCs w:val="20"/>
              </w:rPr>
              <w:t>I</w:t>
            </w:r>
            <w:r w:rsidRPr="004E0B13">
              <w:rPr>
                <w:rFonts w:ascii="Arial" w:eastAsia="Times New Roman" w:hAnsi="Arial" w:cs="Arial"/>
                <w:sz w:val="20"/>
                <w:szCs w:val="20"/>
                <w:vertAlign w:val="subscript"/>
              </w:rPr>
              <w:t>2</w:t>
            </w:r>
            <w:r w:rsidRPr="004E0B13">
              <w:rPr>
                <w:rFonts w:ascii="Arial" w:eastAsia="Times New Roman" w:hAnsi="Arial" w:cs="Arial"/>
                <w:sz w:val="20"/>
                <w:szCs w:val="20"/>
              </w:rPr>
              <w:t>=</w:t>
            </w:r>
          </w:p>
        </w:tc>
        <w:tc>
          <w:tcPr>
            <w:tcW w:w="595" w:type="pct"/>
            <w:tcMar>
              <w:top w:w="36" w:type="dxa"/>
              <w:bottom w:w="36" w:type="dxa"/>
            </w:tcMar>
            <w:vAlign w:val="center"/>
          </w:tcPr>
          <w:p w:rsidR="0081261C" w:rsidRPr="004E0B13" w:rsidRDefault="0081261C"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81261C" w:rsidRPr="004E0B13" w:rsidRDefault="0081261C"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in/hr</w:t>
            </w:r>
          </w:p>
        </w:tc>
      </w:tr>
      <w:tr w:rsidR="0081261C" w:rsidRPr="004E0B13" w:rsidTr="00B75BA5">
        <w:trPr>
          <w:gridAfter w:val="1"/>
          <w:wAfter w:w="6" w:type="pct"/>
          <w:trHeight w:val="330"/>
        </w:trPr>
        <w:tc>
          <w:tcPr>
            <w:tcW w:w="170" w:type="pct"/>
            <w:shd w:val="clear" w:color="auto" w:fill="auto"/>
            <w:noWrap/>
            <w:tcMar>
              <w:top w:w="36" w:type="dxa"/>
              <w:bottom w:w="36" w:type="dxa"/>
            </w:tcMar>
            <w:vAlign w:val="center"/>
            <w:hideMark/>
          </w:tcPr>
          <w:p w:rsidR="0081261C" w:rsidRPr="004E0B13" w:rsidRDefault="0081261C" w:rsidP="004E0B13">
            <w:pPr>
              <w:spacing w:after="0" w:line="264" w:lineRule="auto"/>
              <w:rPr>
                <w:rFonts w:ascii="Arial" w:eastAsia="Times New Roman" w:hAnsi="Arial" w:cs="Arial"/>
                <w:color w:val="000000"/>
                <w:sz w:val="20"/>
                <w:szCs w:val="20"/>
              </w:rPr>
            </w:pPr>
            <w:r w:rsidRPr="004E0B13">
              <w:rPr>
                <w:rFonts w:ascii="Arial" w:eastAsia="Times New Roman" w:hAnsi="Arial" w:cs="Arial"/>
                <w:color w:val="000000"/>
                <w:sz w:val="20"/>
                <w:szCs w:val="20"/>
              </w:rPr>
              <w:t>6</w:t>
            </w:r>
          </w:p>
        </w:tc>
        <w:tc>
          <w:tcPr>
            <w:tcW w:w="3039" w:type="pct"/>
            <w:shd w:val="clear" w:color="auto" w:fill="auto"/>
            <w:tcMar>
              <w:top w:w="36" w:type="dxa"/>
              <w:bottom w:w="36" w:type="dxa"/>
            </w:tcMar>
            <w:vAlign w:val="center"/>
            <w:hideMark/>
          </w:tcPr>
          <w:p w:rsidR="0081261C" w:rsidRPr="004E0B13" w:rsidRDefault="0081261C" w:rsidP="004E0B13">
            <w:pPr>
              <w:spacing w:after="0" w:line="264" w:lineRule="auto"/>
              <w:rPr>
                <w:rFonts w:ascii="Arial" w:eastAsia="Times New Roman" w:hAnsi="Arial" w:cs="Arial"/>
                <w:sz w:val="20"/>
                <w:szCs w:val="20"/>
                <w:vertAlign w:val="subscript"/>
              </w:rPr>
            </w:pPr>
            <w:r w:rsidRPr="004E0B13">
              <w:rPr>
                <w:rFonts w:ascii="Arial" w:eastAsia="Times New Roman" w:hAnsi="Arial" w:cs="Arial"/>
                <w:sz w:val="20"/>
                <w:szCs w:val="20"/>
              </w:rPr>
              <w:t xml:space="preserve">Using </w:t>
            </w:r>
            <w:fldSimple w:instr=" REF _Ref257795315 \h  \* MERGEFORMAT ">
              <w:r w:rsidR="00126DE5" w:rsidRPr="00126DE5">
                <w:rPr>
                  <w:rFonts w:cs="Arial"/>
                  <w:b/>
                  <w:color w:val="0070C0"/>
                  <w:sz w:val="20"/>
                  <w:szCs w:val="20"/>
                </w:rPr>
                <w:t>Figure III.4</w:t>
              </w:r>
            </w:fldSimple>
            <w:r w:rsidRPr="004E0B13">
              <w:rPr>
                <w:rFonts w:ascii="Arial" w:eastAsia="Times New Roman" w:hAnsi="Arial" w:cs="Arial"/>
                <w:sz w:val="20"/>
                <w:szCs w:val="20"/>
              </w:rPr>
              <w:t>, determine the capture efficiency corresponding to the total intensity captured (I</w:t>
            </w:r>
            <w:r w:rsidRPr="004E0B13">
              <w:rPr>
                <w:rFonts w:ascii="Arial" w:eastAsia="Times New Roman" w:hAnsi="Arial" w:cs="Arial"/>
                <w:sz w:val="20"/>
                <w:szCs w:val="20"/>
                <w:vertAlign w:val="subscript"/>
              </w:rPr>
              <w:t>2</w:t>
            </w:r>
            <w:r w:rsidRPr="004E0B13">
              <w:rPr>
                <w:rFonts w:ascii="Arial" w:eastAsia="Times New Roman" w:hAnsi="Arial" w:cs="Arial"/>
                <w:sz w:val="20"/>
                <w:szCs w:val="20"/>
              </w:rPr>
              <w:t>) for time of concentration (T</w:t>
            </w:r>
            <w:r w:rsidRPr="004E0B13">
              <w:rPr>
                <w:rFonts w:ascii="Arial" w:eastAsia="Times New Roman" w:hAnsi="Arial" w:cs="Arial"/>
                <w:sz w:val="20"/>
                <w:szCs w:val="20"/>
                <w:vertAlign w:val="subscript"/>
              </w:rPr>
              <w:t>c</w:t>
            </w:r>
            <w:r w:rsidRPr="004E0B13">
              <w:rPr>
                <w:rFonts w:ascii="Arial" w:eastAsia="Times New Roman" w:hAnsi="Arial" w:cs="Arial"/>
                <w:sz w:val="20"/>
                <w:szCs w:val="20"/>
              </w:rPr>
              <w:t xml:space="preserve">) for upstream and Project BMPs, </w:t>
            </w:r>
            <w:r w:rsidRPr="004E0B13">
              <w:rPr>
                <w:rFonts w:ascii="Arial" w:eastAsia="Times New Roman" w:hAnsi="Arial" w:cs="Arial"/>
                <w:i/>
                <w:sz w:val="20"/>
                <w:szCs w:val="20"/>
              </w:rPr>
              <w:t>Y</w:t>
            </w:r>
            <w:r w:rsidRPr="004E0B13">
              <w:rPr>
                <w:rFonts w:ascii="Arial" w:eastAsia="Times New Roman" w:hAnsi="Arial" w:cs="Arial"/>
                <w:i/>
                <w:sz w:val="20"/>
                <w:szCs w:val="20"/>
                <w:vertAlign w:val="subscript"/>
              </w:rPr>
              <w:t>2</w:t>
            </w:r>
          </w:p>
        </w:tc>
        <w:tc>
          <w:tcPr>
            <w:tcW w:w="595" w:type="pct"/>
            <w:tcMar>
              <w:top w:w="36" w:type="dxa"/>
              <w:bottom w:w="36" w:type="dxa"/>
            </w:tcMar>
            <w:vAlign w:val="center"/>
          </w:tcPr>
          <w:p w:rsidR="0081261C" w:rsidRPr="004E0B13" w:rsidRDefault="0081261C" w:rsidP="004E0B13">
            <w:pPr>
              <w:spacing w:after="0" w:line="264" w:lineRule="auto"/>
              <w:jc w:val="right"/>
              <w:rPr>
                <w:rFonts w:ascii="Arial" w:eastAsia="Times New Roman" w:hAnsi="Arial" w:cs="Arial"/>
                <w:sz w:val="20"/>
                <w:szCs w:val="20"/>
              </w:rPr>
            </w:pPr>
            <w:r w:rsidRPr="004E0B13">
              <w:rPr>
                <w:rFonts w:ascii="Arial" w:eastAsia="Times New Roman" w:hAnsi="Arial" w:cs="Arial"/>
                <w:sz w:val="20"/>
                <w:szCs w:val="20"/>
              </w:rPr>
              <w:t>Y</w:t>
            </w:r>
            <w:r w:rsidRPr="004E0B13">
              <w:rPr>
                <w:rFonts w:ascii="Arial" w:eastAsia="Times New Roman" w:hAnsi="Arial" w:cs="Arial"/>
                <w:sz w:val="20"/>
                <w:szCs w:val="20"/>
                <w:vertAlign w:val="subscript"/>
              </w:rPr>
              <w:t>2</w:t>
            </w:r>
            <w:r w:rsidRPr="004E0B13">
              <w:rPr>
                <w:rFonts w:ascii="Arial" w:eastAsia="Times New Roman" w:hAnsi="Arial" w:cs="Arial"/>
                <w:sz w:val="20"/>
                <w:szCs w:val="20"/>
              </w:rPr>
              <w:t>=</w:t>
            </w:r>
          </w:p>
        </w:tc>
        <w:tc>
          <w:tcPr>
            <w:tcW w:w="595" w:type="pct"/>
            <w:tcMar>
              <w:top w:w="36" w:type="dxa"/>
              <w:bottom w:w="36" w:type="dxa"/>
            </w:tcMar>
            <w:vAlign w:val="center"/>
          </w:tcPr>
          <w:p w:rsidR="0081261C" w:rsidRPr="004E0B13" w:rsidRDefault="0081261C" w:rsidP="004E0B13">
            <w:pPr>
              <w:spacing w:after="0" w:line="264" w:lineRule="auto"/>
              <w:jc w:val="center"/>
              <w:rPr>
                <w:rFonts w:ascii="Arial" w:eastAsia="Times New Roman" w:hAnsi="Arial" w:cs="Arial"/>
                <w:sz w:val="20"/>
                <w:szCs w:val="20"/>
              </w:rPr>
            </w:pPr>
          </w:p>
        </w:tc>
        <w:tc>
          <w:tcPr>
            <w:tcW w:w="595" w:type="pct"/>
            <w:tcMar>
              <w:top w:w="36" w:type="dxa"/>
              <w:bottom w:w="36" w:type="dxa"/>
            </w:tcMar>
            <w:vAlign w:val="center"/>
          </w:tcPr>
          <w:p w:rsidR="0081261C" w:rsidRPr="004E0B13" w:rsidRDefault="0081261C"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w:t>
            </w:r>
          </w:p>
        </w:tc>
      </w:tr>
      <w:tr w:rsidR="0081261C" w:rsidRPr="004E0B13" w:rsidTr="00B75BA5">
        <w:trPr>
          <w:trHeight w:val="330"/>
        </w:trPr>
        <w:tc>
          <w:tcPr>
            <w:tcW w:w="5000" w:type="pct"/>
            <w:gridSpan w:val="6"/>
            <w:shd w:val="clear" w:color="auto" w:fill="D9D9D9"/>
            <w:noWrap/>
            <w:tcMar>
              <w:top w:w="36" w:type="dxa"/>
              <w:bottom w:w="36" w:type="dxa"/>
            </w:tcMar>
            <w:vAlign w:val="center"/>
            <w:hideMark/>
          </w:tcPr>
          <w:p w:rsidR="0081261C" w:rsidRPr="004E0B13" w:rsidRDefault="0081261C" w:rsidP="004E0B13">
            <w:pPr>
              <w:pStyle w:val="ExampleSubheading"/>
              <w:pBdr>
                <w:top w:val="none" w:sz="0" w:space="0" w:color="auto"/>
                <w:left w:val="none" w:sz="0" w:space="0" w:color="auto"/>
                <w:bottom w:val="none" w:sz="0" w:space="0" w:color="auto"/>
                <w:right w:val="none" w:sz="0" w:space="0" w:color="auto"/>
              </w:pBdr>
              <w:spacing w:before="0" w:after="0" w:line="264" w:lineRule="auto"/>
              <w:ind w:left="0"/>
              <w:outlineLvl w:val="0"/>
              <w:rPr>
                <w:color w:val="000000"/>
              </w:rPr>
            </w:pPr>
            <w:r w:rsidRPr="004E0B13">
              <w:t>Supporting Calculations</w:t>
            </w:r>
          </w:p>
        </w:tc>
      </w:tr>
      <w:tr w:rsidR="0081261C" w:rsidRPr="004E0B13" w:rsidTr="00B75BA5">
        <w:trPr>
          <w:gridAfter w:val="1"/>
          <w:wAfter w:w="6" w:type="pct"/>
          <w:trHeight w:val="1691"/>
        </w:trPr>
        <w:tc>
          <w:tcPr>
            <w:tcW w:w="4994" w:type="pct"/>
            <w:gridSpan w:val="5"/>
            <w:shd w:val="clear" w:color="auto" w:fill="auto"/>
            <w:noWrap/>
            <w:tcMar>
              <w:top w:w="36" w:type="dxa"/>
              <w:bottom w:w="36" w:type="dxa"/>
            </w:tcMar>
            <w:hideMark/>
          </w:tcPr>
          <w:p w:rsidR="0081261C" w:rsidRPr="004E0B13" w:rsidRDefault="0081261C"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Describe system:</w:t>
            </w:r>
          </w:p>
        </w:tc>
      </w:tr>
      <w:tr w:rsidR="0081261C" w:rsidRPr="004E0B13" w:rsidTr="00B75BA5">
        <w:trPr>
          <w:gridAfter w:val="1"/>
          <w:wAfter w:w="6" w:type="pct"/>
          <w:trHeight w:val="1619"/>
        </w:trPr>
        <w:tc>
          <w:tcPr>
            <w:tcW w:w="4994" w:type="pct"/>
            <w:gridSpan w:val="5"/>
            <w:shd w:val="clear" w:color="auto" w:fill="auto"/>
            <w:noWrap/>
            <w:tcMar>
              <w:top w:w="36" w:type="dxa"/>
              <w:bottom w:w="36" w:type="dxa"/>
            </w:tcMar>
            <w:hideMark/>
          </w:tcPr>
          <w:p w:rsidR="0081261C" w:rsidRPr="004E0B13" w:rsidRDefault="0081261C" w:rsidP="004E0B13">
            <w:pPr>
              <w:spacing w:after="0" w:line="264" w:lineRule="auto"/>
              <w:rPr>
                <w:rFonts w:ascii="Arial" w:eastAsia="Times New Roman" w:hAnsi="Arial" w:cs="Arial"/>
                <w:sz w:val="20"/>
                <w:szCs w:val="20"/>
              </w:rPr>
            </w:pPr>
            <w:r w:rsidRPr="004E0B13">
              <w:rPr>
                <w:rFonts w:ascii="Arial" w:eastAsia="Times New Roman" w:hAnsi="Arial" w:cs="Arial"/>
                <w:sz w:val="20"/>
                <w:szCs w:val="20"/>
              </w:rPr>
              <w:t>Provide time of concentration assumptions:</w:t>
            </w:r>
          </w:p>
        </w:tc>
      </w:tr>
      <w:tr w:rsidR="0081261C" w:rsidRPr="004E0B13" w:rsidTr="00B75BA5">
        <w:trPr>
          <w:trHeight w:val="330"/>
        </w:trPr>
        <w:tc>
          <w:tcPr>
            <w:tcW w:w="5000" w:type="pct"/>
            <w:gridSpan w:val="6"/>
            <w:shd w:val="clear" w:color="auto" w:fill="D9D9D9"/>
            <w:noWrap/>
            <w:tcMar>
              <w:top w:w="36" w:type="dxa"/>
              <w:bottom w:w="36" w:type="dxa"/>
            </w:tcMar>
            <w:vAlign w:val="center"/>
            <w:hideMark/>
          </w:tcPr>
          <w:p w:rsidR="0081261C" w:rsidRPr="004E0B13" w:rsidRDefault="0081261C" w:rsidP="004E0B13">
            <w:pPr>
              <w:pStyle w:val="ExampleSubheading"/>
              <w:pBdr>
                <w:top w:val="none" w:sz="0" w:space="0" w:color="auto"/>
                <w:left w:val="none" w:sz="0" w:space="0" w:color="auto"/>
                <w:bottom w:val="none" w:sz="0" w:space="0" w:color="auto"/>
                <w:right w:val="none" w:sz="0" w:space="0" w:color="auto"/>
              </w:pBdr>
              <w:spacing w:before="0" w:after="0" w:line="264" w:lineRule="auto"/>
              <w:ind w:left="0"/>
              <w:outlineLvl w:val="0"/>
              <w:rPr>
                <w:color w:val="000000"/>
              </w:rPr>
            </w:pPr>
            <w:r w:rsidRPr="004E0B13">
              <w:t>Graphical Operations</w:t>
            </w:r>
          </w:p>
        </w:tc>
      </w:tr>
      <w:tr w:rsidR="0081261C" w:rsidRPr="004E0B13" w:rsidTr="00B75BA5">
        <w:trPr>
          <w:gridAfter w:val="1"/>
          <w:wAfter w:w="6" w:type="pct"/>
          <w:trHeight w:val="1718"/>
        </w:trPr>
        <w:tc>
          <w:tcPr>
            <w:tcW w:w="4994" w:type="pct"/>
            <w:gridSpan w:val="5"/>
            <w:shd w:val="clear" w:color="auto" w:fill="auto"/>
            <w:noWrap/>
            <w:tcMar>
              <w:top w:w="36" w:type="dxa"/>
              <w:bottom w:w="36" w:type="dxa"/>
            </w:tcMar>
            <w:hideMark/>
          </w:tcPr>
          <w:p w:rsidR="0081261C" w:rsidRPr="004E0B13" w:rsidRDefault="0081261C" w:rsidP="004E0B13">
            <w:pPr>
              <w:pStyle w:val="CDMBTEXT"/>
              <w:spacing w:after="0"/>
              <w:rPr>
                <w:rFonts w:ascii="Arial" w:hAnsi="Arial" w:cs="Arial"/>
                <w:sz w:val="20"/>
              </w:rPr>
            </w:pPr>
            <w:r w:rsidRPr="004E0B13">
              <w:rPr>
                <w:rFonts w:ascii="Arial" w:hAnsi="Arial" w:cs="Arial"/>
                <w:noProof/>
                <w:sz w:val="20"/>
              </w:rPr>
              <w:drawing>
                <wp:inline distT="0" distB="0" distL="0" distR="0">
                  <wp:extent cx="6006189" cy="4146697"/>
                  <wp:effectExtent l="19050" t="0" r="0" b="0"/>
                  <wp:docPr id="58"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9" cstate="email"/>
                          <a:srcRect/>
                          <a:stretch>
                            <a:fillRect/>
                          </a:stretch>
                        </pic:blipFill>
                        <pic:spPr bwMode="auto">
                          <a:xfrm>
                            <a:off x="0" y="0"/>
                            <a:ext cx="6011779" cy="4150556"/>
                          </a:xfrm>
                          <a:prstGeom prst="rect">
                            <a:avLst/>
                          </a:prstGeom>
                          <a:noFill/>
                        </pic:spPr>
                      </pic:pic>
                    </a:graphicData>
                  </a:graphic>
                </wp:inline>
              </w:drawing>
            </w:r>
          </w:p>
          <w:p w:rsidR="004E0B13" w:rsidRDefault="004E0B13" w:rsidP="004E0B13">
            <w:pPr>
              <w:pStyle w:val="ReportBodyText"/>
              <w:spacing w:after="0" w:line="264" w:lineRule="auto"/>
              <w:rPr>
                <w:rFonts w:ascii="Arial" w:hAnsi="Arial" w:cs="Arial"/>
                <w:sz w:val="20"/>
                <w:szCs w:val="20"/>
              </w:rPr>
            </w:pPr>
          </w:p>
          <w:p w:rsidR="0081261C" w:rsidRDefault="0081261C" w:rsidP="004E0B13">
            <w:pPr>
              <w:pStyle w:val="ReportBodyText"/>
              <w:spacing w:after="0" w:line="264" w:lineRule="auto"/>
              <w:rPr>
                <w:rFonts w:ascii="Arial" w:hAnsi="Arial" w:cs="Arial"/>
                <w:sz w:val="20"/>
                <w:szCs w:val="20"/>
              </w:rPr>
            </w:pPr>
            <w:r w:rsidRPr="004E0B13">
              <w:rPr>
                <w:rFonts w:ascii="Arial" w:hAnsi="Arial" w:cs="Arial"/>
                <w:sz w:val="20"/>
                <w:szCs w:val="20"/>
              </w:rPr>
              <w:t>Provide supporting graphical operations.</w:t>
            </w:r>
          </w:p>
          <w:p w:rsidR="004E0B13" w:rsidRPr="004E0B13" w:rsidRDefault="004E0B13" w:rsidP="004E0B13">
            <w:pPr>
              <w:pStyle w:val="ReportBodyText"/>
              <w:spacing w:after="0" w:line="264" w:lineRule="auto"/>
              <w:rPr>
                <w:rFonts w:ascii="Arial" w:hAnsi="Arial" w:cs="Arial"/>
                <w:sz w:val="20"/>
                <w:szCs w:val="20"/>
              </w:rPr>
            </w:pPr>
          </w:p>
        </w:tc>
      </w:tr>
    </w:tbl>
    <w:p w:rsidR="0081261C" w:rsidRDefault="0081261C">
      <w:pPr>
        <w:spacing w:after="200"/>
        <w:rPr>
          <w:b/>
          <w:sz w:val="28"/>
          <w:szCs w:val="26"/>
        </w:rPr>
      </w:pPr>
      <w:bookmarkStart w:id="242" w:name="_Toc285308131"/>
      <w:bookmarkStart w:id="243" w:name="_Toc285315727"/>
      <w:bookmarkStart w:id="244" w:name="_Ref285384835"/>
      <w:bookmarkStart w:id="245" w:name="_Toc285492446"/>
      <w:r>
        <w:br w:type="page"/>
      </w:r>
    </w:p>
    <w:p w:rsidR="0013104B" w:rsidRDefault="0013104B" w:rsidP="00A52883">
      <w:pPr>
        <w:pStyle w:val="Heading2"/>
      </w:pPr>
      <w:bookmarkStart w:id="246" w:name="_Ref287705759"/>
      <w:bookmarkStart w:id="247" w:name="_Ref287705762"/>
      <w:bookmarkStart w:id="248" w:name="_Toc288541059"/>
      <w:bookmarkStart w:id="249" w:name="_Toc293937122"/>
      <w:r>
        <w:t>Sizing Approaches for</w:t>
      </w:r>
      <w:r w:rsidR="00A075A2">
        <w:t xml:space="preserve"> Treatment Trains and </w:t>
      </w:r>
      <w:r>
        <w:t>Hybrid Systems</w:t>
      </w:r>
      <w:bookmarkEnd w:id="242"/>
      <w:bookmarkEnd w:id="243"/>
      <w:bookmarkEnd w:id="244"/>
      <w:bookmarkEnd w:id="245"/>
      <w:bookmarkEnd w:id="246"/>
      <w:bookmarkEnd w:id="247"/>
      <w:bookmarkEnd w:id="248"/>
      <w:bookmarkEnd w:id="249"/>
    </w:p>
    <w:p w:rsidR="00746522" w:rsidRPr="00B53524" w:rsidRDefault="00746522" w:rsidP="00746522">
      <w:pPr>
        <w:pStyle w:val="CDMBTEXT"/>
      </w:pPr>
      <w:r w:rsidRPr="00311A64">
        <w:t xml:space="preserve">BMP design </w:t>
      </w:r>
      <w:r w:rsidR="00B32C4E">
        <w:t xml:space="preserve">to achieve maximum feasible retention and biotreatment </w:t>
      </w:r>
      <w:r w:rsidRPr="00311A64">
        <w:t>for a given set of site constraints may consist of multiple parts (i.e., retention and biotreatment</w:t>
      </w:r>
      <w:r w:rsidR="00B32C4E">
        <w:t>; volume-based and flow-based).</w:t>
      </w:r>
      <w:r w:rsidRPr="00311A64">
        <w:t xml:space="preserve"> For example, retention storage may be provided within the pores of amended soil in a bioretention area without underdrains, and the surface may function as a vegetated swale providing flow-based biotreatment.  Or retention storage may be provided in a cistern which overflows to a planter box with underdrains to provide the remaining biotreatment volume. </w:t>
      </w:r>
    </w:p>
    <w:p w:rsidR="00746522" w:rsidRPr="00B53524" w:rsidRDefault="00746522" w:rsidP="00746522">
      <w:pPr>
        <w:pStyle w:val="CDMBTEXT"/>
      </w:pPr>
      <w:r w:rsidRPr="00311A64">
        <w:t xml:space="preserve">The methods described in </w:t>
      </w:r>
      <w:r w:rsidR="00B32C4E">
        <w:t>this Appendix can</w:t>
      </w:r>
      <w:r w:rsidRPr="00311A64">
        <w:t xml:space="preserve"> be used in combination to determine the incremental benefit of each component of the system.  In most cases, the performance of the retention component would be estimated first using Section </w:t>
      </w:r>
      <w:fldSimple w:instr=" REF _Ref257652527 \r \h  \* MERGEFORMAT ">
        <w:r w:rsidR="00126DE5" w:rsidRPr="00126DE5">
          <w:rPr>
            <w:rFonts w:cs="Arial"/>
            <w:b/>
            <w:color w:val="0070C0"/>
            <w:sz w:val="20"/>
          </w:rPr>
          <w:t>III.4</w:t>
        </w:r>
      </w:fldSimple>
      <w:r w:rsidR="00B32C4E">
        <w:t xml:space="preserve"> </w:t>
      </w:r>
      <w:r w:rsidRPr="00311A64">
        <w:t xml:space="preserve">(depending on the BMP type), and then the biotreatment component would be sized using Section </w:t>
      </w:r>
      <w:r w:rsidR="00126F3D" w:rsidRPr="00126DE5">
        <w:rPr>
          <w:rFonts w:cs="Arial"/>
          <w:b/>
          <w:color w:val="0070C0"/>
          <w:sz w:val="20"/>
        </w:rPr>
        <w:fldChar w:fldCharType="begin"/>
      </w:r>
      <w:r w:rsidR="00B32C4E" w:rsidRPr="00126DE5">
        <w:rPr>
          <w:rFonts w:cs="Arial"/>
          <w:b/>
          <w:color w:val="0070C0"/>
          <w:sz w:val="20"/>
        </w:rPr>
        <w:instrText xml:space="preserve"> REF _Ref285384680 \r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rFonts w:cs="Arial"/>
          <w:b/>
          <w:color w:val="0070C0"/>
          <w:sz w:val="20"/>
        </w:rPr>
        <w:t>III.3.2</w:t>
      </w:r>
      <w:r w:rsidR="00126F3D" w:rsidRPr="00126DE5">
        <w:rPr>
          <w:rFonts w:cs="Arial"/>
          <w:b/>
          <w:color w:val="0070C0"/>
          <w:sz w:val="20"/>
        </w:rPr>
        <w:fldChar w:fldCharType="end"/>
      </w:r>
      <w:r w:rsidR="00B32C4E">
        <w:rPr>
          <w:b/>
          <w:color w:val="0070C0"/>
        </w:rPr>
        <w:t xml:space="preserve"> </w:t>
      </w:r>
      <w:r w:rsidR="00B32C4E" w:rsidRPr="004E0B13">
        <w:t>or</w:t>
      </w:r>
      <w:r w:rsidR="00B32C4E" w:rsidRPr="004E0B13">
        <w:rPr>
          <w:b/>
        </w:rPr>
        <w:t xml:space="preserve"> </w:t>
      </w:r>
      <w:r w:rsidR="00126F3D" w:rsidRPr="00126DE5">
        <w:rPr>
          <w:b/>
          <w:color w:val="0070C0"/>
        </w:rPr>
        <w:fldChar w:fldCharType="begin"/>
      </w:r>
      <w:r w:rsidR="00043B81" w:rsidRPr="00126DE5">
        <w:rPr>
          <w:b/>
          <w:color w:val="0070C0"/>
        </w:rPr>
        <w:instrText xml:space="preserve"> REF _Ref287707497 \r \h </w:instrText>
      </w:r>
      <w:r w:rsidR="00126F3D" w:rsidRPr="00126DE5">
        <w:rPr>
          <w:b/>
          <w:color w:val="0070C0"/>
        </w:rPr>
      </w:r>
      <w:r w:rsidR="00126F3D" w:rsidRPr="00126DE5">
        <w:rPr>
          <w:b/>
          <w:color w:val="0070C0"/>
        </w:rPr>
        <w:fldChar w:fldCharType="separate"/>
      </w:r>
      <w:r w:rsidR="00126DE5" w:rsidRPr="00126DE5">
        <w:rPr>
          <w:b/>
          <w:color w:val="0070C0"/>
        </w:rPr>
        <w:t>III.3.3</w:t>
      </w:r>
      <w:r w:rsidR="00126F3D" w:rsidRPr="00126DE5">
        <w:rPr>
          <w:b/>
          <w:color w:val="0070C0"/>
        </w:rPr>
        <w:fldChar w:fldCharType="end"/>
      </w:r>
      <w:r w:rsidRPr="00311A64">
        <w:t>to achieve the remaining capture up to 80 percent capture. This process would be used for the following examples:</w:t>
      </w:r>
    </w:p>
    <w:p w:rsidR="00746522" w:rsidRPr="00B53524" w:rsidRDefault="00746522" w:rsidP="007D631A">
      <w:pPr>
        <w:pStyle w:val="ListBullet"/>
      </w:pPr>
      <w:r w:rsidRPr="00311A64">
        <w:t>Retention volume provided in bioretention below underdrains, and biotreatment volume added above the underdrains.</w:t>
      </w:r>
    </w:p>
    <w:p w:rsidR="00746522" w:rsidRPr="00B53524" w:rsidRDefault="00746522" w:rsidP="007D631A">
      <w:pPr>
        <w:pStyle w:val="ListBullet"/>
      </w:pPr>
      <w:r w:rsidRPr="00311A64">
        <w:t xml:space="preserve">Retention storage provided within the pores of amended soil in a bioretention area without underdrains, and biotreatment provide in vegetated swale on surface of bioretention area. </w:t>
      </w:r>
    </w:p>
    <w:p w:rsidR="00746522" w:rsidRPr="00B53524" w:rsidRDefault="00746522" w:rsidP="007D631A">
      <w:pPr>
        <w:pStyle w:val="ListBullet"/>
      </w:pPr>
      <w:r w:rsidRPr="00311A64">
        <w:t>Retention storage provided in a cistern which overflows to a planter box with underdrains to provide the remaining biotreatment.</w:t>
      </w:r>
    </w:p>
    <w:p w:rsidR="00746522" w:rsidRPr="00B53524" w:rsidRDefault="00746522" w:rsidP="007D631A">
      <w:pPr>
        <w:pStyle w:val="ListBullet"/>
      </w:pPr>
      <w:r w:rsidRPr="00311A64">
        <w:t>Retention volume provided in an infiltration trench which overflows to a planter box with underdrains or vegetated swale to provide remaining biotreatment.</w:t>
      </w:r>
    </w:p>
    <w:p w:rsidR="00746522" w:rsidRPr="00B53524" w:rsidRDefault="00746522" w:rsidP="007D631A">
      <w:pPr>
        <w:pStyle w:val="ListBullet"/>
      </w:pPr>
      <w:r w:rsidRPr="00311A64">
        <w:t>Other similar configurations.</w:t>
      </w:r>
    </w:p>
    <w:p w:rsidR="00746522" w:rsidRPr="00B53524" w:rsidRDefault="00746522" w:rsidP="00746522">
      <w:pPr>
        <w:pStyle w:val="CDMBTEXT"/>
      </w:pPr>
      <w:r w:rsidRPr="00311A64">
        <w:t xml:space="preserve">The exception to this process is when biotreatment is provided upstream of a retention BMP as </w:t>
      </w:r>
      <w:r w:rsidR="00B43EEC">
        <w:t>pretreatment</w:t>
      </w:r>
      <w:r>
        <w:t xml:space="preserve">.  In this case, there is not another opportunity to bio-treat water should it overflow from the retention BMP.  Therefore the upstream BMP must treat the entire </w:t>
      </w:r>
      <w:r w:rsidR="003C7091">
        <w:t>DCV</w:t>
      </w:r>
      <w:r>
        <w:t xml:space="preserve"> (i.e., 80 percent capture of average annual runoff) before discharging to the retention BMP</w:t>
      </w:r>
      <w:r w:rsidRPr="00311A64">
        <w:t xml:space="preserve">. </w:t>
      </w:r>
      <w:r>
        <w:t>A</w:t>
      </w:r>
      <w:r w:rsidRPr="00311A64">
        <w:t xml:space="preserve">nything that overflows </w:t>
      </w:r>
      <w:r>
        <w:t xml:space="preserve">from the retention BMP </w:t>
      </w:r>
      <w:r w:rsidRPr="00311A64">
        <w:t>would already be biotreated. This process would apply in the following example and similar examples:</w:t>
      </w:r>
    </w:p>
    <w:p w:rsidR="00FE3A73" w:rsidRDefault="00746522" w:rsidP="00C12FF7">
      <w:pPr>
        <w:pStyle w:val="CDMBTEXT"/>
        <w:numPr>
          <w:ilvl w:val="0"/>
          <w:numId w:val="1"/>
        </w:numPr>
      </w:pPr>
      <w:r w:rsidRPr="00311A64">
        <w:t xml:space="preserve">Pretreatment is provided in planter boxes with underdrains </w:t>
      </w:r>
      <w:r>
        <w:t>that discharge pre-treated water to an</w:t>
      </w:r>
      <w:r w:rsidR="001E596C">
        <w:t xml:space="preserve"> infiltration gallery. </w:t>
      </w:r>
      <w:r w:rsidRPr="00311A64">
        <w:t>The planter boxes would be sized to capture 80 percent</w:t>
      </w:r>
      <w:r>
        <w:t xml:space="preserve"> of average annual runoff</w:t>
      </w:r>
      <w:r w:rsidRPr="00311A64">
        <w:t xml:space="preserve"> and would not bypass untreated flow to the infiltration gallery.  Overflow from the infiltration gallery would be considered biotreated</w:t>
      </w:r>
      <w:r>
        <w:t xml:space="preserve"> provide that it is treated in the planter boxes before overflowing from the infiltration gallery.  If overflow occurred prior to being treated in the planter box, the overflow would not be considered biotreated</w:t>
      </w:r>
    </w:p>
    <w:p w:rsidR="0013104B" w:rsidRDefault="0013104B" w:rsidP="00A52883">
      <w:pPr>
        <w:pStyle w:val="Heading2"/>
      </w:pPr>
      <w:bookmarkStart w:id="250" w:name="_Toc285308132"/>
      <w:bookmarkStart w:id="251" w:name="_Toc285315728"/>
      <w:bookmarkStart w:id="252" w:name="_Ref285398695"/>
      <w:bookmarkStart w:id="253" w:name="_Toc285492447"/>
      <w:bookmarkStart w:id="254" w:name="_Ref287638363"/>
      <w:bookmarkStart w:id="255" w:name="_Ref287638368"/>
      <w:bookmarkStart w:id="256" w:name="_Ref287970607"/>
      <w:bookmarkStart w:id="257" w:name="_Toc288541060"/>
      <w:bookmarkStart w:id="258" w:name="_Toc293937123"/>
      <w:r>
        <w:t>Technical Basis for Capture Efficiency-based Performance Criteri</w:t>
      </w:r>
      <w:bookmarkEnd w:id="250"/>
      <w:r w:rsidR="00E374FD">
        <w:t>on</w:t>
      </w:r>
      <w:bookmarkEnd w:id="251"/>
      <w:bookmarkEnd w:id="252"/>
      <w:bookmarkEnd w:id="253"/>
      <w:bookmarkEnd w:id="254"/>
      <w:bookmarkEnd w:id="255"/>
      <w:bookmarkEnd w:id="256"/>
      <w:bookmarkEnd w:id="257"/>
      <w:bookmarkEnd w:id="258"/>
    </w:p>
    <w:p w:rsidR="00E374FD" w:rsidRPr="00E374FD" w:rsidRDefault="00E374FD" w:rsidP="00E374FD">
      <w:pPr>
        <w:pStyle w:val="CDMBTEXT"/>
      </w:pPr>
      <w:r>
        <w:t xml:space="preserve">The purpose of this section is to provide the technical basis for the capture efficiency-based expression of the </w:t>
      </w:r>
      <w:r w:rsidR="003C7091">
        <w:t>DCV</w:t>
      </w:r>
      <w:r>
        <w:t xml:space="preserve"> used in throughout the Technical Guidance Document</w:t>
      </w:r>
      <w:r w:rsidR="00990A72">
        <w:t xml:space="preserve"> (TGD)</w:t>
      </w:r>
      <w:r w:rsidR="00D55848">
        <w:t xml:space="preserve"> and the calculation methods described in the sections above</w:t>
      </w:r>
      <w:r>
        <w:t xml:space="preserve">. </w:t>
      </w:r>
    </w:p>
    <w:p w:rsidR="00FE704C" w:rsidRPr="00E374FD" w:rsidRDefault="00FE704C" w:rsidP="00A52883">
      <w:pPr>
        <w:pStyle w:val="Heading3"/>
      </w:pPr>
      <w:r w:rsidRPr="00E374FD">
        <w:t>Introduction</w:t>
      </w:r>
    </w:p>
    <w:p w:rsidR="004F7CDF" w:rsidRDefault="00E374FD" w:rsidP="004F7CDF">
      <w:r>
        <w:t>Every stormwater BMP can be conceptualized as having a storage volume and a treatment rate, in various proportions. Both are important in the long</w:t>
      </w:r>
      <w:r w:rsidR="0049346F">
        <w:t>-</w:t>
      </w:r>
      <w:r>
        <w:t>term performance of the BMP under a range of actual storm patterns, depths, and inter-event times</w:t>
      </w:r>
      <w:r w:rsidR="0049346F">
        <w:t>.  Long-term performance is measured by the operation of a BMP over the course of multiple years, and provides a more complete metric than the performance of a BMP during a single event, which does not take into account antecedent conditions, including multiple storms arriving in short timeframes</w:t>
      </w:r>
      <w:r>
        <w:t>. A BMP that draws down more quickly would be expected to capture a greater fraction of overall runoff</w:t>
      </w:r>
      <w:r w:rsidR="004618CF">
        <w:t xml:space="preserve"> (i.e. </w:t>
      </w:r>
      <w:r w:rsidR="0049346F">
        <w:t>long-term runoff</w:t>
      </w:r>
      <w:r w:rsidR="004618CF">
        <w:t>)</w:t>
      </w:r>
      <w:r>
        <w:t xml:space="preserve"> than an identically sized BMP that draws down more slowly. </w:t>
      </w:r>
      <w:r w:rsidR="004618CF">
        <w:t xml:space="preserve"> This is because storage is made available more quickly, so subsequent storms are more likely to be captured by the BMP. </w:t>
      </w:r>
      <w:r w:rsidR="006E7FF0">
        <w:t>In contrast a BMP with a long drawdown time would stay mostly full, after initial filling, during throughout periods of sequential storms</w:t>
      </w:r>
      <w:r w:rsidR="005C76CE">
        <w:t>.</w:t>
      </w:r>
      <w:r w:rsidR="004618CF">
        <w:t xml:space="preserve"> </w:t>
      </w:r>
      <w:r>
        <w:t>The volume in the BMP that draws down more quickly is more “valuable” in terms of long term performance than the volume in the on</w:t>
      </w:r>
      <w:r w:rsidR="004F7CDF">
        <w:t xml:space="preserve">e that draws down more slowly. </w:t>
      </w:r>
      <w:r w:rsidR="004618CF">
        <w:t xml:space="preserve"> </w:t>
      </w:r>
      <w:r w:rsidR="0049346F">
        <w:t>I</w:t>
      </w:r>
      <w:r>
        <w:t xml:space="preserve">n the case of flow-based BMPs, the storage volume is typically not substantial, however it is recognized that flow-based BMPs can achieve high long term capture efficiencies by treating stormwater essentially as it arrives. A method is needed to relate the </w:t>
      </w:r>
      <w:r w:rsidR="0049346F">
        <w:t xml:space="preserve">long-term </w:t>
      </w:r>
      <w:r>
        <w:t xml:space="preserve">performance of BMPs to their design attributes so that a common grounds for comparison and “addition” of </w:t>
      </w:r>
      <w:r w:rsidR="0049346F">
        <w:t xml:space="preserve">the benefit of </w:t>
      </w:r>
      <w:r>
        <w:t xml:space="preserve">different BMPs is possible.  </w:t>
      </w:r>
    </w:p>
    <w:p w:rsidR="00FE704C" w:rsidRDefault="004F7CDF" w:rsidP="00FE704C">
      <w:r>
        <w:t xml:space="preserve">The permit definition of the LID </w:t>
      </w:r>
      <w:r w:rsidR="003C7091">
        <w:t>DCV</w:t>
      </w:r>
      <w:r>
        <w:t xml:space="preserve"> does not specify a drawdown </w:t>
      </w:r>
      <w:proofErr w:type="gramStart"/>
      <w:r>
        <w:t>time,</w:t>
      </w:r>
      <w:proofErr w:type="gramEnd"/>
      <w:r>
        <w:t xml:space="preserve"> therefore </w:t>
      </w:r>
      <w:r w:rsidR="00616820" w:rsidRPr="00616820">
        <w:t>the definition is not a complete indicator of a BMP's</w:t>
      </w:r>
      <w:r w:rsidR="0049346F" w:rsidDel="0049346F">
        <w:t xml:space="preserve"> </w:t>
      </w:r>
      <w:r>
        <w:t>level of performance.  An accompanying</w:t>
      </w:r>
      <w:r w:rsidR="00E374FD">
        <w:t xml:space="preserve"> performance-based expression of the LI</w:t>
      </w:r>
      <w:r>
        <w:t>D sizing standard is essential to</w:t>
      </w:r>
      <w:r w:rsidR="00E374FD">
        <w:t xml:space="preserve"> ensure uniformity of performance across a broad range of BMPs and helps prevents </w:t>
      </w:r>
      <w:r>
        <w:t xml:space="preserve">LID </w:t>
      </w:r>
      <w:r w:rsidR="00E374FD">
        <w:t xml:space="preserve">BMP designs </w:t>
      </w:r>
      <w:r>
        <w:t>from being used that would not be effective</w:t>
      </w:r>
      <w:r w:rsidR="00E374FD">
        <w:t xml:space="preserve">. </w:t>
      </w:r>
    </w:p>
    <w:p w:rsidR="00FE704C" w:rsidRPr="00E374FD" w:rsidRDefault="00E374FD" w:rsidP="00A52883">
      <w:pPr>
        <w:pStyle w:val="Heading3"/>
      </w:pPr>
      <w:r>
        <w:t>Development of Capture Efficiency-based Performance Criterion</w:t>
      </w:r>
    </w:p>
    <w:p w:rsidR="004F7CDF" w:rsidRDefault="004F7CDF" w:rsidP="00E374FD">
      <w:pPr>
        <w:pStyle w:val="CDMBTEXT"/>
      </w:pPr>
      <w:r>
        <w:t>An evaluation of the relationships between BMP design parameters and expected long term capture efficiency has been conducted to address the needs identified above. Relationships have been developed t</w:t>
      </w:r>
      <w:r w:rsidR="00E374FD">
        <w:t xml:space="preserve">hrough a simplified continuous simulation analysis of precipitation, runoff, and routing, that relate BMP design volume and storage recovery rate (i.e., drawdown time) to an estimated long term level of performance. </w:t>
      </w:r>
    </w:p>
    <w:p w:rsidR="004F7CDF" w:rsidRDefault="00E374FD" w:rsidP="00E374FD">
      <w:pPr>
        <w:pStyle w:val="CDMBTEXT"/>
      </w:pPr>
      <w:r>
        <w:t>Based on these relationships, it has been demonstrated that a BMP sized for the runoff volume from the 85</w:t>
      </w:r>
      <w:r>
        <w:rPr>
          <w:vertAlign w:val="superscript"/>
        </w:rPr>
        <w:t>th</w:t>
      </w:r>
      <w:r>
        <w:t xml:space="preserve"> percentile, 24-hour storm event (i.e., the </w:t>
      </w:r>
      <w:r w:rsidR="003C7091">
        <w:t>DCV</w:t>
      </w:r>
      <w:r>
        <w:t>), which draws down in 48 hours is capable of managing approximately 80 percent of the average annual. There is long precedent for the assumption that BMPs should draw down in approximately 48 hours, and there is also long precedent for 80 percent capture of average annual runoff as approximately the</w:t>
      </w:r>
      <w:r w:rsidR="002A0445">
        <w:t xml:space="preserve"> point at which larger BMPs provide decreasing capture efficiency benefit (also known as the</w:t>
      </w:r>
      <w:r>
        <w:t xml:space="preserve"> “knee of the curve”</w:t>
      </w:r>
      <w:r w:rsidR="002A0445">
        <w:t>)</w:t>
      </w:r>
      <w:r>
        <w:t xml:space="preserve"> for BMP sizing. </w:t>
      </w:r>
      <w:r w:rsidR="005C76CE">
        <w:t xml:space="preserve"> The characteristic shape of the plot of capture efficiency versus storage volume (</w:t>
      </w:r>
      <w:r w:rsidR="00126F3D" w:rsidRPr="00126DE5">
        <w:rPr>
          <w:b/>
          <w:color w:val="0070C0"/>
          <w:sz w:val="20"/>
        </w:rPr>
        <w:fldChar w:fldCharType="begin"/>
      </w:r>
      <w:r w:rsidR="005C76CE" w:rsidRPr="00126DE5">
        <w:rPr>
          <w:b/>
          <w:color w:val="0070C0"/>
          <w:sz w:val="20"/>
        </w:rPr>
        <w:instrText xml:space="preserve"> REF _Ref257795285 \h </w:instrText>
      </w:r>
      <w:r w:rsidR="00126F3D" w:rsidRPr="00126DE5">
        <w:rPr>
          <w:b/>
          <w:color w:val="0070C0"/>
          <w:sz w:val="20"/>
        </w:rPr>
      </w:r>
      <w:r w:rsidR="00126F3D" w:rsidRPr="00126DE5">
        <w:rPr>
          <w:b/>
          <w:color w:val="0070C0"/>
          <w:sz w:val="20"/>
        </w:rPr>
        <w:fldChar w:fldCharType="separate"/>
      </w:r>
      <w:r w:rsidR="00126DE5" w:rsidRPr="00126DE5">
        <w:rPr>
          <w:b/>
          <w:color w:val="0070C0"/>
        </w:rPr>
        <w:t>Figure </w:t>
      </w:r>
      <w:r w:rsidR="00126DE5" w:rsidRPr="00126DE5">
        <w:rPr>
          <w:b/>
          <w:noProof/>
          <w:color w:val="0070C0"/>
        </w:rPr>
        <w:t>III</w:t>
      </w:r>
      <w:r w:rsidR="00126DE5" w:rsidRPr="00126DE5">
        <w:rPr>
          <w:b/>
          <w:color w:val="0070C0"/>
        </w:rPr>
        <w:t>.</w:t>
      </w:r>
      <w:r w:rsidR="00126DE5" w:rsidRPr="00126DE5">
        <w:rPr>
          <w:b/>
          <w:noProof/>
          <w:color w:val="0070C0"/>
        </w:rPr>
        <w:t>2</w:t>
      </w:r>
      <w:r w:rsidR="00126F3D" w:rsidRPr="00126DE5">
        <w:rPr>
          <w:b/>
          <w:color w:val="0070C0"/>
          <w:sz w:val="20"/>
        </w:rPr>
        <w:fldChar w:fldCharType="end"/>
      </w:r>
      <w:r w:rsidR="005C76CE">
        <w:t>) illustrates this concept.</w:t>
      </w:r>
    </w:p>
    <w:p w:rsidR="00E374FD" w:rsidRDefault="004F7CDF" w:rsidP="00E374FD">
      <w:pPr>
        <w:pStyle w:val="CDMBTEXT"/>
      </w:pPr>
      <w:r>
        <w:t>As such, this</w:t>
      </w:r>
      <w:r w:rsidR="00E374FD">
        <w:t xml:space="preserve"> equivalency</w:t>
      </w:r>
      <w:r>
        <w:t xml:space="preserve"> (between the DCV drawing down in 48 hours and 80 percent capture)</w:t>
      </w:r>
      <w:r w:rsidR="00E374FD">
        <w:t xml:space="preserve"> has been utilized to fill t</w:t>
      </w:r>
      <w:r>
        <w:t>hree</w:t>
      </w:r>
      <w:r w:rsidR="00E374FD">
        <w:t xml:space="preserve"> needed roles in this TGD: 1) provide a common currency between volume-based BMPs with a</w:t>
      </w:r>
      <w:r>
        <w:t xml:space="preserve"> wide</w:t>
      </w:r>
      <w:r w:rsidR="00E374FD">
        <w:t xml:space="preserve"> range of drawdown rates, 2) provide a means of unifying the sizing of volume-based and flow-based BMPs to allow different types of BMPs to be added as part of a treatment train, and 3) allow flexibility in the design of BMPs while ensuring consistent performance.  </w:t>
      </w:r>
    </w:p>
    <w:p w:rsidR="004F7CDF" w:rsidRDefault="004F7CDF" w:rsidP="00A52883">
      <w:pPr>
        <w:pStyle w:val="Heading3"/>
      </w:pPr>
      <w:r>
        <w:t>Modeling Methodology</w:t>
      </w:r>
    </w:p>
    <w:p w:rsidR="00DF76BB" w:rsidRPr="00A430E5" w:rsidRDefault="00DF76BB" w:rsidP="00DF76BB">
      <w:r>
        <w:t xml:space="preserve">The USEPA Stormwater Management Model </w:t>
      </w:r>
      <w:r w:rsidR="000C0559">
        <w:t xml:space="preserve">Version 5.0 </w:t>
      </w:r>
      <w:r>
        <w:t>(SWMM</w:t>
      </w:r>
      <w:r w:rsidR="000C0559">
        <w:t>5.0</w:t>
      </w:r>
      <w:r>
        <w:t xml:space="preserve">) was used to simulate the </w:t>
      </w:r>
      <w:r w:rsidR="005C7F18">
        <w:t xml:space="preserve">long term average </w:t>
      </w:r>
      <w:r w:rsidR="000C0559">
        <w:t xml:space="preserve">capture efficiency </w:t>
      </w:r>
      <w:r w:rsidR="005C7F18">
        <w:t>for</w:t>
      </w:r>
      <w:r>
        <w:t xml:space="preserve"> </w:t>
      </w:r>
      <w:r w:rsidR="000C0559">
        <w:t>a range of</w:t>
      </w:r>
      <w:r>
        <w:t xml:space="preserve"> </w:t>
      </w:r>
      <w:r w:rsidR="005C7F18">
        <w:t xml:space="preserve">general </w:t>
      </w:r>
      <w:r>
        <w:t xml:space="preserve">BMP </w:t>
      </w:r>
      <w:r w:rsidR="000C0559">
        <w:t xml:space="preserve">design configurations </w:t>
      </w:r>
      <w:r>
        <w:t xml:space="preserve">over </w:t>
      </w:r>
      <w:r w:rsidR="000C0559">
        <w:t xml:space="preserve">22 </w:t>
      </w:r>
      <w:r>
        <w:t>years of historic hourly precipitation records</w:t>
      </w:r>
      <w:r w:rsidR="000C0559">
        <w:rPr>
          <w:vertAlign w:val="superscript"/>
        </w:rPr>
        <w:t xml:space="preserve"> </w:t>
      </w:r>
      <w:r w:rsidR="000C0559">
        <w:t>at the CIMIS Irvine weather station (#</w:t>
      </w:r>
      <w:r w:rsidR="008146B0">
        <w:t>75</w:t>
      </w:r>
      <w:r w:rsidR="000C0559">
        <w:t>)</w:t>
      </w:r>
      <w:r>
        <w:t xml:space="preserve">. </w:t>
      </w:r>
      <w:r w:rsidR="000C0559">
        <w:t xml:space="preserve"> SWMM was selected for this analysis as it is a relatively simple, open source, continuous simulation model that </w:t>
      </w:r>
      <w:r w:rsidR="005C7F18">
        <w:t xml:space="preserve">has well-demonstrated capability for simulation of rainfall-runoff processes in urban environments and simulating transient storage mechanisms in BMPs.  A relatively simple representation of BMPs was used to develop the general relationships that conceptualized all BMPs with a simple storage volume and treatment rate. While this representation does not account for the nuances of BMP designs, it is appropriate to develop programmatic sizing factors.  Assumed SWMM input parameters are provided in </w:t>
      </w:r>
      <w:r w:rsidR="00126F3D" w:rsidRPr="00126DE5">
        <w:rPr>
          <w:rFonts w:cs="Arial"/>
          <w:b/>
          <w:color w:val="0070C0"/>
          <w:sz w:val="20"/>
          <w:szCs w:val="20"/>
        </w:rPr>
        <w:fldChar w:fldCharType="begin"/>
      </w:r>
      <w:r w:rsidR="005C7F18" w:rsidRPr="00126DE5">
        <w:rPr>
          <w:rFonts w:cs="Arial"/>
          <w:b/>
          <w:color w:val="0070C0"/>
          <w:sz w:val="20"/>
          <w:szCs w:val="20"/>
        </w:rPr>
        <w:instrText xml:space="preserve"> REF _Ref285359955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b/>
          <w:color w:val="0070C0"/>
        </w:rPr>
        <w:t xml:space="preserve">Table </w:t>
      </w:r>
      <w:r w:rsidR="00126DE5" w:rsidRPr="00126DE5">
        <w:rPr>
          <w:b/>
          <w:noProof/>
          <w:color w:val="0070C0"/>
        </w:rPr>
        <w:t>III</w:t>
      </w:r>
      <w:r w:rsidR="00126DE5" w:rsidRPr="00126DE5">
        <w:rPr>
          <w:b/>
          <w:color w:val="0070C0"/>
        </w:rPr>
        <w:t>.</w:t>
      </w:r>
      <w:r w:rsidR="00126DE5" w:rsidRPr="00126DE5">
        <w:rPr>
          <w:b/>
          <w:noProof/>
          <w:color w:val="0070C0"/>
        </w:rPr>
        <w:t>2</w:t>
      </w:r>
      <w:r w:rsidR="00126F3D" w:rsidRPr="00126DE5">
        <w:rPr>
          <w:rFonts w:cs="Arial"/>
          <w:b/>
          <w:color w:val="0070C0"/>
          <w:sz w:val="20"/>
          <w:szCs w:val="20"/>
        </w:rPr>
        <w:fldChar w:fldCharType="end"/>
      </w:r>
      <w:r w:rsidR="005C7F18">
        <w:t xml:space="preserve">.  Sensitivity analyses demonstrated that the only inputs with significant sensitivity </w:t>
      </w:r>
      <w:r w:rsidR="008146B0">
        <w:t xml:space="preserve">within typical input ranges </w:t>
      </w:r>
      <w:r w:rsidR="005C7F18">
        <w:t>were the precipitation and ET inputs and the BMP configurations. These were selected to be representative of Orange County, and results are interpreted</w:t>
      </w:r>
      <w:r w:rsidR="008146B0">
        <w:t xml:space="preserve"> to allow scaling across the rainfall zones of the County.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168"/>
        <w:gridCol w:w="1080"/>
        <w:gridCol w:w="5310"/>
      </w:tblGrid>
      <w:tr w:rsidR="008146B0" w:rsidRPr="00EA481C" w:rsidTr="007D631A">
        <w:trPr>
          <w:trHeight w:val="323"/>
          <w:tblHeader/>
        </w:trPr>
        <w:tc>
          <w:tcPr>
            <w:tcW w:w="9558" w:type="dxa"/>
            <w:gridSpan w:val="3"/>
            <w:tcBorders>
              <w:top w:val="nil"/>
              <w:left w:val="nil"/>
              <w:bottom w:val="single" w:sz="4" w:space="0" w:color="auto"/>
              <w:right w:val="nil"/>
            </w:tcBorders>
            <w:shd w:val="clear" w:color="auto" w:fill="auto"/>
            <w:vAlign w:val="bottom"/>
          </w:tcPr>
          <w:p w:rsidR="008146B0" w:rsidRPr="00524D76" w:rsidRDefault="008146B0" w:rsidP="00647B99">
            <w:pPr>
              <w:pStyle w:val="Caption"/>
            </w:pPr>
            <w:bookmarkStart w:id="259" w:name="_Ref285359955"/>
            <w:bookmarkStart w:id="260" w:name="_Toc277608057"/>
            <w:bookmarkStart w:id="261" w:name="_Toc267316660"/>
            <w:bookmarkStart w:id="262" w:name="_Toc288554377"/>
            <w:r w:rsidRPr="00524D76">
              <w:t xml:space="preserve">Table </w:t>
            </w:r>
            <w:fldSimple w:instr=" STYLEREF 1 \s ">
              <w:r w:rsidR="00126DE5" w:rsidRPr="00524D76">
                <w:rPr>
                  <w:noProof/>
                </w:rPr>
                <w:t>III</w:t>
              </w:r>
            </w:fldSimple>
            <w:r w:rsidR="000B5480" w:rsidRPr="00524D76">
              <w:t>.</w:t>
            </w:r>
            <w:fldSimple w:instr=" SEQ Table \* ARABIC \s 1 ">
              <w:r w:rsidR="00126DE5" w:rsidRPr="00524D76">
                <w:rPr>
                  <w:noProof/>
                </w:rPr>
                <w:t>2</w:t>
              </w:r>
            </w:fldSimple>
            <w:bookmarkEnd w:id="259"/>
            <w:r w:rsidRPr="00524D76">
              <w:t>: SWMM Simulation Input Parameters</w:t>
            </w:r>
            <w:bookmarkEnd w:id="260"/>
            <w:bookmarkEnd w:id="261"/>
            <w:bookmarkEnd w:id="262"/>
          </w:p>
        </w:tc>
      </w:tr>
      <w:tr w:rsidR="00DF76BB" w:rsidRPr="00EA481C" w:rsidTr="007D631A">
        <w:trPr>
          <w:trHeight w:val="323"/>
          <w:tblHeader/>
        </w:trPr>
        <w:tc>
          <w:tcPr>
            <w:tcW w:w="3168" w:type="dxa"/>
            <w:tcBorders>
              <w:top w:val="single" w:sz="4" w:space="0" w:color="auto"/>
              <w:bottom w:val="single" w:sz="12" w:space="0" w:color="auto"/>
            </w:tcBorders>
            <w:shd w:val="clear" w:color="auto" w:fill="D9D9D9" w:themeFill="background1" w:themeFillShade="D9"/>
            <w:vAlign w:val="bottom"/>
          </w:tcPr>
          <w:p w:rsidR="00DF76BB" w:rsidRPr="008146B0" w:rsidRDefault="00DF76BB" w:rsidP="000C0559">
            <w:pPr>
              <w:keepNext/>
              <w:spacing w:after="0"/>
              <w:jc w:val="center"/>
              <w:rPr>
                <w:rFonts w:ascii="Arial" w:hAnsi="Arial" w:cs="Arial"/>
                <w:b/>
                <w:sz w:val="20"/>
                <w:szCs w:val="20"/>
              </w:rPr>
            </w:pPr>
            <w:r w:rsidRPr="008146B0">
              <w:rPr>
                <w:rFonts w:ascii="Arial" w:hAnsi="Arial" w:cs="Arial"/>
                <w:b/>
                <w:sz w:val="20"/>
                <w:szCs w:val="20"/>
              </w:rPr>
              <w:t>SWMM Parameters</w:t>
            </w:r>
          </w:p>
        </w:tc>
        <w:tc>
          <w:tcPr>
            <w:tcW w:w="1080" w:type="dxa"/>
            <w:tcBorders>
              <w:top w:val="single" w:sz="4" w:space="0" w:color="auto"/>
              <w:bottom w:val="single" w:sz="12" w:space="0" w:color="auto"/>
            </w:tcBorders>
            <w:shd w:val="clear" w:color="auto" w:fill="D9D9D9" w:themeFill="background1" w:themeFillShade="D9"/>
            <w:vAlign w:val="bottom"/>
          </w:tcPr>
          <w:p w:rsidR="00DF76BB" w:rsidRPr="008146B0" w:rsidRDefault="00DF76BB" w:rsidP="000C0559">
            <w:pPr>
              <w:keepNext/>
              <w:spacing w:after="0"/>
              <w:jc w:val="center"/>
              <w:rPr>
                <w:rFonts w:ascii="Arial" w:hAnsi="Arial" w:cs="Arial"/>
                <w:b/>
                <w:sz w:val="20"/>
                <w:szCs w:val="20"/>
              </w:rPr>
            </w:pPr>
            <w:r w:rsidRPr="008146B0">
              <w:rPr>
                <w:rFonts w:ascii="Arial" w:hAnsi="Arial" w:cs="Arial"/>
                <w:b/>
                <w:sz w:val="20"/>
                <w:szCs w:val="20"/>
              </w:rPr>
              <w:t>Units</w:t>
            </w:r>
          </w:p>
        </w:tc>
        <w:tc>
          <w:tcPr>
            <w:tcW w:w="5310" w:type="dxa"/>
            <w:tcBorders>
              <w:top w:val="single" w:sz="4" w:space="0" w:color="auto"/>
              <w:bottom w:val="single" w:sz="12" w:space="0" w:color="auto"/>
            </w:tcBorders>
            <w:shd w:val="clear" w:color="auto" w:fill="D9D9D9" w:themeFill="background1" w:themeFillShade="D9"/>
            <w:vAlign w:val="bottom"/>
          </w:tcPr>
          <w:p w:rsidR="00DF76BB" w:rsidRPr="008146B0" w:rsidRDefault="00DF76BB" w:rsidP="000C0559">
            <w:pPr>
              <w:keepNext/>
              <w:spacing w:after="0"/>
              <w:jc w:val="center"/>
              <w:rPr>
                <w:rFonts w:ascii="Arial" w:hAnsi="Arial" w:cs="Arial"/>
                <w:b/>
                <w:sz w:val="20"/>
                <w:szCs w:val="20"/>
              </w:rPr>
            </w:pPr>
            <w:r w:rsidRPr="008146B0">
              <w:rPr>
                <w:rFonts w:ascii="Arial" w:hAnsi="Arial" w:cs="Arial"/>
                <w:b/>
                <w:sz w:val="20"/>
                <w:szCs w:val="20"/>
              </w:rPr>
              <w:t>Values</w:t>
            </w:r>
          </w:p>
        </w:tc>
      </w:tr>
      <w:tr w:rsidR="00DF76BB" w:rsidRPr="00EA481C" w:rsidTr="008146B0">
        <w:tc>
          <w:tcPr>
            <w:tcW w:w="3168" w:type="dxa"/>
            <w:tcBorders>
              <w:top w:val="single" w:sz="12" w:space="0" w:color="auto"/>
            </w:tcBorders>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 xml:space="preserve">Period of </w:t>
            </w:r>
            <w:r w:rsidR="000C0559" w:rsidRPr="008146B0">
              <w:rPr>
                <w:rFonts w:ascii="Arial" w:hAnsi="Arial" w:cs="Arial"/>
                <w:sz w:val="20"/>
                <w:szCs w:val="20"/>
              </w:rPr>
              <w:t>Simulation</w:t>
            </w:r>
          </w:p>
        </w:tc>
        <w:tc>
          <w:tcPr>
            <w:tcW w:w="1080" w:type="dxa"/>
            <w:tcBorders>
              <w:top w:val="single" w:sz="12" w:space="0" w:color="auto"/>
            </w:tcBorders>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years</w:t>
            </w:r>
          </w:p>
        </w:tc>
        <w:tc>
          <w:tcPr>
            <w:tcW w:w="5310" w:type="dxa"/>
            <w:tcBorders>
              <w:top w:val="single" w:sz="12" w:space="0" w:color="auto"/>
            </w:tcBorders>
            <w:shd w:val="clear" w:color="auto" w:fill="auto"/>
            <w:vAlign w:val="center"/>
          </w:tcPr>
          <w:p w:rsidR="00DF76BB" w:rsidRPr="008146B0" w:rsidRDefault="00DF76BB" w:rsidP="008146B0">
            <w:pPr>
              <w:keepNext/>
              <w:spacing w:after="0"/>
              <w:rPr>
                <w:rFonts w:ascii="Arial" w:hAnsi="Arial" w:cs="Arial"/>
                <w:sz w:val="20"/>
                <w:szCs w:val="20"/>
              </w:rPr>
            </w:pPr>
            <w:r w:rsidRPr="008146B0">
              <w:rPr>
                <w:rFonts w:ascii="Arial" w:hAnsi="Arial" w:cs="Arial"/>
                <w:sz w:val="20"/>
                <w:szCs w:val="20"/>
              </w:rPr>
              <w:t>22</w:t>
            </w:r>
            <w:r w:rsidR="008146B0" w:rsidRPr="008146B0">
              <w:rPr>
                <w:rFonts w:ascii="Arial" w:hAnsi="Arial" w:cs="Arial"/>
                <w:sz w:val="20"/>
                <w:szCs w:val="20"/>
              </w:rPr>
              <w:t xml:space="preserve"> </w:t>
            </w:r>
            <w:r w:rsidR="000C0559" w:rsidRPr="008146B0">
              <w:rPr>
                <w:rFonts w:ascii="Arial" w:hAnsi="Arial" w:cs="Arial"/>
                <w:sz w:val="20"/>
                <w:szCs w:val="20"/>
              </w:rPr>
              <w:t>yrs</w:t>
            </w:r>
            <w:r w:rsidRPr="008146B0">
              <w:rPr>
                <w:rFonts w:ascii="Arial" w:hAnsi="Arial" w:cs="Arial"/>
                <w:sz w:val="20"/>
                <w:szCs w:val="20"/>
              </w:rPr>
              <w:t xml:space="preserve">  (</w:t>
            </w:r>
            <w:r w:rsidR="008146B0" w:rsidRPr="008146B0">
              <w:rPr>
                <w:rFonts w:ascii="Arial" w:hAnsi="Arial" w:cs="Arial"/>
                <w:sz w:val="20"/>
                <w:szCs w:val="20"/>
              </w:rPr>
              <w:t>10/01/1987 to 10/01/2009</w:t>
            </w:r>
            <w:r w:rsidRPr="008146B0">
              <w:rPr>
                <w:rFonts w:ascii="Arial" w:hAnsi="Arial" w:cs="Arial"/>
                <w:sz w:val="20"/>
                <w:szCs w:val="20"/>
              </w:rPr>
              <w:t>)</w:t>
            </w:r>
          </w:p>
        </w:tc>
      </w:tr>
      <w:tr w:rsidR="00DF76BB" w:rsidRPr="00EA481C" w:rsidTr="000C0559">
        <w:tc>
          <w:tcPr>
            <w:tcW w:w="3168" w:type="dxa"/>
            <w:tcBorders>
              <w:top w:val="single" w:sz="12" w:space="0" w:color="auto"/>
            </w:tcBorders>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Wet time step</w:t>
            </w:r>
          </w:p>
        </w:tc>
        <w:tc>
          <w:tcPr>
            <w:tcW w:w="1080" w:type="dxa"/>
            <w:tcBorders>
              <w:top w:val="single" w:sz="12" w:space="0" w:color="auto"/>
            </w:tcBorders>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seconds</w:t>
            </w:r>
          </w:p>
        </w:tc>
        <w:tc>
          <w:tcPr>
            <w:tcW w:w="5310" w:type="dxa"/>
            <w:tcBorders>
              <w:top w:val="single" w:sz="12" w:space="0" w:color="auto"/>
            </w:tcBorders>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600</w:t>
            </w:r>
          </w:p>
        </w:tc>
      </w:tr>
      <w:tr w:rsidR="00DF76BB" w:rsidRPr="00EA481C" w:rsidTr="000C0559">
        <w:tc>
          <w:tcPr>
            <w:tcW w:w="3168"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Wet/dry time step</w:t>
            </w:r>
          </w:p>
        </w:tc>
        <w:tc>
          <w:tcPr>
            <w:tcW w:w="1080"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seconds</w:t>
            </w:r>
          </w:p>
        </w:tc>
        <w:tc>
          <w:tcPr>
            <w:tcW w:w="5310"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600</w:t>
            </w:r>
          </w:p>
        </w:tc>
      </w:tr>
      <w:tr w:rsidR="00DF76BB" w:rsidRPr="00EA481C" w:rsidTr="000C0559">
        <w:tc>
          <w:tcPr>
            <w:tcW w:w="3168"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Dry time step</w:t>
            </w:r>
          </w:p>
        </w:tc>
        <w:tc>
          <w:tcPr>
            <w:tcW w:w="1080"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seconds</w:t>
            </w:r>
          </w:p>
        </w:tc>
        <w:tc>
          <w:tcPr>
            <w:tcW w:w="5310"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14,400</w:t>
            </w:r>
          </w:p>
        </w:tc>
      </w:tr>
      <w:tr w:rsidR="00DF76BB" w:rsidRPr="00EA481C" w:rsidTr="000C0559">
        <w:trPr>
          <w:trHeight w:val="161"/>
        </w:trPr>
        <w:tc>
          <w:tcPr>
            <w:tcW w:w="3168"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Precipitation</w:t>
            </w:r>
          </w:p>
        </w:tc>
        <w:tc>
          <w:tcPr>
            <w:tcW w:w="1080"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inches</w:t>
            </w:r>
          </w:p>
        </w:tc>
        <w:tc>
          <w:tcPr>
            <w:tcW w:w="5310" w:type="dxa"/>
            <w:vAlign w:val="center"/>
          </w:tcPr>
          <w:p w:rsidR="00DF76BB" w:rsidRPr="008146B0" w:rsidRDefault="000C0559" w:rsidP="008146B0">
            <w:pPr>
              <w:keepNext/>
              <w:spacing w:after="0"/>
              <w:rPr>
                <w:rFonts w:ascii="Arial" w:hAnsi="Arial" w:cs="Arial"/>
                <w:sz w:val="20"/>
                <w:szCs w:val="20"/>
              </w:rPr>
            </w:pPr>
            <w:r w:rsidRPr="008146B0">
              <w:rPr>
                <w:rFonts w:ascii="Arial" w:hAnsi="Arial" w:cs="Arial"/>
                <w:sz w:val="20"/>
                <w:szCs w:val="20"/>
              </w:rPr>
              <w:t>Hourly precipitation data from CIMIS Irvine Gage (#</w:t>
            </w:r>
            <w:r w:rsidR="008146B0" w:rsidRPr="008146B0">
              <w:rPr>
                <w:rFonts w:ascii="Arial" w:hAnsi="Arial" w:cs="Arial"/>
                <w:sz w:val="20"/>
                <w:szCs w:val="20"/>
              </w:rPr>
              <w:t>75</w:t>
            </w:r>
            <w:r w:rsidRPr="008146B0">
              <w:rPr>
                <w:rFonts w:ascii="Arial" w:hAnsi="Arial" w:cs="Arial"/>
                <w:sz w:val="20"/>
                <w:szCs w:val="20"/>
              </w:rPr>
              <w:t xml:space="preserve">)  </w:t>
            </w:r>
            <w:r w:rsidR="008146B0" w:rsidRPr="008146B0">
              <w:rPr>
                <w:rFonts w:ascii="Arial" w:hAnsi="Arial" w:cs="Arial"/>
                <w:sz w:val="20"/>
                <w:szCs w:val="20"/>
              </w:rPr>
              <w:t>279 i</w:t>
            </w:r>
            <w:r w:rsidRPr="008146B0">
              <w:rPr>
                <w:rFonts w:ascii="Arial" w:hAnsi="Arial" w:cs="Arial"/>
                <w:sz w:val="20"/>
                <w:szCs w:val="20"/>
              </w:rPr>
              <w:t>nches total in period of record</w:t>
            </w:r>
          </w:p>
        </w:tc>
      </w:tr>
      <w:tr w:rsidR="00DF76BB" w:rsidRPr="00EA481C" w:rsidTr="000C0559">
        <w:tc>
          <w:tcPr>
            <w:tcW w:w="3168"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Impervious Manning’s n</w:t>
            </w:r>
          </w:p>
        </w:tc>
        <w:tc>
          <w:tcPr>
            <w:tcW w:w="1080" w:type="dxa"/>
            <w:vAlign w:val="center"/>
          </w:tcPr>
          <w:p w:rsidR="00DF76BB" w:rsidRPr="008146B0" w:rsidRDefault="00DF76BB" w:rsidP="000C0559">
            <w:pPr>
              <w:keepNext/>
              <w:spacing w:after="0"/>
              <w:rPr>
                <w:rFonts w:ascii="Arial" w:hAnsi="Arial" w:cs="Arial"/>
                <w:sz w:val="20"/>
                <w:szCs w:val="20"/>
              </w:rPr>
            </w:pPr>
          </w:p>
        </w:tc>
        <w:tc>
          <w:tcPr>
            <w:tcW w:w="5310"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0.012</w:t>
            </w:r>
          </w:p>
        </w:tc>
      </w:tr>
      <w:tr w:rsidR="00DF76BB" w:rsidRPr="00EA481C" w:rsidTr="000C0559">
        <w:tc>
          <w:tcPr>
            <w:tcW w:w="3168"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 xml:space="preserve">Hypothetical drainage area </w:t>
            </w:r>
          </w:p>
        </w:tc>
        <w:tc>
          <w:tcPr>
            <w:tcW w:w="1080"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acres</w:t>
            </w:r>
          </w:p>
        </w:tc>
        <w:tc>
          <w:tcPr>
            <w:tcW w:w="5310"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1</w:t>
            </w:r>
          </w:p>
        </w:tc>
      </w:tr>
      <w:tr w:rsidR="00DF76BB" w:rsidRPr="00EA481C" w:rsidTr="000C0559">
        <w:tc>
          <w:tcPr>
            <w:tcW w:w="3168"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Shape</w:t>
            </w:r>
          </w:p>
        </w:tc>
        <w:tc>
          <w:tcPr>
            <w:tcW w:w="1080" w:type="dxa"/>
            <w:vAlign w:val="center"/>
          </w:tcPr>
          <w:p w:rsidR="00DF76BB" w:rsidRPr="008146B0" w:rsidRDefault="00DF76BB" w:rsidP="000C0559">
            <w:pPr>
              <w:keepNext/>
              <w:spacing w:after="0"/>
              <w:rPr>
                <w:rFonts w:ascii="Arial" w:hAnsi="Arial" w:cs="Arial"/>
                <w:sz w:val="20"/>
                <w:szCs w:val="20"/>
              </w:rPr>
            </w:pPr>
          </w:p>
        </w:tc>
        <w:tc>
          <w:tcPr>
            <w:tcW w:w="5310"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 xml:space="preserve">Rectangular, 250 ft flow path length </w:t>
            </w:r>
          </w:p>
        </w:tc>
      </w:tr>
      <w:tr w:rsidR="00DF76BB" w:rsidRPr="00EA481C" w:rsidTr="000C0559">
        <w:tc>
          <w:tcPr>
            <w:tcW w:w="3168"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Impervious fraction modeled</w:t>
            </w:r>
          </w:p>
        </w:tc>
        <w:tc>
          <w:tcPr>
            <w:tcW w:w="1080" w:type="dxa"/>
            <w:vAlign w:val="center"/>
          </w:tcPr>
          <w:p w:rsidR="00DF76BB" w:rsidRPr="008146B0" w:rsidRDefault="00DF76BB" w:rsidP="000C0559">
            <w:pPr>
              <w:keepNext/>
              <w:spacing w:after="0"/>
              <w:rPr>
                <w:rFonts w:ascii="Arial" w:hAnsi="Arial" w:cs="Arial"/>
                <w:sz w:val="20"/>
                <w:szCs w:val="20"/>
              </w:rPr>
            </w:pPr>
          </w:p>
        </w:tc>
        <w:tc>
          <w:tcPr>
            <w:tcW w:w="5310"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 xml:space="preserve">100% </w:t>
            </w:r>
          </w:p>
        </w:tc>
      </w:tr>
      <w:tr w:rsidR="00DF76BB" w:rsidRPr="00EA481C" w:rsidTr="000C0559">
        <w:tc>
          <w:tcPr>
            <w:tcW w:w="3168"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Slope</w:t>
            </w:r>
          </w:p>
        </w:tc>
        <w:tc>
          <w:tcPr>
            <w:tcW w:w="1080"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ft/ft</w:t>
            </w:r>
          </w:p>
        </w:tc>
        <w:tc>
          <w:tcPr>
            <w:tcW w:w="5310"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0.05</w:t>
            </w:r>
          </w:p>
        </w:tc>
      </w:tr>
      <w:tr w:rsidR="00DF76BB" w:rsidRPr="00EA481C" w:rsidTr="000C0559">
        <w:tc>
          <w:tcPr>
            <w:tcW w:w="3168"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Evaporation</w:t>
            </w:r>
          </w:p>
        </w:tc>
        <w:tc>
          <w:tcPr>
            <w:tcW w:w="1080"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inches</w:t>
            </w:r>
          </w:p>
        </w:tc>
        <w:tc>
          <w:tcPr>
            <w:tcW w:w="5310" w:type="dxa"/>
            <w:vAlign w:val="center"/>
          </w:tcPr>
          <w:p w:rsidR="00DF76BB" w:rsidRPr="008146B0" w:rsidRDefault="00DF76BB" w:rsidP="008146B0">
            <w:pPr>
              <w:keepNext/>
              <w:spacing w:after="0"/>
              <w:rPr>
                <w:rFonts w:ascii="Arial" w:hAnsi="Arial" w:cs="Arial"/>
                <w:sz w:val="20"/>
                <w:szCs w:val="20"/>
              </w:rPr>
            </w:pPr>
            <w:r w:rsidRPr="008146B0">
              <w:rPr>
                <w:rFonts w:ascii="Arial" w:hAnsi="Arial" w:cs="Arial"/>
                <w:sz w:val="20"/>
                <w:szCs w:val="20"/>
              </w:rPr>
              <w:t>Daily ET data from CIMIS Irvine Gage (#</w:t>
            </w:r>
            <w:r w:rsidR="008146B0" w:rsidRPr="008146B0">
              <w:rPr>
                <w:rFonts w:ascii="Arial" w:hAnsi="Arial" w:cs="Arial"/>
                <w:sz w:val="20"/>
                <w:szCs w:val="20"/>
              </w:rPr>
              <w:t>75</w:t>
            </w:r>
            <w:r w:rsidRPr="008146B0">
              <w:rPr>
                <w:rFonts w:ascii="Arial" w:hAnsi="Arial" w:cs="Arial"/>
                <w:sz w:val="20"/>
                <w:szCs w:val="20"/>
              </w:rPr>
              <w:t xml:space="preserve">)  </w:t>
            </w:r>
            <w:r w:rsidR="008146B0" w:rsidRPr="008146B0">
              <w:rPr>
                <w:rFonts w:ascii="Arial" w:hAnsi="Arial" w:cs="Arial"/>
                <w:sz w:val="20"/>
                <w:szCs w:val="20"/>
              </w:rPr>
              <w:t>1092 i</w:t>
            </w:r>
            <w:r w:rsidRPr="008146B0">
              <w:rPr>
                <w:rFonts w:ascii="Arial" w:hAnsi="Arial" w:cs="Arial"/>
                <w:sz w:val="20"/>
                <w:szCs w:val="20"/>
              </w:rPr>
              <w:t xml:space="preserve">nches </w:t>
            </w:r>
            <w:r w:rsidR="008146B0" w:rsidRPr="008146B0">
              <w:rPr>
                <w:rFonts w:ascii="Arial" w:hAnsi="Arial" w:cs="Arial"/>
                <w:sz w:val="20"/>
                <w:szCs w:val="20"/>
              </w:rPr>
              <w:t xml:space="preserve">reference ETo </w:t>
            </w:r>
            <w:r w:rsidRPr="008146B0">
              <w:rPr>
                <w:rFonts w:ascii="Arial" w:hAnsi="Arial" w:cs="Arial"/>
                <w:sz w:val="20"/>
                <w:szCs w:val="20"/>
              </w:rPr>
              <w:t>total in period of record</w:t>
            </w:r>
          </w:p>
        </w:tc>
      </w:tr>
      <w:tr w:rsidR="00DF76BB" w:rsidRPr="00EA481C" w:rsidTr="000C0559">
        <w:tc>
          <w:tcPr>
            <w:tcW w:w="3168"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 xml:space="preserve">Depression storage, impervious  </w:t>
            </w:r>
          </w:p>
        </w:tc>
        <w:tc>
          <w:tcPr>
            <w:tcW w:w="1080"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inches</w:t>
            </w:r>
          </w:p>
        </w:tc>
        <w:tc>
          <w:tcPr>
            <w:tcW w:w="5310"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0.02, based on Table 5-14 in SWMM manual (James and James, 2000)</w:t>
            </w:r>
          </w:p>
        </w:tc>
      </w:tr>
      <w:tr w:rsidR="00DF76BB" w:rsidRPr="00EA481C" w:rsidTr="000C0559">
        <w:tc>
          <w:tcPr>
            <w:tcW w:w="3168" w:type="dxa"/>
            <w:vAlign w:val="center"/>
          </w:tcPr>
          <w:p w:rsidR="00DF76BB" w:rsidRPr="008146B0" w:rsidRDefault="00DF76BB" w:rsidP="00DF76BB">
            <w:pPr>
              <w:keepNext/>
              <w:spacing w:after="0"/>
              <w:rPr>
                <w:rFonts w:ascii="Arial" w:hAnsi="Arial" w:cs="Arial"/>
                <w:sz w:val="20"/>
                <w:szCs w:val="20"/>
              </w:rPr>
            </w:pPr>
            <w:r w:rsidRPr="008146B0">
              <w:rPr>
                <w:rFonts w:ascii="Arial" w:hAnsi="Arial" w:cs="Arial"/>
                <w:sz w:val="20"/>
                <w:szCs w:val="20"/>
              </w:rPr>
              <w:t>Runoff coefficient used to convert precipitation depth to design volume</w:t>
            </w:r>
          </w:p>
        </w:tc>
        <w:tc>
          <w:tcPr>
            <w:tcW w:w="1080"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unitless</w:t>
            </w:r>
          </w:p>
        </w:tc>
        <w:tc>
          <w:tcPr>
            <w:tcW w:w="5310"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0.90</w:t>
            </w:r>
          </w:p>
        </w:tc>
      </w:tr>
      <w:tr w:rsidR="00DF76BB" w:rsidRPr="00EA481C" w:rsidTr="000C0559">
        <w:tc>
          <w:tcPr>
            <w:tcW w:w="3168" w:type="dxa"/>
            <w:vAlign w:val="center"/>
          </w:tcPr>
          <w:p w:rsidR="00DF76BB" w:rsidRPr="008146B0" w:rsidRDefault="00DF76BB" w:rsidP="00306D82">
            <w:pPr>
              <w:keepNext/>
              <w:spacing w:after="0"/>
              <w:rPr>
                <w:rFonts w:ascii="Arial" w:hAnsi="Arial" w:cs="Arial"/>
                <w:sz w:val="20"/>
                <w:szCs w:val="20"/>
              </w:rPr>
            </w:pPr>
            <w:r w:rsidRPr="008146B0">
              <w:rPr>
                <w:rFonts w:ascii="Arial" w:hAnsi="Arial" w:cs="Arial"/>
                <w:sz w:val="20"/>
                <w:szCs w:val="20"/>
              </w:rPr>
              <w:t>Design capture storm depth</w:t>
            </w:r>
            <w:r w:rsidR="008146B0">
              <w:rPr>
                <w:rFonts w:ascii="Arial" w:hAnsi="Arial" w:cs="Arial"/>
                <w:sz w:val="20"/>
                <w:szCs w:val="20"/>
              </w:rPr>
              <w:t xml:space="preserve"> (85</w:t>
            </w:r>
            <w:r w:rsidR="008146B0" w:rsidRPr="008146B0">
              <w:rPr>
                <w:rFonts w:ascii="Arial" w:hAnsi="Arial" w:cs="Arial"/>
                <w:sz w:val="20"/>
                <w:szCs w:val="20"/>
                <w:vertAlign w:val="superscript"/>
              </w:rPr>
              <w:t>th</w:t>
            </w:r>
            <w:r w:rsidR="008146B0">
              <w:rPr>
                <w:rFonts w:ascii="Arial" w:hAnsi="Arial" w:cs="Arial"/>
                <w:sz w:val="20"/>
                <w:szCs w:val="20"/>
              </w:rPr>
              <w:t xml:space="preserve"> percentile, 24-hour depth)</w:t>
            </w:r>
            <w:r w:rsidRPr="008146B0">
              <w:rPr>
                <w:rFonts w:ascii="Arial" w:hAnsi="Arial" w:cs="Arial"/>
                <w:sz w:val="20"/>
                <w:szCs w:val="20"/>
              </w:rPr>
              <w:t xml:space="preserve"> </w:t>
            </w:r>
            <w:r w:rsidR="000C0559" w:rsidRPr="008146B0">
              <w:rPr>
                <w:rFonts w:ascii="Arial" w:hAnsi="Arial" w:cs="Arial"/>
                <w:sz w:val="20"/>
                <w:szCs w:val="20"/>
              </w:rPr>
              <w:t>calculated from</w:t>
            </w:r>
            <w:r w:rsidR="00306D82">
              <w:rPr>
                <w:rFonts w:ascii="Arial" w:hAnsi="Arial" w:cs="Arial"/>
                <w:sz w:val="20"/>
                <w:szCs w:val="20"/>
              </w:rPr>
              <w:t xml:space="preserve"> Irvine Gage</w:t>
            </w:r>
            <w:r w:rsidR="000C0559" w:rsidRPr="008146B0">
              <w:rPr>
                <w:rFonts w:ascii="Arial" w:hAnsi="Arial" w:cs="Arial"/>
                <w:sz w:val="20"/>
                <w:szCs w:val="20"/>
              </w:rPr>
              <w:t xml:space="preserve"> </w:t>
            </w:r>
          </w:p>
        </w:tc>
        <w:tc>
          <w:tcPr>
            <w:tcW w:w="1080"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inches</w:t>
            </w:r>
          </w:p>
        </w:tc>
        <w:tc>
          <w:tcPr>
            <w:tcW w:w="5310"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0.95</w:t>
            </w:r>
            <w:r w:rsidR="000C0559" w:rsidRPr="008146B0">
              <w:rPr>
                <w:rFonts w:ascii="Arial" w:hAnsi="Arial" w:cs="Arial"/>
                <w:sz w:val="20"/>
                <w:szCs w:val="20"/>
              </w:rPr>
              <w:t xml:space="preserve"> </w:t>
            </w:r>
          </w:p>
        </w:tc>
      </w:tr>
      <w:tr w:rsidR="00DF76BB" w:rsidRPr="00EA481C" w:rsidTr="000C0559">
        <w:tc>
          <w:tcPr>
            <w:tcW w:w="3168"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BMP Storage Volume</w:t>
            </w:r>
          </w:p>
        </w:tc>
        <w:tc>
          <w:tcPr>
            <w:tcW w:w="1080" w:type="dxa"/>
            <w:vAlign w:val="center"/>
          </w:tcPr>
          <w:p w:rsidR="00DF76BB" w:rsidRPr="008146B0" w:rsidRDefault="00DF76BB" w:rsidP="000C0559">
            <w:pPr>
              <w:keepNext/>
              <w:spacing w:after="0"/>
              <w:rPr>
                <w:rFonts w:ascii="Arial" w:hAnsi="Arial" w:cs="Arial"/>
                <w:sz w:val="20"/>
                <w:szCs w:val="20"/>
              </w:rPr>
            </w:pPr>
            <w:r w:rsidRPr="008146B0">
              <w:rPr>
                <w:rFonts w:ascii="Arial" w:hAnsi="Arial" w:cs="Arial"/>
                <w:sz w:val="20"/>
                <w:szCs w:val="20"/>
              </w:rPr>
              <w:t>cu-ft</w:t>
            </w:r>
          </w:p>
        </w:tc>
        <w:tc>
          <w:tcPr>
            <w:tcW w:w="5310" w:type="dxa"/>
            <w:vAlign w:val="center"/>
          </w:tcPr>
          <w:p w:rsidR="000C0559" w:rsidRPr="008146B0" w:rsidRDefault="00DF76BB" w:rsidP="00DF76BB">
            <w:pPr>
              <w:keepNext/>
              <w:spacing w:after="0"/>
              <w:rPr>
                <w:rFonts w:ascii="Arial" w:hAnsi="Arial" w:cs="Arial"/>
                <w:sz w:val="20"/>
                <w:szCs w:val="20"/>
              </w:rPr>
            </w:pPr>
            <w:r w:rsidRPr="008146B0">
              <w:rPr>
                <w:rFonts w:ascii="Arial" w:hAnsi="Arial" w:cs="Arial"/>
                <w:sz w:val="20"/>
                <w:szCs w:val="20"/>
              </w:rPr>
              <w:t>Varied over continuous range as discrete multipliers on design capture storm depth</w:t>
            </w:r>
            <w:r w:rsidR="000C0559" w:rsidRPr="008146B0">
              <w:rPr>
                <w:rFonts w:ascii="Arial" w:hAnsi="Arial" w:cs="Arial"/>
                <w:sz w:val="20"/>
                <w:szCs w:val="20"/>
              </w:rPr>
              <w:t xml:space="preserve">.  </w:t>
            </w:r>
          </w:p>
          <w:p w:rsidR="00DF76BB" w:rsidRPr="008146B0" w:rsidRDefault="000C0559" w:rsidP="000C0559">
            <w:pPr>
              <w:keepNext/>
              <w:spacing w:after="0"/>
              <w:rPr>
                <w:rFonts w:ascii="Arial" w:hAnsi="Arial" w:cs="Arial"/>
                <w:sz w:val="20"/>
                <w:szCs w:val="20"/>
              </w:rPr>
            </w:pPr>
            <w:r w:rsidRPr="008146B0">
              <w:rPr>
                <w:rFonts w:ascii="Arial" w:hAnsi="Arial" w:cs="Arial"/>
                <w:sz w:val="20"/>
                <w:szCs w:val="20"/>
              </w:rPr>
              <w:t>Volume at 1.0 × DCV = 0.95 inches × 0.9 × 43,560 sq-ft × (1 ft/12 inches) = 3,100 cu-ft</w:t>
            </w:r>
          </w:p>
        </w:tc>
      </w:tr>
      <w:tr w:rsidR="00DF76BB" w:rsidRPr="00EA481C" w:rsidTr="000C0559">
        <w:tc>
          <w:tcPr>
            <w:tcW w:w="3168" w:type="dxa"/>
            <w:vAlign w:val="center"/>
          </w:tcPr>
          <w:p w:rsidR="00DF76BB" w:rsidRPr="008146B0" w:rsidRDefault="00DF76BB" w:rsidP="000C0559">
            <w:pPr>
              <w:spacing w:after="0"/>
              <w:rPr>
                <w:rFonts w:ascii="Arial" w:hAnsi="Arial" w:cs="Arial"/>
                <w:sz w:val="20"/>
                <w:szCs w:val="20"/>
              </w:rPr>
            </w:pPr>
            <w:r w:rsidRPr="008146B0">
              <w:rPr>
                <w:rFonts w:ascii="Arial" w:hAnsi="Arial" w:cs="Arial"/>
                <w:sz w:val="20"/>
                <w:szCs w:val="20"/>
              </w:rPr>
              <w:t>Drawdown Rate</w:t>
            </w:r>
          </w:p>
        </w:tc>
        <w:tc>
          <w:tcPr>
            <w:tcW w:w="1080" w:type="dxa"/>
            <w:vAlign w:val="center"/>
          </w:tcPr>
          <w:p w:rsidR="00DF76BB" w:rsidRPr="008146B0" w:rsidRDefault="00DF76BB" w:rsidP="000C0559">
            <w:pPr>
              <w:spacing w:after="0"/>
              <w:rPr>
                <w:rFonts w:ascii="Arial" w:hAnsi="Arial" w:cs="Arial"/>
                <w:sz w:val="20"/>
                <w:szCs w:val="20"/>
              </w:rPr>
            </w:pPr>
            <w:r w:rsidRPr="008146B0">
              <w:rPr>
                <w:rFonts w:ascii="Arial" w:hAnsi="Arial" w:cs="Arial"/>
                <w:sz w:val="20"/>
                <w:szCs w:val="20"/>
              </w:rPr>
              <w:t>cfs</w:t>
            </w:r>
          </w:p>
        </w:tc>
        <w:tc>
          <w:tcPr>
            <w:tcW w:w="5310" w:type="dxa"/>
            <w:vAlign w:val="center"/>
          </w:tcPr>
          <w:p w:rsidR="00DF76BB" w:rsidRPr="008146B0" w:rsidRDefault="000C0559" w:rsidP="000C0559">
            <w:pPr>
              <w:spacing w:after="0"/>
              <w:rPr>
                <w:rFonts w:ascii="Arial" w:hAnsi="Arial" w:cs="Arial"/>
                <w:sz w:val="20"/>
                <w:szCs w:val="20"/>
              </w:rPr>
            </w:pPr>
            <w:r w:rsidRPr="008146B0">
              <w:rPr>
                <w:rFonts w:ascii="Arial" w:hAnsi="Arial" w:cs="Arial"/>
                <w:sz w:val="20"/>
                <w:szCs w:val="20"/>
              </w:rPr>
              <w:t xml:space="preserve">Varied over continuous range to represent discrete drawdown times.  </w:t>
            </w:r>
            <w:r w:rsidR="002B1599">
              <w:rPr>
                <w:rFonts w:ascii="Arial" w:hAnsi="Arial" w:cs="Arial"/>
                <w:sz w:val="20"/>
                <w:szCs w:val="20"/>
              </w:rPr>
              <w:t>Q (cfs) = V(cu-ft) / Drawdown time (s</w:t>
            </w:r>
            <w:r w:rsidRPr="008146B0">
              <w:rPr>
                <w:rFonts w:ascii="Arial" w:hAnsi="Arial" w:cs="Arial"/>
                <w:sz w:val="20"/>
                <w:szCs w:val="20"/>
              </w:rPr>
              <w:t>)</w:t>
            </w:r>
          </w:p>
          <w:p w:rsidR="000C0559" w:rsidRPr="008146B0" w:rsidRDefault="000C0559" w:rsidP="000C0559">
            <w:pPr>
              <w:spacing w:after="0"/>
              <w:rPr>
                <w:rFonts w:ascii="Arial" w:hAnsi="Arial" w:cs="Arial"/>
                <w:sz w:val="20"/>
                <w:szCs w:val="20"/>
              </w:rPr>
            </w:pPr>
            <w:r w:rsidRPr="008146B0">
              <w:rPr>
                <w:rFonts w:ascii="Arial" w:hAnsi="Arial" w:cs="Arial"/>
                <w:sz w:val="20"/>
                <w:szCs w:val="20"/>
              </w:rPr>
              <w:t>Drawdown rate @ 1.0 × DCV @ 48 hour drawdown time = 3,100 cu-ft / (48 hr × 3600 s/hr) = 0.018 cfs</w:t>
            </w:r>
          </w:p>
        </w:tc>
      </w:tr>
    </w:tbl>
    <w:p w:rsidR="00DF76BB" w:rsidRDefault="00DF76BB" w:rsidP="00DF76BB"/>
    <w:p w:rsidR="004F7CDF" w:rsidRDefault="004F7CDF" w:rsidP="00A52883">
      <w:pPr>
        <w:pStyle w:val="Heading3"/>
      </w:pPr>
      <w:r>
        <w:t>Detailed Results and Findings</w:t>
      </w:r>
    </w:p>
    <w:p w:rsidR="008146B0" w:rsidRDefault="008146B0" w:rsidP="008146B0">
      <w:r>
        <w:t xml:space="preserve">The resulting average annual capture efficiency (i.e., the fraction of average annual runoff that is captured and not immediately bypassed by the BMP) was extracted from model results for each model. The assumed impervious fraction of 100 percent is not important for this analysis because both runoff volume and modeled BMP volume have approximately linear dependency on impervious fraction. </w:t>
      </w:r>
    </w:p>
    <w:p w:rsidR="00190A62" w:rsidRDefault="008146B0" w:rsidP="00190A62">
      <w:pPr>
        <w:pStyle w:val="CDMBTEXT"/>
      </w:pPr>
      <w:r>
        <w:t>Because this analysis was done at one location in the County, a method is needed to scale these results to different precipitation zones.  Areas with larger d</w:t>
      </w:r>
      <w:r w:rsidR="00190A62">
        <w:t>esign capture storm depths</w:t>
      </w:r>
      <w:r>
        <w:t xml:space="preserve"> (85</w:t>
      </w:r>
      <w:r w:rsidRPr="008146B0">
        <w:rPr>
          <w:vertAlign w:val="superscript"/>
        </w:rPr>
        <w:t>th</w:t>
      </w:r>
      <w:r>
        <w:t xml:space="preserve"> percentile, 24-hour depth)</w:t>
      </w:r>
      <w:r w:rsidR="00190A62">
        <w:t xml:space="preserve"> should theoretically require larger BMPs for an identical configuration of tributary area and drawdown time. An analysis of several gages in Southern California has shown that </w:t>
      </w:r>
      <w:r>
        <w:t>normalizing input scenarios</w:t>
      </w:r>
      <w:r w:rsidR="00190A62">
        <w:t xml:space="preserve"> as </w:t>
      </w:r>
      <w:r>
        <w:t>a fraction of the design capture storm depth allows reliable extrapol</w:t>
      </w:r>
      <w:r w:rsidR="00190A62">
        <w:t xml:space="preserve">ation of results throughout the region. </w:t>
      </w:r>
      <w:r w:rsidR="00E374FD">
        <w:t>These relationships are represented by the nomograph show</w:t>
      </w:r>
      <w:r w:rsidR="00190A62">
        <w:t>n as</w:t>
      </w:r>
      <w:r w:rsidR="00E374FD">
        <w:t xml:space="preserve"> </w:t>
      </w:r>
      <w:r w:rsidR="00126F3D" w:rsidRPr="00126DE5">
        <w:rPr>
          <w:rFonts w:cs="Arial"/>
          <w:b/>
          <w:color w:val="0070C0"/>
          <w:sz w:val="20"/>
        </w:rPr>
        <w:fldChar w:fldCharType="begin"/>
      </w:r>
      <w:r w:rsidR="00E374FD" w:rsidRPr="00126DE5">
        <w:rPr>
          <w:rFonts w:cs="Arial"/>
          <w:b/>
          <w:color w:val="0070C0"/>
          <w:sz w:val="20"/>
        </w:rPr>
        <w:instrText xml:space="preserve"> REF _Ref257795285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b/>
          <w:color w:val="0070C0"/>
        </w:rPr>
        <w:t>Figure </w:t>
      </w:r>
      <w:r w:rsidR="00126DE5" w:rsidRPr="00126DE5">
        <w:rPr>
          <w:b/>
          <w:noProof/>
          <w:color w:val="0070C0"/>
        </w:rPr>
        <w:t>III</w:t>
      </w:r>
      <w:r w:rsidR="00126DE5" w:rsidRPr="00126DE5">
        <w:rPr>
          <w:b/>
          <w:color w:val="0070C0"/>
        </w:rPr>
        <w:t>.</w:t>
      </w:r>
      <w:r w:rsidR="00126DE5" w:rsidRPr="00126DE5">
        <w:rPr>
          <w:b/>
          <w:noProof/>
          <w:color w:val="0070C0"/>
        </w:rPr>
        <w:t>2</w:t>
      </w:r>
      <w:r w:rsidR="00126F3D" w:rsidRPr="00126DE5">
        <w:rPr>
          <w:rFonts w:cs="Arial"/>
          <w:b/>
          <w:color w:val="0070C0"/>
          <w:sz w:val="20"/>
        </w:rPr>
        <w:fldChar w:fldCharType="end"/>
      </w:r>
      <w:r w:rsidR="00190A62">
        <w:t>.</w:t>
      </w:r>
      <w:r w:rsidR="006038B7">
        <w:t xml:space="preserve">  Functionally, what these relationships show is that for drawdown times larger than 48 hours, a design volume greater than the DCV is needed to achieve 80 percent capture, while for drawdown times less than 48 hours, a design volume less than the DCV can be used to achieve 80 percent capture.</w:t>
      </w:r>
    </w:p>
    <w:p w:rsidR="00190A62" w:rsidRDefault="00190A62" w:rsidP="00190A62">
      <w:pPr>
        <w:pStyle w:val="CDMBTEXT"/>
      </w:pPr>
      <w:r>
        <w:t xml:space="preserve">An analogous analysis was conducted for systems with irrigation demand by normalizing input scenarios to fractions of the design capture storm depth and the effective irrigation area to tributary area ratio (EIATA). This analysis considered irrigation demand to be controlled by the area irrigated, landscape demand of this area (i.e., fraction of </w:t>
      </w:r>
      <w:proofErr w:type="gramStart"/>
      <w:r>
        <w:t>ETo</w:t>
      </w:r>
      <w:proofErr w:type="gramEnd"/>
      <w:r>
        <w:t xml:space="preserve"> required for plant use) and the daily ETo timeseries.  It was assumed that irrigation would not occur following rainfall until the ET had either summed to a depth equivalent to the rainfall depth or had exceeded 0.25 inches (smaller of these two). </w:t>
      </w:r>
      <w:r w:rsidR="006038B7">
        <w:t>Performance</w:t>
      </w:r>
      <w:r>
        <w:t xml:space="preserve"> relationships are shown in </w:t>
      </w:r>
      <w:r w:rsidR="00126F3D" w:rsidRPr="00126DE5">
        <w:rPr>
          <w:rFonts w:cs="Arial"/>
          <w:b/>
          <w:color w:val="0070C0"/>
          <w:sz w:val="20"/>
        </w:rPr>
        <w:fldChar w:fldCharType="begin"/>
      </w:r>
      <w:r w:rsidR="00E374FD" w:rsidRPr="00126DE5">
        <w:rPr>
          <w:rFonts w:cs="Arial"/>
          <w:b/>
          <w:color w:val="0070C0"/>
          <w:sz w:val="20"/>
        </w:rPr>
        <w:instrText xml:space="preserve"> REF _Ref257795303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b/>
          <w:color w:val="0070C0"/>
        </w:rPr>
        <w:t>Figure </w:t>
      </w:r>
      <w:r w:rsidR="00126DE5" w:rsidRPr="00126DE5">
        <w:rPr>
          <w:rFonts w:cs="Arial"/>
          <w:b/>
          <w:noProof/>
          <w:color w:val="0070C0"/>
        </w:rPr>
        <w:t>III</w:t>
      </w:r>
      <w:r w:rsidR="00126DE5" w:rsidRPr="00126DE5">
        <w:rPr>
          <w:b/>
          <w:color w:val="0070C0"/>
        </w:rPr>
        <w:t>.</w:t>
      </w:r>
      <w:r w:rsidR="00126DE5" w:rsidRPr="00126DE5">
        <w:rPr>
          <w:rFonts w:cs="Arial"/>
          <w:b/>
          <w:noProof/>
          <w:color w:val="0070C0"/>
        </w:rPr>
        <w:t>3</w:t>
      </w:r>
      <w:r w:rsidR="00126F3D" w:rsidRPr="00126DE5">
        <w:rPr>
          <w:rFonts w:cs="Arial"/>
          <w:b/>
          <w:color w:val="0070C0"/>
          <w:sz w:val="20"/>
        </w:rPr>
        <w:fldChar w:fldCharType="end"/>
      </w:r>
      <w:r>
        <w:t xml:space="preserve">. </w:t>
      </w:r>
    </w:p>
    <w:p w:rsidR="00190A62" w:rsidRDefault="00190A62" w:rsidP="00A52883">
      <w:pPr>
        <w:pStyle w:val="Heading3"/>
      </w:pPr>
      <w:r>
        <w:t>Development of Flow-based BMP Capture Efficiency Nomographs</w:t>
      </w:r>
    </w:p>
    <w:p w:rsidR="00FB2C27" w:rsidRDefault="00FB2C27" w:rsidP="00190A62">
      <w:r>
        <w:t xml:space="preserve">Flow-based BMPs do not have substantial storage volume; therefore function by treating runoff at the rate which it occurs. The concept of </w:t>
      </w:r>
      <w:proofErr w:type="gramStart"/>
      <w:r>
        <w:t>a uniform</w:t>
      </w:r>
      <w:proofErr w:type="gramEnd"/>
      <w:r>
        <w:t xml:space="preserve"> design intensity is commonly used for sizing criteria of flow-based BMPs. This design intensity is appropriately tied to the time of concentration (</w:t>
      </w:r>
      <w:r w:rsidRPr="002365B9">
        <w:t>T</w:t>
      </w:r>
      <w:r w:rsidRPr="002365B9">
        <w:rPr>
          <w:vertAlign w:val="subscript"/>
        </w:rPr>
        <w:t>c</w:t>
      </w:r>
      <w:r>
        <w:t xml:space="preserve">) of the tributary area, where larger tributary areas should have </w:t>
      </w:r>
      <w:proofErr w:type="gramStart"/>
      <w:r>
        <w:t>a lower</w:t>
      </w:r>
      <w:proofErr w:type="gramEnd"/>
      <w:r>
        <w:t xml:space="preserve"> design intensity because greater attenuation of event peaks is provided in the watershed and the BMP sees lower peaks. While simplified, it can be conceptualized that the </w:t>
      </w:r>
      <w:r w:rsidRPr="002365B9">
        <w:t>T</w:t>
      </w:r>
      <w:r w:rsidRPr="002365B9">
        <w:rPr>
          <w:vertAlign w:val="subscript"/>
        </w:rPr>
        <w:t>c</w:t>
      </w:r>
      <w:r>
        <w:t xml:space="preserve"> of a watershed is the averaging period within which peaks should be averaged.</w:t>
      </w:r>
    </w:p>
    <w:p w:rsidR="00FB2C27" w:rsidRDefault="00FB2C27" w:rsidP="00190A62">
      <w:r>
        <w:t xml:space="preserve">Because most urban watersheds have </w:t>
      </w:r>
      <w:r w:rsidRPr="002365B9">
        <w:t>T</w:t>
      </w:r>
      <w:r w:rsidRPr="002365B9">
        <w:rPr>
          <w:vertAlign w:val="subscript"/>
        </w:rPr>
        <w:t>c</w:t>
      </w:r>
      <w:r>
        <w:t xml:space="preserve"> much less than 1 hour, hourly precipitation data are not adequate to develop relationships between </w:t>
      </w:r>
      <w:r w:rsidRPr="002365B9">
        <w:t>T</w:t>
      </w:r>
      <w:r w:rsidRPr="002365B9">
        <w:rPr>
          <w:vertAlign w:val="subscript"/>
        </w:rPr>
        <w:t>c</w:t>
      </w:r>
      <w:r>
        <w:t xml:space="preserve"> and the required design intensity to manage a certain percentage of average annual runoff volume. Therefore, 10 years of 5-minute, 0.01” resolution precipitation data were obtained from the Automated Surface Observation System (ASOS) gage at Los Angeles International Airport and used for this analysis. </w:t>
      </w:r>
    </w:p>
    <w:p w:rsidR="00FB2C27" w:rsidRDefault="00FB2C27" w:rsidP="00190A62">
      <w:r>
        <w:t xml:space="preserve">To represent different increments of </w:t>
      </w:r>
      <w:r w:rsidRPr="002365B9">
        <w:t>T</w:t>
      </w:r>
      <w:r w:rsidRPr="002365B9">
        <w:rPr>
          <w:vertAlign w:val="subscript"/>
        </w:rPr>
        <w:t>c</w:t>
      </w:r>
      <w:r>
        <w:t xml:space="preserve">, different averaging periods were applied. The resulting intensities were then compared to a range of design intensities to determine the fraction of average annual runoff that intensity would be capable of addressing.  It was assumed that if the measured intensity was less than the design intensity, that volume would be fully treated, and if the measured intensity was greater than the design intensity, the volume up to the design intensity would be treated.  This implicitly assumes that BMPs are designed to be off-line and maintain their treatment processes even during peak flows.   </w:t>
      </w:r>
    </w:p>
    <w:p w:rsidR="005D6421" w:rsidRDefault="00126F3D" w:rsidP="006038B7">
      <w:pPr>
        <w:pStyle w:val="CDMBTEXT"/>
      </w:pPr>
      <w:r w:rsidRPr="00126DE5">
        <w:rPr>
          <w:rFonts w:cs="Arial"/>
          <w:b/>
          <w:color w:val="0070C0"/>
          <w:sz w:val="20"/>
        </w:rPr>
        <w:fldChar w:fldCharType="begin"/>
      </w:r>
      <w:r w:rsidR="00FB2C27" w:rsidRPr="00126DE5">
        <w:rPr>
          <w:rFonts w:cs="Arial"/>
          <w:b/>
          <w:color w:val="0070C0"/>
          <w:sz w:val="20"/>
        </w:rPr>
        <w:instrText xml:space="preserve"> REF _Ref257795315 \h </w:instrText>
      </w:r>
      <w:r w:rsidRPr="00126DE5">
        <w:rPr>
          <w:rFonts w:cs="Arial"/>
          <w:b/>
          <w:color w:val="0070C0"/>
          <w:sz w:val="20"/>
        </w:rPr>
      </w:r>
      <w:r w:rsidRPr="00126DE5">
        <w:rPr>
          <w:rFonts w:cs="Arial"/>
          <w:b/>
          <w:color w:val="0070C0"/>
          <w:sz w:val="20"/>
        </w:rPr>
        <w:fldChar w:fldCharType="separate"/>
      </w:r>
      <w:r w:rsidR="00126DE5" w:rsidRPr="00126DE5">
        <w:rPr>
          <w:b/>
          <w:color w:val="0070C0"/>
        </w:rPr>
        <w:t>Figure </w:t>
      </w:r>
      <w:r w:rsidR="00126DE5" w:rsidRPr="00126DE5">
        <w:rPr>
          <w:rFonts w:cs="Arial"/>
          <w:b/>
          <w:noProof/>
          <w:color w:val="0070C0"/>
        </w:rPr>
        <w:t>III</w:t>
      </w:r>
      <w:r w:rsidR="00126DE5" w:rsidRPr="00126DE5">
        <w:rPr>
          <w:b/>
          <w:color w:val="0070C0"/>
        </w:rPr>
        <w:t>.</w:t>
      </w:r>
      <w:r w:rsidR="00126DE5" w:rsidRPr="00126DE5">
        <w:rPr>
          <w:rFonts w:cs="Arial"/>
          <w:b/>
          <w:noProof/>
          <w:color w:val="0070C0"/>
        </w:rPr>
        <w:t>4</w:t>
      </w:r>
      <w:r w:rsidRPr="00126DE5">
        <w:rPr>
          <w:rFonts w:cs="Arial"/>
          <w:b/>
          <w:color w:val="0070C0"/>
          <w:sz w:val="20"/>
        </w:rPr>
        <w:fldChar w:fldCharType="end"/>
      </w:r>
      <w:r w:rsidR="00FB2C27">
        <w:t xml:space="preserve"> presents average annual capture efficiency results for a </w:t>
      </w:r>
      <w:r w:rsidR="00190A62">
        <w:t xml:space="preserve">variety of design storm intensities and drainage area times of concentration. </w:t>
      </w:r>
    </w:p>
    <w:p w:rsidR="006038B7" w:rsidRDefault="00D55848" w:rsidP="00A52883">
      <w:pPr>
        <w:pStyle w:val="Heading3"/>
      </w:pPr>
      <w:r>
        <w:t xml:space="preserve">Note on </w:t>
      </w:r>
      <w:r w:rsidR="006038B7">
        <w:t>Using Nomographs to Combine BMPs in Series</w:t>
      </w:r>
    </w:p>
    <w:p w:rsidR="006038B7" w:rsidRDefault="006038B7" w:rsidP="006038B7">
      <w:r>
        <w:t xml:space="preserve">The nomographs presented in </w:t>
      </w:r>
      <w:r w:rsidR="00126F3D" w:rsidRPr="00126DE5">
        <w:rPr>
          <w:rFonts w:cs="Arial"/>
          <w:b/>
          <w:color w:val="0070C0"/>
          <w:sz w:val="20"/>
          <w:szCs w:val="20"/>
        </w:rPr>
        <w:fldChar w:fldCharType="begin"/>
      </w:r>
      <w:r w:rsidRPr="00126DE5">
        <w:rPr>
          <w:rFonts w:cs="Arial"/>
          <w:b/>
          <w:color w:val="0070C0"/>
          <w:sz w:val="20"/>
          <w:szCs w:val="20"/>
        </w:rPr>
        <w:instrText xml:space="preserve"> REF _Ref257795285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b/>
          <w:color w:val="0070C0"/>
        </w:rPr>
        <w:t>Figure </w:t>
      </w:r>
      <w:r w:rsidR="00126DE5" w:rsidRPr="00126DE5">
        <w:rPr>
          <w:b/>
          <w:noProof/>
          <w:color w:val="0070C0"/>
        </w:rPr>
        <w:t>III</w:t>
      </w:r>
      <w:r w:rsidR="00126DE5" w:rsidRPr="00126DE5">
        <w:rPr>
          <w:b/>
          <w:color w:val="0070C0"/>
        </w:rPr>
        <w:t>.</w:t>
      </w:r>
      <w:r w:rsidR="00126DE5" w:rsidRPr="00126DE5">
        <w:rPr>
          <w:b/>
          <w:noProof/>
          <w:color w:val="0070C0"/>
        </w:rPr>
        <w:t>2</w:t>
      </w:r>
      <w:r w:rsidR="00126F3D" w:rsidRPr="00126DE5">
        <w:rPr>
          <w:rFonts w:cs="Arial"/>
          <w:b/>
          <w:color w:val="0070C0"/>
          <w:sz w:val="20"/>
          <w:szCs w:val="20"/>
        </w:rPr>
        <w:fldChar w:fldCharType="end"/>
      </w:r>
      <w:r>
        <w:t xml:space="preserve">, </w:t>
      </w:r>
      <w:r w:rsidR="00126F3D" w:rsidRPr="00126DE5">
        <w:rPr>
          <w:rFonts w:cs="Arial"/>
          <w:b/>
          <w:color w:val="0070C0"/>
          <w:sz w:val="20"/>
          <w:szCs w:val="20"/>
        </w:rPr>
        <w:fldChar w:fldCharType="begin"/>
      </w:r>
      <w:r w:rsidRPr="00126DE5">
        <w:rPr>
          <w:rFonts w:cs="Arial"/>
          <w:b/>
          <w:color w:val="0070C0"/>
          <w:sz w:val="20"/>
          <w:szCs w:val="20"/>
        </w:rPr>
        <w:instrText xml:space="preserve"> REF _Ref257795303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b/>
          <w:color w:val="0070C0"/>
        </w:rPr>
        <w:t>Figure </w:t>
      </w:r>
      <w:r w:rsidR="00126DE5" w:rsidRPr="00126DE5">
        <w:rPr>
          <w:rFonts w:cs="Arial"/>
          <w:b/>
          <w:noProof/>
          <w:color w:val="0070C0"/>
        </w:rPr>
        <w:t>III</w:t>
      </w:r>
      <w:r w:rsidR="00126DE5" w:rsidRPr="00126DE5">
        <w:rPr>
          <w:b/>
          <w:color w:val="0070C0"/>
        </w:rPr>
        <w:t>.</w:t>
      </w:r>
      <w:r w:rsidR="00126DE5" w:rsidRPr="00126DE5">
        <w:rPr>
          <w:rFonts w:cs="Arial"/>
          <w:b/>
          <w:noProof/>
          <w:color w:val="0070C0"/>
        </w:rPr>
        <w:t>3</w:t>
      </w:r>
      <w:r w:rsidR="00126F3D" w:rsidRPr="00126DE5">
        <w:rPr>
          <w:rFonts w:cs="Arial"/>
          <w:b/>
          <w:color w:val="0070C0"/>
          <w:sz w:val="20"/>
          <w:szCs w:val="20"/>
        </w:rPr>
        <w:fldChar w:fldCharType="end"/>
      </w:r>
      <w:r>
        <w:t xml:space="preserve">, </w:t>
      </w:r>
      <w:r w:rsidR="00126F3D" w:rsidRPr="00126DE5">
        <w:rPr>
          <w:rFonts w:cs="Arial"/>
          <w:b/>
          <w:color w:val="0070C0"/>
          <w:sz w:val="20"/>
          <w:szCs w:val="20"/>
        </w:rPr>
        <w:fldChar w:fldCharType="begin"/>
      </w:r>
      <w:r w:rsidRPr="00126DE5">
        <w:rPr>
          <w:rFonts w:cs="Arial"/>
          <w:b/>
          <w:color w:val="0070C0"/>
          <w:sz w:val="20"/>
          <w:szCs w:val="20"/>
        </w:rPr>
        <w:instrText xml:space="preserve"> REF _Ref257795315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b/>
          <w:color w:val="0070C0"/>
        </w:rPr>
        <w:t>Figure </w:t>
      </w:r>
      <w:r w:rsidR="00126DE5" w:rsidRPr="00126DE5">
        <w:rPr>
          <w:rFonts w:cs="Arial"/>
          <w:b/>
          <w:noProof/>
          <w:color w:val="0070C0"/>
        </w:rPr>
        <w:t>III</w:t>
      </w:r>
      <w:r w:rsidR="00126DE5" w:rsidRPr="00126DE5">
        <w:rPr>
          <w:b/>
          <w:color w:val="0070C0"/>
        </w:rPr>
        <w:t>.</w:t>
      </w:r>
      <w:r w:rsidR="00126DE5" w:rsidRPr="00126DE5">
        <w:rPr>
          <w:rFonts w:cs="Arial"/>
          <w:b/>
          <w:noProof/>
          <w:color w:val="0070C0"/>
        </w:rPr>
        <w:t>4</w:t>
      </w:r>
      <w:r w:rsidR="00126F3D" w:rsidRPr="00126DE5">
        <w:rPr>
          <w:rFonts w:cs="Arial"/>
          <w:b/>
          <w:color w:val="0070C0"/>
          <w:sz w:val="20"/>
          <w:szCs w:val="20"/>
        </w:rPr>
        <w:fldChar w:fldCharType="end"/>
      </w:r>
      <w:r>
        <w:rPr>
          <w:b/>
          <w:color w:val="0070C0"/>
        </w:rPr>
        <w:t xml:space="preserve"> </w:t>
      </w:r>
      <w:r w:rsidRPr="006038B7">
        <w:t xml:space="preserve">each show declining response of capture efficiency with design volume and intensity.  For example, </w:t>
      </w:r>
      <w:r>
        <w:t xml:space="preserve">from </w:t>
      </w:r>
      <w:r w:rsidR="00126F3D" w:rsidRPr="00126DE5">
        <w:rPr>
          <w:rFonts w:cs="Arial"/>
          <w:b/>
          <w:color w:val="0070C0"/>
          <w:sz w:val="20"/>
          <w:szCs w:val="20"/>
        </w:rPr>
        <w:fldChar w:fldCharType="begin"/>
      </w:r>
      <w:r w:rsidRPr="00126DE5">
        <w:rPr>
          <w:rFonts w:cs="Arial"/>
          <w:b/>
          <w:color w:val="0070C0"/>
          <w:sz w:val="20"/>
          <w:szCs w:val="20"/>
        </w:rPr>
        <w:instrText xml:space="preserve"> REF _Ref257795285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b/>
          <w:color w:val="0070C0"/>
        </w:rPr>
        <w:t>Figure </w:t>
      </w:r>
      <w:r w:rsidR="00126DE5" w:rsidRPr="00126DE5">
        <w:rPr>
          <w:b/>
          <w:noProof/>
          <w:color w:val="0070C0"/>
        </w:rPr>
        <w:t>III</w:t>
      </w:r>
      <w:r w:rsidR="00126DE5" w:rsidRPr="00126DE5">
        <w:rPr>
          <w:b/>
          <w:color w:val="0070C0"/>
        </w:rPr>
        <w:t>.</w:t>
      </w:r>
      <w:r w:rsidR="00126DE5" w:rsidRPr="00126DE5">
        <w:rPr>
          <w:b/>
          <w:noProof/>
          <w:color w:val="0070C0"/>
        </w:rPr>
        <w:t>2</w:t>
      </w:r>
      <w:r w:rsidR="00126F3D" w:rsidRPr="00126DE5">
        <w:rPr>
          <w:rFonts w:cs="Arial"/>
          <w:b/>
          <w:color w:val="0070C0"/>
          <w:sz w:val="20"/>
          <w:szCs w:val="20"/>
        </w:rPr>
        <w:fldChar w:fldCharType="end"/>
      </w:r>
      <w:r>
        <w:rPr>
          <w:b/>
          <w:color w:val="0070C0"/>
        </w:rPr>
        <w:t xml:space="preserve">, </w:t>
      </w:r>
      <w:r w:rsidRPr="006038B7">
        <w:t>approximately 25% of the DCV is required to achieve the first 40 percent capture of average annual runoff volume, while the remaining 75</w:t>
      </w:r>
      <w:r w:rsidR="00D55848">
        <w:t xml:space="preserve"> percent</w:t>
      </w:r>
      <w:r w:rsidRPr="006038B7">
        <w:t xml:space="preserve"> of the DCV is required to achieve the remaining 40 percent.  As such, when combining BMPs in series, capture efficiencies are not </w:t>
      </w:r>
      <w:r w:rsidR="00D55848">
        <w:t xml:space="preserve">directly </w:t>
      </w:r>
      <w:proofErr w:type="gramStart"/>
      <w:r w:rsidRPr="006038B7">
        <w:t>additive</w:t>
      </w:r>
      <w:proofErr w:type="gramEnd"/>
      <w:r w:rsidRPr="006038B7">
        <w:t>.</w:t>
      </w:r>
      <w:r>
        <w:t xml:space="preserve"> In order to add the combined effects of BMPs in series, the nomographs should be used by starting at the point on the chart corresponding to the capture efficiency already achieved in upstream BMPs, and moving to the right on the chart along the line corresponding to the drawdown time of the</w:t>
      </w:r>
      <w:r w:rsidR="00D55848">
        <w:t xml:space="preserve"> current</w:t>
      </w:r>
      <w:r>
        <w:t xml:space="preserve"> BMP of interest.  This ensures that the appropriate portion of the volume-capture response curve is used.</w:t>
      </w:r>
    </w:p>
    <w:p w:rsidR="006038B7" w:rsidRDefault="006038B7" w:rsidP="006038B7"/>
    <w:p w:rsidR="00636C4D" w:rsidRDefault="00636C4D" w:rsidP="000F5D63">
      <w:pPr>
        <w:pStyle w:val="CDMBTEXT"/>
      </w:pPr>
    </w:p>
    <w:p w:rsidR="000F5D63" w:rsidRPr="000F5D63" w:rsidRDefault="000F5D63" w:rsidP="000F5D63">
      <w:pPr>
        <w:sectPr w:rsidR="000F5D63" w:rsidRPr="000F5D63" w:rsidSect="00BF43BB">
          <w:pgSz w:w="12240" w:h="15840"/>
          <w:pgMar w:top="1440" w:right="1440" w:bottom="1440" w:left="1440" w:header="720" w:footer="432" w:gutter="0"/>
          <w:pgNumType w:chapStyle="1"/>
          <w:cols w:space="720"/>
          <w:docGrid w:linePitch="360"/>
        </w:sectPr>
      </w:pPr>
    </w:p>
    <w:p w:rsidR="0013104B" w:rsidRDefault="00604494" w:rsidP="00A52883">
      <w:pPr>
        <w:pStyle w:val="Heading1"/>
      </w:pPr>
      <w:bookmarkStart w:id="263" w:name="_Toc285308133"/>
      <w:bookmarkStart w:id="264" w:name="_Toc285315729"/>
      <w:bookmarkStart w:id="265" w:name="_Toc285315893"/>
      <w:bookmarkStart w:id="266" w:name="_Ref285384708"/>
      <w:bookmarkStart w:id="267" w:name="_Toc285492448"/>
      <w:bookmarkStart w:id="268" w:name="_Toc288541061"/>
      <w:bookmarkStart w:id="269" w:name="_Toc293937124"/>
      <w:r>
        <w:rPr>
          <w:caps w:val="0"/>
        </w:rPr>
        <w:t>APPROVED METHODS FOR QUANTIFYING HYDROLOGIC CONDITIONS OF CONCERN (NORTH ORANGE COUNTY)</w:t>
      </w:r>
      <w:bookmarkEnd w:id="263"/>
      <w:bookmarkEnd w:id="264"/>
      <w:bookmarkEnd w:id="265"/>
      <w:bookmarkEnd w:id="266"/>
      <w:bookmarkEnd w:id="267"/>
      <w:bookmarkEnd w:id="268"/>
      <w:bookmarkEnd w:id="269"/>
    </w:p>
    <w:p w:rsidR="00954142" w:rsidRDefault="00972110" w:rsidP="00FE3A73">
      <w:pPr>
        <w:pStyle w:val="CDMBTEXT"/>
        <w:spacing w:before="240"/>
      </w:pPr>
      <w:r w:rsidRPr="00311A64">
        <w:t xml:space="preserve">Hydromodification design criteria for </w:t>
      </w:r>
      <w:r w:rsidR="00344DD2">
        <w:t xml:space="preserve">the </w:t>
      </w:r>
      <w:r w:rsidRPr="00311A64">
        <w:t>North Orange County</w:t>
      </w:r>
      <w:r w:rsidR="00043B81">
        <w:t xml:space="preserve"> permit area</w:t>
      </w:r>
      <w:r w:rsidRPr="00311A64">
        <w:t xml:space="preserve"> are based on the 2-yr, 24-hr storm event runoff volume, time of co</w:t>
      </w:r>
      <w:r w:rsidR="00954142">
        <w:t xml:space="preserve">ncentration, and peak flowrate. Hydrologic analysis of the 2-year, 24-hour storm shall be conducted using the methods described </w:t>
      </w:r>
      <w:r w:rsidR="00990A72">
        <w:t xml:space="preserve">in this section. </w:t>
      </w:r>
      <w:r w:rsidR="00954142">
        <w:t>These include:</w:t>
      </w:r>
    </w:p>
    <w:p w:rsidR="00954142" w:rsidRDefault="00972110" w:rsidP="007D631A">
      <w:pPr>
        <w:pStyle w:val="ListBullet"/>
      </w:pPr>
      <w:r w:rsidRPr="00311A64">
        <w:t xml:space="preserve">The methods described in the </w:t>
      </w:r>
      <w:hyperlink r:id="rId21" w:history="1">
        <w:r w:rsidRPr="00126DE5">
          <w:rPr>
            <w:rStyle w:val="Hyperlink"/>
            <w:rFonts w:cs="Arial"/>
            <w:b/>
            <w:color w:val="0070C0"/>
            <w:sz w:val="20"/>
          </w:rPr>
          <w:t>Orange County Hydrology Manual</w:t>
        </w:r>
      </w:hyperlink>
      <w:r w:rsidRPr="00311A64">
        <w:t xml:space="preserve"> </w:t>
      </w:r>
      <w:r w:rsidR="00954142">
        <w:t xml:space="preserve">(OCEMA 1986). </w:t>
      </w:r>
      <w:r w:rsidRPr="00311A64">
        <w:t xml:space="preserve">  </w:t>
      </w:r>
    </w:p>
    <w:p w:rsidR="00FE3A73" w:rsidRDefault="00954142" w:rsidP="007D631A">
      <w:pPr>
        <w:pStyle w:val="ListBullet"/>
      </w:pPr>
      <w:r>
        <w:t xml:space="preserve">The methods described in </w:t>
      </w:r>
      <w:hyperlink r:id="rId22" w:history="1">
        <w:r w:rsidR="00972110" w:rsidRPr="00126DE5">
          <w:rPr>
            <w:rStyle w:val="Hyperlink"/>
            <w:rFonts w:cs="Arial"/>
            <w:b/>
            <w:color w:val="0070C0"/>
            <w:sz w:val="20"/>
          </w:rPr>
          <w:t>Technical Release 55 (TR-55):</w:t>
        </w:r>
      </w:hyperlink>
      <w:r w:rsidR="00972110" w:rsidRPr="00311A64">
        <w:t xml:space="preserve"> </w:t>
      </w:r>
      <w:r w:rsidR="00972110" w:rsidRPr="00311A64">
        <w:rPr>
          <w:i/>
        </w:rPr>
        <w:t>Urban Hydrology for Small Watersheds</w:t>
      </w:r>
      <w:r w:rsidR="00972110" w:rsidRPr="00311A64">
        <w:t xml:space="preserve"> (NRCS 1986)</w:t>
      </w:r>
      <w:r w:rsidR="00CE32B9">
        <w:t xml:space="preserve">. </w:t>
      </w:r>
      <w:r w:rsidR="00972110" w:rsidRPr="00311A64">
        <w:t>TR-55 has the capacity to model watersheds with drainage areas ranging from 0.01 acre (although results from catchments less than 1 acre should be carefully examined) to 25 square miles and time of concentrations ranging from 6 minutes to 10 hours (NRCS 2009).</w:t>
      </w:r>
    </w:p>
    <w:p w:rsidR="00972110" w:rsidRPr="00B53524" w:rsidRDefault="00972110" w:rsidP="00972110">
      <w:pPr>
        <w:pStyle w:val="CDMBTEXT"/>
      </w:pPr>
      <w:r w:rsidRPr="00311A64">
        <w:t xml:space="preserve">Priority Projects have the option to either perform the hydrologic calculations using computer simulations or hand calculations.  If the </w:t>
      </w:r>
      <w:hyperlink r:id="rId23" w:history="1">
        <w:r w:rsidR="002F4162" w:rsidRPr="00126DE5">
          <w:rPr>
            <w:rStyle w:val="Hyperlink"/>
            <w:rFonts w:cs="Arial"/>
            <w:b/>
            <w:color w:val="0070C0"/>
            <w:sz w:val="20"/>
          </w:rPr>
          <w:t>Orange County Hydrology Manual</w:t>
        </w:r>
      </w:hyperlink>
      <w:r w:rsidRPr="00311A64">
        <w:t xml:space="preserve"> method is used, the Watershed Modeling System (WMS) software with the Orange County Rational Method interface or hand calculations should be used, consistent with the </w:t>
      </w:r>
      <w:hyperlink r:id="rId24" w:history="1">
        <w:r w:rsidR="002F4162" w:rsidRPr="00126DE5">
          <w:rPr>
            <w:rStyle w:val="Hyperlink"/>
            <w:rFonts w:cs="Arial"/>
            <w:b/>
            <w:color w:val="0070C0"/>
            <w:sz w:val="20"/>
          </w:rPr>
          <w:t>Orange County Hydrology Manual</w:t>
        </w:r>
      </w:hyperlink>
      <w:r w:rsidRPr="00311A64">
        <w:t>.  If the TR-55 method is used, then either the WinTR-55</w:t>
      </w:r>
      <w:r w:rsidRPr="00B53524">
        <w:rPr>
          <w:rStyle w:val="FootnoteReference"/>
        </w:rPr>
        <w:footnoteReference w:id="10"/>
      </w:r>
      <w:r w:rsidRPr="00311A64">
        <w:t xml:space="preserve"> or HEC-HMS</w:t>
      </w:r>
      <w:r w:rsidRPr="00B53524">
        <w:rPr>
          <w:rStyle w:val="FootnoteReference"/>
        </w:rPr>
        <w:footnoteReference w:id="11"/>
      </w:r>
      <w:r w:rsidRPr="00311A64">
        <w:t xml:space="preserve"> programs are appropriate or hand calculations should be consistent with the </w:t>
      </w:r>
      <w:hyperlink r:id="rId25" w:history="1">
        <w:r w:rsidR="004A31F7" w:rsidRPr="00126DE5">
          <w:rPr>
            <w:rStyle w:val="Hyperlink"/>
            <w:rFonts w:cs="Arial"/>
            <w:b/>
            <w:color w:val="0070C0"/>
            <w:sz w:val="20"/>
          </w:rPr>
          <w:t>TR-55 manual</w:t>
        </w:r>
      </w:hyperlink>
      <w:r w:rsidR="004A31F7" w:rsidRPr="00311A64">
        <w:t xml:space="preserve"> </w:t>
      </w:r>
      <w:r w:rsidRPr="00311A64">
        <w:t>(NRCS</w:t>
      </w:r>
      <w:r w:rsidR="004A31F7">
        <w:t>,</w:t>
      </w:r>
      <w:r w:rsidRPr="00311A64">
        <w:t xml:space="preserve"> 1986).</w:t>
      </w:r>
    </w:p>
    <w:p w:rsidR="00972110" w:rsidRPr="00B53524" w:rsidRDefault="00972110" w:rsidP="00972110">
      <w:pPr>
        <w:pStyle w:val="CDMBTEXT"/>
      </w:pPr>
      <w:r w:rsidRPr="00311A64">
        <w:t xml:space="preserve">Advantages of using computer simulations is that the runoff hydrograph can be produced with relative ease, which is ideal when simulating post-project drainage conditions which route runoff through detention BMPs. Routing a hydrograph through a BMP is more arduous and time consuming if calculated by hand.  </w:t>
      </w:r>
    </w:p>
    <w:p w:rsidR="00FE3A73" w:rsidRDefault="00972110" w:rsidP="00FE3A73">
      <w:pPr>
        <w:pStyle w:val="CDMBTEXT"/>
      </w:pPr>
      <w:r w:rsidRPr="00311A64">
        <w:t xml:space="preserve">An advantage of WMS with the Orange County Rational Method interface is that it is often used for generating design flows of less frequent design storm events (i.e., 10-year, 25-year, or 100-year) required of flood control analyses, so the same WMS model could be used for both the flood and hydromodification control analyses.  It is important to note that WMS is not a continuous simulation hydrologic model, and thus cannot be used to meet the South Orange County </w:t>
      </w:r>
      <w:r w:rsidR="00344DD2">
        <w:t xml:space="preserve">permit area </w:t>
      </w:r>
      <w:r w:rsidRPr="00311A64">
        <w:t>hydromodification control criteria.</w:t>
      </w:r>
    </w:p>
    <w:p w:rsidR="00FE3A73" w:rsidRDefault="0013104B" w:rsidP="00A52883">
      <w:pPr>
        <w:pStyle w:val="Heading2"/>
      </w:pPr>
      <w:bookmarkStart w:id="270" w:name="_Toc285308134"/>
      <w:bookmarkStart w:id="271" w:name="_Toc285315730"/>
      <w:bookmarkStart w:id="272" w:name="_Toc285492449"/>
      <w:bookmarkStart w:id="273" w:name="_Toc288541062"/>
      <w:bookmarkStart w:id="274" w:name="_Toc293937125"/>
      <w:r>
        <w:t>Hydrologic Method for 2-year Runoff Volume and Peak</w:t>
      </w:r>
      <w:bookmarkEnd w:id="270"/>
      <w:bookmarkEnd w:id="271"/>
      <w:bookmarkEnd w:id="272"/>
      <w:bookmarkEnd w:id="273"/>
      <w:bookmarkEnd w:id="274"/>
    </w:p>
    <w:p w:rsidR="00FE3A73" w:rsidRDefault="00E124E1" w:rsidP="00A52883">
      <w:pPr>
        <w:pStyle w:val="Heading3"/>
      </w:pPr>
      <w:r w:rsidRPr="00E124E1">
        <w:t>Storm Depth</w:t>
      </w:r>
      <w:r w:rsidR="004A31F7">
        <w:t xml:space="preserve"> and Distribution</w:t>
      </w:r>
    </w:p>
    <w:p w:rsidR="00954142" w:rsidRDefault="00972110" w:rsidP="00972110">
      <w:pPr>
        <w:pStyle w:val="CDMBTEXT"/>
        <w:rPr>
          <w:i/>
        </w:rPr>
      </w:pPr>
      <w:r w:rsidRPr="00311A64">
        <w:t>The 2-yr, 24-hour precipitation depth</w:t>
      </w:r>
      <w:r w:rsidR="00954142">
        <w:t>s</w:t>
      </w:r>
      <w:r w:rsidRPr="00311A64">
        <w:t xml:space="preserve"> specified in the </w:t>
      </w:r>
      <w:hyperlink r:id="rId26" w:history="1">
        <w:r w:rsidR="00463DA7" w:rsidRPr="00126DE5">
          <w:rPr>
            <w:rStyle w:val="Hyperlink"/>
            <w:rFonts w:cs="Arial"/>
            <w:b/>
            <w:color w:val="0070C0"/>
            <w:sz w:val="20"/>
          </w:rPr>
          <w:t>Orange County Hydrology Manual</w:t>
        </w:r>
      </w:hyperlink>
      <w:r w:rsidR="00CF143E">
        <w:t xml:space="preserve"> </w:t>
      </w:r>
      <w:r w:rsidR="00954142" w:rsidRPr="004A31F7">
        <w:t>shall be used for hydrologic analysis of the 2-year, 24-hour storm</w:t>
      </w:r>
      <w:r w:rsidR="00954142">
        <w:rPr>
          <w:i/>
        </w:rPr>
        <w:t xml:space="preserve">.  </w:t>
      </w:r>
    </w:p>
    <w:p w:rsidR="00954142" w:rsidRDefault="00954142" w:rsidP="007D631A">
      <w:pPr>
        <w:pStyle w:val="ListBullet"/>
      </w:pPr>
      <w:r>
        <w:t>F</w:t>
      </w:r>
      <w:r w:rsidR="00972110" w:rsidRPr="00311A64">
        <w:t xml:space="preserve">or drainage areas below 2,000 feet in elevation </w:t>
      </w:r>
      <w:r>
        <w:t>a</w:t>
      </w:r>
      <w:r w:rsidR="00972110" w:rsidRPr="00311A64">
        <w:t xml:space="preserve"> 2.05 storm depth</w:t>
      </w:r>
      <w:r>
        <w:t xml:space="preserve"> shall be used</w:t>
      </w:r>
      <w:r w:rsidR="00972110" w:rsidRPr="00311A64">
        <w:t xml:space="preserve">. </w:t>
      </w:r>
    </w:p>
    <w:p w:rsidR="00954142" w:rsidRDefault="00972110" w:rsidP="007D631A">
      <w:pPr>
        <w:pStyle w:val="ListBullet"/>
      </w:pPr>
      <w:r w:rsidRPr="00311A64">
        <w:t>For drainage areas</w:t>
      </w:r>
      <w:r w:rsidR="00954142">
        <w:t xml:space="preserve"> above 2,000 feet in elevation a 3.81 storm depth shall be used.</w:t>
      </w:r>
    </w:p>
    <w:p w:rsidR="00954142" w:rsidRDefault="00954142" w:rsidP="007D631A">
      <w:pPr>
        <w:pStyle w:val="ListBullet"/>
      </w:pPr>
      <w:r>
        <w:t xml:space="preserve">If the </w:t>
      </w:r>
      <w:hyperlink r:id="rId27" w:history="1">
        <w:r w:rsidR="002F4162" w:rsidRPr="00126DE5">
          <w:rPr>
            <w:rStyle w:val="Hyperlink"/>
            <w:rFonts w:cs="Arial"/>
            <w:b/>
            <w:color w:val="0070C0"/>
            <w:sz w:val="20"/>
          </w:rPr>
          <w:t>Orange County Hydrology Manual</w:t>
        </w:r>
      </w:hyperlink>
      <w:r w:rsidR="002F4162">
        <w:rPr>
          <w:i/>
        </w:rPr>
        <w:t xml:space="preserve"> </w:t>
      </w:r>
      <w:r>
        <w:t>is updated</w:t>
      </w:r>
      <w:r w:rsidR="004A31F7">
        <w:t xml:space="preserve"> over the life of this TGD</w:t>
      </w:r>
      <w:r>
        <w:t>, the updated 2-year, 24-hour storm depths</w:t>
      </w:r>
      <w:r w:rsidR="004A31F7">
        <w:t xml:space="preserve"> contained in the updated </w:t>
      </w:r>
      <w:r w:rsidR="004A31F7" w:rsidRPr="004A31F7">
        <w:rPr>
          <w:i/>
        </w:rPr>
        <w:t>Manual</w:t>
      </w:r>
      <w:r>
        <w:t xml:space="preserve"> shall supersede these depths.</w:t>
      </w:r>
    </w:p>
    <w:p w:rsidR="00972110" w:rsidRDefault="00972110" w:rsidP="00954142">
      <w:pPr>
        <w:pStyle w:val="CDMBTEXT"/>
      </w:pPr>
      <w:r w:rsidRPr="00311A64">
        <w:t>When using the TR-55 method to produce a hydrograph, the user s</w:t>
      </w:r>
      <w:r w:rsidR="00954142">
        <w:t>hall</w:t>
      </w:r>
      <w:r w:rsidRPr="00311A64">
        <w:t xml:space="preserve"> select the</w:t>
      </w:r>
      <w:r w:rsidR="004A31F7">
        <w:t xml:space="preserve"> Type I rainfall distribution. </w:t>
      </w:r>
      <w:r w:rsidRPr="00311A64">
        <w:t xml:space="preserve">When using the </w:t>
      </w:r>
      <w:hyperlink r:id="rId28" w:history="1">
        <w:r w:rsidR="002F4162" w:rsidRPr="00126DE5">
          <w:rPr>
            <w:rStyle w:val="Hyperlink"/>
            <w:rFonts w:cs="Arial"/>
            <w:b/>
            <w:color w:val="0070C0"/>
            <w:sz w:val="20"/>
          </w:rPr>
          <w:t>Orange County Hydrology Manual</w:t>
        </w:r>
      </w:hyperlink>
      <w:r w:rsidRPr="00311A64">
        <w:rPr>
          <w:i/>
        </w:rPr>
        <w:t xml:space="preserve"> </w:t>
      </w:r>
      <w:r w:rsidRPr="00311A64">
        <w:t xml:space="preserve">method, rainfall distribution is imbedded in the WMS-Orange County interface and is provided in the </w:t>
      </w:r>
      <w:hyperlink r:id="rId29" w:history="1">
        <w:r w:rsidR="00647B99" w:rsidRPr="00126DE5">
          <w:rPr>
            <w:rStyle w:val="Hyperlink"/>
            <w:rFonts w:cs="Arial"/>
            <w:b/>
            <w:color w:val="0070C0"/>
            <w:sz w:val="20"/>
          </w:rPr>
          <w:t>Orange County Hydrology Manual</w:t>
        </w:r>
      </w:hyperlink>
      <w:r w:rsidRPr="00311A64">
        <w:t xml:space="preserve"> in Section B.</w:t>
      </w:r>
    </w:p>
    <w:p w:rsidR="00FE3A73" w:rsidRDefault="00BA19FB" w:rsidP="00A52883">
      <w:pPr>
        <w:pStyle w:val="Heading3"/>
      </w:pPr>
      <w:r>
        <w:t xml:space="preserve">Runoff Volume </w:t>
      </w:r>
    </w:p>
    <w:p w:rsidR="004A31F7" w:rsidRDefault="004A31F7" w:rsidP="00BA19FB">
      <w:pPr>
        <w:pStyle w:val="CDMBTEXT"/>
      </w:pPr>
      <w:r>
        <w:t xml:space="preserve">If calculations are performed by hand, the </w:t>
      </w:r>
      <w:r w:rsidR="00BA19FB" w:rsidRPr="00311A64">
        <w:t xml:space="preserve">runoff volumes in the existing and proposed conditions </w:t>
      </w:r>
      <w:r>
        <w:t xml:space="preserve">shall be calculated </w:t>
      </w:r>
      <w:r w:rsidR="00BA19FB" w:rsidRPr="00311A64">
        <w:t xml:space="preserve">using Section C of the </w:t>
      </w:r>
      <w:hyperlink r:id="rId30" w:history="1">
        <w:r w:rsidR="002F4162" w:rsidRPr="00126DE5">
          <w:rPr>
            <w:rStyle w:val="Hyperlink"/>
            <w:rFonts w:cs="Arial"/>
            <w:b/>
            <w:color w:val="0070C0"/>
            <w:sz w:val="20"/>
          </w:rPr>
          <w:t>Orange County Hydrology Manual</w:t>
        </w:r>
      </w:hyperlink>
      <w:r w:rsidR="00BA19FB" w:rsidRPr="00311A64">
        <w:t xml:space="preserve"> or Chapter 2 of the </w:t>
      </w:r>
      <w:hyperlink r:id="rId31" w:history="1">
        <w:r w:rsidRPr="00126DE5">
          <w:rPr>
            <w:rStyle w:val="Hyperlink"/>
            <w:rFonts w:cs="Arial"/>
            <w:b/>
            <w:color w:val="0070C0"/>
            <w:sz w:val="20"/>
          </w:rPr>
          <w:t>TR-55 manual</w:t>
        </w:r>
      </w:hyperlink>
      <w:r>
        <w:t>,</w:t>
      </w:r>
      <w:r w:rsidR="00BA19FB" w:rsidRPr="00311A64">
        <w:t xml:space="preserve"> which have the same basic methodology.  Where inconsistencies (e.g., selection of curve numbers) exist between the two documents, the </w:t>
      </w:r>
      <w:hyperlink r:id="rId32" w:history="1">
        <w:r w:rsidR="002F4162" w:rsidRPr="00126DE5">
          <w:rPr>
            <w:rStyle w:val="Hyperlink"/>
            <w:rFonts w:cs="Arial"/>
            <w:b/>
            <w:color w:val="0070C0"/>
            <w:sz w:val="20"/>
          </w:rPr>
          <w:t>Orange County Hydrology Manual</w:t>
        </w:r>
      </w:hyperlink>
      <w:r w:rsidR="002F4162">
        <w:rPr>
          <w:i/>
        </w:rPr>
        <w:t xml:space="preserve"> </w:t>
      </w:r>
      <w:r w:rsidR="00BA19FB" w:rsidRPr="00311A64">
        <w:t>sh</w:t>
      </w:r>
      <w:r>
        <w:t xml:space="preserve">all take precedence. </w:t>
      </w:r>
      <w:r w:rsidR="003C16B9">
        <w:t xml:space="preserve">For projects less than 5 acres, </w:t>
      </w:r>
      <w:r w:rsidR="003C16B9" w:rsidRPr="00311A64">
        <w:t xml:space="preserve">the difference between runoff volumes in existing and proposed conditions may optionally be calculated using the </w:t>
      </w:r>
      <w:r w:rsidR="003C16B9">
        <w:t xml:space="preserve">simple runoff coefficient method </w:t>
      </w:r>
      <w:r w:rsidR="003C16B9" w:rsidRPr="00311A64">
        <w:t>(</w:t>
      </w:r>
      <w:r w:rsidR="00524D76" w:rsidRPr="00524D76">
        <w:rPr>
          <w:b/>
        </w:rPr>
        <w:t>Appendix</w:t>
      </w:r>
      <w:r w:rsidR="003C16B9">
        <w:t xml:space="preserve"> </w:t>
      </w:r>
      <w:r w:rsidR="00126F3D" w:rsidRPr="00126DE5">
        <w:rPr>
          <w:rFonts w:cs="Arial"/>
          <w:b/>
          <w:color w:val="0070C0"/>
          <w:sz w:val="20"/>
        </w:rPr>
        <w:fldChar w:fldCharType="begin"/>
      </w:r>
      <w:r w:rsidR="003C16B9" w:rsidRPr="00126DE5">
        <w:rPr>
          <w:rFonts w:cs="Arial"/>
          <w:b/>
          <w:color w:val="0070C0"/>
          <w:sz w:val="20"/>
        </w:rPr>
        <w:instrText xml:space="preserve"> REF _Ref285114903 \r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rFonts w:cs="Arial"/>
          <w:b/>
          <w:color w:val="0070C0"/>
          <w:sz w:val="20"/>
        </w:rPr>
        <w:t>III.1.1</w:t>
      </w:r>
      <w:r w:rsidR="00126F3D" w:rsidRPr="00126DE5">
        <w:rPr>
          <w:rFonts w:cs="Arial"/>
          <w:b/>
          <w:color w:val="0070C0"/>
          <w:sz w:val="20"/>
        </w:rPr>
        <w:fldChar w:fldCharType="end"/>
      </w:r>
      <w:r w:rsidR="003C16B9" w:rsidRPr="00311A64">
        <w:t xml:space="preserve">).  This method tends to under-predict runoff that would occur from pervious areas during a relatively large design storm (pervious runoff coefficient = 0.15) and is likely fairly accurate for runoff from impervious areas (impervious runoff coefficient = 0.90).  Therefore, this method tends to result in a larger difference between </w:t>
      </w:r>
      <w:r w:rsidR="003C16B9">
        <w:t>existing</w:t>
      </w:r>
      <w:r w:rsidR="003C16B9" w:rsidRPr="00311A64">
        <w:t xml:space="preserve"> and post-developed runoff coefficient than would be calculated using a </w:t>
      </w:r>
      <w:r w:rsidR="003C16B9">
        <w:t xml:space="preserve">more detailed hydrologic analysis and is therefore acceptable where the project proponent elects not to conduct a more detailed hydrologic analysis. </w:t>
      </w:r>
    </w:p>
    <w:p w:rsidR="00BA19FB" w:rsidRPr="00B53524" w:rsidRDefault="004A31F7" w:rsidP="00BA19FB">
      <w:pPr>
        <w:pStyle w:val="CDMBTEXT"/>
      </w:pPr>
      <w:r>
        <w:t>If runoff calculations are performed with modeling software, the r</w:t>
      </w:r>
      <w:r w:rsidR="00BA19FB" w:rsidRPr="00311A64">
        <w:t xml:space="preserve">unoff volume </w:t>
      </w:r>
      <w:r>
        <w:t xml:space="preserve">shall be taken </w:t>
      </w:r>
      <w:r w:rsidR="00BA19FB" w:rsidRPr="00311A64">
        <w:t>as an output of the WM</w:t>
      </w:r>
      <w:r>
        <w:t>S-Orange County, WinTR-55, or HEC-HMS models.  I</w:t>
      </w:r>
      <w:r w:rsidR="00BA19FB" w:rsidRPr="00311A64">
        <w:t xml:space="preserve">nput selection for these models </w:t>
      </w:r>
      <w:r>
        <w:t xml:space="preserve">shall be consistent with the recommendations found </w:t>
      </w:r>
      <w:r w:rsidRPr="00311A64">
        <w:t xml:space="preserve">Section C of the </w:t>
      </w:r>
      <w:hyperlink r:id="rId33" w:history="1">
        <w:r w:rsidR="002F4162" w:rsidRPr="00126DE5">
          <w:rPr>
            <w:rStyle w:val="Hyperlink"/>
            <w:rFonts w:cs="Arial"/>
            <w:b/>
            <w:color w:val="0070C0"/>
            <w:sz w:val="20"/>
          </w:rPr>
          <w:t>Orange County Hydrology Manual</w:t>
        </w:r>
      </w:hyperlink>
      <w:r w:rsidR="002F4162">
        <w:rPr>
          <w:i/>
        </w:rPr>
        <w:t xml:space="preserve"> </w:t>
      </w:r>
      <w:r w:rsidRPr="00311A64">
        <w:t>or</w:t>
      </w:r>
      <w:r w:rsidR="002F4162">
        <w:t xml:space="preserve"> the </w:t>
      </w:r>
      <w:hyperlink r:id="rId34" w:history="1">
        <w:r w:rsidR="002F4162" w:rsidRPr="00126DE5">
          <w:rPr>
            <w:rStyle w:val="Hyperlink"/>
            <w:rFonts w:cs="Arial"/>
            <w:b/>
            <w:color w:val="0070C0"/>
            <w:sz w:val="20"/>
          </w:rPr>
          <w:t>WinTR-55 Users Guide</w:t>
        </w:r>
      </w:hyperlink>
      <w:r w:rsidR="00BA19FB" w:rsidRPr="00311A64">
        <w:t>.</w:t>
      </w:r>
      <w:r w:rsidR="002F4162">
        <w:t xml:space="preserve"> </w:t>
      </w:r>
      <w:r w:rsidR="002F4162" w:rsidRPr="00311A64">
        <w:t xml:space="preserve">Where inconsistencies (e.g., selection of curve numbers) exist between the two documents, the </w:t>
      </w:r>
      <w:hyperlink r:id="rId35" w:history="1">
        <w:r w:rsidR="002F4162" w:rsidRPr="00126DE5">
          <w:rPr>
            <w:rStyle w:val="Hyperlink"/>
            <w:rFonts w:cs="Arial"/>
            <w:b/>
            <w:color w:val="0070C0"/>
            <w:sz w:val="20"/>
          </w:rPr>
          <w:t>Orange County Hydrology Manual</w:t>
        </w:r>
      </w:hyperlink>
      <w:r w:rsidR="002F4162" w:rsidRPr="00311A64">
        <w:t xml:space="preserve"> sh</w:t>
      </w:r>
      <w:r w:rsidR="002F4162">
        <w:t>all take precedence.</w:t>
      </w:r>
    </w:p>
    <w:p w:rsidR="00BA19FB" w:rsidRPr="00BA19FB" w:rsidRDefault="00BA19FB" w:rsidP="00BA19FB">
      <w:pPr>
        <w:pStyle w:val="CDMBTEXT"/>
      </w:pPr>
      <w:r w:rsidRPr="00311A64">
        <w:t>When evaluating the effect of retention BMPs on proposed condition runoff volume, volume reduction s</w:t>
      </w:r>
      <w:r w:rsidR="002F4162">
        <w:t xml:space="preserve">hall </w:t>
      </w:r>
      <w:r w:rsidRPr="00311A64">
        <w:t>be calculated as the volume that is infiltrated, evapotranspired, or used (i.e., drawn down) over a period of 48 hours, starting at the BMP brim full capacity. Volume treated and discharged to surface water s</w:t>
      </w:r>
      <w:r w:rsidR="002F4162">
        <w:t>hall</w:t>
      </w:r>
      <w:r w:rsidRPr="00311A64">
        <w:t xml:space="preserve"> not be considered in this calculation.  The volume reduction sh</w:t>
      </w:r>
      <w:r w:rsidR="002F4162">
        <w:t>all</w:t>
      </w:r>
      <w:r w:rsidRPr="00311A64">
        <w:t xml:space="preserve"> not be greater than the total retention volume in the BMP.</w:t>
      </w:r>
      <w:r w:rsidR="00647B99">
        <w:t xml:space="preserve"> </w:t>
      </w:r>
    </w:p>
    <w:p w:rsidR="00FE3A73" w:rsidRDefault="000446A6" w:rsidP="00A52883">
      <w:pPr>
        <w:pStyle w:val="Heading3"/>
      </w:pPr>
      <w:r>
        <w:t>Peak Runoff Flowrate</w:t>
      </w:r>
    </w:p>
    <w:p w:rsidR="002F4162" w:rsidRDefault="000446A6" w:rsidP="00972110">
      <w:pPr>
        <w:pStyle w:val="CDMBTEXT"/>
      </w:pPr>
      <w:r w:rsidRPr="00311A64">
        <w:t xml:space="preserve">Peak runoff flowrate </w:t>
      </w:r>
      <w:r w:rsidR="002F4162">
        <w:t>shall be</w:t>
      </w:r>
      <w:r w:rsidRPr="00311A64">
        <w:t xml:space="preserve"> calculated using</w:t>
      </w:r>
      <w:r w:rsidR="002F4162">
        <w:t xml:space="preserve"> </w:t>
      </w:r>
      <w:r w:rsidR="005C76CE">
        <w:t xml:space="preserve">one of </w:t>
      </w:r>
      <w:r w:rsidR="002F4162">
        <w:t>the following methods depending on watershed size:</w:t>
      </w:r>
    </w:p>
    <w:p w:rsidR="002F4162" w:rsidRDefault="002F4162" w:rsidP="00972110">
      <w:pPr>
        <w:pStyle w:val="CDMBTEXT"/>
      </w:pPr>
      <w:r>
        <w:t>The</w:t>
      </w:r>
      <w:r w:rsidR="000446A6" w:rsidRPr="00311A64">
        <w:t xml:space="preserve"> Rational Method described in Section D of the </w:t>
      </w:r>
      <w:hyperlink r:id="rId36" w:history="1">
        <w:r w:rsidRPr="00126DE5">
          <w:rPr>
            <w:rStyle w:val="Hyperlink"/>
            <w:rFonts w:cs="Arial"/>
            <w:b/>
            <w:color w:val="0070C0"/>
            <w:sz w:val="20"/>
          </w:rPr>
          <w:t>Orange County Hydrology Manual</w:t>
        </w:r>
      </w:hyperlink>
      <w:r w:rsidR="000446A6" w:rsidRPr="00311A64">
        <w:rPr>
          <w:i/>
        </w:rPr>
        <w:t xml:space="preserve"> </w:t>
      </w:r>
      <w:r w:rsidRPr="002F4162">
        <w:t xml:space="preserve">shall be used for </w:t>
      </w:r>
      <w:r w:rsidR="000446A6" w:rsidRPr="00311A64">
        <w:t>drainage areas less than 1 square mile (640 acres)</w:t>
      </w:r>
      <w:r w:rsidR="00647B99">
        <w:t xml:space="preserve">. For </w:t>
      </w:r>
      <w:r w:rsidR="005C76CE">
        <w:t xml:space="preserve">redevelopment projects less than 5 acres, the simplified runoff coefficient method described in </w:t>
      </w:r>
      <w:r w:rsidR="00524D76" w:rsidRPr="00524D76">
        <w:rPr>
          <w:b/>
        </w:rPr>
        <w:t>Appendix</w:t>
      </w:r>
      <w:r w:rsidR="005C76CE">
        <w:t xml:space="preserve"> </w:t>
      </w:r>
      <w:r w:rsidR="00126F3D" w:rsidRPr="00126DE5">
        <w:rPr>
          <w:b/>
          <w:color w:val="0070C0"/>
          <w:sz w:val="20"/>
        </w:rPr>
        <w:fldChar w:fldCharType="begin"/>
      </w:r>
      <w:r w:rsidR="005C76CE" w:rsidRPr="00126DE5">
        <w:rPr>
          <w:b/>
          <w:color w:val="0070C0"/>
          <w:sz w:val="20"/>
        </w:rPr>
        <w:instrText xml:space="preserve"> REF _Ref285372773 \r \h </w:instrText>
      </w:r>
      <w:r w:rsidR="00126F3D" w:rsidRPr="00126DE5">
        <w:rPr>
          <w:b/>
          <w:color w:val="0070C0"/>
          <w:sz w:val="20"/>
        </w:rPr>
      </w:r>
      <w:r w:rsidR="00126F3D" w:rsidRPr="00126DE5">
        <w:rPr>
          <w:b/>
          <w:color w:val="0070C0"/>
          <w:sz w:val="20"/>
        </w:rPr>
        <w:fldChar w:fldCharType="separate"/>
      </w:r>
      <w:r w:rsidR="00126DE5" w:rsidRPr="00126DE5">
        <w:rPr>
          <w:b/>
          <w:color w:val="0070C0"/>
          <w:sz w:val="20"/>
        </w:rPr>
        <w:t>III.1.2</w:t>
      </w:r>
      <w:r w:rsidR="00126F3D" w:rsidRPr="00126DE5">
        <w:rPr>
          <w:b/>
          <w:color w:val="0070C0"/>
          <w:sz w:val="20"/>
        </w:rPr>
        <w:fldChar w:fldCharType="end"/>
      </w:r>
      <w:r w:rsidR="005C76CE">
        <w:t xml:space="preserve"> can be used to compute the runoff coefficient for rational method calculations.  </w:t>
      </w:r>
    </w:p>
    <w:p w:rsidR="002F4162" w:rsidRDefault="002F4162" w:rsidP="00972110">
      <w:pPr>
        <w:pStyle w:val="CDMBTEXT"/>
      </w:pPr>
      <w:r>
        <w:t>The</w:t>
      </w:r>
      <w:r w:rsidR="000446A6" w:rsidRPr="00311A64">
        <w:t xml:space="preserve"> Unit Hydrograph Method described in Section E </w:t>
      </w:r>
      <w:r w:rsidRPr="00311A64">
        <w:t xml:space="preserve">of the </w:t>
      </w:r>
      <w:hyperlink r:id="rId37" w:history="1">
        <w:r w:rsidRPr="00126DE5">
          <w:rPr>
            <w:rStyle w:val="Hyperlink"/>
            <w:rFonts w:cs="Arial"/>
            <w:b/>
            <w:color w:val="0070C0"/>
            <w:sz w:val="20"/>
          </w:rPr>
          <w:t>Orange County Hydrology Manual</w:t>
        </w:r>
      </w:hyperlink>
      <w:r w:rsidRPr="00311A64">
        <w:rPr>
          <w:i/>
        </w:rPr>
        <w:t xml:space="preserve"> </w:t>
      </w:r>
      <w:r w:rsidRPr="002F4162">
        <w:t>shall be used for</w:t>
      </w:r>
      <w:r w:rsidRPr="00311A64">
        <w:t xml:space="preserve"> </w:t>
      </w:r>
      <w:r w:rsidR="000446A6" w:rsidRPr="00311A64">
        <w:t xml:space="preserve">drainage areas greater than or equal to 1 square mile.  </w:t>
      </w:r>
    </w:p>
    <w:p w:rsidR="00E124E1" w:rsidRDefault="000446A6" w:rsidP="00972110">
      <w:pPr>
        <w:pStyle w:val="CDMBTEXT"/>
      </w:pPr>
      <w:r w:rsidRPr="00311A64">
        <w:t xml:space="preserve">Alternatively, peak flowrate </w:t>
      </w:r>
      <w:r w:rsidR="002F4162">
        <w:t>shall</w:t>
      </w:r>
      <w:r w:rsidRPr="00311A64">
        <w:t xml:space="preserve"> be calculated using the Graphical Peak Discharge Method described in Chapter 4 of the </w:t>
      </w:r>
      <w:hyperlink r:id="rId38" w:history="1">
        <w:r w:rsidR="002F4162" w:rsidRPr="00126DE5">
          <w:rPr>
            <w:rStyle w:val="Hyperlink"/>
            <w:rFonts w:cs="Arial"/>
            <w:b/>
            <w:color w:val="0070C0"/>
            <w:sz w:val="20"/>
          </w:rPr>
          <w:t>TR-55 manual</w:t>
        </w:r>
      </w:hyperlink>
      <w:r w:rsidR="002F4162">
        <w:t xml:space="preserve"> </w:t>
      </w:r>
      <w:r w:rsidRPr="00311A64">
        <w:t>or the Tabular Hydrograph Method described in Chapter 5 of the same document.  When evaluating the effect of BMPs on the proposed condition peak runoff flowrate, the effect of the BMP should be estimated using one of the aforementioned modeling programs because hand calculations are not ideal for the routing analyses required.</w:t>
      </w:r>
    </w:p>
    <w:p w:rsidR="00ED7163" w:rsidRDefault="00126F3D" w:rsidP="00972110">
      <w:pPr>
        <w:pStyle w:val="CDMBTEXT"/>
      </w:pPr>
      <w:r w:rsidRPr="00126DE5">
        <w:rPr>
          <w:b/>
          <w:color w:val="0070C0"/>
          <w:sz w:val="20"/>
        </w:rPr>
        <w:fldChar w:fldCharType="begin"/>
      </w:r>
      <w:r w:rsidR="00DD3853" w:rsidRPr="00126DE5">
        <w:rPr>
          <w:b/>
          <w:color w:val="0070C0"/>
          <w:sz w:val="20"/>
        </w:rPr>
        <w:instrText xml:space="preserve"> REF _Ref287621246 \h </w:instrText>
      </w:r>
      <w:r w:rsidRPr="00126DE5">
        <w:rPr>
          <w:b/>
          <w:color w:val="0070C0"/>
          <w:sz w:val="20"/>
        </w:rPr>
      </w:r>
      <w:r w:rsidRPr="00126DE5">
        <w:rPr>
          <w:b/>
          <w:color w:val="0070C0"/>
          <w:sz w:val="20"/>
        </w:rPr>
        <w:fldChar w:fldCharType="separate"/>
      </w:r>
      <w:r w:rsidR="00126DE5" w:rsidRPr="00126DE5">
        <w:rPr>
          <w:b/>
          <w:color w:val="0070C0"/>
        </w:rPr>
        <w:t xml:space="preserve">Example </w:t>
      </w:r>
      <w:r w:rsidR="00126DE5" w:rsidRPr="00126DE5">
        <w:rPr>
          <w:b/>
          <w:noProof/>
          <w:color w:val="0070C0"/>
        </w:rPr>
        <w:t>IV</w:t>
      </w:r>
      <w:r w:rsidR="00126DE5" w:rsidRPr="00126DE5">
        <w:rPr>
          <w:b/>
          <w:color w:val="0070C0"/>
        </w:rPr>
        <w:t>.</w:t>
      </w:r>
      <w:r w:rsidR="00126DE5" w:rsidRPr="00126DE5">
        <w:rPr>
          <w:b/>
          <w:noProof/>
          <w:color w:val="0070C0"/>
        </w:rPr>
        <w:t>1</w:t>
      </w:r>
      <w:r w:rsidRPr="00126DE5">
        <w:rPr>
          <w:b/>
          <w:color w:val="0070C0"/>
          <w:sz w:val="20"/>
        </w:rPr>
        <w:fldChar w:fldCharType="end"/>
      </w:r>
      <w:r w:rsidR="00DD3853">
        <w:t xml:space="preserve"> </w:t>
      </w:r>
      <w:r w:rsidR="00497E2A">
        <w:t>provides an example runoff volume and peak flow calculation for a simple project using WinTR-55. This example is not intended to be exhaustive of the methods that could be used to calculate runoff volume and peak flow.</w:t>
      </w:r>
    </w:p>
    <w:p w:rsidR="0013104B" w:rsidRDefault="0013104B" w:rsidP="00A52883">
      <w:pPr>
        <w:pStyle w:val="Heading2"/>
      </w:pPr>
      <w:bookmarkStart w:id="275" w:name="_Toc285002591"/>
      <w:bookmarkStart w:id="276" w:name="_Toc285002680"/>
      <w:bookmarkStart w:id="277" w:name="_Toc285002775"/>
      <w:bookmarkStart w:id="278" w:name="_Toc285308135"/>
      <w:bookmarkStart w:id="279" w:name="_Toc285315731"/>
      <w:bookmarkStart w:id="280" w:name="_Ref285399420"/>
      <w:bookmarkStart w:id="281" w:name="_Ref285399892"/>
      <w:bookmarkStart w:id="282" w:name="_Ref285400004"/>
      <w:bookmarkStart w:id="283" w:name="_Toc285492450"/>
      <w:bookmarkStart w:id="284" w:name="_Ref285569131"/>
      <w:bookmarkStart w:id="285" w:name="_Ref285570227"/>
      <w:bookmarkStart w:id="286" w:name="_Toc288541063"/>
      <w:bookmarkStart w:id="287" w:name="_Toc293937126"/>
      <w:bookmarkEnd w:id="275"/>
      <w:bookmarkEnd w:id="276"/>
      <w:bookmarkEnd w:id="277"/>
      <w:r>
        <w:t>Hydrologic Method for Time of Concentration</w:t>
      </w:r>
      <w:bookmarkEnd w:id="278"/>
      <w:bookmarkEnd w:id="279"/>
      <w:bookmarkEnd w:id="280"/>
      <w:bookmarkEnd w:id="281"/>
      <w:bookmarkEnd w:id="282"/>
      <w:bookmarkEnd w:id="283"/>
      <w:bookmarkEnd w:id="284"/>
      <w:bookmarkEnd w:id="285"/>
      <w:bookmarkEnd w:id="286"/>
      <w:bookmarkEnd w:id="287"/>
    </w:p>
    <w:p w:rsidR="002F4162" w:rsidRDefault="00A55340" w:rsidP="00A55340">
      <w:pPr>
        <w:pStyle w:val="CDMBTEXT"/>
      </w:pPr>
      <w:r w:rsidRPr="00311A64">
        <w:t>Time of concentration (</w:t>
      </w:r>
      <w:proofErr w:type="gramStart"/>
      <w:r w:rsidRPr="00311A64">
        <w:t>T</w:t>
      </w:r>
      <w:r w:rsidRPr="00B53524">
        <w:rPr>
          <w:vertAlign w:val="subscript"/>
        </w:rPr>
        <w:t>c</w:t>
      </w:r>
      <w:r w:rsidRPr="00311A64">
        <w:t xml:space="preserve"> )</w:t>
      </w:r>
      <w:proofErr w:type="gramEnd"/>
      <w:r w:rsidRPr="00311A64">
        <w:t xml:space="preserve"> </w:t>
      </w:r>
      <w:r w:rsidR="002F4162">
        <w:t>shall</w:t>
      </w:r>
      <w:r w:rsidRPr="00311A64">
        <w:t xml:space="preserve"> be calculated</w:t>
      </w:r>
      <w:r w:rsidR="002F4162">
        <w:t xml:space="preserve"> using one of the following approved methods:</w:t>
      </w:r>
    </w:p>
    <w:p w:rsidR="00463DA7" w:rsidRDefault="002F4162" w:rsidP="00A55340">
      <w:pPr>
        <w:pStyle w:val="CDMBTEXT"/>
      </w:pPr>
      <w:r>
        <w:t xml:space="preserve">If computing by hand, the </w:t>
      </w:r>
      <w:r w:rsidR="00A55340" w:rsidRPr="00311A64">
        <w:t xml:space="preserve">methods described in Section D of the </w:t>
      </w:r>
      <w:hyperlink r:id="rId39" w:history="1">
        <w:r w:rsidRPr="00126DE5">
          <w:rPr>
            <w:rStyle w:val="Hyperlink"/>
            <w:rFonts w:cs="Arial"/>
            <w:b/>
            <w:color w:val="0070C0"/>
            <w:sz w:val="20"/>
          </w:rPr>
          <w:t>Orange County Hydrology Manual</w:t>
        </w:r>
      </w:hyperlink>
      <w:r w:rsidR="00A55340" w:rsidRPr="00311A64">
        <w:t xml:space="preserve"> or the </w:t>
      </w:r>
      <w:hyperlink r:id="rId40" w:history="1">
        <w:r w:rsidR="00A55340" w:rsidRPr="00126DE5">
          <w:rPr>
            <w:rStyle w:val="Hyperlink"/>
            <w:rFonts w:cs="Arial"/>
            <w:b/>
            <w:color w:val="0070C0"/>
            <w:sz w:val="20"/>
          </w:rPr>
          <w:t>TR-55 manual</w:t>
        </w:r>
      </w:hyperlink>
      <w:r>
        <w:rPr>
          <w:b/>
          <w:color w:val="0070C0"/>
        </w:rPr>
        <w:t xml:space="preserve"> </w:t>
      </w:r>
      <w:r w:rsidRPr="002F4162">
        <w:t>shall be used</w:t>
      </w:r>
      <w:r w:rsidR="00A55340" w:rsidRPr="002F4162">
        <w:t>.</w:t>
      </w:r>
      <w:r w:rsidR="00A55340" w:rsidRPr="00311A64">
        <w:t xml:space="preserve">  The Orange County method entails summing the initial time of concentration, based on a nomograph, with the subsequent time it takes to pass flow through downstream conveyances.  The TR-55 method sums the travel times for sheet flow, shallow concentrated flow, and channel flow for a given flow path.  </w:t>
      </w:r>
    </w:p>
    <w:p w:rsidR="00463DA7" w:rsidRDefault="00463DA7" w:rsidP="00A55340">
      <w:pPr>
        <w:pStyle w:val="CDMBTEXT"/>
      </w:pPr>
      <w:r>
        <w:t xml:space="preserve">If using a modeling tool, the </w:t>
      </w:r>
      <w:r w:rsidR="00A55340" w:rsidRPr="00311A64">
        <w:t>WinTR-55</w:t>
      </w:r>
      <w:r>
        <w:t xml:space="preserve"> model is the only tool that provides an acceptable model-calculated method of </w:t>
      </w:r>
      <w:r w:rsidR="00A55340" w:rsidRPr="00311A64">
        <w:t>calculating T</w:t>
      </w:r>
      <w:r>
        <w:t>c through its</w:t>
      </w:r>
      <w:r w:rsidRPr="00463DA7">
        <w:t xml:space="preserve"> </w:t>
      </w:r>
      <w:r w:rsidRPr="00311A64">
        <w:t xml:space="preserve">Time of </w:t>
      </w:r>
      <w:r>
        <w:t>Concentration Details window</w:t>
      </w:r>
      <w:r w:rsidR="00F27F12">
        <w:t>.</w:t>
      </w:r>
      <w:r>
        <w:t xml:space="preserve">  The inputs provided to this window shall be per guidance contained in the </w:t>
      </w:r>
      <w:hyperlink r:id="rId41" w:history="1">
        <w:r w:rsidRPr="00126DE5">
          <w:rPr>
            <w:rStyle w:val="Hyperlink"/>
            <w:rFonts w:cs="Arial"/>
            <w:b/>
            <w:color w:val="0070C0"/>
            <w:sz w:val="20"/>
          </w:rPr>
          <w:t>Orange County Hydrology Manual</w:t>
        </w:r>
      </w:hyperlink>
      <w:r w:rsidRPr="00311A64">
        <w:t xml:space="preserve"> or the </w:t>
      </w:r>
      <w:hyperlink r:id="rId42" w:history="1">
        <w:r w:rsidRPr="00126DE5">
          <w:rPr>
            <w:rStyle w:val="Hyperlink"/>
            <w:rFonts w:cs="Arial"/>
            <w:b/>
            <w:color w:val="0070C0"/>
            <w:sz w:val="20"/>
          </w:rPr>
          <w:t>TR-55 manual</w:t>
        </w:r>
      </w:hyperlink>
      <w:r w:rsidR="00F27F12">
        <w:t xml:space="preserve"> </w:t>
      </w:r>
      <w:r>
        <w:t xml:space="preserve">and shall be submitted with the Project WQMP documentation.  </w:t>
      </w:r>
    </w:p>
    <w:p w:rsidR="00A55340" w:rsidRPr="00B53524" w:rsidRDefault="00463DA7" w:rsidP="00A55340">
      <w:pPr>
        <w:pStyle w:val="CDMBTEXT"/>
      </w:pPr>
      <w:r w:rsidRPr="00311A64">
        <w:t>WMS-Orange County will help the user estimate the Tc of a subarea when using the GIS interface or it can be entered manually.</w:t>
      </w:r>
      <w:r>
        <w:t xml:space="preserve">  </w:t>
      </w:r>
      <w:r w:rsidR="00A55340" w:rsidRPr="00311A64">
        <w:t>HEC-HMS does not assist the user in estimating Tc and its transform input parameter is actually lag time, which is 0.6 times the Tc, according to an empirical relationship developed by the Natural Resource Conservation Service (NRCS).</w:t>
      </w:r>
      <w:r>
        <w:t xml:space="preserve">  The use of these models </w:t>
      </w:r>
      <w:r w:rsidR="003C16B9">
        <w:t>must be</w:t>
      </w:r>
      <w:r>
        <w:t xml:space="preserve"> supported by hand calculations of </w:t>
      </w:r>
      <w:r w:rsidRPr="002365B9">
        <w:t>T</w:t>
      </w:r>
      <w:r w:rsidRPr="002365B9">
        <w:rPr>
          <w:vertAlign w:val="subscript"/>
        </w:rPr>
        <w:t>c</w:t>
      </w:r>
      <w:r>
        <w:t xml:space="preserve"> per criteria above.</w:t>
      </w:r>
    </w:p>
    <w:p w:rsidR="00463DA7" w:rsidRDefault="00A55340" w:rsidP="00A55340">
      <w:pPr>
        <w:pStyle w:val="CDMBTEXT"/>
      </w:pPr>
      <w:r w:rsidRPr="00311A64">
        <w:t xml:space="preserve">When evaluating the effect of </w:t>
      </w:r>
      <w:r w:rsidR="00463DA7">
        <w:t xml:space="preserve">storage and treatment </w:t>
      </w:r>
      <w:r w:rsidRPr="00311A64">
        <w:t xml:space="preserve">BMPs on </w:t>
      </w:r>
      <w:r w:rsidR="00463DA7">
        <w:t xml:space="preserve">the </w:t>
      </w:r>
      <w:r w:rsidRPr="00311A64">
        <w:t xml:space="preserve">proposed condition time of concentration, </w:t>
      </w:r>
      <w:r w:rsidR="00463DA7">
        <w:t xml:space="preserve">the </w:t>
      </w:r>
      <w:r w:rsidRPr="00311A64">
        <w:t xml:space="preserve">BMP </w:t>
      </w:r>
      <w:r w:rsidR="00463DA7">
        <w:t xml:space="preserve">lag </w:t>
      </w:r>
      <w:r w:rsidRPr="00311A64">
        <w:t>component of T</w:t>
      </w:r>
      <w:r w:rsidRPr="00311A64">
        <w:rPr>
          <w:vertAlign w:val="subscript"/>
        </w:rPr>
        <w:t>c</w:t>
      </w:r>
      <w:r w:rsidRPr="00311A64">
        <w:t xml:space="preserve"> </w:t>
      </w:r>
      <w:r w:rsidR="00463DA7">
        <w:t>shall</w:t>
      </w:r>
      <w:r w:rsidRPr="00311A64">
        <w:t xml:space="preserve"> be estimated as the time requir</w:t>
      </w:r>
      <w:r w:rsidR="00463DA7">
        <w:t>ed for the BMP to being discharging to the downstream receiving water</w:t>
      </w:r>
      <w:r w:rsidRPr="00311A64">
        <w:t xml:space="preserve"> </w:t>
      </w:r>
      <w:r w:rsidR="00463DA7">
        <w:t xml:space="preserve">during </w:t>
      </w:r>
      <w:r w:rsidRPr="00311A64">
        <w:t>the design storm simulation.</w:t>
      </w:r>
      <w:r w:rsidR="00987028">
        <w:t xml:space="preserve">  </w:t>
      </w:r>
      <w:r w:rsidR="003C16B9">
        <w:t>This can be calculated by (1) determining the volume the BMP can receive before it begins to discharge, (2) plotting the post-developed runoff hydrograph  for the 2-year, 24-hour storm event, and (3) by determining the time on the hydrograph at which the cumulate volume exceeds the volume calculated in step 1.</w:t>
      </w:r>
    </w:p>
    <w:p w:rsidR="00497E2A" w:rsidRDefault="00126F3D" w:rsidP="00A55340">
      <w:pPr>
        <w:pStyle w:val="CDMBTEXT"/>
      </w:pPr>
      <w:r w:rsidRPr="00126DE5">
        <w:rPr>
          <w:b/>
          <w:color w:val="0070C0"/>
          <w:sz w:val="20"/>
        </w:rPr>
        <w:fldChar w:fldCharType="begin"/>
      </w:r>
      <w:r w:rsidR="00ED7163" w:rsidRPr="00126DE5">
        <w:rPr>
          <w:b/>
          <w:color w:val="0070C0"/>
          <w:sz w:val="20"/>
        </w:rPr>
        <w:instrText xml:space="preserve"> REF _Ref287621246 \h </w:instrText>
      </w:r>
      <w:r w:rsidRPr="00126DE5">
        <w:rPr>
          <w:b/>
          <w:color w:val="0070C0"/>
          <w:sz w:val="20"/>
        </w:rPr>
      </w:r>
      <w:r w:rsidRPr="00126DE5">
        <w:rPr>
          <w:b/>
          <w:color w:val="0070C0"/>
          <w:sz w:val="20"/>
        </w:rPr>
        <w:fldChar w:fldCharType="separate"/>
      </w:r>
      <w:r w:rsidR="00126DE5" w:rsidRPr="00126DE5">
        <w:rPr>
          <w:b/>
          <w:color w:val="0070C0"/>
        </w:rPr>
        <w:t xml:space="preserve">Example </w:t>
      </w:r>
      <w:r w:rsidR="00126DE5" w:rsidRPr="00126DE5">
        <w:rPr>
          <w:b/>
          <w:noProof/>
          <w:color w:val="0070C0"/>
        </w:rPr>
        <w:t>IV</w:t>
      </w:r>
      <w:r w:rsidR="00126DE5" w:rsidRPr="00126DE5">
        <w:rPr>
          <w:b/>
          <w:color w:val="0070C0"/>
        </w:rPr>
        <w:t>.</w:t>
      </w:r>
      <w:r w:rsidR="00126DE5" w:rsidRPr="00126DE5">
        <w:rPr>
          <w:b/>
          <w:noProof/>
          <w:color w:val="0070C0"/>
        </w:rPr>
        <w:t>1</w:t>
      </w:r>
      <w:r w:rsidRPr="00126DE5">
        <w:rPr>
          <w:b/>
          <w:color w:val="0070C0"/>
          <w:sz w:val="20"/>
        </w:rPr>
        <w:fldChar w:fldCharType="end"/>
      </w:r>
      <w:r w:rsidR="00ED7163">
        <w:t xml:space="preserve"> </w:t>
      </w:r>
      <w:r w:rsidR="00497E2A">
        <w:t xml:space="preserve">provides an example time of concentration calculation for a simple project using the </w:t>
      </w:r>
      <w:r w:rsidR="00497E2A" w:rsidRPr="002365B9">
        <w:t>T</w:t>
      </w:r>
      <w:r w:rsidR="00497E2A" w:rsidRPr="002365B9">
        <w:rPr>
          <w:vertAlign w:val="subscript"/>
        </w:rPr>
        <w:t>c</w:t>
      </w:r>
      <w:r w:rsidR="00497E2A">
        <w:t xml:space="preserve"> window in WinTR-55. This example is not intended to be exhaustive of the methods that could be used to calculate </w:t>
      </w:r>
      <w:r w:rsidR="00497E2A" w:rsidRPr="002365B9">
        <w:t>T</w:t>
      </w:r>
      <w:r w:rsidR="00497E2A" w:rsidRPr="002365B9">
        <w:rPr>
          <w:vertAlign w:val="subscript"/>
        </w:rPr>
        <w:t>c</w:t>
      </w:r>
      <w:r w:rsidR="00497E2A">
        <w:t>.</w:t>
      </w:r>
    </w:p>
    <w:p w:rsidR="00DD3853" w:rsidRDefault="00DD3853" w:rsidP="00A52883">
      <w:pPr>
        <w:pStyle w:val="Heading2"/>
      </w:pPr>
      <w:bookmarkStart w:id="288" w:name="_Toc288541064"/>
      <w:bookmarkStart w:id="289" w:name="_Toc293937127"/>
      <w:r>
        <w:t>Hydrologic Calculation Examples with WinTR-55</w:t>
      </w:r>
      <w:bookmarkEnd w:id="288"/>
      <w:bookmarkEnd w:id="289"/>
    </w:p>
    <w:p w:rsidR="00DD3853" w:rsidRPr="007A343A" w:rsidRDefault="00DD3853" w:rsidP="0027571A">
      <w:pPr>
        <w:pStyle w:val="ExampleHeading"/>
      </w:pPr>
      <w:bookmarkStart w:id="290" w:name="_Ref287621246"/>
      <w:bookmarkStart w:id="291" w:name="_Toc288541065"/>
      <w:bookmarkStart w:id="292" w:name="_Toc288554448"/>
      <w:proofErr w:type="gramStart"/>
      <w:r w:rsidRPr="007A343A">
        <w:t xml:space="preserve">Example </w:t>
      </w:r>
      <w:r w:rsidR="00126F3D" w:rsidRPr="00126DE5">
        <w:rPr>
          <w:color w:val="0070C0"/>
        </w:rPr>
        <w:fldChar w:fldCharType="begin"/>
      </w:r>
      <w:r w:rsidR="003F38A8" w:rsidRPr="00126DE5">
        <w:rPr>
          <w:color w:val="0070C0"/>
        </w:rPr>
        <w:instrText xml:space="preserve"> STYLEREF 1 \s </w:instrText>
      </w:r>
      <w:r w:rsidR="00126F3D" w:rsidRPr="00126DE5">
        <w:rPr>
          <w:color w:val="0070C0"/>
        </w:rPr>
        <w:fldChar w:fldCharType="separate"/>
      </w:r>
      <w:r w:rsidR="00126DE5" w:rsidRPr="00126DE5">
        <w:rPr>
          <w:noProof/>
          <w:color w:val="0070C0"/>
        </w:rPr>
        <w:t>IV</w:t>
      </w:r>
      <w:r w:rsidR="00126F3D" w:rsidRPr="00126DE5">
        <w:rPr>
          <w:color w:val="0070C0"/>
        </w:rPr>
        <w:fldChar w:fldCharType="end"/>
      </w:r>
      <w:r w:rsidRPr="007A343A">
        <w:t>.</w:t>
      </w:r>
      <w:proofErr w:type="gramEnd"/>
      <w:r w:rsidR="00126F3D" w:rsidRPr="00126DE5">
        <w:rPr>
          <w:color w:val="0070C0"/>
        </w:rPr>
        <w:fldChar w:fldCharType="begin"/>
      </w:r>
      <w:r w:rsidR="00D60236" w:rsidRPr="00126DE5">
        <w:rPr>
          <w:color w:val="0070C0"/>
        </w:rPr>
        <w:instrText xml:space="preserve"> SEQ Example \* ARABIC \s 1 </w:instrText>
      </w:r>
      <w:r w:rsidR="00126F3D" w:rsidRPr="00126DE5">
        <w:rPr>
          <w:color w:val="0070C0"/>
        </w:rPr>
        <w:fldChar w:fldCharType="separate"/>
      </w:r>
      <w:r w:rsidR="00126DE5" w:rsidRPr="00126DE5">
        <w:rPr>
          <w:noProof/>
          <w:color w:val="0070C0"/>
        </w:rPr>
        <w:t>1</w:t>
      </w:r>
      <w:r w:rsidR="00126F3D" w:rsidRPr="00126DE5">
        <w:rPr>
          <w:color w:val="0070C0"/>
        </w:rPr>
        <w:fldChar w:fldCharType="end"/>
      </w:r>
      <w:bookmarkEnd w:id="290"/>
      <w:r w:rsidRPr="007A343A">
        <w:t>: Computing Volume and Peak Flowrate Using WinTR-55</w:t>
      </w:r>
      <w:bookmarkEnd w:id="291"/>
      <w:bookmarkEnd w:id="292"/>
    </w:p>
    <w:p w:rsidR="00DD3853" w:rsidRPr="00B53524" w:rsidRDefault="00DD3853" w:rsidP="00DD3853">
      <w:pPr>
        <w:pStyle w:val="ExampleSubheading"/>
        <w:outlineLvl w:val="0"/>
      </w:pPr>
      <w:r w:rsidRPr="00311A64">
        <w:t>Given:</w:t>
      </w:r>
    </w:p>
    <w:p w:rsidR="00DD3853" w:rsidRDefault="00DD3853" w:rsidP="009531AF">
      <w:pPr>
        <w:pStyle w:val="ExampleBullets"/>
        <w:keepNext/>
        <w:numPr>
          <w:ilvl w:val="0"/>
          <w:numId w:val="92"/>
        </w:numPr>
      </w:pPr>
      <w:r>
        <w:t>Project Elevation: 1,200 ft</w:t>
      </w:r>
    </w:p>
    <w:p w:rsidR="00DD3853" w:rsidRDefault="00DD3853" w:rsidP="009531AF">
      <w:pPr>
        <w:pStyle w:val="ExampleBullets"/>
        <w:keepNext/>
        <w:numPr>
          <w:ilvl w:val="0"/>
          <w:numId w:val="92"/>
        </w:numPr>
      </w:pPr>
      <w:r w:rsidRPr="00311A64">
        <w:t xml:space="preserve">Drainage Area = </w:t>
      </w:r>
      <w:r>
        <w:t xml:space="preserve">2.0 </w:t>
      </w:r>
      <w:r w:rsidRPr="00311A64">
        <w:t>acres</w:t>
      </w:r>
    </w:p>
    <w:p w:rsidR="00DD3853" w:rsidRDefault="00DD3853" w:rsidP="009531AF">
      <w:pPr>
        <w:pStyle w:val="ExampleBullets"/>
        <w:keepNext/>
        <w:numPr>
          <w:ilvl w:val="0"/>
          <w:numId w:val="92"/>
        </w:numPr>
      </w:pPr>
      <w:r>
        <w:t>Hydrologic Soil Group = B</w:t>
      </w:r>
    </w:p>
    <w:p w:rsidR="00DD3853" w:rsidRDefault="00DD3853" w:rsidP="009531AF">
      <w:pPr>
        <w:pStyle w:val="ExampleBullets"/>
        <w:keepNext/>
        <w:numPr>
          <w:ilvl w:val="0"/>
          <w:numId w:val="92"/>
        </w:numPr>
      </w:pPr>
      <w:r>
        <w:t>Existing Condition: 1.8 acres of herbaceous grassland in fair condition, with 0.2 acres of miscellaneous roads and structures; imperviousness = 11 percent</w:t>
      </w:r>
    </w:p>
    <w:p w:rsidR="00DD3853" w:rsidRDefault="00DD3853" w:rsidP="009531AF">
      <w:pPr>
        <w:pStyle w:val="ExampleBullets"/>
        <w:keepNext/>
        <w:numPr>
          <w:ilvl w:val="0"/>
          <w:numId w:val="92"/>
        </w:numPr>
      </w:pPr>
      <w:r>
        <w:t>Existing flow path: 100 ft overland sheet flow @ 3% slope, 50 ft shallow concentrated flow @ 3% slope (unpaved), 300 ft ditch @ 0.5% slope</w:t>
      </w:r>
    </w:p>
    <w:p w:rsidR="00DD3853" w:rsidRDefault="00DD3853" w:rsidP="009531AF">
      <w:pPr>
        <w:pStyle w:val="ExampleBullets"/>
        <w:keepNext/>
        <w:numPr>
          <w:ilvl w:val="0"/>
          <w:numId w:val="92"/>
        </w:numPr>
      </w:pPr>
      <w:r>
        <w:t>Proposed Condition: multi-family residential; imperviousness = 80 percent</w:t>
      </w:r>
    </w:p>
    <w:p w:rsidR="00DD3853" w:rsidRDefault="00DD3853" w:rsidP="009531AF">
      <w:pPr>
        <w:pStyle w:val="ExampleBullets"/>
        <w:keepNext/>
        <w:numPr>
          <w:ilvl w:val="0"/>
          <w:numId w:val="92"/>
        </w:numPr>
      </w:pPr>
      <w:r>
        <w:t>Proposed flow path: 100 ft overland sheet flow @ 10% slope (roofs and driveways); 400 ft of stormdrain @ 0.5% slope</w:t>
      </w:r>
    </w:p>
    <w:p w:rsidR="00DD3853" w:rsidRPr="00B53524" w:rsidRDefault="00DD3853" w:rsidP="00DD3853">
      <w:pPr>
        <w:pStyle w:val="ExampleSubheading"/>
        <w:outlineLvl w:val="0"/>
      </w:pPr>
      <w:r w:rsidRPr="00311A64">
        <w:t>Required:</w:t>
      </w:r>
    </w:p>
    <w:p w:rsidR="00DD3853" w:rsidRDefault="00DD3853" w:rsidP="009531AF">
      <w:pPr>
        <w:pStyle w:val="ExampleBullets"/>
        <w:numPr>
          <w:ilvl w:val="0"/>
          <w:numId w:val="93"/>
        </w:numPr>
      </w:pPr>
      <w:r>
        <w:t>Calculate runoff volume and peak flowrate in existing and proposed conditions</w:t>
      </w:r>
    </w:p>
    <w:p w:rsidR="00DD3853" w:rsidRDefault="00DD3853" w:rsidP="009531AF">
      <w:pPr>
        <w:pStyle w:val="ExampleBullets"/>
        <w:numPr>
          <w:ilvl w:val="0"/>
          <w:numId w:val="93"/>
        </w:numPr>
      </w:pPr>
      <w:r>
        <w:t>Compute BMP volume needed to reduce post-developed runoff volume to within 5% of existing condition runoff volume for the 2-year storm event.</w:t>
      </w:r>
    </w:p>
    <w:p w:rsidR="00DD3853" w:rsidRPr="00B53524" w:rsidRDefault="00DD3853" w:rsidP="00DD3853">
      <w:pPr>
        <w:pStyle w:val="ExampleSubheading"/>
        <w:outlineLvl w:val="0"/>
      </w:pPr>
      <w:r>
        <w:t>Results</w:t>
      </w:r>
      <w:r w:rsidRPr="00311A64">
        <w:t>:</w:t>
      </w:r>
    </w:p>
    <w:p w:rsidR="00DD3853" w:rsidRDefault="00DD3853" w:rsidP="009531AF">
      <w:pPr>
        <w:pStyle w:val="ExampleNumbers"/>
        <w:numPr>
          <w:ilvl w:val="0"/>
          <w:numId w:val="49"/>
        </w:numPr>
        <w:ind w:left="720"/>
      </w:pPr>
      <w:r>
        <w:t xml:space="preserve">Existing Condition: Peak Flow Rate (cfs) = 0.28, Runoff Volume (cubic feet ) = 1,249, </w:t>
      </w:r>
    </w:p>
    <w:p w:rsidR="00DD3853" w:rsidRDefault="00DD3853" w:rsidP="00DD3853">
      <w:pPr>
        <w:pStyle w:val="ExampleNumbers"/>
        <w:numPr>
          <w:ilvl w:val="0"/>
          <w:numId w:val="0"/>
        </w:numPr>
        <w:ind w:left="360" w:firstLine="360"/>
      </w:pPr>
      <w:r>
        <w:t>Proposed Condition: Peak Flow Rate (cfs) = 2.01, Proposed Runoff Volume (cubic feet) = 9,039</w:t>
      </w:r>
    </w:p>
    <w:p w:rsidR="00DD3853" w:rsidRDefault="00DD3853" w:rsidP="009531AF">
      <w:pPr>
        <w:pStyle w:val="ExampleNumbers"/>
        <w:numPr>
          <w:ilvl w:val="0"/>
          <w:numId w:val="49"/>
        </w:numPr>
        <w:ind w:left="720"/>
      </w:pPr>
      <w:r>
        <w:t xml:space="preserve">Required BMP Volume (cubic feet) = </w:t>
      </w:r>
      <w:r w:rsidR="002C242C">
        <w:t>(</w:t>
      </w:r>
      <w:r>
        <w:t xml:space="preserve">9,039 – </w:t>
      </w:r>
      <w:r w:rsidR="002C242C">
        <w:t>(</w:t>
      </w:r>
      <w:r>
        <w:t>1,249</w:t>
      </w:r>
      <w:r w:rsidR="002C242C">
        <w:t xml:space="preserve"> × 1.05) )</w:t>
      </w:r>
      <w:r>
        <w:t xml:space="preserve"> = 7,</w:t>
      </w:r>
      <w:r w:rsidR="002C242C">
        <w:t>730</w:t>
      </w:r>
      <w:r>
        <w:t xml:space="preserve"> cu-ft</w:t>
      </w:r>
    </w:p>
    <w:p w:rsidR="00DD3853" w:rsidRPr="00B53524" w:rsidRDefault="00DD3853" w:rsidP="00DD3853">
      <w:pPr>
        <w:pStyle w:val="ExampleSubheading"/>
        <w:outlineLvl w:val="0"/>
      </w:pPr>
      <w:r>
        <w:rPr>
          <w:shd w:val="clear" w:color="auto" w:fill="D9D9D9" w:themeFill="background1" w:themeFillShade="D9"/>
        </w:rPr>
        <w:t>Solution Steps</w:t>
      </w:r>
      <w:r w:rsidRPr="00311A64">
        <w:rPr>
          <w:shd w:val="clear" w:color="auto" w:fill="D9D9D9" w:themeFill="background1" w:themeFillShade="D9"/>
        </w:rPr>
        <w:t>:</w:t>
      </w:r>
    </w:p>
    <w:p w:rsidR="00DD3853" w:rsidRDefault="00DD3853" w:rsidP="00DD3853">
      <w:pPr>
        <w:pStyle w:val="ExampleText"/>
        <w:rPr>
          <w:i w:val="0"/>
        </w:rPr>
      </w:pPr>
    </w:p>
    <w:p w:rsidR="00DD3853" w:rsidRDefault="00DD3853" w:rsidP="009531AF">
      <w:pPr>
        <w:pStyle w:val="ExampleBullets"/>
        <w:keepNext/>
        <w:numPr>
          <w:ilvl w:val="0"/>
          <w:numId w:val="86"/>
        </w:numPr>
        <w:pBdr>
          <w:left w:val="single" w:sz="4" w:space="1" w:color="auto"/>
          <w:right w:val="single" w:sz="4" w:space="1" w:color="auto"/>
        </w:pBdr>
      </w:pPr>
      <w:r>
        <w:t>Open WinTR-55 and complete the “Project Identification” fields (Figure IV.1).</w:t>
      </w:r>
    </w:p>
    <w:p w:rsidR="00DD3853" w:rsidRDefault="00DD3853" w:rsidP="009278DD">
      <w:pPr>
        <w:pStyle w:val="ExampleText"/>
        <w:pBdr>
          <w:left w:val="single" w:sz="4" w:space="1" w:color="auto"/>
          <w:right w:val="single" w:sz="4" w:space="1" w:color="auto"/>
        </w:pBdr>
        <w:jc w:val="center"/>
      </w:pPr>
    </w:p>
    <w:p w:rsidR="00DD3853" w:rsidRDefault="00DD3853" w:rsidP="003A7710">
      <w:pPr>
        <w:pStyle w:val="ExampleText"/>
        <w:pBdr>
          <w:left w:val="single" w:sz="4" w:space="1" w:color="auto"/>
          <w:right w:val="single" w:sz="4" w:space="1" w:color="auto"/>
        </w:pBdr>
      </w:pPr>
      <w:bookmarkStart w:id="293" w:name="_Toc288555032"/>
      <w:r w:rsidRPr="000709C2">
        <w:t xml:space="preserve">Figure </w:t>
      </w:r>
      <w:fldSimple w:instr=" STYLEREF 1 \s ">
        <w:r w:rsidR="00524D76">
          <w:rPr>
            <w:noProof/>
          </w:rPr>
          <w:t>IV</w:t>
        </w:r>
      </w:fldSimple>
      <w:r w:rsidR="00524D76">
        <w:t>.</w:t>
      </w:r>
      <w:fldSimple w:instr=" SEQ Figure \* ARABIC \s 1 ">
        <w:r w:rsidR="00524D76">
          <w:rPr>
            <w:noProof/>
          </w:rPr>
          <w:t>1</w:t>
        </w:r>
      </w:fldSimple>
      <w:r w:rsidR="003A7710">
        <w:rPr>
          <w:i w:val="0"/>
          <w:color w:val="0070C0"/>
        </w:rPr>
        <w:t xml:space="preserve">: </w:t>
      </w:r>
      <w:r>
        <w:t>WinTR-55 home screen</w:t>
      </w:r>
      <w:bookmarkEnd w:id="293"/>
    </w:p>
    <w:p w:rsidR="003A7710" w:rsidRPr="00ED7163" w:rsidRDefault="003A7710" w:rsidP="003A7710">
      <w:pPr>
        <w:pStyle w:val="ExampleText"/>
        <w:pBdr>
          <w:left w:val="single" w:sz="4" w:space="1" w:color="auto"/>
          <w:right w:val="single" w:sz="4" w:space="1" w:color="auto"/>
        </w:pBdr>
        <w:rPr>
          <w:i w:val="0"/>
          <w:color w:val="0070C0"/>
        </w:rPr>
      </w:pPr>
    </w:p>
    <w:p w:rsidR="00DD3853" w:rsidRDefault="00126F3D" w:rsidP="009278DD">
      <w:pPr>
        <w:pStyle w:val="ExampleText"/>
        <w:pBdr>
          <w:left w:val="single" w:sz="4" w:space="1" w:color="auto"/>
          <w:right w:val="single" w:sz="4" w:space="1" w:color="auto"/>
        </w:pBdr>
        <w:jc w:val="center"/>
      </w:pPr>
      <w:r w:rsidRPr="00126F3D">
        <w:rPr>
          <w:b w:val="0"/>
          <w:i w:val="0"/>
          <w:noProof/>
        </w:rPr>
        <w:pict>
          <v:rect id="_x0000_s1130" style="position:absolute;left:0;text-align:left;margin-left:172.25pt;margin-top:9.55pt;width:29.95pt;height:13.15pt;z-index:251735040" filled="f" fillcolor="white [3201]" strokecolor="#c0504d [3205]" strokeweight="2.5pt">
            <v:shadow color="#868686"/>
          </v:rect>
        </w:pict>
      </w:r>
      <w:r w:rsidRPr="00126F3D">
        <w:rPr>
          <w:b w:val="0"/>
          <w:i w:val="0"/>
          <w:noProof/>
        </w:rPr>
        <w:pict>
          <v:rect id="_x0000_s1128" style="position:absolute;left:0;text-align:left;margin-left:105.7pt;margin-top:50.3pt;width:263.7pt;height:51.35pt;z-index:251732992" filled="f" fillcolor="white [3201]" strokecolor="#c0504d [3205]" strokeweight="2.5pt">
            <v:shadow color="#868686"/>
          </v:rect>
        </w:pict>
      </w:r>
      <w:r w:rsidRPr="00126F3D">
        <w:rPr>
          <w:b w:val="0"/>
          <w:i w:val="0"/>
          <w:noProof/>
        </w:rPr>
        <w:pict>
          <v:rect id="_x0000_s1129" style="position:absolute;left:0;text-align:left;margin-left:107pt;margin-top:104.9pt;width:94.55pt;height:28.8pt;z-index:251734016" filled="f" fillcolor="white [3201]" strokecolor="#c0504d [3205]" strokeweight="2.5pt">
            <v:shadow color="#868686"/>
          </v:rect>
        </w:pict>
      </w:r>
      <w:r w:rsidR="00DD3853">
        <w:rPr>
          <w:b w:val="0"/>
          <w:i w:val="0"/>
          <w:noProof/>
        </w:rPr>
        <w:drawing>
          <wp:inline distT="0" distB="0" distL="0" distR="0">
            <wp:extent cx="3641248" cy="3387255"/>
            <wp:effectExtent l="19050" t="0" r="0" b="0"/>
            <wp:docPr id="1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email"/>
                    <a:srcRect/>
                    <a:stretch>
                      <a:fillRect/>
                    </a:stretch>
                  </pic:blipFill>
                  <pic:spPr bwMode="auto">
                    <a:xfrm>
                      <a:off x="0" y="0"/>
                      <a:ext cx="3641248" cy="3387255"/>
                    </a:xfrm>
                    <a:prstGeom prst="rect">
                      <a:avLst/>
                    </a:prstGeom>
                    <a:noFill/>
                    <a:ln w="9525">
                      <a:noFill/>
                      <a:miter lim="800000"/>
                      <a:headEnd/>
                      <a:tailEnd/>
                    </a:ln>
                  </pic:spPr>
                </pic:pic>
              </a:graphicData>
            </a:graphic>
          </wp:inline>
        </w:drawing>
      </w:r>
    </w:p>
    <w:p w:rsidR="00DD3853" w:rsidRDefault="00DD3853" w:rsidP="009278DD">
      <w:pPr>
        <w:pStyle w:val="ExampleText"/>
        <w:pBdr>
          <w:left w:val="single" w:sz="4" w:space="1" w:color="auto"/>
          <w:right w:val="single" w:sz="4" w:space="1" w:color="auto"/>
        </w:pBdr>
        <w:jc w:val="center"/>
      </w:pPr>
    </w:p>
    <w:p w:rsidR="00DD3853" w:rsidRDefault="00DD3853" w:rsidP="009278DD">
      <w:pPr>
        <w:pStyle w:val="ExampleBullets"/>
        <w:numPr>
          <w:ilvl w:val="0"/>
          <w:numId w:val="0"/>
        </w:numPr>
        <w:pBdr>
          <w:left w:val="single" w:sz="4" w:space="1" w:color="auto"/>
          <w:right w:val="single" w:sz="4" w:space="1" w:color="auto"/>
        </w:pBdr>
        <w:ind w:left="360"/>
      </w:pPr>
    </w:p>
    <w:p w:rsidR="00DD3853" w:rsidRDefault="00DD3853" w:rsidP="009531AF">
      <w:pPr>
        <w:pStyle w:val="ExampleBullets"/>
        <w:keepNext/>
        <w:numPr>
          <w:ilvl w:val="0"/>
          <w:numId w:val="86"/>
        </w:numPr>
        <w:pBdr>
          <w:left w:val="single" w:sz="4" w:space="1" w:color="auto"/>
          <w:right w:val="single" w:sz="4" w:space="1" w:color="auto"/>
        </w:pBdr>
      </w:pPr>
      <w:r>
        <w:t>Under the “</w:t>
      </w:r>
      <w:proofErr w:type="spellStart"/>
      <w:r>
        <w:t>GlobalData</w:t>
      </w:r>
      <w:proofErr w:type="spellEnd"/>
      <w:r>
        <w:t>” heading select “Storm Data" and select “Type 1” as the rainfall distribution type and enter 2.05” as the 2-year storm event (the project is below an elevation of 2,000 feet.  The design storm would be 3.81” if the project was located above 2,000 feet.) (Figure IV.2).  Accept these changes and save the project.</w:t>
      </w:r>
    </w:p>
    <w:p w:rsidR="003A7710" w:rsidRDefault="003A7710" w:rsidP="003A7710">
      <w:pPr>
        <w:pStyle w:val="ExampleText"/>
        <w:pBdr>
          <w:left w:val="single" w:sz="4" w:space="1" w:color="auto"/>
          <w:right w:val="single" w:sz="4" w:space="1" w:color="auto"/>
        </w:pBdr>
      </w:pPr>
    </w:p>
    <w:p w:rsidR="00DD3853" w:rsidRDefault="00DD3853" w:rsidP="003A7710">
      <w:pPr>
        <w:pStyle w:val="ExampleText"/>
        <w:pBdr>
          <w:left w:val="single" w:sz="4" w:space="1" w:color="auto"/>
          <w:right w:val="single" w:sz="4" w:space="1" w:color="auto"/>
        </w:pBdr>
      </w:pPr>
      <w:bookmarkStart w:id="294" w:name="_Toc288555033"/>
      <w:r w:rsidRPr="000709C2">
        <w:t xml:space="preserve">Figure </w:t>
      </w:r>
      <w:fldSimple w:instr=" STYLEREF 1 \s ">
        <w:r w:rsidR="00524D76">
          <w:rPr>
            <w:noProof/>
          </w:rPr>
          <w:t>IV</w:t>
        </w:r>
      </w:fldSimple>
      <w:r w:rsidR="00524D76">
        <w:t>.</w:t>
      </w:r>
      <w:fldSimple w:instr=" SEQ Figure \* ARABIC \s 1 ">
        <w:r w:rsidR="00524D76">
          <w:rPr>
            <w:noProof/>
          </w:rPr>
          <w:t>2</w:t>
        </w:r>
      </w:fldSimple>
      <w:r w:rsidR="003A7710">
        <w:rPr>
          <w:i w:val="0"/>
          <w:color w:val="0070C0"/>
        </w:rPr>
        <w:t xml:space="preserve">: </w:t>
      </w:r>
      <w:r>
        <w:t>WinTR-55 Storm Data screen</w:t>
      </w:r>
      <w:bookmarkEnd w:id="294"/>
    </w:p>
    <w:p w:rsidR="003A7710" w:rsidRPr="00ED7163" w:rsidRDefault="003A7710" w:rsidP="003A7710">
      <w:pPr>
        <w:pStyle w:val="ExampleText"/>
        <w:pBdr>
          <w:left w:val="single" w:sz="4" w:space="1" w:color="auto"/>
          <w:right w:val="single" w:sz="4" w:space="1" w:color="auto"/>
        </w:pBdr>
        <w:jc w:val="center"/>
        <w:rPr>
          <w:i w:val="0"/>
          <w:color w:val="0070C0"/>
        </w:rPr>
      </w:pPr>
    </w:p>
    <w:p w:rsidR="00DD3853" w:rsidRDefault="00126F3D" w:rsidP="009278DD">
      <w:pPr>
        <w:pStyle w:val="ExampleText"/>
        <w:pBdr>
          <w:left w:val="single" w:sz="4" w:space="1" w:color="auto"/>
          <w:right w:val="single" w:sz="4" w:space="1" w:color="auto"/>
        </w:pBdr>
        <w:jc w:val="center"/>
      </w:pPr>
      <w:r w:rsidRPr="00126F3D">
        <w:rPr>
          <w:b w:val="0"/>
          <w:i w:val="0"/>
          <w:noProof/>
        </w:rPr>
        <w:pict>
          <v:rect id="_x0000_s1131" style="position:absolute;left:0;text-align:left;margin-left:158.35pt;margin-top:134.6pt;width:130.8pt;height:28.8pt;z-index:251736064" filled="f" fillcolor="white [3201]" strokecolor="#c0504d [3205]" strokeweight="2.5pt">
            <v:shadow color="#868686"/>
          </v:rect>
        </w:pict>
      </w:r>
      <w:r w:rsidRPr="00126F3D">
        <w:rPr>
          <w:b w:val="0"/>
          <w:i w:val="0"/>
          <w:noProof/>
        </w:rPr>
        <w:pict>
          <v:rect id="_x0000_s1132" style="position:absolute;left:0;text-align:left;margin-left:293.65pt;margin-top:62.6pt;width:75.75pt;height:40.1pt;z-index:251737088" filled="f" fillcolor="white [3201]" strokecolor="#c0504d [3205]" strokeweight="2.5pt">
            <v:shadow color="#868686"/>
          </v:rect>
        </w:pict>
      </w:r>
      <w:r w:rsidR="00DD3853">
        <w:rPr>
          <w:b w:val="0"/>
          <w:i w:val="0"/>
          <w:noProof/>
        </w:rPr>
        <w:drawing>
          <wp:inline distT="0" distB="0" distL="0" distR="0">
            <wp:extent cx="3616765" cy="3124862"/>
            <wp:effectExtent l="19050" t="0" r="2735" b="0"/>
            <wp:docPr id="12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4" cstate="email"/>
                    <a:srcRect/>
                    <a:stretch>
                      <a:fillRect/>
                    </a:stretch>
                  </pic:blipFill>
                  <pic:spPr bwMode="auto">
                    <a:xfrm>
                      <a:off x="0" y="0"/>
                      <a:ext cx="3618716" cy="3126547"/>
                    </a:xfrm>
                    <a:prstGeom prst="rect">
                      <a:avLst/>
                    </a:prstGeom>
                    <a:noFill/>
                    <a:ln w="9525">
                      <a:noFill/>
                      <a:miter lim="800000"/>
                      <a:headEnd/>
                      <a:tailEnd/>
                    </a:ln>
                  </pic:spPr>
                </pic:pic>
              </a:graphicData>
            </a:graphic>
          </wp:inline>
        </w:drawing>
      </w:r>
    </w:p>
    <w:p w:rsidR="00DD3853" w:rsidRDefault="00DD3853" w:rsidP="009278DD">
      <w:pPr>
        <w:pStyle w:val="ExampleBullets"/>
        <w:numPr>
          <w:ilvl w:val="0"/>
          <w:numId w:val="0"/>
        </w:numPr>
        <w:pBdr>
          <w:left w:val="single" w:sz="4" w:space="1" w:color="auto"/>
          <w:right w:val="single" w:sz="4" w:space="1" w:color="auto"/>
        </w:pBdr>
        <w:ind w:left="360"/>
      </w:pPr>
    </w:p>
    <w:p w:rsidR="00DD3853" w:rsidRDefault="00DD3853" w:rsidP="009531AF">
      <w:pPr>
        <w:pStyle w:val="ExampleBullets"/>
        <w:keepNext/>
        <w:numPr>
          <w:ilvl w:val="0"/>
          <w:numId w:val="86"/>
        </w:numPr>
        <w:pBdr>
          <w:left w:val="single" w:sz="4" w:space="1" w:color="auto"/>
          <w:right w:val="single" w:sz="4" w:space="1" w:color="auto"/>
        </w:pBdr>
      </w:pPr>
      <w:r>
        <w:t>From the home screen, select “Land Use Details” from the “</w:t>
      </w:r>
      <w:proofErr w:type="spellStart"/>
      <w:r>
        <w:t>ProjectData</w:t>
      </w:r>
      <w:proofErr w:type="spellEnd"/>
      <w:r>
        <w:t>” heading, name the sub-area, and select the radio button for “Arid Rangeland” to begin setting up the existing condition.  Enter 1.8 acres for “Herbaceous - Fair Condition” under Hydrologic Soil Group B before selecting the “Urban Area” radio button and entering 0.2 acres under “Paved parking lots, roofs, and driveways,” again for Hydrologic Soil Group B (Figure IV.3).  The program will calculate an area weighted curve number.  Accept changes and return to the home screen.</w:t>
      </w:r>
    </w:p>
    <w:p w:rsidR="003A7710" w:rsidRDefault="003A7710" w:rsidP="003A7710">
      <w:pPr>
        <w:pStyle w:val="ExampleText"/>
        <w:pBdr>
          <w:left w:val="single" w:sz="4" w:space="1" w:color="auto"/>
          <w:right w:val="single" w:sz="4" w:space="1" w:color="auto"/>
        </w:pBdr>
      </w:pPr>
    </w:p>
    <w:p w:rsidR="00DD3853" w:rsidRDefault="00DD3853" w:rsidP="003A7710">
      <w:pPr>
        <w:pStyle w:val="ExampleText"/>
        <w:pBdr>
          <w:left w:val="single" w:sz="4" w:space="1" w:color="auto"/>
          <w:right w:val="single" w:sz="4" w:space="1" w:color="auto"/>
        </w:pBdr>
      </w:pPr>
      <w:bookmarkStart w:id="295" w:name="_Toc288555034"/>
      <w:r>
        <w:t>F</w:t>
      </w:r>
      <w:r w:rsidRPr="000709C2">
        <w:t xml:space="preserve">igure </w:t>
      </w:r>
      <w:fldSimple w:instr=" STYLEREF 1 \s ">
        <w:r w:rsidR="00524D76">
          <w:rPr>
            <w:noProof/>
          </w:rPr>
          <w:t>IV</w:t>
        </w:r>
      </w:fldSimple>
      <w:r w:rsidR="00524D76">
        <w:t>.</w:t>
      </w:r>
      <w:fldSimple w:instr=" SEQ Figure \* ARABIC \s 1 ">
        <w:r w:rsidR="00524D76">
          <w:rPr>
            <w:noProof/>
          </w:rPr>
          <w:t>3</w:t>
        </w:r>
      </w:fldSimple>
      <w:r w:rsidR="003A7710">
        <w:rPr>
          <w:i w:val="0"/>
          <w:color w:val="0070C0"/>
        </w:rPr>
        <w:t xml:space="preserve">: </w:t>
      </w:r>
      <w:r>
        <w:t>WinTR-55 Land Use Details screen</w:t>
      </w:r>
      <w:bookmarkEnd w:id="295"/>
    </w:p>
    <w:p w:rsidR="003A7710" w:rsidRPr="00ED7163" w:rsidRDefault="003A7710" w:rsidP="003A7710">
      <w:pPr>
        <w:pStyle w:val="ExampleText"/>
        <w:pBdr>
          <w:left w:val="single" w:sz="4" w:space="1" w:color="auto"/>
          <w:right w:val="single" w:sz="4" w:space="1" w:color="auto"/>
        </w:pBdr>
        <w:jc w:val="center"/>
        <w:rPr>
          <w:i w:val="0"/>
          <w:color w:val="0070C0"/>
        </w:rPr>
      </w:pPr>
    </w:p>
    <w:p w:rsidR="00DD3853" w:rsidRDefault="00126F3D" w:rsidP="009278DD">
      <w:pPr>
        <w:pStyle w:val="ExampleText"/>
        <w:pBdr>
          <w:left w:val="single" w:sz="4" w:space="1" w:color="auto"/>
          <w:right w:val="single" w:sz="4" w:space="1" w:color="auto"/>
        </w:pBdr>
        <w:jc w:val="center"/>
      </w:pPr>
      <w:r w:rsidRPr="00126F3D">
        <w:rPr>
          <w:b w:val="0"/>
          <w:i w:val="0"/>
          <w:noProof/>
        </w:rPr>
        <w:pict>
          <v:rect id="_x0000_s1133" style="position:absolute;left:0;text-align:left;margin-left:271.35pt;margin-top:76.15pt;width:23.6pt;height:10.65pt;z-index:251738112" filled="f" fillcolor="white [3201]" strokecolor="#c0504d [3205]" strokeweight="2.5pt">
            <v:shadow color="#868686"/>
          </v:rect>
        </w:pict>
      </w:r>
      <w:r w:rsidRPr="00126F3D">
        <w:rPr>
          <w:b w:val="0"/>
          <w:i w:val="0"/>
          <w:noProof/>
        </w:rPr>
        <w:pict>
          <v:rect id="_x0000_s1134" style="position:absolute;left:0;text-align:left;margin-left:327.1pt;margin-top:37.95pt;width:47.3pt;height:10.65pt;z-index:251739136" filled="f" fillcolor="white [3201]" strokecolor="#c0504d [3205]" strokeweight="2.5pt">
            <v:shadow color="#868686"/>
          </v:rect>
        </w:pict>
      </w:r>
      <w:r w:rsidR="00DD3853">
        <w:rPr>
          <w:b w:val="0"/>
          <w:i w:val="0"/>
          <w:noProof/>
        </w:rPr>
        <w:drawing>
          <wp:inline distT="0" distB="0" distL="0" distR="0">
            <wp:extent cx="3670355" cy="2927175"/>
            <wp:effectExtent l="19050" t="0" r="6295" b="0"/>
            <wp:docPr id="12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cstate="email"/>
                    <a:srcRect/>
                    <a:stretch>
                      <a:fillRect/>
                    </a:stretch>
                  </pic:blipFill>
                  <pic:spPr bwMode="auto">
                    <a:xfrm>
                      <a:off x="0" y="0"/>
                      <a:ext cx="3672292" cy="2928719"/>
                    </a:xfrm>
                    <a:prstGeom prst="rect">
                      <a:avLst/>
                    </a:prstGeom>
                    <a:noFill/>
                    <a:ln w="9525">
                      <a:noFill/>
                      <a:miter lim="800000"/>
                      <a:headEnd/>
                      <a:tailEnd/>
                    </a:ln>
                  </pic:spPr>
                </pic:pic>
              </a:graphicData>
            </a:graphic>
          </wp:inline>
        </w:drawing>
      </w:r>
    </w:p>
    <w:p w:rsidR="00DD3853" w:rsidRDefault="00DD3853" w:rsidP="009278DD">
      <w:pPr>
        <w:pStyle w:val="ExampleBullets"/>
        <w:numPr>
          <w:ilvl w:val="0"/>
          <w:numId w:val="0"/>
        </w:numPr>
        <w:pBdr>
          <w:left w:val="single" w:sz="4" w:space="1" w:color="auto"/>
          <w:right w:val="single" w:sz="4" w:space="1" w:color="auto"/>
        </w:pBdr>
        <w:ind w:left="720" w:hanging="360"/>
      </w:pPr>
    </w:p>
    <w:p w:rsidR="00DD3853" w:rsidRDefault="00DD3853" w:rsidP="009531AF">
      <w:pPr>
        <w:pStyle w:val="ExampleBullets"/>
        <w:keepNext/>
        <w:numPr>
          <w:ilvl w:val="0"/>
          <w:numId w:val="86"/>
        </w:numPr>
        <w:pBdr>
          <w:left w:val="single" w:sz="4" w:space="1" w:color="auto"/>
          <w:right w:val="single" w:sz="4" w:space="1" w:color="auto"/>
        </w:pBdr>
      </w:pPr>
      <w:r>
        <w:t>Select “Outlet” under the “Sub-area Flows to Reach/Outlet” pull-down menu.</w:t>
      </w:r>
    </w:p>
    <w:p w:rsidR="00DD3853" w:rsidRDefault="00DD3853" w:rsidP="009531AF">
      <w:pPr>
        <w:pStyle w:val="ExampleBullets"/>
        <w:keepNext/>
        <w:numPr>
          <w:ilvl w:val="0"/>
          <w:numId w:val="86"/>
        </w:numPr>
        <w:pBdr>
          <w:left w:val="single" w:sz="4" w:space="1" w:color="auto"/>
          <w:right w:val="single" w:sz="4" w:space="1" w:color="auto"/>
        </w:pBdr>
      </w:pPr>
      <w:r>
        <w:t>Under the “</w:t>
      </w:r>
      <w:proofErr w:type="spellStart"/>
      <w:r>
        <w:t>ProjectData</w:t>
      </w:r>
      <w:proofErr w:type="spellEnd"/>
      <w:r>
        <w:t>” heading select “Time of Concentration Details" and enter lengths, slopes, and Manning’s roughness coefficients (if necessary) for relevant flow types (Figure IV.4).  Save the project.</w:t>
      </w:r>
    </w:p>
    <w:p w:rsidR="00DD3853" w:rsidRDefault="00DD3853" w:rsidP="003A7710">
      <w:pPr>
        <w:pStyle w:val="ExampleText"/>
        <w:pBdr>
          <w:left w:val="single" w:sz="4" w:space="1" w:color="auto"/>
          <w:right w:val="single" w:sz="4" w:space="1" w:color="auto"/>
        </w:pBdr>
        <w:rPr>
          <w:i w:val="0"/>
          <w:color w:val="0070C0"/>
        </w:rPr>
      </w:pPr>
      <w:bookmarkStart w:id="296" w:name="_Toc288555035"/>
      <w:r w:rsidRPr="000709C2">
        <w:t xml:space="preserve">Figure </w:t>
      </w:r>
      <w:fldSimple w:instr=" STYLEREF 1 \s ">
        <w:r w:rsidR="00524D76">
          <w:rPr>
            <w:noProof/>
          </w:rPr>
          <w:t>IV</w:t>
        </w:r>
      </w:fldSimple>
      <w:r w:rsidR="00524D76">
        <w:t>.</w:t>
      </w:r>
      <w:fldSimple w:instr=" SEQ Figure \* ARABIC \s 1 ">
        <w:r w:rsidR="00524D76">
          <w:rPr>
            <w:noProof/>
          </w:rPr>
          <w:t>4</w:t>
        </w:r>
      </w:fldSimple>
      <w:r w:rsidR="003A7710">
        <w:rPr>
          <w:i w:val="0"/>
          <w:color w:val="0070C0"/>
        </w:rPr>
        <w:t xml:space="preserve">: </w:t>
      </w:r>
      <w:r>
        <w:t>WinTR-55 Time of Concentration Details screen</w:t>
      </w:r>
      <w:bookmarkEnd w:id="296"/>
    </w:p>
    <w:p w:rsidR="00DD3853" w:rsidRDefault="00DD3853" w:rsidP="009278DD">
      <w:pPr>
        <w:pStyle w:val="ExampleText"/>
        <w:pBdr>
          <w:left w:val="single" w:sz="4" w:space="1" w:color="auto"/>
          <w:right w:val="single" w:sz="4" w:space="1" w:color="auto"/>
        </w:pBdr>
        <w:jc w:val="center"/>
      </w:pPr>
    </w:p>
    <w:p w:rsidR="00DD3853" w:rsidRDefault="00DD3853" w:rsidP="009278DD">
      <w:pPr>
        <w:pStyle w:val="ExampleText"/>
        <w:pBdr>
          <w:left w:val="single" w:sz="4" w:space="1" w:color="auto"/>
          <w:right w:val="single" w:sz="4" w:space="1" w:color="auto"/>
        </w:pBdr>
        <w:jc w:val="center"/>
      </w:pPr>
      <w:r>
        <w:rPr>
          <w:b w:val="0"/>
          <w:i w:val="0"/>
          <w:noProof/>
        </w:rPr>
        <w:drawing>
          <wp:inline distT="0" distB="0" distL="0" distR="0">
            <wp:extent cx="5342555" cy="2247900"/>
            <wp:effectExtent l="19050" t="0" r="0" b="0"/>
            <wp:docPr id="6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6" cstate="email"/>
                    <a:srcRect/>
                    <a:stretch>
                      <a:fillRect/>
                    </a:stretch>
                  </pic:blipFill>
                  <pic:spPr bwMode="auto">
                    <a:xfrm>
                      <a:off x="0" y="0"/>
                      <a:ext cx="5342555" cy="2247900"/>
                    </a:xfrm>
                    <a:prstGeom prst="rect">
                      <a:avLst/>
                    </a:prstGeom>
                    <a:noFill/>
                    <a:ln w="9525">
                      <a:noFill/>
                      <a:miter lim="800000"/>
                      <a:headEnd/>
                      <a:tailEnd/>
                    </a:ln>
                  </pic:spPr>
                </pic:pic>
              </a:graphicData>
            </a:graphic>
          </wp:inline>
        </w:drawing>
      </w:r>
    </w:p>
    <w:p w:rsidR="00DD3853" w:rsidRDefault="00DD3853" w:rsidP="009278DD">
      <w:pPr>
        <w:pStyle w:val="ExampleText"/>
        <w:pBdr>
          <w:left w:val="single" w:sz="4" w:space="1" w:color="auto"/>
          <w:right w:val="single" w:sz="4" w:space="1" w:color="auto"/>
        </w:pBdr>
        <w:jc w:val="center"/>
      </w:pPr>
    </w:p>
    <w:p w:rsidR="00DD3853" w:rsidRDefault="00DD3853" w:rsidP="009278DD">
      <w:pPr>
        <w:pStyle w:val="ExampleBullets"/>
        <w:numPr>
          <w:ilvl w:val="0"/>
          <w:numId w:val="0"/>
        </w:numPr>
        <w:pBdr>
          <w:left w:val="single" w:sz="4" w:space="1" w:color="auto"/>
          <w:right w:val="single" w:sz="4" w:space="1" w:color="auto"/>
        </w:pBdr>
        <w:ind w:left="360"/>
      </w:pPr>
    </w:p>
    <w:p w:rsidR="00DD3853" w:rsidRDefault="00DD3853" w:rsidP="009531AF">
      <w:pPr>
        <w:pStyle w:val="ExampleBullets"/>
        <w:keepNext/>
        <w:numPr>
          <w:ilvl w:val="0"/>
          <w:numId w:val="86"/>
        </w:numPr>
        <w:pBdr>
          <w:left w:val="single" w:sz="4" w:space="1" w:color="auto"/>
          <w:right w:val="single" w:sz="4" w:space="1" w:color="auto"/>
        </w:pBdr>
      </w:pPr>
      <w:r>
        <w:t>Select the “Run” heading and ensure that the 2 year storm box is checked.  No other recurrence interval storm depths were entered and are therefore not an option (Figure IV.5).</w:t>
      </w:r>
    </w:p>
    <w:p w:rsidR="00DD3853" w:rsidRDefault="00DD3853" w:rsidP="003A7710">
      <w:pPr>
        <w:pStyle w:val="ExampleText"/>
        <w:pBdr>
          <w:left w:val="single" w:sz="4" w:space="1" w:color="auto"/>
          <w:right w:val="single" w:sz="4" w:space="1" w:color="auto"/>
        </w:pBdr>
        <w:rPr>
          <w:i w:val="0"/>
          <w:color w:val="0070C0"/>
        </w:rPr>
      </w:pPr>
      <w:bookmarkStart w:id="297" w:name="_Toc288555036"/>
      <w:r w:rsidRPr="000709C2">
        <w:t xml:space="preserve">Figure </w:t>
      </w:r>
      <w:fldSimple w:instr=" STYLEREF 1 \s ">
        <w:r w:rsidR="00524D76">
          <w:rPr>
            <w:noProof/>
          </w:rPr>
          <w:t>IV</w:t>
        </w:r>
      </w:fldSimple>
      <w:r w:rsidR="00524D76">
        <w:t>.</w:t>
      </w:r>
      <w:fldSimple w:instr=" SEQ Figure \* ARABIC \s 1 ">
        <w:r w:rsidR="00524D76">
          <w:rPr>
            <w:noProof/>
          </w:rPr>
          <w:t>5</w:t>
        </w:r>
      </w:fldSimple>
      <w:r w:rsidR="003A7710">
        <w:rPr>
          <w:i w:val="0"/>
          <w:color w:val="0070C0"/>
        </w:rPr>
        <w:t xml:space="preserve">: </w:t>
      </w:r>
      <w:r>
        <w:t>WinTR-55 Run Model screen</w:t>
      </w:r>
      <w:bookmarkEnd w:id="297"/>
    </w:p>
    <w:p w:rsidR="00DD3853" w:rsidRDefault="00DD3853" w:rsidP="009278DD">
      <w:pPr>
        <w:pStyle w:val="ExampleText"/>
        <w:pBdr>
          <w:left w:val="single" w:sz="4" w:space="1" w:color="auto"/>
          <w:right w:val="single" w:sz="4" w:space="1" w:color="auto"/>
        </w:pBdr>
        <w:jc w:val="center"/>
      </w:pPr>
    </w:p>
    <w:p w:rsidR="00DD3853" w:rsidRDefault="00126F3D" w:rsidP="009278DD">
      <w:pPr>
        <w:pStyle w:val="ExampleText"/>
        <w:pBdr>
          <w:left w:val="single" w:sz="4" w:space="1" w:color="auto"/>
          <w:right w:val="single" w:sz="4" w:space="1" w:color="auto"/>
        </w:pBdr>
        <w:jc w:val="center"/>
      </w:pPr>
      <w:r w:rsidRPr="00126F3D">
        <w:rPr>
          <w:b w:val="0"/>
          <w:i w:val="0"/>
          <w:noProof/>
        </w:rPr>
        <w:pict>
          <v:rect id="_x0000_s1135" style="position:absolute;left:0;text-align:left;margin-left:108.65pt;margin-top:63.5pt;width:45.1pt;height:10.7pt;z-index:251740160" filled="f" fillcolor="white [3201]" strokecolor="#c0504d [3205]" strokeweight="2.5pt">
            <v:shadow color="#868686"/>
          </v:rect>
        </w:pict>
      </w:r>
      <w:r w:rsidR="00DD3853">
        <w:rPr>
          <w:b w:val="0"/>
          <w:i w:val="0"/>
          <w:noProof/>
        </w:rPr>
        <w:drawing>
          <wp:inline distT="0" distB="0" distL="0" distR="0">
            <wp:extent cx="3980456" cy="3608485"/>
            <wp:effectExtent l="19050" t="0" r="994" b="0"/>
            <wp:docPr id="6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7" cstate="email"/>
                    <a:srcRect/>
                    <a:stretch>
                      <a:fillRect/>
                    </a:stretch>
                  </pic:blipFill>
                  <pic:spPr bwMode="auto">
                    <a:xfrm>
                      <a:off x="0" y="0"/>
                      <a:ext cx="3989467" cy="3616654"/>
                    </a:xfrm>
                    <a:prstGeom prst="rect">
                      <a:avLst/>
                    </a:prstGeom>
                    <a:noFill/>
                    <a:ln w="9525">
                      <a:noFill/>
                      <a:miter lim="800000"/>
                      <a:headEnd/>
                      <a:tailEnd/>
                    </a:ln>
                  </pic:spPr>
                </pic:pic>
              </a:graphicData>
            </a:graphic>
          </wp:inline>
        </w:drawing>
      </w:r>
    </w:p>
    <w:p w:rsidR="00DD3853" w:rsidRDefault="00DD3853" w:rsidP="009278DD">
      <w:pPr>
        <w:pStyle w:val="ExampleText"/>
        <w:pBdr>
          <w:left w:val="single" w:sz="4" w:space="1" w:color="auto"/>
          <w:right w:val="single" w:sz="4" w:space="1" w:color="auto"/>
        </w:pBdr>
        <w:jc w:val="center"/>
      </w:pPr>
    </w:p>
    <w:p w:rsidR="00DD3853" w:rsidRDefault="00DD3853" w:rsidP="009278DD">
      <w:pPr>
        <w:pStyle w:val="ExampleBullets"/>
        <w:numPr>
          <w:ilvl w:val="0"/>
          <w:numId w:val="0"/>
        </w:numPr>
        <w:pBdr>
          <w:left w:val="single" w:sz="4" w:space="1" w:color="auto"/>
          <w:right w:val="single" w:sz="4" w:space="1" w:color="auto"/>
        </w:pBdr>
        <w:ind w:left="360"/>
      </w:pPr>
    </w:p>
    <w:p w:rsidR="00DD3853" w:rsidRDefault="00DD3853" w:rsidP="009531AF">
      <w:pPr>
        <w:pStyle w:val="ExampleBullets"/>
        <w:keepNext/>
        <w:numPr>
          <w:ilvl w:val="0"/>
          <w:numId w:val="86"/>
        </w:numPr>
        <w:pBdr>
          <w:left w:val="single" w:sz="4" w:space="1" w:color="auto"/>
          <w:right w:val="single" w:sz="4" w:space="1" w:color="auto"/>
        </w:pBdr>
      </w:pPr>
      <w:r>
        <w:t>Peak discharge is provided in the “Hydrograph Peak/Peak Time Table” that appears following the completion of the model run.  Record the “Peak Discharge (cfs)” (Figure IV.6).</w:t>
      </w:r>
    </w:p>
    <w:p w:rsidR="00DD3853" w:rsidRDefault="00DD3853" w:rsidP="003A7710">
      <w:pPr>
        <w:pStyle w:val="ExampleText"/>
        <w:pBdr>
          <w:left w:val="single" w:sz="4" w:space="1" w:color="auto"/>
          <w:right w:val="single" w:sz="4" w:space="1" w:color="auto"/>
        </w:pBdr>
      </w:pPr>
      <w:bookmarkStart w:id="298" w:name="_Toc288555037"/>
      <w:r w:rsidRPr="000709C2">
        <w:t xml:space="preserve">Figure </w:t>
      </w:r>
      <w:fldSimple w:instr=" STYLEREF 1 \s ">
        <w:r w:rsidR="00524D76">
          <w:rPr>
            <w:noProof/>
          </w:rPr>
          <w:t>IV</w:t>
        </w:r>
      </w:fldSimple>
      <w:r w:rsidR="00524D76">
        <w:t>.</w:t>
      </w:r>
      <w:fldSimple w:instr=" SEQ Figure \* ARABIC \s 1 ">
        <w:r w:rsidR="00524D76">
          <w:rPr>
            <w:noProof/>
          </w:rPr>
          <w:t>6</w:t>
        </w:r>
      </w:fldSimple>
      <w:r w:rsidR="003A7710">
        <w:rPr>
          <w:i w:val="0"/>
          <w:color w:val="0070C0"/>
        </w:rPr>
        <w:t xml:space="preserve">: </w:t>
      </w:r>
      <w:r>
        <w:t>WinTR-55 Hydrograph Peak/Peak Timetable screen</w:t>
      </w:r>
      <w:bookmarkEnd w:id="298"/>
    </w:p>
    <w:p w:rsidR="003A7710" w:rsidRDefault="003A7710" w:rsidP="003A7710">
      <w:pPr>
        <w:pStyle w:val="ExampleText"/>
        <w:pBdr>
          <w:left w:val="single" w:sz="4" w:space="1" w:color="auto"/>
          <w:right w:val="single" w:sz="4" w:space="1" w:color="auto"/>
        </w:pBdr>
        <w:jc w:val="center"/>
        <w:rPr>
          <w:i w:val="0"/>
          <w:color w:val="0070C0"/>
        </w:rPr>
      </w:pPr>
    </w:p>
    <w:p w:rsidR="00DD3853" w:rsidRDefault="00126F3D" w:rsidP="009278DD">
      <w:pPr>
        <w:pStyle w:val="ExampleText"/>
        <w:pBdr>
          <w:left w:val="single" w:sz="4" w:space="1" w:color="auto"/>
          <w:right w:val="single" w:sz="4" w:space="1" w:color="auto"/>
        </w:pBdr>
        <w:jc w:val="center"/>
      </w:pPr>
      <w:r w:rsidRPr="00126F3D">
        <w:rPr>
          <w:b w:val="0"/>
          <w:i w:val="0"/>
          <w:noProof/>
        </w:rPr>
        <w:pict>
          <v:rect id="_x0000_s1136" style="position:absolute;left:0;text-align:left;margin-left:159.75pt;margin-top:265.55pt;width:20.55pt;height:12.5pt;z-index:251741184" filled="f" fillcolor="white [3201]" strokecolor="#c0504d [3205]" strokeweight="2.5pt">
            <v:shadow color="#868686"/>
          </v:rect>
        </w:pict>
      </w:r>
      <w:r w:rsidR="00DD3853">
        <w:rPr>
          <w:b w:val="0"/>
          <w:i w:val="0"/>
          <w:noProof/>
        </w:rPr>
        <w:drawing>
          <wp:inline distT="0" distB="0" distL="0" distR="0">
            <wp:extent cx="3566353" cy="4667168"/>
            <wp:effectExtent l="19050" t="0" r="0" b="0"/>
            <wp:docPr id="6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8" cstate="email"/>
                    <a:srcRect/>
                    <a:stretch>
                      <a:fillRect/>
                    </a:stretch>
                  </pic:blipFill>
                  <pic:spPr bwMode="auto">
                    <a:xfrm>
                      <a:off x="0" y="0"/>
                      <a:ext cx="3566353" cy="4667168"/>
                    </a:xfrm>
                    <a:prstGeom prst="rect">
                      <a:avLst/>
                    </a:prstGeom>
                    <a:noFill/>
                    <a:ln w="9525">
                      <a:noFill/>
                      <a:miter lim="800000"/>
                      <a:headEnd/>
                      <a:tailEnd/>
                    </a:ln>
                  </pic:spPr>
                </pic:pic>
              </a:graphicData>
            </a:graphic>
          </wp:inline>
        </w:drawing>
      </w:r>
    </w:p>
    <w:p w:rsidR="00DD3853" w:rsidRDefault="00DD3853" w:rsidP="009278DD">
      <w:pPr>
        <w:pStyle w:val="ExampleBullets"/>
        <w:numPr>
          <w:ilvl w:val="0"/>
          <w:numId w:val="0"/>
        </w:numPr>
        <w:pBdr>
          <w:left w:val="single" w:sz="4" w:space="1" w:color="auto"/>
          <w:right w:val="single" w:sz="4" w:space="1" w:color="auto"/>
        </w:pBdr>
        <w:ind w:left="360"/>
      </w:pPr>
    </w:p>
    <w:p w:rsidR="00DD3853" w:rsidRDefault="00DD3853" w:rsidP="009531AF">
      <w:pPr>
        <w:pStyle w:val="ExampleBullets"/>
        <w:keepNext/>
        <w:numPr>
          <w:ilvl w:val="0"/>
          <w:numId w:val="86"/>
        </w:numPr>
        <w:pBdr>
          <w:left w:val="single" w:sz="4" w:space="1" w:color="auto"/>
          <w:right w:val="single" w:sz="4" w:space="1" w:color="auto"/>
        </w:pBdr>
      </w:pPr>
      <w:r>
        <w:t>Within the “Hydrograph Peak/Peak Time Table” select the WinTR-20 pull-down menu and select “Printed Page File” to access the “WinTR-20 Printed Page File.”</w:t>
      </w:r>
    </w:p>
    <w:p w:rsidR="00DD3853" w:rsidRDefault="00DD3853" w:rsidP="009531AF">
      <w:pPr>
        <w:pStyle w:val="ExampleBullets"/>
        <w:keepNext/>
        <w:numPr>
          <w:ilvl w:val="0"/>
          <w:numId w:val="86"/>
        </w:numPr>
        <w:pBdr>
          <w:left w:val="single" w:sz="4" w:space="1" w:color="auto"/>
          <w:right w:val="single" w:sz="4" w:space="1" w:color="auto"/>
        </w:pBdr>
      </w:pPr>
      <w:r>
        <w:t>Scroll down to the page titled TR20.out and record the “Runoff Amount (in).”  Convert the rainfall runoff depth into acre feet (dividing by 12 inches/foot and multiplying by the total acreage).  Record the total volume of runoff from the modeled area (Figure IV.7).</w:t>
      </w:r>
    </w:p>
    <w:p w:rsidR="00DD3853" w:rsidRDefault="00DD3853" w:rsidP="009278DD">
      <w:pPr>
        <w:pStyle w:val="ExampleBullets"/>
        <w:keepNext/>
        <w:numPr>
          <w:ilvl w:val="0"/>
          <w:numId w:val="0"/>
        </w:numPr>
        <w:pBdr>
          <w:left w:val="single" w:sz="4" w:space="1" w:color="auto"/>
          <w:right w:val="single" w:sz="4" w:space="1" w:color="auto"/>
        </w:pBdr>
        <w:ind w:left="360" w:firstLine="360"/>
        <w:jc w:val="center"/>
        <w:rPr>
          <w:b/>
          <w:i/>
        </w:rPr>
      </w:pPr>
      <w:r w:rsidRPr="00DD3853">
        <w:rPr>
          <w:b/>
          <w:i/>
        </w:rPr>
        <w:t>Existing 2-yr Runoff volume = 0.172 inches × 2 acres × 43,560 sq-ft/ac × 1ft/12inches = 1,249 cu-ft</w:t>
      </w:r>
    </w:p>
    <w:p w:rsidR="009278DD" w:rsidRPr="00DD3853" w:rsidRDefault="009278DD" w:rsidP="009278DD">
      <w:pPr>
        <w:pStyle w:val="ExampleBullets"/>
        <w:keepNext/>
        <w:numPr>
          <w:ilvl w:val="0"/>
          <w:numId w:val="0"/>
        </w:numPr>
        <w:pBdr>
          <w:left w:val="single" w:sz="4" w:space="1" w:color="auto"/>
          <w:right w:val="single" w:sz="4" w:space="1" w:color="auto"/>
        </w:pBdr>
        <w:ind w:left="360"/>
        <w:jc w:val="center"/>
        <w:rPr>
          <w:b/>
          <w:i/>
        </w:rPr>
      </w:pPr>
    </w:p>
    <w:p w:rsidR="00DD3853" w:rsidRDefault="00DD3853" w:rsidP="003A7710">
      <w:pPr>
        <w:pStyle w:val="ExampleText"/>
        <w:pBdr>
          <w:left w:val="single" w:sz="4" w:space="1" w:color="auto"/>
          <w:right w:val="single" w:sz="4" w:space="1" w:color="auto"/>
        </w:pBdr>
      </w:pPr>
      <w:bookmarkStart w:id="299" w:name="_Toc288555038"/>
      <w:r w:rsidRPr="000709C2">
        <w:t xml:space="preserve">Figure </w:t>
      </w:r>
      <w:fldSimple w:instr=" STYLEREF 1 \s ">
        <w:r w:rsidR="00524D76">
          <w:rPr>
            <w:noProof/>
          </w:rPr>
          <w:t>IV</w:t>
        </w:r>
      </w:fldSimple>
      <w:r w:rsidR="00524D76">
        <w:t>.</w:t>
      </w:r>
      <w:fldSimple w:instr=" SEQ Figure \* ARABIC \s 1 ">
        <w:r w:rsidR="00524D76">
          <w:rPr>
            <w:noProof/>
          </w:rPr>
          <w:t>7</w:t>
        </w:r>
      </w:fldSimple>
      <w:r w:rsidR="003A7710">
        <w:rPr>
          <w:i w:val="0"/>
          <w:color w:val="0070C0"/>
        </w:rPr>
        <w:t xml:space="preserve">: </w:t>
      </w:r>
      <w:r>
        <w:t>WinTR-20 Printed Page File screen</w:t>
      </w:r>
      <w:bookmarkEnd w:id="299"/>
    </w:p>
    <w:p w:rsidR="003A7710" w:rsidRDefault="003A7710" w:rsidP="003A7710">
      <w:pPr>
        <w:pStyle w:val="ExampleText"/>
        <w:pBdr>
          <w:left w:val="single" w:sz="4" w:space="1" w:color="auto"/>
          <w:right w:val="single" w:sz="4" w:space="1" w:color="auto"/>
        </w:pBdr>
        <w:jc w:val="center"/>
        <w:rPr>
          <w:i w:val="0"/>
          <w:color w:val="0070C0"/>
        </w:rPr>
      </w:pPr>
    </w:p>
    <w:p w:rsidR="00DD3853" w:rsidRDefault="00126F3D" w:rsidP="009278DD">
      <w:pPr>
        <w:pStyle w:val="ExampleText"/>
        <w:pBdr>
          <w:left w:val="single" w:sz="4" w:space="1" w:color="auto"/>
          <w:right w:val="single" w:sz="4" w:space="1" w:color="auto"/>
        </w:pBdr>
        <w:jc w:val="center"/>
      </w:pPr>
      <w:r w:rsidRPr="00126F3D">
        <w:rPr>
          <w:b w:val="0"/>
          <w:i w:val="0"/>
          <w:noProof/>
        </w:rPr>
        <w:pict>
          <v:rect id="_x0000_s1137" style="position:absolute;left:0;text-align:left;margin-left:206.2pt;margin-top:84.3pt;width:27.05pt;height:13.55pt;z-index:251742208" filled="f" fillcolor="white [3201]" strokecolor="#c0504d [3205]" strokeweight="2.5pt">
            <v:shadow color="#868686"/>
          </v:rect>
        </w:pict>
      </w:r>
      <w:r w:rsidR="00DD3853">
        <w:rPr>
          <w:b w:val="0"/>
          <w:i w:val="0"/>
          <w:noProof/>
        </w:rPr>
        <w:drawing>
          <wp:inline distT="0" distB="0" distL="0" distR="0">
            <wp:extent cx="4724400" cy="3620367"/>
            <wp:effectExtent l="19050" t="0" r="0" b="0"/>
            <wp:docPr id="6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cstate="email"/>
                    <a:srcRect/>
                    <a:stretch>
                      <a:fillRect/>
                    </a:stretch>
                  </pic:blipFill>
                  <pic:spPr bwMode="auto">
                    <a:xfrm>
                      <a:off x="0" y="0"/>
                      <a:ext cx="4724400" cy="3620367"/>
                    </a:xfrm>
                    <a:prstGeom prst="rect">
                      <a:avLst/>
                    </a:prstGeom>
                    <a:noFill/>
                    <a:ln w="9525">
                      <a:noFill/>
                      <a:miter lim="800000"/>
                      <a:headEnd/>
                      <a:tailEnd/>
                    </a:ln>
                  </pic:spPr>
                </pic:pic>
              </a:graphicData>
            </a:graphic>
          </wp:inline>
        </w:drawing>
      </w:r>
    </w:p>
    <w:p w:rsidR="00DD3853" w:rsidRDefault="00DD3853" w:rsidP="009278DD">
      <w:pPr>
        <w:pStyle w:val="ExampleBullets"/>
        <w:numPr>
          <w:ilvl w:val="0"/>
          <w:numId w:val="0"/>
        </w:numPr>
        <w:pBdr>
          <w:left w:val="single" w:sz="4" w:space="1" w:color="auto"/>
          <w:right w:val="single" w:sz="4" w:space="1" w:color="auto"/>
        </w:pBdr>
        <w:ind w:left="360"/>
      </w:pPr>
    </w:p>
    <w:p w:rsidR="00DD3853" w:rsidRDefault="00DD3853" w:rsidP="009531AF">
      <w:pPr>
        <w:pStyle w:val="ExampleBullets"/>
        <w:numPr>
          <w:ilvl w:val="0"/>
          <w:numId w:val="86"/>
        </w:numPr>
        <w:pBdr>
          <w:left w:val="single" w:sz="4" w:space="1" w:color="auto"/>
          <w:right w:val="single" w:sz="4" w:space="1" w:color="auto"/>
        </w:pBdr>
      </w:pPr>
      <w:r>
        <w:t>From the same “WinTR-20 Printed Page File” select the time and rate of runoff values for the duration reported and transfer these values into a plotting program (i.e. Microsoft Excel®) (Figure IV.7).  Save Project, WinTR-20, and WinTR-55 outputs as records.</w:t>
      </w:r>
    </w:p>
    <w:p w:rsidR="00DD3853" w:rsidRDefault="00DD3853" w:rsidP="009531AF">
      <w:pPr>
        <w:pStyle w:val="ExampleBullets"/>
        <w:numPr>
          <w:ilvl w:val="0"/>
          <w:numId w:val="86"/>
        </w:numPr>
        <w:pBdr>
          <w:left w:val="single" w:sz="4" w:space="1" w:color="auto"/>
          <w:right w:val="single" w:sz="4" w:space="1" w:color="auto"/>
        </w:pBdr>
      </w:pPr>
      <w:r>
        <w:t>Initiate a second WinTR-55 Project and complete steps 1 through 11 for the proposed scenario.  Selection of land uses for the proposed condition shall be limited to options under the headings of “Fully Developed Urban Areas (</w:t>
      </w:r>
      <w:proofErr w:type="spellStart"/>
      <w:r>
        <w:t>Veg</w:t>
      </w:r>
      <w:proofErr w:type="spellEnd"/>
      <w:r>
        <w:t xml:space="preserve"> </w:t>
      </w:r>
      <w:proofErr w:type="spellStart"/>
      <w:r>
        <w:t>Estab</w:t>
      </w:r>
      <w:proofErr w:type="spellEnd"/>
      <w:r>
        <w:t>.)” and “</w:t>
      </w:r>
      <w:r w:rsidRPr="00A15E3D">
        <w:t>Impervious Area</w:t>
      </w:r>
      <w:r>
        <w:t>” (Figure IV.8).  Selected land uses should reflect the proposed percent impervious (i.e. 80% impervious would be represented by selecting 80% “Paved parking lots, roads, driveways” and 20% for the appropriate pervious condition by area).</w:t>
      </w:r>
    </w:p>
    <w:p w:rsidR="00DD3853" w:rsidRDefault="00DD3853" w:rsidP="003A7710">
      <w:pPr>
        <w:pStyle w:val="ExampleText"/>
        <w:pBdr>
          <w:left w:val="single" w:sz="4" w:space="1" w:color="auto"/>
          <w:right w:val="single" w:sz="4" w:space="1" w:color="auto"/>
        </w:pBdr>
      </w:pPr>
      <w:bookmarkStart w:id="300" w:name="_Toc288555039"/>
      <w:r w:rsidRPr="000709C2">
        <w:t xml:space="preserve">Figure </w:t>
      </w:r>
      <w:fldSimple w:instr=" STYLEREF 1 \s ">
        <w:r w:rsidR="00524D76">
          <w:rPr>
            <w:noProof/>
          </w:rPr>
          <w:t>IV</w:t>
        </w:r>
      </w:fldSimple>
      <w:r w:rsidR="00524D76">
        <w:t>.</w:t>
      </w:r>
      <w:fldSimple w:instr=" SEQ Figure \* ARABIC \s 1 ">
        <w:r w:rsidR="00524D76">
          <w:rPr>
            <w:noProof/>
          </w:rPr>
          <w:t>8</w:t>
        </w:r>
      </w:fldSimple>
      <w:r w:rsidR="003A7710">
        <w:rPr>
          <w:i w:val="0"/>
          <w:color w:val="0070C0"/>
        </w:rPr>
        <w:t xml:space="preserve">: </w:t>
      </w:r>
      <w:r>
        <w:t>WinTR-55 Proposed Condition Land Use Details screen</w:t>
      </w:r>
      <w:bookmarkEnd w:id="300"/>
    </w:p>
    <w:p w:rsidR="003A7710" w:rsidRDefault="003A7710" w:rsidP="003A7710">
      <w:pPr>
        <w:pStyle w:val="ExampleText"/>
        <w:pBdr>
          <w:left w:val="single" w:sz="4" w:space="1" w:color="auto"/>
          <w:right w:val="single" w:sz="4" w:space="1" w:color="auto"/>
        </w:pBdr>
        <w:jc w:val="center"/>
        <w:rPr>
          <w:i w:val="0"/>
          <w:color w:val="0070C0"/>
        </w:rPr>
      </w:pPr>
    </w:p>
    <w:p w:rsidR="00DD3853" w:rsidRDefault="00126F3D" w:rsidP="009278DD">
      <w:pPr>
        <w:pStyle w:val="ExampleText"/>
        <w:pBdr>
          <w:left w:val="single" w:sz="4" w:space="1" w:color="auto"/>
          <w:right w:val="single" w:sz="4" w:space="1" w:color="auto"/>
        </w:pBdr>
        <w:jc w:val="center"/>
      </w:pPr>
      <w:r w:rsidRPr="00126F3D">
        <w:rPr>
          <w:b w:val="0"/>
          <w:i w:val="0"/>
          <w:noProof/>
        </w:rPr>
        <w:pict>
          <v:rect id="_x0000_s1139" style="position:absolute;left:0;text-align:left;margin-left:93.5pt;margin-top:114.6pt;width:288.4pt;height:55.75pt;z-index:251744256" filled="f" fillcolor="white [3201]" strokecolor="#c0504d [3205]" strokeweight="2.5pt">
            <v:shadow color="#868686"/>
          </v:rect>
        </w:pict>
      </w:r>
      <w:r w:rsidRPr="00126F3D">
        <w:rPr>
          <w:b w:val="0"/>
          <w:i w:val="0"/>
          <w:noProof/>
        </w:rPr>
        <w:pict>
          <v:rect id="_x0000_s1138" style="position:absolute;left:0;text-align:left;margin-left:93.5pt;margin-top:73.25pt;width:288.4pt;height:37pt;z-index:251743232" filled="f" fillcolor="white [3201]" strokecolor="#c0504d [3205]" strokeweight="2.5pt">
            <v:shadow color="#868686"/>
          </v:rect>
        </w:pict>
      </w:r>
      <w:r w:rsidR="00DD3853">
        <w:rPr>
          <w:b w:val="0"/>
          <w:i w:val="0"/>
          <w:noProof/>
        </w:rPr>
        <w:drawing>
          <wp:inline distT="0" distB="0" distL="0" distR="0">
            <wp:extent cx="3986533" cy="3177642"/>
            <wp:effectExtent l="19050" t="0" r="0" b="0"/>
            <wp:docPr id="6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0" cstate="email"/>
                    <a:srcRect/>
                    <a:stretch>
                      <a:fillRect/>
                    </a:stretch>
                  </pic:blipFill>
                  <pic:spPr bwMode="auto">
                    <a:xfrm>
                      <a:off x="0" y="0"/>
                      <a:ext cx="3990758" cy="3181010"/>
                    </a:xfrm>
                    <a:prstGeom prst="rect">
                      <a:avLst/>
                    </a:prstGeom>
                    <a:noFill/>
                    <a:ln w="9525">
                      <a:noFill/>
                      <a:miter lim="800000"/>
                      <a:headEnd/>
                      <a:tailEnd/>
                    </a:ln>
                  </pic:spPr>
                </pic:pic>
              </a:graphicData>
            </a:graphic>
          </wp:inline>
        </w:drawing>
      </w:r>
    </w:p>
    <w:p w:rsidR="00DD3853" w:rsidRDefault="00DD3853" w:rsidP="009278DD">
      <w:pPr>
        <w:pStyle w:val="ExampleBullets"/>
        <w:numPr>
          <w:ilvl w:val="0"/>
          <w:numId w:val="0"/>
        </w:numPr>
        <w:pBdr>
          <w:left w:val="single" w:sz="4" w:space="1" w:color="auto"/>
          <w:right w:val="single" w:sz="4" w:space="1" w:color="auto"/>
        </w:pBdr>
        <w:ind w:left="720" w:hanging="360"/>
      </w:pPr>
    </w:p>
    <w:p w:rsidR="00DD3853" w:rsidRDefault="00DD3853" w:rsidP="002C242C">
      <w:pPr>
        <w:pStyle w:val="CDMBTEXT"/>
      </w:pPr>
    </w:p>
    <w:p w:rsidR="00AF13E1" w:rsidRPr="007A343A" w:rsidRDefault="00AF13E1" w:rsidP="0027571A">
      <w:pPr>
        <w:pStyle w:val="ExampleHeading"/>
      </w:pPr>
      <w:bookmarkStart w:id="301" w:name="_Ref287974940"/>
      <w:bookmarkStart w:id="302" w:name="_Toc288541066"/>
      <w:bookmarkStart w:id="303" w:name="_Toc288554449"/>
      <w:proofErr w:type="gramStart"/>
      <w:r w:rsidRPr="007A343A">
        <w:t xml:space="preserve">Example </w:t>
      </w:r>
      <w:r w:rsidR="00126F3D" w:rsidRPr="00126DE5">
        <w:rPr>
          <w:color w:val="0070C0"/>
        </w:rPr>
        <w:fldChar w:fldCharType="begin"/>
      </w:r>
      <w:r w:rsidR="003F38A8" w:rsidRPr="00126DE5">
        <w:rPr>
          <w:color w:val="0070C0"/>
        </w:rPr>
        <w:instrText xml:space="preserve"> STYLEREF 1 \s </w:instrText>
      </w:r>
      <w:r w:rsidR="00126F3D" w:rsidRPr="00126DE5">
        <w:rPr>
          <w:color w:val="0070C0"/>
        </w:rPr>
        <w:fldChar w:fldCharType="separate"/>
      </w:r>
      <w:r w:rsidR="00126DE5" w:rsidRPr="00126DE5">
        <w:rPr>
          <w:noProof/>
          <w:color w:val="0070C0"/>
        </w:rPr>
        <w:t>IV</w:t>
      </w:r>
      <w:r w:rsidR="00126F3D" w:rsidRPr="00126DE5">
        <w:rPr>
          <w:color w:val="0070C0"/>
        </w:rPr>
        <w:fldChar w:fldCharType="end"/>
      </w:r>
      <w:r w:rsidRPr="007A343A">
        <w:t>.</w:t>
      </w:r>
      <w:proofErr w:type="gramEnd"/>
      <w:r w:rsidR="00126F3D" w:rsidRPr="00126DE5">
        <w:rPr>
          <w:color w:val="0070C0"/>
        </w:rPr>
        <w:fldChar w:fldCharType="begin"/>
      </w:r>
      <w:r w:rsidR="00D60236" w:rsidRPr="00126DE5">
        <w:rPr>
          <w:color w:val="0070C0"/>
        </w:rPr>
        <w:instrText xml:space="preserve"> SEQ Example \* ARABIC \s 1 </w:instrText>
      </w:r>
      <w:r w:rsidR="00126F3D" w:rsidRPr="00126DE5">
        <w:rPr>
          <w:color w:val="0070C0"/>
        </w:rPr>
        <w:fldChar w:fldCharType="separate"/>
      </w:r>
      <w:r w:rsidR="00126DE5" w:rsidRPr="00126DE5">
        <w:rPr>
          <w:noProof/>
          <w:color w:val="0070C0"/>
        </w:rPr>
        <w:t>2</w:t>
      </w:r>
      <w:r w:rsidR="00126F3D" w:rsidRPr="00126DE5">
        <w:rPr>
          <w:color w:val="0070C0"/>
        </w:rPr>
        <w:fldChar w:fldCharType="end"/>
      </w:r>
      <w:bookmarkEnd w:id="301"/>
      <w:r w:rsidRPr="007A343A">
        <w:t>: Computing Time of Concentration using TR-55 Methods</w:t>
      </w:r>
      <w:bookmarkEnd w:id="302"/>
      <w:bookmarkEnd w:id="303"/>
    </w:p>
    <w:p w:rsidR="00AF13E1" w:rsidRPr="00B53524" w:rsidRDefault="00AF13E1" w:rsidP="00AF13E1">
      <w:pPr>
        <w:pStyle w:val="ExampleSubheading"/>
        <w:outlineLvl w:val="0"/>
      </w:pPr>
      <w:r w:rsidRPr="00311A64">
        <w:t>Given:</w:t>
      </w:r>
    </w:p>
    <w:p w:rsidR="00AF13E1" w:rsidRDefault="00AF13E1" w:rsidP="009531AF">
      <w:pPr>
        <w:pStyle w:val="ExampleBullets"/>
        <w:keepNext/>
        <w:numPr>
          <w:ilvl w:val="0"/>
          <w:numId w:val="88"/>
        </w:numPr>
      </w:pPr>
      <w:r>
        <w:t>Project Elevation: 1,200 ft</w:t>
      </w:r>
    </w:p>
    <w:p w:rsidR="00AF13E1" w:rsidRDefault="00AF13E1" w:rsidP="009531AF">
      <w:pPr>
        <w:pStyle w:val="ExampleBullets"/>
        <w:keepNext/>
        <w:numPr>
          <w:ilvl w:val="0"/>
          <w:numId w:val="88"/>
        </w:numPr>
      </w:pPr>
      <w:r w:rsidRPr="00311A64">
        <w:t xml:space="preserve">Drainage Area = </w:t>
      </w:r>
      <w:r>
        <w:t xml:space="preserve">2.0 </w:t>
      </w:r>
      <w:r w:rsidRPr="00311A64">
        <w:t>acres</w:t>
      </w:r>
    </w:p>
    <w:p w:rsidR="00AF13E1" w:rsidRDefault="00AF13E1" w:rsidP="009531AF">
      <w:pPr>
        <w:pStyle w:val="ExampleBullets"/>
        <w:keepNext/>
        <w:numPr>
          <w:ilvl w:val="0"/>
          <w:numId w:val="88"/>
        </w:numPr>
      </w:pPr>
      <w:r>
        <w:t>Hydrologic Soil Group = B</w:t>
      </w:r>
    </w:p>
    <w:p w:rsidR="00AF13E1" w:rsidRDefault="00AF13E1" w:rsidP="009531AF">
      <w:pPr>
        <w:pStyle w:val="ExampleBullets"/>
        <w:keepNext/>
        <w:numPr>
          <w:ilvl w:val="0"/>
          <w:numId w:val="88"/>
        </w:numPr>
      </w:pPr>
      <w:r>
        <w:t>Existing Condition: 1.8 acres of herbaceous grassland in fair condition, with 0.2 acres of miscellaneous roads and structures; imperviousness = 11 percent</w:t>
      </w:r>
    </w:p>
    <w:p w:rsidR="00AF13E1" w:rsidRDefault="00AF13E1" w:rsidP="009531AF">
      <w:pPr>
        <w:pStyle w:val="ExampleBullets"/>
        <w:keepNext/>
        <w:numPr>
          <w:ilvl w:val="0"/>
          <w:numId w:val="88"/>
        </w:numPr>
      </w:pPr>
      <w:r>
        <w:t>Existing flow path: 100 ft overland sheet flow @ 3% slope, 50 ft shallow concentrated flow @ 3% slope (unpaved), 300 ft ditch @ 0.5% slope</w:t>
      </w:r>
    </w:p>
    <w:p w:rsidR="00AF13E1" w:rsidRDefault="00AF13E1" w:rsidP="009531AF">
      <w:pPr>
        <w:pStyle w:val="ExampleBullets"/>
        <w:keepNext/>
        <w:numPr>
          <w:ilvl w:val="0"/>
          <w:numId w:val="88"/>
        </w:numPr>
      </w:pPr>
      <w:r>
        <w:t>Proposed Condition: multi-family residential; imperviousness = 80 percent</w:t>
      </w:r>
    </w:p>
    <w:p w:rsidR="00AF13E1" w:rsidRDefault="00AF13E1" w:rsidP="009531AF">
      <w:pPr>
        <w:pStyle w:val="ExampleBullets"/>
        <w:keepNext/>
        <w:numPr>
          <w:ilvl w:val="0"/>
          <w:numId w:val="88"/>
        </w:numPr>
      </w:pPr>
      <w:r>
        <w:t>Proposed flow path: 100 ft overland sheet flow @ 10% slope (roofs and driveways); 400 ft of stormdrain @ 0.5% slope</w:t>
      </w:r>
    </w:p>
    <w:p w:rsidR="00AF13E1" w:rsidRDefault="00AF13E1" w:rsidP="009531AF">
      <w:pPr>
        <w:pStyle w:val="ExampleBullets"/>
        <w:keepNext/>
        <w:numPr>
          <w:ilvl w:val="0"/>
          <w:numId w:val="88"/>
        </w:numPr>
      </w:pPr>
      <w:r>
        <w:t>Infiltration basin proposed for project with ret</w:t>
      </w:r>
      <w:r w:rsidR="002C242C">
        <w:t>ention storage capacity of 7,730</w:t>
      </w:r>
      <w:r>
        <w:t xml:space="preserve"> cu-ft (See</w:t>
      </w:r>
      <w:r w:rsidR="00647B99">
        <w:rPr>
          <w:b/>
          <w:color w:val="0070C0"/>
        </w:rPr>
        <w:t xml:space="preserve"> </w:t>
      </w:r>
      <w:r w:rsidR="00126F3D" w:rsidRPr="00126DE5">
        <w:rPr>
          <w:rFonts w:ascii="Book Antiqua" w:hAnsi="Book Antiqua"/>
          <w:b/>
          <w:color w:val="0070C0"/>
        </w:rPr>
        <w:fldChar w:fldCharType="begin"/>
      </w:r>
      <w:r w:rsidR="00647B99" w:rsidRPr="00126DE5">
        <w:rPr>
          <w:rFonts w:ascii="Book Antiqua" w:hAnsi="Book Antiqua"/>
          <w:b/>
          <w:color w:val="0070C0"/>
        </w:rPr>
        <w:instrText xml:space="preserve"> REF _Ref287621246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 xml:space="preserve">Example </w:t>
      </w:r>
      <w:r w:rsidR="00126DE5" w:rsidRPr="00126DE5">
        <w:rPr>
          <w:rFonts w:ascii="Book Antiqua" w:hAnsi="Book Antiqua"/>
          <w:b/>
          <w:noProof/>
          <w:color w:val="0070C0"/>
        </w:rPr>
        <w:t>IV</w:t>
      </w:r>
      <w:r w:rsidR="00126DE5" w:rsidRPr="00126DE5">
        <w:rPr>
          <w:rFonts w:ascii="Book Antiqua" w:hAnsi="Book Antiqua"/>
          <w:b/>
          <w:color w:val="0070C0"/>
        </w:rPr>
        <w:t>.</w:t>
      </w:r>
      <w:r w:rsidR="00126DE5" w:rsidRPr="00126DE5">
        <w:rPr>
          <w:rFonts w:ascii="Book Antiqua" w:hAnsi="Book Antiqua"/>
          <w:b/>
          <w:noProof/>
          <w:color w:val="0070C0"/>
        </w:rPr>
        <w:t>1</w:t>
      </w:r>
      <w:r w:rsidR="00126F3D" w:rsidRPr="00126DE5">
        <w:rPr>
          <w:rFonts w:ascii="Book Antiqua" w:hAnsi="Book Antiqua"/>
          <w:b/>
          <w:color w:val="0070C0"/>
        </w:rPr>
        <w:fldChar w:fldCharType="end"/>
      </w:r>
      <w:r>
        <w:t>)</w:t>
      </w:r>
    </w:p>
    <w:p w:rsidR="00AF13E1" w:rsidRPr="00B53524" w:rsidRDefault="00AF13E1" w:rsidP="00AF13E1">
      <w:pPr>
        <w:pStyle w:val="ExampleSubheading"/>
        <w:outlineLvl w:val="0"/>
      </w:pPr>
      <w:r w:rsidRPr="00311A64">
        <w:t>Required:</w:t>
      </w:r>
    </w:p>
    <w:p w:rsidR="00AF13E1" w:rsidRDefault="00AF13E1" w:rsidP="009531AF">
      <w:pPr>
        <w:pStyle w:val="ExampleBullets"/>
        <w:numPr>
          <w:ilvl w:val="0"/>
          <w:numId w:val="63"/>
        </w:numPr>
      </w:pPr>
      <w:r>
        <w:t xml:space="preserve">Calculate </w:t>
      </w:r>
      <w:r w:rsidRPr="002365B9">
        <w:t>T</w:t>
      </w:r>
      <w:r w:rsidRPr="002365B9">
        <w:rPr>
          <w:vertAlign w:val="subscript"/>
        </w:rPr>
        <w:t>c</w:t>
      </w:r>
      <w:r>
        <w:t xml:space="preserve"> of existing condition</w:t>
      </w:r>
    </w:p>
    <w:p w:rsidR="00AF13E1" w:rsidRDefault="00AF13E1" w:rsidP="009531AF">
      <w:pPr>
        <w:pStyle w:val="ExampleBullets"/>
        <w:numPr>
          <w:ilvl w:val="0"/>
          <w:numId w:val="63"/>
        </w:numPr>
      </w:pPr>
      <w:r>
        <w:t xml:space="preserve">Calculate </w:t>
      </w:r>
      <w:r w:rsidRPr="002365B9">
        <w:t>T</w:t>
      </w:r>
      <w:r w:rsidRPr="002365B9">
        <w:rPr>
          <w:vertAlign w:val="subscript"/>
        </w:rPr>
        <w:t>c</w:t>
      </w:r>
      <w:r>
        <w:t xml:space="preserve"> of proposed condition without BMPs</w:t>
      </w:r>
    </w:p>
    <w:p w:rsidR="00AF13E1" w:rsidRPr="00B53524" w:rsidRDefault="00AF13E1" w:rsidP="009531AF">
      <w:pPr>
        <w:pStyle w:val="ExampleBullets"/>
        <w:numPr>
          <w:ilvl w:val="0"/>
          <w:numId w:val="63"/>
        </w:numPr>
      </w:pPr>
      <w:r>
        <w:t xml:space="preserve">Calculate effective </w:t>
      </w:r>
      <w:r w:rsidRPr="002365B9">
        <w:t>T</w:t>
      </w:r>
      <w:r w:rsidRPr="002365B9">
        <w:rPr>
          <w:vertAlign w:val="subscript"/>
        </w:rPr>
        <w:t>c</w:t>
      </w:r>
      <w:r>
        <w:t xml:space="preserve"> of proposed condition with BMPs</w:t>
      </w:r>
    </w:p>
    <w:p w:rsidR="00AF13E1" w:rsidRPr="00B53524" w:rsidRDefault="00AF13E1" w:rsidP="00AF13E1">
      <w:pPr>
        <w:pStyle w:val="ExampleSubheading"/>
        <w:outlineLvl w:val="0"/>
      </w:pPr>
      <w:r w:rsidRPr="00311A64">
        <w:t>Solution:</w:t>
      </w:r>
    </w:p>
    <w:p w:rsidR="00AF13E1" w:rsidRDefault="00AF13E1" w:rsidP="009531AF">
      <w:pPr>
        <w:pStyle w:val="ExampleNumbers"/>
        <w:numPr>
          <w:ilvl w:val="0"/>
          <w:numId w:val="89"/>
        </w:numPr>
        <w:ind w:left="720"/>
      </w:pPr>
      <w:r>
        <w:t>0.178 hr</w:t>
      </w:r>
    </w:p>
    <w:p w:rsidR="00AF13E1" w:rsidRDefault="00AF13E1" w:rsidP="009531AF">
      <w:pPr>
        <w:pStyle w:val="ExampleNumbers"/>
        <w:numPr>
          <w:ilvl w:val="0"/>
          <w:numId w:val="89"/>
        </w:numPr>
        <w:ind w:left="720"/>
      </w:pPr>
      <w:r>
        <w:t>0.013 hr (0.1 used by TR-55 as a minimum value)</w:t>
      </w:r>
    </w:p>
    <w:p w:rsidR="00AF13E1" w:rsidRPr="00B53524" w:rsidRDefault="00AF13E1" w:rsidP="009531AF">
      <w:pPr>
        <w:pStyle w:val="ExampleNumbers"/>
        <w:numPr>
          <w:ilvl w:val="0"/>
          <w:numId w:val="89"/>
        </w:numPr>
        <w:ind w:left="720"/>
      </w:pPr>
      <w:r>
        <w:t>9.94 hr</w:t>
      </w:r>
    </w:p>
    <w:p w:rsidR="00AF13E1" w:rsidRPr="00B53524" w:rsidRDefault="00AF13E1" w:rsidP="00AF13E1">
      <w:pPr>
        <w:pStyle w:val="ExampleSubheading"/>
        <w:outlineLvl w:val="0"/>
      </w:pPr>
      <w:r>
        <w:rPr>
          <w:shd w:val="clear" w:color="auto" w:fill="D9D9D9" w:themeFill="background1" w:themeFillShade="D9"/>
        </w:rPr>
        <w:t>Solution Steps</w:t>
      </w:r>
      <w:r w:rsidRPr="00311A64">
        <w:rPr>
          <w:shd w:val="clear" w:color="auto" w:fill="D9D9D9" w:themeFill="background1" w:themeFillShade="D9"/>
        </w:rPr>
        <w:t>:</w:t>
      </w:r>
    </w:p>
    <w:p w:rsidR="00AF13E1" w:rsidRDefault="00AF13E1" w:rsidP="009531AF">
      <w:pPr>
        <w:pStyle w:val="ExampleBullets"/>
        <w:numPr>
          <w:ilvl w:val="0"/>
          <w:numId w:val="87"/>
        </w:numPr>
      </w:pPr>
      <w:r>
        <w:t xml:space="preserve">See </w:t>
      </w:r>
      <w:r w:rsidR="00126F3D" w:rsidRPr="00126DE5">
        <w:rPr>
          <w:rFonts w:ascii="Book Antiqua" w:hAnsi="Book Antiqua"/>
          <w:b/>
          <w:color w:val="0070C0"/>
        </w:rPr>
        <w:fldChar w:fldCharType="begin"/>
      </w:r>
      <w:r w:rsidR="00647B99" w:rsidRPr="00126DE5">
        <w:rPr>
          <w:rFonts w:ascii="Book Antiqua" w:hAnsi="Book Antiqua"/>
          <w:b/>
          <w:color w:val="0070C0"/>
        </w:rPr>
        <w:instrText xml:space="preserve"> REF _Ref287621246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 xml:space="preserve">Example </w:t>
      </w:r>
      <w:r w:rsidR="00126DE5" w:rsidRPr="00126DE5">
        <w:rPr>
          <w:rFonts w:ascii="Book Antiqua" w:hAnsi="Book Antiqua"/>
          <w:b/>
          <w:noProof/>
          <w:color w:val="0070C0"/>
        </w:rPr>
        <w:t>IV</w:t>
      </w:r>
      <w:r w:rsidR="00126DE5" w:rsidRPr="00126DE5">
        <w:rPr>
          <w:rFonts w:ascii="Book Antiqua" w:hAnsi="Book Antiqua"/>
          <w:b/>
          <w:color w:val="0070C0"/>
        </w:rPr>
        <w:t>.</w:t>
      </w:r>
      <w:r w:rsidR="00126DE5" w:rsidRPr="00126DE5">
        <w:rPr>
          <w:rFonts w:ascii="Book Antiqua" w:hAnsi="Book Antiqua"/>
          <w:b/>
          <w:noProof/>
          <w:color w:val="0070C0"/>
        </w:rPr>
        <w:t>1</w:t>
      </w:r>
      <w:r w:rsidR="00126F3D" w:rsidRPr="00126DE5">
        <w:rPr>
          <w:rFonts w:ascii="Book Antiqua" w:hAnsi="Book Antiqua"/>
          <w:b/>
          <w:color w:val="0070C0"/>
        </w:rPr>
        <w:fldChar w:fldCharType="end"/>
      </w:r>
      <w:r w:rsidR="00647B99">
        <w:t xml:space="preserve"> </w:t>
      </w:r>
      <w:r>
        <w:t>Steps 1 through 12 for direction in setting up existing and proposed WinTR-55 models, recording relevant information, and obtaining data to plot hydrographs.</w:t>
      </w:r>
    </w:p>
    <w:p w:rsidR="00AF13E1" w:rsidRDefault="009278DD" w:rsidP="009531AF">
      <w:pPr>
        <w:pStyle w:val="ExampleBullets"/>
        <w:numPr>
          <w:ilvl w:val="0"/>
          <w:numId w:val="87"/>
        </w:numPr>
      </w:pPr>
      <w:r>
        <w:t>Times of Concentration for e</w:t>
      </w:r>
      <w:r w:rsidR="00AF13E1">
        <w:t xml:space="preserve">xisting </w:t>
      </w:r>
      <w:r>
        <w:t xml:space="preserve">conditions </w:t>
      </w:r>
      <w:r w:rsidR="00AF13E1">
        <w:t xml:space="preserve">and proposed </w:t>
      </w:r>
      <w:r>
        <w:t xml:space="preserve">conditions without BMPs </w:t>
      </w:r>
      <w:r w:rsidR="00AF13E1">
        <w:t xml:space="preserve">can be taken directly from the WinTR-55 Tc model screen.  </w:t>
      </w:r>
    </w:p>
    <w:p w:rsidR="00AF13E1" w:rsidRDefault="00AF13E1" w:rsidP="009531AF">
      <w:pPr>
        <w:pStyle w:val="ExampleBullets"/>
        <w:numPr>
          <w:ilvl w:val="0"/>
          <w:numId w:val="87"/>
        </w:numPr>
      </w:pPr>
      <w:r>
        <w:t>The time of concentration of the propo</w:t>
      </w:r>
      <w:r w:rsidR="009278DD">
        <w:t>sed condition with BMPs can be estimated</w:t>
      </w:r>
      <w:r>
        <w:t xml:space="preserve"> as </w:t>
      </w:r>
      <w:r w:rsidR="009278DD">
        <w:t xml:space="preserve">difference between the point of the storm event where runoff begins and </w:t>
      </w:r>
      <w:r>
        <w:t xml:space="preserve">the point in the storm event at which the runoff volume exceeds the BMP volume and discharge would be expected to occur.  The timeseries output from the TR-20 window can be plotted in a spreadsheet program.  Based on this example, runoff begins 7.6 hours and the runoff volume </w:t>
      </w:r>
      <w:r w:rsidR="00647B99">
        <w:t xml:space="preserve">exceeds the </w:t>
      </w:r>
      <w:r w:rsidR="002C242C">
        <w:t>BMP volume (7,730</w:t>
      </w:r>
      <w:r>
        <w:t xml:space="preserve"> cu-ft) at 18.6 hours. Therefore the effective time of concentration with the BMP included is approximately 11 acres. This is clearly not a concern and more detailed assessment of </w:t>
      </w:r>
      <w:r w:rsidRPr="002365B9">
        <w:t>T</w:t>
      </w:r>
      <w:r w:rsidRPr="002365B9">
        <w:rPr>
          <w:vertAlign w:val="subscript"/>
        </w:rPr>
        <w:t>c</w:t>
      </w:r>
      <w:r w:rsidR="009278DD">
        <w:t xml:space="preserve"> is not required.</w:t>
      </w:r>
    </w:p>
    <w:p w:rsidR="00AF13E1" w:rsidRDefault="00AF13E1" w:rsidP="00AF13E1">
      <w:pPr>
        <w:pStyle w:val="ExampleBullets"/>
        <w:numPr>
          <w:ilvl w:val="0"/>
          <w:numId w:val="0"/>
        </w:numPr>
        <w:ind w:left="720" w:hanging="360"/>
      </w:pPr>
    </w:p>
    <w:p w:rsidR="009278DD" w:rsidRDefault="009278DD" w:rsidP="003A7710">
      <w:pPr>
        <w:pStyle w:val="ExampleText"/>
        <w:pBdr>
          <w:bottom w:val="single" w:sz="4" w:space="0" w:color="auto"/>
        </w:pBdr>
        <w:rPr>
          <w:i w:val="0"/>
          <w:color w:val="0070C0"/>
        </w:rPr>
      </w:pPr>
      <w:bookmarkStart w:id="304" w:name="_Toc288555040"/>
      <w:r w:rsidRPr="000709C2">
        <w:t xml:space="preserve">Figure </w:t>
      </w:r>
      <w:fldSimple w:instr=" STYLEREF 1 \s ">
        <w:r w:rsidR="00524D76">
          <w:rPr>
            <w:noProof/>
          </w:rPr>
          <w:t>IV</w:t>
        </w:r>
      </w:fldSimple>
      <w:r w:rsidR="00524D76">
        <w:t>.</w:t>
      </w:r>
      <w:fldSimple w:instr=" SEQ Figure \* ARABIC \s 1 ">
        <w:r w:rsidR="00524D76">
          <w:rPr>
            <w:noProof/>
          </w:rPr>
          <w:t>9</w:t>
        </w:r>
      </w:fldSimple>
      <w:r w:rsidR="003A7710">
        <w:rPr>
          <w:i w:val="0"/>
          <w:color w:val="0070C0"/>
        </w:rPr>
        <w:t xml:space="preserve">: </w:t>
      </w:r>
      <w:r>
        <w:t>Existing and proposed hydrographs</w:t>
      </w:r>
      <w:bookmarkEnd w:id="304"/>
    </w:p>
    <w:p w:rsidR="00AF13E1" w:rsidRPr="009278DD" w:rsidRDefault="009278DD" w:rsidP="009278DD">
      <w:pPr>
        <w:pStyle w:val="ExampleText"/>
        <w:pBdr>
          <w:bottom w:val="single" w:sz="4" w:space="0" w:color="auto"/>
        </w:pBdr>
        <w:jc w:val="center"/>
        <w:rPr>
          <w:b w:val="0"/>
          <w:i w:val="0"/>
        </w:rPr>
      </w:pPr>
      <w:r>
        <w:rPr>
          <w:b w:val="0"/>
          <w:i w:val="0"/>
          <w:noProof/>
        </w:rPr>
        <w:drawing>
          <wp:inline distT="0" distB="0" distL="0" distR="0">
            <wp:extent cx="5535930" cy="3590925"/>
            <wp:effectExtent l="19050" t="0" r="7620" b="0"/>
            <wp:docPr id="71"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1" cstate="email"/>
                    <a:srcRect/>
                    <a:stretch>
                      <a:fillRect/>
                    </a:stretch>
                  </pic:blipFill>
                  <pic:spPr bwMode="auto">
                    <a:xfrm>
                      <a:off x="0" y="0"/>
                      <a:ext cx="5535930" cy="3590925"/>
                    </a:xfrm>
                    <a:prstGeom prst="rect">
                      <a:avLst/>
                    </a:prstGeom>
                    <a:noFill/>
                  </pic:spPr>
                </pic:pic>
              </a:graphicData>
            </a:graphic>
          </wp:inline>
        </w:drawing>
      </w:r>
      <w:r w:rsidRPr="000709C2">
        <w:br/>
      </w:r>
    </w:p>
    <w:p w:rsidR="00636C4D" w:rsidRDefault="00636C4D" w:rsidP="000F5D63">
      <w:pPr>
        <w:pStyle w:val="CDMBTEXT"/>
      </w:pPr>
      <w:bookmarkStart w:id="305" w:name="_Toc285002593"/>
      <w:bookmarkStart w:id="306" w:name="_Toc285002682"/>
      <w:bookmarkStart w:id="307" w:name="_Toc285002777"/>
      <w:bookmarkStart w:id="308" w:name="_Toc285002594"/>
      <w:bookmarkStart w:id="309" w:name="_Toc285002683"/>
      <w:bookmarkStart w:id="310" w:name="_Toc285002778"/>
      <w:bookmarkEnd w:id="305"/>
      <w:bookmarkEnd w:id="306"/>
      <w:bookmarkEnd w:id="307"/>
      <w:bookmarkEnd w:id="308"/>
      <w:bookmarkEnd w:id="309"/>
      <w:bookmarkEnd w:id="310"/>
    </w:p>
    <w:p w:rsidR="000F5D63" w:rsidRPr="000F5D63" w:rsidRDefault="000F5D63" w:rsidP="000F5D63">
      <w:pPr>
        <w:sectPr w:rsidR="000F5D63" w:rsidRPr="000F5D63" w:rsidSect="00BF43BB">
          <w:pgSz w:w="12240" w:h="15840"/>
          <w:pgMar w:top="1440" w:right="1440" w:bottom="1440" w:left="1440" w:header="720" w:footer="432" w:gutter="0"/>
          <w:pgNumType w:start="1" w:chapStyle="1"/>
          <w:cols w:space="720"/>
          <w:docGrid w:linePitch="360"/>
        </w:sectPr>
      </w:pPr>
    </w:p>
    <w:p w:rsidR="0013104B" w:rsidRPr="00987028" w:rsidRDefault="00604494" w:rsidP="00A52883">
      <w:pPr>
        <w:pStyle w:val="Heading1"/>
      </w:pPr>
      <w:bookmarkStart w:id="311" w:name="_Toc285308136"/>
      <w:bookmarkStart w:id="312" w:name="_Toc285315732"/>
      <w:bookmarkStart w:id="313" w:name="_Toc285315894"/>
      <w:bookmarkStart w:id="314" w:name="_Ref285384719"/>
      <w:bookmarkStart w:id="315" w:name="_Toc285492451"/>
      <w:bookmarkStart w:id="316" w:name="_Toc288541067"/>
      <w:bookmarkStart w:id="317" w:name="_Toc293937128"/>
      <w:r w:rsidRPr="00987028">
        <w:rPr>
          <w:caps w:val="0"/>
        </w:rPr>
        <w:t>APPROVED METHODS FOR QUANTIFYING HYDROLOGIC CONDITIONS OF CONCERN (SOUTH ORANGE COUNTY)</w:t>
      </w:r>
      <w:bookmarkEnd w:id="311"/>
      <w:bookmarkEnd w:id="312"/>
      <w:bookmarkEnd w:id="313"/>
      <w:bookmarkEnd w:id="314"/>
      <w:bookmarkEnd w:id="315"/>
      <w:bookmarkEnd w:id="316"/>
      <w:bookmarkEnd w:id="317"/>
    </w:p>
    <w:p w:rsidR="00FE3A73" w:rsidRDefault="00357A79" w:rsidP="00FE3A73">
      <w:pPr>
        <w:pStyle w:val="CDMBTEXT"/>
        <w:spacing w:before="240"/>
      </w:pPr>
      <w:r>
        <w:t xml:space="preserve">If </w:t>
      </w:r>
      <w:r w:rsidR="00990A72">
        <w:t>a HCOC</w:t>
      </w:r>
      <w:r>
        <w:t xml:space="preserve"> exist</w:t>
      </w:r>
      <w:r w:rsidR="00990A72">
        <w:t>s</w:t>
      </w:r>
      <w:r>
        <w:t>, p</w:t>
      </w:r>
      <w:r w:rsidR="00BA19FB" w:rsidRPr="00311A64">
        <w:t xml:space="preserve">rojects in </w:t>
      </w:r>
      <w:r w:rsidR="007D20AD">
        <w:t xml:space="preserve">the </w:t>
      </w:r>
      <w:r w:rsidR="00BA19FB" w:rsidRPr="00311A64">
        <w:t>South Orange County</w:t>
      </w:r>
      <w:r w:rsidR="007D20AD">
        <w:t xml:space="preserve"> permit area </w:t>
      </w:r>
      <w:r w:rsidR="00463DA7">
        <w:t>shall</w:t>
      </w:r>
      <w:r w:rsidR="00BA19FB" w:rsidRPr="00311A64">
        <w:t xml:space="preserve"> use an approved continuous simulation model such as EPA Stormwater Management Model (SWMM) or EPA Hydrologic Simulation Program – FORTRAN (HSPF), to evaluate compliance with</w:t>
      </w:r>
      <w:r w:rsidR="00463DA7">
        <w:t xml:space="preserve"> the</w:t>
      </w:r>
      <w:r w:rsidR="00BA19FB" w:rsidRPr="00311A64">
        <w:t xml:space="preserve"> flow-duration-based performance criteria</w:t>
      </w:r>
      <w:r w:rsidR="00463DA7">
        <w:t xml:space="preserve"> of the </w:t>
      </w:r>
      <w:r w:rsidR="00E50D4B">
        <w:t>interim hydromodification standard</w:t>
      </w:r>
      <w:r w:rsidR="00BA19FB" w:rsidRPr="00311A64">
        <w:t xml:space="preserve">. </w:t>
      </w:r>
      <w:r w:rsidR="00463DA7">
        <w:t>The following</w:t>
      </w:r>
      <w:r w:rsidR="00E50D4B">
        <w:t xml:space="preserve"> sections describe</w:t>
      </w:r>
      <w:r w:rsidR="00463DA7">
        <w:t xml:space="preserve"> design references </w:t>
      </w:r>
      <w:r w:rsidR="00E50D4B">
        <w:t xml:space="preserve">that </w:t>
      </w:r>
      <w:r w:rsidR="00463DA7">
        <w:t xml:space="preserve">have been prepared to </w:t>
      </w:r>
      <w:r w:rsidR="00E50D4B">
        <w:t>streamline</w:t>
      </w:r>
      <w:r w:rsidR="007D20AD">
        <w:t xml:space="preserve"> and guide</w:t>
      </w:r>
      <w:r w:rsidR="00E50D4B">
        <w:t xml:space="preserve"> these calculations.</w:t>
      </w:r>
    </w:p>
    <w:p w:rsidR="007D20AD" w:rsidRDefault="007D20AD" w:rsidP="00FE3A73">
      <w:pPr>
        <w:pStyle w:val="CDMBTEXT"/>
        <w:spacing w:before="240"/>
      </w:pPr>
      <w:r>
        <w:t>The final hydromodification standard requires the preparation of a hydromodification management plan (HMP), which will prescribe the hydrologic analysis methods and performance criteria that will apply. When the SOC HMP is adopted, it will supersede the requirements of this section to the extent that it is applicable.</w:t>
      </w:r>
    </w:p>
    <w:p w:rsidR="00F84486" w:rsidRDefault="00F84486" w:rsidP="00A52883">
      <w:pPr>
        <w:pStyle w:val="Heading2"/>
      </w:pPr>
      <w:bookmarkStart w:id="318" w:name="_Toc261775647"/>
      <w:bookmarkStart w:id="319" w:name="_Toc262462903"/>
      <w:bookmarkStart w:id="320" w:name="_Toc285492452"/>
      <w:bookmarkStart w:id="321" w:name="_Toc288541068"/>
      <w:bookmarkStart w:id="322" w:name="_Toc293937129"/>
      <w:r w:rsidRPr="00311A64">
        <w:t>Hydromodification Control Flow Duration Control Analysis</w:t>
      </w:r>
      <w:bookmarkEnd w:id="318"/>
      <w:bookmarkEnd w:id="319"/>
      <w:bookmarkEnd w:id="320"/>
      <w:bookmarkEnd w:id="321"/>
      <w:bookmarkEnd w:id="322"/>
    </w:p>
    <w:p w:rsidR="00F84486" w:rsidRPr="00B53524" w:rsidRDefault="00F84486" w:rsidP="00F84486">
      <w:pPr>
        <w:pStyle w:val="CDMBTEXT"/>
      </w:pPr>
      <w:r w:rsidRPr="00311A64">
        <w:t xml:space="preserve">The interim hydromodification standard in the South Orange County </w:t>
      </w:r>
      <w:r w:rsidR="00344DD2">
        <w:t xml:space="preserve">permit area </w:t>
      </w:r>
      <w:r w:rsidRPr="00311A64">
        <w:t xml:space="preserve">focuses on controlling hydromodification by mimicking pre-development (naturally occurring) flow magnitudes and durations over a long period of record rather than for the discrete 2-year storm event.  A flow duration curve is the primary means of demonstrating changes in flow magnitudes and durations over a continuous period of record. A flow-duration curve is a plot of discharge versus the duration of time the discharge is exceeded.  It is developed through continuous simulation of project under the following conditions: pre-developed (natural), post-developed, and post-developed with controls.  An example flow duration curve is show in </w:t>
      </w:r>
      <w:fldSimple w:instr=" REF _Ref258688292 \h  \* MERGEFORMAT ">
        <w:r w:rsidR="00126DE5" w:rsidRPr="00126DE5">
          <w:rPr>
            <w:rFonts w:cs="Arial"/>
            <w:b/>
            <w:color w:val="0070C0"/>
            <w:sz w:val="20"/>
          </w:rPr>
          <w:t xml:space="preserve">Figure </w:t>
        </w:r>
        <w:r w:rsidR="00126DE5" w:rsidRPr="00126DE5">
          <w:rPr>
            <w:rFonts w:cs="Arial"/>
            <w:b/>
            <w:noProof/>
            <w:color w:val="0070C0"/>
            <w:sz w:val="20"/>
          </w:rPr>
          <w:t>V</w:t>
        </w:r>
        <w:r w:rsidR="00126DE5" w:rsidRPr="00126DE5">
          <w:rPr>
            <w:rFonts w:cs="Arial"/>
            <w:b/>
            <w:color w:val="0070C0"/>
            <w:sz w:val="20"/>
          </w:rPr>
          <w:t>.1</w:t>
        </w:r>
      </w:fldSimple>
      <w:r w:rsidRPr="00311A64">
        <w:t>.</w:t>
      </w:r>
    </w:p>
    <w:p w:rsidR="00F84486" w:rsidRPr="00524D76" w:rsidRDefault="00F84486" w:rsidP="00647B99">
      <w:pPr>
        <w:pStyle w:val="Caption"/>
      </w:pPr>
      <w:bookmarkStart w:id="323" w:name="_Ref258688292"/>
      <w:bookmarkStart w:id="324" w:name="_Toc261775699"/>
      <w:bookmarkStart w:id="325" w:name="_Toc262408829"/>
      <w:bookmarkStart w:id="326" w:name="_Toc288555041"/>
      <w:r w:rsidRPr="00524D76">
        <w:t xml:space="preserve">Figure </w:t>
      </w:r>
      <w:fldSimple w:instr=" STYLEREF 1 \s ">
        <w:r w:rsidR="00524D76">
          <w:rPr>
            <w:noProof/>
          </w:rPr>
          <w:t>V</w:t>
        </w:r>
      </w:fldSimple>
      <w:r w:rsidR="00524D76">
        <w:t>.</w:t>
      </w:r>
      <w:fldSimple w:instr=" SEQ Figure \* ARABIC \s 1 ">
        <w:r w:rsidR="00524D76">
          <w:rPr>
            <w:noProof/>
          </w:rPr>
          <w:t>1</w:t>
        </w:r>
      </w:fldSimple>
      <w:bookmarkEnd w:id="323"/>
      <w:r w:rsidR="007D631A" w:rsidRPr="00524D76">
        <w:t xml:space="preserve">. </w:t>
      </w:r>
      <w:r w:rsidRPr="00524D76">
        <w:t>Example Flow Duration Chart</w:t>
      </w:r>
      <w:bookmarkEnd w:id="324"/>
      <w:bookmarkEnd w:id="325"/>
      <w:bookmarkEnd w:id="326"/>
    </w:p>
    <w:p w:rsidR="00F84486" w:rsidRDefault="00F84486" w:rsidP="00F84486">
      <w:pPr>
        <w:pStyle w:val="CDMBTEXT"/>
        <w:keepNext/>
        <w:spacing w:after="0"/>
        <w:jc w:val="center"/>
        <w:rPr>
          <w:rFonts w:ascii="Arial" w:hAnsi="Arial" w:cs="Arial"/>
          <w:b/>
          <w:sz w:val="20"/>
        </w:rPr>
      </w:pPr>
      <w:r>
        <w:rPr>
          <w:rFonts w:ascii="Arial" w:hAnsi="Arial" w:cs="Arial"/>
          <w:b/>
          <w:noProof/>
          <w:sz w:val="20"/>
        </w:rPr>
        <w:drawing>
          <wp:inline distT="0" distB="0" distL="0" distR="0">
            <wp:extent cx="5943600" cy="3996947"/>
            <wp:effectExtent l="1905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email"/>
                    <a:srcRect/>
                    <a:stretch>
                      <a:fillRect/>
                    </a:stretch>
                  </pic:blipFill>
                  <pic:spPr bwMode="auto">
                    <a:xfrm>
                      <a:off x="0" y="0"/>
                      <a:ext cx="5943600" cy="3996947"/>
                    </a:xfrm>
                    <a:prstGeom prst="rect">
                      <a:avLst/>
                    </a:prstGeom>
                    <a:noFill/>
                    <a:ln w="9525">
                      <a:noFill/>
                      <a:miter lim="800000"/>
                      <a:headEnd/>
                      <a:tailEnd/>
                    </a:ln>
                  </pic:spPr>
                </pic:pic>
              </a:graphicData>
            </a:graphic>
          </wp:inline>
        </w:drawing>
      </w:r>
    </w:p>
    <w:p w:rsidR="007D631A" w:rsidRPr="00B53524" w:rsidRDefault="007D631A" w:rsidP="00F84486">
      <w:pPr>
        <w:pStyle w:val="CDMBTEXT"/>
        <w:keepNext/>
        <w:spacing w:after="0"/>
        <w:jc w:val="center"/>
        <w:rPr>
          <w:rFonts w:ascii="Arial" w:hAnsi="Arial" w:cs="Arial"/>
          <w:b/>
          <w:sz w:val="20"/>
        </w:rPr>
      </w:pPr>
    </w:p>
    <w:p w:rsidR="00F84486" w:rsidRPr="00B53524" w:rsidRDefault="00F84486" w:rsidP="00F84486">
      <w:pPr>
        <w:pStyle w:val="CDMBTEXT"/>
        <w:keepNext/>
        <w:spacing w:after="0"/>
        <w:jc w:val="center"/>
      </w:pPr>
    </w:p>
    <w:p w:rsidR="00F84486" w:rsidRDefault="00F84486" w:rsidP="00F84486">
      <w:pPr>
        <w:pStyle w:val="CDMBTEXT"/>
      </w:pPr>
      <w:r w:rsidRPr="00311A64">
        <w:t xml:space="preserve">In order to mitigate HCOCs in </w:t>
      </w:r>
      <w:r w:rsidR="00344DD2">
        <w:t>the South Orange County permit area</w:t>
      </w:r>
      <w:r w:rsidRPr="00311A64">
        <w:t xml:space="preserve">, flow rates and durations must be controlled between 10 percent of the 2-year storm event and the 10-year storm event, as indicated by purple dashed lines on </w:t>
      </w:r>
      <w:fldSimple w:instr=" REF _Ref258688292 \h  \* MERGEFORMAT ">
        <w:r w:rsidR="00126DE5" w:rsidRPr="00126DE5">
          <w:rPr>
            <w:rFonts w:cs="Arial"/>
            <w:b/>
            <w:color w:val="0070C0"/>
            <w:sz w:val="20"/>
          </w:rPr>
          <w:t xml:space="preserve">Figure </w:t>
        </w:r>
        <w:r w:rsidR="00126DE5" w:rsidRPr="00126DE5">
          <w:rPr>
            <w:rFonts w:cs="Arial"/>
            <w:b/>
            <w:noProof/>
            <w:color w:val="0070C0"/>
            <w:sz w:val="20"/>
          </w:rPr>
          <w:t>V</w:t>
        </w:r>
        <w:r w:rsidR="00126DE5" w:rsidRPr="00126DE5">
          <w:rPr>
            <w:rFonts w:cs="Arial"/>
            <w:b/>
            <w:color w:val="0070C0"/>
            <w:sz w:val="20"/>
          </w:rPr>
          <w:t>.1</w:t>
        </w:r>
      </w:fldSimple>
      <w:r w:rsidRPr="00311A64">
        <w:t xml:space="preserve">.  This means that the post-development flow duration curve (red line in </w:t>
      </w:r>
      <w:fldSimple w:instr=" REF _Ref258688292 \h  \* MERGEFORMAT ">
        <w:r w:rsidR="00126DE5" w:rsidRPr="00126DE5">
          <w:rPr>
            <w:rFonts w:cs="Arial"/>
            <w:b/>
            <w:color w:val="0070C0"/>
            <w:sz w:val="20"/>
          </w:rPr>
          <w:t xml:space="preserve">Figure </w:t>
        </w:r>
        <w:r w:rsidR="00126DE5" w:rsidRPr="00126DE5">
          <w:rPr>
            <w:rFonts w:cs="Arial"/>
            <w:b/>
            <w:noProof/>
            <w:color w:val="0070C0"/>
            <w:sz w:val="20"/>
          </w:rPr>
          <w:t>V</w:t>
        </w:r>
        <w:r w:rsidR="00126DE5" w:rsidRPr="00126DE5">
          <w:rPr>
            <w:rFonts w:cs="Arial"/>
            <w:b/>
            <w:color w:val="0070C0"/>
            <w:sz w:val="20"/>
          </w:rPr>
          <w:t>.1</w:t>
        </w:r>
      </w:fldSimple>
      <w:r w:rsidRPr="00311A64">
        <w:t xml:space="preserve">) needs to be lowered such that it is at or below the pre-development flow duration curve (green line) within the bounds of the purple dashed lines.  In order to accomplish this, site design, volume reduction, and flow duration control BMPs can be used.  This process must be based on continuous simulation of stormwater controls or through use of design charts developed from continuous simulation of stormwater controls. </w:t>
      </w:r>
    </w:p>
    <w:p w:rsidR="00636C4D" w:rsidRDefault="00E50D4B" w:rsidP="00A52883">
      <w:pPr>
        <w:pStyle w:val="Heading2"/>
      </w:pPr>
      <w:bookmarkStart w:id="327" w:name="_Toc285308137"/>
      <w:bookmarkStart w:id="328" w:name="_Toc285315733"/>
      <w:bookmarkStart w:id="329" w:name="_Ref285367863"/>
      <w:bookmarkStart w:id="330" w:name="_Toc285492453"/>
      <w:bookmarkStart w:id="331" w:name="_Toc288541069"/>
      <w:bookmarkStart w:id="332" w:name="_Toc293937130"/>
      <w:r>
        <w:t>South Orange County</w:t>
      </w:r>
      <w:r w:rsidR="0013104B">
        <w:t xml:space="preserve"> Interim </w:t>
      </w:r>
      <w:bookmarkEnd w:id="327"/>
      <w:bookmarkEnd w:id="328"/>
      <w:r>
        <w:t>Hydromodification Sizing Tool</w:t>
      </w:r>
      <w:bookmarkEnd w:id="329"/>
      <w:bookmarkEnd w:id="330"/>
      <w:bookmarkEnd w:id="331"/>
      <w:bookmarkEnd w:id="332"/>
    </w:p>
    <w:p w:rsidR="0013104B" w:rsidRDefault="00E50D4B" w:rsidP="00E50D4B">
      <w:pPr>
        <w:pStyle w:val="CDMBTEXT"/>
      </w:pPr>
      <w:r>
        <w:t>Orange Count</w:t>
      </w:r>
      <w:r w:rsidR="00A9300F">
        <w:t xml:space="preserve">y Public Works has prepared the </w:t>
      </w:r>
      <w:hyperlink r:id="rId53" w:history="1">
        <w:r w:rsidR="00A9300F" w:rsidRPr="00126DE5">
          <w:rPr>
            <w:rStyle w:val="Hyperlink"/>
            <w:rFonts w:cs="Arial"/>
            <w:b/>
            <w:color w:val="0070C0"/>
            <w:sz w:val="20"/>
          </w:rPr>
          <w:t>South Orange County Interim Hydromodification Sizing Tool</w:t>
        </w:r>
      </w:hyperlink>
      <w:r w:rsidR="00A9300F">
        <w:t xml:space="preserve"> </w:t>
      </w:r>
      <w:r>
        <w:t>to assist preparers with</w:t>
      </w:r>
      <w:r w:rsidR="007D20AD">
        <w:t xml:space="preserve"> sizing of BMPs to comply with the SOC interim hydromodification sizing standard. This tool is based on nomographs for a range of BMPs developed through continuous simulation in EPA SWMM5.0. The sizing tool</w:t>
      </w:r>
      <w:r w:rsidR="00A9300F">
        <w:t xml:space="preserve"> (Excel spreadsheet)</w:t>
      </w:r>
      <w:r w:rsidR="007D20AD">
        <w:t xml:space="preserve"> and accompanying memorandum are available for download at: </w:t>
      </w:r>
      <w:hyperlink r:id="rId54" w:history="1">
        <w:r w:rsidR="007D20AD" w:rsidRPr="00126DE5">
          <w:rPr>
            <w:rStyle w:val="Hyperlink"/>
            <w:rFonts w:cs="Arial"/>
            <w:b/>
            <w:color w:val="0070C0"/>
            <w:sz w:val="20"/>
          </w:rPr>
          <w:t>http://www.ocplanning.net/WaterQuality.aspx</w:t>
        </w:r>
      </w:hyperlink>
      <w:r w:rsidR="007D20AD">
        <w:t>.</w:t>
      </w:r>
    </w:p>
    <w:p w:rsidR="00636C4D" w:rsidRDefault="0013104B" w:rsidP="00A52883">
      <w:pPr>
        <w:pStyle w:val="Heading2"/>
      </w:pPr>
      <w:bookmarkStart w:id="333" w:name="_Toc285308139"/>
      <w:bookmarkStart w:id="334" w:name="_Toc285315735"/>
      <w:bookmarkStart w:id="335" w:name="_Toc285492454"/>
      <w:bookmarkStart w:id="336" w:name="_Toc288541070"/>
      <w:bookmarkStart w:id="337" w:name="_Toc293937131"/>
      <w:r>
        <w:t>Guidelines for Project-Specific Flow Duration Analysis</w:t>
      </w:r>
      <w:bookmarkEnd w:id="333"/>
      <w:bookmarkEnd w:id="334"/>
      <w:bookmarkEnd w:id="335"/>
      <w:bookmarkEnd w:id="336"/>
      <w:bookmarkEnd w:id="337"/>
      <w:r w:rsidR="00844960">
        <w:t xml:space="preserve"> </w:t>
      </w:r>
    </w:p>
    <w:p w:rsidR="00E50D4B" w:rsidRDefault="00E50D4B" w:rsidP="00E50D4B">
      <w:pPr>
        <w:pStyle w:val="CDMBTEXT"/>
      </w:pPr>
      <w:bookmarkStart w:id="338" w:name="_Toc285308140"/>
      <w:bookmarkStart w:id="339" w:name="_Toc285315736"/>
      <w:r>
        <w:t xml:space="preserve">This section describes the methods that shall be used by applicants wishing to perform a project-specific analysis for compliance with the SOC interim hydromodification standard instead of using the tool described in Section </w:t>
      </w:r>
      <w:r w:rsidR="00126F3D" w:rsidRPr="00126DE5">
        <w:rPr>
          <w:rFonts w:cs="Arial"/>
          <w:b/>
          <w:color w:val="0070C0"/>
          <w:sz w:val="20"/>
        </w:rPr>
        <w:fldChar w:fldCharType="begin"/>
      </w:r>
      <w:r w:rsidRPr="00126DE5">
        <w:rPr>
          <w:rFonts w:cs="Arial"/>
          <w:b/>
          <w:color w:val="0070C0"/>
          <w:sz w:val="20"/>
        </w:rPr>
        <w:instrText xml:space="preserve"> REF _Ref285367863 \r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rFonts w:cs="Arial"/>
          <w:b/>
          <w:color w:val="0070C0"/>
          <w:sz w:val="20"/>
        </w:rPr>
        <w:t>V.2</w:t>
      </w:r>
      <w:r w:rsidR="00126F3D" w:rsidRPr="00126DE5">
        <w:rPr>
          <w:rFonts w:cs="Arial"/>
          <w:b/>
          <w:color w:val="0070C0"/>
          <w:sz w:val="20"/>
        </w:rPr>
        <w:fldChar w:fldCharType="end"/>
      </w:r>
      <w:r>
        <w:t xml:space="preserve">. </w:t>
      </w:r>
      <w:r w:rsidR="007D20AD">
        <w:t>This section also provides documentation of the assumptions that were used to develop the interim sizing tool to provide a reference point for Project WQMP preparers and reviewers.</w:t>
      </w:r>
    </w:p>
    <w:p w:rsidR="00786C35" w:rsidRPr="008D5A30" w:rsidRDefault="00E50D4B" w:rsidP="009278DD">
      <w:pPr>
        <w:pStyle w:val="CDMBTEXT"/>
        <w:rPr>
          <w:b/>
          <w:i/>
          <w:color w:val="00B050"/>
        </w:rPr>
      </w:pPr>
      <w:r w:rsidRPr="008D5A30">
        <w:rPr>
          <w:b/>
          <w:i/>
          <w:color w:val="00B050"/>
        </w:rPr>
        <w:t>(P</w:t>
      </w:r>
      <w:r w:rsidR="00844960" w:rsidRPr="008D5A30">
        <w:rPr>
          <w:b/>
          <w:i/>
          <w:color w:val="00B050"/>
        </w:rPr>
        <w:t>laceholder for work in progress)</w:t>
      </w:r>
      <w:bookmarkEnd w:id="338"/>
      <w:bookmarkEnd w:id="339"/>
    </w:p>
    <w:p w:rsidR="00786C35" w:rsidRDefault="00786C35" w:rsidP="00A9300F">
      <w:pPr>
        <w:pStyle w:val="CDMBTEXT"/>
      </w:pPr>
    </w:p>
    <w:p w:rsidR="00A9300F" w:rsidRPr="00A9300F" w:rsidRDefault="00A9300F" w:rsidP="00A9300F">
      <w:pPr>
        <w:sectPr w:rsidR="00A9300F" w:rsidRPr="00A9300F" w:rsidSect="00D25DA9">
          <w:pgSz w:w="12240" w:h="15840"/>
          <w:pgMar w:top="1440" w:right="1440" w:bottom="1440" w:left="1440" w:header="720" w:footer="432" w:gutter="0"/>
          <w:pgNumType w:start="1" w:chapStyle="1"/>
          <w:cols w:space="720"/>
          <w:titlePg/>
          <w:docGrid w:linePitch="360"/>
        </w:sectPr>
      </w:pPr>
    </w:p>
    <w:p w:rsidR="0013104B" w:rsidRDefault="00604494" w:rsidP="00A52883">
      <w:pPr>
        <w:pStyle w:val="Heading1"/>
      </w:pPr>
      <w:bookmarkStart w:id="340" w:name="_Toc285308141"/>
      <w:bookmarkStart w:id="341" w:name="_Toc285315737"/>
      <w:bookmarkStart w:id="342" w:name="_Toc285315895"/>
      <w:bookmarkStart w:id="343" w:name="_Ref285384931"/>
      <w:bookmarkStart w:id="344" w:name="_Toc285492455"/>
      <w:bookmarkStart w:id="345" w:name="_Toc288541071"/>
      <w:bookmarkStart w:id="346" w:name="_Toc293937132"/>
      <w:r>
        <w:rPr>
          <w:caps w:val="0"/>
        </w:rPr>
        <w:t xml:space="preserve">APPROVED METHODS FOR CALCULATING ALTERNATIVE COMPLIANCE </w:t>
      </w:r>
      <w:bookmarkEnd w:id="340"/>
      <w:bookmarkEnd w:id="341"/>
      <w:bookmarkEnd w:id="342"/>
      <w:r>
        <w:rPr>
          <w:caps w:val="0"/>
        </w:rPr>
        <w:t>VOLUME FOR LID</w:t>
      </w:r>
      <w:bookmarkEnd w:id="343"/>
      <w:bookmarkEnd w:id="344"/>
      <w:bookmarkEnd w:id="345"/>
      <w:bookmarkEnd w:id="346"/>
    </w:p>
    <w:p w:rsidR="007D20AD" w:rsidRPr="007D20AD" w:rsidRDefault="007D20AD" w:rsidP="007D20AD">
      <w:r>
        <w:t xml:space="preserve">This appendix contains technical guidance for calculating </w:t>
      </w:r>
      <w:r w:rsidR="00B96ACD">
        <w:t xml:space="preserve">the </w:t>
      </w:r>
      <w:r>
        <w:t xml:space="preserve">alternative compliance </w:t>
      </w:r>
      <w:r w:rsidR="00B96ACD">
        <w:t>volume</w:t>
      </w:r>
      <w:r>
        <w:t xml:space="preserve"> for projects that do not fully address LID performance standard through one of the primary pathways. This section is intended to be used as referenced from </w:t>
      </w:r>
      <w:r w:rsidR="00B82BB0" w:rsidRPr="007A343A">
        <w:rPr>
          <w:b/>
          <w:color w:val="00B050"/>
        </w:rPr>
        <w:t xml:space="preserve">Section 2.4 of the </w:t>
      </w:r>
      <w:r w:rsidRPr="007A343A">
        <w:rPr>
          <w:b/>
          <w:color w:val="00B050"/>
        </w:rPr>
        <w:t>Model WQMP</w:t>
      </w:r>
      <w:r w:rsidR="00B82BB0" w:rsidRPr="007A343A">
        <w:t>.</w:t>
      </w:r>
      <w:r w:rsidR="00B82BB0">
        <w:rPr>
          <w:b/>
          <w:color w:val="00B050"/>
        </w:rPr>
        <w:t xml:space="preserve"> </w:t>
      </w:r>
      <w:r w:rsidR="002A451E" w:rsidRPr="00B53524">
        <w:t xml:space="preserve">For the purposes of developing an alternative compliance program, the remaining (“unmet”) portion of the </w:t>
      </w:r>
      <w:r w:rsidR="003C7091">
        <w:t>DCV</w:t>
      </w:r>
      <w:r w:rsidR="002A451E" w:rsidRPr="00B53524">
        <w:t xml:space="preserve"> is</w:t>
      </w:r>
      <w:r w:rsidR="009278DD">
        <w:t xml:space="preserve"> also</w:t>
      </w:r>
      <w:r w:rsidR="002A451E">
        <w:t xml:space="preserve"> termed the </w:t>
      </w:r>
      <w:r w:rsidR="002A451E" w:rsidRPr="009E7FDA">
        <w:rPr>
          <w:i/>
        </w:rPr>
        <w:t>alternative compliance volume</w:t>
      </w:r>
      <w:r w:rsidR="002A451E" w:rsidRPr="009E7FDA">
        <w:t>.</w:t>
      </w:r>
      <w:r w:rsidR="002A451E">
        <w:t xml:space="preserve">  This volume is</w:t>
      </w:r>
      <w:r w:rsidR="002A451E" w:rsidRPr="00B53524">
        <w:t xml:space="preserve"> determined based on the difference between the target 80 capture efficiency and the capture efficiency achieved by the LID BMPs </w:t>
      </w:r>
      <w:r w:rsidR="002A451E">
        <w:t xml:space="preserve">that are </w:t>
      </w:r>
      <w:r w:rsidR="002A451E" w:rsidRPr="00B53524">
        <w:t>provided</w:t>
      </w:r>
      <w:r w:rsidR="002A451E">
        <w:t xml:space="preserve"> for the project</w:t>
      </w:r>
      <w:r w:rsidR="002A451E" w:rsidRPr="00B53524">
        <w:t xml:space="preserve"> before entering the alternative program.</w:t>
      </w:r>
      <w:r w:rsidR="002A451E">
        <w:t xml:space="preserve"> The </w:t>
      </w:r>
      <w:r w:rsidR="00B82BB0">
        <w:t>alternative compliance volume</w:t>
      </w:r>
      <w:r w:rsidR="002A451E">
        <w:t xml:space="preserve"> is first calculated before the application of water quality credits, </w:t>
      </w:r>
      <w:r w:rsidR="00B82BB0">
        <w:t>and then</w:t>
      </w:r>
      <w:r w:rsidR="002A451E">
        <w:t xml:space="preserve"> water quality credits are used to reduce</w:t>
      </w:r>
      <w:r w:rsidR="00B82BB0">
        <w:t xml:space="preserve"> this volume to</w:t>
      </w:r>
      <w:r w:rsidR="002A451E">
        <w:t xml:space="preserve"> the alternative compliance volume. </w:t>
      </w:r>
    </w:p>
    <w:p w:rsidR="00786C35" w:rsidRPr="00B53524" w:rsidRDefault="007D20AD" w:rsidP="00A52883">
      <w:pPr>
        <w:pStyle w:val="Heading2"/>
      </w:pPr>
      <w:bookmarkStart w:id="347" w:name="_Ref262064205"/>
      <w:bookmarkStart w:id="348" w:name="_Toc262462912"/>
      <w:bookmarkStart w:id="349" w:name="_Toc285492456"/>
      <w:bookmarkStart w:id="350" w:name="_Toc288541072"/>
      <w:bookmarkStart w:id="351" w:name="_Toc293937133"/>
      <w:bookmarkStart w:id="352" w:name="_Ref262062668"/>
      <w:bookmarkStart w:id="353" w:name="_Toc262462915"/>
      <w:r>
        <w:t xml:space="preserve">Calculating </w:t>
      </w:r>
      <w:r w:rsidR="00851327">
        <w:t xml:space="preserve">Alternative Compliance </w:t>
      </w:r>
      <w:r w:rsidR="00B96ACD">
        <w:t>Volume</w:t>
      </w:r>
      <w:bookmarkEnd w:id="347"/>
      <w:bookmarkEnd w:id="348"/>
      <w:bookmarkEnd w:id="349"/>
      <w:r w:rsidR="002A451E">
        <w:t xml:space="preserve"> without Water Quality Credits</w:t>
      </w:r>
      <w:bookmarkEnd w:id="350"/>
      <w:bookmarkEnd w:id="351"/>
    </w:p>
    <w:p w:rsidR="00786C35" w:rsidRPr="00B53524" w:rsidRDefault="00786C35" w:rsidP="00786C35">
      <w:pPr>
        <w:pStyle w:val="CDMBTEXT"/>
      </w:pPr>
      <w:r w:rsidRPr="00B53524">
        <w:t xml:space="preserve">This section describes the method for calculating the </w:t>
      </w:r>
      <w:r w:rsidR="00925C11">
        <w:t xml:space="preserve">alternative compliance </w:t>
      </w:r>
      <w:r w:rsidRPr="00B53524">
        <w:t>volume</w:t>
      </w:r>
      <w:r w:rsidR="00B82BB0">
        <w:t xml:space="preserve"> prior to application of water quality credits</w:t>
      </w:r>
      <w:r w:rsidRPr="00B53524">
        <w:t>.</w:t>
      </w:r>
    </w:p>
    <w:p w:rsidR="00786C35" w:rsidRPr="00B53524" w:rsidRDefault="00786C35" w:rsidP="007D631A">
      <w:pPr>
        <w:pStyle w:val="ListNumber"/>
      </w:pPr>
      <w:r w:rsidRPr="00B53524">
        <w:t xml:space="preserve">Calculate the capture efficiency achieved upstream of the alternative compliance program.  In </w:t>
      </w:r>
      <w:r w:rsidR="00344DD2">
        <w:t xml:space="preserve">the North Orange County permit </w:t>
      </w:r>
      <w:proofErr w:type="gramStart"/>
      <w:r w:rsidR="00344DD2">
        <w:t>area</w:t>
      </w:r>
      <w:r w:rsidRPr="00B53524">
        <w:t>,</w:t>
      </w:r>
      <w:proofErr w:type="gramEnd"/>
      <w:r w:rsidRPr="00B53524">
        <w:t xml:space="preserve"> this may include the effects of on-site LID BMPs and/or sub-regional/regional LID BMPs. In </w:t>
      </w:r>
      <w:r w:rsidR="00344DD2">
        <w:t xml:space="preserve">the South Orange County permit </w:t>
      </w:r>
      <w:proofErr w:type="gramStart"/>
      <w:r w:rsidR="00344DD2">
        <w:t>area</w:t>
      </w:r>
      <w:r w:rsidRPr="00B53524">
        <w:t>,</w:t>
      </w:r>
      <w:proofErr w:type="gramEnd"/>
      <w:r w:rsidRPr="00B53524">
        <w:t xml:space="preserve"> this will only include the effects of on-site LID BMPs.  Methods of calculating capture efficiency are provided in</w:t>
      </w:r>
      <w:r w:rsidR="007D20AD">
        <w:rPr>
          <w:b/>
          <w:color w:val="0070C0"/>
        </w:rPr>
        <w:t xml:space="preserve"> </w:t>
      </w:r>
      <w:r w:rsidR="007D20AD" w:rsidRPr="00C31D4A">
        <w:t xml:space="preserve">Section </w:t>
      </w:r>
      <w:fldSimple w:instr=" REF _Ref285302273 \r \h  \* MERGEFORMAT ">
        <w:r w:rsidR="00126DE5" w:rsidRPr="00126DE5">
          <w:rPr>
            <w:rFonts w:cs="Arial"/>
            <w:b/>
            <w:color w:val="0070C0"/>
            <w:sz w:val="20"/>
          </w:rPr>
          <w:t>III.4</w:t>
        </w:r>
      </w:fldSimple>
      <w:r w:rsidRPr="00B53524">
        <w:t xml:space="preserve">.  </w:t>
      </w:r>
    </w:p>
    <w:p w:rsidR="00786C35" w:rsidRPr="00B53524" w:rsidRDefault="00786C35" w:rsidP="007D631A">
      <w:pPr>
        <w:pStyle w:val="ListNumber"/>
      </w:pPr>
      <w:r w:rsidRPr="00B53524">
        <w:t xml:space="preserve">Using </w:t>
      </w:r>
      <w:fldSimple w:instr=" REF _Ref262309236 \h  \* MERGEFORMAT ">
        <w:r w:rsidR="00126DE5" w:rsidRPr="00126DE5">
          <w:rPr>
            <w:rFonts w:cs="Arial"/>
            <w:b/>
            <w:color w:val="0070C0"/>
            <w:sz w:val="20"/>
          </w:rPr>
          <w:t xml:space="preserve">Figure </w:t>
        </w:r>
        <w:r w:rsidR="00126DE5" w:rsidRPr="00126DE5">
          <w:rPr>
            <w:rFonts w:cs="Arial"/>
            <w:b/>
            <w:noProof/>
            <w:color w:val="0070C0"/>
            <w:sz w:val="20"/>
          </w:rPr>
          <w:t>VI</w:t>
        </w:r>
        <w:r w:rsidR="00126DE5" w:rsidRPr="00126DE5">
          <w:rPr>
            <w:rFonts w:cs="Arial"/>
            <w:b/>
            <w:color w:val="0070C0"/>
            <w:sz w:val="20"/>
          </w:rPr>
          <w:t>.1</w:t>
        </w:r>
      </w:fldSimple>
      <w:r w:rsidRPr="00B53524">
        <w:t>, find the already-achieved capture efficiency on the horizontal axis and read upward to the line on the chart.  Pivot 90 degrees and read to the vertical axis.  This is the fraction of the design capture storm depth remaining to be met.  Multiply this value by the design capture storm depth f</w:t>
      </w:r>
      <w:r w:rsidR="007D20AD">
        <w:t xml:space="preserve">or the project (as determined from </w:t>
      </w:r>
      <w:fldSimple w:instr=" REF _Ref285354586 \h  \* MERGEFORMAT ">
        <w:r w:rsidR="00126DE5" w:rsidRPr="00126DE5">
          <w:rPr>
            <w:rFonts w:cs="Arial"/>
            <w:b/>
            <w:color w:val="0070C0"/>
            <w:sz w:val="20"/>
          </w:rPr>
          <w:t>Figure III.1</w:t>
        </w:r>
      </w:fldSimple>
      <w:r w:rsidRPr="00B53524">
        <w:t>) to determine the remaining storm depth to be managed in the alternative compliance plan.</w:t>
      </w:r>
    </w:p>
    <w:p w:rsidR="00786C35" w:rsidRPr="00B53524" w:rsidRDefault="00786C35" w:rsidP="007D631A">
      <w:pPr>
        <w:pStyle w:val="ListNumber"/>
      </w:pPr>
      <w:r w:rsidRPr="00B53524">
        <w:t>Compute the volume of runoff from the project for the storm depth calculated in (2), by using the hydrologic methods described in Section</w:t>
      </w:r>
      <w:r w:rsidR="007D20AD">
        <w:t xml:space="preserve"> </w:t>
      </w:r>
      <w:fldSimple w:instr=" REF _Ref285114903 \r \h  \* MERGEFORMAT ">
        <w:r w:rsidR="00126DE5" w:rsidRPr="00126DE5">
          <w:rPr>
            <w:rFonts w:cs="Arial"/>
            <w:b/>
            <w:color w:val="0070C0"/>
            <w:sz w:val="20"/>
          </w:rPr>
          <w:t>III.1.1</w:t>
        </w:r>
      </w:fldSimple>
      <w:r w:rsidR="00647B99">
        <w:t xml:space="preserve">. </w:t>
      </w:r>
      <w:r w:rsidRPr="00B53524">
        <w:t>This is the remaining volume to be managed</w:t>
      </w:r>
      <w:r w:rsidR="00497E2A">
        <w:t xml:space="preserve"> (i.e., the </w:t>
      </w:r>
      <w:r w:rsidR="00616820" w:rsidRPr="00616820">
        <w:rPr>
          <w:i/>
        </w:rPr>
        <w:t>alternative compliance volume</w:t>
      </w:r>
      <w:r w:rsidR="00497E2A">
        <w:t>)</w:t>
      </w:r>
      <w:r w:rsidRPr="00B53524">
        <w:t>, expressed in cubic feet.</w:t>
      </w:r>
    </w:p>
    <w:p w:rsidR="00786C35" w:rsidRPr="007A343A" w:rsidRDefault="00786C35" w:rsidP="007D631A">
      <w:pPr>
        <w:pStyle w:val="ExampleHeading"/>
      </w:pPr>
      <w:bookmarkStart w:id="354" w:name="_Toc262408839"/>
      <w:bookmarkStart w:id="355" w:name="_Toc285308142"/>
      <w:bookmarkStart w:id="356" w:name="_Toc288541073"/>
      <w:bookmarkStart w:id="357" w:name="_Toc288554450"/>
      <w:proofErr w:type="gramStart"/>
      <w:r w:rsidRPr="007A343A">
        <w:t xml:space="preserve">Example </w:t>
      </w:r>
      <w:r w:rsidR="00126F3D" w:rsidRPr="00126DE5">
        <w:rPr>
          <w:color w:val="0070C0"/>
        </w:rPr>
        <w:fldChar w:fldCharType="begin"/>
      </w:r>
      <w:r w:rsidR="003F38A8" w:rsidRPr="00126DE5">
        <w:rPr>
          <w:color w:val="0070C0"/>
        </w:rPr>
        <w:instrText xml:space="preserve"> STYLEREF 1 \s </w:instrText>
      </w:r>
      <w:r w:rsidR="00126F3D" w:rsidRPr="00126DE5">
        <w:rPr>
          <w:color w:val="0070C0"/>
        </w:rPr>
        <w:fldChar w:fldCharType="separate"/>
      </w:r>
      <w:r w:rsidR="00126DE5" w:rsidRPr="00126DE5">
        <w:rPr>
          <w:noProof/>
          <w:color w:val="0070C0"/>
        </w:rPr>
        <w:t>VI</w:t>
      </w:r>
      <w:r w:rsidR="00126F3D" w:rsidRPr="00126DE5">
        <w:rPr>
          <w:color w:val="0070C0"/>
        </w:rPr>
        <w:fldChar w:fldCharType="end"/>
      </w:r>
      <w:r w:rsidR="002E1936" w:rsidRPr="007A343A">
        <w:t>.</w:t>
      </w:r>
      <w:proofErr w:type="gramEnd"/>
      <w:r w:rsidR="00126F3D" w:rsidRPr="00126DE5">
        <w:rPr>
          <w:color w:val="0070C0"/>
        </w:rPr>
        <w:fldChar w:fldCharType="begin"/>
      </w:r>
      <w:r w:rsidR="002E1936" w:rsidRPr="00126DE5">
        <w:rPr>
          <w:color w:val="0070C0"/>
        </w:rPr>
        <w:instrText xml:space="preserve"> SEQ Example \* ARABIC \s 1 </w:instrText>
      </w:r>
      <w:r w:rsidR="00126F3D" w:rsidRPr="00126DE5">
        <w:rPr>
          <w:color w:val="0070C0"/>
        </w:rPr>
        <w:fldChar w:fldCharType="separate"/>
      </w:r>
      <w:r w:rsidR="00126DE5" w:rsidRPr="00126DE5">
        <w:rPr>
          <w:noProof/>
          <w:color w:val="0070C0"/>
        </w:rPr>
        <w:t>1</w:t>
      </w:r>
      <w:r w:rsidR="00126F3D" w:rsidRPr="00126DE5">
        <w:rPr>
          <w:color w:val="0070C0"/>
        </w:rPr>
        <w:fldChar w:fldCharType="end"/>
      </w:r>
      <w:r w:rsidRPr="007A343A">
        <w:t xml:space="preserve">: Calculating Remaining LID </w:t>
      </w:r>
      <w:r w:rsidR="00AE0D0E" w:rsidRPr="007A343A">
        <w:t>Volume</w:t>
      </w:r>
      <w:r w:rsidRPr="007A343A">
        <w:t xml:space="preserve"> for Alternative Compliance</w:t>
      </w:r>
      <w:bookmarkEnd w:id="354"/>
      <w:bookmarkEnd w:id="355"/>
      <w:bookmarkEnd w:id="356"/>
      <w:bookmarkEnd w:id="357"/>
    </w:p>
    <w:p w:rsidR="00786C35" w:rsidRPr="00B53524" w:rsidRDefault="00786C35" w:rsidP="007D631A">
      <w:pPr>
        <w:pStyle w:val="ExampleSubheading"/>
        <w:outlineLvl w:val="0"/>
      </w:pPr>
      <w:bookmarkStart w:id="358" w:name="_Toc285308143"/>
      <w:r w:rsidRPr="00B53524">
        <w:t>Given:</w:t>
      </w:r>
      <w:bookmarkEnd w:id="358"/>
    </w:p>
    <w:p w:rsidR="00786C35" w:rsidRPr="00604494" w:rsidRDefault="00786C35" w:rsidP="009531AF">
      <w:pPr>
        <w:pStyle w:val="ExampleBullets"/>
        <w:numPr>
          <w:ilvl w:val="0"/>
          <w:numId w:val="19"/>
        </w:numPr>
        <w:ind w:left="720"/>
      </w:pPr>
      <w:r w:rsidRPr="00604494">
        <w:t>85th percentile, 24-hr storm depth = 0.85 inches (</w:t>
      </w:r>
      <w:fldSimple w:instr=" REF _Ref285354586 \h  \* MERGEFORMAT ">
        <w:r w:rsidR="00126DE5" w:rsidRPr="00126DE5">
          <w:rPr>
            <w:rFonts w:ascii="Book Antiqua" w:hAnsi="Book Antiqua"/>
            <w:b/>
            <w:color w:val="0070C0"/>
          </w:rPr>
          <w:t>Figure III.1</w:t>
        </w:r>
      </w:fldSimple>
      <w:r w:rsidRPr="00604494">
        <w:t>)</w:t>
      </w:r>
    </w:p>
    <w:p w:rsidR="00786C35" w:rsidRPr="00604494" w:rsidRDefault="00786C35" w:rsidP="009531AF">
      <w:pPr>
        <w:pStyle w:val="ExampleBullets"/>
        <w:numPr>
          <w:ilvl w:val="0"/>
          <w:numId w:val="19"/>
        </w:numPr>
        <w:ind w:left="720"/>
      </w:pPr>
      <w:r w:rsidRPr="00604494">
        <w:t>Drainage Area = 1.5 acres</w:t>
      </w:r>
    </w:p>
    <w:p w:rsidR="00786C35" w:rsidRPr="00604494" w:rsidRDefault="00786C35" w:rsidP="009531AF">
      <w:pPr>
        <w:pStyle w:val="ExampleBullets"/>
        <w:numPr>
          <w:ilvl w:val="0"/>
          <w:numId w:val="19"/>
        </w:numPr>
        <w:ind w:left="720"/>
      </w:pPr>
      <w:r w:rsidRPr="00604494">
        <w:t>Imperviousness = 80%</w:t>
      </w:r>
    </w:p>
    <w:p w:rsidR="00786C35" w:rsidRPr="00B53524" w:rsidRDefault="00786C35" w:rsidP="009531AF">
      <w:pPr>
        <w:pStyle w:val="ExampleBullets"/>
        <w:numPr>
          <w:ilvl w:val="0"/>
          <w:numId w:val="19"/>
        </w:numPr>
        <w:ind w:left="720"/>
      </w:pPr>
      <w:r w:rsidRPr="00604494">
        <w:t>Upstream</w:t>
      </w:r>
      <w:r w:rsidRPr="00B53524">
        <w:t xml:space="preserve"> LID BMPs achieve 60 percent average annual capture efficiency </w:t>
      </w:r>
    </w:p>
    <w:p w:rsidR="00786C35" w:rsidRPr="00B53524" w:rsidRDefault="00786C35" w:rsidP="00EA1EA6">
      <w:pPr>
        <w:pStyle w:val="ExampleSubheading"/>
        <w:outlineLvl w:val="0"/>
      </w:pPr>
      <w:bookmarkStart w:id="359" w:name="_Toc285308144"/>
      <w:r w:rsidRPr="00B53524">
        <w:t>Required:</w:t>
      </w:r>
      <w:bookmarkEnd w:id="359"/>
    </w:p>
    <w:p w:rsidR="00786C35" w:rsidRPr="00B53524" w:rsidRDefault="00786C35" w:rsidP="00786C35">
      <w:pPr>
        <w:pStyle w:val="ExampleBullets"/>
      </w:pPr>
      <w:r w:rsidRPr="00B53524">
        <w:t>Compute remaining LID volume transferred to alternative program</w:t>
      </w:r>
    </w:p>
    <w:p w:rsidR="00786C35" w:rsidRPr="00B53524" w:rsidRDefault="00786C35" w:rsidP="00EA1EA6">
      <w:pPr>
        <w:pStyle w:val="ExampleSubheading"/>
        <w:outlineLvl w:val="0"/>
      </w:pPr>
      <w:bookmarkStart w:id="360" w:name="_Toc285308145"/>
      <w:r w:rsidRPr="00B53524">
        <w:t>Solution:</w:t>
      </w:r>
      <w:bookmarkEnd w:id="360"/>
    </w:p>
    <w:p w:rsidR="00786C35" w:rsidRPr="00B53524" w:rsidRDefault="00786C35" w:rsidP="009531AF">
      <w:pPr>
        <w:pStyle w:val="ExampleNumbers"/>
        <w:numPr>
          <w:ilvl w:val="0"/>
          <w:numId w:val="62"/>
        </w:numPr>
        <w:ind w:left="720"/>
      </w:pPr>
      <w:r w:rsidRPr="00B53524">
        <w:t>Capture efficiency achieved = 60 percent (given)</w:t>
      </w:r>
    </w:p>
    <w:p w:rsidR="00786C35" w:rsidRPr="00B53524" w:rsidRDefault="00786C35" w:rsidP="00853C9A">
      <w:pPr>
        <w:pStyle w:val="ExampleNumbers"/>
        <w:numPr>
          <w:ilvl w:val="0"/>
          <w:numId w:val="53"/>
        </w:numPr>
        <w:ind w:left="720"/>
      </w:pPr>
      <w:r w:rsidRPr="00B53524">
        <w:t xml:space="preserve">From </w:t>
      </w:r>
      <w:fldSimple w:instr=" REF _Ref262309236 \h  \* MERGEFORMAT ">
        <w:r w:rsidR="00126DE5" w:rsidRPr="00126DE5">
          <w:rPr>
            <w:rFonts w:ascii="Book Antiqua" w:hAnsi="Book Antiqua"/>
            <w:b/>
            <w:color w:val="0070C0"/>
          </w:rPr>
          <w:t xml:space="preserve">Figure </w:t>
        </w:r>
        <w:r w:rsidR="00126DE5" w:rsidRPr="00126DE5">
          <w:rPr>
            <w:rFonts w:ascii="Book Antiqua" w:hAnsi="Book Antiqua"/>
            <w:b/>
            <w:noProof/>
            <w:color w:val="0070C0"/>
          </w:rPr>
          <w:t>VI</w:t>
        </w:r>
        <w:r w:rsidR="00126DE5" w:rsidRPr="00126DE5">
          <w:rPr>
            <w:rFonts w:ascii="Book Antiqua" w:hAnsi="Book Antiqua"/>
            <w:b/>
            <w:color w:val="0070C0"/>
          </w:rPr>
          <w:t>.1</w:t>
        </w:r>
      </w:fldSimple>
      <w:r w:rsidRPr="00B53524">
        <w:t>, the unmet fraction of the design capture storm depth is 0.47.  The unmet design storm depth = 0.47 × 0.85 inches (given) = 0.40 inches</w:t>
      </w:r>
    </w:p>
    <w:p w:rsidR="00786C35" w:rsidRPr="00B53524" w:rsidRDefault="00786C35" w:rsidP="00853C9A">
      <w:pPr>
        <w:pStyle w:val="ExampleNumbers"/>
        <w:numPr>
          <w:ilvl w:val="0"/>
          <w:numId w:val="53"/>
        </w:numPr>
        <w:ind w:left="720"/>
      </w:pPr>
      <w:r w:rsidRPr="00B53524">
        <w:t>V</w:t>
      </w:r>
      <w:r w:rsidRPr="00B53524">
        <w:rPr>
          <w:vertAlign w:val="subscript"/>
        </w:rPr>
        <w:t>REMAIN</w:t>
      </w:r>
      <w:r w:rsidRPr="00B53524">
        <w:t xml:space="preserve"> = 1.5 ac × 0.40 inches × (0.8×0.75 + 0.15) × 43,560 sf/ac × 1/12 in/ft = 1,630 cu-ft</w:t>
      </w:r>
    </w:p>
    <w:p w:rsidR="00786C35" w:rsidRPr="00B53524" w:rsidRDefault="00786C35" w:rsidP="00853C9A">
      <w:pPr>
        <w:pStyle w:val="ExampleNumbers"/>
        <w:numPr>
          <w:ilvl w:val="0"/>
          <w:numId w:val="53"/>
        </w:numPr>
        <w:ind w:left="720"/>
      </w:pPr>
      <w:r w:rsidRPr="00B53524">
        <w:t>This is the volume that must be addressed through alternative compliance programs.</w:t>
      </w:r>
    </w:p>
    <w:p w:rsidR="00786C35" w:rsidRPr="00B53524" w:rsidRDefault="00786C35" w:rsidP="00786C35">
      <w:pPr>
        <w:pStyle w:val="CDMBTEXT"/>
        <w:rPr>
          <w:sz w:val="20"/>
        </w:rPr>
      </w:pPr>
    </w:p>
    <w:p w:rsidR="00786C35" w:rsidRPr="00524D76" w:rsidRDefault="00786C35" w:rsidP="00647B99">
      <w:pPr>
        <w:pStyle w:val="Caption"/>
      </w:pPr>
      <w:bookmarkStart w:id="361" w:name="_Ref262309236"/>
      <w:bookmarkStart w:id="362" w:name="_Toc262408832"/>
      <w:bookmarkStart w:id="363" w:name="_Toc288555042"/>
      <w:r w:rsidRPr="00524D76">
        <w:t xml:space="preserve">Figure </w:t>
      </w:r>
      <w:fldSimple w:instr=" STYLEREF 1 \s ">
        <w:r w:rsidR="00524D76">
          <w:rPr>
            <w:noProof/>
          </w:rPr>
          <w:t>VI</w:t>
        </w:r>
      </w:fldSimple>
      <w:r w:rsidR="00524D76">
        <w:t>.</w:t>
      </w:r>
      <w:fldSimple w:instr=" SEQ Figure \* ARABIC \s 1 ">
        <w:r w:rsidR="00524D76">
          <w:rPr>
            <w:noProof/>
          </w:rPr>
          <w:t>1</w:t>
        </w:r>
      </w:fldSimple>
      <w:bookmarkEnd w:id="361"/>
      <w:r w:rsidR="007D631A" w:rsidRPr="00524D76">
        <w:t xml:space="preserve">: </w:t>
      </w:r>
      <w:r w:rsidRPr="00524D76">
        <w:t>Lookup Graph for Fraction of Design Capture Storm Depth Remaining</w:t>
      </w:r>
      <w:bookmarkEnd w:id="362"/>
      <w:bookmarkEnd w:id="363"/>
    </w:p>
    <w:p w:rsidR="00786C35" w:rsidRDefault="00786C35" w:rsidP="00786C35">
      <w:pPr>
        <w:pStyle w:val="CDMBTEXT"/>
        <w:jc w:val="center"/>
      </w:pPr>
      <w:r w:rsidRPr="00B53524">
        <w:rPr>
          <w:noProof/>
        </w:rPr>
        <w:drawing>
          <wp:inline distT="0" distB="0" distL="0" distR="0">
            <wp:extent cx="4869712" cy="3552418"/>
            <wp:effectExtent l="19050" t="0" r="7088" b="0"/>
            <wp:docPr id="2"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5" cstate="email"/>
                    <a:srcRect/>
                    <a:stretch>
                      <a:fillRect/>
                    </a:stretch>
                  </pic:blipFill>
                  <pic:spPr bwMode="auto">
                    <a:xfrm>
                      <a:off x="0" y="0"/>
                      <a:ext cx="4877731" cy="3558268"/>
                    </a:xfrm>
                    <a:prstGeom prst="rect">
                      <a:avLst/>
                    </a:prstGeom>
                    <a:noFill/>
                  </pic:spPr>
                </pic:pic>
              </a:graphicData>
            </a:graphic>
          </wp:inline>
        </w:drawing>
      </w:r>
    </w:p>
    <w:p w:rsidR="00786C35" w:rsidRPr="00B53524" w:rsidRDefault="00786C35" w:rsidP="00A52883">
      <w:pPr>
        <w:pStyle w:val="Heading2"/>
      </w:pPr>
      <w:bookmarkStart w:id="364" w:name="_Toc285308146"/>
      <w:bookmarkStart w:id="365" w:name="_Toc285315738"/>
      <w:bookmarkStart w:id="366" w:name="_Ref285391796"/>
      <w:bookmarkStart w:id="367" w:name="_Toc285492457"/>
      <w:bookmarkStart w:id="368" w:name="_Toc288541074"/>
      <w:bookmarkStart w:id="369" w:name="_Toc293937134"/>
      <w:r w:rsidRPr="00B53524">
        <w:t xml:space="preserve">Applying Water Quality Credits to </w:t>
      </w:r>
      <w:bookmarkEnd w:id="352"/>
      <w:bookmarkEnd w:id="353"/>
      <w:bookmarkEnd w:id="364"/>
      <w:bookmarkEnd w:id="365"/>
      <w:bookmarkEnd w:id="366"/>
      <w:r w:rsidR="002A451E">
        <w:t xml:space="preserve">Adjust </w:t>
      </w:r>
      <w:r w:rsidR="00B96ACD">
        <w:t>Alternative Compliance Volume</w:t>
      </w:r>
      <w:bookmarkEnd w:id="367"/>
      <w:bookmarkEnd w:id="368"/>
      <w:bookmarkEnd w:id="369"/>
    </w:p>
    <w:p w:rsidR="00786C35" w:rsidRPr="00B53524" w:rsidRDefault="00786C35" w:rsidP="00786C35">
      <w:pPr>
        <w:spacing w:after="160"/>
        <w:rPr>
          <w:rFonts w:cs="Book Antiqua"/>
        </w:rPr>
      </w:pPr>
      <w:r w:rsidRPr="00B53524">
        <w:rPr>
          <w:rFonts w:cs="Book Antiqua"/>
        </w:rPr>
        <w:t xml:space="preserve">Water quality credits </w:t>
      </w:r>
      <w:r w:rsidR="00925C11">
        <w:rPr>
          <w:rFonts w:cs="Book Antiqua"/>
        </w:rPr>
        <w:t>may be</w:t>
      </w:r>
      <w:r w:rsidR="00925C11" w:rsidRPr="00B53524">
        <w:rPr>
          <w:rFonts w:cs="Book Antiqua"/>
        </w:rPr>
        <w:t xml:space="preserve"> </w:t>
      </w:r>
      <w:r w:rsidRPr="00B53524">
        <w:rPr>
          <w:rFonts w:cs="Book Antiqua"/>
        </w:rPr>
        <w:t xml:space="preserve">applied to reduce </w:t>
      </w:r>
      <w:proofErr w:type="gramStart"/>
      <w:r w:rsidR="00B96ACD">
        <w:rPr>
          <w:rFonts w:cs="Book Antiqua"/>
        </w:rPr>
        <w:t xml:space="preserve">the </w:t>
      </w:r>
      <w:r w:rsidR="002A451E">
        <w:rPr>
          <w:rFonts w:cs="Book Antiqua"/>
        </w:rPr>
        <w:t xml:space="preserve"> </w:t>
      </w:r>
      <w:r w:rsidR="00616820" w:rsidRPr="00616820">
        <w:rPr>
          <w:rFonts w:cs="Book Antiqua"/>
          <w:i/>
        </w:rPr>
        <w:t>alternative</w:t>
      </w:r>
      <w:proofErr w:type="gramEnd"/>
      <w:r w:rsidR="00616820" w:rsidRPr="00616820">
        <w:rPr>
          <w:rFonts w:cs="Book Antiqua"/>
          <w:i/>
        </w:rPr>
        <w:t xml:space="preserve"> compliance volume</w:t>
      </w:r>
      <w:r w:rsidRPr="00B53524">
        <w:rPr>
          <w:rFonts w:cs="Book Antiqua"/>
        </w:rPr>
        <w:t xml:space="preserve">.  </w:t>
      </w:r>
      <w:r w:rsidR="00925C11">
        <w:rPr>
          <w:rFonts w:cs="Book Antiqua"/>
        </w:rPr>
        <w:t>Alternative compliance volume</w:t>
      </w:r>
      <w:r w:rsidR="00925C11" w:rsidRPr="00B53524">
        <w:rPr>
          <w:rFonts w:cs="Book Antiqua"/>
        </w:rPr>
        <w:t xml:space="preserve"> </w:t>
      </w:r>
      <w:r w:rsidRPr="00B53524">
        <w:rPr>
          <w:rFonts w:cs="Book Antiqua"/>
        </w:rPr>
        <w:t xml:space="preserve">obligations are computed as described in Section </w:t>
      </w:r>
      <w:fldSimple w:instr=" REF _Ref262064205 \r \h  \* MERGEFORMAT ">
        <w:r w:rsidR="00126DE5" w:rsidRPr="00126DE5">
          <w:rPr>
            <w:rFonts w:cs="Arial"/>
            <w:b/>
            <w:color w:val="0070C0"/>
            <w:sz w:val="20"/>
            <w:szCs w:val="20"/>
          </w:rPr>
          <w:t>VI.1</w:t>
        </w:r>
      </w:fldSimple>
      <w:r w:rsidRPr="00B53524">
        <w:rPr>
          <w:rFonts w:cs="Book Antiqua"/>
        </w:rPr>
        <w:t xml:space="preserve"> and expressed in terms of a simple volume. Water quality credits are then computed based on the original </w:t>
      </w:r>
      <w:r w:rsidR="003C7091">
        <w:rPr>
          <w:rFonts w:cs="Book Antiqua"/>
        </w:rPr>
        <w:t>DCV</w:t>
      </w:r>
      <w:r w:rsidRPr="00B53524">
        <w:rPr>
          <w:rFonts w:cs="Book Antiqua"/>
        </w:rPr>
        <w:t xml:space="preserve"> for the project and may fully or partially off-set the remaining </w:t>
      </w:r>
      <w:r w:rsidR="00925C11">
        <w:rPr>
          <w:rFonts w:cs="Book Antiqua"/>
        </w:rPr>
        <w:t xml:space="preserve">alternative compliance </w:t>
      </w:r>
      <w:r w:rsidR="007D20AD">
        <w:rPr>
          <w:rFonts w:cs="Book Antiqua"/>
        </w:rPr>
        <w:t>volume.  The volume of alternative compliance obligations offset by Water Quality C</w:t>
      </w:r>
      <w:r w:rsidRPr="00B53524">
        <w:rPr>
          <w:rFonts w:cs="Book Antiqua"/>
        </w:rPr>
        <w:t xml:space="preserve">redits </w:t>
      </w:r>
      <w:r w:rsidR="007D20AD">
        <w:rPr>
          <w:rFonts w:cs="Book Antiqua"/>
        </w:rPr>
        <w:t>shall</w:t>
      </w:r>
      <w:r w:rsidRPr="00B53524">
        <w:rPr>
          <w:rFonts w:cs="Book Antiqua"/>
        </w:rPr>
        <w:t xml:space="preserve"> be calculated in one of two ways, as described below.</w:t>
      </w:r>
      <w:r w:rsidR="00B82BB0">
        <w:rPr>
          <w:rFonts w:cs="Book Antiqua"/>
        </w:rPr>
        <w:t xml:space="preserve"> Eligibility of projects to claim water quality credits is </w:t>
      </w:r>
      <w:r w:rsidR="00B82BB0" w:rsidRPr="007A343A">
        <w:rPr>
          <w:rFonts w:cs="Book Antiqua"/>
        </w:rPr>
        <w:t xml:space="preserve">described in </w:t>
      </w:r>
      <w:r w:rsidR="00B82BB0" w:rsidRPr="007A343A">
        <w:rPr>
          <w:rFonts w:cs="Book Antiqua"/>
          <w:b/>
          <w:color w:val="00B050"/>
        </w:rPr>
        <w:t xml:space="preserve">Section </w:t>
      </w:r>
      <w:r w:rsidR="007A343A" w:rsidRPr="007A343A">
        <w:rPr>
          <w:rFonts w:cs="Book Antiqua"/>
          <w:b/>
          <w:color w:val="00B050"/>
        </w:rPr>
        <w:t>3.1</w:t>
      </w:r>
      <w:r w:rsidR="00B82BB0" w:rsidRPr="007A343A">
        <w:rPr>
          <w:rFonts w:cs="Book Antiqua"/>
          <w:b/>
          <w:color w:val="00B050"/>
        </w:rPr>
        <w:t xml:space="preserve"> of the Model WQMP</w:t>
      </w:r>
      <w:r w:rsidR="00B82BB0" w:rsidRPr="007A343A">
        <w:rPr>
          <w:rFonts w:cs="Book Antiqua"/>
        </w:rPr>
        <w:t>.</w:t>
      </w:r>
    </w:p>
    <w:p w:rsidR="00786C35" w:rsidRPr="00B53524" w:rsidRDefault="00925C11" w:rsidP="00A52883">
      <w:pPr>
        <w:pStyle w:val="Heading3"/>
      </w:pPr>
      <w:r>
        <w:t xml:space="preserve">Method 1: </w:t>
      </w:r>
      <w:r w:rsidR="00786C35" w:rsidRPr="00B53524">
        <w:t xml:space="preserve">Applying Water Quality Credits to </w:t>
      </w:r>
      <w:r w:rsidR="007377D8">
        <w:t>Redevelopment P</w:t>
      </w:r>
      <w:r w:rsidR="00786C35" w:rsidRPr="00B53524">
        <w:t>rojects Reducing Overall Impervious Footprint</w:t>
      </w:r>
    </w:p>
    <w:p w:rsidR="00786C35" w:rsidRPr="00B53524" w:rsidRDefault="00786C35" w:rsidP="00786C35">
      <w:pPr>
        <w:pStyle w:val="CDMBTEXT"/>
        <w:rPr>
          <w:rFonts w:cs="Book Antiqua"/>
          <w:szCs w:val="22"/>
        </w:rPr>
      </w:pPr>
      <w:r w:rsidRPr="00B53524">
        <w:t>For</w:t>
      </w:r>
      <w:r w:rsidR="00B82BB0">
        <w:t xml:space="preserve"> </w:t>
      </w:r>
      <w:r w:rsidRPr="00B53524">
        <w:t xml:space="preserve">redevelopment projects that reduce the overall impervious footprint of the project site compared to current use, the volumetric offset provided by water quality credits </w:t>
      </w:r>
      <w:r w:rsidR="007D20AD">
        <w:t>shall</w:t>
      </w:r>
      <w:r w:rsidRPr="00B53524">
        <w:t xml:space="preserve"> be calculated as follows:</w:t>
      </w:r>
    </w:p>
    <w:p w:rsidR="00786C35" w:rsidRPr="00B53524" w:rsidRDefault="00786C35" w:rsidP="00647B99">
      <w:pPr>
        <w:pStyle w:val="ListNumber"/>
        <w:rPr>
          <w:rFonts w:cs="Book Antiqua"/>
        </w:rPr>
      </w:pPr>
      <w:r w:rsidRPr="00B53524">
        <w:t xml:space="preserve">Calculate an equivalent “existing” </w:t>
      </w:r>
      <w:r w:rsidR="003C7091">
        <w:t>DCV</w:t>
      </w:r>
      <w:r w:rsidRPr="00B53524">
        <w:t xml:space="preserve"> for the site using </w:t>
      </w:r>
      <w:r w:rsidR="007D20AD">
        <w:t>the pre-project imperviousness, the design capture storm depth (</w:t>
      </w:r>
      <w:r w:rsidR="00126F3D" w:rsidRPr="00126DE5">
        <w:rPr>
          <w:rFonts w:cs="Arial"/>
          <w:b/>
          <w:color w:val="0070C0"/>
          <w:sz w:val="20"/>
        </w:rPr>
        <w:fldChar w:fldCharType="begin"/>
      </w:r>
      <w:r w:rsidR="007D20AD" w:rsidRPr="00126DE5">
        <w:rPr>
          <w:rFonts w:cs="Arial"/>
          <w:b/>
          <w:color w:val="0070C0"/>
          <w:sz w:val="20"/>
        </w:rPr>
        <w:instrText xml:space="preserve"> REF _Ref285354586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b/>
          <w:color w:val="0070C0"/>
        </w:rPr>
        <w:t>Figure </w:t>
      </w:r>
      <w:r w:rsidR="00126DE5" w:rsidRPr="00126DE5">
        <w:rPr>
          <w:b/>
          <w:noProof/>
          <w:color w:val="0070C0"/>
        </w:rPr>
        <w:t>III</w:t>
      </w:r>
      <w:r w:rsidR="00126DE5" w:rsidRPr="00126DE5">
        <w:rPr>
          <w:b/>
          <w:color w:val="0070C0"/>
        </w:rPr>
        <w:t>.</w:t>
      </w:r>
      <w:r w:rsidR="00126DE5" w:rsidRPr="00126DE5">
        <w:rPr>
          <w:b/>
          <w:noProof/>
          <w:color w:val="0070C0"/>
        </w:rPr>
        <w:t>1</w:t>
      </w:r>
      <w:r w:rsidR="00126F3D" w:rsidRPr="00126DE5">
        <w:rPr>
          <w:rFonts w:cs="Arial"/>
          <w:b/>
          <w:color w:val="0070C0"/>
          <w:sz w:val="20"/>
        </w:rPr>
        <w:fldChar w:fldCharType="end"/>
      </w:r>
      <w:r w:rsidR="007D20AD">
        <w:t xml:space="preserve">)  and the method described in Section </w:t>
      </w:r>
      <w:r w:rsidR="00126F3D" w:rsidRPr="00126DE5">
        <w:rPr>
          <w:rFonts w:cs="Arial"/>
          <w:b/>
          <w:color w:val="0070C0"/>
          <w:sz w:val="20"/>
        </w:rPr>
        <w:fldChar w:fldCharType="begin"/>
      </w:r>
      <w:r w:rsidR="007D20AD" w:rsidRPr="00126DE5">
        <w:rPr>
          <w:rFonts w:cs="Arial"/>
          <w:b/>
          <w:color w:val="0070C0"/>
          <w:sz w:val="20"/>
        </w:rPr>
        <w:instrText xml:space="preserve"> REF _Ref285114903 \r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rFonts w:cs="Arial"/>
          <w:b/>
          <w:color w:val="0070C0"/>
          <w:sz w:val="20"/>
        </w:rPr>
        <w:t>III.1.1</w:t>
      </w:r>
      <w:r w:rsidR="00126F3D" w:rsidRPr="00126DE5">
        <w:rPr>
          <w:rFonts w:cs="Arial"/>
          <w:b/>
          <w:color w:val="0070C0"/>
          <w:sz w:val="20"/>
        </w:rPr>
        <w:fldChar w:fldCharType="end"/>
      </w:r>
      <w:r w:rsidR="007D20AD">
        <w:t>)</w:t>
      </w:r>
    </w:p>
    <w:p w:rsidR="00786C35" w:rsidRPr="00B53524" w:rsidRDefault="00786C35" w:rsidP="00647B99">
      <w:pPr>
        <w:pStyle w:val="ListNumber"/>
        <w:rPr>
          <w:rFonts w:cs="Book Antiqua"/>
        </w:rPr>
      </w:pPr>
      <w:r w:rsidRPr="00B53524">
        <w:t xml:space="preserve">Calculate the </w:t>
      </w:r>
      <w:r w:rsidR="003C7091">
        <w:t>DCV</w:t>
      </w:r>
      <w:r w:rsidRPr="00B53524">
        <w:t xml:space="preserve"> for the site under the proposed development plan</w:t>
      </w:r>
      <w:r w:rsidR="007D20AD" w:rsidRPr="007D20AD">
        <w:t xml:space="preserve"> </w:t>
      </w:r>
      <w:r w:rsidR="007D20AD">
        <w:t>using the proposed project imperviousness, the design capture storm depth (</w:t>
      </w:r>
      <w:r w:rsidR="00126F3D" w:rsidRPr="00126DE5">
        <w:rPr>
          <w:rFonts w:cs="Arial"/>
          <w:b/>
          <w:color w:val="0070C0"/>
          <w:sz w:val="20"/>
        </w:rPr>
        <w:fldChar w:fldCharType="begin"/>
      </w:r>
      <w:r w:rsidR="007D20AD" w:rsidRPr="00126DE5">
        <w:rPr>
          <w:rFonts w:cs="Arial"/>
          <w:b/>
          <w:color w:val="0070C0"/>
          <w:sz w:val="20"/>
        </w:rPr>
        <w:instrText xml:space="preserve"> REF _Ref285354586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b/>
          <w:color w:val="0070C0"/>
        </w:rPr>
        <w:t>Figure </w:t>
      </w:r>
      <w:r w:rsidR="00126DE5" w:rsidRPr="00126DE5">
        <w:rPr>
          <w:b/>
          <w:noProof/>
          <w:color w:val="0070C0"/>
        </w:rPr>
        <w:t>III</w:t>
      </w:r>
      <w:r w:rsidR="00126DE5" w:rsidRPr="00126DE5">
        <w:rPr>
          <w:b/>
          <w:color w:val="0070C0"/>
        </w:rPr>
        <w:t>.</w:t>
      </w:r>
      <w:r w:rsidR="00126DE5" w:rsidRPr="00126DE5">
        <w:rPr>
          <w:b/>
          <w:noProof/>
          <w:color w:val="0070C0"/>
        </w:rPr>
        <w:t>1</w:t>
      </w:r>
      <w:r w:rsidR="00126F3D" w:rsidRPr="00126DE5">
        <w:rPr>
          <w:rFonts w:cs="Arial"/>
          <w:b/>
          <w:color w:val="0070C0"/>
          <w:sz w:val="20"/>
        </w:rPr>
        <w:fldChar w:fldCharType="end"/>
      </w:r>
      <w:r w:rsidR="007D20AD">
        <w:t xml:space="preserve">)  and the method described in Section </w:t>
      </w:r>
      <w:r w:rsidR="00126F3D" w:rsidRPr="00126DE5">
        <w:rPr>
          <w:rFonts w:cs="Arial"/>
          <w:b/>
          <w:color w:val="0070C0"/>
          <w:sz w:val="20"/>
        </w:rPr>
        <w:fldChar w:fldCharType="begin"/>
      </w:r>
      <w:r w:rsidR="007D20AD" w:rsidRPr="00126DE5">
        <w:rPr>
          <w:rFonts w:cs="Arial"/>
          <w:b/>
          <w:color w:val="0070C0"/>
          <w:sz w:val="20"/>
        </w:rPr>
        <w:instrText xml:space="preserve"> REF _Ref285114903 \r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rFonts w:cs="Arial"/>
          <w:b/>
          <w:color w:val="0070C0"/>
          <w:sz w:val="20"/>
        </w:rPr>
        <w:t>III.1.1</w:t>
      </w:r>
      <w:r w:rsidR="00126F3D" w:rsidRPr="00126DE5">
        <w:rPr>
          <w:rFonts w:cs="Arial"/>
          <w:b/>
          <w:color w:val="0070C0"/>
          <w:sz w:val="20"/>
        </w:rPr>
        <w:fldChar w:fldCharType="end"/>
      </w:r>
      <w:r w:rsidR="007D20AD">
        <w:t>)</w:t>
      </w:r>
    </w:p>
    <w:p w:rsidR="00786C35" w:rsidRPr="000D23C5" w:rsidRDefault="00786C35" w:rsidP="00647B99">
      <w:pPr>
        <w:pStyle w:val="ListNumber"/>
        <w:rPr>
          <w:rFonts w:cs="Book Antiqua"/>
        </w:rPr>
      </w:pPr>
      <w:r w:rsidRPr="00B53524">
        <w:t xml:space="preserve">The difference between the volumes calculated in (1) and (2) is equal to the Credit Volume, which may be applied to off-set </w:t>
      </w:r>
      <w:r w:rsidR="000B15B1">
        <w:t>the alternative compliance volume</w:t>
      </w:r>
      <w:r w:rsidRPr="00B53524">
        <w:t>.</w:t>
      </w:r>
    </w:p>
    <w:p w:rsidR="000D23C5" w:rsidRPr="00B61864" w:rsidRDefault="00B61864" w:rsidP="00B61864">
      <w:pPr>
        <w:spacing w:after="160"/>
        <w:rPr>
          <w:rFonts w:cs="Book Antiqua"/>
        </w:rPr>
      </w:pPr>
      <w:r>
        <w:rPr>
          <w:rFonts w:cs="Book Antiqua"/>
        </w:rPr>
        <w:t xml:space="preserve">An example of this calculation is provided in </w:t>
      </w:r>
      <w:r w:rsidR="00126F3D" w:rsidRPr="00126DE5">
        <w:rPr>
          <w:rFonts w:cs="Arial"/>
          <w:b/>
          <w:color w:val="0070C0"/>
          <w:sz w:val="20"/>
          <w:szCs w:val="20"/>
        </w:rPr>
        <w:fldChar w:fldCharType="begin"/>
      </w:r>
      <w:r w:rsidRPr="00126DE5">
        <w:rPr>
          <w:rFonts w:cs="Arial"/>
          <w:b/>
          <w:color w:val="0070C0"/>
          <w:sz w:val="20"/>
          <w:szCs w:val="20"/>
        </w:rPr>
        <w:instrText xml:space="preserve"> REF _Ref285372440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b/>
          <w:color w:val="0070C0"/>
        </w:rPr>
        <w:t xml:space="preserve">Example </w:t>
      </w:r>
      <w:r w:rsidR="00126DE5" w:rsidRPr="00126DE5">
        <w:rPr>
          <w:b/>
          <w:noProof/>
          <w:color w:val="0070C0"/>
        </w:rPr>
        <w:t>VI</w:t>
      </w:r>
      <w:r w:rsidR="00126DE5" w:rsidRPr="00126DE5">
        <w:rPr>
          <w:b/>
          <w:color w:val="0070C0"/>
        </w:rPr>
        <w:t>.</w:t>
      </w:r>
      <w:r w:rsidR="00126DE5" w:rsidRPr="00126DE5">
        <w:rPr>
          <w:b/>
          <w:noProof/>
          <w:color w:val="0070C0"/>
        </w:rPr>
        <w:t>2</w:t>
      </w:r>
      <w:r w:rsidR="00126F3D" w:rsidRPr="00126DE5">
        <w:rPr>
          <w:rFonts w:cs="Arial"/>
          <w:b/>
          <w:color w:val="0070C0"/>
          <w:sz w:val="20"/>
          <w:szCs w:val="20"/>
        </w:rPr>
        <w:fldChar w:fldCharType="end"/>
      </w:r>
      <w:r>
        <w:rPr>
          <w:rFonts w:cs="Book Antiqua"/>
        </w:rPr>
        <w:t>.</w:t>
      </w:r>
    </w:p>
    <w:p w:rsidR="000D23C5" w:rsidRPr="007A343A" w:rsidRDefault="000D23C5" w:rsidP="0027571A">
      <w:pPr>
        <w:pStyle w:val="ExampleHeading"/>
      </w:pPr>
      <w:bookmarkStart w:id="370" w:name="_Ref285372440"/>
      <w:bookmarkStart w:id="371" w:name="_Toc288541075"/>
      <w:bookmarkStart w:id="372" w:name="_Toc288554451"/>
      <w:proofErr w:type="gramStart"/>
      <w:r w:rsidRPr="007A343A">
        <w:t xml:space="preserve">Example </w:t>
      </w:r>
      <w:r w:rsidR="00126F3D" w:rsidRPr="00126DE5">
        <w:rPr>
          <w:color w:val="0070C0"/>
        </w:rPr>
        <w:fldChar w:fldCharType="begin"/>
      </w:r>
      <w:r w:rsidR="003F38A8" w:rsidRPr="00126DE5">
        <w:rPr>
          <w:color w:val="0070C0"/>
        </w:rPr>
        <w:instrText xml:space="preserve"> STYLEREF 1 \s </w:instrText>
      </w:r>
      <w:r w:rsidR="00126F3D" w:rsidRPr="00126DE5">
        <w:rPr>
          <w:color w:val="0070C0"/>
        </w:rPr>
        <w:fldChar w:fldCharType="separate"/>
      </w:r>
      <w:r w:rsidR="00126DE5" w:rsidRPr="00126DE5">
        <w:rPr>
          <w:noProof/>
          <w:color w:val="0070C0"/>
        </w:rPr>
        <w:t>VI</w:t>
      </w:r>
      <w:r w:rsidR="00126F3D" w:rsidRPr="00126DE5">
        <w:rPr>
          <w:color w:val="0070C0"/>
        </w:rPr>
        <w:fldChar w:fldCharType="end"/>
      </w:r>
      <w:r w:rsidR="002E1936" w:rsidRPr="007A343A">
        <w:t>.</w:t>
      </w:r>
      <w:proofErr w:type="gramEnd"/>
      <w:r w:rsidR="00126F3D" w:rsidRPr="00126DE5">
        <w:rPr>
          <w:color w:val="0070C0"/>
        </w:rPr>
        <w:fldChar w:fldCharType="begin"/>
      </w:r>
      <w:r w:rsidR="002E1936" w:rsidRPr="00126DE5">
        <w:rPr>
          <w:color w:val="0070C0"/>
        </w:rPr>
        <w:instrText xml:space="preserve"> SEQ Example \* ARABIC \s 1 </w:instrText>
      </w:r>
      <w:r w:rsidR="00126F3D" w:rsidRPr="00126DE5">
        <w:rPr>
          <w:color w:val="0070C0"/>
        </w:rPr>
        <w:fldChar w:fldCharType="separate"/>
      </w:r>
      <w:r w:rsidR="00126DE5" w:rsidRPr="00126DE5">
        <w:rPr>
          <w:noProof/>
          <w:color w:val="0070C0"/>
        </w:rPr>
        <w:t>2</w:t>
      </w:r>
      <w:r w:rsidR="00126F3D" w:rsidRPr="00126DE5">
        <w:rPr>
          <w:color w:val="0070C0"/>
        </w:rPr>
        <w:fldChar w:fldCharType="end"/>
      </w:r>
      <w:bookmarkEnd w:id="370"/>
      <w:r w:rsidRPr="007A343A">
        <w:t xml:space="preserve">: Calculating </w:t>
      </w:r>
      <w:r w:rsidR="005E57C9">
        <w:t>W</w:t>
      </w:r>
      <w:r w:rsidRPr="007A343A">
        <w:t xml:space="preserve">ater </w:t>
      </w:r>
      <w:r w:rsidR="005E57C9">
        <w:t>Q</w:t>
      </w:r>
      <w:r w:rsidRPr="007A343A">
        <w:t xml:space="preserve">uality </w:t>
      </w:r>
      <w:r w:rsidR="005E57C9">
        <w:t>C</w:t>
      </w:r>
      <w:r w:rsidRPr="007A343A">
        <w:t xml:space="preserve">redits for </w:t>
      </w:r>
      <w:r w:rsidR="005E57C9">
        <w:t>P</w:t>
      </w:r>
      <w:r w:rsidRPr="007A343A">
        <w:t xml:space="preserve">rojects </w:t>
      </w:r>
      <w:r w:rsidR="005E57C9">
        <w:t>R</w:t>
      </w:r>
      <w:r w:rsidRPr="007A343A">
        <w:t xml:space="preserve">educing </w:t>
      </w:r>
      <w:r w:rsidR="005E57C9">
        <w:t>I</w:t>
      </w:r>
      <w:r w:rsidRPr="007A343A">
        <w:t>mperviousness</w:t>
      </w:r>
      <w:bookmarkEnd w:id="371"/>
      <w:bookmarkEnd w:id="372"/>
    </w:p>
    <w:p w:rsidR="000D23C5" w:rsidRPr="00B53524" w:rsidRDefault="000D23C5" w:rsidP="00EA1EA6">
      <w:pPr>
        <w:pStyle w:val="ExampleSubheading"/>
        <w:outlineLvl w:val="0"/>
      </w:pPr>
      <w:r w:rsidRPr="00B53524">
        <w:t>Given:</w:t>
      </w:r>
    </w:p>
    <w:p w:rsidR="000D23C5" w:rsidRPr="00B53524" w:rsidRDefault="000D23C5" w:rsidP="00B61864">
      <w:pPr>
        <w:pStyle w:val="ExampleBullets"/>
        <w:keepNext/>
      </w:pPr>
      <w:r w:rsidRPr="00B53524">
        <w:t>85th percentile, 24-hr storm depth = 0.85 inches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_Ref285354586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Figure </w:t>
      </w:r>
      <w:r w:rsidR="00126DE5" w:rsidRPr="00126DE5">
        <w:rPr>
          <w:rFonts w:ascii="Book Antiqua" w:hAnsi="Book Antiqua"/>
          <w:b/>
          <w:noProof/>
          <w:color w:val="0070C0"/>
        </w:rPr>
        <w:t>III</w:t>
      </w:r>
      <w:r w:rsidR="00126DE5" w:rsidRPr="00126DE5">
        <w:rPr>
          <w:rFonts w:ascii="Book Antiqua" w:hAnsi="Book Antiqua"/>
          <w:b/>
          <w:color w:val="0070C0"/>
        </w:rPr>
        <w:t>.</w:t>
      </w:r>
      <w:r w:rsidR="00126DE5" w:rsidRPr="00126DE5">
        <w:rPr>
          <w:rFonts w:ascii="Book Antiqua" w:hAnsi="Book Antiqua"/>
          <w:b/>
          <w:noProof/>
          <w:color w:val="0070C0"/>
        </w:rPr>
        <w:t>1</w:t>
      </w:r>
      <w:r w:rsidR="00126F3D" w:rsidRPr="00126DE5">
        <w:rPr>
          <w:rFonts w:ascii="Book Antiqua" w:hAnsi="Book Antiqua"/>
          <w:b/>
          <w:color w:val="0070C0"/>
        </w:rPr>
        <w:fldChar w:fldCharType="end"/>
      </w:r>
      <w:r w:rsidRPr="00B53524">
        <w:t>)</w:t>
      </w:r>
    </w:p>
    <w:p w:rsidR="000D23C5" w:rsidRPr="00B53524" w:rsidRDefault="000D23C5" w:rsidP="00B61864">
      <w:pPr>
        <w:pStyle w:val="ExampleBullets"/>
        <w:keepNext/>
      </w:pPr>
      <w:r w:rsidRPr="00B53524">
        <w:t>Drainage Area = 1.5 acres</w:t>
      </w:r>
    </w:p>
    <w:p w:rsidR="000D23C5" w:rsidRPr="00B53524" w:rsidRDefault="000D23C5" w:rsidP="00B61864">
      <w:pPr>
        <w:pStyle w:val="ExampleBullets"/>
        <w:keepNext/>
      </w:pPr>
      <w:r>
        <w:t>Pre-project Imperviousness = 10</w:t>
      </w:r>
      <w:r w:rsidRPr="00B53524">
        <w:t>0%</w:t>
      </w:r>
    </w:p>
    <w:p w:rsidR="000D23C5" w:rsidRDefault="000D23C5" w:rsidP="00B61864">
      <w:pPr>
        <w:pStyle w:val="ExampleBullets"/>
        <w:keepNext/>
      </w:pPr>
      <w:r>
        <w:t>Post-project Imperviousness = 70%</w:t>
      </w:r>
    </w:p>
    <w:p w:rsidR="000D23C5" w:rsidRPr="00B53524" w:rsidRDefault="000D23C5" w:rsidP="00EA1EA6">
      <w:pPr>
        <w:pStyle w:val="ExampleSubheading"/>
        <w:outlineLvl w:val="0"/>
      </w:pPr>
      <w:r w:rsidRPr="00B53524">
        <w:t>Required:</w:t>
      </w:r>
    </w:p>
    <w:p w:rsidR="000D23C5" w:rsidRPr="00B53524" w:rsidRDefault="000D23C5" w:rsidP="00B61864">
      <w:pPr>
        <w:pStyle w:val="ExampleBullets"/>
        <w:keepNext/>
      </w:pPr>
      <w:r w:rsidRPr="00B53524">
        <w:t xml:space="preserve">Compute </w:t>
      </w:r>
      <w:r>
        <w:t>the  water quality credit that could be claimed for reducing project imperviousness</w:t>
      </w:r>
    </w:p>
    <w:p w:rsidR="000D23C5" w:rsidRPr="00B53524" w:rsidRDefault="000D23C5" w:rsidP="00EA1EA6">
      <w:pPr>
        <w:pStyle w:val="ExampleSubheading"/>
        <w:outlineLvl w:val="0"/>
      </w:pPr>
      <w:r w:rsidRPr="00B53524">
        <w:t>Solution:</w:t>
      </w:r>
    </w:p>
    <w:p w:rsidR="000D23C5" w:rsidRPr="00647B99" w:rsidRDefault="003C7091" w:rsidP="009531AF">
      <w:pPr>
        <w:pStyle w:val="ExampleNumbers"/>
        <w:numPr>
          <w:ilvl w:val="0"/>
          <w:numId w:val="94"/>
        </w:numPr>
        <w:ind w:left="720"/>
      </w:pPr>
      <w:r>
        <w:t>DCV</w:t>
      </w:r>
      <w:r w:rsidR="000D23C5" w:rsidRPr="00647B99">
        <w:t xml:space="preserve"> (pre-project) = 1.5 ac × 0.85 inches × (1.0×0.75 + 0.15) × 43,560 sf/ac × 1/12 in/ft =  4,170 cu-ft</w:t>
      </w:r>
    </w:p>
    <w:p w:rsidR="000D23C5" w:rsidRPr="00647B99" w:rsidRDefault="003C7091" w:rsidP="009531AF">
      <w:pPr>
        <w:pStyle w:val="ExampleNumbers"/>
        <w:numPr>
          <w:ilvl w:val="0"/>
          <w:numId w:val="94"/>
        </w:numPr>
        <w:ind w:left="720"/>
      </w:pPr>
      <w:r>
        <w:t>DCV</w:t>
      </w:r>
      <w:r w:rsidR="000D23C5" w:rsidRPr="00647B99">
        <w:t xml:space="preserve"> (pre-project) = 1.5 ac × 0.85 inches × (0.7×0.75 + 0.15) × 43,560 sf/ac × 1/12 in/ft = 3,120 cu-ft</w:t>
      </w:r>
    </w:p>
    <w:p w:rsidR="000D23C5" w:rsidRPr="00647B99" w:rsidRDefault="000D23C5" w:rsidP="009531AF">
      <w:pPr>
        <w:pStyle w:val="ExampleNumbers"/>
        <w:numPr>
          <w:ilvl w:val="0"/>
          <w:numId w:val="94"/>
        </w:numPr>
        <w:ind w:left="720"/>
      </w:pPr>
      <w:r w:rsidRPr="00647B99">
        <w:t xml:space="preserve">Credit volume = </w:t>
      </w:r>
      <w:r w:rsidR="00D273D1" w:rsidRPr="00647B99">
        <w:t>DCV(pre) – DCV(post)</w:t>
      </w:r>
      <w:r w:rsidRPr="00647B99">
        <w:t xml:space="preserve"> = </w:t>
      </w:r>
      <w:r w:rsidR="00D273D1" w:rsidRPr="00647B99">
        <w:t xml:space="preserve">4,170 cu-ft - 3,120 cu-ft </w:t>
      </w:r>
      <w:r w:rsidRPr="00647B99">
        <w:t xml:space="preserve"> = 1,0</w:t>
      </w:r>
      <w:r w:rsidR="00D273D1" w:rsidRPr="00647B99">
        <w:t>5</w:t>
      </w:r>
      <w:r w:rsidRPr="00647B99">
        <w:t>0 cu-ft</w:t>
      </w:r>
    </w:p>
    <w:p w:rsidR="000D23C5" w:rsidRDefault="000D23C5" w:rsidP="009531AF">
      <w:pPr>
        <w:pStyle w:val="ExampleNumbers"/>
        <w:numPr>
          <w:ilvl w:val="0"/>
          <w:numId w:val="94"/>
        </w:numPr>
        <w:ind w:left="720"/>
      </w:pPr>
      <w:r w:rsidRPr="00647B99">
        <w:t xml:space="preserve">This is the </w:t>
      </w:r>
      <w:r w:rsidR="00D273D1" w:rsidRPr="00647B99">
        <w:t xml:space="preserve">credit </w:t>
      </w:r>
      <w:r w:rsidRPr="00647B99">
        <w:t xml:space="preserve">volume that </w:t>
      </w:r>
      <w:r w:rsidR="00D273D1" w:rsidRPr="00647B99">
        <w:t>can be applied to reduce “unmet” volume.</w:t>
      </w:r>
      <w:r w:rsidR="00D273D1">
        <w:t xml:space="preserve"> </w:t>
      </w:r>
    </w:p>
    <w:p w:rsidR="007D631A" w:rsidRPr="00987028" w:rsidRDefault="007D631A" w:rsidP="007D631A"/>
    <w:p w:rsidR="00786C35" w:rsidRPr="00B53524" w:rsidRDefault="00925C11" w:rsidP="00A52883">
      <w:pPr>
        <w:pStyle w:val="Heading3"/>
      </w:pPr>
      <w:r>
        <w:t xml:space="preserve">Method 2: </w:t>
      </w:r>
      <w:r w:rsidR="00786C35" w:rsidRPr="00B53524">
        <w:t>Applying Water Quality Credits to Projects Based on Project Type and Density</w:t>
      </w:r>
    </w:p>
    <w:p w:rsidR="00786C35" w:rsidRDefault="00D273D1" w:rsidP="00786C35">
      <w:pPr>
        <w:pStyle w:val="CDMBTEXT"/>
      </w:pPr>
      <w:r>
        <w:t xml:space="preserve">Water Quality Credits are expressed in terms of </w:t>
      </w:r>
      <w:r w:rsidR="00786C35" w:rsidRPr="00B53524">
        <w:t>p</w:t>
      </w:r>
      <w:r>
        <w:t>ercentages</w:t>
      </w:r>
      <w:r w:rsidR="00786C35" w:rsidRPr="00B53524">
        <w:t xml:space="preserve"> of the original </w:t>
      </w:r>
      <w:r w:rsidR="003C7091">
        <w:t>DCV</w:t>
      </w:r>
      <w:r>
        <w:t xml:space="preserve"> (i.e., the runoff from the design capture storm depth in the proposed condition before applying any </w:t>
      </w:r>
      <w:r w:rsidRPr="007A343A">
        <w:t>BMPs). This section is intended to be applicable for calculating the volume (cu-ft) corresponding to these credits. The applicability of credits is described in</w:t>
      </w:r>
      <w:r w:rsidRPr="007A343A">
        <w:rPr>
          <w:b/>
          <w:color w:val="00B050"/>
        </w:rPr>
        <w:t xml:space="preserve"> </w:t>
      </w:r>
      <w:r w:rsidR="00B82BB0" w:rsidRPr="007A343A">
        <w:rPr>
          <w:b/>
          <w:color w:val="00B050"/>
        </w:rPr>
        <w:t xml:space="preserve">Section </w:t>
      </w:r>
      <w:r w:rsidR="007A343A" w:rsidRPr="007A343A">
        <w:rPr>
          <w:b/>
          <w:color w:val="00B050"/>
        </w:rPr>
        <w:t>3.1</w:t>
      </w:r>
      <w:r w:rsidR="00B82BB0" w:rsidRPr="007A343A">
        <w:rPr>
          <w:b/>
          <w:color w:val="00B050"/>
        </w:rPr>
        <w:t xml:space="preserve"> of the </w:t>
      </w:r>
      <w:r w:rsidR="007A343A" w:rsidRPr="007A343A">
        <w:rPr>
          <w:b/>
          <w:color w:val="00B050"/>
        </w:rPr>
        <w:t>Model WQMP</w:t>
      </w:r>
      <w:r w:rsidRPr="007A343A">
        <w:t>.  The user is expected</w:t>
      </w:r>
      <w:r>
        <w:t xml:space="preserve"> to enter this section with the total WQ credit percentage.</w:t>
      </w:r>
    </w:p>
    <w:p w:rsidR="00786C35" w:rsidRPr="00B53524" w:rsidRDefault="00786C35" w:rsidP="00786C35">
      <w:pPr>
        <w:pStyle w:val="CDMBTEXT"/>
        <w:rPr>
          <w:rFonts w:cs="Book Antiqua"/>
          <w:szCs w:val="22"/>
        </w:rPr>
      </w:pPr>
      <w:r w:rsidRPr="00B53524">
        <w:rPr>
          <w:rFonts w:cs="Book Antiqua"/>
          <w:szCs w:val="22"/>
        </w:rPr>
        <w:t xml:space="preserve">The volume credit would be calculated as the </w:t>
      </w:r>
      <w:r w:rsidR="003C7091">
        <w:rPr>
          <w:rFonts w:cs="Book Antiqua"/>
          <w:szCs w:val="22"/>
        </w:rPr>
        <w:t>DCV</w:t>
      </w:r>
      <w:r w:rsidRPr="00B53524">
        <w:rPr>
          <w:rFonts w:cs="Book Antiqua"/>
          <w:szCs w:val="22"/>
        </w:rPr>
        <w:t xml:space="preserve"> of the proposed conditi</w:t>
      </w:r>
      <w:r w:rsidR="00D273D1">
        <w:rPr>
          <w:rFonts w:cs="Book Antiqua"/>
          <w:szCs w:val="22"/>
        </w:rPr>
        <w:t>on multiplied by WQ Credit percentage</w:t>
      </w:r>
      <w:r w:rsidRPr="00B53524">
        <w:rPr>
          <w:rFonts w:cs="Book Antiqua"/>
          <w:szCs w:val="22"/>
        </w:rPr>
        <w:t>:</w:t>
      </w:r>
    </w:p>
    <w:p w:rsidR="00786C35" w:rsidRDefault="00786C35" w:rsidP="00D273D1">
      <w:pPr>
        <w:spacing w:after="160"/>
        <w:ind w:left="2430" w:hanging="1710"/>
        <w:rPr>
          <w:rFonts w:cs="Book Antiqua"/>
        </w:rPr>
      </w:pPr>
      <w:r w:rsidRPr="00B53524">
        <w:rPr>
          <w:rFonts w:cs="Book Antiqua"/>
        </w:rPr>
        <w:t>Credit Volume =</w:t>
      </w:r>
      <w:r w:rsidR="00B61864">
        <w:rPr>
          <w:rFonts w:cs="Book Antiqua"/>
        </w:rPr>
        <w:t xml:space="preserve"> Original</w:t>
      </w:r>
      <w:r w:rsidRPr="00B53524">
        <w:rPr>
          <w:rFonts w:cs="Book Antiqua"/>
        </w:rPr>
        <w:t xml:space="preserve"> </w:t>
      </w:r>
      <w:r w:rsidR="003C7091">
        <w:rPr>
          <w:rFonts w:cs="Book Antiqua"/>
        </w:rPr>
        <w:t>DCV</w:t>
      </w:r>
      <w:r w:rsidRPr="00B53524">
        <w:rPr>
          <w:rFonts w:cs="Book Antiqua"/>
        </w:rPr>
        <w:t xml:space="preserve"> * ∑Credit Percentages Claimed </w:t>
      </w:r>
    </w:p>
    <w:p w:rsidR="00B61864" w:rsidRPr="00B53524" w:rsidRDefault="00B61864" w:rsidP="00DF24E8">
      <w:pPr>
        <w:spacing w:after="160"/>
        <w:rPr>
          <w:rFonts w:cs="Book Antiqua"/>
        </w:rPr>
      </w:pPr>
      <w:r>
        <w:rPr>
          <w:rFonts w:cs="Book Antiqua"/>
        </w:rPr>
        <w:t xml:space="preserve">An example of this calculation is provided in </w:t>
      </w:r>
      <w:r w:rsidR="00126F3D" w:rsidRPr="00126DE5">
        <w:rPr>
          <w:rFonts w:cs="Arial"/>
          <w:b/>
          <w:color w:val="0070C0"/>
          <w:sz w:val="20"/>
          <w:szCs w:val="20"/>
        </w:rPr>
        <w:fldChar w:fldCharType="begin"/>
      </w:r>
      <w:r w:rsidRPr="00126DE5">
        <w:rPr>
          <w:rFonts w:cs="Arial"/>
          <w:b/>
          <w:color w:val="0070C0"/>
          <w:sz w:val="20"/>
          <w:szCs w:val="20"/>
        </w:rPr>
        <w:instrText xml:space="preserve"> REF _Ref285372372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b/>
          <w:color w:val="0070C0"/>
        </w:rPr>
        <w:t xml:space="preserve">Example </w:t>
      </w:r>
      <w:r w:rsidR="00126DE5" w:rsidRPr="00126DE5">
        <w:rPr>
          <w:b/>
          <w:noProof/>
          <w:color w:val="0070C0"/>
        </w:rPr>
        <w:t>VI</w:t>
      </w:r>
      <w:r w:rsidR="00126DE5" w:rsidRPr="00126DE5">
        <w:rPr>
          <w:b/>
          <w:color w:val="0070C0"/>
        </w:rPr>
        <w:t>.</w:t>
      </w:r>
      <w:r w:rsidR="00126DE5" w:rsidRPr="00126DE5">
        <w:rPr>
          <w:b/>
          <w:noProof/>
          <w:color w:val="0070C0"/>
        </w:rPr>
        <w:t>3</w:t>
      </w:r>
      <w:r w:rsidR="00126F3D" w:rsidRPr="00126DE5">
        <w:rPr>
          <w:rFonts w:cs="Arial"/>
          <w:b/>
          <w:color w:val="0070C0"/>
          <w:sz w:val="20"/>
          <w:szCs w:val="20"/>
        </w:rPr>
        <w:fldChar w:fldCharType="end"/>
      </w:r>
      <w:r>
        <w:rPr>
          <w:rFonts w:cs="Book Antiqua"/>
        </w:rPr>
        <w:t>.</w:t>
      </w:r>
    </w:p>
    <w:p w:rsidR="00786C35" w:rsidRPr="007A343A" w:rsidRDefault="00786C35" w:rsidP="0027571A">
      <w:pPr>
        <w:pStyle w:val="ExampleHeading"/>
      </w:pPr>
      <w:bookmarkStart w:id="373" w:name="_Ref285372372"/>
      <w:bookmarkStart w:id="374" w:name="_Toc262408840"/>
      <w:bookmarkStart w:id="375" w:name="_Toc285308147"/>
      <w:bookmarkStart w:id="376" w:name="_Toc288541076"/>
      <w:bookmarkStart w:id="377" w:name="_Toc288554452"/>
      <w:proofErr w:type="gramStart"/>
      <w:r w:rsidRPr="007A343A">
        <w:t xml:space="preserve">Example </w:t>
      </w:r>
      <w:r w:rsidR="00126F3D" w:rsidRPr="00126DE5">
        <w:rPr>
          <w:color w:val="0070C0"/>
        </w:rPr>
        <w:fldChar w:fldCharType="begin"/>
      </w:r>
      <w:r w:rsidR="003F38A8" w:rsidRPr="00126DE5">
        <w:rPr>
          <w:color w:val="0070C0"/>
        </w:rPr>
        <w:instrText xml:space="preserve"> STYLEREF 1 \s </w:instrText>
      </w:r>
      <w:r w:rsidR="00126F3D" w:rsidRPr="00126DE5">
        <w:rPr>
          <w:color w:val="0070C0"/>
        </w:rPr>
        <w:fldChar w:fldCharType="separate"/>
      </w:r>
      <w:r w:rsidR="00126DE5" w:rsidRPr="00126DE5">
        <w:rPr>
          <w:noProof/>
          <w:color w:val="0070C0"/>
        </w:rPr>
        <w:t>VI</w:t>
      </w:r>
      <w:r w:rsidR="00126F3D" w:rsidRPr="00126DE5">
        <w:rPr>
          <w:color w:val="0070C0"/>
        </w:rPr>
        <w:fldChar w:fldCharType="end"/>
      </w:r>
      <w:r w:rsidR="002E1936" w:rsidRPr="007A343A">
        <w:t>.</w:t>
      </w:r>
      <w:proofErr w:type="gramEnd"/>
      <w:r w:rsidR="00126F3D" w:rsidRPr="00126DE5">
        <w:rPr>
          <w:color w:val="0070C0"/>
        </w:rPr>
        <w:fldChar w:fldCharType="begin"/>
      </w:r>
      <w:r w:rsidR="002E1936" w:rsidRPr="00126DE5">
        <w:rPr>
          <w:color w:val="0070C0"/>
        </w:rPr>
        <w:instrText xml:space="preserve"> SEQ Example \* ARABIC \s 1 </w:instrText>
      </w:r>
      <w:r w:rsidR="00126F3D" w:rsidRPr="00126DE5">
        <w:rPr>
          <w:color w:val="0070C0"/>
        </w:rPr>
        <w:fldChar w:fldCharType="separate"/>
      </w:r>
      <w:r w:rsidR="00126DE5" w:rsidRPr="00126DE5">
        <w:rPr>
          <w:noProof/>
          <w:color w:val="0070C0"/>
        </w:rPr>
        <w:t>3</w:t>
      </w:r>
      <w:r w:rsidR="00126F3D" w:rsidRPr="00126DE5">
        <w:rPr>
          <w:color w:val="0070C0"/>
        </w:rPr>
        <w:fldChar w:fldCharType="end"/>
      </w:r>
      <w:bookmarkEnd w:id="373"/>
      <w:r w:rsidRPr="007A343A">
        <w:t xml:space="preserve">: Applying </w:t>
      </w:r>
      <w:r w:rsidR="005E57C9">
        <w:t>Water Quality Credits t</w:t>
      </w:r>
      <w:r w:rsidR="005E57C9" w:rsidRPr="007A343A">
        <w:t>o Reduce Alternative Compliance Volume</w:t>
      </w:r>
      <w:bookmarkEnd w:id="374"/>
      <w:bookmarkEnd w:id="375"/>
      <w:bookmarkEnd w:id="376"/>
      <w:bookmarkEnd w:id="377"/>
    </w:p>
    <w:p w:rsidR="00786C35" w:rsidRPr="00B53524" w:rsidRDefault="00786C35" w:rsidP="00EA1EA6">
      <w:pPr>
        <w:pStyle w:val="ExampleSubheading"/>
        <w:outlineLvl w:val="0"/>
      </w:pPr>
      <w:bookmarkStart w:id="378" w:name="_Toc285308148"/>
      <w:r w:rsidRPr="00B53524">
        <w:t>Given:</w:t>
      </w:r>
      <w:bookmarkEnd w:id="378"/>
    </w:p>
    <w:p w:rsidR="00B61864" w:rsidRPr="00B53524" w:rsidRDefault="00B61864" w:rsidP="00B61864">
      <w:pPr>
        <w:pStyle w:val="ExampleBullets"/>
        <w:keepNext/>
      </w:pPr>
      <w:r w:rsidRPr="00B53524">
        <w:t>85th percentile, 24-hr storm depth = 0.85 inches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_Ref285354586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Figure </w:t>
      </w:r>
      <w:r w:rsidR="00126DE5" w:rsidRPr="00126DE5">
        <w:rPr>
          <w:rFonts w:ascii="Book Antiqua" w:hAnsi="Book Antiqua"/>
          <w:b/>
          <w:noProof/>
          <w:color w:val="0070C0"/>
        </w:rPr>
        <w:t>III</w:t>
      </w:r>
      <w:r w:rsidR="00126DE5" w:rsidRPr="00126DE5">
        <w:rPr>
          <w:rFonts w:ascii="Book Antiqua" w:hAnsi="Book Antiqua"/>
          <w:b/>
          <w:color w:val="0070C0"/>
        </w:rPr>
        <w:t>.</w:t>
      </w:r>
      <w:r w:rsidR="00126DE5" w:rsidRPr="00126DE5">
        <w:rPr>
          <w:rFonts w:ascii="Book Antiqua" w:hAnsi="Book Antiqua"/>
          <w:b/>
          <w:noProof/>
          <w:color w:val="0070C0"/>
        </w:rPr>
        <w:t>1</w:t>
      </w:r>
      <w:r w:rsidR="00126F3D" w:rsidRPr="00126DE5">
        <w:rPr>
          <w:rFonts w:ascii="Book Antiqua" w:hAnsi="Book Antiqua"/>
          <w:b/>
          <w:color w:val="0070C0"/>
        </w:rPr>
        <w:fldChar w:fldCharType="end"/>
      </w:r>
      <w:r w:rsidRPr="00B53524">
        <w:t>)</w:t>
      </w:r>
    </w:p>
    <w:p w:rsidR="00786C35" w:rsidRPr="00B53524" w:rsidRDefault="00786C35" w:rsidP="00786C35">
      <w:pPr>
        <w:pStyle w:val="ExampleBullets"/>
      </w:pPr>
      <w:r w:rsidRPr="00B53524">
        <w:t>Drainage Area = 1.5 acres</w:t>
      </w:r>
    </w:p>
    <w:p w:rsidR="00786C35" w:rsidRPr="00B53524" w:rsidRDefault="00786C35" w:rsidP="00786C35">
      <w:pPr>
        <w:pStyle w:val="ExampleBullets"/>
      </w:pPr>
      <w:r w:rsidRPr="00B53524">
        <w:t>Imperviousness = 80%</w:t>
      </w:r>
    </w:p>
    <w:p w:rsidR="00786C35" w:rsidRPr="00B53524" w:rsidRDefault="003C52AF" w:rsidP="00786C35">
      <w:pPr>
        <w:pStyle w:val="ExampleBullets"/>
      </w:pPr>
      <w:r>
        <w:t xml:space="preserve">Alternative compliance </w:t>
      </w:r>
      <w:r w:rsidR="00786C35" w:rsidRPr="00B53524">
        <w:t>volume</w:t>
      </w:r>
      <w:r w:rsidR="00B82BB0">
        <w:t xml:space="preserve"> before claiming water quality credits</w:t>
      </w:r>
      <w:r w:rsidR="00786C35" w:rsidRPr="00B53524">
        <w:t xml:space="preserve"> = 1,630 cu-ft</w:t>
      </w:r>
    </w:p>
    <w:p w:rsidR="00B61864" w:rsidRPr="00B53524" w:rsidRDefault="00B61864" w:rsidP="00786C35">
      <w:pPr>
        <w:pStyle w:val="ExampleBullets"/>
      </w:pPr>
      <w:r>
        <w:t xml:space="preserve">Total credit </w:t>
      </w:r>
      <w:r w:rsidR="00DF24E8">
        <w:t xml:space="preserve">based on applicability </w:t>
      </w:r>
      <w:r w:rsidR="00DF24E8" w:rsidRPr="007A343A">
        <w:t>described in</w:t>
      </w:r>
      <w:r w:rsidRPr="007A343A">
        <w:t xml:space="preserve"> </w:t>
      </w:r>
      <w:r w:rsidR="00B82BB0" w:rsidRPr="007A343A">
        <w:rPr>
          <w:b/>
          <w:color w:val="00B050"/>
        </w:rPr>
        <w:t xml:space="preserve">Section </w:t>
      </w:r>
      <w:r w:rsidR="007A343A" w:rsidRPr="007A343A">
        <w:rPr>
          <w:b/>
          <w:color w:val="00B050"/>
        </w:rPr>
        <w:t>3.1</w:t>
      </w:r>
      <w:r w:rsidR="00B82BB0" w:rsidRPr="007A343A">
        <w:rPr>
          <w:b/>
          <w:color w:val="00B050"/>
        </w:rPr>
        <w:t xml:space="preserve"> of the </w:t>
      </w:r>
      <w:r w:rsidR="00DF24E8" w:rsidRPr="007A343A">
        <w:rPr>
          <w:b/>
          <w:color w:val="00B050"/>
        </w:rPr>
        <w:t>Model WQMP</w:t>
      </w:r>
      <w:r w:rsidR="00DF24E8" w:rsidRPr="007A343A">
        <w:t>: 30</w:t>
      </w:r>
      <w:r w:rsidR="00DF24E8" w:rsidRPr="00DF24E8">
        <w:t xml:space="preserve"> percent</w:t>
      </w:r>
    </w:p>
    <w:p w:rsidR="00786C35" w:rsidRPr="00B53524" w:rsidRDefault="00786C35" w:rsidP="00EA1EA6">
      <w:pPr>
        <w:pStyle w:val="ExampleSubheading"/>
        <w:outlineLvl w:val="0"/>
      </w:pPr>
      <w:bookmarkStart w:id="379" w:name="_Toc285308149"/>
      <w:r w:rsidRPr="00B53524">
        <w:t>Required:</w:t>
      </w:r>
      <w:bookmarkEnd w:id="379"/>
    </w:p>
    <w:p w:rsidR="00786C35" w:rsidRPr="00B53524" w:rsidRDefault="00786C35" w:rsidP="00786C35">
      <w:pPr>
        <w:pStyle w:val="ExampleBullets"/>
      </w:pPr>
      <w:r w:rsidRPr="00B53524">
        <w:t>Compute remaining unmet volume after applying water quality credits</w:t>
      </w:r>
    </w:p>
    <w:p w:rsidR="00786C35" w:rsidRPr="00B53524" w:rsidRDefault="00786C35" w:rsidP="00EA1EA6">
      <w:pPr>
        <w:pStyle w:val="ExampleSubheading"/>
        <w:outlineLvl w:val="0"/>
      </w:pPr>
      <w:bookmarkStart w:id="380" w:name="_Toc285308150"/>
      <w:r w:rsidRPr="00B53524">
        <w:t>Solution:</w:t>
      </w:r>
      <w:bookmarkEnd w:id="380"/>
    </w:p>
    <w:p w:rsidR="00786C35" w:rsidRPr="007A343A" w:rsidRDefault="00786C35" w:rsidP="00853C9A">
      <w:pPr>
        <w:pStyle w:val="ExampleNumbers"/>
        <w:numPr>
          <w:ilvl w:val="0"/>
          <w:numId w:val="101"/>
        </w:numPr>
        <w:ind w:left="720"/>
      </w:pPr>
      <w:r w:rsidRPr="00B53524">
        <w:t xml:space="preserve">Add all applicable credits = 20% + 10% </w:t>
      </w:r>
      <w:r w:rsidRPr="007A343A">
        <w:t>= 30%</w:t>
      </w:r>
      <w:r w:rsidR="00B82BB0" w:rsidRPr="007A343A">
        <w:t xml:space="preserve"> (per applicability described in </w:t>
      </w:r>
      <w:r w:rsidR="00B82BB0" w:rsidRPr="002C242C">
        <w:rPr>
          <w:b/>
          <w:color w:val="00B050"/>
        </w:rPr>
        <w:t xml:space="preserve">Section </w:t>
      </w:r>
      <w:r w:rsidR="007A343A" w:rsidRPr="002C242C">
        <w:rPr>
          <w:b/>
          <w:color w:val="00B050"/>
        </w:rPr>
        <w:t>3.1</w:t>
      </w:r>
      <w:r w:rsidR="00B82BB0" w:rsidRPr="002C242C">
        <w:rPr>
          <w:b/>
          <w:color w:val="00B050"/>
        </w:rPr>
        <w:t>of the Model WQMP</w:t>
      </w:r>
      <w:r w:rsidR="00B82BB0" w:rsidRPr="007A343A">
        <w:t>)</w:t>
      </w:r>
    </w:p>
    <w:p w:rsidR="00786C35" w:rsidRPr="00B53524" w:rsidRDefault="003C7091" w:rsidP="00853C9A">
      <w:pPr>
        <w:pStyle w:val="ExampleNumbers"/>
        <w:numPr>
          <w:ilvl w:val="0"/>
          <w:numId w:val="101"/>
        </w:numPr>
        <w:ind w:left="720"/>
      </w:pPr>
      <w:r>
        <w:t>DCV</w:t>
      </w:r>
      <w:r w:rsidR="00786C35" w:rsidRPr="007A343A">
        <w:t xml:space="preserve"> (unmitigated) = 1.5 ac × 0</w:t>
      </w:r>
      <w:r w:rsidR="00786C35" w:rsidRPr="00B53524">
        <w:t>.85 inches × (0.8×0.75 + 0.15) × 43,560 sf/ac × 1/12 in/ft =  3,470 cu-ft</w:t>
      </w:r>
    </w:p>
    <w:p w:rsidR="00786C35" w:rsidRPr="00B53524" w:rsidRDefault="00786C35" w:rsidP="00853C9A">
      <w:pPr>
        <w:pStyle w:val="ExampleNumbers"/>
        <w:numPr>
          <w:ilvl w:val="0"/>
          <w:numId w:val="101"/>
        </w:numPr>
        <w:ind w:left="720"/>
      </w:pPr>
      <w:r w:rsidRPr="00B53524">
        <w:t xml:space="preserve">Credit volume = total credit × original </w:t>
      </w:r>
      <w:r w:rsidR="003C7091">
        <w:t>DCV</w:t>
      </w:r>
      <w:r w:rsidRPr="00B53524">
        <w:t xml:space="preserve"> = 30% × 3,470 cu-ft = 1,040 cu-ft</w:t>
      </w:r>
    </w:p>
    <w:p w:rsidR="00786C35" w:rsidRPr="00B53524" w:rsidRDefault="00786C35" w:rsidP="00853C9A">
      <w:pPr>
        <w:pStyle w:val="ExampleNumbers"/>
        <w:numPr>
          <w:ilvl w:val="0"/>
          <w:numId w:val="101"/>
        </w:numPr>
        <w:ind w:left="720"/>
      </w:pPr>
      <w:r w:rsidRPr="00B53524">
        <w:t>Remaining volume after credits = 1,630 cu-ft – 1,040 cu-ft = 590 cu-ft</w:t>
      </w:r>
    </w:p>
    <w:p w:rsidR="00786C35" w:rsidRDefault="00786C35" w:rsidP="00853C9A">
      <w:pPr>
        <w:pStyle w:val="ExampleNumbers"/>
        <w:numPr>
          <w:ilvl w:val="0"/>
          <w:numId w:val="101"/>
        </w:numPr>
        <w:ind w:left="720"/>
      </w:pPr>
      <w:r w:rsidRPr="00B53524">
        <w:t>This is the remaining volume that must be addressed through other forms of alternative compliance.</w:t>
      </w:r>
    </w:p>
    <w:p w:rsidR="007D631A" w:rsidRPr="00786C35" w:rsidRDefault="007D631A" w:rsidP="007D631A"/>
    <w:p w:rsidR="00EE65C2" w:rsidRPr="00B53524" w:rsidRDefault="00EE65C2" w:rsidP="00A52883">
      <w:pPr>
        <w:pStyle w:val="Heading2"/>
      </w:pPr>
      <w:bookmarkStart w:id="381" w:name="_Ref262065676"/>
      <w:bookmarkStart w:id="382" w:name="_Toc262462921"/>
      <w:bookmarkStart w:id="383" w:name="_Toc285308151"/>
      <w:bookmarkStart w:id="384" w:name="_Toc285315739"/>
      <w:bookmarkStart w:id="385" w:name="_Toc285492458"/>
      <w:bookmarkStart w:id="386" w:name="_Toc288541077"/>
      <w:bookmarkStart w:id="387" w:name="_Toc293937135"/>
      <w:r w:rsidRPr="00B53524">
        <w:t>Stormwater Quality Design Volume/Flow Calculations</w:t>
      </w:r>
      <w:bookmarkEnd w:id="381"/>
      <w:bookmarkEnd w:id="382"/>
      <w:bookmarkEnd w:id="383"/>
      <w:bookmarkEnd w:id="384"/>
      <w:r w:rsidR="00B61864">
        <w:t xml:space="preserve"> for </w:t>
      </w:r>
      <w:r w:rsidR="00987028">
        <w:t xml:space="preserve">Sizing Treatment Control BMPs for </w:t>
      </w:r>
      <w:r w:rsidR="00B61864">
        <w:t>Alternative Compliance</w:t>
      </w:r>
      <w:bookmarkEnd w:id="385"/>
      <w:bookmarkEnd w:id="386"/>
      <w:bookmarkEnd w:id="387"/>
    </w:p>
    <w:p w:rsidR="00EE65C2" w:rsidRPr="00B53524" w:rsidRDefault="00EE65C2" w:rsidP="00EE65C2">
      <w:pPr>
        <w:pStyle w:val="CDMBTEXT"/>
      </w:pPr>
      <w:r w:rsidRPr="00B53524">
        <w:t xml:space="preserve">The following sections describe how a specified </w:t>
      </w:r>
      <w:r w:rsidR="002A451E">
        <w:t>alternative compliance volume (after adjusting for water quality credits) shall</w:t>
      </w:r>
      <w:r w:rsidRPr="00B53524">
        <w:t xml:space="preserve"> be translated to volume-based </w:t>
      </w:r>
      <w:r w:rsidR="002A451E">
        <w:t>or</w:t>
      </w:r>
      <w:r w:rsidRPr="00B53524">
        <w:t xml:space="preserve"> flow-based sizing criteria for treatment control BMPs. </w:t>
      </w:r>
    </w:p>
    <w:p w:rsidR="00EE65C2" w:rsidRPr="00B53524" w:rsidRDefault="00EE65C2" w:rsidP="00EA1EA6">
      <w:pPr>
        <w:pStyle w:val="Heading4"/>
        <w:spacing w:after="120" w:line="240" w:lineRule="auto"/>
        <w:ind w:left="1440" w:hanging="1440"/>
      </w:pPr>
      <w:r w:rsidRPr="00B53524">
        <w:t>Volume-based Treatment Control BMPs</w:t>
      </w:r>
    </w:p>
    <w:p w:rsidR="00EE65C2" w:rsidRPr="00B53524" w:rsidRDefault="00EE65C2" w:rsidP="00EE65C2">
      <w:pPr>
        <w:pStyle w:val="CDMBTEXT"/>
      </w:pPr>
      <w:r w:rsidRPr="00B53524">
        <w:t>Volume-based treatment control BMPs sh</w:t>
      </w:r>
      <w:r w:rsidR="00B61864">
        <w:t>all</w:t>
      </w:r>
      <w:r w:rsidRPr="00B53524">
        <w:t xml:space="preserve"> be sized such that they capture and treat the </w:t>
      </w:r>
      <w:r w:rsidR="002A451E">
        <w:t>remaining alternative compliance</w:t>
      </w:r>
      <w:r w:rsidR="002A451E" w:rsidRPr="00B53524">
        <w:t xml:space="preserve"> </w:t>
      </w:r>
      <w:r w:rsidRPr="00B53524">
        <w:t xml:space="preserve">volume. </w:t>
      </w:r>
    </w:p>
    <w:p w:rsidR="00EE65C2" w:rsidRPr="00B53524" w:rsidRDefault="00EE65C2" w:rsidP="00EE65C2">
      <w:pPr>
        <w:pStyle w:val="CDMBTEXT"/>
      </w:pPr>
      <w:r w:rsidRPr="00B53524">
        <w:t>For example, if as part of an alternative compliance plan, 10,000 cu-ft of remaining volume was designated to be treated by a treatment control BMP, the BMP would be sized with a design volume of 10,000 cu-ft</w:t>
      </w:r>
      <w:proofErr w:type="gramStart"/>
      <w:r w:rsidR="002A451E">
        <w:t>.</w:t>
      </w:r>
      <w:r w:rsidRPr="00B53524">
        <w:t>.</w:t>
      </w:r>
      <w:proofErr w:type="gramEnd"/>
    </w:p>
    <w:p w:rsidR="00EE65C2" w:rsidRPr="00B53524" w:rsidRDefault="00EE65C2" w:rsidP="00EA1EA6">
      <w:pPr>
        <w:pStyle w:val="Heading4"/>
        <w:spacing w:after="120" w:line="240" w:lineRule="auto"/>
        <w:ind w:left="1440" w:hanging="1440"/>
      </w:pPr>
      <w:r w:rsidRPr="00B53524">
        <w:t>Flow-based Treatment Control BMPs</w:t>
      </w:r>
    </w:p>
    <w:p w:rsidR="00EE65C2" w:rsidRPr="00B53524" w:rsidRDefault="00EE65C2" w:rsidP="00EE65C2">
      <w:pPr>
        <w:pStyle w:val="CDMBTEXT"/>
      </w:pPr>
      <w:r w:rsidRPr="00B53524">
        <w:t xml:space="preserve">Because unmet volume is expressed in units of volume, </w:t>
      </w:r>
      <w:r w:rsidR="00B61864">
        <w:t>this unmet volume</w:t>
      </w:r>
      <w:r w:rsidRPr="00B53524">
        <w:t xml:space="preserve"> must be translated to a flowrate for sizing </w:t>
      </w:r>
      <w:r w:rsidR="00B61864">
        <w:t xml:space="preserve">of </w:t>
      </w:r>
      <w:r w:rsidRPr="00B53524">
        <w:t xml:space="preserve">flow-based treatment control BMPs.  This section describes the method by which an unmet runoff volume would be addressed by a flow-based treatment control BMP.  </w:t>
      </w:r>
      <w:r w:rsidRPr="00ED0500">
        <w:t>The method requires</w:t>
      </w:r>
      <w:r w:rsidRPr="00B53524">
        <w:t xml:space="preserve"> that the drainage area to the proposed flow-based treatment control BMP be known.</w:t>
      </w:r>
    </w:p>
    <w:p w:rsidR="00EE65C2" w:rsidRPr="00B53524" w:rsidRDefault="00EE65C2" w:rsidP="009531AF">
      <w:pPr>
        <w:pStyle w:val="CDMBTEXT"/>
        <w:numPr>
          <w:ilvl w:val="0"/>
          <w:numId w:val="35"/>
        </w:numPr>
        <w:contextualSpacing/>
      </w:pPr>
      <w:r w:rsidRPr="00B53524">
        <w:t xml:space="preserve">For the catchment to which the flow-based BMP will be applied, convert the unmet volume to an unmet storm depth using the method of back-computing storm depth described in Section </w:t>
      </w:r>
      <w:r w:rsidR="00126F3D" w:rsidRPr="00126DE5">
        <w:rPr>
          <w:rFonts w:cs="Arial"/>
          <w:b/>
          <w:color w:val="0070C0"/>
          <w:sz w:val="20"/>
        </w:rPr>
        <w:fldChar w:fldCharType="begin"/>
      </w:r>
      <w:r w:rsidR="00B61864" w:rsidRPr="00126DE5">
        <w:rPr>
          <w:rFonts w:cs="Arial"/>
          <w:b/>
          <w:color w:val="0070C0"/>
          <w:sz w:val="20"/>
        </w:rPr>
        <w:instrText xml:space="preserve"> REF _Ref285114903 \r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rFonts w:cs="Arial"/>
          <w:b/>
          <w:color w:val="0070C0"/>
          <w:sz w:val="20"/>
        </w:rPr>
        <w:t>III.1.1</w:t>
      </w:r>
      <w:r w:rsidR="00126F3D" w:rsidRPr="00126DE5">
        <w:rPr>
          <w:rFonts w:cs="Arial"/>
          <w:b/>
          <w:color w:val="0070C0"/>
          <w:sz w:val="20"/>
        </w:rPr>
        <w:fldChar w:fldCharType="end"/>
      </w:r>
      <w:r w:rsidR="00B61864">
        <w:t xml:space="preserve"> </w:t>
      </w:r>
      <w:r w:rsidRPr="00B53524">
        <w:t xml:space="preserve">and </w:t>
      </w:r>
      <w:fldSimple w:instr=" REF _Ref260838567 \h  \* MERGEFORMAT ">
        <w:r w:rsidR="00126DE5" w:rsidRPr="00126DE5">
          <w:rPr>
            <w:rFonts w:cs="Arial"/>
            <w:b/>
            <w:color w:val="0070C0"/>
            <w:sz w:val="20"/>
          </w:rPr>
          <w:t xml:space="preserve">Example </w:t>
        </w:r>
        <w:r w:rsidR="00126DE5" w:rsidRPr="00126DE5">
          <w:rPr>
            <w:rFonts w:cs="Arial"/>
            <w:b/>
            <w:noProof/>
            <w:color w:val="0070C0"/>
            <w:sz w:val="20"/>
          </w:rPr>
          <w:t>III</w:t>
        </w:r>
        <w:r w:rsidR="00126DE5" w:rsidRPr="00126DE5">
          <w:rPr>
            <w:rFonts w:cs="Arial"/>
            <w:b/>
            <w:color w:val="0070C0"/>
            <w:sz w:val="20"/>
          </w:rPr>
          <w:t>.2</w:t>
        </w:r>
      </w:fldSimple>
      <w:r w:rsidRPr="00B53524">
        <w:t xml:space="preserve">. </w:t>
      </w:r>
    </w:p>
    <w:p w:rsidR="00EE65C2" w:rsidRPr="00B53524" w:rsidRDefault="00EE65C2" w:rsidP="009531AF">
      <w:pPr>
        <w:pStyle w:val="CDMBTEXT"/>
        <w:numPr>
          <w:ilvl w:val="0"/>
          <w:numId w:val="35"/>
        </w:numPr>
        <w:contextualSpacing/>
      </w:pPr>
      <w:r w:rsidRPr="00B53524">
        <w:t xml:space="preserve">Divide the back-computed storm depth by the design capture storm depth to yield the unmet </w:t>
      </w:r>
      <w:r w:rsidRPr="00B53524">
        <w:rPr>
          <w:u w:val="single"/>
        </w:rPr>
        <w:t>fraction</w:t>
      </w:r>
      <w:r w:rsidRPr="00B53524">
        <w:t xml:space="preserve"> of the design storm depth over the tributary area to the BMP. If this value is greater than 1.0, increase the area tributary to the flow-based BMP.</w:t>
      </w:r>
    </w:p>
    <w:p w:rsidR="00EE65C2" w:rsidRPr="00B53524" w:rsidRDefault="00EE65C2" w:rsidP="009531AF">
      <w:pPr>
        <w:pStyle w:val="CDMBTEXT"/>
        <w:numPr>
          <w:ilvl w:val="0"/>
          <w:numId w:val="35"/>
        </w:numPr>
        <w:contextualSpacing/>
      </w:pPr>
      <w:r w:rsidRPr="00B53524">
        <w:t>Estimate the time of concentration (T</w:t>
      </w:r>
      <w:r w:rsidRPr="00B53524">
        <w:rPr>
          <w:vertAlign w:val="subscript"/>
        </w:rPr>
        <w:t>c</w:t>
      </w:r>
      <w:r w:rsidRPr="00B53524">
        <w:t>)</w:t>
      </w:r>
      <w:r w:rsidR="00B61864">
        <w:t xml:space="preserve"> </w:t>
      </w:r>
      <w:r w:rsidRPr="00B53524">
        <w:t>of the catchment.</w:t>
      </w:r>
    </w:p>
    <w:p w:rsidR="00EE65C2" w:rsidRPr="00B53524" w:rsidRDefault="00EE65C2" w:rsidP="001063F7">
      <w:pPr>
        <w:pStyle w:val="CDMBTEXT"/>
        <w:numPr>
          <w:ilvl w:val="0"/>
          <w:numId w:val="35"/>
        </w:numPr>
        <w:contextualSpacing/>
      </w:pPr>
      <w:r w:rsidRPr="00B53524">
        <w:t xml:space="preserve">Use </w:t>
      </w:r>
      <w:fldSimple w:instr=" REF _Ref293935680 \h  \* MERGEFORMAT ">
        <w:r w:rsidR="001063F7" w:rsidRPr="001063F7">
          <w:rPr>
            <w:rStyle w:val="TableHeadingChar"/>
            <w:rFonts w:ascii="Book Antiqua" w:eastAsiaTheme="minorEastAsia" w:hAnsi="Book Antiqua" w:cstheme="minorBidi"/>
            <w:color w:val="0070C0"/>
            <w:sz w:val="22"/>
          </w:rPr>
          <w:t xml:space="preserve">Table </w:t>
        </w:r>
        <w:r w:rsidR="001063F7" w:rsidRPr="001063F7">
          <w:rPr>
            <w:rStyle w:val="TableHeadingChar"/>
            <w:rFonts w:ascii="Book Antiqua" w:eastAsiaTheme="minorEastAsia" w:hAnsi="Book Antiqua" w:cstheme="minorBidi"/>
            <w:noProof/>
            <w:color w:val="0070C0"/>
            <w:sz w:val="22"/>
          </w:rPr>
          <w:t>VI</w:t>
        </w:r>
        <w:r w:rsidR="001063F7" w:rsidRPr="001063F7">
          <w:rPr>
            <w:rStyle w:val="TableHeadingChar"/>
            <w:rFonts w:ascii="Book Antiqua" w:eastAsiaTheme="minorEastAsia" w:hAnsi="Book Antiqua" w:cstheme="minorBidi"/>
            <w:color w:val="0070C0"/>
            <w:sz w:val="22"/>
          </w:rPr>
          <w:t>.</w:t>
        </w:r>
        <w:r w:rsidR="001063F7" w:rsidRPr="001063F7">
          <w:rPr>
            <w:rStyle w:val="TableHeadingChar"/>
            <w:rFonts w:ascii="Book Antiqua" w:eastAsiaTheme="minorEastAsia" w:hAnsi="Book Antiqua" w:cstheme="minorBidi"/>
            <w:noProof/>
            <w:color w:val="0070C0"/>
            <w:sz w:val="22"/>
          </w:rPr>
          <w:t>1</w:t>
        </w:r>
      </w:fldSimple>
      <w:r w:rsidR="001063F7" w:rsidRPr="001063F7">
        <w:rPr>
          <w:b/>
          <w:color w:val="0070C0"/>
        </w:rPr>
        <w:t xml:space="preserve"> </w:t>
      </w:r>
      <w:r w:rsidR="00C43A52" w:rsidRPr="001063F7">
        <w:t xml:space="preserve">to look up the multiplier based </w:t>
      </w:r>
      <w:r w:rsidRPr="001063F7">
        <w:t>o</w:t>
      </w:r>
      <w:r w:rsidR="00C43A52" w:rsidRPr="001063F7">
        <w:t>n</w:t>
      </w:r>
      <w:r w:rsidR="00126F3D" w:rsidRPr="00126F3D">
        <w:rPr>
          <w:color w:val="0070C0"/>
        </w:rPr>
        <w:t xml:space="preserve"> </w:t>
      </w:r>
      <w:r w:rsidRPr="00B53524">
        <w:t>the calculated T</w:t>
      </w:r>
      <w:r w:rsidRPr="001063F7">
        <w:rPr>
          <w:vertAlign w:val="subscript"/>
        </w:rPr>
        <w:t>c</w:t>
      </w:r>
      <w:r w:rsidRPr="00B53524">
        <w:t>.  Multiply the looked up value by the remaining fraction of the design capture storm depth</w:t>
      </w:r>
      <w:r w:rsidR="00B61864">
        <w:t xml:space="preserve"> (Step 2)</w:t>
      </w:r>
      <w:r w:rsidRPr="00B53524">
        <w:t xml:space="preserve"> to yield the design intensity.</w:t>
      </w:r>
    </w:p>
    <w:p w:rsidR="00EE65C2" w:rsidRPr="00B53524" w:rsidRDefault="00EE65C2" w:rsidP="009531AF">
      <w:pPr>
        <w:pStyle w:val="CDMBTEXT"/>
        <w:numPr>
          <w:ilvl w:val="0"/>
          <w:numId w:val="35"/>
        </w:numPr>
        <w:contextualSpacing/>
      </w:pPr>
      <w:r w:rsidRPr="00B53524">
        <w:t>Use the hydrologic method described in Section</w:t>
      </w:r>
      <w:r w:rsidR="00B61864">
        <w:t xml:space="preserve"> </w:t>
      </w:r>
      <w:r w:rsidR="00126F3D" w:rsidRPr="00126DE5">
        <w:rPr>
          <w:rFonts w:cs="Arial"/>
          <w:b/>
          <w:color w:val="0070C0"/>
          <w:sz w:val="20"/>
        </w:rPr>
        <w:fldChar w:fldCharType="begin"/>
      </w:r>
      <w:r w:rsidR="00B61864" w:rsidRPr="00126DE5">
        <w:rPr>
          <w:rFonts w:cs="Arial"/>
          <w:b/>
          <w:color w:val="0070C0"/>
          <w:sz w:val="20"/>
        </w:rPr>
        <w:instrText xml:space="preserve"> REF _Ref285372773 \r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rFonts w:cs="Arial"/>
          <w:b/>
          <w:color w:val="0070C0"/>
          <w:sz w:val="20"/>
        </w:rPr>
        <w:t>III.1.2</w:t>
      </w:r>
      <w:r w:rsidR="00126F3D" w:rsidRPr="00126DE5">
        <w:rPr>
          <w:rFonts w:cs="Arial"/>
          <w:b/>
          <w:color w:val="0070C0"/>
          <w:sz w:val="20"/>
        </w:rPr>
        <w:fldChar w:fldCharType="end"/>
      </w:r>
      <w:r w:rsidRPr="00B53524">
        <w:t xml:space="preserve"> to compute the design flow.</w:t>
      </w:r>
    </w:p>
    <w:p w:rsidR="001063F7" w:rsidRDefault="00EE65C2" w:rsidP="009531AF">
      <w:pPr>
        <w:pStyle w:val="CDMBTEXT"/>
        <w:numPr>
          <w:ilvl w:val="0"/>
          <w:numId w:val="35"/>
        </w:numPr>
        <w:contextualSpacing/>
      </w:pPr>
      <w:r w:rsidRPr="00B53524">
        <w:t>This method can also be used in reverse if necessary.</w:t>
      </w:r>
      <w:bookmarkStart w:id="388" w:name="_Ref262310124"/>
      <w:bookmarkStart w:id="389" w:name="_Toc262408814"/>
    </w:p>
    <w:p w:rsidR="007D631A" w:rsidRPr="007D631A" w:rsidRDefault="007D631A" w:rsidP="001063F7">
      <w:pPr>
        <w:pStyle w:val="CDMBTEXT"/>
        <w:contextualSpacing/>
        <w:rPr>
          <w:rStyle w:val="TableHeadingChar"/>
          <w:rFonts w:ascii="Book Antiqua" w:eastAsia="Times New Roman" w:hAnsi="Book Antiqua" w:cs="Times New Roman"/>
          <w:b w:val="0"/>
          <w:sz w:val="22"/>
        </w:rPr>
      </w:pPr>
      <w:r w:rsidRPr="007D631A">
        <w:rPr>
          <w:rStyle w:val="TableHeadingChar"/>
        </w:rPr>
        <w:t xml:space="preserve"> </w:t>
      </w:r>
    </w:p>
    <w:p w:rsidR="007D631A" w:rsidRDefault="007D631A" w:rsidP="001063F7">
      <w:pPr>
        <w:rPr>
          <w:rStyle w:val="TableHeadingChar"/>
        </w:rPr>
      </w:pPr>
    </w:p>
    <w:p w:rsidR="00EE65C2" w:rsidRPr="00524D76" w:rsidRDefault="007D631A" w:rsidP="00647B99">
      <w:pPr>
        <w:pStyle w:val="Caption"/>
      </w:pPr>
      <w:bookmarkStart w:id="390" w:name="_Ref293935680"/>
      <w:bookmarkStart w:id="391" w:name="_Toc288554378"/>
      <w:r w:rsidRPr="00524D76">
        <w:rPr>
          <w:rStyle w:val="TableHeadingChar"/>
          <w:rFonts w:ascii="Book Antiqua" w:eastAsiaTheme="minorEastAsia" w:hAnsi="Book Antiqua" w:cstheme="minorBidi"/>
          <w:b/>
          <w:sz w:val="22"/>
        </w:rPr>
        <w:t xml:space="preserve">Table </w:t>
      </w:r>
      <w:r w:rsidR="00126F3D" w:rsidRPr="00524D76">
        <w:rPr>
          <w:rStyle w:val="TableHeadingChar"/>
          <w:rFonts w:ascii="Book Antiqua" w:eastAsiaTheme="minorEastAsia" w:hAnsi="Book Antiqua" w:cstheme="minorBidi"/>
          <w:b/>
          <w:sz w:val="22"/>
        </w:rPr>
        <w:fldChar w:fldCharType="begin"/>
      </w:r>
      <w:r w:rsidRPr="00524D76">
        <w:rPr>
          <w:rStyle w:val="TableHeadingChar"/>
          <w:rFonts w:ascii="Book Antiqua" w:eastAsiaTheme="minorEastAsia" w:hAnsi="Book Antiqua" w:cstheme="minorBidi"/>
          <w:b/>
          <w:sz w:val="22"/>
        </w:rPr>
        <w:instrText xml:space="preserve"> STYLEREF 1 \s </w:instrText>
      </w:r>
      <w:r w:rsidR="00126F3D" w:rsidRPr="00524D76">
        <w:rPr>
          <w:rStyle w:val="TableHeadingChar"/>
          <w:rFonts w:ascii="Book Antiqua" w:eastAsiaTheme="minorEastAsia" w:hAnsi="Book Antiqua" w:cstheme="minorBidi"/>
          <w:b/>
          <w:sz w:val="22"/>
        </w:rPr>
        <w:fldChar w:fldCharType="separate"/>
      </w:r>
      <w:r w:rsidR="00126DE5" w:rsidRPr="00524D76">
        <w:rPr>
          <w:rStyle w:val="TableHeadingChar"/>
          <w:rFonts w:ascii="Book Antiqua" w:eastAsiaTheme="minorEastAsia" w:hAnsi="Book Antiqua" w:cstheme="minorBidi"/>
          <w:b/>
          <w:noProof/>
          <w:sz w:val="22"/>
        </w:rPr>
        <w:t>VI</w:t>
      </w:r>
      <w:r w:rsidR="00126F3D" w:rsidRPr="00524D76">
        <w:rPr>
          <w:rStyle w:val="TableHeadingChar"/>
          <w:rFonts w:ascii="Book Antiqua" w:eastAsiaTheme="minorEastAsia" w:hAnsi="Book Antiqua" w:cstheme="minorBidi"/>
          <w:b/>
          <w:sz w:val="22"/>
        </w:rPr>
        <w:fldChar w:fldCharType="end"/>
      </w:r>
      <w:r w:rsidRPr="00524D76">
        <w:rPr>
          <w:rStyle w:val="TableHeadingChar"/>
          <w:rFonts w:ascii="Book Antiqua" w:eastAsiaTheme="minorEastAsia" w:hAnsi="Book Antiqua" w:cstheme="minorBidi"/>
          <w:b/>
          <w:sz w:val="22"/>
        </w:rPr>
        <w:t>.</w:t>
      </w:r>
      <w:r w:rsidR="00126F3D" w:rsidRPr="00524D76">
        <w:rPr>
          <w:rStyle w:val="TableHeadingChar"/>
          <w:rFonts w:ascii="Book Antiqua" w:eastAsiaTheme="minorEastAsia" w:hAnsi="Book Antiqua" w:cstheme="minorBidi"/>
          <w:b/>
          <w:sz w:val="22"/>
        </w:rPr>
        <w:fldChar w:fldCharType="begin"/>
      </w:r>
      <w:r w:rsidRPr="00524D76">
        <w:rPr>
          <w:rStyle w:val="TableHeadingChar"/>
          <w:rFonts w:ascii="Book Antiqua" w:eastAsiaTheme="minorEastAsia" w:hAnsi="Book Antiqua" w:cstheme="minorBidi"/>
          <w:b/>
          <w:sz w:val="22"/>
        </w:rPr>
        <w:instrText xml:space="preserve"> SEQ Table \* ARABIC \s 1 </w:instrText>
      </w:r>
      <w:r w:rsidR="00126F3D" w:rsidRPr="00524D76">
        <w:rPr>
          <w:rStyle w:val="TableHeadingChar"/>
          <w:rFonts w:ascii="Book Antiqua" w:eastAsiaTheme="minorEastAsia" w:hAnsi="Book Antiqua" w:cstheme="minorBidi"/>
          <w:b/>
          <w:sz w:val="22"/>
        </w:rPr>
        <w:fldChar w:fldCharType="separate"/>
      </w:r>
      <w:r w:rsidR="00126DE5" w:rsidRPr="00524D76">
        <w:rPr>
          <w:rStyle w:val="TableHeadingChar"/>
          <w:rFonts w:ascii="Book Antiqua" w:eastAsiaTheme="minorEastAsia" w:hAnsi="Book Antiqua" w:cstheme="minorBidi"/>
          <w:b/>
          <w:noProof/>
          <w:sz w:val="22"/>
        </w:rPr>
        <w:t>1</w:t>
      </w:r>
      <w:r w:rsidR="00126F3D" w:rsidRPr="00524D76">
        <w:rPr>
          <w:rStyle w:val="TableHeadingChar"/>
          <w:rFonts w:ascii="Book Antiqua" w:eastAsiaTheme="minorEastAsia" w:hAnsi="Book Antiqua" w:cstheme="minorBidi"/>
          <w:b/>
          <w:sz w:val="22"/>
        </w:rPr>
        <w:fldChar w:fldCharType="end"/>
      </w:r>
      <w:bookmarkEnd w:id="388"/>
      <w:bookmarkEnd w:id="390"/>
      <w:r w:rsidRPr="00524D76">
        <w:t>: Table of Multipliers for Computing Remaining Design Storm Intensity</w:t>
      </w:r>
      <w:bookmarkEnd w:id="389"/>
      <w:bookmarkEnd w:id="391"/>
    </w:p>
    <w:tbl>
      <w:tblPr>
        <w:tblW w:w="6840" w:type="dxa"/>
        <w:jc w:val="center"/>
        <w:tblInd w:w="-1242" w:type="dxa"/>
        <w:tblLook w:val="04A0"/>
      </w:tblPr>
      <w:tblGrid>
        <w:gridCol w:w="3240"/>
        <w:gridCol w:w="3600"/>
      </w:tblGrid>
      <w:tr w:rsidR="00EE65C2" w:rsidRPr="00B53524" w:rsidTr="00B96ACD">
        <w:trPr>
          <w:cantSplit/>
          <w:trHeight w:val="593"/>
          <w:tblHeader/>
          <w:jc w:val="center"/>
        </w:trPr>
        <w:tc>
          <w:tcPr>
            <w:tcW w:w="32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EE65C2" w:rsidRPr="00B96ACD" w:rsidRDefault="00EE65C2" w:rsidP="00786C35">
            <w:pPr>
              <w:keepNext/>
              <w:spacing w:after="0"/>
              <w:jc w:val="center"/>
              <w:rPr>
                <w:rFonts w:ascii="Arial" w:eastAsia="Times New Roman" w:hAnsi="Arial" w:cs="Arial"/>
                <w:b/>
                <w:bCs/>
                <w:sz w:val="20"/>
              </w:rPr>
            </w:pPr>
            <w:r w:rsidRPr="00B96ACD">
              <w:rPr>
                <w:rFonts w:ascii="Arial" w:eastAsia="Times New Roman" w:hAnsi="Arial" w:cs="Arial"/>
                <w:b/>
                <w:bCs/>
                <w:sz w:val="20"/>
              </w:rPr>
              <w:t>Time of Concentration, minutes</w:t>
            </w:r>
          </w:p>
        </w:tc>
        <w:tc>
          <w:tcPr>
            <w:tcW w:w="36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EE65C2" w:rsidRPr="00B96ACD" w:rsidRDefault="00EE65C2" w:rsidP="00786C35">
            <w:pPr>
              <w:keepNext/>
              <w:spacing w:after="0"/>
              <w:jc w:val="center"/>
              <w:rPr>
                <w:rFonts w:ascii="Arial" w:eastAsia="Times New Roman" w:hAnsi="Arial" w:cs="Arial"/>
                <w:b/>
                <w:bCs/>
                <w:sz w:val="20"/>
              </w:rPr>
            </w:pPr>
            <w:r w:rsidRPr="00B96ACD">
              <w:rPr>
                <w:rFonts w:ascii="Arial" w:eastAsia="Times New Roman" w:hAnsi="Arial" w:cs="Arial"/>
                <w:b/>
                <w:bCs/>
                <w:sz w:val="20"/>
              </w:rPr>
              <w:t>Multiplier to Convert Remaining Fraction of Design Capture Storm Depth to Design Intensity, in/hr</w:t>
            </w:r>
          </w:p>
        </w:tc>
      </w:tr>
      <w:tr w:rsidR="00EE65C2" w:rsidRPr="00B53524" w:rsidTr="009279F9">
        <w:trPr>
          <w:cantSplit/>
          <w:trHeight w:val="386"/>
          <w:jc w:val="center"/>
        </w:trPr>
        <w:tc>
          <w:tcPr>
            <w:tcW w:w="3240" w:type="dxa"/>
            <w:tcBorders>
              <w:top w:val="single" w:sz="4" w:space="0" w:color="auto"/>
              <w:left w:val="single" w:sz="4" w:space="0" w:color="auto"/>
              <w:right w:val="single" w:sz="4" w:space="0" w:color="auto"/>
            </w:tcBorders>
            <w:shd w:val="clear" w:color="auto" w:fill="auto"/>
            <w:vAlign w:val="center"/>
            <w:hideMark/>
          </w:tcPr>
          <w:p w:rsidR="00EE65C2" w:rsidRPr="00B53524" w:rsidRDefault="00EE65C2" w:rsidP="00786C35">
            <w:pPr>
              <w:keepNext/>
              <w:spacing w:after="0"/>
              <w:jc w:val="center"/>
              <w:rPr>
                <w:rFonts w:ascii="Calibri" w:hAnsi="Calibri" w:cs="Calibri"/>
                <w:color w:val="000000"/>
              </w:rPr>
            </w:pPr>
            <w:r w:rsidRPr="00B53524">
              <w:rPr>
                <w:rFonts w:ascii="Calibri" w:hAnsi="Calibri" w:cs="Calibri"/>
                <w:color w:val="000000"/>
              </w:rPr>
              <w:t>60</w:t>
            </w:r>
          </w:p>
        </w:tc>
        <w:tc>
          <w:tcPr>
            <w:tcW w:w="3600" w:type="dxa"/>
            <w:tcBorders>
              <w:top w:val="single" w:sz="4" w:space="0" w:color="auto"/>
              <w:left w:val="single" w:sz="4" w:space="0" w:color="auto"/>
              <w:right w:val="single" w:sz="4" w:space="0" w:color="auto"/>
            </w:tcBorders>
            <w:shd w:val="clear" w:color="auto" w:fill="auto"/>
            <w:vAlign w:val="center"/>
            <w:hideMark/>
          </w:tcPr>
          <w:p w:rsidR="00EE65C2" w:rsidRPr="00B53524" w:rsidRDefault="00EE65C2" w:rsidP="00786C35">
            <w:pPr>
              <w:keepNext/>
              <w:spacing w:after="0"/>
              <w:jc w:val="center"/>
              <w:rPr>
                <w:rFonts w:ascii="Calibri" w:hAnsi="Calibri" w:cs="Calibri"/>
                <w:color w:val="000000"/>
              </w:rPr>
            </w:pPr>
            <w:r w:rsidRPr="00B53524">
              <w:rPr>
                <w:rFonts w:ascii="Calibri" w:hAnsi="Calibri" w:cs="Calibri"/>
                <w:color w:val="000000"/>
              </w:rPr>
              <w:t>0.15</w:t>
            </w:r>
          </w:p>
        </w:tc>
      </w:tr>
      <w:tr w:rsidR="00EE65C2" w:rsidRPr="00B53524" w:rsidTr="009279F9">
        <w:trPr>
          <w:cantSplit/>
          <w:trHeight w:val="458"/>
          <w:jc w:val="center"/>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E65C2" w:rsidRPr="00B53524" w:rsidRDefault="00EE65C2" w:rsidP="00786C35">
            <w:pPr>
              <w:keepNext/>
              <w:spacing w:after="0"/>
              <w:jc w:val="center"/>
              <w:rPr>
                <w:rFonts w:ascii="Calibri" w:hAnsi="Calibri" w:cs="Calibri"/>
                <w:color w:val="000000"/>
              </w:rPr>
            </w:pPr>
            <w:r w:rsidRPr="00B53524">
              <w:rPr>
                <w:rFonts w:ascii="Calibri" w:hAnsi="Calibri" w:cs="Calibri"/>
                <w:color w:val="000000"/>
              </w:rPr>
              <w:t>30</w:t>
            </w:r>
          </w:p>
        </w:tc>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E65C2" w:rsidRPr="00B53524" w:rsidRDefault="00EE65C2" w:rsidP="00786C35">
            <w:pPr>
              <w:keepNext/>
              <w:spacing w:after="0"/>
              <w:jc w:val="center"/>
              <w:rPr>
                <w:rFonts w:ascii="Calibri" w:hAnsi="Calibri" w:cs="Calibri"/>
                <w:color w:val="000000"/>
              </w:rPr>
            </w:pPr>
            <w:r w:rsidRPr="00B53524">
              <w:rPr>
                <w:rFonts w:ascii="Calibri" w:hAnsi="Calibri" w:cs="Calibri"/>
                <w:color w:val="000000"/>
              </w:rPr>
              <w:t>0.18</w:t>
            </w:r>
          </w:p>
        </w:tc>
      </w:tr>
      <w:tr w:rsidR="00EE65C2" w:rsidRPr="00B53524" w:rsidTr="009279F9">
        <w:trPr>
          <w:cantSplit/>
          <w:trHeight w:val="431"/>
          <w:jc w:val="center"/>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E65C2" w:rsidRPr="00B53524" w:rsidRDefault="00EE65C2" w:rsidP="00786C35">
            <w:pPr>
              <w:keepNext/>
              <w:spacing w:after="0"/>
              <w:jc w:val="center"/>
              <w:rPr>
                <w:rFonts w:ascii="Calibri" w:hAnsi="Calibri" w:cs="Calibri"/>
                <w:color w:val="000000"/>
              </w:rPr>
            </w:pPr>
            <w:r w:rsidRPr="00B53524">
              <w:rPr>
                <w:rFonts w:ascii="Calibri" w:hAnsi="Calibri" w:cs="Calibri"/>
                <w:color w:val="000000"/>
              </w:rPr>
              <w:t>20</w:t>
            </w:r>
          </w:p>
        </w:tc>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E65C2" w:rsidRPr="00B53524" w:rsidRDefault="00EE65C2" w:rsidP="00786C35">
            <w:pPr>
              <w:keepNext/>
              <w:spacing w:after="0"/>
              <w:jc w:val="center"/>
              <w:rPr>
                <w:rFonts w:ascii="Calibri" w:hAnsi="Calibri" w:cs="Calibri"/>
                <w:color w:val="000000"/>
              </w:rPr>
            </w:pPr>
            <w:r w:rsidRPr="00B53524">
              <w:rPr>
                <w:rFonts w:ascii="Calibri" w:hAnsi="Calibri" w:cs="Calibri"/>
                <w:color w:val="000000"/>
              </w:rPr>
              <w:t>0.19</w:t>
            </w:r>
          </w:p>
        </w:tc>
      </w:tr>
      <w:tr w:rsidR="00EE65C2" w:rsidRPr="00B53524" w:rsidTr="009279F9">
        <w:trPr>
          <w:cantSplit/>
          <w:trHeight w:val="440"/>
          <w:jc w:val="center"/>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E65C2" w:rsidRPr="00B53524" w:rsidRDefault="00EE65C2" w:rsidP="00786C35">
            <w:pPr>
              <w:keepNext/>
              <w:spacing w:after="0"/>
              <w:jc w:val="center"/>
              <w:rPr>
                <w:rFonts w:ascii="Calibri" w:hAnsi="Calibri" w:cs="Calibri"/>
                <w:color w:val="000000"/>
              </w:rPr>
            </w:pPr>
            <w:r w:rsidRPr="00B53524">
              <w:rPr>
                <w:rFonts w:ascii="Calibri" w:hAnsi="Calibri" w:cs="Calibri"/>
                <w:color w:val="000000"/>
              </w:rPr>
              <w:t>15</w:t>
            </w:r>
          </w:p>
        </w:tc>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E65C2" w:rsidRPr="00B53524" w:rsidRDefault="00EE65C2" w:rsidP="00786C35">
            <w:pPr>
              <w:keepNext/>
              <w:spacing w:after="0"/>
              <w:jc w:val="center"/>
              <w:rPr>
                <w:rFonts w:ascii="Calibri" w:hAnsi="Calibri" w:cs="Calibri"/>
                <w:color w:val="000000"/>
              </w:rPr>
            </w:pPr>
            <w:r w:rsidRPr="00B53524">
              <w:rPr>
                <w:rFonts w:ascii="Calibri" w:hAnsi="Calibri" w:cs="Calibri"/>
                <w:color w:val="000000"/>
              </w:rPr>
              <w:t>0.21</w:t>
            </w:r>
          </w:p>
        </w:tc>
      </w:tr>
      <w:tr w:rsidR="00EE65C2" w:rsidRPr="00B53524" w:rsidTr="009279F9">
        <w:trPr>
          <w:cantSplit/>
          <w:trHeight w:val="440"/>
          <w:jc w:val="center"/>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E65C2" w:rsidRPr="00B53524" w:rsidRDefault="00EE65C2" w:rsidP="00786C35">
            <w:pPr>
              <w:keepNext/>
              <w:spacing w:after="0"/>
              <w:jc w:val="center"/>
              <w:rPr>
                <w:rFonts w:ascii="Calibri" w:hAnsi="Calibri" w:cs="Calibri"/>
                <w:color w:val="000000"/>
              </w:rPr>
            </w:pPr>
            <w:r w:rsidRPr="00B53524">
              <w:rPr>
                <w:rFonts w:ascii="Calibri" w:hAnsi="Calibri" w:cs="Calibri"/>
                <w:color w:val="000000"/>
              </w:rPr>
              <w:t>10</w:t>
            </w:r>
          </w:p>
        </w:tc>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E65C2" w:rsidRPr="00B53524" w:rsidRDefault="00EE65C2" w:rsidP="00786C35">
            <w:pPr>
              <w:keepNext/>
              <w:spacing w:after="0"/>
              <w:jc w:val="center"/>
              <w:rPr>
                <w:rFonts w:ascii="Calibri" w:hAnsi="Calibri" w:cs="Calibri"/>
                <w:color w:val="000000"/>
              </w:rPr>
            </w:pPr>
            <w:r w:rsidRPr="00B53524">
              <w:rPr>
                <w:rFonts w:ascii="Calibri" w:hAnsi="Calibri" w:cs="Calibri"/>
                <w:color w:val="000000"/>
              </w:rPr>
              <w:t>0.23</w:t>
            </w:r>
          </w:p>
        </w:tc>
      </w:tr>
      <w:tr w:rsidR="00EE65C2" w:rsidRPr="00B53524" w:rsidTr="009279F9">
        <w:trPr>
          <w:cantSplit/>
          <w:trHeight w:val="440"/>
          <w:jc w:val="center"/>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E65C2" w:rsidRPr="00B53524" w:rsidRDefault="00EE65C2" w:rsidP="00786C35">
            <w:pPr>
              <w:spacing w:after="0"/>
              <w:jc w:val="center"/>
              <w:rPr>
                <w:rFonts w:ascii="Calibri" w:hAnsi="Calibri" w:cs="Calibri"/>
                <w:color w:val="000000"/>
              </w:rPr>
            </w:pPr>
            <w:r w:rsidRPr="00B53524">
              <w:rPr>
                <w:rFonts w:ascii="Calibri" w:hAnsi="Calibri" w:cs="Calibri"/>
                <w:color w:val="000000"/>
              </w:rPr>
              <w:t>5</w:t>
            </w:r>
          </w:p>
        </w:tc>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E65C2" w:rsidRPr="00B53524" w:rsidRDefault="00EE65C2" w:rsidP="00786C35">
            <w:pPr>
              <w:spacing w:after="0"/>
              <w:jc w:val="center"/>
              <w:rPr>
                <w:rFonts w:ascii="Calibri" w:hAnsi="Calibri" w:cs="Calibri"/>
                <w:color w:val="000000"/>
              </w:rPr>
            </w:pPr>
            <w:r w:rsidRPr="00B53524">
              <w:rPr>
                <w:rFonts w:ascii="Calibri" w:hAnsi="Calibri" w:cs="Calibri"/>
                <w:color w:val="000000"/>
              </w:rPr>
              <w:t>0.26</w:t>
            </w:r>
          </w:p>
        </w:tc>
      </w:tr>
    </w:tbl>
    <w:p w:rsidR="00EE65C2" w:rsidRPr="00B53524" w:rsidRDefault="00EE65C2" w:rsidP="00EE65C2">
      <w:pPr>
        <w:pStyle w:val="CDMBTEXT"/>
      </w:pPr>
    </w:p>
    <w:p w:rsidR="00EE65C2" w:rsidRPr="007A343A" w:rsidRDefault="00EE65C2" w:rsidP="0027571A">
      <w:pPr>
        <w:pStyle w:val="ExampleHeading"/>
      </w:pPr>
      <w:bookmarkStart w:id="392" w:name="_Toc262408841"/>
      <w:bookmarkStart w:id="393" w:name="_Toc285308152"/>
      <w:bookmarkStart w:id="394" w:name="_Toc288541078"/>
      <w:bookmarkStart w:id="395" w:name="_Toc288554453"/>
      <w:proofErr w:type="gramStart"/>
      <w:r w:rsidRPr="001063F7">
        <w:t xml:space="preserve">Example </w:t>
      </w:r>
      <w:r w:rsidR="00126F3D" w:rsidRPr="001063F7">
        <w:fldChar w:fldCharType="begin"/>
      </w:r>
      <w:r w:rsidR="003F38A8" w:rsidRPr="001063F7">
        <w:instrText xml:space="preserve"> STYLEREF 1 \s </w:instrText>
      </w:r>
      <w:r w:rsidR="00126F3D" w:rsidRPr="001063F7">
        <w:fldChar w:fldCharType="separate"/>
      </w:r>
      <w:r w:rsidR="00126DE5" w:rsidRPr="001063F7">
        <w:rPr>
          <w:noProof/>
        </w:rPr>
        <w:t>VI</w:t>
      </w:r>
      <w:r w:rsidR="00126F3D" w:rsidRPr="001063F7">
        <w:fldChar w:fldCharType="end"/>
      </w:r>
      <w:r w:rsidR="002E1936" w:rsidRPr="001063F7">
        <w:t>.</w:t>
      </w:r>
      <w:proofErr w:type="gramEnd"/>
      <w:r w:rsidR="00126F3D" w:rsidRPr="001063F7">
        <w:fldChar w:fldCharType="begin"/>
      </w:r>
      <w:r w:rsidR="002E1936" w:rsidRPr="001063F7">
        <w:instrText xml:space="preserve"> SEQ Example \* ARABIC \s 1 </w:instrText>
      </w:r>
      <w:r w:rsidR="00126F3D" w:rsidRPr="001063F7">
        <w:fldChar w:fldCharType="separate"/>
      </w:r>
      <w:r w:rsidR="00126DE5" w:rsidRPr="001063F7">
        <w:rPr>
          <w:noProof/>
        </w:rPr>
        <w:t>4</w:t>
      </w:r>
      <w:r w:rsidR="00126F3D" w:rsidRPr="001063F7">
        <w:fldChar w:fldCharType="end"/>
      </w:r>
      <w:r w:rsidRPr="007A343A">
        <w:t xml:space="preserve">: Computing </w:t>
      </w:r>
      <w:r w:rsidR="007D631A">
        <w:t>t</w:t>
      </w:r>
      <w:r w:rsidR="007D631A" w:rsidRPr="007A343A">
        <w:t xml:space="preserve">he Required Design Flowrate </w:t>
      </w:r>
      <w:r w:rsidR="007D631A">
        <w:t>t</w:t>
      </w:r>
      <w:r w:rsidR="007D631A" w:rsidRPr="007A343A">
        <w:t>o Mitigate Remaining Alternative Compliance Volume</w:t>
      </w:r>
      <w:bookmarkEnd w:id="392"/>
      <w:bookmarkEnd w:id="393"/>
      <w:bookmarkEnd w:id="394"/>
      <w:bookmarkEnd w:id="395"/>
    </w:p>
    <w:p w:rsidR="00EE65C2" w:rsidRPr="00B53524" w:rsidRDefault="00EE65C2" w:rsidP="00EA1EA6">
      <w:pPr>
        <w:pStyle w:val="ExampleSubheading"/>
        <w:outlineLvl w:val="0"/>
      </w:pPr>
      <w:bookmarkStart w:id="396" w:name="_Toc285308153"/>
      <w:r w:rsidRPr="00B53524">
        <w:t>Given:</w:t>
      </w:r>
      <w:bookmarkEnd w:id="396"/>
    </w:p>
    <w:p w:rsidR="00EE65C2" w:rsidRPr="00B53524" w:rsidRDefault="00EE65C2" w:rsidP="00EE65C2">
      <w:pPr>
        <w:pStyle w:val="ExampleBullets"/>
        <w:keepNext/>
      </w:pPr>
      <w:r w:rsidRPr="00B53524">
        <w:t>85th percentile, 24-hr storm depth = 0.85 inches (</w:t>
      </w:r>
      <w:r w:rsidR="00126F3D" w:rsidRPr="00126DE5">
        <w:rPr>
          <w:rFonts w:ascii="Book Antiqua" w:hAnsi="Book Antiqua"/>
          <w:b/>
          <w:color w:val="0070C0"/>
        </w:rPr>
        <w:fldChar w:fldCharType="begin"/>
      </w:r>
      <w:r w:rsidR="00B61864" w:rsidRPr="00126DE5">
        <w:rPr>
          <w:rFonts w:ascii="Book Antiqua" w:hAnsi="Book Antiqua"/>
          <w:b/>
          <w:color w:val="0070C0"/>
        </w:rPr>
        <w:instrText xml:space="preserve"> REF _Ref285354586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Figure </w:t>
      </w:r>
      <w:r w:rsidR="00126DE5" w:rsidRPr="00126DE5">
        <w:rPr>
          <w:rFonts w:ascii="Book Antiqua" w:hAnsi="Book Antiqua"/>
          <w:b/>
          <w:noProof/>
          <w:color w:val="0070C0"/>
        </w:rPr>
        <w:t>III</w:t>
      </w:r>
      <w:r w:rsidR="00126DE5" w:rsidRPr="00126DE5">
        <w:rPr>
          <w:rFonts w:ascii="Book Antiqua" w:hAnsi="Book Antiqua"/>
          <w:b/>
          <w:color w:val="0070C0"/>
        </w:rPr>
        <w:t>.</w:t>
      </w:r>
      <w:r w:rsidR="00126DE5" w:rsidRPr="00126DE5">
        <w:rPr>
          <w:rFonts w:ascii="Book Antiqua" w:hAnsi="Book Antiqua"/>
          <w:b/>
          <w:noProof/>
          <w:color w:val="0070C0"/>
        </w:rPr>
        <w:t>1</w:t>
      </w:r>
      <w:r w:rsidR="00126F3D" w:rsidRPr="00126DE5">
        <w:rPr>
          <w:rFonts w:ascii="Book Antiqua" w:hAnsi="Book Antiqua"/>
          <w:b/>
          <w:color w:val="0070C0"/>
        </w:rPr>
        <w:fldChar w:fldCharType="end"/>
      </w:r>
      <w:r w:rsidRPr="00B53524">
        <w:t>)</w:t>
      </w:r>
    </w:p>
    <w:p w:rsidR="00EE65C2" w:rsidRPr="00B53524" w:rsidRDefault="00EE65C2" w:rsidP="00EE65C2">
      <w:pPr>
        <w:pStyle w:val="ExampleBullets"/>
        <w:keepNext/>
      </w:pPr>
      <w:r w:rsidRPr="00B53524">
        <w:t>Drainage area to proposed flow-based BMP = 1.5 acres</w:t>
      </w:r>
    </w:p>
    <w:p w:rsidR="00EE65C2" w:rsidRPr="00B53524" w:rsidRDefault="00EE65C2" w:rsidP="00EE65C2">
      <w:pPr>
        <w:pStyle w:val="ExampleBullets"/>
        <w:keepNext/>
      </w:pPr>
      <w:r w:rsidRPr="00B53524">
        <w:t>Imperviousness of drainage area = 80%</w:t>
      </w:r>
    </w:p>
    <w:p w:rsidR="00EE65C2" w:rsidRPr="00B53524" w:rsidRDefault="00EE65C2" w:rsidP="00EE65C2">
      <w:pPr>
        <w:pStyle w:val="ExampleBullets"/>
        <w:keepNext/>
      </w:pPr>
      <w:r w:rsidRPr="00B53524">
        <w:t>Time of concentration (T</w:t>
      </w:r>
      <w:r w:rsidRPr="00B53524">
        <w:rPr>
          <w:vertAlign w:val="subscript"/>
        </w:rPr>
        <w:t>c</w:t>
      </w:r>
      <w:r w:rsidRPr="00B53524">
        <w:t>) of the drainage area = 15 minutes</w:t>
      </w:r>
    </w:p>
    <w:p w:rsidR="00EE65C2" w:rsidRPr="00B53524" w:rsidRDefault="00EE65C2" w:rsidP="00EE65C2">
      <w:pPr>
        <w:pStyle w:val="ExampleBullets"/>
        <w:keepNext/>
      </w:pPr>
      <w:r w:rsidRPr="00B53524">
        <w:t>Remaining volume (designated to be managed with the proposed BMP)  = 1,200 cu-ft</w:t>
      </w:r>
    </w:p>
    <w:p w:rsidR="00EE65C2" w:rsidRPr="00B53524" w:rsidRDefault="00EE65C2" w:rsidP="00EA1EA6">
      <w:pPr>
        <w:pStyle w:val="ExampleSubheading"/>
        <w:outlineLvl w:val="0"/>
      </w:pPr>
      <w:bookmarkStart w:id="397" w:name="_Toc285308154"/>
      <w:r w:rsidRPr="00B53524">
        <w:t>Required:</w:t>
      </w:r>
      <w:bookmarkEnd w:id="397"/>
    </w:p>
    <w:p w:rsidR="00EE65C2" w:rsidRPr="00B53524" w:rsidRDefault="00EE65C2" w:rsidP="00EE65C2">
      <w:pPr>
        <w:pStyle w:val="ExampleBullets"/>
        <w:keepNext/>
      </w:pPr>
      <w:r w:rsidRPr="00B53524">
        <w:t xml:space="preserve">Compute required design flowrate to mitigate the </w:t>
      </w:r>
      <w:r w:rsidR="00925C11">
        <w:t>alternative compliance</w:t>
      </w:r>
      <w:r w:rsidR="00925C11" w:rsidRPr="00B53524">
        <w:t xml:space="preserve"> </w:t>
      </w:r>
      <w:r w:rsidRPr="00B53524">
        <w:t>volume</w:t>
      </w:r>
    </w:p>
    <w:p w:rsidR="00EE65C2" w:rsidRPr="00B53524" w:rsidRDefault="00EE65C2" w:rsidP="00EA1EA6">
      <w:pPr>
        <w:pStyle w:val="ExampleSubheading"/>
        <w:outlineLvl w:val="0"/>
      </w:pPr>
      <w:bookmarkStart w:id="398" w:name="_Toc285308155"/>
      <w:r w:rsidRPr="00B53524">
        <w:t>Solution:</w:t>
      </w:r>
      <w:bookmarkEnd w:id="398"/>
    </w:p>
    <w:p w:rsidR="00EE65C2" w:rsidRPr="00B53524" w:rsidRDefault="00EE65C2" w:rsidP="009531AF">
      <w:pPr>
        <w:pStyle w:val="ExampleNumbers"/>
        <w:numPr>
          <w:ilvl w:val="0"/>
          <w:numId w:val="96"/>
        </w:numPr>
      </w:pPr>
      <w:r w:rsidRPr="00B53524">
        <w:t>Equivalent storm depth = 1,200 cu-ft × 12 in/ft/[(0.75×0.8+0.15) ×1.5 ac ×43560 sf/ac] = 0.29 inches</w:t>
      </w:r>
    </w:p>
    <w:p w:rsidR="00EE65C2" w:rsidRPr="00B53524" w:rsidRDefault="00EE65C2" w:rsidP="009531AF">
      <w:pPr>
        <w:pStyle w:val="ExampleNumbers"/>
        <w:numPr>
          <w:ilvl w:val="0"/>
          <w:numId w:val="96"/>
        </w:numPr>
      </w:pPr>
      <w:r w:rsidRPr="00B53524">
        <w:t>Fraction of design capture storm depth = 0.29 inches/0.85 inches = 0.35</w:t>
      </w:r>
      <w:r w:rsidR="00B61864">
        <w:t xml:space="preserve"> = 35% of DCV</w:t>
      </w:r>
    </w:p>
    <w:p w:rsidR="00EE65C2" w:rsidRPr="00B53524" w:rsidRDefault="00EE65C2" w:rsidP="009531AF">
      <w:pPr>
        <w:pStyle w:val="ExampleNumbers"/>
        <w:numPr>
          <w:ilvl w:val="0"/>
          <w:numId w:val="96"/>
        </w:numPr>
      </w:pPr>
      <w:r w:rsidRPr="00B53524">
        <w:t>From</w:t>
      </w:r>
      <w:r w:rsidR="00C43A52" w:rsidRPr="001063F7">
        <w:t>,</w:t>
      </w:r>
      <w:r w:rsidR="001063F7" w:rsidRPr="001063F7">
        <w:t xml:space="preserve"> </w:t>
      </w:r>
      <w:fldSimple w:instr=" REF _Ref293935680 \h  \* MERGEFORMAT ">
        <w:r w:rsidR="001063F7" w:rsidRPr="001063F7">
          <w:rPr>
            <w:b/>
            <w:color w:val="0070C0"/>
          </w:rPr>
          <w:t>Table VI.1</w:t>
        </w:r>
      </w:fldSimple>
      <w:r w:rsidR="00C43A52" w:rsidRPr="001063F7">
        <w:t xml:space="preserve"> the multiplier for T</w:t>
      </w:r>
      <w:r w:rsidR="00126F3D" w:rsidRPr="00126F3D">
        <w:t>c</w:t>
      </w:r>
      <w:r w:rsidR="00C43A52" w:rsidRPr="001063F7">
        <w:t xml:space="preserve"> of 15 mi</w:t>
      </w:r>
      <w:r w:rsidRPr="001063F7">
        <w:t>n</w:t>
      </w:r>
      <w:r w:rsidR="00C43A52" w:rsidRPr="001063F7">
        <w:t>ute</w:t>
      </w:r>
      <w:r w:rsidRPr="001063F7">
        <w:t>s</w:t>
      </w:r>
      <w:r w:rsidRPr="00B53524">
        <w:t xml:space="preserve"> is 0.21 in/hr</w:t>
      </w:r>
    </w:p>
    <w:p w:rsidR="00EE65C2" w:rsidRPr="00B53524" w:rsidRDefault="00EE65C2" w:rsidP="009531AF">
      <w:pPr>
        <w:pStyle w:val="ExampleNumbers"/>
        <w:numPr>
          <w:ilvl w:val="0"/>
          <w:numId w:val="96"/>
        </w:numPr>
      </w:pPr>
      <w:r w:rsidRPr="00B53524">
        <w:t>Design</w:t>
      </w:r>
      <w:r w:rsidR="00B61864">
        <w:t xml:space="preserve"> intensity equivalent to the remaining unmet </w:t>
      </w:r>
      <w:r w:rsidRPr="00B53524">
        <w:t>volume = 0.21 in/hr × 0.35 = 0.074 in/hr</w:t>
      </w:r>
    </w:p>
    <w:p w:rsidR="00EE65C2" w:rsidRPr="00B53524" w:rsidRDefault="00EE65C2" w:rsidP="009531AF">
      <w:pPr>
        <w:pStyle w:val="ExampleNumbers"/>
        <w:numPr>
          <w:ilvl w:val="0"/>
          <w:numId w:val="96"/>
        </w:numPr>
      </w:pPr>
      <w:r w:rsidRPr="00B53524">
        <w:t xml:space="preserve">Design flow </w:t>
      </w:r>
      <w:r w:rsidR="00B61864">
        <w:t xml:space="preserve">equivalent to the remaining </w:t>
      </w:r>
      <w:r w:rsidR="00925C11">
        <w:t xml:space="preserve">alternative compliance </w:t>
      </w:r>
      <w:r w:rsidR="00B61864" w:rsidRPr="00B53524">
        <w:t xml:space="preserve">volume </w:t>
      </w:r>
      <w:r w:rsidRPr="00B53524">
        <w:t>= (0.75×0.8+0.15) × 0.07</w:t>
      </w:r>
      <w:r w:rsidR="00B61864">
        <w:t>4</w:t>
      </w:r>
      <w:r w:rsidRPr="00B53524">
        <w:t xml:space="preserve"> in/hr ×1.5 ac = 0.083 cfs</w:t>
      </w:r>
    </w:p>
    <w:p w:rsidR="00EE65C2" w:rsidRPr="00B53524" w:rsidRDefault="00EE65C2" w:rsidP="009531AF">
      <w:pPr>
        <w:pStyle w:val="ExampleNumbers"/>
        <w:numPr>
          <w:ilvl w:val="0"/>
          <w:numId w:val="96"/>
        </w:numPr>
      </w:pPr>
      <w:r w:rsidRPr="00B53524">
        <w:t xml:space="preserve">This is the design flowrate that must be provided for the 1.5 acre tributary area to address 1,200 cu-ft of remaining volume.  </w:t>
      </w:r>
    </w:p>
    <w:p w:rsidR="00DF24E8" w:rsidRDefault="00DF24E8" w:rsidP="0013104B"/>
    <w:p w:rsidR="00DF24E8" w:rsidRDefault="00DF24E8" w:rsidP="0013104B">
      <w:pPr>
        <w:sectPr w:rsidR="00DF24E8" w:rsidSect="00BF43BB">
          <w:pgSz w:w="12240" w:h="15840"/>
          <w:pgMar w:top="1440" w:right="1440" w:bottom="1440" w:left="1440" w:header="720" w:footer="432" w:gutter="0"/>
          <w:pgNumType w:start="1" w:chapStyle="1"/>
          <w:cols w:space="720"/>
          <w:docGrid w:linePitch="360"/>
        </w:sectPr>
      </w:pPr>
    </w:p>
    <w:tbl>
      <w:tblPr>
        <w:tblW w:w="49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3"/>
        <w:gridCol w:w="5635"/>
        <w:gridCol w:w="129"/>
        <w:gridCol w:w="1128"/>
        <w:gridCol w:w="273"/>
        <w:gridCol w:w="855"/>
        <w:gridCol w:w="1128"/>
        <w:gridCol w:w="11"/>
      </w:tblGrid>
      <w:tr w:rsidR="001D10EE" w:rsidRPr="00317359" w:rsidTr="007D631A">
        <w:trPr>
          <w:cantSplit/>
          <w:trHeight w:val="330"/>
          <w:tblHeader/>
        </w:trPr>
        <w:tc>
          <w:tcPr>
            <w:tcW w:w="5000" w:type="pct"/>
            <w:gridSpan w:val="8"/>
            <w:tcBorders>
              <w:top w:val="nil"/>
              <w:left w:val="nil"/>
              <w:bottom w:val="single" w:sz="4" w:space="0" w:color="auto"/>
              <w:right w:val="nil"/>
            </w:tcBorders>
            <w:shd w:val="clear" w:color="auto" w:fill="auto"/>
            <w:noWrap/>
            <w:tcMar>
              <w:top w:w="36" w:type="dxa"/>
              <w:bottom w:w="36" w:type="dxa"/>
            </w:tcMar>
            <w:vAlign w:val="center"/>
            <w:hideMark/>
          </w:tcPr>
          <w:p w:rsidR="001D10EE" w:rsidRPr="00524D76" w:rsidRDefault="001D10EE" w:rsidP="003A7710">
            <w:pPr>
              <w:pStyle w:val="Caption"/>
            </w:pPr>
            <w:bookmarkStart w:id="399" w:name="_Ref285531397"/>
            <w:bookmarkStart w:id="400" w:name="_Toc288554462"/>
            <w:r w:rsidRPr="00524D76">
              <w:t xml:space="preserve">Worksheet </w:t>
            </w:r>
            <w:fldSimple w:instr=" SEQ Worksheet \* ALPHABETIC ">
              <w:r w:rsidR="00126DE5" w:rsidRPr="00524D76">
                <w:rPr>
                  <w:noProof/>
                </w:rPr>
                <w:t>G</w:t>
              </w:r>
            </w:fldSimple>
            <w:r w:rsidRPr="00524D76">
              <w:t xml:space="preserve">: Alternative Compliance Volume </w:t>
            </w:r>
            <w:r w:rsidR="003A7710" w:rsidRPr="00524D76">
              <w:t>Worksheet</w:t>
            </w:r>
            <w:bookmarkEnd w:id="399"/>
            <w:bookmarkEnd w:id="400"/>
          </w:p>
        </w:tc>
      </w:tr>
      <w:tr w:rsidR="001D10EE" w:rsidRPr="00317359" w:rsidTr="007D631A">
        <w:trPr>
          <w:trHeight w:val="330"/>
        </w:trPr>
        <w:tc>
          <w:tcPr>
            <w:tcW w:w="5000" w:type="pct"/>
            <w:gridSpan w:val="8"/>
            <w:tcBorders>
              <w:top w:val="single" w:sz="4" w:space="0" w:color="auto"/>
              <w:bottom w:val="nil"/>
            </w:tcBorders>
            <w:shd w:val="clear" w:color="auto" w:fill="D9D9D9"/>
            <w:noWrap/>
            <w:tcMar>
              <w:top w:w="36" w:type="dxa"/>
              <w:bottom w:w="36" w:type="dxa"/>
            </w:tcMar>
            <w:vAlign w:val="center"/>
            <w:hideMark/>
          </w:tcPr>
          <w:p w:rsidR="001D10EE" w:rsidRPr="001D10EE" w:rsidRDefault="001D10EE" w:rsidP="001D10EE">
            <w:pPr>
              <w:pStyle w:val="ExampleSubheading"/>
              <w:pBdr>
                <w:top w:val="none" w:sz="0" w:space="0" w:color="auto"/>
                <w:left w:val="none" w:sz="0" w:space="0" w:color="auto"/>
                <w:bottom w:val="none" w:sz="0" w:space="0" w:color="auto"/>
                <w:right w:val="none" w:sz="0" w:space="0" w:color="auto"/>
              </w:pBdr>
              <w:ind w:left="0"/>
              <w:outlineLvl w:val="0"/>
              <w:rPr>
                <w:color w:val="000000"/>
              </w:rPr>
            </w:pPr>
            <w:r w:rsidRPr="001D10EE">
              <w:t>Step 1: Determine the alternative compliance volume without water quality credits</w:t>
            </w:r>
          </w:p>
        </w:tc>
      </w:tr>
      <w:tr w:rsidR="001D10EE" w:rsidRPr="00317359" w:rsidTr="001D10EE">
        <w:trPr>
          <w:gridAfter w:val="1"/>
          <w:wAfter w:w="6" w:type="pct"/>
          <w:trHeight w:val="330"/>
        </w:trPr>
        <w:tc>
          <w:tcPr>
            <w:tcW w:w="170" w:type="pct"/>
            <w:shd w:val="clear" w:color="auto" w:fill="auto"/>
            <w:noWrap/>
            <w:tcMar>
              <w:top w:w="36" w:type="dxa"/>
              <w:bottom w:w="36" w:type="dxa"/>
            </w:tcMar>
            <w:vAlign w:val="bottom"/>
            <w:hideMark/>
          </w:tcPr>
          <w:p w:rsidR="001D10EE" w:rsidRPr="001D10EE" w:rsidRDefault="001D10EE" w:rsidP="001D10EE">
            <w:pPr>
              <w:spacing w:after="0" w:line="240" w:lineRule="auto"/>
              <w:jc w:val="right"/>
              <w:rPr>
                <w:rFonts w:ascii="Arial" w:eastAsia="Times New Roman" w:hAnsi="Arial" w:cs="Arial"/>
                <w:color w:val="000000"/>
              </w:rPr>
            </w:pPr>
            <w:r w:rsidRPr="001D10EE">
              <w:rPr>
                <w:rFonts w:ascii="Arial" w:eastAsia="Times New Roman" w:hAnsi="Arial" w:cs="Arial"/>
                <w:color w:val="000000"/>
              </w:rPr>
              <w:t>1</w:t>
            </w:r>
          </w:p>
        </w:tc>
        <w:tc>
          <w:tcPr>
            <w:tcW w:w="3039" w:type="pct"/>
            <w:gridSpan w:val="2"/>
            <w:shd w:val="clear" w:color="auto" w:fill="auto"/>
            <w:tcMar>
              <w:top w:w="36" w:type="dxa"/>
              <w:bottom w:w="36" w:type="dxa"/>
            </w:tcMar>
            <w:vAlign w:val="center"/>
            <w:hideMark/>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 xml:space="preserve">Determine the capture efficiency achieved in upstream BMPs using </w:t>
            </w:r>
            <w:fldSimple w:instr=" REF _Ref287976607 \r \h  \* MERGEFORMAT ">
              <w:r w:rsidR="00126DE5" w:rsidRPr="00126DE5">
                <w:rPr>
                  <w:rFonts w:eastAsia="Times New Roman" w:cs="Arial"/>
                  <w:b/>
                  <w:color w:val="0070C0"/>
                  <w:sz w:val="20"/>
                  <w:szCs w:val="20"/>
                </w:rPr>
                <w:t>Appendix III</w:t>
              </w:r>
            </w:fldSimple>
            <w:r w:rsidRPr="001D10EE">
              <w:rPr>
                <w:rFonts w:ascii="Arial" w:eastAsia="Times New Roman" w:hAnsi="Arial" w:cs="Arial"/>
                <w:sz w:val="20"/>
                <w:szCs w:val="20"/>
              </w:rPr>
              <w:t xml:space="preserve">, </w:t>
            </w:r>
            <w:r w:rsidRPr="001D10EE">
              <w:rPr>
                <w:rFonts w:ascii="Arial" w:eastAsia="Times New Roman" w:hAnsi="Arial" w:cs="Arial"/>
                <w:i/>
                <w:sz w:val="20"/>
                <w:szCs w:val="20"/>
              </w:rPr>
              <w:t>X</w:t>
            </w:r>
            <w:r w:rsidRPr="001D10EE">
              <w:rPr>
                <w:rFonts w:ascii="Arial" w:eastAsia="Times New Roman" w:hAnsi="Arial" w:cs="Arial"/>
                <w:i/>
                <w:sz w:val="20"/>
                <w:szCs w:val="20"/>
                <w:vertAlign w:val="subscript"/>
              </w:rPr>
              <w:t>1</w:t>
            </w:r>
            <w:r w:rsidRPr="001D10EE">
              <w:rPr>
                <w:rFonts w:ascii="Arial" w:eastAsia="Times New Roman" w:hAnsi="Arial" w:cs="Arial"/>
                <w:i/>
                <w:sz w:val="20"/>
                <w:szCs w:val="20"/>
              </w:rPr>
              <w:t xml:space="preserve"> </w:t>
            </w:r>
            <w:r w:rsidRPr="001D10EE">
              <w:rPr>
                <w:rFonts w:ascii="Arial" w:eastAsia="Times New Roman" w:hAnsi="Arial" w:cs="Arial"/>
                <w:sz w:val="20"/>
                <w:szCs w:val="20"/>
              </w:rPr>
              <w:t>(%)</w:t>
            </w:r>
          </w:p>
        </w:tc>
        <w:tc>
          <w:tcPr>
            <w:tcW w:w="595" w:type="pct"/>
            <w:tcMar>
              <w:top w:w="36" w:type="dxa"/>
              <w:bottom w:w="36" w:type="dxa"/>
            </w:tcMar>
            <w:vAlign w:val="center"/>
          </w:tcPr>
          <w:p w:rsidR="001D10EE" w:rsidRPr="001D10EE" w:rsidRDefault="001D10EE" w:rsidP="001D10EE">
            <w:pPr>
              <w:spacing w:after="0" w:line="240" w:lineRule="auto"/>
              <w:jc w:val="right"/>
              <w:rPr>
                <w:rFonts w:ascii="Arial" w:eastAsia="Times New Roman" w:hAnsi="Arial" w:cs="Arial"/>
                <w:sz w:val="20"/>
                <w:szCs w:val="20"/>
              </w:rPr>
            </w:pPr>
            <w:r w:rsidRPr="001D10EE">
              <w:rPr>
                <w:rFonts w:ascii="Arial" w:hAnsi="Arial" w:cs="Arial"/>
                <w:color w:val="000000"/>
              </w:rPr>
              <w:t>X</w:t>
            </w:r>
            <w:r w:rsidRPr="001D10EE">
              <w:rPr>
                <w:rFonts w:ascii="Arial" w:hAnsi="Arial" w:cs="Arial"/>
                <w:color w:val="000000"/>
                <w:vertAlign w:val="subscript"/>
              </w:rPr>
              <w:t>1</w:t>
            </w:r>
            <w:r w:rsidRPr="001D10EE">
              <w:rPr>
                <w:rFonts w:ascii="Arial" w:hAnsi="Arial" w:cs="Arial"/>
                <w:color w:val="000000"/>
              </w:rPr>
              <w:t>=</w:t>
            </w:r>
          </w:p>
        </w:tc>
        <w:tc>
          <w:tcPr>
            <w:tcW w:w="595" w:type="pct"/>
            <w:gridSpan w:val="2"/>
            <w:tcMar>
              <w:top w:w="36" w:type="dxa"/>
              <w:bottom w:w="36" w:type="dxa"/>
            </w:tcMar>
            <w:vAlign w:val="center"/>
          </w:tcPr>
          <w:p w:rsidR="001D10EE" w:rsidRPr="001D10EE" w:rsidRDefault="001D10EE" w:rsidP="001D10EE">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w:t>
            </w:r>
          </w:p>
        </w:tc>
      </w:tr>
      <w:tr w:rsidR="001D10EE" w:rsidRPr="00317359" w:rsidTr="001D10EE">
        <w:trPr>
          <w:gridAfter w:val="1"/>
          <w:wAfter w:w="6" w:type="pct"/>
          <w:trHeight w:val="330"/>
        </w:trPr>
        <w:tc>
          <w:tcPr>
            <w:tcW w:w="170" w:type="pct"/>
            <w:shd w:val="clear" w:color="auto" w:fill="auto"/>
            <w:noWrap/>
            <w:tcMar>
              <w:top w:w="36" w:type="dxa"/>
              <w:bottom w:w="36" w:type="dxa"/>
            </w:tcMar>
            <w:vAlign w:val="bottom"/>
            <w:hideMark/>
          </w:tcPr>
          <w:p w:rsidR="001D10EE" w:rsidRPr="001D10EE" w:rsidRDefault="001D10EE" w:rsidP="001D10EE">
            <w:pPr>
              <w:spacing w:after="0" w:line="240" w:lineRule="auto"/>
              <w:jc w:val="right"/>
              <w:rPr>
                <w:rFonts w:ascii="Arial" w:eastAsia="Times New Roman" w:hAnsi="Arial" w:cs="Arial"/>
                <w:color w:val="000000"/>
              </w:rPr>
            </w:pPr>
            <w:r w:rsidRPr="001D10EE">
              <w:rPr>
                <w:rFonts w:ascii="Arial" w:eastAsia="Times New Roman" w:hAnsi="Arial" w:cs="Arial"/>
                <w:color w:val="000000"/>
              </w:rPr>
              <w:t>2</w:t>
            </w:r>
          </w:p>
        </w:tc>
        <w:tc>
          <w:tcPr>
            <w:tcW w:w="3039" w:type="pct"/>
            <w:gridSpan w:val="2"/>
            <w:shd w:val="clear" w:color="auto" w:fill="auto"/>
            <w:tcMar>
              <w:top w:w="36" w:type="dxa"/>
              <w:bottom w:w="36" w:type="dxa"/>
            </w:tcMar>
            <w:vAlign w:val="center"/>
            <w:hideMark/>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 xml:space="preserve">Enter design capture storm depth from </w:t>
            </w:r>
            <w:fldSimple w:instr=" REF _Ref285354586 \h  \* MERGEFORMAT ">
              <w:r w:rsidR="00126DE5" w:rsidRPr="00126DE5">
                <w:rPr>
                  <w:rFonts w:cs="Arial"/>
                  <w:b/>
                  <w:color w:val="0070C0"/>
                  <w:sz w:val="20"/>
                </w:rPr>
                <w:t>Figure III.</w:t>
              </w:r>
              <w:r w:rsidR="00126DE5" w:rsidRPr="00126DE5">
                <w:rPr>
                  <w:rFonts w:cs="Arial"/>
                  <w:b/>
                  <w:noProof/>
                  <w:color w:val="0070C0"/>
                  <w:sz w:val="20"/>
                  <w:szCs w:val="20"/>
                </w:rPr>
                <w:t>1</w:t>
              </w:r>
            </w:fldSimple>
            <w:r w:rsidRPr="001D10EE">
              <w:rPr>
                <w:rFonts w:ascii="Arial" w:eastAsia="Times New Roman" w:hAnsi="Arial" w:cs="Arial"/>
                <w:sz w:val="20"/>
                <w:szCs w:val="20"/>
              </w:rPr>
              <w:t xml:space="preserve">, </w:t>
            </w:r>
            <w:r w:rsidRPr="001D10EE">
              <w:rPr>
                <w:rFonts w:ascii="Arial" w:eastAsia="Times New Roman" w:hAnsi="Arial" w:cs="Arial"/>
                <w:i/>
                <w:sz w:val="20"/>
                <w:szCs w:val="20"/>
              </w:rPr>
              <w:t xml:space="preserve">d </w:t>
            </w:r>
            <w:r w:rsidRPr="001D10EE">
              <w:rPr>
                <w:rFonts w:ascii="Arial" w:eastAsia="Times New Roman" w:hAnsi="Arial" w:cs="Arial"/>
                <w:sz w:val="20"/>
                <w:szCs w:val="20"/>
              </w:rPr>
              <w:t>(inches)</w:t>
            </w:r>
          </w:p>
        </w:tc>
        <w:tc>
          <w:tcPr>
            <w:tcW w:w="595" w:type="pct"/>
            <w:tcMar>
              <w:top w:w="36" w:type="dxa"/>
              <w:bottom w:w="36" w:type="dxa"/>
            </w:tcMar>
            <w:vAlign w:val="center"/>
          </w:tcPr>
          <w:p w:rsidR="001D10EE" w:rsidRPr="001D10EE" w:rsidRDefault="001D10EE" w:rsidP="001D10EE">
            <w:pPr>
              <w:spacing w:after="0" w:line="240" w:lineRule="auto"/>
              <w:jc w:val="right"/>
              <w:rPr>
                <w:rFonts w:ascii="Arial" w:eastAsia="Times New Roman" w:hAnsi="Arial" w:cs="Arial"/>
                <w:sz w:val="20"/>
                <w:szCs w:val="20"/>
              </w:rPr>
            </w:pPr>
            <w:r w:rsidRPr="001D10EE">
              <w:rPr>
                <w:rFonts w:ascii="Arial" w:eastAsia="Times New Roman" w:hAnsi="Arial" w:cs="Arial"/>
                <w:sz w:val="20"/>
                <w:szCs w:val="20"/>
              </w:rPr>
              <w:t>d=</w:t>
            </w:r>
          </w:p>
        </w:tc>
        <w:tc>
          <w:tcPr>
            <w:tcW w:w="595" w:type="pct"/>
            <w:gridSpan w:val="2"/>
            <w:tcMar>
              <w:top w:w="36" w:type="dxa"/>
              <w:bottom w:w="36" w:type="dxa"/>
            </w:tcMar>
            <w:vAlign w:val="center"/>
          </w:tcPr>
          <w:p w:rsidR="001D10EE" w:rsidRPr="001D10EE" w:rsidRDefault="001D10EE" w:rsidP="001D10EE">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inches</w:t>
            </w:r>
          </w:p>
        </w:tc>
      </w:tr>
      <w:tr w:rsidR="001D10EE" w:rsidRPr="00317359" w:rsidTr="001D10EE">
        <w:trPr>
          <w:gridAfter w:val="1"/>
          <w:wAfter w:w="6" w:type="pct"/>
          <w:trHeight w:val="330"/>
        </w:trPr>
        <w:tc>
          <w:tcPr>
            <w:tcW w:w="170" w:type="pct"/>
            <w:shd w:val="clear" w:color="auto" w:fill="auto"/>
            <w:noWrap/>
            <w:tcMar>
              <w:top w:w="36" w:type="dxa"/>
              <w:bottom w:w="36" w:type="dxa"/>
            </w:tcMar>
            <w:vAlign w:val="bottom"/>
            <w:hideMark/>
          </w:tcPr>
          <w:p w:rsidR="001D10EE" w:rsidRPr="001D10EE" w:rsidRDefault="001D10EE" w:rsidP="001D10EE">
            <w:pPr>
              <w:spacing w:after="0" w:line="240" w:lineRule="auto"/>
              <w:jc w:val="right"/>
              <w:rPr>
                <w:rFonts w:ascii="Arial" w:eastAsia="Times New Roman" w:hAnsi="Arial" w:cs="Arial"/>
                <w:color w:val="000000"/>
              </w:rPr>
            </w:pPr>
            <w:r w:rsidRPr="001D10EE">
              <w:rPr>
                <w:rFonts w:ascii="Arial" w:eastAsia="Times New Roman" w:hAnsi="Arial" w:cs="Arial"/>
                <w:color w:val="000000"/>
              </w:rPr>
              <w:t>3</w:t>
            </w:r>
          </w:p>
        </w:tc>
        <w:tc>
          <w:tcPr>
            <w:tcW w:w="3039" w:type="pct"/>
            <w:gridSpan w:val="2"/>
            <w:shd w:val="clear" w:color="auto" w:fill="auto"/>
            <w:tcMar>
              <w:top w:w="36" w:type="dxa"/>
              <w:left w:w="115" w:type="dxa"/>
              <w:bottom w:w="36" w:type="dxa"/>
              <w:right w:w="115" w:type="dxa"/>
            </w:tcMar>
            <w:vAlign w:val="center"/>
            <w:hideMark/>
          </w:tcPr>
          <w:p w:rsidR="001D10EE" w:rsidRPr="001D10EE" w:rsidRDefault="001D10EE" w:rsidP="001D10EE">
            <w:pPr>
              <w:spacing w:after="0"/>
              <w:rPr>
                <w:rFonts w:ascii="Arial" w:hAnsi="Arial" w:cs="Arial"/>
                <w:color w:val="000000"/>
              </w:rPr>
            </w:pPr>
            <w:r w:rsidRPr="001D10EE">
              <w:rPr>
                <w:rFonts w:ascii="Arial" w:eastAsia="Times New Roman" w:hAnsi="Arial" w:cs="Arial"/>
                <w:sz w:val="20"/>
                <w:szCs w:val="20"/>
              </w:rPr>
              <w:t xml:space="preserve">Using </w:t>
            </w:r>
            <w:fldSimple w:instr=" REF _Ref262309236 \h  \* MERGEFORMAT ">
              <w:r w:rsidR="00126DE5" w:rsidRPr="00126DE5">
                <w:rPr>
                  <w:rFonts w:cs="Arial"/>
                  <w:b/>
                  <w:color w:val="0070C0"/>
                  <w:sz w:val="20"/>
                </w:rPr>
                <w:t xml:space="preserve">Figure </w:t>
              </w:r>
              <w:r w:rsidR="00126DE5" w:rsidRPr="00126DE5">
                <w:rPr>
                  <w:rFonts w:cs="Arial"/>
                  <w:b/>
                  <w:noProof/>
                  <w:color w:val="0070C0"/>
                  <w:sz w:val="20"/>
                  <w:szCs w:val="20"/>
                </w:rPr>
                <w:t>VI</w:t>
              </w:r>
              <w:r w:rsidR="00126DE5" w:rsidRPr="00126DE5">
                <w:rPr>
                  <w:rFonts w:cs="Arial"/>
                  <w:b/>
                  <w:color w:val="0070C0"/>
                  <w:sz w:val="20"/>
                </w:rPr>
                <w:t>.</w:t>
              </w:r>
              <w:r w:rsidR="00126DE5" w:rsidRPr="00126DE5">
                <w:rPr>
                  <w:rFonts w:cs="Arial"/>
                  <w:b/>
                  <w:noProof/>
                  <w:color w:val="0070C0"/>
                  <w:sz w:val="20"/>
                  <w:szCs w:val="20"/>
                </w:rPr>
                <w:t>1</w:t>
              </w:r>
            </w:fldSimple>
            <w:r w:rsidRPr="001D10EE">
              <w:rPr>
                <w:rFonts w:ascii="Arial" w:eastAsia="Times New Roman" w:hAnsi="Arial" w:cs="Arial"/>
                <w:sz w:val="20"/>
                <w:szCs w:val="20"/>
              </w:rPr>
              <w:t>, pivot from where X</w:t>
            </w:r>
            <w:r w:rsidRPr="001D10EE">
              <w:rPr>
                <w:rFonts w:ascii="Arial" w:eastAsia="Times New Roman" w:hAnsi="Arial" w:cs="Arial"/>
                <w:sz w:val="20"/>
                <w:szCs w:val="20"/>
                <w:vertAlign w:val="subscript"/>
              </w:rPr>
              <w:t>1</w:t>
            </w:r>
            <w:r w:rsidRPr="001D10EE">
              <w:rPr>
                <w:rFonts w:ascii="Arial" w:eastAsia="Times New Roman" w:hAnsi="Arial" w:cs="Arial"/>
                <w:sz w:val="20"/>
                <w:szCs w:val="20"/>
              </w:rPr>
              <w:t xml:space="preserve"> intersects the curve to determine the fraction of design capture storm depth remaining to be met, </w:t>
            </w:r>
            <w:r w:rsidRPr="001D10EE">
              <w:rPr>
                <w:rFonts w:ascii="Arial" w:eastAsia="Times New Roman" w:hAnsi="Arial" w:cs="Arial"/>
                <w:i/>
                <w:sz w:val="20"/>
                <w:szCs w:val="20"/>
              </w:rPr>
              <w:t>Y</w:t>
            </w:r>
            <w:r w:rsidRPr="001D10EE">
              <w:rPr>
                <w:rFonts w:ascii="Arial" w:eastAsia="Times New Roman" w:hAnsi="Arial" w:cs="Arial"/>
                <w:i/>
                <w:sz w:val="20"/>
                <w:szCs w:val="20"/>
                <w:vertAlign w:val="subscript"/>
              </w:rPr>
              <w:t>1</w:t>
            </w:r>
          </w:p>
        </w:tc>
        <w:tc>
          <w:tcPr>
            <w:tcW w:w="595" w:type="pct"/>
            <w:tcMar>
              <w:top w:w="36" w:type="dxa"/>
              <w:bottom w:w="36" w:type="dxa"/>
            </w:tcMar>
            <w:vAlign w:val="bottom"/>
          </w:tcPr>
          <w:p w:rsidR="001D10EE" w:rsidRPr="001D10EE" w:rsidRDefault="001D10EE" w:rsidP="001D10EE">
            <w:pPr>
              <w:jc w:val="right"/>
              <w:rPr>
                <w:rFonts w:ascii="Arial" w:hAnsi="Arial" w:cs="Arial"/>
                <w:color w:val="000000"/>
              </w:rPr>
            </w:pPr>
            <w:r w:rsidRPr="001D10EE">
              <w:rPr>
                <w:rFonts w:ascii="Arial" w:hAnsi="Arial" w:cs="Arial"/>
                <w:color w:val="000000"/>
              </w:rPr>
              <w:t>Y</w:t>
            </w:r>
            <w:r w:rsidRPr="001D10EE">
              <w:rPr>
                <w:rFonts w:ascii="Arial" w:hAnsi="Arial" w:cs="Arial"/>
                <w:color w:val="000000"/>
                <w:vertAlign w:val="subscript"/>
              </w:rPr>
              <w:t>1</w:t>
            </w:r>
            <w:r w:rsidRPr="001D10EE">
              <w:rPr>
                <w:rFonts w:ascii="Arial" w:hAnsi="Arial" w:cs="Arial"/>
                <w:color w:val="000000"/>
              </w:rPr>
              <w:t>=</w:t>
            </w:r>
          </w:p>
        </w:tc>
        <w:tc>
          <w:tcPr>
            <w:tcW w:w="595" w:type="pct"/>
            <w:gridSpan w:val="2"/>
            <w:tcMar>
              <w:top w:w="36" w:type="dxa"/>
              <w:bottom w:w="36" w:type="dxa"/>
            </w:tcMar>
            <w:vAlign w:val="center"/>
          </w:tcPr>
          <w:p w:rsidR="001D10EE" w:rsidRPr="001D10EE" w:rsidRDefault="001D10EE" w:rsidP="001D10EE">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1D10EE" w:rsidRPr="001D10EE" w:rsidRDefault="001D10EE" w:rsidP="001D10EE">
            <w:pPr>
              <w:spacing w:after="0" w:line="240" w:lineRule="auto"/>
              <w:rPr>
                <w:rFonts w:ascii="Arial" w:eastAsia="Times New Roman" w:hAnsi="Arial" w:cs="Arial"/>
                <w:sz w:val="20"/>
                <w:szCs w:val="20"/>
              </w:rPr>
            </w:pPr>
          </w:p>
        </w:tc>
      </w:tr>
      <w:tr w:rsidR="001D10EE" w:rsidRPr="00317359" w:rsidTr="001D10EE">
        <w:trPr>
          <w:gridAfter w:val="1"/>
          <w:wAfter w:w="6" w:type="pct"/>
          <w:trHeight w:val="330"/>
        </w:trPr>
        <w:tc>
          <w:tcPr>
            <w:tcW w:w="170" w:type="pct"/>
            <w:shd w:val="clear" w:color="auto" w:fill="auto"/>
            <w:noWrap/>
            <w:tcMar>
              <w:top w:w="36" w:type="dxa"/>
              <w:bottom w:w="36" w:type="dxa"/>
            </w:tcMar>
            <w:vAlign w:val="bottom"/>
            <w:hideMark/>
          </w:tcPr>
          <w:p w:rsidR="001D10EE" w:rsidRPr="001D10EE" w:rsidRDefault="001D10EE" w:rsidP="001D10EE">
            <w:pPr>
              <w:spacing w:after="0" w:line="240" w:lineRule="auto"/>
              <w:jc w:val="right"/>
              <w:rPr>
                <w:rFonts w:ascii="Arial" w:eastAsia="Times New Roman" w:hAnsi="Arial" w:cs="Arial"/>
                <w:color w:val="000000"/>
              </w:rPr>
            </w:pPr>
            <w:r w:rsidRPr="001D10EE">
              <w:rPr>
                <w:rFonts w:ascii="Arial" w:eastAsia="Times New Roman" w:hAnsi="Arial" w:cs="Arial"/>
                <w:color w:val="000000"/>
              </w:rPr>
              <w:t>4</w:t>
            </w:r>
          </w:p>
        </w:tc>
        <w:tc>
          <w:tcPr>
            <w:tcW w:w="3039" w:type="pct"/>
            <w:gridSpan w:val="2"/>
            <w:shd w:val="clear" w:color="auto" w:fill="auto"/>
            <w:tcMar>
              <w:top w:w="36" w:type="dxa"/>
              <w:bottom w:w="36" w:type="dxa"/>
            </w:tcMar>
            <w:vAlign w:val="center"/>
            <w:hideMark/>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 xml:space="preserve">Calculate the design depth that must be managed in alternative compliance BMPs, </w:t>
            </w:r>
            <w:proofErr w:type="spellStart"/>
            <w:r w:rsidRPr="001D10EE">
              <w:rPr>
                <w:rFonts w:ascii="Arial" w:eastAsia="Times New Roman" w:hAnsi="Arial" w:cs="Arial"/>
                <w:i/>
                <w:sz w:val="20"/>
                <w:szCs w:val="20"/>
              </w:rPr>
              <w:t>d</w:t>
            </w:r>
            <w:r w:rsidRPr="001D10EE">
              <w:rPr>
                <w:rFonts w:ascii="Arial" w:eastAsia="Times New Roman" w:hAnsi="Arial" w:cs="Arial"/>
                <w:i/>
                <w:sz w:val="20"/>
                <w:szCs w:val="20"/>
                <w:vertAlign w:val="subscript"/>
              </w:rPr>
              <w:t>alternative</w:t>
            </w:r>
            <w:proofErr w:type="spellEnd"/>
            <w:r w:rsidRPr="001D10EE">
              <w:rPr>
                <w:rFonts w:ascii="Arial" w:eastAsia="Times New Roman" w:hAnsi="Arial" w:cs="Arial"/>
                <w:i/>
                <w:sz w:val="20"/>
                <w:szCs w:val="20"/>
              </w:rPr>
              <w:t xml:space="preserve"> = Y</w:t>
            </w:r>
            <w:r w:rsidRPr="001D10EE">
              <w:rPr>
                <w:rFonts w:ascii="Arial" w:eastAsia="Times New Roman" w:hAnsi="Arial" w:cs="Arial"/>
                <w:i/>
                <w:sz w:val="20"/>
                <w:szCs w:val="20"/>
                <w:vertAlign w:val="subscript"/>
              </w:rPr>
              <w:t xml:space="preserve">1 </w:t>
            </w:r>
            <w:r w:rsidRPr="001D10EE">
              <w:rPr>
                <w:rFonts w:ascii="Arial" w:eastAsia="Times New Roman" w:hAnsi="Arial" w:cs="Arial"/>
                <w:i/>
                <w:sz w:val="20"/>
                <w:szCs w:val="20"/>
              </w:rPr>
              <w:t>× d</w:t>
            </w:r>
          </w:p>
        </w:tc>
        <w:tc>
          <w:tcPr>
            <w:tcW w:w="595" w:type="pct"/>
            <w:tcMar>
              <w:top w:w="36" w:type="dxa"/>
              <w:bottom w:w="36" w:type="dxa"/>
            </w:tcMar>
            <w:vAlign w:val="center"/>
          </w:tcPr>
          <w:p w:rsidR="001D10EE" w:rsidRPr="001D10EE" w:rsidRDefault="001D10EE" w:rsidP="001D10EE">
            <w:pPr>
              <w:spacing w:after="0" w:line="240" w:lineRule="auto"/>
              <w:jc w:val="right"/>
              <w:rPr>
                <w:rFonts w:ascii="Arial" w:eastAsia="Times New Roman" w:hAnsi="Arial" w:cs="Arial"/>
                <w:sz w:val="20"/>
                <w:szCs w:val="20"/>
              </w:rPr>
            </w:pPr>
            <w:proofErr w:type="spellStart"/>
            <w:r w:rsidRPr="001D10EE">
              <w:rPr>
                <w:rFonts w:ascii="Arial" w:eastAsia="Times New Roman" w:hAnsi="Arial" w:cs="Arial"/>
                <w:sz w:val="20"/>
                <w:szCs w:val="20"/>
              </w:rPr>
              <w:t>d</w:t>
            </w:r>
            <w:r w:rsidRPr="001D10EE">
              <w:rPr>
                <w:rFonts w:ascii="Arial" w:eastAsia="Times New Roman" w:hAnsi="Arial" w:cs="Arial"/>
                <w:sz w:val="20"/>
                <w:szCs w:val="20"/>
                <w:vertAlign w:val="subscript"/>
              </w:rPr>
              <w:t>alternative</w:t>
            </w:r>
            <w:proofErr w:type="spellEnd"/>
            <w:r w:rsidRPr="001D10EE">
              <w:rPr>
                <w:rFonts w:ascii="Arial" w:eastAsia="Times New Roman" w:hAnsi="Arial" w:cs="Arial"/>
                <w:sz w:val="20"/>
                <w:szCs w:val="20"/>
              </w:rPr>
              <w:t>=</w:t>
            </w:r>
          </w:p>
        </w:tc>
        <w:tc>
          <w:tcPr>
            <w:tcW w:w="595" w:type="pct"/>
            <w:gridSpan w:val="2"/>
            <w:tcMar>
              <w:top w:w="36" w:type="dxa"/>
              <w:bottom w:w="36" w:type="dxa"/>
            </w:tcMar>
            <w:vAlign w:val="center"/>
          </w:tcPr>
          <w:p w:rsidR="001D10EE" w:rsidRPr="001D10EE" w:rsidRDefault="001D10EE" w:rsidP="001D10EE">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inches</w:t>
            </w:r>
          </w:p>
        </w:tc>
      </w:tr>
      <w:tr w:rsidR="001D10EE" w:rsidRPr="00317359" w:rsidTr="001D10EE">
        <w:trPr>
          <w:gridAfter w:val="1"/>
          <w:wAfter w:w="6" w:type="pct"/>
          <w:trHeight w:val="330"/>
        </w:trPr>
        <w:tc>
          <w:tcPr>
            <w:tcW w:w="170" w:type="pct"/>
            <w:shd w:val="clear" w:color="auto" w:fill="auto"/>
            <w:noWrap/>
            <w:tcMar>
              <w:top w:w="36" w:type="dxa"/>
              <w:bottom w:w="36" w:type="dxa"/>
            </w:tcMar>
            <w:vAlign w:val="bottom"/>
            <w:hideMark/>
          </w:tcPr>
          <w:p w:rsidR="001D10EE" w:rsidRPr="001D10EE" w:rsidRDefault="001D10EE" w:rsidP="001D10EE">
            <w:pPr>
              <w:spacing w:after="0" w:line="240" w:lineRule="auto"/>
              <w:jc w:val="right"/>
              <w:rPr>
                <w:rFonts w:ascii="Arial" w:eastAsia="Times New Roman" w:hAnsi="Arial" w:cs="Arial"/>
                <w:color w:val="000000"/>
              </w:rPr>
            </w:pPr>
            <w:r w:rsidRPr="001D10EE">
              <w:rPr>
                <w:rFonts w:ascii="Arial" w:eastAsia="Times New Roman" w:hAnsi="Arial" w:cs="Arial"/>
                <w:color w:val="000000"/>
              </w:rPr>
              <w:t>5</w:t>
            </w:r>
          </w:p>
        </w:tc>
        <w:tc>
          <w:tcPr>
            <w:tcW w:w="3039" w:type="pct"/>
            <w:gridSpan w:val="2"/>
            <w:shd w:val="clear" w:color="auto" w:fill="auto"/>
            <w:tcMar>
              <w:top w:w="36" w:type="dxa"/>
              <w:bottom w:w="36" w:type="dxa"/>
            </w:tcMar>
            <w:vAlign w:val="center"/>
            <w:hideMark/>
          </w:tcPr>
          <w:p w:rsidR="001D10EE" w:rsidRPr="001D10EE" w:rsidRDefault="001D10EE" w:rsidP="001D10EE">
            <w:pPr>
              <w:spacing w:after="0" w:line="240" w:lineRule="auto"/>
              <w:rPr>
                <w:rFonts w:ascii="Arial" w:hAnsi="Arial" w:cs="Arial"/>
                <w:color w:val="000000"/>
                <w:vertAlign w:val="subscript"/>
              </w:rPr>
            </w:pPr>
            <w:r w:rsidRPr="001D10EE">
              <w:rPr>
                <w:rFonts w:ascii="Arial" w:eastAsia="Times New Roman" w:hAnsi="Arial" w:cs="Arial"/>
                <w:sz w:val="20"/>
                <w:szCs w:val="20"/>
              </w:rPr>
              <w:t xml:space="preserve">Compute the alternative compliance volume corresponding to </w:t>
            </w:r>
            <w:proofErr w:type="spellStart"/>
            <w:r w:rsidRPr="001D10EE">
              <w:rPr>
                <w:rFonts w:ascii="Arial" w:eastAsia="Times New Roman" w:hAnsi="Arial" w:cs="Arial"/>
                <w:i/>
                <w:sz w:val="20"/>
                <w:szCs w:val="20"/>
              </w:rPr>
              <w:t>d</w:t>
            </w:r>
            <w:r w:rsidRPr="001D10EE">
              <w:rPr>
                <w:rFonts w:ascii="Arial" w:eastAsia="Times New Roman" w:hAnsi="Arial" w:cs="Arial"/>
                <w:i/>
                <w:sz w:val="20"/>
                <w:szCs w:val="20"/>
                <w:vertAlign w:val="subscript"/>
              </w:rPr>
              <w:t>alternative</w:t>
            </w:r>
            <w:proofErr w:type="spellEnd"/>
            <w:r w:rsidRPr="001D10EE">
              <w:rPr>
                <w:rFonts w:ascii="Arial" w:eastAsia="Times New Roman" w:hAnsi="Arial" w:cs="Arial"/>
                <w:sz w:val="20"/>
                <w:szCs w:val="20"/>
              </w:rPr>
              <w:t xml:space="preserve"> using the hydrologic methods described in Section </w:t>
            </w:r>
            <w:fldSimple w:instr=" REF _Ref285114903 \r \h  \* MERGEFORMAT ">
              <w:r w:rsidR="00126DE5" w:rsidRPr="00126DE5">
                <w:rPr>
                  <w:rFonts w:eastAsia="Times New Roman" w:cs="Arial"/>
                  <w:b/>
                  <w:color w:val="0070C0"/>
                  <w:sz w:val="20"/>
                  <w:szCs w:val="20"/>
                </w:rPr>
                <w:t>III.1.1</w:t>
              </w:r>
            </w:fldSimple>
            <w:r w:rsidRPr="001D10EE">
              <w:rPr>
                <w:rFonts w:ascii="Arial" w:eastAsia="Times New Roman" w:hAnsi="Arial" w:cs="Arial"/>
                <w:sz w:val="20"/>
                <w:szCs w:val="20"/>
              </w:rPr>
              <w:t xml:space="preserve">, </w:t>
            </w:r>
            <w:r w:rsidRPr="001D10EE">
              <w:rPr>
                <w:rFonts w:ascii="Arial" w:eastAsia="Times New Roman" w:hAnsi="Arial" w:cs="Arial"/>
                <w:i/>
                <w:sz w:val="20"/>
                <w:szCs w:val="20"/>
              </w:rPr>
              <w:t>ACV</w:t>
            </w:r>
            <w:r w:rsidRPr="001D10EE">
              <w:rPr>
                <w:rFonts w:ascii="Arial" w:eastAsia="Times New Roman" w:hAnsi="Arial" w:cs="Arial"/>
                <w:sz w:val="20"/>
                <w:szCs w:val="20"/>
              </w:rPr>
              <w:t xml:space="preserve"> (cu-ft)</w:t>
            </w:r>
          </w:p>
        </w:tc>
        <w:tc>
          <w:tcPr>
            <w:tcW w:w="595" w:type="pct"/>
            <w:tcMar>
              <w:top w:w="36" w:type="dxa"/>
              <w:bottom w:w="36" w:type="dxa"/>
            </w:tcMar>
            <w:vAlign w:val="center"/>
          </w:tcPr>
          <w:p w:rsidR="001D10EE" w:rsidRPr="001D10EE" w:rsidRDefault="001D10EE" w:rsidP="001D10EE">
            <w:pPr>
              <w:spacing w:after="0" w:line="240" w:lineRule="auto"/>
              <w:jc w:val="right"/>
              <w:rPr>
                <w:rFonts w:ascii="Arial" w:eastAsia="Times New Roman" w:hAnsi="Arial" w:cs="Arial"/>
                <w:sz w:val="20"/>
                <w:szCs w:val="20"/>
              </w:rPr>
            </w:pPr>
            <w:r w:rsidRPr="001D10EE">
              <w:rPr>
                <w:rFonts w:ascii="Arial" w:eastAsia="Times New Roman" w:hAnsi="Arial" w:cs="Arial"/>
                <w:sz w:val="20"/>
                <w:szCs w:val="20"/>
              </w:rPr>
              <w:t>ACV=</w:t>
            </w:r>
          </w:p>
        </w:tc>
        <w:tc>
          <w:tcPr>
            <w:tcW w:w="595" w:type="pct"/>
            <w:gridSpan w:val="2"/>
            <w:tcMar>
              <w:top w:w="36" w:type="dxa"/>
              <w:bottom w:w="36" w:type="dxa"/>
            </w:tcMar>
            <w:vAlign w:val="center"/>
          </w:tcPr>
          <w:p w:rsidR="001D10EE" w:rsidRPr="001D10EE" w:rsidRDefault="001D10EE" w:rsidP="001D10EE">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cu-ft</w:t>
            </w:r>
          </w:p>
        </w:tc>
      </w:tr>
      <w:tr w:rsidR="001D10EE" w:rsidRPr="00317359" w:rsidTr="001D10EE">
        <w:trPr>
          <w:trHeight w:val="330"/>
        </w:trPr>
        <w:tc>
          <w:tcPr>
            <w:tcW w:w="5000" w:type="pct"/>
            <w:gridSpan w:val="8"/>
            <w:shd w:val="clear" w:color="auto" w:fill="D9D9D9"/>
            <w:noWrap/>
            <w:tcMar>
              <w:top w:w="36" w:type="dxa"/>
              <w:bottom w:w="36" w:type="dxa"/>
            </w:tcMar>
            <w:vAlign w:val="center"/>
            <w:hideMark/>
          </w:tcPr>
          <w:p w:rsidR="001D10EE" w:rsidRPr="001D10EE" w:rsidRDefault="001D10EE" w:rsidP="001D10EE">
            <w:pPr>
              <w:pStyle w:val="ExampleSubheading"/>
              <w:pBdr>
                <w:top w:val="none" w:sz="0" w:space="0" w:color="auto"/>
                <w:left w:val="none" w:sz="0" w:space="0" w:color="auto"/>
                <w:bottom w:val="none" w:sz="0" w:space="0" w:color="auto"/>
                <w:right w:val="none" w:sz="0" w:space="0" w:color="auto"/>
              </w:pBdr>
              <w:ind w:left="0"/>
              <w:outlineLvl w:val="0"/>
            </w:pPr>
            <w:r w:rsidRPr="001D10EE">
              <w:t>Step 2: Determine Credit Volume</w:t>
            </w:r>
          </w:p>
        </w:tc>
      </w:tr>
      <w:tr w:rsidR="001D10EE" w:rsidRPr="00317359" w:rsidTr="001D10EE">
        <w:trPr>
          <w:trHeight w:val="330"/>
        </w:trPr>
        <w:tc>
          <w:tcPr>
            <w:tcW w:w="5000" w:type="pct"/>
            <w:gridSpan w:val="8"/>
            <w:shd w:val="clear" w:color="auto" w:fill="D9D9D9"/>
            <w:noWrap/>
            <w:tcMar>
              <w:top w:w="36" w:type="dxa"/>
              <w:bottom w:w="36" w:type="dxa"/>
            </w:tcMar>
            <w:vAlign w:val="center"/>
            <w:hideMark/>
          </w:tcPr>
          <w:p w:rsidR="001D10EE" w:rsidRPr="001D10EE" w:rsidRDefault="001D10EE" w:rsidP="001D10EE">
            <w:pPr>
              <w:pStyle w:val="ExampleSubheading"/>
              <w:pBdr>
                <w:top w:val="none" w:sz="0" w:space="0" w:color="auto"/>
                <w:left w:val="none" w:sz="0" w:space="0" w:color="auto"/>
                <w:bottom w:val="none" w:sz="0" w:space="0" w:color="auto"/>
                <w:right w:val="none" w:sz="0" w:space="0" w:color="auto"/>
              </w:pBdr>
              <w:ind w:left="720"/>
              <w:outlineLvl w:val="0"/>
              <w:rPr>
                <w:i w:val="0"/>
                <w:color w:val="000000"/>
              </w:rPr>
            </w:pPr>
            <w:r w:rsidRPr="001D10EE">
              <w:rPr>
                <w:i w:val="0"/>
              </w:rPr>
              <w:t>Method 1: Determine Credit Volume based on Reducing Impervious Footprint</w:t>
            </w:r>
          </w:p>
        </w:tc>
      </w:tr>
      <w:tr w:rsidR="001D10EE" w:rsidRPr="00317359" w:rsidTr="001D10EE">
        <w:trPr>
          <w:gridAfter w:val="1"/>
          <w:wAfter w:w="6" w:type="pct"/>
          <w:trHeight w:val="330"/>
        </w:trPr>
        <w:tc>
          <w:tcPr>
            <w:tcW w:w="170" w:type="pct"/>
            <w:shd w:val="clear" w:color="auto" w:fill="auto"/>
            <w:noWrap/>
            <w:tcMar>
              <w:top w:w="36" w:type="dxa"/>
              <w:bottom w:w="36" w:type="dxa"/>
            </w:tcMar>
            <w:vAlign w:val="bottom"/>
            <w:hideMark/>
          </w:tcPr>
          <w:p w:rsidR="001D10EE" w:rsidRPr="001D10EE" w:rsidRDefault="001D10EE" w:rsidP="001D10EE">
            <w:pPr>
              <w:spacing w:after="0" w:line="240" w:lineRule="auto"/>
              <w:jc w:val="right"/>
              <w:rPr>
                <w:rFonts w:ascii="Arial" w:eastAsia="Times New Roman" w:hAnsi="Arial" w:cs="Arial"/>
                <w:color w:val="000000"/>
              </w:rPr>
            </w:pPr>
            <w:r w:rsidRPr="001D10EE">
              <w:rPr>
                <w:rFonts w:ascii="Arial" w:eastAsia="Times New Roman" w:hAnsi="Arial" w:cs="Arial"/>
                <w:color w:val="000000"/>
              </w:rPr>
              <w:t>1</w:t>
            </w:r>
          </w:p>
        </w:tc>
        <w:tc>
          <w:tcPr>
            <w:tcW w:w="2971" w:type="pct"/>
            <w:shd w:val="clear" w:color="auto" w:fill="auto"/>
            <w:tcMar>
              <w:top w:w="36" w:type="dxa"/>
              <w:bottom w:w="36" w:type="dxa"/>
            </w:tcMar>
            <w:vAlign w:val="center"/>
            <w:hideMark/>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 xml:space="preserve">Enter design capture storm depth from </w:t>
            </w:r>
            <w:fldSimple w:instr=" REF _Ref285354586 \h  \* MERGEFORMAT ">
              <w:r w:rsidR="00126DE5" w:rsidRPr="00126DE5">
                <w:rPr>
                  <w:rFonts w:cs="Arial"/>
                  <w:b/>
                  <w:color w:val="0070C0"/>
                  <w:sz w:val="20"/>
                </w:rPr>
                <w:t>Figure III.</w:t>
              </w:r>
              <w:r w:rsidR="00126DE5" w:rsidRPr="00126DE5">
                <w:rPr>
                  <w:rFonts w:cs="Arial"/>
                  <w:b/>
                  <w:noProof/>
                  <w:color w:val="0070C0"/>
                  <w:sz w:val="20"/>
                  <w:szCs w:val="20"/>
                </w:rPr>
                <w:t>1</w:t>
              </w:r>
            </w:fldSimple>
            <w:r w:rsidRPr="001D10EE">
              <w:rPr>
                <w:rFonts w:ascii="Arial" w:eastAsia="Times New Roman" w:hAnsi="Arial" w:cs="Arial"/>
                <w:sz w:val="20"/>
                <w:szCs w:val="20"/>
              </w:rPr>
              <w:t xml:space="preserve">, </w:t>
            </w:r>
            <w:r w:rsidRPr="001D10EE">
              <w:rPr>
                <w:rFonts w:ascii="Arial" w:eastAsia="Times New Roman" w:hAnsi="Arial" w:cs="Arial"/>
                <w:i/>
                <w:sz w:val="20"/>
                <w:szCs w:val="20"/>
              </w:rPr>
              <w:t xml:space="preserve">d </w:t>
            </w:r>
            <w:r w:rsidRPr="001D10EE">
              <w:rPr>
                <w:rFonts w:ascii="Arial" w:eastAsia="Times New Roman" w:hAnsi="Arial" w:cs="Arial"/>
                <w:sz w:val="20"/>
                <w:szCs w:val="20"/>
              </w:rPr>
              <w:t>(inches)</w:t>
            </w:r>
          </w:p>
        </w:tc>
        <w:tc>
          <w:tcPr>
            <w:tcW w:w="807" w:type="pct"/>
            <w:gridSpan w:val="3"/>
            <w:tcMar>
              <w:top w:w="36" w:type="dxa"/>
              <w:bottom w:w="36" w:type="dxa"/>
            </w:tcMar>
            <w:vAlign w:val="center"/>
          </w:tcPr>
          <w:p w:rsidR="001D10EE" w:rsidRPr="001D10EE" w:rsidRDefault="001D10EE" w:rsidP="001D10EE">
            <w:pPr>
              <w:spacing w:after="0" w:line="240" w:lineRule="auto"/>
              <w:jc w:val="right"/>
              <w:rPr>
                <w:rFonts w:ascii="Arial" w:eastAsia="Times New Roman" w:hAnsi="Arial" w:cs="Arial"/>
                <w:sz w:val="20"/>
                <w:szCs w:val="20"/>
              </w:rPr>
            </w:pPr>
            <w:r w:rsidRPr="001D10EE">
              <w:rPr>
                <w:rFonts w:ascii="Arial" w:eastAsia="Times New Roman" w:hAnsi="Arial" w:cs="Arial"/>
                <w:sz w:val="20"/>
                <w:szCs w:val="20"/>
              </w:rPr>
              <w:t>d=</w:t>
            </w:r>
          </w:p>
        </w:tc>
        <w:tc>
          <w:tcPr>
            <w:tcW w:w="451" w:type="pct"/>
            <w:tcMar>
              <w:top w:w="36" w:type="dxa"/>
              <w:bottom w:w="36" w:type="dxa"/>
            </w:tcMar>
            <w:vAlign w:val="center"/>
          </w:tcPr>
          <w:p w:rsidR="001D10EE" w:rsidRPr="001D10EE" w:rsidRDefault="001D10EE" w:rsidP="001D10EE">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inches</w:t>
            </w:r>
          </w:p>
        </w:tc>
      </w:tr>
      <w:tr w:rsidR="001D10EE" w:rsidRPr="00317359" w:rsidTr="001D10EE">
        <w:trPr>
          <w:gridAfter w:val="1"/>
          <w:wAfter w:w="6" w:type="pct"/>
          <w:trHeight w:val="330"/>
        </w:trPr>
        <w:tc>
          <w:tcPr>
            <w:tcW w:w="170" w:type="pct"/>
            <w:shd w:val="clear" w:color="auto" w:fill="auto"/>
            <w:noWrap/>
            <w:tcMar>
              <w:top w:w="36" w:type="dxa"/>
              <w:bottom w:w="36" w:type="dxa"/>
            </w:tcMar>
            <w:vAlign w:val="bottom"/>
            <w:hideMark/>
          </w:tcPr>
          <w:p w:rsidR="001D10EE" w:rsidRPr="001D10EE" w:rsidRDefault="001D10EE" w:rsidP="001D10EE">
            <w:pPr>
              <w:spacing w:after="0" w:line="240" w:lineRule="auto"/>
              <w:jc w:val="right"/>
              <w:rPr>
                <w:rFonts w:ascii="Arial" w:eastAsia="Times New Roman" w:hAnsi="Arial" w:cs="Arial"/>
                <w:color w:val="000000"/>
              </w:rPr>
            </w:pPr>
            <w:r w:rsidRPr="001D10EE">
              <w:rPr>
                <w:rFonts w:ascii="Arial" w:eastAsia="Times New Roman" w:hAnsi="Arial" w:cs="Arial"/>
                <w:color w:val="000000"/>
              </w:rPr>
              <w:t>2</w:t>
            </w:r>
          </w:p>
        </w:tc>
        <w:tc>
          <w:tcPr>
            <w:tcW w:w="2971" w:type="pct"/>
            <w:shd w:val="clear" w:color="auto" w:fill="auto"/>
            <w:tcMar>
              <w:top w:w="36" w:type="dxa"/>
              <w:bottom w:w="36" w:type="dxa"/>
            </w:tcMar>
            <w:vAlign w:val="center"/>
            <w:hideMark/>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Using d, calculate</w:t>
            </w:r>
            <w:r w:rsidRPr="001D10EE">
              <w:rPr>
                <w:rFonts w:ascii="Arial" w:hAnsi="Arial" w:cs="Arial"/>
                <w:sz w:val="20"/>
                <w:szCs w:val="20"/>
              </w:rPr>
              <w:t xml:space="preserve"> the </w:t>
            </w:r>
            <w:r w:rsidR="003C7091">
              <w:rPr>
                <w:rFonts w:ascii="Arial" w:hAnsi="Arial" w:cs="Arial"/>
                <w:sz w:val="20"/>
                <w:szCs w:val="20"/>
              </w:rPr>
              <w:t>DCV</w:t>
            </w:r>
            <w:r w:rsidRPr="001D10EE">
              <w:rPr>
                <w:rFonts w:ascii="Arial" w:hAnsi="Arial" w:cs="Arial"/>
                <w:sz w:val="20"/>
                <w:szCs w:val="20"/>
              </w:rPr>
              <w:t xml:space="preserve"> using the pre-project imperviousness and the methods described in </w:t>
            </w:r>
            <w:fldSimple w:instr=" REF _Ref287976607 \r \h  \* MERGEFORMAT ">
              <w:r w:rsidR="00126DE5" w:rsidRPr="00126DE5">
                <w:rPr>
                  <w:rFonts w:eastAsia="Times New Roman" w:cs="Arial"/>
                  <w:b/>
                  <w:color w:val="0070C0"/>
                  <w:sz w:val="20"/>
                  <w:szCs w:val="20"/>
                </w:rPr>
                <w:t>Appendix III</w:t>
              </w:r>
            </w:fldSimple>
            <w:r w:rsidRPr="001D10EE">
              <w:rPr>
                <w:rFonts w:ascii="Arial" w:hAnsi="Arial" w:cs="Arial"/>
                <w:sz w:val="20"/>
                <w:szCs w:val="20"/>
              </w:rPr>
              <w:t xml:space="preserve">, </w:t>
            </w:r>
            <w:proofErr w:type="spellStart"/>
            <w:r w:rsidRPr="001D10EE">
              <w:rPr>
                <w:rFonts w:ascii="Arial" w:hAnsi="Arial" w:cs="Arial"/>
                <w:i/>
                <w:sz w:val="20"/>
                <w:szCs w:val="20"/>
              </w:rPr>
              <w:t>DCV</w:t>
            </w:r>
            <w:r w:rsidRPr="001D10EE">
              <w:rPr>
                <w:rFonts w:ascii="Arial" w:hAnsi="Arial" w:cs="Arial"/>
                <w:i/>
                <w:sz w:val="20"/>
                <w:szCs w:val="20"/>
                <w:vertAlign w:val="subscript"/>
              </w:rPr>
              <w:t>pre</w:t>
            </w:r>
            <w:proofErr w:type="spellEnd"/>
            <w:r w:rsidRPr="001D10EE">
              <w:rPr>
                <w:rFonts w:ascii="Arial" w:hAnsi="Arial" w:cs="Arial"/>
                <w:sz w:val="20"/>
                <w:szCs w:val="20"/>
              </w:rPr>
              <w:t xml:space="preserve"> (cu-ft). </w:t>
            </w:r>
          </w:p>
        </w:tc>
        <w:tc>
          <w:tcPr>
            <w:tcW w:w="807" w:type="pct"/>
            <w:gridSpan w:val="3"/>
            <w:tcMar>
              <w:top w:w="36" w:type="dxa"/>
              <w:bottom w:w="36" w:type="dxa"/>
            </w:tcMar>
            <w:vAlign w:val="center"/>
          </w:tcPr>
          <w:p w:rsidR="001D10EE" w:rsidRPr="001D10EE" w:rsidRDefault="001D10EE" w:rsidP="001D10EE">
            <w:pPr>
              <w:spacing w:after="0" w:line="240" w:lineRule="auto"/>
              <w:jc w:val="right"/>
              <w:rPr>
                <w:rFonts w:ascii="Arial" w:eastAsia="Times New Roman" w:hAnsi="Arial" w:cs="Arial"/>
                <w:sz w:val="20"/>
                <w:szCs w:val="20"/>
              </w:rPr>
            </w:pPr>
            <w:proofErr w:type="spellStart"/>
            <w:r w:rsidRPr="001D10EE">
              <w:rPr>
                <w:rFonts w:ascii="Arial" w:eastAsia="Times New Roman" w:hAnsi="Arial" w:cs="Arial"/>
                <w:sz w:val="20"/>
                <w:szCs w:val="20"/>
              </w:rPr>
              <w:t>DCV</w:t>
            </w:r>
            <w:r w:rsidRPr="001D10EE">
              <w:rPr>
                <w:rFonts w:ascii="Arial" w:eastAsia="Times New Roman" w:hAnsi="Arial" w:cs="Arial"/>
                <w:sz w:val="20"/>
                <w:szCs w:val="20"/>
                <w:vertAlign w:val="subscript"/>
              </w:rPr>
              <w:t>pre</w:t>
            </w:r>
            <w:proofErr w:type="spellEnd"/>
            <w:r w:rsidRPr="001D10EE">
              <w:rPr>
                <w:rFonts w:ascii="Arial" w:eastAsia="Times New Roman" w:hAnsi="Arial" w:cs="Arial"/>
                <w:sz w:val="20"/>
                <w:szCs w:val="20"/>
              </w:rPr>
              <w:t>=</w:t>
            </w:r>
          </w:p>
        </w:tc>
        <w:tc>
          <w:tcPr>
            <w:tcW w:w="451" w:type="pct"/>
            <w:tcMar>
              <w:top w:w="36" w:type="dxa"/>
              <w:bottom w:w="36" w:type="dxa"/>
            </w:tcMar>
            <w:vAlign w:val="center"/>
          </w:tcPr>
          <w:p w:rsidR="001D10EE" w:rsidRPr="001D10EE" w:rsidRDefault="001D10EE" w:rsidP="001D10EE">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cu-ft</w:t>
            </w:r>
          </w:p>
        </w:tc>
      </w:tr>
      <w:tr w:rsidR="001D10EE" w:rsidRPr="00317359" w:rsidTr="001D10EE">
        <w:trPr>
          <w:gridAfter w:val="1"/>
          <w:wAfter w:w="6" w:type="pct"/>
          <w:trHeight w:val="330"/>
        </w:trPr>
        <w:tc>
          <w:tcPr>
            <w:tcW w:w="170" w:type="pct"/>
            <w:shd w:val="clear" w:color="auto" w:fill="auto"/>
            <w:noWrap/>
            <w:tcMar>
              <w:top w:w="36" w:type="dxa"/>
              <w:bottom w:w="36" w:type="dxa"/>
            </w:tcMar>
            <w:vAlign w:val="bottom"/>
            <w:hideMark/>
          </w:tcPr>
          <w:p w:rsidR="001D10EE" w:rsidRPr="001D10EE" w:rsidRDefault="001D10EE" w:rsidP="001D10EE">
            <w:pPr>
              <w:jc w:val="right"/>
              <w:rPr>
                <w:rFonts w:ascii="Arial" w:hAnsi="Arial" w:cs="Arial"/>
                <w:color w:val="000000"/>
              </w:rPr>
            </w:pPr>
            <w:r w:rsidRPr="001D10EE">
              <w:rPr>
                <w:rFonts w:ascii="Arial" w:hAnsi="Arial" w:cs="Arial"/>
                <w:color w:val="000000"/>
              </w:rPr>
              <w:t>3</w:t>
            </w:r>
          </w:p>
        </w:tc>
        <w:tc>
          <w:tcPr>
            <w:tcW w:w="2971" w:type="pct"/>
            <w:shd w:val="clear" w:color="auto" w:fill="auto"/>
            <w:tcMar>
              <w:top w:w="36" w:type="dxa"/>
              <w:left w:w="115" w:type="dxa"/>
              <w:bottom w:w="36" w:type="dxa"/>
              <w:right w:w="115" w:type="dxa"/>
            </w:tcMar>
            <w:vAlign w:val="center"/>
            <w:hideMark/>
          </w:tcPr>
          <w:p w:rsidR="001D10EE" w:rsidRPr="001D10EE" w:rsidRDefault="001D10EE" w:rsidP="001D10EE">
            <w:pPr>
              <w:spacing w:after="0"/>
              <w:rPr>
                <w:rFonts w:ascii="Arial" w:hAnsi="Arial" w:cs="Arial"/>
                <w:color w:val="000000"/>
              </w:rPr>
            </w:pPr>
            <w:r w:rsidRPr="001D10EE">
              <w:rPr>
                <w:rFonts w:ascii="Arial" w:eastAsia="Times New Roman" w:hAnsi="Arial" w:cs="Arial"/>
                <w:sz w:val="20"/>
                <w:szCs w:val="20"/>
              </w:rPr>
              <w:t>Using d, calculate</w:t>
            </w:r>
            <w:r w:rsidRPr="001D10EE">
              <w:rPr>
                <w:rFonts w:ascii="Arial" w:hAnsi="Arial" w:cs="Arial"/>
                <w:sz w:val="20"/>
                <w:szCs w:val="20"/>
              </w:rPr>
              <w:t xml:space="preserve"> the </w:t>
            </w:r>
            <w:r w:rsidR="003C7091">
              <w:rPr>
                <w:rFonts w:ascii="Arial" w:hAnsi="Arial" w:cs="Arial"/>
                <w:sz w:val="20"/>
                <w:szCs w:val="20"/>
              </w:rPr>
              <w:t>DCV</w:t>
            </w:r>
            <w:r w:rsidRPr="001D10EE">
              <w:rPr>
                <w:rFonts w:ascii="Arial" w:hAnsi="Arial" w:cs="Arial"/>
                <w:sz w:val="20"/>
                <w:szCs w:val="20"/>
              </w:rPr>
              <w:t xml:space="preserve"> using the proposed imperviousness and the methods described in </w:t>
            </w:r>
            <w:fldSimple w:instr=" REF _Ref287976607 \r \h  \* MERGEFORMAT ">
              <w:r w:rsidR="00126DE5" w:rsidRPr="00126DE5">
                <w:rPr>
                  <w:rFonts w:eastAsia="Times New Roman" w:cs="Arial"/>
                  <w:b/>
                  <w:color w:val="0070C0"/>
                  <w:sz w:val="20"/>
                  <w:szCs w:val="20"/>
                </w:rPr>
                <w:t>Appendix III</w:t>
              </w:r>
            </w:fldSimple>
            <w:r w:rsidRPr="001D10EE">
              <w:rPr>
                <w:rFonts w:ascii="Arial" w:hAnsi="Arial" w:cs="Arial"/>
                <w:sz w:val="20"/>
                <w:szCs w:val="20"/>
              </w:rPr>
              <w:t xml:space="preserve">, </w:t>
            </w:r>
            <w:proofErr w:type="spellStart"/>
            <w:r w:rsidRPr="001D10EE">
              <w:rPr>
                <w:rFonts w:ascii="Arial" w:hAnsi="Arial" w:cs="Arial"/>
                <w:i/>
                <w:sz w:val="20"/>
                <w:szCs w:val="20"/>
              </w:rPr>
              <w:t>DCV</w:t>
            </w:r>
            <w:r w:rsidRPr="001D10EE">
              <w:rPr>
                <w:rFonts w:ascii="Arial" w:hAnsi="Arial" w:cs="Arial"/>
                <w:i/>
                <w:sz w:val="20"/>
                <w:szCs w:val="20"/>
                <w:vertAlign w:val="subscript"/>
              </w:rPr>
              <w:t>post</w:t>
            </w:r>
            <w:proofErr w:type="spellEnd"/>
            <w:r w:rsidRPr="001D10EE">
              <w:rPr>
                <w:rFonts w:ascii="Arial" w:hAnsi="Arial" w:cs="Arial"/>
                <w:i/>
                <w:sz w:val="20"/>
                <w:szCs w:val="20"/>
                <w:vertAlign w:val="subscript"/>
              </w:rPr>
              <w:t xml:space="preserve"> </w:t>
            </w:r>
            <w:r w:rsidRPr="001D10EE">
              <w:rPr>
                <w:rFonts w:ascii="Arial" w:hAnsi="Arial" w:cs="Arial"/>
                <w:sz w:val="20"/>
                <w:szCs w:val="20"/>
              </w:rPr>
              <w:t>(cu-ft).</w:t>
            </w:r>
          </w:p>
        </w:tc>
        <w:tc>
          <w:tcPr>
            <w:tcW w:w="807" w:type="pct"/>
            <w:gridSpan w:val="3"/>
            <w:tcMar>
              <w:top w:w="36" w:type="dxa"/>
              <w:bottom w:w="36" w:type="dxa"/>
            </w:tcMar>
            <w:vAlign w:val="center"/>
          </w:tcPr>
          <w:p w:rsidR="001D10EE" w:rsidRPr="001D10EE" w:rsidRDefault="001D10EE" w:rsidP="001D10EE">
            <w:pPr>
              <w:spacing w:after="0" w:line="240" w:lineRule="auto"/>
              <w:jc w:val="right"/>
              <w:rPr>
                <w:rFonts w:ascii="Arial" w:eastAsia="Times New Roman" w:hAnsi="Arial" w:cs="Arial"/>
                <w:sz w:val="20"/>
                <w:szCs w:val="20"/>
              </w:rPr>
            </w:pPr>
            <w:proofErr w:type="spellStart"/>
            <w:r w:rsidRPr="001D10EE">
              <w:rPr>
                <w:rFonts w:ascii="Arial" w:eastAsia="Times New Roman" w:hAnsi="Arial" w:cs="Arial"/>
                <w:sz w:val="20"/>
                <w:szCs w:val="20"/>
              </w:rPr>
              <w:t>DCV</w:t>
            </w:r>
            <w:r w:rsidRPr="001D10EE">
              <w:rPr>
                <w:rFonts w:ascii="Arial" w:eastAsia="Times New Roman" w:hAnsi="Arial" w:cs="Arial"/>
                <w:sz w:val="20"/>
                <w:szCs w:val="20"/>
                <w:vertAlign w:val="subscript"/>
              </w:rPr>
              <w:t>post</w:t>
            </w:r>
            <w:proofErr w:type="spellEnd"/>
            <w:r w:rsidRPr="001D10EE">
              <w:rPr>
                <w:rFonts w:ascii="Arial" w:eastAsia="Times New Roman" w:hAnsi="Arial" w:cs="Arial"/>
                <w:sz w:val="20"/>
                <w:szCs w:val="20"/>
              </w:rPr>
              <w:t>=</w:t>
            </w:r>
          </w:p>
        </w:tc>
        <w:tc>
          <w:tcPr>
            <w:tcW w:w="451" w:type="pct"/>
            <w:tcMar>
              <w:top w:w="36" w:type="dxa"/>
              <w:bottom w:w="36" w:type="dxa"/>
            </w:tcMar>
            <w:vAlign w:val="center"/>
          </w:tcPr>
          <w:p w:rsidR="001D10EE" w:rsidRPr="001D10EE" w:rsidRDefault="001D10EE" w:rsidP="001D10EE">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cu-ft</w:t>
            </w:r>
          </w:p>
        </w:tc>
      </w:tr>
      <w:tr w:rsidR="001D10EE" w:rsidRPr="00317359" w:rsidTr="001D10EE">
        <w:trPr>
          <w:gridAfter w:val="1"/>
          <w:wAfter w:w="6" w:type="pct"/>
          <w:trHeight w:val="330"/>
        </w:trPr>
        <w:tc>
          <w:tcPr>
            <w:tcW w:w="170" w:type="pct"/>
            <w:shd w:val="clear" w:color="auto" w:fill="auto"/>
            <w:noWrap/>
            <w:tcMar>
              <w:top w:w="36" w:type="dxa"/>
              <w:bottom w:w="36" w:type="dxa"/>
            </w:tcMar>
            <w:vAlign w:val="bottom"/>
            <w:hideMark/>
          </w:tcPr>
          <w:p w:rsidR="001D10EE" w:rsidRPr="001D10EE" w:rsidRDefault="001D10EE" w:rsidP="001D10EE">
            <w:pPr>
              <w:spacing w:after="0" w:line="240" w:lineRule="auto"/>
              <w:jc w:val="right"/>
              <w:rPr>
                <w:rFonts w:ascii="Arial" w:eastAsia="Times New Roman" w:hAnsi="Arial" w:cs="Arial"/>
                <w:color w:val="000000"/>
              </w:rPr>
            </w:pPr>
            <w:r w:rsidRPr="001D10EE">
              <w:rPr>
                <w:rFonts w:ascii="Arial" w:eastAsia="Times New Roman" w:hAnsi="Arial" w:cs="Arial"/>
                <w:color w:val="000000"/>
              </w:rPr>
              <w:t>4</w:t>
            </w:r>
          </w:p>
        </w:tc>
        <w:tc>
          <w:tcPr>
            <w:tcW w:w="2971" w:type="pct"/>
            <w:shd w:val="clear" w:color="auto" w:fill="auto"/>
            <w:tcMar>
              <w:top w:w="36" w:type="dxa"/>
              <w:bottom w:w="36" w:type="dxa"/>
            </w:tcMar>
            <w:vAlign w:val="center"/>
            <w:hideMark/>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 xml:space="preserve">Calculate the </w:t>
            </w:r>
            <w:r w:rsidRPr="001D10EE">
              <w:rPr>
                <w:rFonts w:ascii="Arial" w:eastAsia="Times New Roman" w:hAnsi="Arial" w:cs="Arial"/>
                <w:i/>
                <w:sz w:val="20"/>
                <w:szCs w:val="20"/>
              </w:rPr>
              <w:t>Credit Volume</w:t>
            </w:r>
            <w:r w:rsidRPr="001D10EE">
              <w:rPr>
                <w:rFonts w:ascii="Arial" w:eastAsia="Times New Roman" w:hAnsi="Arial" w:cs="Arial"/>
                <w:sz w:val="20"/>
                <w:szCs w:val="20"/>
              </w:rPr>
              <w:t xml:space="preserve"> = </w:t>
            </w:r>
            <w:proofErr w:type="spellStart"/>
            <w:r w:rsidRPr="001D10EE">
              <w:rPr>
                <w:rFonts w:ascii="Arial" w:hAnsi="Arial" w:cs="Arial"/>
                <w:i/>
                <w:sz w:val="20"/>
                <w:szCs w:val="20"/>
              </w:rPr>
              <w:t>DCV</w:t>
            </w:r>
            <w:r w:rsidRPr="001D10EE">
              <w:rPr>
                <w:rFonts w:ascii="Arial" w:hAnsi="Arial" w:cs="Arial"/>
                <w:i/>
                <w:sz w:val="20"/>
                <w:szCs w:val="20"/>
                <w:vertAlign w:val="subscript"/>
              </w:rPr>
              <w:t>pre</w:t>
            </w:r>
            <w:proofErr w:type="spellEnd"/>
            <w:r w:rsidRPr="001D10EE">
              <w:rPr>
                <w:rFonts w:ascii="Arial" w:hAnsi="Arial" w:cs="Arial"/>
                <w:i/>
                <w:sz w:val="20"/>
                <w:szCs w:val="20"/>
              </w:rPr>
              <w:t xml:space="preserve"> - </w:t>
            </w:r>
            <w:proofErr w:type="spellStart"/>
            <w:r w:rsidRPr="001D10EE">
              <w:rPr>
                <w:rFonts w:ascii="Arial" w:hAnsi="Arial" w:cs="Arial"/>
                <w:i/>
                <w:sz w:val="20"/>
                <w:szCs w:val="20"/>
              </w:rPr>
              <w:t>DCV</w:t>
            </w:r>
            <w:r w:rsidRPr="001D10EE">
              <w:rPr>
                <w:rFonts w:ascii="Arial" w:hAnsi="Arial" w:cs="Arial"/>
                <w:i/>
                <w:sz w:val="20"/>
                <w:szCs w:val="20"/>
                <w:vertAlign w:val="subscript"/>
              </w:rPr>
              <w:t>post</w:t>
            </w:r>
            <w:proofErr w:type="spellEnd"/>
            <w:r w:rsidRPr="001D10EE">
              <w:rPr>
                <w:rFonts w:ascii="Arial" w:hAnsi="Arial" w:cs="Arial"/>
                <w:i/>
                <w:sz w:val="20"/>
                <w:szCs w:val="20"/>
              </w:rPr>
              <w:t xml:space="preserve"> </w:t>
            </w:r>
            <w:r w:rsidRPr="001D10EE">
              <w:rPr>
                <w:rFonts w:ascii="Arial" w:hAnsi="Arial" w:cs="Arial"/>
                <w:sz w:val="20"/>
                <w:szCs w:val="20"/>
              </w:rPr>
              <w:t>(cu-ft).</w:t>
            </w:r>
          </w:p>
        </w:tc>
        <w:tc>
          <w:tcPr>
            <w:tcW w:w="807" w:type="pct"/>
            <w:gridSpan w:val="3"/>
            <w:tcMar>
              <w:top w:w="36" w:type="dxa"/>
              <w:bottom w:w="36" w:type="dxa"/>
            </w:tcMar>
            <w:vAlign w:val="center"/>
          </w:tcPr>
          <w:p w:rsidR="001D10EE" w:rsidRPr="001D10EE" w:rsidRDefault="001D10EE" w:rsidP="001D10EE">
            <w:pPr>
              <w:spacing w:after="0" w:line="240" w:lineRule="auto"/>
              <w:jc w:val="right"/>
              <w:rPr>
                <w:rFonts w:ascii="Arial" w:eastAsia="Times New Roman" w:hAnsi="Arial" w:cs="Arial"/>
                <w:sz w:val="20"/>
                <w:szCs w:val="20"/>
              </w:rPr>
            </w:pPr>
            <w:r w:rsidRPr="001D10EE">
              <w:rPr>
                <w:rFonts w:ascii="Arial" w:eastAsia="Times New Roman" w:hAnsi="Arial" w:cs="Arial"/>
                <w:sz w:val="20"/>
                <w:szCs w:val="20"/>
              </w:rPr>
              <w:t>Credit Volume=</w:t>
            </w:r>
          </w:p>
        </w:tc>
        <w:tc>
          <w:tcPr>
            <w:tcW w:w="451" w:type="pct"/>
            <w:tcMar>
              <w:top w:w="36" w:type="dxa"/>
              <w:bottom w:w="36" w:type="dxa"/>
            </w:tcMar>
            <w:vAlign w:val="center"/>
          </w:tcPr>
          <w:p w:rsidR="001D10EE" w:rsidRPr="001D10EE" w:rsidRDefault="001D10EE" w:rsidP="001D10EE">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cu-ft</w:t>
            </w:r>
          </w:p>
        </w:tc>
      </w:tr>
      <w:tr w:rsidR="001D10EE" w:rsidRPr="00317359" w:rsidTr="001D10EE">
        <w:trPr>
          <w:trHeight w:val="330"/>
        </w:trPr>
        <w:tc>
          <w:tcPr>
            <w:tcW w:w="5000" w:type="pct"/>
            <w:gridSpan w:val="8"/>
            <w:shd w:val="clear" w:color="auto" w:fill="D9D9D9"/>
            <w:noWrap/>
            <w:tcMar>
              <w:top w:w="36" w:type="dxa"/>
              <w:bottom w:w="36" w:type="dxa"/>
            </w:tcMar>
            <w:vAlign w:val="center"/>
            <w:hideMark/>
          </w:tcPr>
          <w:p w:rsidR="001D10EE" w:rsidRPr="001D10EE" w:rsidRDefault="001D10EE" w:rsidP="001D10EE">
            <w:pPr>
              <w:pStyle w:val="ExampleSubheading"/>
              <w:pBdr>
                <w:top w:val="none" w:sz="0" w:space="0" w:color="auto"/>
                <w:left w:val="none" w:sz="0" w:space="0" w:color="auto"/>
                <w:bottom w:val="none" w:sz="0" w:space="0" w:color="auto"/>
                <w:right w:val="none" w:sz="0" w:space="0" w:color="auto"/>
              </w:pBdr>
              <w:ind w:left="720"/>
              <w:outlineLvl w:val="0"/>
              <w:rPr>
                <w:i w:val="0"/>
                <w:color w:val="000000"/>
              </w:rPr>
            </w:pPr>
            <w:r w:rsidRPr="001D10EE">
              <w:rPr>
                <w:i w:val="0"/>
              </w:rPr>
              <w:t>Method 2: Determine Credit Volume based on Project Type and Density</w:t>
            </w:r>
          </w:p>
        </w:tc>
      </w:tr>
      <w:tr w:rsidR="001D10EE" w:rsidRPr="00317359" w:rsidTr="001D10EE">
        <w:trPr>
          <w:gridAfter w:val="1"/>
          <w:wAfter w:w="6" w:type="pct"/>
          <w:trHeight w:val="330"/>
        </w:trPr>
        <w:tc>
          <w:tcPr>
            <w:tcW w:w="170" w:type="pct"/>
            <w:shd w:val="clear" w:color="auto" w:fill="auto"/>
            <w:noWrap/>
            <w:tcMar>
              <w:top w:w="36" w:type="dxa"/>
              <w:bottom w:w="36" w:type="dxa"/>
            </w:tcMar>
            <w:vAlign w:val="bottom"/>
            <w:hideMark/>
          </w:tcPr>
          <w:p w:rsidR="001D10EE" w:rsidRPr="001D10EE" w:rsidRDefault="001D10EE" w:rsidP="001D10EE">
            <w:pPr>
              <w:spacing w:after="0" w:line="240" w:lineRule="auto"/>
              <w:jc w:val="right"/>
              <w:rPr>
                <w:rFonts w:ascii="Arial" w:eastAsia="Times New Roman" w:hAnsi="Arial" w:cs="Arial"/>
                <w:color w:val="000000"/>
              </w:rPr>
            </w:pPr>
            <w:r w:rsidRPr="001D10EE">
              <w:rPr>
                <w:rFonts w:ascii="Arial" w:eastAsia="Times New Roman" w:hAnsi="Arial" w:cs="Arial"/>
                <w:color w:val="000000"/>
              </w:rPr>
              <w:t>1</w:t>
            </w:r>
          </w:p>
        </w:tc>
        <w:tc>
          <w:tcPr>
            <w:tcW w:w="2971" w:type="pct"/>
            <w:shd w:val="clear" w:color="auto" w:fill="auto"/>
            <w:tcMar>
              <w:top w:w="36" w:type="dxa"/>
              <w:bottom w:w="36" w:type="dxa"/>
            </w:tcMar>
            <w:vAlign w:val="center"/>
            <w:hideMark/>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 xml:space="preserve">Determine the sum of the Credit Percentages applicable to the Project, </w:t>
            </w:r>
            <w:r w:rsidRPr="001D10EE">
              <w:rPr>
                <w:rFonts w:ascii="Arial" w:hAnsi="Arial" w:cs="Arial"/>
                <w:i/>
                <w:sz w:val="20"/>
                <w:szCs w:val="20"/>
              </w:rPr>
              <w:t xml:space="preserve">∑Credit Percentages </w:t>
            </w:r>
            <w:r w:rsidRPr="001D10EE">
              <w:rPr>
                <w:rFonts w:ascii="Arial" w:hAnsi="Arial" w:cs="Arial"/>
                <w:sz w:val="20"/>
                <w:szCs w:val="20"/>
              </w:rPr>
              <w:t>(%). (</w:t>
            </w:r>
            <w:r w:rsidRPr="001063F7">
              <w:rPr>
                <w:rFonts w:ascii="Arial" w:hAnsi="Arial" w:cs="Arial"/>
                <w:sz w:val="20"/>
                <w:szCs w:val="20"/>
              </w:rPr>
              <w:t xml:space="preserve">See </w:t>
            </w:r>
            <w:r w:rsidRPr="001063F7">
              <w:rPr>
                <w:rFonts w:ascii="Arial" w:hAnsi="Arial" w:cs="Arial"/>
                <w:b/>
                <w:sz w:val="20"/>
                <w:szCs w:val="20"/>
                <w:highlight w:val="cyan"/>
              </w:rPr>
              <w:t>Section 2.4 of the WQMP</w:t>
            </w:r>
            <w:r w:rsidRPr="001D10EE">
              <w:rPr>
                <w:rFonts w:ascii="Arial" w:hAnsi="Arial" w:cs="Arial"/>
                <w:sz w:val="20"/>
                <w:szCs w:val="20"/>
              </w:rPr>
              <w:t>)</w:t>
            </w:r>
          </w:p>
        </w:tc>
        <w:tc>
          <w:tcPr>
            <w:tcW w:w="807" w:type="pct"/>
            <w:gridSpan w:val="3"/>
            <w:tcMar>
              <w:top w:w="36" w:type="dxa"/>
              <w:bottom w:w="36" w:type="dxa"/>
            </w:tcMar>
            <w:vAlign w:val="center"/>
          </w:tcPr>
          <w:p w:rsidR="001D10EE" w:rsidRPr="001D10EE" w:rsidRDefault="001D10EE" w:rsidP="001D10EE">
            <w:pPr>
              <w:spacing w:after="0" w:line="240" w:lineRule="auto"/>
              <w:jc w:val="right"/>
              <w:rPr>
                <w:rFonts w:ascii="Arial" w:eastAsia="Times New Roman" w:hAnsi="Arial" w:cs="Arial"/>
                <w:sz w:val="20"/>
                <w:szCs w:val="20"/>
              </w:rPr>
            </w:pPr>
            <w:r w:rsidRPr="001D10EE">
              <w:rPr>
                <w:rFonts w:ascii="Arial" w:hAnsi="Arial" w:cs="Arial"/>
                <w:i/>
                <w:sz w:val="20"/>
                <w:szCs w:val="20"/>
              </w:rPr>
              <w:t xml:space="preserve">∑Credit Percentages </w:t>
            </w:r>
            <w:r w:rsidRPr="001D10EE">
              <w:rPr>
                <w:rFonts w:ascii="Arial" w:eastAsia="Times New Roman" w:hAnsi="Arial" w:cs="Arial"/>
                <w:sz w:val="20"/>
                <w:szCs w:val="20"/>
              </w:rPr>
              <w:t>=</w:t>
            </w:r>
          </w:p>
        </w:tc>
        <w:tc>
          <w:tcPr>
            <w:tcW w:w="451" w:type="pct"/>
            <w:tcMar>
              <w:top w:w="36" w:type="dxa"/>
              <w:bottom w:w="36" w:type="dxa"/>
            </w:tcMar>
          </w:tcPr>
          <w:p w:rsidR="001D10EE" w:rsidRPr="001D10EE" w:rsidRDefault="001D10EE" w:rsidP="001D10EE">
            <w:pPr>
              <w:spacing w:after="0" w:line="240" w:lineRule="auto"/>
              <w:ind w:firstLineChars="500" w:firstLine="1100"/>
              <w:rPr>
                <w:rFonts w:ascii="Arial" w:eastAsia="Times New Roman" w:hAnsi="Arial" w:cs="Arial"/>
                <w:color w:val="000000"/>
              </w:rPr>
            </w:pPr>
          </w:p>
        </w:tc>
        <w:tc>
          <w:tcPr>
            <w:tcW w:w="595" w:type="pct"/>
            <w:tcMar>
              <w:top w:w="36" w:type="dxa"/>
              <w:bottom w:w="36" w:type="dxa"/>
            </w:tcMar>
            <w:vAlign w:val="center"/>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w:t>
            </w:r>
          </w:p>
        </w:tc>
      </w:tr>
      <w:tr w:rsidR="001D10EE" w:rsidRPr="00317359" w:rsidTr="001D10EE">
        <w:trPr>
          <w:gridAfter w:val="1"/>
          <w:wAfter w:w="6" w:type="pct"/>
          <w:trHeight w:val="330"/>
        </w:trPr>
        <w:tc>
          <w:tcPr>
            <w:tcW w:w="170" w:type="pct"/>
            <w:shd w:val="clear" w:color="auto" w:fill="auto"/>
            <w:noWrap/>
            <w:tcMar>
              <w:top w:w="36" w:type="dxa"/>
              <w:bottom w:w="36" w:type="dxa"/>
            </w:tcMar>
            <w:vAlign w:val="bottom"/>
            <w:hideMark/>
          </w:tcPr>
          <w:p w:rsidR="001D10EE" w:rsidRPr="001D10EE" w:rsidRDefault="001D10EE" w:rsidP="001D10EE">
            <w:pPr>
              <w:spacing w:after="0" w:line="240" w:lineRule="auto"/>
              <w:jc w:val="right"/>
              <w:rPr>
                <w:rFonts w:ascii="Arial" w:eastAsia="Times New Roman" w:hAnsi="Arial" w:cs="Arial"/>
                <w:color w:val="000000"/>
              </w:rPr>
            </w:pPr>
            <w:r w:rsidRPr="001D10EE">
              <w:rPr>
                <w:rFonts w:ascii="Arial" w:eastAsia="Times New Roman" w:hAnsi="Arial" w:cs="Arial"/>
                <w:color w:val="000000"/>
              </w:rPr>
              <w:t>2</w:t>
            </w:r>
          </w:p>
        </w:tc>
        <w:tc>
          <w:tcPr>
            <w:tcW w:w="2971" w:type="pct"/>
            <w:shd w:val="clear" w:color="auto" w:fill="auto"/>
            <w:tcMar>
              <w:top w:w="36" w:type="dxa"/>
              <w:bottom w:w="36" w:type="dxa"/>
            </w:tcMar>
            <w:vAlign w:val="center"/>
            <w:hideMark/>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 xml:space="preserve">Enter design capture storm depth from </w:t>
            </w:r>
            <w:fldSimple w:instr=" REF _Ref285354586 \h  \* MERGEFORMAT ">
              <w:r w:rsidR="00126DE5" w:rsidRPr="00126DE5">
                <w:rPr>
                  <w:rFonts w:cs="Arial"/>
                  <w:b/>
                  <w:color w:val="0070C0"/>
                  <w:sz w:val="20"/>
                </w:rPr>
                <w:t>Figure III.</w:t>
              </w:r>
              <w:r w:rsidR="00126DE5" w:rsidRPr="00126DE5">
                <w:rPr>
                  <w:rFonts w:cs="Arial"/>
                  <w:b/>
                  <w:noProof/>
                  <w:color w:val="0070C0"/>
                  <w:sz w:val="20"/>
                  <w:szCs w:val="20"/>
                </w:rPr>
                <w:t>1</w:t>
              </w:r>
            </w:fldSimple>
            <w:r w:rsidRPr="001D10EE">
              <w:rPr>
                <w:rFonts w:ascii="Arial" w:eastAsia="Times New Roman" w:hAnsi="Arial" w:cs="Arial"/>
                <w:sz w:val="20"/>
                <w:szCs w:val="20"/>
              </w:rPr>
              <w:t xml:space="preserve">, </w:t>
            </w:r>
            <w:r w:rsidRPr="001D10EE">
              <w:rPr>
                <w:rFonts w:ascii="Arial" w:eastAsia="Times New Roman" w:hAnsi="Arial" w:cs="Arial"/>
                <w:i/>
                <w:sz w:val="20"/>
                <w:szCs w:val="20"/>
              </w:rPr>
              <w:t xml:space="preserve">d </w:t>
            </w:r>
            <w:r w:rsidRPr="001D10EE">
              <w:rPr>
                <w:rFonts w:ascii="Arial" w:eastAsia="Times New Roman" w:hAnsi="Arial" w:cs="Arial"/>
                <w:sz w:val="20"/>
                <w:szCs w:val="20"/>
              </w:rPr>
              <w:t>(inches)</w:t>
            </w:r>
          </w:p>
        </w:tc>
        <w:tc>
          <w:tcPr>
            <w:tcW w:w="807" w:type="pct"/>
            <w:gridSpan w:val="3"/>
            <w:tcMar>
              <w:top w:w="36" w:type="dxa"/>
              <w:bottom w:w="36" w:type="dxa"/>
            </w:tcMar>
            <w:vAlign w:val="center"/>
          </w:tcPr>
          <w:p w:rsidR="001D10EE" w:rsidRPr="001D10EE" w:rsidRDefault="001D10EE" w:rsidP="001D10EE">
            <w:pPr>
              <w:spacing w:after="0" w:line="240" w:lineRule="auto"/>
              <w:jc w:val="right"/>
              <w:rPr>
                <w:rFonts w:ascii="Arial" w:eastAsia="Times New Roman" w:hAnsi="Arial" w:cs="Arial"/>
                <w:sz w:val="20"/>
                <w:szCs w:val="20"/>
              </w:rPr>
            </w:pPr>
            <w:r w:rsidRPr="001D10EE">
              <w:rPr>
                <w:rFonts w:ascii="Arial" w:eastAsia="Times New Roman" w:hAnsi="Arial" w:cs="Arial"/>
                <w:sz w:val="20"/>
                <w:szCs w:val="20"/>
              </w:rPr>
              <w:t>d=</w:t>
            </w:r>
          </w:p>
        </w:tc>
        <w:tc>
          <w:tcPr>
            <w:tcW w:w="451" w:type="pct"/>
            <w:tcMar>
              <w:top w:w="36" w:type="dxa"/>
              <w:bottom w:w="36" w:type="dxa"/>
            </w:tcMar>
            <w:vAlign w:val="center"/>
          </w:tcPr>
          <w:p w:rsidR="001D10EE" w:rsidRPr="001D10EE" w:rsidRDefault="001D10EE" w:rsidP="001D10EE">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inches</w:t>
            </w:r>
          </w:p>
        </w:tc>
      </w:tr>
      <w:tr w:rsidR="001D10EE" w:rsidRPr="00317359" w:rsidTr="001D10EE">
        <w:trPr>
          <w:gridAfter w:val="1"/>
          <w:wAfter w:w="6" w:type="pct"/>
          <w:trHeight w:val="330"/>
        </w:trPr>
        <w:tc>
          <w:tcPr>
            <w:tcW w:w="170" w:type="pct"/>
            <w:shd w:val="clear" w:color="auto" w:fill="auto"/>
            <w:noWrap/>
            <w:tcMar>
              <w:top w:w="36" w:type="dxa"/>
              <w:bottom w:w="36" w:type="dxa"/>
            </w:tcMar>
            <w:vAlign w:val="bottom"/>
            <w:hideMark/>
          </w:tcPr>
          <w:p w:rsidR="001D10EE" w:rsidRPr="001D10EE" w:rsidRDefault="001D10EE" w:rsidP="001D10EE">
            <w:pPr>
              <w:spacing w:after="0" w:line="240" w:lineRule="auto"/>
              <w:jc w:val="right"/>
              <w:rPr>
                <w:rFonts w:ascii="Arial" w:eastAsia="Times New Roman" w:hAnsi="Arial" w:cs="Arial"/>
                <w:color w:val="000000"/>
              </w:rPr>
            </w:pPr>
            <w:r w:rsidRPr="001D10EE">
              <w:rPr>
                <w:rFonts w:ascii="Arial" w:eastAsia="Times New Roman" w:hAnsi="Arial" w:cs="Arial"/>
                <w:color w:val="000000"/>
              </w:rPr>
              <w:t>3</w:t>
            </w:r>
          </w:p>
        </w:tc>
        <w:tc>
          <w:tcPr>
            <w:tcW w:w="2971" w:type="pct"/>
            <w:shd w:val="clear" w:color="auto" w:fill="auto"/>
            <w:tcMar>
              <w:top w:w="36" w:type="dxa"/>
              <w:bottom w:w="36" w:type="dxa"/>
            </w:tcMar>
            <w:vAlign w:val="center"/>
            <w:hideMark/>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Using d, calculate</w:t>
            </w:r>
            <w:r w:rsidRPr="001D10EE">
              <w:rPr>
                <w:rFonts w:ascii="Arial" w:hAnsi="Arial" w:cs="Arial"/>
                <w:sz w:val="20"/>
                <w:szCs w:val="20"/>
              </w:rPr>
              <w:t xml:space="preserve"> the </w:t>
            </w:r>
            <w:r w:rsidR="003C7091">
              <w:rPr>
                <w:rFonts w:ascii="Arial" w:hAnsi="Arial" w:cs="Arial"/>
                <w:sz w:val="20"/>
                <w:szCs w:val="20"/>
              </w:rPr>
              <w:t>DCV</w:t>
            </w:r>
            <w:r w:rsidRPr="001D10EE">
              <w:rPr>
                <w:rFonts w:ascii="Arial" w:hAnsi="Arial" w:cs="Arial"/>
                <w:sz w:val="20"/>
                <w:szCs w:val="20"/>
              </w:rPr>
              <w:t xml:space="preserve"> using the proposed imperviousness without BMPs and the methods described in </w:t>
            </w:r>
            <w:fldSimple w:instr=" REF _Ref287976607 \r \h  \* MERGEFORMAT ">
              <w:r w:rsidR="00126DE5" w:rsidRPr="00126DE5">
                <w:rPr>
                  <w:rFonts w:eastAsia="Times New Roman" w:cs="Arial"/>
                  <w:b/>
                  <w:color w:val="0070C0"/>
                  <w:sz w:val="20"/>
                  <w:szCs w:val="20"/>
                </w:rPr>
                <w:t>Appendix III</w:t>
              </w:r>
            </w:fldSimple>
            <w:r w:rsidRPr="001D10EE">
              <w:rPr>
                <w:rFonts w:ascii="Arial" w:hAnsi="Arial" w:cs="Arial"/>
                <w:sz w:val="20"/>
                <w:szCs w:val="20"/>
              </w:rPr>
              <w:t xml:space="preserve">, </w:t>
            </w:r>
            <w:proofErr w:type="spellStart"/>
            <w:r w:rsidRPr="001D10EE">
              <w:rPr>
                <w:rFonts w:ascii="Arial" w:hAnsi="Arial" w:cs="Arial"/>
                <w:i/>
                <w:sz w:val="20"/>
                <w:szCs w:val="20"/>
              </w:rPr>
              <w:t>DCV</w:t>
            </w:r>
            <w:r w:rsidRPr="001D10EE">
              <w:rPr>
                <w:rFonts w:ascii="Arial" w:hAnsi="Arial" w:cs="Arial"/>
                <w:i/>
                <w:sz w:val="20"/>
                <w:szCs w:val="20"/>
                <w:vertAlign w:val="subscript"/>
              </w:rPr>
              <w:t>post</w:t>
            </w:r>
            <w:proofErr w:type="spellEnd"/>
            <w:r w:rsidRPr="001D10EE">
              <w:rPr>
                <w:rFonts w:ascii="Arial" w:hAnsi="Arial" w:cs="Arial"/>
                <w:i/>
                <w:sz w:val="20"/>
                <w:szCs w:val="20"/>
                <w:vertAlign w:val="subscript"/>
              </w:rPr>
              <w:t xml:space="preserve"> no BMP </w:t>
            </w:r>
            <w:r w:rsidRPr="001D10EE">
              <w:rPr>
                <w:rFonts w:ascii="Arial" w:hAnsi="Arial" w:cs="Arial"/>
                <w:sz w:val="20"/>
                <w:szCs w:val="20"/>
              </w:rPr>
              <w:t>(cu-ft).</w:t>
            </w:r>
          </w:p>
        </w:tc>
        <w:tc>
          <w:tcPr>
            <w:tcW w:w="807" w:type="pct"/>
            <w:gridSpan w:val="3"/>
            <w:tcMar>
              <w:top w:w="36" w:type="dxa"/>
              <w:bottom w:w="36" w:type="dxa"/>
            </w:tcMar>
            <w:vAlign w:val="center"/>
          </w:tcPr>
          <w:p w:rsidR="001D10EE" w:rsidRPr="001D10EE" w:rsidRDefault="001D10EE" w:rsidP="001D10EE">
            <w:pPr>
              <w:spacing w:after="0" w:line="240" w:lineRule="auto"/>
              <w:jc w:val="right"/>
              <w:rPr>
                <w:rFonts w:ascii="Arial" w:eastAsia="Times New Roman" w:hAnsi="Arial" w:cs="Arial"/>
                <w:sz w:val="20"/>
                <w:szCs w:val="20"/>
              </w:rPr>
            </w:pPr>
            <w:proofErr w:type="spellStart"/>
            <w:r w:rsidRPr="001D10EE">
              <w:rPr>
                <w:rFonts w:ascii="Arial" w:eastAsia="Times New Roman" w:hAnsi="Arial" w:cs="Arial"/>
                <w:sz w:val="20"/>
                <w:szCs w:val="20"/>
              </w:rPr>
              <w:t>DCV</w:t>
            </w:r>
            <w:r w:rsidRPr="001D10EE">
              <w:rPr>
                <w:rFonts w:ascii="Arial" w:eastAsia="Times New Roman" w:hAnsi="Arial" w:cs="Arial"/>
                <w:sz w:val="20"/>
                <w:szCs w:val="20"/>
                <w:vertAlign w:val="subscript"/>
              </w:rPr>
              <w:t>post</w:t>
            </w:r>
            <w:proofErr w:type="spellEnd"/>
            <w:r w:rsidRPr="001D10EE">
              <w:rPr>
                <w:rFonts w:ascii="Arial" w:eastAsia="Times New Roman" w:hAnsi="Arial" w:cs="Arial"/>
                <w:sz w:val="20"/>
                <w:szCs w:val="20"/>
                <w:vertAlign w:val="subscript"/>
              </w:rPr>
              <w:t xml:space="preserve"> no BMP</w:t>
            </w:r>
            <w:r w:rsidRPr="001D10EE">
              <w:rPr>
                <w:rFonts w:ascii="Arial" w:eastAsia="Times New Roman" w:hAnsi="Arial" w:cs="Arial"/>
                <w:sz w:val="20"/>
                <w:szCs w:val="20"/>
              </w:rPr>
              <w:t>=</w:t>
            </w:r>
          </w:p>
        </w:tc>
        <w:tc>
          <w:tcPr>
            <w:tcW w:w="451" w:type="pct"/>
            <w:tcMar>
              <w:top w:w="36" w:type="dxa"/>
              <w:bottom w:w="36" w:type="dxa"/>
            </w:tcMar>
            <w:vAlign w:val="center"/>
          </w:tcPr>
          <w:p w:rsidR="001D10EE" w:rsidRPr="001D10EE" w:rsidRDefault="001D10EE" w:rsidP="001D10EE">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cu-ft</w:t>
            </w:r>
          </w:p>
        </w:tc>
      </w:tr>
      <w:tr w:rsidR="001D10EE" w:rsidRPr="00317359" w:rsidTr="001D10EE">
        <w:trPr>
          <w:gridAfter w:val="1"/>
          <w:wAfter w:w="6" w:type="pct"/>
          <w:trHeight w:val="330"/>
        </w:trPr>
        <w:tc>
          <w:tcPr>
            <w:tcW w:w="170" w:type="pct"/>
            <w:shd w:val="clear" w:color="auto" w:fill="auto"/>
            <w:noWrap/>
            <w:tcMar>
              <w:top w:w="36" w:type="dxa"/>
              <w:bottom w:w="36" w:type="dxa"/>
            </w:tcMar>
            <w:vAlign w:val="bottom"/>
            <w:hideMark/>
          </w:tcPr>
          <w:p w:rsidR="001D10EE" w:rsidRPr="001D10EE" w:rsidRDefault="001D10EE" w:rsidP="001D10EE">
            <w:pPr>
              <w:spacing w:after="0" w:line="240" w:lineRule="auto"/>
              <w:jc w:val="right"/>
              <w:rPr>
                <w:rFonts w:ascii="Arial" w:eastAsia="Times New Roman" w:hAnsi="Arial" w:cs="Arial"/>
                <w:color w:val="000000"/>
              </w:rPr>
            </w:pPr>
            <w:r w:rsidRPr="001D10EE">
              <w:rPr>
                <w:rFonts w:ascii="Arial" w:eastAsia="Times New Roman" w:hAnsi="Arial" w:cs="Arial"/>
                <w:color w:val="000000"/>
              </w:rPr>
              <w:t>4</w:t>
            </w:r>
          </w:p>
        </w:tc>
        <w:tc>
          <w:tcPr>
            <w:tcW w:w="2971" w:type="pct"/>
            <w:shd w:val="clear" w:color="auto" w:fill="auto"/>
            <w:tcMar>
              <w:top w:w="36" w:type="dxa"/>
              <w:bottom w:w="36" w:type="dxa"/>
            </w:tcMar>
            <w:vAlign w:val="center"/>
            <w:hideMark/>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 xml:space="preserve">Calculate the </w:t>
            </w:r>
          </w:p>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i/>
                <w:sz w:val="20"/>
                <w:szCs w:val="20"/>
              </w:rPr>
              <w:t>Credit Volume</w:t>
            </w:r>
            <w:r w:rsidRPr="001D10EE">
              <w:rPr>
                <w:rFonts w:ascii="Arial" w:eastAsia="Times New Roman" w:hAnsi="Arial" w:cs="Arial"/>
                <w:sz w:val="20"/>
                <w:szCs w:val="20"/>
              </w:rPr>
              <w:t xml:space="preserve"> = </w:t>
            </w:r>
            <w:proofErr w:type="spellStart"/>
            <w:r w:rsidRPr="001D10EE">
              <w:rPr>
                <w:rFonts w:ascii="Arial" w:hAnsi="Arial" w:cs="Arial"/>
                <w:i/>
                <w:sz w:val="20"/>
                <w:szCs w:val="20"/>
              </w:rPr>
              <w:t>DCV</w:t>
            </w:r>
            <w:r w:rsidRPr="001D10EE">
              <w:rPr>
                <w:rFonts w:ascii="Arial" w:hAnsi="Arial" w:cs="Arial"/>
                <w:i/>
                <w:sz w:val="20"/>
                <w:szCs w:val="20"/>
                <w:vertAlign w:val="subscript"/>
              </w:rPr>
              <w:t>post</w:t>
            </w:r>
            <w:proofErr w:type="spellEnd"/>
            <w:r w:rsidRPr="001D10EE">
              <w:rPr>
                <w:rFonts w:ascii="Arial" w:hAnsi="Arial" w:cs="Arial"/>
                <w:i/>
                <w:sz w:val="20"/>
                <w:szCs w:val="20"/>
                <w:vertAlign w:val="subscript"/>
              </w:rPr>
              <w:t xml:space="preserve"> no BMP</w:t>
            </w:r>
            <w:r w:rsidRPr="001D10EE">
              <w:rPr>
                <w:rFonts w:ascii="Arial" w:hAnsi="Arial" w:cs="Arial"/>
                <w:i/>
                <w:sz w:val="20"/>
                <w:szCs w:val="20"/>
              </w:rPr>
              <w:t xml:space="preserve"> × ∑Credit Percentages </w:t>
            </w:r>
          </w:p>
        </w:tc>
        <w:tc>
          <w:tcPr>
            <w:tcW w:w="807" w:type="pct"/>
            <w:gridSpan w:val="3"/>
            <w:tcMar>
              <w:top w:w="36" w:type="dxa"/>
              <w:bottom w:w="36" w:type="dxa"/>
            </w:tcMar>
            <w:vAlign w:val="center"/>
          </w:tcPr>
          <w:p w:rsidR="001D10EE" w:rsidRPr="001D10EE" w:rsidRDefault="001D10EE" w:rsidP="001D10EE">
            <w:pPr>
              <w:spacing w:after="0" w:line="240" w:lineRule="auto"/>
              <w:jc w:val="right"/>
              <w:rPr>
                <w:rFonts w:ascii="Arial" w:eastAsia="Times New Roman" w:hAnsi="Arial" w:cs="Arial"/>
                <w:sz w:val="20"/>
                <w:szCs w:val="20"/>
              </w:rPr>
            </w:pPr>
            <w:r w:rsidRPr="001D10EE">
              <w:rPr>
                <w:rFonts w:ascii="Arial" w:eastAsia="Times New Roman" w:hAnsi="Arial" w:cs="Arial"/>
                <w:sz w:val="20"/>
                <w:szCs w:val="20"/>
              </w:rPr>
              <w:t>Credit Volume=</w:t>
            </w:r>
          </w:p>
        </w:tc>
        <w:tc>
          <w:tcPr>
            <w:tcW w:w="451" w:type="pct"/>
            <w:tcMar>
              <w:top w:w="36" w:type="dxa"/>
              <w:bottom w:w="36" w:type="dxa"/>
            </w:tcMar>
            <w:vAlign w:val="center"/>
          </w:tcPr>
          <w:p w:rsidR="001D10EE" w:rsidRPr="001D10EE" w:rsidRDefault="001D10EE" w:rsidP="001D10EE">
            <w:pPr>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cu-ft</w:t>
            </w:r>
          </w:p>
        </w:tc>
      </w:tr>
      <w:tr w:rsidR="001D10EE" w:rsidRPr="00317359" w:rsidTr="001D10EE">
        <w:trPr>
          <w:gridAfter w:val="1"/>
          <w:wAfter w:w="6" w:type="pct"/>
          <w:trHeight w:val="300"/>
        </w:trPr>
        <w:tc>
          <w:tcPr>
            <w:tcW w:w="4994" w:type="pct"/>
            <w:gridSpan w:val="7"/>
            <w:shd w:val="clear" w:color="auto" w:fill="D9D9D9"/>
            <w:noWrap/>
            <w:tcMar>
              <w:top w:w="36" w:type="dxa"/>
              <w:bottom w:w="36" w:type="dxa"/>
            </w:tcMar>
            <w:vAlign w:val="center"/>
            <w:hideMark/>
          </w:tcPr>
          <w:p w:rsidR="001D10EE" w:rsidRPr="001D10EE" w:rsidRDefault="001D10EE" w:rsidP="001D10EE">
            <w:pPr>
              <w:pStyle w:val="ExampleSubheading"/>
              <w:pBdr>
                <w:top w:val="none" w:sz="0" w:space="0" w:color="auto"/>
                <w:left w:val="none" w:sz="0" w:space="0" w:color="auto"/>
                <w:bottom w:val="none" w:sz="0" w:space="0" w:color="auto"/>
                <w:right w:val="none" w:sz="0" w:space="0" w:color="auto"/>
              </w:pBdr>
              <w:ind w:left="0"/>
              <w:outlineLvl w:val="0"/>
            </w:pPr>
            <w:r w:rsidRPr="001D10EE">
              <w:t>Step 3: Determine the Alternative Compliance Volume after WQ Credits</w:t>
            </w:r>
          </w:p>
        </w:tc>
      </w:tr>
      <w:tr w:rsidR="001D10EE" w:rsidRPr="00317359" w:rsidTr="001D10EE">
        <w:trPr>
          <w:gridAfter w:val="1"/>
          <w:wAfter w:w="6" w:type="pct"/>
          <w:trHeight w:val="330"/>
        </w:trPr>
        <w:tc>
          <w:tcPr>
            <w:tcW w:w="170" w:type="pct"/>
            <w:shd w:val="clear" w:color="auto" w:fill="auto"/>
            <w:noWrap/>
            <w:tcMar>
              <w:top w:w="36" w:type="dxa"/>
              <w:bottom w:w="36" w:type="dxa"/>
            </w:tcMar>
            <w:vAlign w:val="bottom"/>
            <w:hideMark/>
          </w:tcPr>
          <w:p w:rsidR="001D10EE" w:rsidRPr="001D10EE" w:rsidRDefault="001D10EE" w:rsidP="001D10EE">
            <w:pPr>
              <w:keepNext/>
              <w:spacing w:after="0" w:line="240" w:lineRule="auto"/>
              <w:jc w:val="right"/>
              <w:rPr>
                <w:rFonts w:ascii="Arial" w:eastAsia="Times New Roman" w:hAnsi="Arial" w:cs="Arial"/>
                <w:color w:val="000000"/>
              </w:rPr>
            </w:pPr>
            <w:r w:rsidRPr="001D10EE">
              <w:rPr>
                <w:rFonts w:ascii="Arial" w:eastAsia="Times New Roman" w:hAnsi="Arial" w:cs="Arial"/>
                <w:color w:val="000000"/>
              </w:rPr>
              <w:t>1</w:t>
            </w:r>
          </w:p>
        </w:tc>
        <w:tc>
          <w:tcPr>
            <w:tcW w:w="3039" w:type="pct"/>
            <w:gridSpan w:val="2"/>
            <w:shd w:val="clear" w:color="auto" w:fill="auto"/>
            <w:tcMar>
              <w:top w:w="36" w:type="dxa"/>
              <w:bottom w:w="36" w:type="dxa"/>
            </w:tcMar>
            <w:vAlign w:val="center"/>
            <w:hideMark/>
          </w:tcPr>
          <w:p w:rsidR="001D10EE" w:rsidRPr="001D10EE" w:rsidRDefault="001D10EE" w:rsidP="001D10EE">
            <w:pPr>
              <w:keepNext/>
              <w:spacing w:after="0" w:line="240" w:lineRule="auto"/>
              <w:rPr>
                <w:rFonts w:ascii="Arial" w:eastAsia="Times New Roman" w:hAnsi="Arial" w:cs="Arial"/>
                <w:sz w:val="20"/>
                <w:szCs w:val="20"/>
              </w:rPr>
            </w:pPr>
            <w:r w:rsidRPr="001D10EE">
              <w:rPr>
                <w:rFonts w:ascii="Arial" w:eastAsia="Times New Roman" w:hAnsi="Arial" w:cs="Arial"/>
                <w:sz w:val="20"/>
                <w:szCs w:val="20"/>
              </w:rPr>
              <w:t xml:space="preserve">Enter design capture storm depth from </w:t>
            </w:r>
            <w:fldSimple w:instr=" REF _Ref285354586 \h  \* MERGEFORMAT ">
              <w:r w:rsidR="00126DE5" w:rsidRPr="00126DE5">
                <w:rPr>
                  <w:rFonts w:cs="Arial"/>
                  <w:b/>
                  <w:color w:val="0070C0"/>
                  <w:sz w:val="20"/>
                </w:rPr>
                <w:t>Figure III.</w:t>
              </w:r>
              <w:r w:rsidR="00126DE5" w:rsidRPr="00126DE5">
                <w:rPr>
                  <w:rFonts w:cs="Arial"/>
                  <w:b/>
                  <w:noProof/>
                  <w:color w:val="0070C0"/>
                  <w:sz w:val="20"/>
                  <w:szCs w:val="20"/>
                </w:rPr>
                <w:t>1</w:t>
              </w:r>
            </w:fldSimple>
            <w:r w:rsidRPr="001D10EE">
              <w:rPr>
                <w:rFonts w:ascii="Arial" w:eastAsia="Times New Roman" w:hAnsi="Arial" w:cs="Arial"/>
                <w:sz w:val="20"/>
                <w:szCs w:val="20"/>
              </w:rPr>
              <w:t xml:space="preserve">, </w:t>
            </w:r>
            <w:r w:rsidRPr="001D10EE">
              <w:rPr>
                <w:rFonts w:ascii="Arial" w:eastAsia="Times New Roman" w:hAnsi="Arial" w:cs="Arial"/>
                <w:i/>
                <w:sz w:val="20"/>
                <w:szCs w:val="20"/>
              </w:rPr>
              <w:t xml:space="preserve">d </w:t>
            </w:r>
            <w:r w:rsidRPr="001D10EE">
              <w:rPr>
                <w:rFonts w:ascii="Arial" w:eastAsia="Times New Roman" w:hAnsi="Arial" w:cs="Arial"/>
                <w:sz w:val="20"/>
                <w:szCs w:val="20"/>
              </w:rPr>
              <w:t>(inches)</w:t>
            </w:r>
          </w:p>
        </w:tc>
        <w:tc>
          <w:tcPr>
            <w:tcW w:w="595" w:type="pct"/>
            <w:tcMar>
              <w:top w:w="36" w:type="dxa"/>
              <w:bottom w:w="36" w:type="dxa"/>
            </w:tcMar>
            <w:vAlign w:val="center"/>
          </w:tcPr>
          <w:p w:rsidR="001D10EE" w:rsidRPr="001D10EE" w:rsidRDefault="001D10EE" w:rsidP="001D10EE">
            <w:pPr>
              <w:keepNext/>
              <w:spacing w:after="0" w:line="240" w:lineRule="auto"/>
              <w:jc w:val="right"/>
              <w:rPr>
                <w:rFonts w:ascii="Arial" w:eastAsia="Times New Roman" w:hAnsi="Arial" w:cs="Arial"/>
                <w:sz w:val="20"/>
                <w:szCs w:val="20"/>
              </w:rPr>
            </w:pPr>
            <w:r w:rsidRPr="001D10EE">
              <w:rPr>
                <w:rFonts w:ascii="Arial" w:eastAsia="Times New Roman" w:hAnsi="Arial" w:cs="Arial"/>
                <w:sz w:val="20"/>
                <w:szCs w:val="20"/>
              </w:rPr>
              <w:t>d=</w:t>
            </w:r>
          </w:p>
        </w:tc>
        <w:tc>
          <w:tcPr>
            <w:tcW w:w="595" w:type="pct"/>
            <w:gridSpan w:val="2"/>
            <w:tcMar>
              <w:top w:w="36" w:type="dxa"/>
              <w:bottom w:w="36" w:type="dxa"/>
            </w:tcMar>
            <w:vAlign w:val="center"/>
          </w:tcPr>
          <w:p w:rsidR="001D10EE" w:rsidRPr="001D10EE" w:rsidRDefault="001D10EE" w:rsidP="001D10EE">
            <w:pPr>
              <w:keepNext/>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1D10EE" w:rsidRPr="001D10EE" w:rsidRDefault="001D10EE" w:rsidP="001D10EE">
            <w:pPr>
              <w:keepNext/>
              <w:spacing w:after="0" w:line="240" w:lineRule="auto"/>
              <w:rPr>
                <w:rFonts w:ascii="Arial" w:eastAsia="Times New Roman" w:hAnsi="Arial" w:cs="Arial"/>
                <w:sz w:val="20"/>
                <w:szCs w:val="20"/>
              </w:rPr>
            </w:pPr>
            <w:r w:rsidRPr="001D10EE">
              <w:rPr>
                <w:rFonts w:ascii="Arial" w:eastAsia="Times New Roman" w:hAnsi="Arial" w:cs="Arial"/>
                <w:sz w:val="20"/>
                <w:szCs w:val="20"/>
              </w:rPr>
              <w:t>inches</w:t>
            </w:r>
          </w:p>
        </w:tc>
      </w:tr>
      <w:tr w:rsidR="001D10EE" w:rsidRPr="00317359" w:rsidTr="001D10EE">
        <w:trPr>
          <w:gridAfter w:val="1"/>
          <w:wAfter w:w="6" w:type="pct"/>
          <w:trHeight w:val="330"/>
        </w:trPr>
        <w:tc>
          <w:tcPr>
            <w:tcW w:w="170" w:type="pct"/>
            <w:shd w:val="clear" w:color="auto" w:fill="auto"/>
            <w:noWrap/>
            <w:tcMar>
              <w:top w:w="36" w:type="dxa"/>
              <w:bottom w:w="36" w:type="dxa"/>
            </w:tcMar>
            <w:vAlign w:val="bottom"/>
            <w:hideMark/>
          </w:tcPr>
          <w:p w:rsidR="001D10EE" w:rsidRPr="001D10EE" w:rsidRDefault="001D10EE" w:rsidP="001D10EE">
            <w:pPr>
              <w:keepNext/>
              <w:jc w:val="right"/>
              <w:rPr>
                <w:rFonts w:ascii="Arial" w:hAnsi="Arial" w:cs="Arial"/>
                <w:color w:val="000000"/>
              </w:rPr>
            </w:pPr>
            <w:r w:rsidRPr="001D10EE">
              <w:rPr>
                <w:rFonts w:ascii="Arial" w:hAnsi="Arial" w:cs="Arial"/>
                <w:color w:val="000000"/>
              </w:rPr>
              <w:t>2</w:t>
            </w:r>
          </w:p>
        </w:tc>
        <w:tc>
          <w:tcPr>
            <w:tcW w:w="3039" w:type="pct"/>
            <w:gridSpan w:val="2"/>
            <w:shd w:val="clear" w:color="auto" w:fill="auto"/>
            <w:tcMar>
              <w:top w:w="36" w:type="dxa"/>
              <w:bottom w:w="36" w:type="dxa"/>
            </w:tcMar>
            <w:vAlign w:val="center"/>
            <w:hideMark/>
          </w:tcPr>
          <w:p w:rsidR="001D10EE" w:rsidRPr="001D10EE" w:rsidRDefault="001D10EE" w:rsidP="001D10EE">
            <w:pPr>
              <w:keepNext/>
              <w:spacing w:after="0"/>
              <w:rPr>
                <w:rFonts w:ascii="Arial" w:hAnsi="Arial" w:cs="Arial"/>
                <w:color w:val="000000"/>
              </w:rPr>
            </w:pPr>
            <w:r w:rsidRPr="001D10EE">
              <w:rPr>
                <w:rFonts w:ascii="Arial" w:eastAsia="Times New Roman" w:hAnsi="Arial" w:cs="Arial"/>
                <w:sz w:val="20"/>
                <w:szCs w:val="20"/>
              </w:rPr>
              <w:t>Using d, calculate</w:t>
            </w:r>
            <w:r w:rsidRPr="001D10EE">
              <w:rPr>
                <w:rFonts w:ascii="Arial" w:hAnsi="Arial" w:cs="Arial"/>
                <w:sz w:val="20"/>
                <w:szCs w:val="20"/>
              </w:rPr>
              <w:t xml:space="preserve"> the </w:t>
            </w:r>
            <w:r w:rsidR="003C7091">
              <w:rPr>
                <w:rFonts w:ascii="Arial" w:hAnsi="Arial" w:cs="Arial"/>
                <w:sz w:val="20"/>
                <w:szCs w:val="20"/>
              </w:rPr>
              <w:t>DCV</w:t>
            </w:r>
            <w:r w:rsidRPr="001D10EE">
              <w:rPr>
                <w:rFonts w:ascii="Arial" w:hAnsi="Arial" w:cs="Arial"/>
                <w:sz w:val="20"/>
                <w:szCs w:val="20"/>
              </w:rPr>
              <w:t xml:space="preserve"> using the proposed imperviousness and the methods described in </w:t>
            </w:r>
            <w:fldSimple w:instr=" REF _Ref287976607 \r \h  \* MERGEFORMAT ">
              <w:r w:rsidR="00126DE5" w:rsidRPr="00126DE5">
                <w:rPr>
                  <w:rFonts w:eastAsia="Times New Roman" w:cs="Arial"/>
                  <w:b/>
                  <w:color w:val="0070C0"/>
                  <w:sz w:val="20"/>
                  <w:szCs w:val="20"/>
                </w:rPr>
                <w:t>Appendix III</w:t>
              </w:r>
            </w:fldSimple>
            <w:r w:rsidRPr="001D10EE">
              <w:rPr>
                <w:rFonts w:ascii="Arial" w:hAnsi="Arial" w:cs="Arial"/>
                <w:sz w:val="20"/>
                <w:szCs w:val="20"/>
              </w:rPr>
              <w:t xml:space="preserve">, </w:t>
            </w:r>
            <w:proofErr w:type="spellStart"/>
            <w:r w:rsidRPr="001D10EE">
              <w:rPr>
                <w:rFonts w:ascii="Arial" w:hAnsi="Arial" w:cs="Arial"/>
                <w:i/>
                <w:sz w:val="20"/>
                <w:szCs w:val="20"/>
              </w:rPr>
              <w:t>DCV</w:t>
            </w:r>
            <w:r w:rsidRPr="001D10EE">
              <w:rPr>
                <w:rFonts w:ascii="Arial" w:hAnsi="Arial" w:cs="Arial"/>
                <w:i/>
                <w:sz w:val="20"/>
                <w:szCs w:val="20"/>
                <w:vertAlign w:val="subscript"/>
              </w:rPr>
              <w:t>post</w:t>
            </w:r>
            <w:proofErr w:type="spellEnd"/>
            <w:r w:rsidRPr="001D10EE">
              <w:rPr>
                <w:rFonts w:ascii="Arial" w:hAnsi="Arial" w:cs="Arial"/>
                <w:i/>
                <w:sz w:val="20"/>
                <w:szCs w:val="20"/>
                <w:vertAlign w:val="subscript"/>
              </w:rPr>
              <w:t xml:space="preserve"> </w:t>
            </w:r>
            <w:r w:rsidRPr="001D10EE">
              <w:rPr>
                <w:rFonts w:ascii="Arial" w:hAnsi="Arial" w:cs="Arial"/>
                <w:sz w:val="20"/>
                <w:szCs w:val="20"/>
              </w:rPr>
              <w:t>(cu-ft).</w:t>
            </w:r>
          </w:p>
        </w:tc>
        <w:tc>
          <w:tcPr>
            <w:tcW w:w="595" w:type="pct"/>
            <w:tcMar>
              <w:top w:w="36" w:type="dxa"/>
              <w:bottom w:w="36" w:type="dxa"/>
            </w:tcMar>
            <w:vAlign w:val="center"/>
          </w:tcPr>
          <w:p w:rsidR="001D10EE" w:rsidRPr="001D10EE" w:rsidRDefault="001D10EE" w:rsidP="001D10EE">
            <w:pPr>
              <w:keepNext/>
              <w:spacing w:after="0" w:line="240" w:lineRule="auto"/>
              <w:jc w:val="right"/>
              <w:rPr>
                <w:rFonts w:ascii="Arial" w:eastAsia="Times New Roman" w:hAnsi="Arial" w:cs="Arial"/>
                <w:sz w:val="20"/>
                <w:szCs w:val="20"/>
              </w:rPr>
            </w:pPr>
            <w:proofErr w:type="spellStart"/>
            <w:r w:rsidRPr="001D10EE">
              <w:rPr>
                <w:rFonts w:ascii="Arial" w:eastAsia="Times New Roman" w:hAnsi="Arial" w:cs="Arial"/>
                <w:sz w:val="20"/>
                <w:szCs w:val="20"/>
              </w:rPr>
              <w:t>DCV</w:t>
            </w:r>
            <w:r w:rsidRPr="001D10EE">
              <w:rPr>
                <w:rFonts w:ascii="Arial" w:eastAsia="Times New Roman" w:hAnsi="Arial" w:cs="Arial"/>
                <w:sz w:val="20"/>
                <w:szCs w:val="20"/>
                <w:vertAlign w:val="subscript"/>
              </w:rPr>
              <w:t>post</w:t>
            </w:r>
            <w:proofErr w:type="spellEnd"/>
            <w:r w:rsidRPr="001D10EE">
              <w:rPr>
                <w:rFonts w:ascii="Arial" w:eastAsia="Times New Roman" w:hAnsi="Arial" w:cs="Arial"/>
                <w:sz w:val="20"/>
                <w:szCs w:val="20"/>
              </w:rPr>
              <w:t>=</w:t>
            </w:r>
          </w:p>
        </w:tc>
        <w:tc>
          <w:tcPr>
            <w:tcW w:w="595" w:type="pct"/>
            <w:gridSpan w:val="2"/>
            <w:tcMar>
              <w:top w:w="36" w:type="dxa"/>
              <w:bottom w:w="36" w:type="dxa"/>
            </w:tcMar>
            <w:vAlign w:val="center"/>
          </w:tcPr>
          <w:p w:rsidR="001D10EE" w:rsidRPr="001D10EE" w:rsidRDefault="001D10EE" w:rsidP="001D10EE">
            <w:pPr>
              <w:keepNext/>
              <w:spacing w:after="0" w:line="240" w:lineRule="auto"/>
              <w:jc w:val="center"/>
              <w:rPr>
                <w:rFonts w:ascii="Arial" w:eastAsia="Times New Roman" w:hAnsi="Arial" w:cs="Arial"/>
                <w:sz w:val="20"/>
                <w:szCs w:val="20"/>
              </w:rPr>
            </w:pPr>
          </w:p>
        </w:tc>
        <w:tc>
          <w:tcPr>
            <w:tcW w:w="595" w:type="pct"/>
            <w:tcMar>
              <w:top w:w="36" w:type="dxa"/>
              <w:bottom w:w="36" w:type="dxa"/>
            </w:tcMar>
            <w:vAlign w:val="center"/>
          </w:tcPr>
          <w:p w:rsidR="001D10EE" w:rsidRPr="001D10EE" w:rsidRDefault="001D10EE" w:rsidP="001D10EE">
            <w:pPr>
              <w:keepNext/>
              <w:spacing w:after="0" w:line="240" w:lineRule="auto"/>
              <w:rPr>
                <w:rFonts w:ascii="Arial" w:eastAsia="Times New Roman" w:hAnsi="Arial" w:cs="Arial"/>
                <w:sz w:val="20"/>
                <w:szCs w:val="20"/>
              </w:rPr>
            </w:pPr>
            <w:r w:rsidRPr="001D10EE">
              <w:rPr>
                <w:rFonts w:ascii="Arial" w:eastAsia="Times New Roman" w:hAnsi="Arial" w:cs="Arial"/>
                <w:sz w:val="20"/>
                <w:szCs w:val="20"/>
              </w:rPr>
              <w:t>cu-ft</w:t>
            </w:r>
          </w:p>
        </w:tc>
      </w:tr>
      <w:tr w:rsidR="001D10EE" w:rsidRPr="00317359" w:rsidTr="001D10EE">
        <w:trPr>
          <w:gridAfter w:val="1"/>
          <w:wAfter w:w="6" w:type="pct"/>
          <w:trHeight w:val="330"/>
        </w:trPr>
        <w:tc>
          <w:tcPr>
            <w:tcW w:w="170" w:type="pct"/>
            <w:shd w:val="clear" w:color="auto" w:fill="auto"/>
            <w:noWrap/>
            <w:tcMar>
              <w:top w:w="36" w:type="dxa"/>
              <w:bottom w:w="36" w:type="dxa"/>
            </w:tcMar>
            <w:vAlign w:val="bottom"/>
            <w:hideMark/>
          </w:tcPr>
          <w:p w:rsidR="001D10EE" w:rsidRPr="001D10EE" w:rsidRDefault="001D10EE" w:rsidP="001D10EE">
            <w:pPr>
              <w:spacing w:after="0" w:line="240" w:lineRule="auto"/>
              <w:jc w:val="right"/>
              <w:rPr>
                <w:rFonts w:ascii="Arial" w:eastAsia="Times New Roman" w:hAnsi="Arial" w:cs="Arial"/>
                <w:color w:val="000000"/>
              </w:rPr>
            </w:pPr>
            <w:r w:rsidRPr="001D10EE">
              <w:rPr>
                <w:rFonts w:ascii="Arial" w:eastAsia="Times New Roman" w:hAnsi="Arial" w:cs="Arial"/>
                <w:color w:val="000000"/>
              </w:rPr>
              <w:t>3</w:t>
            </w:r>
          </w:p>
        </w:tc>
        <w:tc>
          <w:tcPr>
            <w:tcW w:w="3039" w:type="pct"/>
            <w:gridSpan w:val="2"/>
            <w:shd w:val="clear" w:color="auto" w:fill="auto"/>
            <w:tcMar>
              <w:top w:w="36" w:type="dxa"/>
              <w:bottom w:w="36" w:type="dxa"/>
            </w:tcMar>
            <w:vAlign w:val="center"/>
            <w:hideMark/>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 xml:space="preserve">Calculate the alternative compliance volume, </w:t>
            </w:r>
          </w:p>
          <w:p w:rsidR="001D10EE" w:rsidRPr="001D10EE" w:rsidRDefault="001D10EE" w:rsidP="001D10EE">
            <w:pPr>
              <w:spacing w:after="0" w:line="240" w:lineRule="auto"/>
              <w:rPr>
                <w:rFonts w:ascii="Arial" w:eastAsia="Times New Roman" w:hAnsi="Arial" w:cs="Arial"/>
                <w:sz w:val="20"/>
                <w:szCs w:val="20"/>
                <w:vertAlign w:val="subscript"/>
              </w:rPr>
            </w:pPr>
            <w:r w:rsidRPr="001D10EE">
              <w:rPr>
                <w:rFonts w:ascii="Arial" w:eastAsia="Times New Roman" w:hAnsi="Arial" w:cs="Arial"/>
                <w:i/>
                <w:sz w:val="20"/>
                <w:szCs w:val="20"/>
              </w:rPr>
              <w:t xml:space="preserve">ACV = </w:t>
            </w:r>
            <w:proofErr w:type="spellStart"/>
            <w:r w:rsidRPr="001D10EE">
              <w:rPr>
                <w:rFonts w:ascii="Arial" w:eastAsia="Times New Roman" w:hAnsi="Arial" w:cs="Arial"/>
                <w:i/>
                <w:sz w:val="20"/>
                <w:szCs w:val="20"/>
              </w:rPr>
              <w:t>DCV</w:t>
            </w:r>
            <w:r w:rsidRPr="001D10EE">
              <w:rPr>
                <w:rFonts w:ascii="Arial" w:eastAsia="Times New Roman" w:hAnsi="Arial" w:cs="Arial"/>
                <w:i/>
                <w:sz w:val="20"/>
                <w:szCs w:val="20"/>
                <w:vertAlign w:val="subscript"/>
              </w:rPr>
              <w:t>post</w:t>
            </w:r>
            <w:proofErr w:type="spellEnd"/>
            <w:r w:rsidRPr="001D10EE">
              <w:rPr>
                <w:rFonts w:ascii="Arial" w:eastAsia="Times New Roman" w:hAnsi="Arial" w:cs="Arial"/>
                <w:i/>
                <w:sz w:val="20"/>
                <w:szCs w:val="20"/>
                <w:vertAlign w:val="subscript"/>
              </w:rPr>
              <w:t xml:space="preserve"> </w:t>
            </w:r>
            <w:r w:rsidRPr="001D10EE">
              <w:rPr>
                <w:rFonts w:ascii="Arial" w:eastAsia="Times New Roman" w:hAnsi="Arial" w:cs="Arial"/>
                <w:i/>
                <w:sz w:val="20"/>
                <w:szCs w:val="20"/>
              </w:rPr>
              <w:t>- Credit Volume</w:t>
            </w:r>
          </w:p>
        </w:tc>
        <w:tc>
          <w:tcPr>
            <w:tcW w:w="595" w:type="pct"/>
            <w:tcMar>
              <w:top w:w="36" w:type="dxa"/>
              <w:bottom w:w="36" w:type="dxa"/>
            </w:tcMar>
            <w:vAlign w:val="center"/>
          </w:tcPr>
          <w:p w:rsidR="001D10EE" w:rsidRPr="001D10EE" w:rsidRDefault="001D10EE" w:rsidP="001D10EE">
            <w:pPr>
              <w:spacing w:after="0" w:line="240" w:lineRule="auto"/>
              <w:jc w:val="right"/>
              <w:rPr>
                <w:rFonts w:ascii="Arial" w:eastAsia="Times New Roman" w:hAnsi="Arial" w:cs="Arial"/>
                <w:sz w:val="20"/>
                <w:szCs w:val="20"/>
              </w:rPr>
            </w:pPr>
            <w:r w:rsidRPr="001D10EE">
              <w:rPr>
                <w:rFonts w:ascii="Arial" w:eastAsia="Times New Roman" w:hAnsi="Arial" w:cs="Arial"/>
                <w:sz w:val="20"/>
                <w:szCs w:val="20"/>
              </w:rPr>
              <w:t>ACV=</w:t>
            </w:r>
          </w:p>
        </w:tc>
        <w:tc>
          <w:tcPr>
            <w:tcW w:w="595" w:type="pct"/>
            <w:gridSpan w:val="2"/>
            <w:tcMar>
              <w:top w:w="36" w:type="dxa"/>
              <w:bottom w:w="36" w:type="dxa"/>
            </w:tcMar>
          </w:tcPr>
          <w:p w:rsidR="001D10EE" w:rsidRPr="001D10EE" w:rsidRDefault="001D10EE" w:rsidP="001D10EE">
            <w:pPr>
              <w:spacing w:after="0" w:line="240" w:lineRule="auto"/>
              <w:ind w:firstLineChars="500" w:firstLine="1100"/>
              <w:rPr>
                <w:rFonts w:ascii="Arial" w:eastAsia="Times New Roman" w:hAnsi="Arial" w:cs="Arial"/>
                <w:color w:val="000000"/>
              </w:rPr>
            </w:pPr>
          </w:p>
        </w:tc>
        <w:tc>
          <w:tcPr>
            <w:tcW w:w="595" w:type="pct"/>
            <w:tcMar>
              <w:top w:w="36" w:type="dxa"/>
              <w:bottom w:w="36" w:type="dxa"/>
            </w:tcMar>
            <w:vAlign w:val="center"/>
          </w:tcPr>
          <w:p w:rsidR="001D10EE" w:rsidRPr="001D10EE" w:rsidRDefault="001D10EE" w:rsidP="001D10EE">
            <w:pPr>
              <w:spacing w:after="0" w:line="240" w:lineRule="auto"/>
              <w:rPr>
                <w:rFonts w:ascii="Arial" w:eastAsia="Times New Roman" w:hAnsi="Arial" w:cs="Arial"/>
                <w:sz w:val="20"/>
                <w:szCs w:val="20"/>
              </w:rPr>
            </w:pPr>
            <w:r w:rsidRPr="001D10EE">
              <w:rPr>
                <w:rFonts w:ascii="Arial" w:eastAsia="Times New Roman" w:hAnsi="Arial" w:cs="Arial"/>
                <w:sz w:val="20"/>
                <w:szCs w:val="20"/>
              </w:rPr>
              <w:t>cu-ft</w:t>
            </w:r>
          </w:p>
        </w:tc>
      </w:tr>
    </w:tbl>
    <w:p w:rsidR="001D10EE" w:rsidRDefault="001D10EE" w:rsidP="001D10EE">
      <w:pPr>
        <w:pStyle w:val="CDMBTEXT"/>
        <w:ind w:left="1440"/>
      </w:pPr>
    </w:p>
    <w:p w:rsidR="002F160D" w:rsidRDefault="002F160D" w:rsidP="00DF24E8">
      <w:pPr>
        <w:pStyle w:val="CDMBTEXT"/>
      </w:pPr>
    </w:p>
    <w:p w:rsidR="00DF24E8" w:rsidRPr="00DF24E8" w:rsidRDefault="00DF24E8" w:rsidP="00DF24E8">
      <w:pPr>
        <w:sectPr w:rsidR="00DF24E8" w:rsidRPr="00DF24E8" w:rsidSect="00BF43BB">
          <w:pgSz w:w="12240" w:h="15840"/>
          <w:pgMar w:top="1440" w:right="1440" w:bottom="1440" w:left="1440" w:header="720" w:footer="432" w:gutter="0"/>
          <w:pgNumType w:chapStyle="1"/>
          <w:cols w:space="720"/>
          <w:docGrid w:linePitch="360"/>
        </w:sectPr>
      </w:pPr>
    </w:p>
    <w:p w:rsidR="0013104B" w:rsidRDefault="004C6431" w:rsidP="00A52883">
      <w:pPr>
        <w:pStyle w:val="Heading1"/>
      </w:pPr>
      <w:bookmarkStart w:id="401" w:name="_Infiltration_Rate_Evaluation"/>
      <w:bookmarkStart w:id="402" w:name="_Toc285308156"/>
      <w:bookmarkStart w:id="403" w:name="_Toc285315740"/>
      <w:bookmarkStart w:id="404" w:name="_Toc285315896"/>
      <w:bookmarkStart w:id="405" w:name="_Toc285492459"/>
      <w:bookmarkStart w:id="406" w:name="_Ref285567395"/>
      <w:bookmarkStart w:id="407" w:name="_Ref287704666"/>
      <w:bookmarkStart w:id="408" w:name="_Toc288541079"/>
      <w:bookmarkStart w:id="409" w:name="_Toc293937136"/>
      <w:bookmarkEnd w:id="401"/>
      <w:r>
        <w:rPr>
          <w:caps w:val="0"/>
        </w:rPr>
        <w:t>INFILTRATION RATE EVALUATION PROTOCOL AND FACTOR OF SAFETY RECOMMENDATIONS</w:t>
      </w:r>
      <w:bookmarkEnd w:id="402"/>
      <w:bookmarkEnd w:id="403"/>
      <w:bookmarkEnd w:id="404"/>
      <w:bookmarkEnd w:id="405"/>
      <w:bookmarkEnd w:id="406"/>
      <w:bookmarkEnd w:id="407"/>
      <w:bookmarkEnd w:id="408"/>
      <w:bookmarkEnd w:id="409"/>
    </w:p>
    <w:p w:rsidR="00FE3A73" w:rsidRDefault="00E63488" w:rsidP="00A52883">
      <w:pPr>
        <w:pStyle w:val="Heading2"/>
      </w:pPr>
      <w:bookmarkStart w:id="410" w:name="_Toc285308157"/>
      <w:bookmarkStart w:id="411" w:name="_Toc285315741"/>
      <w:bookmarkStart w:id="412" w:name="_Toc285492460"/>
      <w:bookmarkStart w:id="413" w:name="_Toc288541080"/>
      <w:bookmarkStart w:id="414" w:name="_Toc293937137"/>
      <w:r w:rsidRPr="00254A9D">
        <w:t>Introduction</w:t>
      </w:r>
      <w:bookmarkEnd w:id="410"/>
      <w:bookmarkEnd w:id="411"/>
      <w:bookmarkEnd w:id="412"/>
      <w:bookmarkEnd w:id="413"/>
      <w:bookmarkEnd w:id="414"/>
    </w:p>
    <w:p w:rsidR="0014047B" w:rsidRDefault="00616820">
      <w:pPr>
        <w:pStyle w:val="CDMBTEXT"/>
      </w:pPr>
      <w:r w:rsidRPr="00616820">
        <w:t xml:space="preserve">Soil characterization and infiltration testing is required in order to </w:t>
      </w:r>
      <w:r w:rsidR="00E63488" w:rsidRPr="002A451E">
        <w:t xml:space="preserve">properly size and locate stormwater management facilities. </w:t>
      </w:r>
      <w:r w:rsidR="000C0C3F" w:rsidRPr="002A451E">
        <w:t xml:space="preserve">The </w:t>
      </w:r>
      <w:proofErr w:type="gramStart"/>
      <w:r w:rsidR="000C0C3F" w:rsidRPr="002A451E">
        <w:t>purpose of this appendix is to provide guidance for investigating infiltration at both the project planning and design phases, as well as provide</w:t>
      </w:r>
      <w:proofErr w:type="gramEnd"/>
      <w:r w:rsidR="000C0C3F" w:rsidRPr="002A451E">
        <w:t xml:space="preserve"> </w:t>
      </w:r>
      <w:r w:rsidR="001D10EE">
        <w:t>requirements</w:t>
      </w:r>
      <w:r w:rsidR="000C0C3F" w:rsidRPr="002A451E">
        <w:t xml:space="preserve"> for applying a factor of safety</w:t>
      </w:r>
      <w:r w:rsidR="001D10EE">
        <w:t xml:space="preserve"> to testing results</w:t>
      </w:r>
      <w:r w:rsidR="000C0C3F" w:rsidRPr="002A451E">
        <w:t>.</w:t>
      </w:r>
      <w:r w:rsidR="000B15B1">
        <w:t xml:space="preserve"> </w:t>
      </w:r>
    </w:p>
    <w:p w:rsidR="00FE3A73" w:rsidRDefault="00E63488" w:rsidP="00A52883">
      <w:pPr>
        <w:pStyle w:val="Heading3"/>
      </w:pPr>
      <w:r>
        <w:t>Two phases of assessment</w:t>
      </w:r>
    </w:p>
    <w:p w:rsidR="000C0C3F" w:rsidRDefault="000C0C3F" w:rsidP="00E63488">
      <w:pPr>
        <w:rPr>
          <w:szCs w:val="23"/>
        </w:rPr>
      </w:pPr>
      <w:r w:rsidRPr="00636C4D">
        <w:rPr>
          <w:szCs w:val="23"/>
        </w:rPr>
        <w:t>The role of soil characterization and infiltration testing differs with the phase of project development</w:t>
      </w:r>
      <w:r>
        <w:rPr>
          <w:szCs w:val="23"/>
        </w:rPr>
        <w:t xml:space="preserve"> as described below</w:t>
      </w:r>
      <w:r w:rsidRPr="00636C4D">
        <w:rPr>
          <w:szCs w:val="23"/>
        </w:rPr>
        <w:t>.</w:t>
      </w:r>
    </w:p>
    <w:p w:rsidR="00254A9D" w:rsidRPr="00636C4D" w:rsidRDefault="00E63488" w:rsidP="00E63488">
      <w:pPr>
        <w:rPr>
          <w:szCs w:val="23"/>
        </w:rPr>
      </w:pPr>
      <w:r w:rsidRPr="00636C4D">
        <w:rPr>
          <w:b/>
          <w:szCs w:val="23"/>
        </w:rPr>
        <w:t>Site Assessment / Project Planning Phase:</w:t>
      </w:r>
      <w:r w:rsidRPr="00636C4D">
        <w:rPr>
          <w:szCs w:val="23"/>
        </w:rPr>
        <w:t xml:space="preserve"> Soil characterization or infiltration testing may be conducted to determine if infiltration is a potentially feasible BMP and/or where on the site infiltration is potentially infeasible. The intent of this investigation is to identify if the project site, or a portion of the site, has soils that are clearly unsuitable for infiltration. For those sites or portions of the site where soils are unsuitable, infiltration BMPs can be eliminated from consideration. The intent of this testing is not to prove definitively that infiltration is feasible. Simpler methods may be used to determine infiltration potential at this phase. </w:t>
      </w:r>
      <w:r w:rsidR="000C0C3F">
        <w:rPr>
          <w:szCs w:val="23"/>
        </w:rPr>
        <w:t xml:space="preserve"> The observed infiltration rate is adjusted to account for the type of test and the uncertainty of the test</w:t>
      </w:r>
      <w:r w:rsidR="00987028">
        <w:rPr>
          <w:szCs w:val="23"/>
        </w:rPr>
        <w:t xml:space="preserve">ing method and reported as the </w:t>
      </w:r>
      <w:r w:rsidR="000C0C3F" w:rsidRPr="00987028">
        <w:rPr>
          <w:i/>
          <w:szCs w:val="23"/>
        </w:rPr>
        <w:t>measured infiltration rate</w:t>
      </w:r>
      <w:r w:rsidR="000C0C3F">
        <w:rPr>
          <w:szCs w:val="23"/>
        </w:rPr>
        <w:t xml:space="preserve"> for the purp</w:t>
      </w:r>
      <w:r w:rsidR="00987028">
        <w:rPr>
          <w:szCs w:val="23"/>
        </w:rPr>
        <w:t>ose of evaluating feasibility. These methods are not appropriate to</w:t>
      </w:r>
      <w:r w:rsidR="00D244D6">
        <w:rPr>
          <w:szCs w:val="23"/>
        </w:rPr>
        <w:t xml:space="preserve"> determine </w:t>
      </w:r>
      <w:r w:rsidR="000C0C3F">
        <w:rPr>
          <w:szCs w:val="23"/>
        </w:rPr>
        <w:t xml:space="preserve">the </w:t>
      </w:r>
      <w:r w:rsidR="00987028" w:rsidRPr="00987028">
        <w:rPr>
          <w:i/>
          <w:szCs w:val="23"/>
        </w:rPr>
        <w:t>design infiltration rate</w:t>
      </w:r>
      <w:r w:rsidR="00987028">
        <w:rPr>
          <w:szCs w:val="23"/>
        </w:rPr>
        <w:t>.</w:t>
      </w:r>
    </w:p>
    <w:p w:rsidR="00E63488" w:rsidRPr="00636C4D" w:rsidRDefault="00E63488" w:rsidP="0013104B">
      <w:r w:rsidRPr="00636C4D">
        <w:rPr>
          <w:b/>
        </w:rPr>
        <w:t>Site Planning / Design Phase:</w:t>
      </w:r>
      <w:r w:rsidRPr="00636C4D">
        <w:t xml:space="preserve"> Where infiltration BMPs are selected, infiltration testing must be conducted to determine the </w:t>
      </w:r>
      <w:r w:rsidRPr="00987028">
        <w:rPr>
          <w:i/>
        </w:rPr>
        <w:t>design infiltration rate</w:t>
      </w:r>
      <w:r w:rsidRPr="00636C4D">
        <w:t xml:space="preserve"> of proposed facilities</w:t>
      </w:r>
      <w:r w:rsidR="00C5213B">
        <w:t xml:space="preserve">, except in limited cases where infiltration rate is presumed to be sufficient as identified in Section </w:t>
      </w:r>
      <w:r w:rsidR="00126F3D" w:rsidRPr="00126DE5">
        <w:rPr>
          <w:b/>
          <w:color w:val="0070C0"/>
          <w:sz w:val="20"/>
        </w:rPr>
        <w:fldChar w:fldCharType="begin"/>
      </w:r>
      <w:r w:rsidR="00C5213B" w:rsidRPr="00126DE5">
        <w:rPr>
          <w:b/>
          <w:color w:val="0070C0"/>
          <w:sz w:val="20"/>
        </w:rPr>
        <w:instrText xml:space="preserve"> REF _Ref287549891 \r \h </w:instrText>
      </w:r>
      <w:r w:rsidR="00126F3D" w:rsidRPr="00126DE5">
        <w:rPr>
          <w:b/>
          <w:color w:val="0070C0"/>
          <w:sz w:val="20"/>
        </w:rPr>
      </w:r>
      <w:r w:rsidR="00126F3D" w:rsidRPr="00126DE5">
        <w:rPr>
          <w:b/>
          <w:color w:val="0070C0"/>
          <w:sz w:val="20"/>
        </w:rPr>
        <w:fldChar w:fldCharType="separate"/>
      </w:r>
      <w:r w:rsidR="00126DE5" w:rsidRPr="00126DE5">
        <w:rPr>
          <w:b/>
          <w:color w:val="0070C0"/>
          <w:sz w:val="20"/>
        </w:rPr>
        <w:t>VII.1.2</w:t>
      </w:r>
      <w:r w:rsidR="00126F3D" w:rsidRPr="00126DE5">
        <w:rPr>
          <w:b/>
          <w:color w:val="0070C0"/>
          <w:sz w:val="20"/>
        </w:rPr>
        <w:fldChar w:fldCharType="end"/>
      </w:r>
      <w:r w:rsidRPr="00636C4D">
        <w:t xml:space="preserve">. The required size of the proposed facilities strongly depends on the design infiltration rate; therefore, testing may be required at the preliminary site design phase to facilitate site planning. However, infiltration testing </w:t>
      </w:r>
      <w:r w:rsidR="00772506">
        <w:t>must</w:t>
      </w:r>
      <w:r w:rsidR="00772506" w:rsidRPr="00636C4D">
        <w:t xml:space="preserve"> </w:t>
      </w:r>
      <w:r w:rsidRPr="00636C4D">
        <w:t xml:space="preserve">be conducted as close to the proposed facility as possible, therefore, conducting testing after preliminary site design also has merits. Use of more sophisticated methods at this phase allows better confidence in testing and therefore a lower factor of safety on </w:t>
      </w:r>
      <w:r w:rsidR="000C0C3F">
        <w:t>observed</w:t>
      </w:r>
      <w:r w:rsidRPr="00636C4D">
        <w:t xml:space="preserve"> infiltration rates (and therefore smaller facility designs). Factors of safety are discussed in </w:t>
      </w:r>
      <w:fldSimple w:instr=" REF _Ref261944895 \r \h  \* MERGEFORMAT ">
        <w:r w:rsidR="00126DE5" w:rsidRPr="00126DE5">
          <w:rPr>
            <w:rFonts w:cs="Arial"/>
            <w:b/>
            <w:color w:val="0070C0"/>
            <w:sz w:val="20"/>
            <w:szCs w:val="20"/>
          </w:rPr>
          <w:t>VII.4</w:t>
        </w:r>
      </w:fldSimple>
      <w:r w:rsidR="00D244D6">
        <w:t xml:space="preserve">. </w:t>
      </w:r>
    </w:p>
    <w:p w:rsidR="00E63488" w:rsidRDefault="00E63488" w:rsidP="00636C4D">
      <w:pPr>
        <w:pStyle w:val="CDMBTEXT"/>
      </w:pPr>
      <w:r>
        <w:t>Soil characterization and infiltration testing can be considered to fulfill two functions:</w:t>
      </w:r>
    </w:p>
    <w:p w:rsidR="00E63488" w:rsidRPr="00636C4D" w:rsidRDefault="00E63488" w:rsidP="009531AF">
      <w:pPr>
        <w:pStyle w:val="CDMBTEXT"/>
        <w:numPr>
          <w:ilvl w:val="0"/>
          <w:numId w:val="32"/>
        </w:numPr>
        <w:contextualSpacing/>
      </w:pPr>
      <w:r>
        <w:t xml:space="preserve">Determine where infiltration is potentially feasible and must be considered (if other limitations, such as depth to groundwater or contamination, do not restrict infiltration). This role is satisfied through simple infiltration tests, or use of maps and available data. </w:t>
      </w:r>
    </w:p>
    <w:p w:rsidR="00E63488" w:rsidRDefault="00E63488" w:rsidP="009531AF">
      <w:pPr>
        <w:pStyle w:val="CDMBTEXT"/>
        <w:numPr>
          <w:ilvl w:val="0"/>
          <w:numId w:val="32"/>
        </w:numPr>
        <w:contextualSpacing/>
      </w:pPr>
      <w:r>
        <w:t xml:space="preserve">Determine the design infiltration rate for proposed facilities. This function is satisfied through more sophisticated investigation methods, conducted by a qualified professional. </w:t>
      </w:r>
    </w:p>
    <w:p w:rsidR="007D631A" w:rsidRPr="00636C4D" w:rsidRDefault="007D631A" w:rsidP="007D631A">
      <w:pPr>
        <w:pStyle w:val="CDMBTEXT"/>
        <w:ind w:left="720"/>
        <w:contextualSpacing/>
      </w:pPr>
    </w:p>
    <w:p w:rsidR="00254A9D" w:rsidRPr="00636C4D" w:rsidRDefault="00126F3D" w:rsidP="00636C4D">
      <w:pPr>
        <w:pStyle w:val="CDMBTEXT"/>
      </w:pPr>
      <w:fldSimple w:instr=" REF _Ref284254150 \h  \* MERGEFORMAT ">
        <w:r w:rsidR="00126DE5" w:rsidRPr="00126DE5">
          <w:rPr>
            <w:rFonts w:cs="Arial"/>
            <w:b/>
            <w:color w:val="0070C0"/>
            <w:sz w:val="20"/>
          </w:rPr>
          <w:t xml:space="preserve">Table </w:t>
        </w:r>
        <w:r w:rsidR="00126DE5" w:rsidRPr="00126DE5">
          <w:rPr>
            <w:rFonts w:cs="Arial"/>
            <w:b/>
            <w:noProof/>
            <w:color w:val="0070C0"/>
            <w:sz w:val="20"/>
          </w:rPr>
          <w:t>VII</w:t>
        </w:r>
        <w:r w:rsidR="00126DE5" w:rsidRPr="00126DE5">
          <w:rPr>
            <w:rFonts w:cs="Arial"/>
            <w:b/>
            <w:color w:val="0070C0"/>
            <w:sz w:val="20"/>
          </w:rPr>
          <w:t>.1</w:t>
        </w:r>
      </w:fldSimple>
      <w:r w:rsidR="00E63488" w:rsidRPr="00636C4D">
        <w:t xml:space="preserve"> provides </w:t>
      </w:r>
      <w:r w:rsidR="001D10EE">
        <w:t>required</w:t>
      </w:r>
      <w:r w:rsidR="00CB4D18" w:rsidRPr="00636C4D">
        <w:t xml:space="preserve"> </w:t>
      </w:r>
      <w:r w:rsidR="00E63488" w:rsidRPr="00636C4D">
        <w:t>methods of assessing inf</w:t>
      </w:r>
      <w:r w:rsidR="00636C4D">
        <w:t>iltration rate for each purpose.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92"/>
        <w:gridCol w:w="5556"/>
      </w:tblGrid>
      <w:tr w:rsidR="00E63488" w:rsidRPr="00B10237" w:rsidTr="007D631A">
        <w:trPr>
          <w:trHeight w:val="144"/>
        </w:trPr>
        <w:tc>
          <w:tcPr>
            <w:tcW w:w="8748" w:type="dxa"/>
            <w:gridSpan w:val="2"/>
            <w:tcBorders>
              <w:top w:val="nil"/>
              <w:left w:val="nil"/>
              <w:bottom w:val="single" w:sz="4" w:space="0" w:color="auto"/>
              <w:right w:val="nil"/>
            </w:tcBorders>
            <w:shd w:val="clear" w:color="auto" w:fill="auto"/>
            <w:vAlign w:val="bottom"/>
          </w:tcPr>
          <w:p w:rsidR="00E63488" w:rsidRPr="00524D76" w:rsidRDefault="00E63488" w:rsidP="00647B99">
            <w:pPr>
              <w:pStyle w:val="Caption"/>
            </w:pPr>
            <w:bookmarkStart w:id="415" w:name="_Ref284254150"/>
            <w:bookmarkStart w:id="416" w:name="_Toc288554379"/>
            <w:r w:rsidRPr="00524D76">
              <w:t xml:space="preserve">Table </w:t>
            </w:r>
            <w:r w:rsidR="00126F3D" w:rsidRPr="00524D76">
              <w:rPr>
                <w:rFonts w:cs="Arial"/>
              </w:rPr>
              <w:fldChar w:fldCharType="begin"/>
            </w:r>
            <w:r w:rsidR="000B5480" w:rsidRPr="00524D76">
              <w:rPr>
                <w:rFonts w:cs="Arial"/>
              </w:rPr>
              <w:instrText xml:space="preserve"> STYLEREF 1 \s </w:instrText>
            </w:r>
            <w:r w:rsidR="00126F3D" w:rsidRPr="00524D76">
              <w:rPr>
                <w:rFonts w:cs="Arial"/>
              </w:rPr>
              <w:fldChar w:fldCharType="separate"/>
            </w:r>
            <w:r w:rsidR="00126DE5" w:rsidRPr="00524D76">
              <w:rPr>
                <w:rFonts w:cs="Arial"/>
                <w:noProof/>
              </w:rPr>
              <w:t>VII</w:t>
            </w:r>
            <w:r w:rsidR="00126F3D" w:rsidRPr="00524D76">
              <w:rPr>
                <w:rFonts w:cs="Arial"/>
              </w:rPr>
              <w:fldChar w:fldCharType="end"/>
            </w:r>
            <w:r w:rsidR="000B5480" w:rsidRPr="00524D76">
              <w:t>.</w:t>
            </w:r>
            <w:r w:rsidR="00126F3D" w:rsidRPr="00524D76">
              <w:rPr>
                <w:rFonts w:cs="Arial"/>
              </w:rPr>
              <w:fldChar w:fldCharType="begin"/>
            </w:r>
            <w:r w:rsidR="000B5480" w:rsidRPr="00524D76">
              <w:rPr>
                <w:rFonts w:cs="Arial"/>
              </w:rPr>
              <w:instrText xml:space="preserve"> SEQ Table \* ARABIC \s 1 </w:instrText>
            </w:r>
            <w:r w:rsidR="00126F3D" w:rsidRPr="00524D76">
              <w:rPr>
                <w:rFonts w:cs="Arial"/>
              </w:rPr>
              <w:fldChar w:fldCharType="separate"/>
            </w:r>
            <w:r w:rsidR="00126DE5" w:rsidRPr="00524D76">
              <w:rPr>
                <w:rFonts w:cs="Arial"/>
                <w:noProof/>
              </w:rPr>
              <w:t>1</w:t>
            </w:r>
            <w:r w:rsidR="00126F3D" w:rsidRPr="00524D76">
              <w:rPr>
                <w:rFonts w:cs="Arial"/>
              </w:rPr>
              <w:fldChar w:fldCharType="end"/>
            </w:r>
            <w:bookmarkEnd w:id="415"/>
            <w:r w:rsidRPr="00524D76">
              <w:t>: Recommended Infiltration Investigation Methods</w:t>
            </w:r>
            <w:bookmarkEnd w:id="416"/>
          </w:p>
        </w:tc>
      </w:tr>
      <w:tr w:rsidR="00E63488" w:rsidRPr="00B10237" w:rsidTr="007D631A">
        <w:tc>
          <w:tcPr>
            <w:tcW w:w="3192" w:type="dxa"/>
            <w:tcBorders>
              <w:top w:val="single" w:sz="4" w:space="0" w:color="auto"/>
            </w:tcBorders>
          </w:tcPr>
          <w:p w:rsidR="00E63488" w:rsidRPr="00292B62" w:rsidRDefault="00E63488" w:rsidP="00636C4D">
            <w:pPr>
              <w:pStyle w:val="Default"/>
              <w:keepNext/>
              <w:rPr>
                <w:rFonts w:cs="Arial"/>
                <w:sz w:val="22"/>
                <w:szCs w:val="22"/>
              </w:rPr>
            </w:pPr>
            <w:r w:rsidRPr="00292B62">
              <w:rPr>
                <w:rFonts w:cs="Arial"/>
                <w:sz w:val="22"/>
                <w:szCs w:val="22"/>
              </w:rPr>
              <w:t>Methods for Identifying Areas Potentially Feasible for Infiltration</w:t>
            </w:r>
          </w:p>
        </w:tc>
        <w:tc>
          <w:tcPr>
            <w:tcW w:w="5556" w:type="dxa"/>
            <w:tcBorders>
              <w:top w:val="single" w:sz="4" w:space="0" w:color="auto"/>
            </w:tcBorders>
          </w:tcPr>
          <w:p w:rsidR="00E63488" w:rsidRPr="009E7FDA" w:rsidRDefault="00126F3D" w:rsidP="009531AF">
            <w:pPr>
              <w:pStyle w:val="Default"/>
              <w:keepNext/>
              <w:numPr>
                <w:ilvl w:val="0"/>
                <w:numId w:val="14"/>
              </w:numPr>
              <w:rPr>
                <w:rFonts w:cs="Arial"/>
                <w:color w:val="auto"/>
                <w:sz w:val="22"/>
                <w:szCs w:val="22"/>
              </w:rPr>
            </w:pPr>
            <w:fldSimple w:instr=" REF _Ref285373907 \h  \* MERGEFORMAT ">
              <w:r w:rsidR="00126DE5" w:rsidRPr="00126DE5">
                <w:rPr>
                  <w:b/>
                  <w:color w:val="0070C0"/>
                  <w:sz w:val="20"/>
                  <w:szCs w:val="22"/>
                </w:rPr>
                <w:t>Use of Regional Maps and “Available Data”</w:t>
              </w:r>
            </w:fldSimple>
            <w:r w:rsidR="00E63488" w:rsidRPr="009E7FDA">
              <w:rPr>
                <w:rFonts w:cs="Arial"/>
                <w:color w:val="auto"/>
                <w:sz w:val="22"/>
                <w:szCs w:val="22"/>
                <w:vertAlign w:val="superscript"/>
              </w:rPr>
              <w:t xml:space="preserve">1 </w:t>
            </w:r>
          </w:p>
          <w:p w:rsidR="00E63488" w:rsidRPr="009E7FDA" w:rsidRDefault="00E63488" w:rsidP="00636C4D">
            <w:pPr>
              <w:pStyle w:val="Default"/>
              <w:keepNext/>
              <w:ind w:left="720"/>
              <w:rPr>
                <w:rFonts w:cs="Arial"/>
                <w:b/>
                <w:color w:val="auto"/>
                <w:sz w:val="22"/>
                <w:szCs w:val="22"/>
              </w:rPr>
            </w:pPr>
            <w:r w:rsidRPr="009E7FDA">
              <w:rPr>
                <w:rFonts w:cs="Arial"/>
                <w:b/>
                <w:color w:val="auto"/>
                <w:sz w:val="22"/>
                <w:szCs w:val="22"/>
              </w:rPr>
              <w:t>OR</w:t>
            </w:r>
          </w:p>
          <w:p w:rsidR="00E63488" w:rsidRPr="00126DE5" w:rsidRDefault="00126F3D" w:rsidP="009531AF">
            <w:pPr>
              <w:pStyle w:val="Default"/>
              <w:keepNext/>
              <w:numPr>
                <w:ilvl w:val="0"/>
                <w:numId w:val="14"/>
              </w:numPr>
              <w:rPr>
                <w:rFonts w:cs="Arial"/>
                <w:b/>
                <w:color w:val="0070C0"/>
                <w:sz w:val="20"/>
                <w:szCs w:val="22"/>
              </w:rPr>
            </w:pPr>
            <w:fldSimple w:instr=" REF _Ref285373865 \h  \* MERGEFORMAT ">
              <w:r w:rsidR="00126DE5" w:rsidRPr="00126DE5">
                <w:rPr>
                  <w:b/>
                  <w:color w:val="0070C0"/>
                  <w:sz w:val="20"/>
                  <w:szCs w:val="22"/>
                </w:rPr>
                <w:t>Simple Open Pit Infiltration Test</w:t>
              </w:r>
            </w:fldSimple>
          </w:p>
          <w:p w:rsidR="00292B62" w:rsidRPr="009E7FDA" w:rsidRDefault="00292B62" w:rsidP="00292B62">
            <w:pPr>
              <w:pStyle w:val="Default"/>
              <w:keepNext/>
              <w:ind w:left="720"/>
              <w:rPr>
                <w:rFonts w:cs="Arial"/>
                <w:b/>
                <w:color w:val="auto"/>
                <w:sz w:val="22"/>
                <w:szCs w:val="22"/>
              </w:rPr>
            </w:pPr>
            <w:r w:rsidRPr="009E7FDA">
              <w:rPr>
                <w:rFonts w:cs="Arial"/>
                <w:b/>
                <w:color w:val="auto"/>
                <w:sz w:val="22"/>
                <w:szCs w:val="22"/>
              </w:rPr>
              <w:t>OR</w:t>
            </w:r>
          </w:p>
          <w:p w:rsidR="00292B62" w:rsidRPr="009E7FDA" w:rsidRDefault="00292B62" w:rsidP="009531AF">
            <w:pPr>
              <w:keepNext/>
              <w:numPr>
                <w:ilvl w:val="0"/>
                <w:numId w:val="13"/>
              </w:numPr>
              <w:spacing w:after="0"/>
              <w:rPr>
                <w:rFonts w:cs="Arial"/>
              </w:rPr>
            </w:pPr>
            <w:r w:rsidRPr="009E7FDA">
              <w:rPr>
                <w:rFonts w:cs="Arial"/>
              </w:rPr>
              <w:t>Any of the testing methods used to establish design infiltration rate (below)</w:t>
            </w:r>
          </w:p>
        </w:tc>
      </w:tr>
      <w:tr w:rsidR="00E63488" w:rsidRPr="00B10237" w:rsidTr="00254A9D">
        <w:tc>
          <w:tcPr>
            <w:tcW w:w="3192" w:type="dxa"/>
          </w:tcPr>
          <w:p w:rsidR="00E63488" w:rsidRPr="00292B62" w:rsidRDefault="00E63488" w:rsidP="00636C4D">
            <w:pPr>
              <w:pStyle w:val="Default"/>
              <w:keepNext/>
              <w:rPr>
                <w:rFonts w:cs="Arial"/>
                <w:sz w:val="22"/>
                <w:szCs w:val="22"/>
              </w:rPr>
            </w:pPr>
            <w:r w:rsidRPr="00292B62">
              <w:rPr>
                <w:rFonts w:cs="Arial"/>
                <w:sz w:val="22"/>
                <w:szCs w:val="22"/>
              </w:rPr>
              <w:t>Methods for Establishing Design Infiltration Rate</w:t>
            </w:r>
          </w:p>
        </w:tc>
        <w:tc>
          <w:tcPr>
            <w:tcW w:w="5556" w:type="dxa"/>
          </w:tcPr>
          <w:p w:rsidR="00AC11D9" w:rsidRPr="00126DE5" w:rsidRDefault="00126F3D" w:rsidP="009531AF">
            <w:pPr>
              <w:keepNext/>
              <w:numPr>
                <w:ilvl w:val="0"/>
                <w:numId w:val="13"/>
              </w:numPr>
              <w:spacing w:after="0"/>
              <w:rPr>
                <w:rFonts w:cs="Arial"/>
                <w:b/>
                <w:color w:val="0070C0"/>
                <w:sz w:val="20"/>
              </w:rPr>
            </w:pPr>
            <w:fldSimple w:instr=" REF _Ref261944716 \h  \* MERGEFORMAT ">
              <w:r w:rsidR="00126DE5" w:rsidRPr="00126DE5">
                <w:rPr>
                  <w:b/>
                  <w:color w:val="0070C0"/>
                  <w:sz w:val="20"/>
                </w:rPr>
                <w:t>Open Pit Falling Head Procedure</w:t>
              </w:r>
            </w:fldSimple>
          </w:p>
          <w:p w:rsidR="00AC11D9" w:rsidRPr="00126DE5" w:rsidRDefault="00126F3D" w:rsidP="009531AF">
            <w:pPr>
              <w:keepNext/>
              <w:numPr>
                <w:ilvl w:val="0"/>
                <w:numId w:val="13"/>
              </w:numPr>
              <w:spacing w:after="0"/>
              <w:rPr>
                <w:rFonts w:cs="Arial"/>
                <w:b/>
                <w:color w:val="0070C0"/>
                <w:sz w:val="20"/>
              </w:rPr>
            </w:pPr>
            <w:fldSimple w:instr=" REF _Ref284238006 \h  \* MERGEFORMAT ">
              <w:r w:rsidR="00126DE5" w:rsidRPr="00126DE5">
                <w:rPr>
                  <w:b/>
                  <w:color w:val="0070C0"/>
                  <w:sz w:val="20"/>
                </w:rPr>
                <w:t>Single Ring Infiltrometer Test</w:t>
              </w:r>
            </w:fldSimple>
          </w:p>
          <w:p w:rsidR="00E63488" w:rsidRPr="00126DE5" w:rsidRDefault="00126F3D" w:rsidP="009531AF">
            <w:pPr>
              <w:keepNext/>
              <w:numPr>
                <w:ilvl w:val="0"/>
                <w:numId w:val="13"/>
              </w:numPr>
              <w:spacing w:after="0"/>
              <w:rPr>
                <w:rFonts w:cs="Arial"/>
                <w:b/>
                <w:color w:val="0070C0"/>
                <w:sz w:val="20"/>
              </w:rPr>
            </w:pPr>
            <w:fldSimple w:instr=" REF _Ref261944731 \h  \* MERGEFORMAT ">
              <w:r w:rsidR="00126DE5" w:rsidRPr="00126DE5">
                <w:rPr>
                  <w:b/>
                  <w:color w:val="0070C0"/>
                  <w:sz w:val="20"/>
                </w:rPr>
                <w:t>Double Ring Infiltrometer Test</w:t>
              </w:r>
            </w:fldSimple>
            <w:r w:rsidR="00E63488" w:rsidRPr="00126DE5">
              <w:rPr>
                <w:rFonts w:cs="Arial"/>
                <w:b/>
                <w:color w:val="0070C0"/>
                <w:sz w:val="20"/>
              </w:rPr>
              <w:t xml:space="preserve"> </w:t>
            </w:r>
          </w:p>
          <w:p w:rsidR="00AC11D9" w:rsidRPr="00126DE5" w:rsidRDefault="00126F3D" w:rsidP="009531AF">
            <w:pPr>
              <w:keepNext/>
              <w:numPr>
                <w:ilvl w:val="0"/>
                <w:numId w:val="13"/>
              </w:numPr>
              <w:spacing w:after="0"/>
              <w:rPr>
                <w:rFonts w:cs="Arial"/>
                <w:b/>
                <w:color w:val="0070C0"/>
                <w:sz w:val="20"/>
              </w:rPr>
            </w:pPr>
            <w:r w:rsidRPr="00126DE5">
              <w:rPr>
                <w:b/>
                <w:color w:val="0070C0"/>
              </w:rPr>
              <w:fldChar w:fldCharType="begin"/>
            </w:r>
            <w:r w:rsidR="00EB5585" w:rsidRPr="00126DE5">
              <w:rPr>
                <w:b/>
                <w:color w:val="0070C0"/>
              </w:rPr>
              <w:instrText xml:space="preserve"> REF _Ref284236908 \h  \* MERGEFORMAT </w:instrText>
            </w:r>
            <w:r w:rsidRPr="00126DE5">
              <w:rPr>
                <w:b/>
                <w:color w:val="0070C0"/>
              </w:rPr>
            </w:r>
            <w:r w:rsidRPr="00126DE5">
              <w:rPr>
                <w:b/>
                <w:color w:val="0070C0"/>
              </w:rPr>
              <w:fldChar w:fldCharType="separate"/>
            </w:r>
            <w:r w:rsidR="00126DE5" w:rsidRPr="00126DE5">
              <w:rPr>
                <w:b/>
                <w:color w:val="0070C0"/>
                <w:sz w:val="20"/>
              </w:rPr>
              <w:t xml:space="preserve">Well </w:t>
            </w:r>
            <w:proofErr w:type="spellStart"/>
            <w:r w:rsidR="00126DE5" w:rsidRPr="00126DE5">
              <w:rPr>
                <w:b/>
                <w:color w:val="0070C0"/>
                <w:sz w:val="20"/>
              </w:rPr>
              <w:t>Permeameter</w:t>
            </w:r>
            <w:proofErr w:type="spellEnd"/>
            <w:r w:rsidR="00126DE5" w:rsidRPr="00126DE5">
              <w:rPr>
                <w:b/>
                <w:color w:val="0070C0"/>
                <w:sz w:val="20"/>
              </w:rPr>
              <w:t xml:space="preserve"> Method (USBR Procedure 7300-89)</w:t>
            </w:r>
            <w:r w:rsidRPr="00126DE5">
              <w:rPr>
                <w:b/>
                <w:color w:val="0070C0"/>
              </w:rPr>
              <w:fldChar w:fldCharType="end"/>
            </w:r>
          </w:p>
          <w:p w:rsidR="00AC11D9" w:rsidRPr="009E7FDA" w:rsidRDefault="00126F3D" w:rsidP="009531AF">
            <w:pPr>
              <w:keepNext/>
              <w:numPr>
                <w:ilvl w:val="0"/>
                <w:numId w:val="13"/>
              </w:numPr>
              <w:spacing w:after="0"/>
              <w:rPr>
                <w:rFonts w:cs="Arial"/>
              </w:rPr>
            </w:pPr>
            <w:fldSimple w:instr=" REF _Ref284236926 \h  \* MERGEFORMAT ">
              <w:r w:rsidR="00126DE5" w:rsidRPr="00126DE5">
                <w:rPr>
                  <w:b/>
                  <w:color w:val="0070C0"/>
                  <w:sz w:val="20"/>
                </w:rPr>
                <w:t>Percolation Test Procedure</w:t>
              </w:r>
            </w:fldSimple>
            <w:r w:rsidR="00DF24E8" w:rsidRPr="009E7FDA">
              <w:rPr>
                <w:rFonts w:cs="Arial"/>
              </w:rPr>
              <w:t xml:space="preserve"> (Riverside County Department of Environmental Health)</w:t>
            </w:r>
          </w:p>
          <w:p w:rsidR="00E63488" w:rsidRPr="009E7FDA" w:rsidRDefault="00E63488" w:rsidP="009531AF">
            <w:pPr>
              <w:keepNext/>
              <w:numPr>
                <w:ilvl w:val="0"/>
                <w:numId w:val="13"/>
              </w:numPr>
              <w:spacing w:after="0"/>
              <w:rPr>
                <w:rFonts w:cs="Arial"/>
              </w:rPr>
            </w:pPr>
            <w:r w:rsidRPr="009E7FDA">
              <w:rPr>
                <w:rFonts w:cs="Arial"/>
              </w:rPr>
              <w:t>Other analysis methods at the discretion of the project engineer</w:t>
            </w:r>
            <w:r w:rsidR="00AC11D9" w:rsidRPr="009E7FDA">
              <w:rPr>
                <w:rFonts w:cs="Arial"/>
              </w:rPr>
              <w:t xml:space="preserve"> and approval of the reviewing agency</w:t>
            </w:r>
          </w:p>
        </w:tc>
      </w:tr>
    </w:tbl>
    <w:p w:rsidR="00E63488" w:rsidRPr="00B10237" w:rsidRDefault="00E63488" w:rsidP="00E63488">
      <w:pPr>
        <w:pStyle w:val="Default"/>
        <w:rPr>
          <w:rFonts w:cs="Arial"/>
          <w:sz w:val="18"/>
          <w:szCs w:val="23"/>
        </w:rPr>
      </w:pPr>
      <w:r w:rsidRPr="00B10237">
        <w:rPr>
          <w:rFonts w:cs="Arial"/>
          <w:sz w:val="18"/>
          <w:szCs w:val="23"/>
          <w:vertAlign w:val="superscript"/>
        </w:rPr>
        <w:t>1</w:t>
      </w:r>
      <w:r w:rsidRPr="00B10237">
        <w:rPr>
          <w:rFonts w:cs="Arial"/>
          <w:sz w:val="18"/>
          <w:szCs w:val="23"/>
        </w:rPr>
        <w:t xml:space="preserve">Available data is defined in Section </w:t>
      </w:r>
      <w:fldSimple w:instr=" REF _Ref261943459 \r \h  \* MERGEFORMAT ">
        <w:r w:rsidR="00126DE5" w:rsidRPr="00126DE5">
          <w:rPr>
            <w:rFonts w:cs="Arial"/>
            <w:b/>
            <w:color w:val="0070C0"/>
            <w:sz w:val="20"/>
            <w:szCs w:val="20"/>
          </w:rPr>
          <w:t>VII.2</w:t>
        </w:r>
      </w:fldSimple>
      <w:r w:rsidRPr="00B10237">
        <w:rPr>
          <w:rFonts w:cs="Arial"/>
          <w:sz w:val="18"/>
          <w:szCs w:val="23"/>
        </w:rPr>
        <w:t xml:space="preserve"> below and does not require additional investigation.</w:t>
      </w:r>
    </w:p>
    <w:p w:rsidR="00E63488" w:rsidRDefault="00E63488" w:rsidP="00E63488">
      <w:pPr>
        <w:pStyle w:val="Default"/>
        <w:rPr>
          <w:rFonts w:ascii="Arial" w:hAnsi="Arial" w:cs="Arial"/>
          <w:sz w:val="18"/>
          <w:szCs w:val="23"/>
        </w:rPr>
      </w:pPr>
    </w:p>
    <w:p w:rsidR="007D631A" w:rsidRDefault="007D631A" w:rsidP="00E63488">
      <w:pPr>
        <w:pStyle w:val="Default"/>
        <w:rPr>
          <w:rFonts w:ascii="Arial" w:hAnsi="Arial" w:cs="Arial"/>
          <w:sz w:val="18"/>
          <w:szCs w:val="23"/>
        </w:rPr>
      </w:pPr>
    </w:p>
    <w:p w:rsidR="0014047B" w:rsidRDefault="00C5213B" w:rsidP="00A52883">
      <w:pPr>
        <w:pStyle w:val="Heading3"/>
      </w:pPr>
      <w:bookmarkStart w:id="417" w:name="_Ref287549891"/>
      <w:r>
        <w:t>Waiver of</w:t>
      </w:r>
      <w:r w:rsidR="00D244D6">
        <w:t xml:space="preserve"> Infiltration Testing Requirements</w:t>
      </w:r>
      <w:bookmarkEnd w:id="417"/>
    </w:p>
    <w:p w:rsidR="0014047B" w:rsidRDefault="00D244D6">
      <w:r>
        <w:t>The infiltration testing requirements described in this</w:t>
      </w:r>
      <w:r w:rsidR="00324EA4">
        <w:t xml:space="preserve"> appendix are not applicable</w:t>
      </w:r>
      <w:r w:rsidR="00F30235">
        <w:t xml:space="preserve"> for certain combinations of BMP type and general soil condition.  I</w:t>
      </w:r>
      <w:r w:rsidR="00324EA4">
        <w:t>n cases where available</w:t>
      </w:r>
      <w:r>
        <w:t xml:space="preserve"> soils information indicates that the soils are clearly sufficient to support </w:t>
      </w:r>
      <w:r w:rsidR="00324EA4">
        <w:t xml:space="preserve">the level of infiltration required for proper function of the </w:t>
      </w:r>
      <w:r w:rsidR="00F30235">
        <w:t>BMP</w:t>
      </w:r>
      <w:r w:rsidR="006261F2">
        <w:t xml:space="preserve"> and uncertainty in infiltration rate would not significantly influence the performance of the pract</w:t>
      </w:r>
      <w:r w:rsidR="00C5213B">
        <w:t>ice</w:t>
      </w:r>
      <w:r w:rsidR="00F30235">
        <w:t>, it is not mandatory to conduct infiltration testing</w:t>
      </w:r>
      <w:r w:rsidR="00324EA4">
        <w:t xml:space="preserve">. </w:t>
      </w:r>
      <w:r w:rsidR="00C5213B">
        <w:t>Conditions under which infiltration test</w:t>
      </w:r>
      <w:r w:rsidR="00F30235">
        <w:t>ing requirements are waived include:</w:t>
      </w:r>
    </w:p>
    <w:p w:rsidR="0014047B" w:rsidRDefault="00616820" w:rsidP="007D631A">
      <w:pPr>
        <w:pStyle w:val="ListBullet"/>
      </w:pPr>
      <w:r w:rsidRPr="00616820">
        <w:rPr>
          <w:b/>
        </w:rPr>
        <w:t>Impervious area dispersion</w:t>
      </w:r>
      <w:r w:rsidR="00D244D6">
        <w:t xml:space="preserve"> (</w:t>
      </w:r>
      <w:r w:rsidR="00F30235">
        <w:t>See</w:t>
      </w:r>
      <w:r w:rsidR="002A451E">
        <w:t xml:space="preserve"> </w:t>
      </w:r>
      <w:fldSimple w:instr=" REF _Ref287786551 \h  \* MERGEFORMAT ">
        <w:r w:rsidR="00126DE5" w:rsidRPr="00126DE5">
          <w:rPr>
            <w:b/>
            <w:color w:val="0070C0"/>
          </w:rPr>
          <w:t>HSC-2: Impervious Area Dispersion</w:t>
        </w:r>
      </w:fldSimple>
      <w:r w:rsidR="00D244D6">
        <w:t>)</w:t>
      </w:r>
      <w:r w:rsidR="005F179E">
        <w:t>: T</w:t>
      </w:r>
      <w:r w:rsidR="00324EA4">
        <w:t xml:space="preserve">esting </w:t>
      </w:r>
      <w:r w:rsidR="005F179E">
        <w:t xml:space="preserve">requirements are </w:t>
      </w:r>
      <w:r w:rsidR="00324EA4">
        <w:t>waived for</w:t>
      </w:r>
      <w:r w:rsidR="00F30235">
        <w:t xml:space="preserve"> this BMP for</w:t>
      </w:r>
      <w:r w:rsidR="00324EA4">
        <w:t xml:space="preserve"> all soil types.  Soil amendments are </w:t>
      </w:r>
      <w:r w:rsidR="005F179E">
        <w:t>required to use this practice</w:t>
      </w:r>
      <w:r w:rsidR="00F30235">
        <w:t xml:space="preserve"> where site soils are hydrologic soil group C or D</w:t>
      </w:r>
      <w:r w:rsidR="00324EA4">
        <w:t>.</w:t>
      </w:r>
    </w:p>
    <w:p w:rsidR="0014047B" w:rsidRDefault="00BF11C5" w:rsidP="007D631A">
      <w:pPr>
        <w:pStyle w:val="ListBullet"/>
      </w:pPr>
      <w:r>
        <w:rPr>
          <w:b/>
        </w:rPr>
        <w:t>Localized on-lot infiltration</w:t>
      </w:r>
      <w:r w:rsidR="00D244D6">
        <w:t xml:space="preserve"> (</w:t>
      </w:r>
      <w:r w:rsidR="00F30235">
        <w:t>See</w:t>
      </w:r>
      <w:r>
        <w:t xml:space="preserve"> </w:t>
      </w:r>
      <w:fldSimple w:instr=" REF _Ref285549719 \h  \* MERGEFORMAT ">
        <w:r w:rsidR="00126DE5" w:rsidRPr="00126DE5">
          <w:rPr>
            <w:b/>
            <w:noProof/>
            <w:color w:val="0070C0"/>
          </w:rPr>
          <w:t>HSC-1: Localized On-Lot Infiltration</w:t>
        </w:r>
      </w:fldSimple>
      <w:r w:rsidR="00D244D6">
        <w:t>)</w:t>
      </w:r>
      <w:r w:rsidR="005F179E">
        <w:t>: T</w:t>
      </w:r>
      <w:r w:rsidR="00324EA4">
        <w:t>esting requirements</w:t>
      </w:r>
      <w:r w:rsidR="005F179E">
        <w:t xml:space="preserve"> are</w:t>
      </w:r>
      <w:r w:rsidR="00324EA4">
        <w:t xml:space="preserve"> waived for</w:t>
      </w:r>
      <w:r w:rsidR="00F30235">
        <w:t xml:space="preserve"> this BMP for</w:t>
      </w:r>
      <w:r w:rsidR="00324EA4">
        <w:t xml:space="preserve"> A, B, and C soil types</w:t>
      </w:r>
      <w:r w:rsidR="005F179E">
        <w:t xml:space="preserve"> if soil type and general drainage conditions are confirmed with </w:t>
      </w:r>
      <w:r w:rsidR="00324EA4">
        <w:t>site-specific</w:t>
      </w:r>
      <w:r w:rsidR="005F179E">
        <w:t xml:space="preserve"> information</w:t>
      </w:r>
      <w:r w:rsidR="00324EA4">
        <w:t xml:space="preserve">. </w:t>
      </w:r>
      <w:r w:rsidR="005F179E">
        <w:t xml:space="preserve">This </w:t>
      </w:r>
      <w:r w:rsidR="00F30235">
        <w:t>BMP</w:t>
      </w:r>
      <w:r w:rsidR="005F179E">
        <w:t xml:space="preserve"> is not</w:t>
      </w:r>
      <w:r w:rsidR="00324EA4">
        <w:t xml:space="preserve"> suitable for D soils unless infiltration testing demonstrates </w:t>
      </w:r>
      <w:r w:rsidR="00F30235">
        <w:t xml:space="preserve">that the ponded </w:t>
      </w:r>
      <w:r w:rsidR="00324EA4">
        <w:t>depth would drain within 24 hours.</w:t>
      </w:r>
    </w:p>
    <w:p w:rsidR="0014047B" w:rsidRDefault="00616820" w:rsidP="007D631A">
      <w:pPr>
        <w:pStyle w:val="ListBullet"/>
      </w:pPr>
      <w:r w:rsidRPr="00616820">
        <w:rPr>
          <w:b/>
        </w:rPr>
        <w:t>Porous pavement</w:t>
      </w:r>
      <w:r w:rsidR="00D244D6">
        <w:t xml:space="preserve"> </w:t>
      </w:r>
      <w:r w:rsidRPr="00616820">
        <w:rPr>
          <w:b/>
        </w:rPr>
        <w:t>designed to be self-retaining</w:t>
      </w:r>
      <w:r w:rsidR="00C72F0F">
        <w:rPr>
          <w:b/>
        </w:rPr>
        <w:t xml:space="preserve"> </w:t>
      </w:r>
      <w:r w:rsidR="00C72F0F">
        <w:t xml:space="preserve">(See </w:t>
      </w:r>
      <w:fldSimple w:instr=" REF _Ref287786592 \h  \* MERGEFORMAT ">
        <w:r w:rsidR="00126DE5" w:rsidRPr="00126DE5">
          <w:rPr>
            <w:b/>
            <w:color w:val="0070C0"/>
          </w:rPr>
          <w:t>INF-6: Permeable Pavement (concrete, asphalt, and pavers)</w:t>
        </w:r>
      </w:fldSimple>
      <w:r w:rsidR="00C72F0F">
        <w:t>)</w:t>
      </w:r>
      <w:r w:rsidR="005F179E">
        <w:t xml:space="preserve">: </w:t>
      </w:r>
      <w:r w:rsidR="00324EA4">
        <w:t>Testing requirements</w:t>
      </w:r>
      <w:r w:rsidR="00F30235">
        <w:t xml:space="preserve"> for this BMP</w:t>
      </w:r>
      <w:r w:rsidR="00324EA4">
        <w:t xml:space="preserve"> are </w:t>
      </w:r>
      <w:r w:rsidR="005F179E">
        <w:t>waived for</w:t>
      </w:r>
      <w:r w:rsidR="005F179E" w:rsidRPr="005F179E">
        <w:t xml:space="preserve"> </w:t>
      </w:r>
      <w:r w:rsidR="005F179E">
        <w:t>A, B, and C soil types if soil type and general drainage conditions are confirmed with site-specific information. This waiver does not apply to porous pavement that accepts run-on from a tributary area larger than 50 percent of its area.</w:t>
      </w:r>
    </w:p>
    <w:p w:rsidR="0014047B" w:rsidRDefault="00616820" w:rsidP="007D631A">
      <w:pPr>
        <w:pStyle w:val="ListBullet"/>
      </w:pPr>
      <w:r w:rsidRPr="00616820">
        <w:rPr>
          <w:b/>
        </w:rPr>
        <w:t>Bioinfiltration</w:t>
      </w:r>
      <w:r w:rsidR="006261F2">
        <w:t xml:space="preserve"> (</w:t>
      </w:r>
      <w:r w:rsidR="00F30235">
        <w:t>See</w:t>
      </w:r>
      <w:r w:rsidR="00BF11C5">
        <w:t xml:space="preserve"> </w:t>
      </w:r>
      <w:fldSimple w:instr=" REF _Ref287786628 \h  \* MERGEFORMAT ">
        <w:r w:rsidR="00126DE5" w:rsidRPr="00126DE5">
          <w:rPr>
            <w:b/>
            <w:color w:val="0070C0"/>
          </w:rPr>
          <w:t>INF-4: Bioinfiltration Fact Sheet</w:t>
        </w:r>
      </w:fldSimple>
      <w:r w:rsidR="00F30235">
        <w:t xml:space="preserve">). </w:t>
      </w:r>
      <w:r w:rsidR="006261F2">
        <w:t xml:space="preserve">Based on </w:t>
      </w:r>
      <w:r w:rsidR="00F30235">
        <w:t xml:space="preserve">the LID </w:t>
      </w:r>
      <w:r w:rsidR="006261F2">
        <w:t>BMP hierarchy, this</w:t>
      </w:r>
      <w:r w:rsidR="00F30235">
        <w:t xml:space="preserve"> type of</w:t>
      </w:r>
      <w:r w:rsidR="006261F2">
        <w:t xml:space="preserve"> BMP may only be used if infiltration of the full DCV is not feasible; therefore exploratory infiltration </w:t>
      </w:r>
      <w:r w:rsidR="00F30235">
        <w:t>rate assessment</w:t>
      </w:r>
      <w:r w:rsidR="006261F2">
        <w:t xml:space="preserve"> (Section </w:t>
      </w:r>
      <w:fldSimple w:instr=" REF _Ref287547545 \r \h  \* MERGEFORMAT ">
        <w:r w:rsidR="00126DE5" w:rsidRPr="00126DE5">
          <w:rPr>
            <w:b/>
            <w:color w:val="0070C0"/>
            <w:sz w:val="20"/>
          </w:rPr>
          <w:t>VII.2</w:t>
        </w:r>
      </w:fldSimple>
      <w:r w:rsidR="006261F2">
        <w:t xml:space="preserve">) is required. </w:t>
      </w:r>
      <w:r w:rsidR="00F30235">
        <w:t xml:space="preserve"> </w:t>
      </w:r>
      <w:r w:rsidR="006261F2">
        <w:t xml:space="preserve">However, testing to determine design infiltration rate (Section </w:t>
      </w:r>
      <w:fldSimple w:instr=" REF _Ref287547593 \r \h  \* MERGEFORMAT ">
        <w:r w:rsidR="00126DE5" w:rsidRPr="00126DE5">
          <w:rPr>
            <w:b/>
            <w:color w:val="0070C0"/>
            <w:sz w:val="20"/>
          </w:rPr>
          <w:t>VII.3</w:t>
        </w:r>
      </w:fldSimple>
      <w:r w:rsidR="006261F2">
        <w:t>) is not require</w:t>
      </w:r>
      <w:r w:rsidR="00F30235">
        <w:t>d.</w:t>
      </w:r>
      <w:r w:rsidR="006261F2">
        <w:t xml:space="preserve"> See </w:t>
      </w:r>
      <w:fldSimple w:instr=" REF _Ref287646132 \r \h  \* MERGEFORMAT ">
        <w:r w:rsidR="00126DE5" w:rsidRPr="00126DE5">
          <w:rPr>
            <w:b/>
            <w:color w:val="0070C0"/>
            <w:sz w:val="20"/>
          </w:rPr>
          <w:t>Appendix XI</w:t>
        </w:r>
      </w:fldSimple>
      <w:r w:rsidR="00C72F0F">
        <w:t xml:space="preserve"> </w:t>
      </w:r>
      <w:r w:rsidR="006261F2">
        <w:t>for instructions for sizing</w:t>
      </w:r>
      <w:r w:rsidR="00F30235">
        <w:t xml:space="preserve"> the infiltration</w:t>
      </w:r>
      <w:r w:rsidR="006261F2">
        <w:t xml:space="preserve"> component</w:t>
      </w:r>
      <w:r w:rsidR="00F30235">
        <w:t xml:space="preserve"> of a bioinfiltration BMP</w:t>
      </w:r>
      <w:r w:rsidR="006261F2">
        <w:t xml:space="preserve"> to achieve maximum feasible </w:t>
      </w:r>
      <w:r w:rsidR="00F30235">
        <w:t>infiltration</w:t>
      </w:r>
      <w:r w:rsidR="006261F2">
        <w:t xml:space="preserve">. </w:t>
      </w:r>
    </w:p>
    <w:p w:rsidR="00FE3A73" w:rsidRDefault="00E63488" w:rsidP="00A52883">
      <w:pPr>
        <w:pStyle w:val="Heading3"/>
      </w:pPr>
      <w:r w:rsidRPr="00811747">
        <w:t>A Note on “Infiltration Rate” vs. “</w:t>
      </w:r>
      <w:r w:rsidRPr="00254A9D">
        <w:t>Percolation</w:t>
      </w:r>
      <w:r w:rsidRPr="00811747">
        <w:t xml:space="preserve"> Rate” </w:t>
      </w:r>
    </w:p>
    <w:p w:rsidR="00A05B65" w:rsidRPr="002E1936" w:rsidRDefault="00E63488" w:rsidP="002E1936">
      <w:r>
        <w:t>A common misunderstanding i</w:t>
      </w:r>
      <w:r w:rsidRPr="00B70137">
        <w:t>s that the “percolation rate” obtained from a percolation test is equivalent to the “infiltration rate” obtained from a single or double ring infiltrometer test. While the percolation rate is related to the infiltration rate, percolation rates tend to overestimate infiltration rates and can be off by a factor of ten or more because they incorporate both downward and horizontal fluxes of water, whereas infiltration only refers to a downward flux of water.</w:t>
      </w:r>
      <w:r>
        <w:t xml:space="preserve"> </w:t>
      </w:r>
      <w:proofErr w:type="gramStart"/>
      <w:r w:rsidR="00BF11C5">
        <w:t xml:space="preserve">When using borehole-type methods, the </w:t>
      </w:r>
      <w:r w:rsidRPr="00B70137">
        <w:t xml:space="preserve">percolation rate </w:t>
      </w:r>
      <w:r w:rsidR="00BF11C5">
        <w:t xml:space="preserve">obtained </w:t>
      </w:r>
      <w:r w:rsidR="002E1936">
        <w:t xml:space="preserve">shall </w:t>
      </w:r>
      <w:r w:rsidRPr="00B70137">
        <w:t xml:space="preserve">be converted to a reasonable estimate of the infiltration rate using the </w:t>
      </w:r>
      <w:proofErr w:type="spellStart"/>
      <w:r w:rsidRPr="00B70137">
        <w:t>Porchet</w:t>
      </w:r>
      <w:proofErr w:type="spellEnd"/>
      <w:r w:rsidRPr="00B70137">
        <w:t xml:space="preserve"> Method</w:t>
      </w:r>
      <w:r w:rsidR="002E1936">
        <w:t xml:space="preserve"> (aka Inverse Borehole Method) (See </w:t>
      </w:r>
      <w:r w:rsidR="00126F3D" w:rsidRPr="00126DE5">
        <w:rPr>
          <w:b/>
          <w:color w:val="0070C0"/>
          <w:sz w:val="20"/>
        </w:rPr>
        <w:fldChar w:fldCharType="begin"/>
      </w:r>
      <w:r w:rsidR="002E1936" w:rsidRPr="00126DE5">
        <w:rPr>
          <w:b/>
          <w:color w:val="0070C0"/>
          <w:sz w:val="20"/>
        </w:rPr>
        <w:instrText xml:space="preserve"> REF _Ref287895923 \h </w:instrText>
      </w:r>
      <w:r w:rsidR="00126F3D" w:rsidRPr="00126DE5">
        <w:rPr>
          <w:b/>
          <w:color w:val="0070C0"/>
          <w:sz w:val="20"/>
        </w:rPr>
      </w:r>
      <w:r w:rsidR="00126F3D" w:rsidRPr="00126DE5">
        <w:rPr>
          <w:b/>
          <w:color w:val="0070C0"/>
          <w:sz w:val="20"/>
        </w:rPr>
        <w:fldChar w:fldCharType="separate"/>
      </w:r>
      <w:r w:rsidR="00126DE5" w:rsidRPr="00126DE5">
        <w:rPr>
          <w:b/>
          <w:color w:val="0070C0"/>
        </w:rPr>
        <w:t xml:space="preserve">Example </w:t>
      </w:r>
      <w:r w:rsidR="00126DE5" w:rsidRPr="00126DE5">
        <w:rPr>
          <w:b/>
          <w:noProof/>
          <w:color w:val="0070C0"/>
        </w:rPr>
        <w:t>VII</w:t>
      </w:r>
      <w:r w:rsidR="00126DE5" w:rsidRPr="00126DE5">
        <w:rPr>
          <w:b/>
          <w:color w:val="0070C0"/>
        </w:rPr>
        <w:t>.</w:t>
      </w:r>
      <w:r w:rsidR="00126DE5" w:rsidRPr="00126DE5">
        <w:rPr>
          <w:b/>
          <w:noProof/>
          <w:color w:val="0070C0"/>
        </w:rPr>
        <w:t>1</w:t>
      </w:r>
      <w:r w:rsidR="00126F3D" w:rsidRPr="00126DE5">
        <w:rPr>
          <w:b/>
          <w:color w:val="0070C0"/>
          <w:sz w:val="20"/>
        </w:rPr>
        <w:fldChar w:fldCharType="end"/>
      </w:r>
      <w:r w:rsidR="002E1936">
        <w:t>)</w:t>
      </w:r>
      <w:r w:rsidRPr="00B70137">
        <w:t>.</w:t>
      </w:r>
      <w:proofErr w:type="gramEnd"/>
    </w:p>
    <w:p w:rsidR="00FE3A73" w:rsidRDefault="00E63488" w:rsidP="00A52883">
      <w:pPr>
        <w:pStyle w:val="Heading3"/>
      </w:pPr>
      <w:r w:rsidRPr="00B70137">
        <w:t xml:space="preserve">Grading Plans </w:t>
      </w:r>
    </w:p>
    <w:p w:rsidR="00E63488" w:rsidRPr="00B70137" w:rsidRDefault="00E63488" w:rsidP="00E63488">
      <w:r w:rsidRPr="00B70137">
        <w:t xml:space="preserve">Many projects require a significant amount of grading prior to their construction. It is important to determine if the BMP will be placed in cut or fill since this may affect the performance of the BMP or even the soil. As such, preliminary site grading plans showing the proposed BMP locations are required along with section views through each BMP clearly identifying the extents of cut or fill. In addition, since it is imperative that any testing be performed at the proper elevations and locations, it is highly recommended that the preliminary site grading plans be provided to the engineer/geologist prior to any tests being performed. </w:t>
      </w:r>
    </w:p>
    <w:p w:rsidR="00FE3A73" w:rsidRDefault="00E63488" w:rsidP="00A52883">
      <w:pPr>
        <w:pStyle w:val="Heading3"/>
      </w:pPr>
      <w:r w:rsidRPr="00B70137">
        <w:t xml:space="preserve">Cut </w:t>
      </w:r>
      <w:r w:rsidRPr="00254A9D">
        <w:t>Condition</w:t>
      </w:r>
      <w:r w:rsidRPr="00B70137">
        <w:t xml:space="preserve"> </w:t>
      </w:r>
    </w:p>
    <w:p w:rsidR="00FC6CAC" w:rsidRDefault="00E63488" w:rsidP="00E63488">
      <w:r w:rsidRPr="00B70137">
        <w:t>Where the proposed infiltration BMP is to be located in a cut condition, the infiltration surface level at the bottom of the BMP might be far below the existing grade. For example, if the infiltration surface of a proposed BMP is to be located at an elevation that is currently beneath 15 feet of cut, how can the proposed infiltration surface be tested</w:t>
      </w:r>
      <w:r>
        <w:t xml:space="preserve">? </w:t>
      </w:r>
    </w:p>
    <w:p w:rsidR="00E63488" w:rsidRPr="00B70137" w:rsidRDefault="00E63488" w:rsidP="00E63488">
      <w:r w:rsidRPr="00B70137">
        <w:t xml:space="preserve">In order to determine an infiltration rate where the proposed infiltration surface is in a cut condition, the following procedures may be used: </w:t>
      </w:r>
    </w:p>
    <w:p w:rsidR="00E63488" w:rsidRPr="00B70137" w:rsidRDefault="007D631A" w:rsidP="007D631A">
      <w:pPr>
        <w:ind w:left="720"/>
        <w:contextualSpacing/>
      </w:pPr>
      <w:r>
        <w:t>1)</w:t>
      </w:r>
      <w:r w:rsidR="00E63488">
        <w:t xml:space="preserve"> </w:t>
      </w:r>
      <w:r w:rsidR="00E63488" w:rsidRPr="00B70137">
        <w:t xml:space="preserve">USBR 7300-89, “Procedure for Performing field Permeability Testing by the Well </w:t>
      </w:r>
      <w:proofErr w:type="spellStart"/>
      <w:r w:rsidR="00E63488" w:rsidRPr="00B70137">
        <w:t>Permeameter</w:t>
      </w:r>
      <w:proofErr w:type="spellEnd"/>
      <w:r w:rsidR="00E63488" w:rsidRPr="00B70137">
        <w:t xml:space="preserve"> Method” (Section</w:t>
      </w:r>
      <w:r w:rsidR="00E63488">
        <w:t xml:space="preserve"> </w:t>
      </w:r>
      <w:r w:rsidR="00126F3D" w:rsidRPr="00126DE5">
        <w:rPr>
          <w:rFonts w:cs="Arial"/>
          <w:b/>
          <w:color w:val="0070C0"/>
          <w:sz w:val="20"/>
          <w:szCs w:val="20"/>
        </w:rPr>
        <w:fldChar w:fldCharType="begin"/>
      </w:r>
      <w:r w:rsidR="00E63488" w:rsidRPr="00126DE5">
        <w:rPr>
          <w:rFonts w:cs="Arial"/>
          <w:b/>
          <w:color w:val="0070C0"/>
          <w:sz w:val="20"/>
          <w:szCs w:val="20"/>
        </w:rPr>
        <w:instrText xml:space="preserve"> REF _Ref284236908 \r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rFonts w:cs="Arial"/>
          <w:b/>
          <w:color w:val="0070C0"/>
          <w:sz w:val="20"/>
          <w:szCs w:val="20"/>
        </w:rPr>
        <w:t>VII.3.7</w:t>
      </w:r>
      <w:r w:rsidR="00126F3D" w:rsidRPr="00126DE5">
        <w:rPr>
          <w:rFonts w:cs="Arial"/>
          <w:b/>
          <w:color w:val="0070C0"/>
          <w:sz w:val="20"/>
          <w:szCs w:val="20"/>
        </w:rPr>
        <w:fldChar w:fldCharType="end"/>
      </w:r>
      <w:r w:rsidR="00E63488">
        <w:t xml:space="preserve"> below</w:t>
      </w:r>
      <w:r w:rsidR="00E63488" w:rsidRPr="00B70137">
        <w:t>).</w:t>
      </w:r>
      <w:r w:rsidR="00E63488">
        <w:t xml:space="preserve"> Note that this</w:t>
      </w:r>
      <w:r w:rsidR="00E63488" w:rsidRPr="00B70137">
        <w:t xml:space="preserve"> result must be converted to an infiltration rate. </w:t>
      </w:r>
    </w:p>
    <w:p w:rsidR="00E63488" w:rsidRPr="00B70137" w:rsidRDefault="007D631A" w:rsidP="007D631A">
      <w:pPr>
        <w:ind w:left="720"/>
        <w:contextualSpacing/>
      </w:pPr>
      <w:r>
        <w:t>2)</w:t>
      </w:r>
      <w:r w:rsidR="00E63488">
        <w:t xml:space="preserve"> The p</w:t>
      </w:r>
      <w:r w:rsidR="00E63488" w:rsidRPr="00B70137">
        <w:t>ercolat</w:t>
      </w:r>
      <w:r w:rsidR="00E63488">
        <w:t xml:space="preserve">ion test (Section </w:t>
      </w:r>
      <w:r w:rsidR="00126F3D" w:rsidRPr="00126DE5">
        <w:rPr>
          <w:rFonts w:cs="Arial"/>
          <w:b/>
          <w:color w:val="0070C0"/>
          <w:sz w:val="20"/>
          <w:szCs w:val="20"/>
        </w:rPr>
        <w:fldChar w:fldCharType="begin"/>
      </w:r>
      <w:r w:rsidR="00E63488" w:rsidRPr="00126DE5">
        <w:rPr>
          <w:rFonts w:cs="Arial"/>
          <w:b/>
          <w:color w:val="0070C0"/>
          <w:sz w:val="20"/>
          <w:szCs w:val="20"/>
        </w:rPr>
        <w:instrText xml:space="preserve"> REF _Ref284236926 \r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rFonts w:cs="Arial"/>
          <w:b/>
          <w:color w:val="0070C0"/>
          <w:sz w:val="20"/>
          <w:szCs w:val="20"/>
        </w:rPr>
        <w:t>VII.3.8</w:t>
      </w:r>
      <w:r w:rsidR="00126F3D" w:rsidRPr="00126DE5">
        <w:rPr>
          <w:rFonts w:cs="Arial"/>
          <w:b/>
          <w:color w:val="0070C0"/>
          <w:sz w:val="20"/>
          <w:szCs w:val="20"/>
        </w:rPr>
        <w:fldChar w:fldCharType="end"/>
      </w:r>
      <w:r w:rsidR="00E63488">
        <w:t xml:space="preserve"> below)</w:t>
      </w:r>
      <w:r w:rsidR="00E63488" w:rsidRPr="00B70137">
        <w:t>. Note</w:t>
      </w:r>
      <w:r w:rsidR="00E63488">
        <w:t xml:space="preserve"> that this</w:t>
      </w:r>
      <w:r w:rsidR="00E63488" w:rsidRPr="00B70137">
        <w:t xml:space="preserve"> result must be converted to an infiltration rate. </w:t>
      </w:r>
    </w:p>
    <w:p w:rsidR="00FE3A73" w:rsidRDefault="00E63488" w:rsidP="00A52883">
      <w:pPr>
        <w:pStyle w:val="Heading3"/>
      </w:pPr>
      <w:r w:rsidRPr="00B70137">
        <w:t xml:space="preserve">Fill Condition </w:t>
      </w:r>
    </w:p>
    <w:p w:rsidR="00254A9D" w:rsidRDefault="00E63488" w:rsidP="00E63488">
      <w:r w:rsidRPr="00B70137">
        <w:t xml:space="preserve">If the bottom of a BMP (infiltration surface) is in a fill location, the infiltration surface may not exist prior to grading. How then can the infiltration rate be determined? For example, if a proposed infiltration BMP is to be located in 12 feet of fill, how could one reasonably establish an infiltration rate prior to the fill being placed? </w:t>
      </w:r>
    </w:p>
    <w:p w:rsidR="00E63488" w:rsidRPr="00B70137" w:rsidRDefault="00E63488" w:rsidP="00E63488">
      <w:r w:rsidRPr="00B70137">
        <w:t xml:space="preserve">Unfortunately, no reliable assumptions can be made about the in-situ properties of fill soil. As such, the bottom, or rather the infiltration surface of the BMP, must extend into natural soil. The natural soil shall be tested at the design elevation prior to the fill being placed. </w:t>
      </w:r>
    </w:p>
    <w:p w:rsidR="00E63488" w:rsidRPr="00B70137" w:rsidRDefault="00292B62" w:rsidP="00E63488">
      <w:r>
        <w:t>For shallow fill depths, fill material can be selectively graded to provide reliable infiltration properties.  However, i</w:t>
      </w:r>
      <w:r w:rsidR="00E63488" w:rsidRPr="00B70137">
        <w:t xml:space="preserve">n some cases, </w:t>
      </w:r>
      <w:r w:rsidR="00CB4D18">
        <w:t xml:space="preserve">due to considerable fill depth, </w:t>
      </w:r>
      <w:r w:rsidR="00E63488" w:rsidRPr="00B70137">
        <w:t xml:space="preserve">the extension of the BMP down to natural soil </w:t>
      </w:r>
      <w:r>
        <w:t>and selective grading of fill materia</w:t>
      </w:r>
      <w:r w:rsidR="00647B99">
        <w:t>l</w:t>
      </w:r>
      <w:r>
        <w:t xml:space="preserve"> </w:t>
      </w:r>
      <w:r w:rsidR="00E63488" w:rsidRPr="00B70137">
        <w:t xml:space="preserve">may prove infeasible. In that case, </w:t>
      </w:r>
      <w:r w:rsidR="00CB4D18">
        <w:t xml:space="preserve">because of the uncertainty of fill parameters as described above, </w:t>
      </w:r>
      <w:r>
        <w:t>an infiltration BMP may not be feasible</w:t>
      </w:r>
      <w:r w:rsidR="00E63488" w:rsidRPr="00B70137">
        <w:t xml:space="preserve">. </w:t>
      </w:r>
    </w:p>
    <w:p w:rsidR="00FE3A73" w:rsidRDefault="00E63488" w:rsidP="00A52883">
      <w:pPr>
        <w:pStyle w:val="Heading2"/>
      </w:pPr>
      <w:bookmarkStart w:id="418" w:name="_Toc285308158"/>
      <w:bookmarkStart w:id="419" w:name="_Toc285315742"/>
      <w:bookmarkStart w:id="420" w:name="_Toc285492461"/>
      <w:bookmarkStart w:id="421" w:name="_Ref287547545"/>
      <w:bookmarkStart w:id="422" w:name="_Toc288541081"/>
      <w:bookmarkStart w:id="423" w:name="_Toc293937138"/>
      <w:bookmarkStart w:id="424" w:name="_Ref261943459"/>
      <w:r>
        <w:t xml:space="preserve">Methods for </w:t>
      </w:r>
      <w:r w:rsidRPr="00254A9D">
        <w:t>Identifying</w:t>
      </w:r>
      <w:r w:rsidRPr="003826AA">
        <w:t xml:space="preserve"> Areas Potentially Feasible for Infiltration</w:t>
      </w:r>
      <w:bookmarkEnd w:id="418"/>
      <w:bookmarkEnd w:id="419"/>
      <w:bookmarkEnd w:id="420"/>
      <w:bookmarkEnd w:id="421"/>
      <w:bookmarkEnd w:id="422"/>
      <w:bookmarkEnd w:id="423"/>
      <w:r w:rsidRPr="003826AA">
        <w:t xml:space="preserve"> </w:t>
      </w:r>
    </w:p>
    <w:p w:rsidR="00A16CAF" w:rsidRDefault="00A16CAF" w:rsidP="00A16CAF">
      <w:r>
        <w:t xml:space="preserve">This section describes methods that shall be used, as applicable, to determine whether soils are potentially feasible for infiltration, and where potentially feasible soils exist.  Soils would be considered potentially feasible for infiltration if </w:t>
      </w:r>
      <w:r w:rsidR="00CB4D18">
        <w:t xml:space="preserve">the </w:t>
      </w:r>
      <w:r w:rsidRPr="00987028">
        <w:rPr>
          <w:i/>
        </w:rPr>
        <w:t>measured infiltration rate</w:t>
      </w:r>
      <w:r>
        <w:rPr>
          <w:i/>
        </w:rPr>
        <w:t xml:space="preserve"> </w:t>
      </w:r>
      <w:r w:rsidRPr="00A16CAF">
        <w:t xml:space="preserve">obtained from </w:t>
      </w:r>
      <w:r w:rsidR="00CB4D18">
        <w:t>field-</w:t>
      </w:r>
      <w:r w:rsidRPr="00A16CAF">
        <w:t xml:space="preserve">testing or </w:t>
      </w:r>
      <w:r>
        <w:t>obtained by applying professional judgment to available data</w:t>
      </w:r>
      <w:r w:rsidR="00CB4D18">
        <w:t xml:space="preserve"> taken within the Project vicinity</w:t>
      </w:r>
      <w:r>
        <w:t xml:space="preserve"> is greater than 0.3 inches per hour. </w:t>
      </w:r>
      <w:r w:rsidRPr="00A16CAF">
        <w:rPr>
          <w:i/>
        </w:rPr>
        <w:t>Measured</w:t>
      </w:r>
      <w:r>
        <w:t xml:space="preserve"> rates </w:t>
      </w:r>
      <w:r w:rsidR="00292B62">
        <w:t xml:space="preserve">shall </w:t>
      </w:r>
      <w:r>
        <w:t>account for uncertainty and bias in measurement methods</w:t>
      </w:r>
      <w:r w:rsidR="00292B62">
        <w:t xml:space="preserve"> by applying a factor of safety of 2.0 to testing results.</w:t>
      </w:r>
    </w:p>
    <w:p w:rsidR="00F30235" w:rsidRPr="00A16CAF" w:rsidRDefault="00F30235" w:rsidP="00A16CAF">
      <w:r>
        <w:t xml:space="preserve">The </w:t>
      </w:r>
      <w:r w:rsidR="00616820" w:rsidRPr="00616820">
        <w:rPr>
          <w:i/>
        </w:rPr>
        <w:t>measured infiltration rate</w:t>
      </w:r>
      <w:r>
        <w:t xml:space="preserve"> calculated for the purpose of infiltration infeasibility screening (</w:t>
      </w:r>
      <w:r w:rsidRPr="00A214BC">
        <w:rPr>
          <w:b/>
          <w:color w:val="00B050"/>
        </w:rPr>
        <w:t>TGD Section 2.4</w:t>
      </w:r>
      <w:r>
        <w:rPr>
          <w:color w:val="00B050"/>
        </w:rPr>
        <w:t>)</w:t>
      </w:r>
      <w:r>
        <w:t xml:space="preserve"> shall be based on a factor of safety of 2.0 applied to the rates obtained from the infiltration test results.  No adjustments from this value are permitted. The factor of safety used to compute the </w:t>
      </w:r>
      <w:r w:rsidRPr="00F30235">
        <w:rPr>
          <w:i/>
        </w:rPr>
        <w:t>design infiltration rate</w:t>
      </w:r>
      <w:r>
        <w:t xml:space="preserve"> shall not be less than 2.0, but may be higher at the discretion of the design engineer and acceptance of the plan reviewer</w:t>
      </w:r>
      <w:r>
        <w:rPr>
          <w:i/>
        </w:rPr>
        <w:t>,</w:t>
      </w:r>
      <w:r>
        <w:t xml:space="preserve"> per the considerations described in Section </w:t>
      </w:r>
      <w:r w:rsidR="00126F3D" w:rsidRPr="00126DE5">
        <w:rPr>
          <w:b/>
          <w:color w:val="0070C0"/>
          <w:sz w:val="20"/>
        </w:rPr>
        <w:fldChar w:fldCharType="begin"/>
      </w:r>
      <w:r w:rsidRPr="00126DE5">
        <w:rPr>
          <w:b/>
          <w:color w:val="0070C0"/>
          <w:sz w:val="20"/>
        </w:rPr>
        <w:instrText xml:space="preserve"> REF _Ref261944895 \r \h </w:instrText>
      </w:r>
      <w:r w:rsidR="00126F3D" w:rsidRPr="00126DE5">
        <w:rPr>
          <w:b/>
          <w:color w:val="0070C0"/>
          <w:sz w:val="20"/>
        </w:rPr>
      </w:r>
      <w:r w:rsidR="00126F3D" w:rsidRPr="00126DE5">
        <w:rPr>
          <w:b/>
          <w:color w:val="0070C0"/>
          <w:sz w:val="20"/>
        </w:rPr>
        <w:fldChar w:fldCharType="separate"/>
      </w:r>
      <w:r w:rsidR="00126DE5" w:rsidRPr="00126DE5">
        <w:rPr>
          <w:b/>
          <w:color w:val="0070C0"/>
          <w:sz w:val="20"/>
        </w:rPr>
        <w:t>VII.4</w:t>
      </w:r>
      <w:r w:rsidR="00126F3D" w:rsidRPr="00126DE5">
        <w:rPr>
          <w:b/>
          <w:color w:val="0070C0"/>
          <w:sz w:val="20"/>
        </w:rPr>
        <w:fldChar w:fldCharType="end"/>
      </w:r>
      <w:r>
        <w:t xml:space="preserve">. </w:t>
      </w:r>
    </w:p>
    <w:p w:rsidR="00FE3A73" w:rsidRDefault="00E63488" w:rsidP="00A52883">
      <w:pPr>
        <w:pStyle w:val="Heading3"/>
      </w:pPr>
      <w:bookmarkStart w:id="425" w:name="_Ref285373907"/>
      <w:r>
        <w:t>Use of Regional Maps and “</w:t>
      </w:r>
      <w:r w:rsidRPr="00254A9D">
        <w:t>Available</w:t>
      </w:r>
      <w:r>
        <w:t xml:space="preserve"> Data”</w:t>
      </w:r>
      <w:bookmarkEnd w:id="424"/>
      <w:bookmarkEnd w:id="425"/>
    </w:p>
    <w:p w:rsidR="00254A9D" w:rsidRDefault="00E63488" w:rsidP="00E63488">
      <w:r>
        <w:t xml:space="preserve">This section describes a method that satisfies the requirements for infiltration screening of </w:t>
      </w:r>
      <w:proofErr w:type="gramStart"/>
      <w:r>
        <w:t>small  projects</w:t>
      </w:r>
      <w:proofErr w:type="gramEnd"/>
      <w:r>
        <w:t xml:space="preserve"> as defined by the </w:t>
      </w:r>
      <w:r w:rsidR="00990A72">
        <w:t>TGD</w:t>
      </w:r>
      <w:r>
        <w:t xml:space="preserve"> </w:t>
      </w:r>
      <w:r w:rsidR="000C0C3F">
        <w:t>Infeasibility Screening Criteria</w:t>
      </w:r>
      <w:r>
        <w:t xml:space="preserve"> (</w:t>
      </w:r>
      <w:r w:rsidR="000C0C3F" w:rsidRPr="00A214BC">
        <w:rPr>
          <w:b/>
          <w:color w:val="00B050"/>
        </w:rPr>
        <w:t xml:space="preserve">TGD </w:t>
      </w:r>
      <w:r w:rsidRPr="00A214BC">
        <w:rPr>
          <w:b/>
          <w:color w:val="00B050"/>
        </w:rPr>
        <w:t xml:space="preserve">Section </w:t>
      </w:r>
      <w:r w:rsidR="000C0C3F" w:rsidRPr="00A214BC">
        <w:rPr>
          <w:b/>
          <w:color w:val="00B050"/>
        </w:rPr>
        <w:t>2.4</w:t>
      </w:r>
      <w:r>
        <w:t xml:space="preserve">). This method uses regionally mapped data coupled with </w:t>
      </w:r>
      <w:r w:rsidR="00F30235">
        <w:t xml:space="preserve">all applicable </w:t>
      </w:r>
      <w:r>
        <w:t>data available through other site investigations to identify locations not potentially feasible for infiltration as a result of low infiltration rate or high groundwater table.</w:t>
      </w:r>
    </w:p>
    <w:p w:rsidR="00804BA8" w:rsidRDefault="00804BA8" w:rsidP="00E63488">
      <w:r>
        <w:t>Via this method, areas of a project identified as having D soils or identified as having depth to first groundwater less than 5 feet are considered infeasible for infiltration if available data confirm these determinations.</w:t>
      </w:r>
    </w:p>
    <w:p w:rsidR="00254A9D" w:rsidRDefault="00E63488" w:rsidP="00E63488">
      <w:r>
        <w:t xml:space="preserve">Infiltration constraint maps </w:t>
      </w:r>
      <w:r w:rsidR="00F30235">
        <w:t xml:space="preserve">are available in </w:t>
      </w:r>
      <w:r w:rsidR="00126F3D" w:rsidRPr="00126DE5">
        <w:rPr>
          <w:b/>
          <w:color w:val="0070C0"/>
          <w:sz w:val="20"/>
        </w:rPr>
        <w:fldChar w:fldCharType="begin"/>
      </w:r>
      <w:r w:rsidR="00F30235" w:rsidRPr="00126DE5">
        <w:rPr>
          <w:b/>
          <w:color w:val="0070C0"/>
          <w:sz w:val="20"/>
        </w:rPr>
        <w:instrText xml:space="preserve"> REF _Ref285118309 \r \h </w:instrText>
      </w:r>
      <w:r w:rsidR="00126F3D" w:rsidRPr="00126DE5">
        <w:rPr>
          <w:b/>
          <w:color w:val="0070C0"/>
          <w:sz w:val="20"/>
        </w:rPr>
      </w:r>
      <w:r w:rsidR="00126F3D" w:rsidRPr="00126DE5">
        <w:rPr>
          <w:b/>
          <w:color w:val="0070C0"/>
          <w:sz w:val="20"/>
        </w:rPr>
        <w:fldChar w:fldCharType="separate"/>
      </w:r>
      <w:r w:rsidR="00126DE5" w:rsidRPr="00126DE5">
        <w:rPr>
          <w:b/>
          <w:color w:val="0070C0"/>
          <w:sz w:val="20"/>
        </w:rPr>
        <w:t>Appendix XVI</w:t>
      </w:r>
      <w:r w:rsidR="00126F3D" w:rsidRPr="00126DE5">
        <w:rPr>
          <w:b/>
          <w:color w:val="0070C0"/>
          <w:sz w:val="20"/>
        </w:rPr>
        <w:fldChar w:fldCharType="end"/>
      </w:r>
      <w:r w:rsidR="00F30235">
        <w:t xml:space="preserve"> and will be refined </w:t>
      </w:r>
      <w:r>
        <w:t xml:space="preserve">as part of </w:t>
      </w:r>
      <w:r w:rsidR="00F30235">
        <w:t>the development of Watershed Hydromodification and Infiltration Management Plans.</w:t>
      </w:r>
      <w:r>
        <w:t xml:space="preserve"> </w:t>
      </w:r>
      <w:r w:rsidR="00F30235">
        <w:t xml:space="preserve"> </w:t>
      </w:r>
      <w:r>
        <w:t>These maps identify constraints, including hydrologic soil group (A</w:t>
      </w:r>
      <w:proofErr w:type="gramStart"/>
      <w:r>
        <w:t>,B,C,D</w:t>
      </w:r>
      <w:proofErr w:type="gramEnd"/>
      <w:r>
        <w:t xml:space="preserve">), and depth to first groundwater, which should be confirmed through review of available data. </w:t>
      </w:r>
    </w:p>
    <w:p w:rsidR="00E63488" w:rsidRDefault="00E63488" w:rsidP="00E63488">
      <w:r>
        <w:t xml:space="preserve">“Available data” is defined as data collected </w:t>
      </w:r>
      <w:r w:rsidR="00F30235">
        <w:t>by the project or otherwise available that provides information about infiltration rates</w:t>
      </w:r>
      <w:r w:rsidR="002B0B2C">
        <w:t xml:space="preserve"> and/or groundwater depths</w:t>
      </w:r>
      <w:r w:rsidR="00F30235">
        <w:t>. Applicable data is</w:t>
      </w:r>
      <w:r>
        <w:t xml:space="preserve"> expected to be available as part of nearly all projects subject to New Development and Significant Redevelopment stormwater management requirements in Orange County. Data sources may include:</w:t>
      </w:r>
    </w:p>
    <w:p w:rsidR="00E63488" w:rsidRDefault="00E63488" w:rsidP="007D631A">
      <w:pPr>
        <w:pStyle w:val="ListBullet"/>
      </w:pPr>
      <w:r>
        <w:t>Geotechnical investigations</w:t>
      </w:r>
    </w:p>
    <w:p w:rsidR="00E63488" w:rsidRDefault="00E63488" w:rsidP="007D631A">
      <w:pPr>
        <w:pStyle w:val="ListBullet"/>
      </w:pPr>
      <w:r>
        <w:t>Due diligence site investigations</w:t>
      </w:r>
    </w:p>
    <w:p w:rsidR="00E63488" w:rsidRDefault="00E63488" w:rsidP="007D631A">
      <w:pPr>
        <w:pStyle w:val="ListBullet"/>
      </w:pPr>
      <w:r>
        <w:t>Other CEQA investigations</w:t>
      </w:r>
    </w:p>
    <w:p w:rsidR="00E63488" w:rsidRDefault="00E63488" w:rsidP="007D631A">
      <w:pPr>
        <w:pStyle w:val="ListBullet"/>
      </w:pPr>
      <w:r>
        <w:t>Investigations performed on adjacent sites with applicability to the project site</w:t>
      </w:r>
    </w:p>
    <w:p w:rsidR="00E63488" w:rsidRDefault="00E63488" w:rsidP="00E63488">
      <w:r>
        <w:t>For projects permitted to utilize this method, additional infiltration testing data is not required to be obtained, however, infiltration testing data which is already available from</w:t>
      </w:r>
      <w:r w:rsidR="00FC6CAC">
        <w:t xml:space="preserve"> previous studies </w:t>
      </w:r>
      <w:r w:rsidR="00F30235">
        <w:t>must be</w:t>
      </w:r>
      <w:r w:rsidR="00FC6CAC">
        <w:t xml:space="preserve"> used. </w:t>
      </w:r>
      <w:r w:rsidR="00F30235">
        <w:t xml:space="preserve"> </w:t>
      </w:r>
    </w:p>
    <w:p w:rsidR="002B0B2C" w:rsidRPr="000C23C0" w:rsidRDefault="00804BA8" w:rsidP="002B0B2C">
      <w:pPr>
        <w:pStyle w:val="CDMBTEXT"/>
        <w:rPr>
          <w:u w:val="single"/>
        </w:rPr>
      </w:pPr>
      <w:r>
        <w:t>For the purpose of this method, l</w:t>
      </w:r>
      <w:r w:rsidR="002B0B2C" w:rsidRPr="00BB18A5">
        <w:t xml:space="preserve">arge projects and small projects are defined in </w:t>
      </w:r>
      <w:r w:rsidR="00126F3D" w:rsidRPr="00126DE5">
        <w:rPr>
          <w:b/>
          <w:color w:val="0070C0"/>
          <w:sz w:val="20"/>
        </w:rPr>
        <w:fldChar w:fldCharType="begin"/>
      </w:r>
      <w:r w:rsidR="002B0B2C" w:rsidRPr="00126DE5">
        <w:rPr>
          <w:b/>
          <w:color w:val="0070C0"/>
          <w:sz w:val="20"/>
        </w:rPr>
        <w:instrText xml:space="preserve"> REF _Ref287551856 \h </w:instrText>
      </w:r>
      <w:r w:rsidR="00126F3D" w:rsidRPr="00126DE5">
        <w:rPr>
          <w:b/>
          <w:color w:val="0070C0"/>
          <w:sz w:val="20"/>
        </w:rPr>
      </w:r>
      <w:r w:rsidR="00126F3D" w:rsidRPr="00126DE5">
        <w:rPr>
          <w:b/>
          <w:color w:val="0070C0"/>
          <w:sz w:val="20"/>
        </w:rPr>
        <w:fldChar w:fldCharType="separate"/>
      </w:r>
      <w:r w:rsidR="00126DE5" w:rsidRPr="00126DE5">
        <w:rPr>
          <w:b/>
          <w:color w:val="0070C0"/>
        </w:rPr>
        <w:t xml:space="preserve">Table </w:t>
      </w:r>
      <w:r w:rsidR="00126DE5" w:rsidRPr="00126DE5">
        <w:rPr>
          <w:b/>
          <w:noProof/>
          <w:color w:val="0070C0"/>
        </w:rPr>
        <w:t>VII</w:t>
      </w:r>
      <w:r w:rsidR="00126DE5" w:rsidRPr="00126DE5">
        <w:rPr>
          <w:b/>
          <w:color w:val="0070C0"/>
        </w:rPr>
        <w:t>.</w:t>
      </w:r>
      <w:r w:rsidR="00126DE5" w:rsidRPr="00126DE5">
        <w:rPr>
          <w:b/>
          <w:noProof/>
          <w:color w:val="0070C0"/>
        </w:rPr>
        <w:t>2</w:t>
      </w:r>
      <w:r w:rsidR="00126F3D" w:rsidRPr="00126DE5">
        <w:rPr>
          <w:b/>
          <w:color w:val="0070C0"/>
          <w:sz w:val="20"/>
        </w:rPr>
        <w:fldChar w:fldCharType="end"/>
      </w:r>
      <w:r w:rsidR="002B0B2C">
        <w:t>.  The distinction between large and small projects based the lower spatial variability expected on smaller projects an</w:t>
      </w:r>
      <w:r>
        <w:t xml:space="preserve">d the lower project value.  In these cases, the expense associated with infiltration testing of HSG D soils to attempt to identify localized exceptions to this mapped and supported determination is considered to be an unreasonable economic burden. </w:t>
      </w:r>
    </w:p>
    <w:tbl>
      <w:tblPr>
        <w:tblStyle w:val="TableGrid"/>
        <w:tblW w:w="0" w:type="auto"/>
        <w:tblLook w:val="04A0"/>
      </w:tblPr>
      <w:tblGrid>
        <w:gridCol w:w="1806"/>
        <w:gridCol w:w="2590"/>
        <w:gridCol w:w="2632"/>
        <w:gridCol w:w="2548"/>
      </w:tblGrid>
      <w:tr w:rsidR="002B0B2C" w:rsidTr="007D631A">
        <w:tc>
          <w:tcPr>
            <w:tcW w:w="9576" w:type="dxa"/>
            <w:gridSpan w:val="4"/>
            <w:tcBorders>
              <w:top w:val="nil"/>
              <w:left w:val="nil"/>
              <w:bottom w:val="single" w:sz="4" w:space="0" w:color="auto"/>
              <w:right w:val="nil"/>
            </w:tcBorders>
            <w:shd w:val="clear" w:color="auto" w:fill="auto"/>
            <w:tcMar>
              <w:top w:w="72" w:type="dxa"/>
              <w:left w:w="115" w:type="dxa"/>
              <w:bottom w:w="72" w:type="dxa"/>
              <w:right w:w="115" w:type="dxa"/>
            </w:tcMar>
          </w:tcPr>
          <w:p w:rsidR="002B0B2C" w:rsidRPr="00524D76" w:rsidRDefault="002B0B2C" w:rsidP="00647B99">
            <w:pPr>
              <w:pStyle w:val="Caption"/>
            </w:pPr>
            <w:bookmarkStart w:id="426" w:name="_Ref287551856"/>
            <w:bookmarkStart w:id="427" w:name="_Toc288554380"/>
            <w:r w:rsidRPr="00524D76">
              <w:t xml:space="preserve">Table </w:t>
            </w:r>
            <w:r w:rsidR="00126F3D" w:rsidRPr="00524D76">
              <w:fldChar w:fldCharType="begin"/>
            </w:r>
            <w:r w:rsidRPr="00524D76">
              <w:instrText xml:space="preserve"> STYLEREF 1 \s </w:instrText>
            </w:r>
            <w:r w:rsidR="00126F3D" w:rsidRPr="00524D76">
              <w:fldChar w:fldCharType="separate"/>
            </w:r>
            <w:r w:rsidR="00126DE5" w:rsidRPr="00524D76">
              <w:rPr>
                <w:noProof/>
              </w:rPr>
              <w:t>VII</w:t>
            </w:r>
            <w:r w:rsidR="00126F3D" w:rsidRPr="00524D76">
              <w:fldChar w:fldCharType="end"/>
            </w:r>
            <w:r w:rsidRPr="00524D76">
              <w:t>.</w:t>
            </w:r>
            <w:r w:rsidR="00126F3D" w:rsidRPr="00524D76">
              <w:fldChar w:fldCharType="begin"/>
            </w:r>
            <w:r w:rsidRPr="00524D76">
              <w:instrText xml:space="preserve"> SEQ Table \* ARABIC \s 1 </w:instrText>
            </w:r>
            <w:r w:rsidR="00126F3D" w:rsidRPr="00524D76">
              <w:fldChar w:fldCharType="separate"/>
            </w:r>
            <w:r w:rsidR="00126DE5" w:rsidRPr="00524D76">
              <w:rPr>
                <w:noProof/>
              </w:rPr>
              <w:t>2</w:t>
            </w:r>
            <w:r w:rsidR="00126F3D" w:rsidRPr="00524D76">
              <w:fldChar w:fldCharType="end"/>
            </w:r>
            <w:bookmarkEnd w:id="426"/>
            <w:r w:rsidRPr="00524D76">
              <w:t>: Definition of Project Size Categories</w:t>
            </w:r>
            <w:bookmarkEnd w:id="427"/>
          </w:p>
        </w:tc>
      </w:tr>
      <w:tr w:rsidR="002B0B2C" w:rsidTr="007D631A">
        <w:trPr>
          <w:trHeight w:val="296"/>
        </w:trPr>
        <w:tc>
          <w:tcPr>
            <w:tcW w:w="1806" w:type="dxa"/>
            <w:tcBorders>
              <w:top w:val="single" w:sz="4" w:space="0" w:color="auto"/>
            </w:tcBorders>
            <w:shd w:val="clear" w:color="auto" w:fill="BFBFBF" w:themeFill="background1" w:themeFillShade="BF"/>
            <w:tcMar>
              <w:top w:w="72" w:type="dxa"/>
              <w:left w:w="115" w:type="dxa"/>
              <w:bottom w:w="72" w:type="dxa"/>
              <w:right w:w="115" w:type="dxa"/>
            </w:tcMar>
          </w:tcPr>
          <w:p w:rsidR="002B0B2C" w:rsidRPr="008438E5" w:rsidRDefault="002B0B2C" w:rsidP="00EA1EA6">
            <w:pPr>
              <w:keepNext/>
              <w:rPr>
                <w:rFonts w:ascii="Arial" w:hAnsi="Arial" w:cs="Arial"/>
              </w:rPr>
            </w:pPr>
          </w:p>
        </w:tc>
        <w:tc>
          <w:tcPr>
            <w:tcW w:w="2590" w:type="dxa"/>
            <w:tcBorders>
              <w:top w:val="single" w:sz="4" w:space="0" w:color="auto"/>
            </w:tcBorders>
            <w:shd w:val="clear" w:color="auto" w:fill="BFBFBF" w:themeFill="background1" w:themeFillShade="BF"/>
            <w:tcMar>
              <w:top w:w="72" w:type="dxa"/>
              <w:left w:w="115" w:type="dxa"/>
              <w:bottom w:w="72" w:type="dxa"/>
              <w:right w:w="115" w:type="dxa"/>
            </w:tcMar>
            <w:vAlign w:val="bottom"/>
          </w:tcPr>
          <w:p w:rsidR="002B0B2C" w:rsidRPr="008438E5" w:rsidRDefault="002B0B2C" w:rsidP="00EA1EA6">
            <w:pPr>
              <w:keepNext/>
              <w:spacing w:after="0"/>
              <w:jc w:val="center"/>
              <w:rPr>
                <w:rFonts w:ascii="Arial" w:hAnsi="Arial" w:cs="Arial"/>
              </w:rPr>
            </w:pPr>
            <w:r w:rsidRPr="008438E5">
              <w:rPr>
                <w:rFonts w:ascii="Arial" w:hAnsi="Arial" w:cs="Arial"/>
              </w:rPr>
              <w:t>Residential</w:t>
            </w:r>
          </w:p>
        </w:tc>
        <w:tc>
          <w:tcPr>
            <w:tcW w:w="2632" w:type="dxa"/>
            <w:tcBorders>
              <w:top w:val="single" w:sz="4" w:space="0" w:color="auto"/>
            </w:tcBorders>
            <w:shd w:val="clear" w:color="auto" w:fill="BFBFBF" w:themeFill="background1" w:themeFillShade="BF"/>
            <w:tcMar>
              <w:top w:w="72" w:type="dxa"/>
              <w:left w:w="115" w:type="dxa"/>
              <w:bottom w:w="72" w:type="dxa"/>
              <w:right w:w="115" w:type="dxa"/>
            </w:tcMar>
            <w:vAlign w:val="bottom"/>
          </w:tcPr>
          <w:p w:rsidR="002B0B2C" w:rsidRPr="008438E5" w:rsidRDefault="002B0B2C" w:rsidP="00EA1EA6">
            <w:pPr>
              <w:keepNext/>
              <w:spacing w:after="0"/>
              <w:jc w:val="center"/>
              <w:rPr>
                <w:rFonts w:ascii="Arial" w:hAnsi="Arial" w:cs="Arial"/>
              </w:rPr>
            </w:pPr>
            <w:r w:rsidRPr="008438E5">
              <w:rPr>
                <w:rFonts w:ascii="Arial" w:hAnsi="Arial" w:cs="Arial"/>
              </w:rPr>
              <w:t>Commercial, Institutional</w:t>
            </w:r>
          </w:p>
        </w:tc>
        <w:tc>
          <w:tcPr>
            <w:tcW w:w="2548" w:type="dxa"/>
            <w:tcBorders>
              <w:top w:val="single" w:sz="4" w:space="0" w:color="auto"/>
            </w:tcBorders>
            <w:shd w:val="clear" w:color="auto" w:fill="BFBFBF" w:themeFill="background1" w:themeFillShade="BF"/>
            <w:tcMar>
              <w:top w:w="72" w:type="dxa"/>
              <w:left w:w="115" w:type="dxa"/>
              <w:bottom w:w="72" w:type="dxa"/>
              <w:right w:w="115" w:type="dxa"/>
            </w:tcMar>
            <w:vAlign w:val="bottom"/>
          </w:tcPr>
          <w:p w:rsidR="002B0B2C" w:rsidRPr="008438E5" w:rsidRDefault="002B0B2C" w:rsidP="00EA1EA6">
            <w:pPr>
              <w:keepNext/>
              <w:spacing w:after="0"/>
              <w:jc w:val="center"/>
              <w:rPr>
                <w:rFonts w:ascii="Arial" w:hAnsi="Arial" w:cs="Arial"/>
              </w:rPr>
            </w:pPr>
            <w:r w:rsidRPr="008438E5">
              <w:rPr>
                <w:rFonts w:ascii="Arial" w:hAnsi="Arial" w:cs="Arial"/>
              </w:rPr>
              <w:t>Industrial</w:t>
            </w:r>
          </w:p>
        </w:tc>
      </w:tr>
      <w:tr w:rsidR="002B0B2C" w:rsidTr="00EA1EA6">
        <w:tc>
          <w:tcPr>
            <w:tcW w:w="1806" w:type="dxa"/>
            <w:shd w:val="clear" w:color="auto" w:fill="BFBFBF" w:themeFill="background1" w:themeFillShade="BF"/>
            <w:tcMar>
              <w:top w:w="72" w:type="dxa"/>
              <w:left w:w="115" w:type="dxa"/>
              <w:bottom w:w="72" w:type="dxa"/>
              <w:right w:w="115" w:type="dxa"/>
            </w:tcMar>
          </w:tcPr>
          <w:p w:rsidR="002B0B2C" w:rsidRPr="008438E5" w:rsidRDefault="002B0B2C" w:rsidP="00EA1EA6">
            <w:pPr>
              <w:keepNext/>
              <w:rPr>
                <w:rFonts w:ascii="Arial" w:hAnsi="Arial" w:cs="Arial"/>
              </w:rPr>
            </w:pPr>
            <w:r w:rsidRPr="008438E5">
              <w:rPr>
                <w:rFonts w:ascii="Arial" w:hAnsi="Arial" w:cs="Arial"/>
              </w:rPr>
              <w:t>Small Projects</w:t>
            </w:r>
          </w:p>
        </w:tc>
        <w:tc>
          <w:tcPr>
            <w:tcW w:w="2590" w:type="dxa"/>
            <w:tcMar>
              <w:top w:w="72" w:type="dxa"/>
              <w:left w:w="115" w:type="dxa"/>
              <w:bottom w:w="72" w:type="dxa"/>
              <w:right w:w="115" w:type="dxa"/>
            </w:tcMar>
          </w:tcPr>
          <w:p w:rsidR="002B0B2C" w:rsidRPr="008438E5" w:rsidRDefault="002B0B2C" w:rsidP="00EA1EA6">
            <w:pPr>
              <w:keepNext/>
              <w:spacing w:after="0"/>
              <w:jc w:val="left"/>
              <w:rPr>
                <w:rFonts w:ascii="Arial" w:hAnsi="Arial" w:cs="Arial"/>
              </w:rPr>
            </w:pPr>
            <w:r w:rsidRPr="008438E5">
              <w:rPr>
                <w:rFonts w:ascii="Arial" w:hAnsi="Arial" w:cs="Arial"/>
              </w:rPr>
              <w:t xml:space="preserve">Less than </w:t>
            </w:r>
            <w:r>
              <w:rPr>
                <w:rFonts w:ascii="Arial" w:hAnsi="Arial" w:cs="Arial"/>
              </w:rPr>
              <w:t>10</w:t>
            </w:r>
            <w:r w:rsidRPr="008438E5">
              <w:rPr>
                <w:rFonts w:ascii="Arial" w:hAnsi="Arial" w:cs="Arial"/>
              </w:rPr>
              <w:t xml:space="preserve"> acres and less than </w:t>
            </w:r>
            <w:r>
              <w:rPr>
                <w:rFonts w:ascii="Arial" w:hAnsi="Arial" w:cs="Arial"/>
              </w:rPr>
              <w:t>30</w:t>
            </w:r>
            <w:r w:rsidRPr="008438E5">
              <w:rPr>
                <w:rFonts w:ascii="Arial" w:hAnsi="Arial" w:cs="Arial"/>
              </w:rPr>
              <w:t xml:space="preserve"> DU </w:t>
            </w:r>
          </w:p>
        </w:tc>
        <w:tc>
          <w:tcPr>
            <w:tcW w:w="2632" w:type="dxa"/>
            <w:tcMar>
              <w:top w:w="72" w:type="dxa"/>
              <w:left w:w="115" w:type="dxa"/>
              <w:bottom w:w="72" w:type="dxa"/>
              <w:right w:w="115" w:type="dxa"/>
            </w:tcMar>
          </w:tcPr>
          <w:p w:rsidR="002B0B2C" w:rsidRPr="008438E5" w:rsidRDefault="002B0B2C" w:rsidP="00EA1EA6">
            <w:pPr>
              <w:keepNext/>
              <w:spacing w:after="0"/>
              <w:jc w:val="left"/>
              <w:rPr>
                <w:rFonts w:ascii="Arial" w:hAnsi="Arial" w:cs="Arial"/>
              </w:rPr>
            </w:pPr>
            <w:r>
              <w:rPr>
                <w:rFonts w:ascii="Arial" w:hAnsi="Arial" w:cs="Arial"/>
              </w:rPr>
              <w:t>Less than 5</w:t>
            </w:r>
            <w:r w:rsidRPr="008438E5">
              <w:rPr>
                <w:rFonts w:ascii="Arial" w:hAnsi="Arial" w:cs="Arial"/>
              </w:rPr>
              <w:t xml:space="preserve"> acres and less than </w:t>
            </w:r>
            <w:r>
              <w:rPr>
                <w:rFonts w:ascii="Arial" w:hAnsi="Arial" w:cs="Arial"/>
              </w:rPr>
              <w:t>5</w:t>
            </w:r>
            <w:r w:rsidRPr="008438E5">
              <w:rPr>
                <w:rFonts w:ascii="Arial" w:hAnsi="Arial" w:cs="Arial"/>
              </w:rPr>
              <w:t>0,000 SF</w:t>
            </w:r>
          </w:p>
        </w:tc>
        <w:tc>
          <w:tcPr>
            <w:tcW w:w="2548" w:type="dxa"/>
            <w:tcMar>
              <w:top w:w="72" w:type="dxa"/>
              <w:left w:w="115" w:type="dxa"/>
              <w:bottom w:w="72" w:type="dxa"/>
              <w:right w:w="115" w:type="dxa"/>
            </w:tcMar>
          </w:tcPr>
          <w:p w:rsidR="002B0B2C" w:rsidRPr="008438E5" w:rsidRDefault="002B0B2C" w:rsidP="00EA1EA6">
            <w:pPr>
              <w:keepNext/>
              <w:spacing w:after="0"/>
              <w:jc w:val="left"/>
              <w:rPr>
                <w:rFonts w:ascii="Arial" w:hAnsi="Arial" w:cs="Arial"/>
              </w:rPr>
            </w:pPr>
            <w:r w:rsidRPr="008438E5">
              <w:rPr>
                <w:rFonts w:ascii="Arial" w:hAnsi="Arial" w:cs="Arial"/>
              </w:rPr>
              <w:t xml:space="preserve">Less than </w:t>
            </w:r>
            <w:r>
              <w:rPr>
                <w:rFonts w:ascii="Arial" w:hAnsi="Arial" w:cs="Arial"/>
              </w:rPr>
              <w:t xml:space="preserve">2 </w:t>
            </w:r>
            <w:r w:rsidRPr="008438E5">
              <w:rPr>
                <w:rFonts w:ascii="Arial" w:hAnsi="Arial" w:cs="Arial"/>
              </w:rPr>
              <w:t>acre and less than 20,000 SF</w:t>
            </w:r>
          </w:p>
        </w:tc>
      </w:tr>
      <w:tr w:rsidR="002B0B2C" w:rsidTr="00EA1EA6">
        <w:tc>
          <w:tcPr>
            <w:tcW w:w="1806" w:type="dxa"/>
            <w:shd w:val="clear" w:color="auto" w:fill="BFBFBF" w:themeFill="background1" w:themeFillShade="BF"/>
            <w:tcMar>
              <w:top w:w="72" w:type="dxa"/>
              <w:left w:w="115" w:type="dxa"/>
              <w:bottom w:w="72" w:type="dxa"/>
              <w:right w:w="115" w:type="dxa"/>
            </w:tcMar>
          </w:tcPr>
          <w:p w:rsidR="002B0B2C" w:rsidRPr="008438E5" w:rsidRDefault="002B0B2C" w:rsidP="00EA1EA6">
            <w:pPr>
              <w:rPr>
                <w:rFonts w:ascii="Arial" w:hAnsi="Arial" w:cs="Arial"/>
              </w:rPr>
            </w:pPr>
            <w:r w:rsidRPr="008438E5">
              <w:rPr>
                <w:rFonts w:ascii="Arial" w:hAnsi="Arial" w:cs="Arial"/>
              </w:rPr>
              <w:t>Large Projects</w:t>
            </w:r>
          </w:p>
        </w:tc>
        <w:tc>
          <w:tcPr>
            <w:tcW w:w="2590" w:type="dxa"/>
            <w:tcMar>
              <w:top w:w="72" w:type="dxa"/>
              <w:left w:w="115" w:type="dxa"/>
              <w:bottom w:w="72" w:type="dxa"/>
              <w:right w:w="115" w:type="dxa"/>
            </w:tcMar>
          </w:tcPr>
          <w:p w:rsidR="002B0B2C" w:rsidRPr="008438E5" w:rsidRDefault="002B0B2C" w:rsidP="00EA1EA6">
            <w:pPr>
              <w:spacing w:after="0"/>
              <w:jc w:val="left"/>
              <w:rPr>
                <w:rFonts w:ascii="Arial" w:hAnsi="Arial" w:cs="Arial"/>
              </w:rPr>
            </w:pPr>
            <w:r w:rsidRPr="008438E5">
              <w:rPr>
                <w:rFonts w:ascii="Arial" w:hAnsi="Arial" w:cs="Arial"/>
              </w:rPr>
              <w:t xml:space="preserve">Greater than </w:t>
            </w:r>
            <w:r>
              <w:rPr>
                <w:rFonts w:ascii="Arial" w:hAnsi="Arial" w:cs="Arial"/>
              </w:rPr>
              <w:t>10</w:t>
            </w:r>
            <w:r w:rsidRPr="008438E5">
              <w:rPr>
                <w:rFonts w:ascii="Arial" w:hAnsi="Arial" w:cs="Arial"/>
              </w:rPr>
              <w:t xml:space="preserve"> acres or greater than </w:t>
            </w:r>
            <w:r>
              <w:rPr>
                <w:rFonts w:ascii="Arial" w:hAnsi="Arial" w:cs="Arial"/>
              </w:rPr>
              <w:t>30</w:t>
            </w:r>
            <w:r w:rsidRPr="008438E5">
              <w:rPr>
                <w:rFonts w:ascii="Arial" w:hAnsi="Arial" w:cs="Arial"/>
              </w:rPr>
              <w:t xml:space="preserve"> DU</w:t>
            </w:r>
          </w:p>
        </w:tc>
        <w:tc>
          <w:tcPr>
            <w:tcW w:w="2632" w:type="dxa"/>
            <w:tcMar>
              <w:top w:w="72" w:type="dxa"/>
              <w:left w:w="115" w:type="dxa"/>
              <w:bottom w:w="72" w:type="dxa"/>
              <w:right w:w="115" w:type="dxa"/>
            </w:tcMar>
          </w:tcPr>
          <w:p w:rsidR="002B0B2C" w:rsidRPr="008438E5" w:rsidRDefault="002B0B2C" w:rsidP="00EA1EA6">
            <w:pPr>
              <w:spacing w:after="0"/>
              <w:jc w:val="left"/>
              <w:rPr>
                <w:rFonts w:ascii="Arial" w:hAnsi="Arial" w:cs="Arial"/>
              </w:rPr>
            </w:pPr>
            <w:r>
              <w:rPr>
                <w:rFonts w:ascii="Arial" w:hAnsi="Arial" w:cs="Arial"/>
              </w:rPr>
              <w:t>Greater than 5</w:t>
            </w:r>
            <w:r w:rsidRPr="008438E5">
              <w:rPr>
                <w:rFonts w:ascii="Arial" w:hAnsi="Arial" w:cs="Arial"/>
              </w:rPr>
              <w:t xml:space="preserve"> acres or greater than </w:t>
            </w:r>
            <w:r>
              <w:rPr>
                <w:rFonts w:ascii="Arial" w:hAnsi="Arial" w:cs="Arial"/>
              </w:rPr>
              <w:t>5</w:t>
            </w:r>
            <w:r w:rsidRPr="008438E5">
              <w:rPr>
                <w:rFonts w:ascii="Arial" w:hAnsi="Arial" w:cs="Arial"/>
              </w:rPr>
              <w:t>0,000 SF</w:t>
            </w:r>
          </w:p>
        </w:tc>
        <w:tc>
          <w:tcPr>
            <w:tcW w:w="2548" w:type="dxa"/>
            <w:tcMar>
              <w:top w:w="72" w:type="dxa"/>
              <w:left w:w="115" w:type="dxa"/>
              <w:bottom w:w="72" w:type="dxa"/>
              <w:right w:w="115" w:type="dxa"/>
            </w:tcMar>
          </w:tcPr>
          <w:p w:rsidR="002B0B2C" w:rsidRPr="008438E5" w:rsidRDefault="002B0B2C" w:rsidP="00EA1EA6">
            <w:pPr>
              <w:spacing w:after="0"/>
              <w:jc w:val="left"/>
              <w:rPr>
                <w:rFonts w:ascii="Arial" w:hAnsi="Arial" w:cs="Arial"/>
              </w:rPr>
            </w:pPr>
            <w:r w:rsidRPr="008438E5">
              <w:rPr>
                <w:rFonts w:ascii="Arial" w:hAnsi="Arial" w:cs="Arial"/>
              </w:rPr>
              <w:t xml:space="preserve">Greater than </w:t>
            </w:r>
            <w:r>
              <w:rPr>
                <w:rFonts w:ascii="Arial" w:hAnsi="Arial" w:cs="Arial"/>
              </w:rPr>
              <w:t>2</w:t>
            </w:r>
            <w:r w:rsidRPr="008438E5">
              <w:rPr>
                <w:rFonts w:ascii="Arial" w:hAnsi="Arial" w:cs="Arial"/>
              </w:rPr>
              <w:t xml:space="preserve"> acre or greater than 20,000 SF</w:t>
            </w:r>
          </w:p>
        </w:tc>
      </w:tr>
    </w:tbl>
    <w:p w:rsidR="002B0B2C" w:rsidRDefault="002B0B2C" w:rsidP="00E63488"/>
    <w:p w:rsidR="00FE3A73" w:rsidRDefault="00E63488" w:rsidP="00A52883">
      <w:pPr>
        <w:pStyle w:val="Heading3"/>
      </w:pPr>
      <w:bookmarkStart w:id="428" w:name="_Ref285373865"/>
      <w:r w:rsidRPr="00FC6CAC">
        <w:t>Simple</w:t>
      </w:r>
      <w:r w:rsidRPr="009554F0">
        <w:t xml:space="preserve"> Open Pit Infiltration Test</w:t>
      </w:r>
      <w:bookmarkEnd w:id="428"/>
      <w:r w:rsidRPr="009554F0">
        <w:t xml:space="preserve"> </w:t>
      </w:r>
    </w:p>
    <w:p w:rsidR="00E63488" w:rsidRPr="009554F0" w:rsidRDefault="00E63488" w:rsidP="00E63488">
      <w:pPr>
        <w:rPr>
          <w:rFonts w:cs="Book Antiqua"/>
        </w:rPr>
      </w:pPr>
      <w:r w:rsidRPr="009554F0">
        <w:rPr>
          <w:rFonts w:cs="Book Antiqua"/>
        </w:rPr>
        <w:t xml:space="preserve">The </w:t>
      </w:r>
      <w:r>
        <w:rPr>
          <w:sz w:val="23"/>
          <w:szCs w:val="23"/>
        </w:rPr>
        <w:t>Simple Open Pit Infiltration Test</w:t>
      </w:r>
      <w:r w:rsidRPr="009554F0">
        <w:rPr>
          <w:rFonts w:cs="Book Antiqua"/>
        </w:rPr>
        <w:t xml:space="preserve"> is a </w:t>
      </w:r>
      <w:r w:rsidR="00772506">
        <w:rPr>
          <w:rFonts w:cs="Book Antiqua"/>
        </w:rPr>
        <w:t xml:space="preserve">site-specific </w:t>
      </w:r>
      <w:r w:rsidRPr="009554F0">
        <w:rPr>
          <w:rFonts w:cs="Book Antiqua"/>
        </w:rPr>
        <w:t xml:space="preserve">method which can be </w:t>
      </w:r>
      <w:r>
        <w:rPr>
          <w:rFonts w:cs="Book Antiqua"/>
        </w:rPr>
        <w:t>used</w:t>
      </w:r>
      <w:r w:rsidRPr="009554F0">
        <w:rPr>
          <w:rFonts w:cs="Book Antiqua"/>
        </w:rPr>
        <w:t xml:space="preserve"> </w:t>
      </w:r>
      <w:r>
        <w:rPr>
          <w:rFonts w:cs="Book Antiqua"/>
        </w:rPr>
        <w:t xml:space="preserve">to provide a preliminary screening value. This approach </w:t>
      </w:r>
      <w:r w:rsidRPr="009554F0">
        <w:rPr>
          <w:rFonts w:cs="Book Antiqua"/>
        </w:rPr>
        <w:t xml:space="preserve">cannot be used to find a design infiltration rate. The intent of the </w:t>
      </w:r>
      <w:r w:rsidR="00647B99">
        <w:rPr>
          <w:sz w:val="23"/>
          <w:szCs w:val="23"/>
        </w:rPr>
        <w:t>Simple Open Pit Infiltration Test</w:t>
      </w:r>
      <w:r w:rsidR="00647B99" w:rsidRPr="009554F0">
        <w:rPr>
          <w:rFonts w:cs="Book Antiqua"/>
        </w:rPr>
        <w:t xml:space="preserve"> </w:t>
      </w:r>
      <w:r w:rsidRPr="009554F0">
        <w:rPr>
          <w:rFonts w:cs="Book Antiqua"/>
        </w:rPr>
        <w:t xml:space="preserve">is to determine whether or not the local infiltration rate is </w:t>
      </w:r>
      <w:r>
        <w:rPr>
          <w:rFonts w:cs="Book Antiqua"/>
        </w:rPr>
        <w:t xml:space="preserve">potentially </w:t>
      </w:r>
      <w:r w:rsidRPr="009554F0">
        <w:rPr>
          <w:rFonts w:cs="Book Antiqua"/>
        </w:rPr>
        <w:t xml:space="preserve">adequate for </w:t>
      </w:r>
      <w:r>
        <w:rPr>
          <w:rFonts w:cs="Book Antiqua"/>
        </w:rPr>
        <w:t xml:space="preserve">LID infiltration BMPs. This approach </w:t>
      </w:r>
      <w:r w:rsidRPr="009554F0">
        <w:rPr>
          <w:rFonts w:cs="Book Antiqua"/>
        </w:rPr>
        <w:t xml:space="preserve">does not need to be conducted by a licensed professional. </w:t>
      </w:r>
    </w:p>
    <w:p w:rsidR="00FE3A73" w:rsidRDefault="00E63488" w:rsidP="009531AF">
      <w:pPr>
        <w:numPr>
          <w:ilvl w:val="0"/>
          <w:numId w:val="11"/>
        </w:numPr>
        <w:spacing w:before="120"/>
        <w:contextualSpacing/>
        <w:rPr>
          <w:rFonts w:cs="Book Antiqua"/>
        </w:rPr>
      </w:pPr>
      <w:r w:rsidRPr="009554F0">
        <w:rPr>
          <w:rFonts w:cs="Book Antiqua"/>
        </w:rPr>
        <w:t xml:space="preserve">The test should be </w:t>
      </w:r>
      <w:r>
        <w:rPr>
          <w:rFonts w:cs="Book Antiqua"/>
        </w:rPr>
        <w:t>at</w:t>
      </w:r>
      <w:r w:rsidRPr="009554F0">
        <w:rPr>
          <w:rFonts w:cs="Book Antiqua"/>
        </w:rPr>
        <w:t xml:space="preserve"> the proposed facility </w:t>
      </w:r>
      <w:r>
        <w:rPr>
          <w:rFonts w:cs="Book Antiqua"/>
        </w:rPr>
        <w:t>location</w:t>
      </w:r>
      <w:r w:rsidRPr="009554F0">
        <w:rPr>
          <w:rFonts w:cs="Book Antiqua"/>
        </w:rPr>
        <w:t xml:space="preserve"> or within the immediate vicinity. </w:t>
      </w:r>
    </w:p>
    <w:p w:rsidR="00E63488" w:rsidRPr="009554F0" w:rsidRDefault="00E63488" w:rsidP="009531AF">
      <w:pPr>
        <w:numPr>
          <w:ilvl w:val="0"/>
          <w:numId w:val="11"/>
        </w:numPr>
        <w:contextualSpacing/>
        <w:rPr>
          <w:rFonts w:cs="Book Antiqua"/>
        </w:rPr>
      </w:pPr>
      <w:r w:rsidRPr="009554F0">
        <w:rPr>
          <w:rFonts w:cs="Book Antiqua"/>
        </w:rPr>
        <w:t xml:space="preserve">Excavate a test hole to </w:t>
      </w:r>
      <w:r>
        <w:rPr>
          <w:rFonts w:cs="Book Antiqua"/>
        </w:rPr>
        <w:t>an elevation</w:t>
      </w:r>
      <w:r w:rsidRPr="009554F0">
        <w:rPr>
          <w:rFonts w:cs="Book Antiqua"/>
        </w:rPr>
        <w:t xml:space="preserve"> </w:t>
      </w:r>
      <w:r>
        <w:rPr>
          <w:rFonts w:cs="Book Antiqua"/>
        </w:rPr>
        <w:t>2 feet</w:t>
      </w:r>
      <w:r w:rsidRPr="009554F0">
        <w:rPr>
          <w:rFonts w:cs="Book Antiqua"/>
        </w:rPr>
        <w:t xml:space="preserve"> </w:t>
      </w:r>
      <w:r>
        <w:rPr>
          <w:rFonts w:cs="Book Antiqua"/>
        </w:rPr>
        <w:t xml:space="preserve">deeper than </w:t>
      </w:r>
      <w:r w:rsidRPr="009554F0">
        <w:rPr>
          <w:rFonts w:cs="Book Antiqua"/>
        </w:rPr>
        <w:t>the bottom of the infiltration system</w:t>
      </w:r>
      <w:r>
        <w:rPr>
          <w:rFonts w:cs="Book Antiqua"/>
        </w:rPr>
        <w:t xml:space="preserve"> to account for soil amendment. If the depth of the proposed facility is not known at the time of testing, the excavation should be 6 feet deep. </w:t>
      </w:r>
      <w:r w:rsidRPr="009554F0">
        <w:rPr>
          <w:rFonts w:cs="Book Antiqua"/>
        </w:rPr>
        <w:t xml:space="preserve">The test hole can be excavated with small excavation equipment or by hand using a shovel, auger, or post </w:t>
      </w:r>
      <w:proofErr w:type="gramStart"/>
      <w:r w:rsidRPr="009554F0">
        <w:rPr>
          <w:rFonts w:cs="Book Antiqua"/>
        </w:rPr>
        <w:t>hole</w:t>
      </w:r>
      <w:proofErr w:type="gramEnd"/>
      <w:r w:rsidRPr="009554F0">
        <w:rPr>
          <w:rFonts w:cs="Book Antiqua"/>
        </w:rPr>
        <w:t xml:space="preserve"> digger. </w:t>
      </w:r>
      <w:r>
        <w:rPr>
          <w:rFonts w:cs="Book Antiqua"/>
        </w:rPr>
        <w:t xml:space="preserve">The hole should be a minimum of 2 feet in diameter and should be sufficient to allow for observation of the water surface level in the bottom of the hole. Remove loose material, as much as possible from the bottom of the hole but avoid compaction of the bottom surface. </w:t>
      </w:r>
      <w:r w:rsidRPr="009554F0">
        <w:rPr>
          <w:rFonts w:cs="Book Antiqua"/>
        </w:rPr>
        <w:t>If a layer hard enough to prevent further excavation is encountered</w:t>
      </w:r>
      <w:r>
        <w:rPr>
          <w:rFonts w:cs="Book Antiqua"/>
        </w:rPr>
        <w:t xml:space="preserve"> during excavation</w:t>
      </w:r>
      <w:r w:rsidRPr="009554F0">
        <w:rPr>
          <w:rFonts w:cs="Book Antiqua"/>
        </w:rPr>
        <w:t>, or if noticeable moisture/water is encountered in the soil, stop and measure this depth. Proce</w:t>
      </w:r>
      <w:r>
        <w:rPr>
          <w:rFonts w:cs="Book Antiqua"/>
        </w:rPr>
        <w:t>ed with the test at this depth.</w:t>
      </w:r>
    </w:p>
    <w:p w:rsidR="00E63488" w:rsidRDefault="00E63488" w:rsidP="009531AF">
      <w:pPr>
        <w:numPr>
          <w:ilvl w:val="0"/>
          <w:numId w:val="11"/>
        </w:numPr>
        <w:contextualSpacing/>
        <w:rPr>
          <w:rFonts w:cs="Book Antiqua"/>
        </w:rPr>
      </w:pPr>
      <w:r w:rsidRPr="009554F0">
        <w:rPr>
          <w:rFonts w:cs="Book Antiqua"/>
        </w:rPr>
        <w:t>Fill the hole with water to a height of about 6 inches from the bottom of the hole, and record the exact time. Check the water level at regular intervals (every minute for fast-draining soils to every 10 minutes for slower-draining soils) for a minimum of 1 hour or until all of the water has infiltrated. Record the distance the water has dropped from</w:t>
      </w:r>
      <w:r>
        <w:rPr>
          <w:rFonts w:cs="Book Antiqua"/>
        </w:rPr>
        <w:t xml:space="preserve"> a fixed reference point such as the</w:t>
      </w:r>
      <w:r w:rsidRPr="009554F0">
        <w:rPr>
          <w:rFonts w:cs="Book Antiqua"/>
        </w:rPr>
        <w:t xml:space="preserve"> top edge of the hole. </w:t>
      </w:r>
    </w:p>
    <w:p w:rsidR="00E63488" w:rsidRPr="009554F0" w:rsidRDefault="00E63488" w:rsidP="009531AF">
      <w:pPr>
        <w:numPr>
          <w:ilvl w:val="0"/>
          <w:numId w:val="11"/>
        </w:numPr>
        <w:contextualSpacing/>
        <w:rPr>
          <w:rFonts w:cs="Book Antiqua"/>
        </w:rPr>
      </w:pPr>
      <w:r>
        <w:rPr>
          <w:rFonts w:cs="Book Antiqua"/>
        </w:rPr>
        <w:t>The infiltration rate is calculated by dividing the change in water elevation time (inches) by the duration of the test (hours).</w:t>
      </w:r>
    </w:p>
    <w:p w:rsidR="00E63488" w:rsidRPr="009554F0" w:rsidRDefault="00E63488" w:rsidP="009531AF">
      <w:pPr>
        <w:numPr>
          <w:ilvl w:val="0"/>
          <w:numId w:val="11"/>
        </w:numPr>
        <w:contextualSpacing/>
        <w:rPr>
          <w:rFonts w:cs="Book Antiqua"/>
        </w:rPr>
      </w:pPr>
      <w:r w:rsidRPr="009554F0">
        <w:rPr>
          <w:rFonts w:cs="Book Antiqua"/>
        </w:rPr>
        <w:t>Repeat this process two more times, for a total of three rounds of testing. These tests should be performed as close together as possible to accurately portray the soil’s ability to infiltrate at different levels of saturation. The</w:t>
      </w:r>
      <w:r w:rsidRPr="00254CB8">
        <w:rPr>
          <w:rFonts w:cs="Book Antiqua"/>
        </w:rPr>
        <w:t xml:space="preserve"> </w:t>
      </w:r>
      <w:r w:rsidRPr="00254CB8">
        <w:rPr>
          <w:rFonts w:cs="Book Antiqua"/>
          <w:bCs/>
        </w:rPr>
        <w:t>third test</w:t>
      </w:r>
      <w:r w:rsidRPr="009554F0">
        <w:rPr>
          <w:rFonts w:cs="Book Antiqua"/>
          <w:b/>
          <w:bCs/>
        </w:rPr>
        <w:t xml:space="preserve"> </w:t>
      </w:r>
      <w:r w:rsidRPr="009554F0">
        <w:rPr>
          <w:rFonts w:cs="Book Antiqua"/>
        </w:rPr>
        <w:t xml:space="preserve">provides the best measure of the saturated infiltration rate. </w:t>
      </w:r>
    </w:p>
    <w:p w:rsidR="00E63488" w:rsidRDefault="00E63488" w:rsidP="009531AF">
      <w:pPr>
        <w:numPr>
          <w:ilvl w:val="0"/>
          <w:numId w:val="11"/>
        </w:numPr>
        <w:spacing w:after="200"/>
        <w:rPr>
          <w:rFonts w:cs="Book Antiqua"/>
        </w:rPr>
      </w:pPr>
      <w:r w:rsidRPr="009554F0">
        <w:rPr>
          <w:rFonts w:cs="Book Antiqua"/>
        </w:rPr>
        <w:t xml:space="preserve">For each test pit required, </w:t>
      </w:r>
      <w:r>
        <w:rPr>
          <w:rFonts w:cs="Book Antiqua"/>
        </w:rPr>
        <w:t>record all three</w:t>
      </w:r>
      <w:r w:rsidRPr="009554F0">
        <w:rPr>
          <w:rFonts w:cs="Book Antiqua"/>
        </w:rPr>
        <w:t xml:space="preserve"> testing results with the date, duration, drop in water height, and conversion into inches per hour. </w:t>
      </w:r>
    </w:p>
    <w:p w:rsidR="00FE3A73" w:rsidRDefault="00E63488" w:rsidP="00A52883">
      <w:pPr>
        <w:pStyle w:val="Heading2"/>
      </w:pPr>
      <w:bookmarkStart w:id="429" w:name="_Toc285308159"/>
      <w:bookmarkStart w:id="430" w:name="_Toc285315743"/>
      <w:bookmarkStart w:id="431" w:name="_Toc285492462"/>
      <w:bookmarkStart w:id="432" w:name="_Ref287547593"/>
      <w:bookmarkStart w:id="433" w:name="_Toc288541082"/>
      <w:bookmarkStart w:id="434" w:name="_Toc293937139"/>
      <w:r>
        <w:t xml:space="preserve">Methods for </w:t>
      </w:r>
      <w:r w:rsidRPr="00FC6CAC">
        <w:t>Establishing</w:t>
      </w:r>
      <w:r>
        <w:t xml:space="preserve"> Design Infiltration Rate</w:t>
      </w:r>
      <w:bookmarkEnd w:id="429"/>
      <w:bookmarkEnd w:id="430"/>
      <w:bookmarkEnd w:id="431"/>
      <w:bookmarkEnd w:id="432"/>
      <w:bookmarkEnd w:id="433"/>
      <w:bookmarkEnd w:id="434"/>
    </w:p>
    <w:p w:rsidR="00E63488" w:rsidRDefault="00E63488" w:rsidP="00E63488">
      <w:r>
        <w:t>Allowable methods of establishing design infiltration rate include:</w:t>
      </w:r>
    </w:p>
    <w:p w:rsidR="00A16CAF" w:rsidRDefault="00126F3D" w:rsidP="009531AF">
      <w:pPr>
        <w:keepNext/>
        <w:numPr>
          <w:ilvl w:val="0"/>
          <w:numId w:val="13"/>
        </w:numPr>
        <w:spacing w:after="0"/>
        <w:rPr>
          <w:rFonts w:cs="Arial"/>
        </w:rPr>
      </w:pPr>
      <w:r w:rsidRPr="00126DE5">
        <w:rPr>
          <w:rFonts w:cs="Arial"/>
          <w:b/>
          <w:color w:val="0070C0"/>
          <w:sz w:val="20"/>
          <w:szCs w:val="20"/>
        </w:rPr>
        <w:fldChar w:fldCharType="begin"/>
      </w:r>
      <w:r w:rsidR="00A16CAF" w:rsidRPr="00126DE5">
        <w:rPr>
          <w:rFonts w:cs="Arial"/>
          <w:b/>
          <w:color w:val="0070C0"/>
          <w:sz w:val="20"/>
          <w:szCs w:val="20"/>
        </w:rPr>
        <w:instrText xml:space="preserve"> REF _Ref261944716 \h </w:instrText>
      </w:r>
      <w:r w:rsidRPr="00126DE5">
        <w:rPr>
          <w:rFonts w:cs="Arial"/>
          <w:b/>
          <w:color w:val="0070C0"/>
          <w:sz w:val="20"/>
          <w:szCs w:val="20"/>
        </w:rPr>
      </w:r>
      <w:r w:rsidRPr="00126DE5">
        <w:rPr>
          <w:rFonts w:cs="Arial"/>
          <w:b/>
          <w:color w:val="0070C0"/>
          <w:sz w:val="20"/>
          <w:szCs w:val="20"/>
        </w:rPr>
        <w:fldChar w:fldCharType="separate"/>
      </w:r>
      <w:r w:rsidR="00126DE5" w:rsidRPr="00126DE5">
        <w:rPr>
          <w:b/>
          <w:color w:val="0070C0"/>
        </w:rPr>
        <w:t>Open Pit Falling Head Procedure</w:t>
      </w:r>
      <w:r w:rsidRPr="00126DE5">
        <w:rPr>
          <w:rFonts w:cs="Arial"/>
          <w:b/>
          <w:color w:val="0070C0"/>
          <w:sz w:val="20"/>
          <w:szCs w:val="20"/>
        </w:rPr>
        <w:fldChar w:fldCharType="end"/>
      </w:r>
      <w:r w:rsidR="00A16CAF">
        <w:rPr>
          <w:rFonts w:cs="Arial"/>
        </w:rPr>
        <w:t xml:space="preserve"> </w:t>
      </w:r>
      <w:r w:rsidR="00A16CAF">
        <w:t xml:space="preserve">(Section </w:t>
      </w:r>
      <w:fldSimple w:instr=" REF _Ref261944716 \r \h  \* MERGEFORMAT ">
        <w:r w:rsidR="00126DE5" w:rsidRPr="00126DE5">
          <w:rPr>
            <w:rFonts w:cs="Arial"/>
            <w:b/>
            <w:color w:val="0070C0"/>
            <w:sz w:val="20"/>
            <w:szCs w:val="20"/>
          </w:rPr>
          <w:t>VII.3.4</w:t>
        </w:r>
      </w:fldSimple>
      <w:r w:rsidR="00A16CAF">
        <w:t>)</w:t>
      </w:r>
    </w:p>
    <w:p w:rsidR="00A16CAF" w:rsidRDefault="00126F3D" w:rsidP="009531AF">
      <w:pPr>
        <w:keepNext/>
        <w:numPr>
          <w:ilvl w:val="0"/>
          <w:numId w:val="13"/>
        </w:numPr>
        <w:spacing w:after="0"/>
        <w:rPr>
          <w:rFonts w:cs="Arial"/>
        </w:rPr>
      </w:pPr>
      <w:r w:rsidRPr="00126DE5">
        <w:rPr>
          <w:rFonts w:cs="Arial"/>
          <w:b/>
          <w:color w:val="0070C0"/>
          <w:sz w:val="20"/>
          <w:szCs w:val="20"/>
        </w:rPr>
        <w:fldChar w:fldCharType="begin"/>
      </w:r>
      <w:r w:rsidR="00A16CAF" w:rsidRPr="00126DE5">
        <w:rPr>
          <w:rFonts w:cs="Arial"/>
          <w:b/>
          <w:color w:val="0070C0"/>
          <w:sz w:val="20"/>
          <w:szCs w:val="20"/>
        </w:rPr>
        <w:instrText xml:space="preserve"> REF _Ref284238006 \h </w:instrText>
      </w:r>
      <w:r w:rsidRPr="00126DE5">
        <w:rPr>
          <w:rFonts w:cs="Arial"/>
          <w:b/>
          <w:color w:val="0070C0"/>
          <w:sz w:val="20"/>
          <w:szCs w:val="20"/>
        </w:rPr>
      </w:r>
      <w:r w:rsidRPr="00126DE5">
        <w:rPr>
          <w:rFonts w:cs="Arial"/>
          <w:b/>
          <w:color w:val="0070C0"/>
          <w:sz w:val="20"/>
          <w:szCs w:val="20"/>
        </w:rPr>
        <w:fldChar w:fldCharType="separate"/>
      </w:r>
      <w:r w:rsidR="00126DE5" w:rsidRPr="00126DE5">
        <w:rPr>
          <w:b/>
          <w:color w:val="0070C0"/>
        </w:rPr>
        <w:t>Single Ring Infiltrometer Test</w:t>
      </w:r>
      <w:r w:rsidRPr="00126DE5">
        <w:rPr>
          <w:rFonts w:cs="Arial"/>
          <w:b/>
          <w:color w:val="0070C0"/>
          <w:sz w:val="20"/>
          <w:szCs w:val="20"/>
        </w:rPr>
        <w:fldChar w:fldCharType="end"/>
      </w:r>
      <w:r w:rsidR="00A16CAF">
        <w:rPr>
          <w:rFonts w:cs="Arial"/>
        </w:rPr>
        <w:t xml:space="preserve"> </w:t>
      </w:r>
      <w:r w:rsidR="00A16CAF">
        <w:t xml:space="preserve">(Section </w:t>
      </w:r>
      <w:r w:rsidRPr="00126DE5">
        <w:rPr>
          <w:rFonts w:cs="Arial"/>
          <w:b/>
          <w:color w:val="0070C0"/>
          <w:sz w:val="20"/>
          <w:szCs w:val="20"/>
        </w:rPr>
        <w:fldChar w:fldCharType="begin"/>
      </w:r>
      <w:r w:rsidR="00A16CAF" w:rsidRPr="00126DE5">
        <w:rPr>
          <w:rFonts w:cs="Arial"/>
          <w:b/>
          <w:color w:val="0070C0"/>
          <w:sz w:val="20"/>
          <w:szCs w:val="20"/>
        </w:rPr>
        <w:instrText xml:space="preserve"> REF _Ref284238006 \r \h </w:instrText>
      </w:r>
      <w:r w:rsidRPr="00126DE5">
        <w:rPr>
          <w:rFonts w:cs="Arial"/>
          <w:b/>
          <w:color w:val="0070C0"/>
          <w:sz w:val="20"/>
          <w:szCs w:val="20"/>
        </w:rPr>
      </w:r>
      <w:r w:rsidRPr="00126DE5">
        <w:rPr>
          <w:rFonts w:cs="Arial"/>
          <w:b/>
          <w:color w:val="0070C0"/>
          <w:sz w:val="20"/>
          <w:szCs w:val="20"/>
        </w:rPr>
        <w:fldChar w:fldCharType="separate"/>
      </w:r>
      <w:r w:rsidR="00126DE5" w:rsidRPr="00126DE5">
        <w:rPr>
          <w:rFonts w:cs="Arial"/>
          <w:b/>
          <w:color w:val="0070C0"/>
          <w:sz w:val="20"/>
          <w:szCs w:val="20"/>
        </w:rPr>
        <w:t>VII.3.5</w:t>
      </w:r>
      <w:r w:rsidRPr="00126DE5">
        <w:rPr>
          <w:rFonts w:cs="Arial"/>
          <w:b/>
          <w:color w:val="0070C0"/>
          <w:sz w:val="20"/>
          <w:szCs w:val="20"/>
        </w:rPr>
        <w:fldChar w:fldCharType="end"/>
      </w:r>
      <w:r w:rsidR="00A16CAF">
        <w:t>)</w:t>
      </w:r>
    </w:p>
    <w:p w:rsidR="00A16CAF" w:rsidRPr="00B10237" w:rsidRDefault="00126F3D" w:rsidP="009531AF">
      <w:pPr>
        <w:keepNext/>
        <w:numPr>
          <w:ilvl w:val="0"/>
          <w:numId w:val="13"/>
        </w:numPr>
        <w:spacing w:after="0"/>
        <w:rPr>
          <w:rFonts w:cs="Arial"/>
        </w:rPr>
      </w:pPr>
      <w:r w:rsidRPr="00126DE5">
        <w:rPr>
          <w:rFonts w:cs="Arial"/>
          <w:b/>
          <w:color w:val="0070C0"/>
          <w:sz w:val="20"/>
          <w:szCs w:val="20"/>
        </w:rPr>
        <w:fldChar w:fldCharType="begin"/>
      </w:r>
      <w:r w:rsidR="00A16CAF" w:rsidRPr="00126DE5">
        <w:rPr>
          <w:rFonts w:cs="Arial"/>
          <w:b/>
          <w:color w:val="0070C0"/>
          <w:sz w:val="20"/>
          <w:szCs w:val="20"/>
        </w:rPr>
        <w:instrText xml:space="preserve"> REF _Ref261944731 \h </w:instrText>
      </w:r>
      <w:r w:rsidRPr="00126DE5">
        <w:rPr>
          <w:rFonts w:cs="Arial"/>
          <w:b/>
          <w:color w:val="0070C0"/>
          <w:sz w:val="20"/>
          <w:szCs w:val="20"/>
        </w:rPr>
      </w:r>
      <w:r w:rsidRPr="00126DE5">
        <w:rPr>
          <w:rFonts w:cs="Arial"/>
          <w:b/>
          <w:color w:val="0070C0"/>
          <w:sz w:val="20"/>
          <w:szCs w:val="20"/>
        </w:rPr>
        <w:fldChar w:fldCharType="separate"/>
      </w:r>
      <w:r w:rsidR="00126DE5" w:rsidRPr="00126DE5">
        <w:rPr>
          <w:b/>
          <w:color w:val="0070C0"/>
        </w:rPr>
        <w:t>Double Ring Infiltrometer Test</w:t>
      </w:r>
      <w:r w:rsidRPr="00126DE5">
        <w:rPr>
          <w:rFonts w:cs="Arial"/>
          <w:b/>
          <w:color w:val="0070C0"/>
          <w:sz w:val="20"/>
          <w:szCs w:val="20"/>
        </w:rPr>
        <w:fldChar w:fldCharType="end"/>
      </w:r>
      <w:r w:rsidR="00A16CAF" w:rsidRPr="00B10237">
        <w:rPr>
          <w:rFonts w:cs="Arial"/>
        </w:rPr>
        <w:t xml:space="preserve"> </w:t>
      </w:r>
      <w:r w:rsidR="00A16CAF">
        <w:rPr>
          <w:sz w:val="23"/>
          <w:szCs w:val="23"/>
        </w:rPr>
        <w:t xml:space="preserve"> </w:t>
      </w:r>
      <w:r w:rsidR="00A16CAF">
        <w:t xml:space="preserve">(Section </w:t>
      </w:r>
      <w:fldSimple w:instr=" REF _Ref261944731 \r \h  \* MERGEFORMAT ">
        <w:r w:rsidR="00126DE5" w:rsidRPr="00126DE5">
          <w:rPr>
            <w:rFonts w:cs="Arial"/>
            <w:b/>
            <w:color w:val="0070C0"/>
            <w:sz w:val="20"/>
            <w:szCs w:val="20"/>
          </w:rPr>
          <w:t>VII.3.6</w:t>
        </w:r>
      </w:fldSimple>
      <w:r w:rsidR="00A16CAF">
        <w:t>)</w:t>
      </w:r>
    </w:p>
    <w:p w:rsidR="00A16CAF" w:rsidRDefault="00126F3D" w:rsidP="009531AF">
      <w:pPr>
        <w:keepNext/>
        <w:numPr>
          <w:ilvl w:val="0"/>
          <w:numId w:val="13"/>
        </w:numPr>
        <w:spacing w:after="0"/>
        <w:rPr>
          <w:rFonts w:cs="Arial"/>
        </w:rPr>
      </w:pPr>
      <w:r w:rsidRPr="00126DE5">
        <w:rPr>
          <w:rFonts w:cs="Arial"/>
          <w:b/>
          <w:color w:val="0070C0"/>
          <w:sz w:val="20"/>
          <w:szCs w:val="20"/>
        </w:rPr>
        <w:fldChar w:fldCharType="begin"/>
      </w:r>
      <w:r w:rsidR="00A16CAF" w:rsidRPr="00126DE5">
        <w:rPr>
          <w:rFonts w:cs="Arial"/>
          <w:b/>
          <w:color w:val="0070C0"/>
          <w:sz w:val="20"/>
          <w:szCs w:val="20"/>
        </w:rPr>
        <w:instrText xml:space="preserve"> REF _Ref284236908 \h </w:instrText>
      </w:r>
      <w:r w:rsidRPr="00126DE5">
        <w:rPr>
          <w:rFonts w:cs="Arial"/>
          <w:b/>
          <w:color w:val="0070C0"/>
          <w:sz w:val="20"/>
          <w:szCs w:val="20"/>
        </w:rPr>
      </w:r>
      <w:r w:rsidRPr="00126DE5">
        <w:rPr>
          <w:rFonts w:cs="Arial"/>
          <w:b/>
          <w:color w:val="0070C0"/>
          <w:sz w:val="20"/>
          <w:szCs w:val="20"/>
        </w:rPr>
        <w:fldChar w:fldCharType="separate"/>
      </w:r>
      <w:r w:rsidR="00126DE5" w:rsidRPr="00126DE5">
        <w:rPr>
          <w:b/>
          <w:color w:val="0070C0"/>
        </w:rPr>
        <w:t xml:space="preserve">Well </w:t>
      </w:r>
      <w:proofErr w:type="spellStart"/>
      <w:r w:rsidR="00126DE5" w:rsidRPr="00126DE5">
        <w:rPr>
          <w:b/>
          <w:color w:val="0070C0"/>
        </w:rPr>
        <w:t>Permeameter</w:t>
      </w:r>
      <w:proofErr w:type="spellEnd"/>
      <w:r w:rsidR="00126DE5" w:rsidRPr="00126DE5">
        <w:rPr>
          <w:b/>
          <w:color w:val="0070C0"/>
        </w:rPr>
        <w:t xml:space="preserve"> Method (USBR Procedure 7300-89)</w:t>
      </w:r>
      <w:r w:rsidRPr="00126DE5">
        <w:rPr>
          <w:rFonts w:cs="Arial"/>
          <w:b/>
          <w:color w:val="0070C0"/>
          <w:sz w:val="20"/>
          <w:szCs w:val="20"/>
        </w:rPr>
        <w:fldChar w:fldCharType="end"/>
      </w:r>
      <w:r w:rsidR="00A16CAF" w:rsidRPr="00A16CAF">
        <w:t xml:space="preserve"> </w:t>
      </w:r>
      <w:r w:rsidR="00A16CAF">
        <w:t xml:space="preserve">(Section </w:t>
      </w:r>
      <w:r w:rsidRPr="00126DE5">
        <w:rPr>
          <w:rFonts w:cs="Arial"/>
          <w:b/>
          <w:color w:val="0070C0"/>
          <w:sz w:val="20"/>
          <w:szCs w:val="20"/>
        </w:rPr>
        <w:fldChar w:fldCharType="begin"/>
      </w:r>
      <w:r w:rsidR="00A16CAF" w:rsidRPr="00126DE5">
        <w:rPr>
          <w:rFonts w:cs="Arial"/>
          <w:b/>
          <w:color w:val="0070C0"/>
          <w:sz w:val="20"/>
          <w:szCs w:val="20"/>
        </w:rPr>
        <w:instrText xml:space="preserve"> REF _Ref284236908 \r \h </w:instrText>
      </w:r>
      <w:r w:rsidRPr="00126DE5">
        <w:rPr>
          <w:rFonts w:cs="Arial"/>
          <w:b/>
          <w:color w:val="0070C0"/>
          <w:sz w:val="20"/>
          <w:szCs w:val="20"/>
        </w:rPr>
      </w:r>
      <w:r w:rsidRPr="00126DE5">
        <w:rPr>
          <w:rFonts w:cs="Arial"/>
          <w:b/>
          <w:color w:val="0070C0"/>
          <w:sz w:val="20"/>
          <w:szCs w:val="20"/>
        </w:rPr>
        <w:fldChar w:fldCharType="separate"/>
      </w:r>
      <w:r w:rsidR="00126DE5" w:rsidRPr="00126DE5">
        <w:rPr>
          <w:rFonts w:cs="Arial"/>
          <w:b/>
          <w:color w:val="0070C0"/>
          <w:sz w:val="20"/>
          <w:szCs w:val="20"/>
        </w:rPr>
        <w:t>VII.3.7</w:t>
      </w:r>
      <w:r w:rsidRPr="00126DE5">
        <w:rPr>
          <w:rFonts w:cs="Arial"/>
          <w:b/>
          <w:color w:val="0070C0"/>
          <w:sz w:val="20"/>
          <w:szCs w:val="20"/>
        </w:rPr>
        <w:fldChar w:fldCharType="end"/>
      </w:r>
      <w:r w:rsidR="00A16CAF">
        <w:t>)</w:t>
      </w:r>
    </w:p>
    <w:p w:rsidR="00A16CAF" w:rsidRDefault="00126F3D" w:rsidP="009531AF">
      <w:pPr>
        <w:keepNext/>
        <w:numPr>
          <w:ilvl w:val="0"/>
          <w:numId w:val="13"/>
        </w:numPr>
        <w:spacing w:after="0"/>
        <w:rPr>
          <w:rFonts w:cs="Arial"/>
        </w:rPr>
      </w:pPr>
      <w:r w:rsidRPr="00126DE5">
        <w:rPr>
          <w:rFonts w:cs="Arial"/>
          <w:b/>
          <w:color w:val="0070C0"/>
          <w:sz w:val="20"/>
          <w:szCs w:val="20"/>
        </w:rPr>
        <w:fldChar w:fldCharType="begin"/>
      </w:r>
      <w:r w:rsidR="00A16CAF" w:rsidRPr="00126DE5">
        <w:rPr>
          <w:rFonts w:cs="Arial"/>
          <w:b/>
          <w:color w:val="0070C0"/>
          <w:sz w:val="20"/>
          <w:szCs w:val="20"/>
        </w:rPr>
        <w:instrText xml:space="preserve"> REF _Ref284236926 \h </w:instrText>
      </w:r>
      <w:r w:rsidRPr="00126DE5">
        <w:rPr>
          <w:rFonts w:cs="Arial"/>
          <w:b/>
          <w:color w:val="0070C0"/>
          <w:sz w:val="20"/>
          <w:szCs w:val="20"/>
        </w:rPr>
      </w:r>
      <w:r w:rsidRPr="00126DE5">
        <w:rPr>
          <w:rFonts w:cs="Arial"/>
          <w:b/>
          <w:color w:val="0070C0"/>
          <w:sz w:val="20"/>
          <w:szCs w:val="20"/>
        </w:rPr>
        <w:fldChar w:fldCharType="separate"/>
      </w:r>
      <w:r w:rsidR="00126DE5" w:rsidRPr="00126DE5">
        <w:rPr>
          <w:b/>
          <w:color w:val="0070C0"/>
        </w:rPr>
        <w:t>Percolation Test Procedure</w:t>
      </w:r>
      <w:r w:rsidRPr="00126DE5">
        <w:rPr>
          <w:rFonts w:cs="Arial"/>
          <w:b/>
          <w:color w:val="0070C0"/>
          <w:sz w:val="20"/>
          <w:szCs w:val="20"/>
        </w:rPr>
        <w:fldChar w:fldCharType="end"/>
      </w:r>
      <w:r w:rsidR="00A16CAF">
        <w:rPr>
          <w:rFonts w:cs="Arial"/>
        </w:rPr>
        <w:t xml:space="preserve"> </w:t>
      </w:r>
      <w:r w:rsidR="00DF24E8">
        <w:rPr>
          <w:rFonts w:cs="Arial"/>
        </w:rPr>
        <w:t xml:space="preserve">(Riverside County Department of Environmental Health ) </w:t>
      </w:r>
      <w:r w:rsidR="00A16CAF">
        <w:t xml:space="preserve">(Section </w:t>
      </w:r>
      <w:r w:rsidRPr="00126DE5">
        <w:rPr>
          <w:rFonts w:cs="Arial"/>
          <w:b/>
          <w:color w:val="0070C0"/>
          <w:sz w:val="20"/>
          <w:szCs w:val="20"/>
        </w:rPr>
        <w:fldChar w:fldCharType="begin"/>
      </w:r>
      <w:r w:rsidR="00A16CAF" w:rsidRPr="00126DE5">
        <w:rPr>
          <w:rFonts w:cs="Arial"/>
          <w:b/>
          <w:color w:val="0070C0"/>
          <w:sz w:val="20"/>
          <w:szCs w:val="20"/>
        </w:rPr>
        <w:instrText xml:space="preserve"> REF _Ref284236926 \r \h </w:instrText>
      </w:r>
      <w:r w:rsidRPr="00126DE5">
        <w:rPr>
          <w:rFonts w:cs="Arial"/>
          <w:b/>
          <w:color w:val="0070C0"/>
          <w:sz w:val="20"/>
          <w:szCs w:val="20"/>
        </w:rPr>
      </w:r>
      <w:r w:rsidRPr="00126DE5">
        <w:rPr>
          <w:rFonts w:cs="Arial"/>
          <w:b/>
          <w:color w:val="0070C0"/>
          <w:sz w:val="20"/>
          <w:szCs w:val="20"/>
        </w:rPr>
        <w:fldChar w:fldCharType="separate"/>
      </w:r>
      <w:r w:rsidR="00126DE5" w:rsidRPr="00126DE5">
        <w:rPr>
          <w:rFonts w:cs="Arial"/>
          <w:b/>
          <w:color w:val="0070C0"/>
          <w:sz w:val="20"/>
          <w:szCs w:val="20"/>
        </w:rPr>
        <w:t>VII.3.8</w:t>
      </w:r>
      <w:r w:rsidRPr="00126DE5">
        <w:rPr>
          <w:rFonts w:cs="Arial"/>
          <w:b/>
          <w:color w:val="0070C0"/>
          <w:sz w:val="20"/>
          <w:szCs w:val="20"/>
        </w:rPr>
        <w:fldChar w:fldCharType="end"/>
      </w:r>
      <w:r w:rsidR="00A16CAF">
        <w:t>)</w:t>
      </w:r>
    </w:p>
    <w:p w:rsidR="00A16CAF" w:rsidRPr="00A16CAF" w:rsidRDefault="00A16CAF" w:rsidP="009531AF">
      <w:pPr>
        <w:numPr>
          <w:ilvl w:val="0"/>
          <w:numId w:val="12"/>
        </w:numPr>
        <w:spacing w:after="200"/>
      </w:pPr>
      <w:r w:rsidRPr="00B10237">
        <w:rPr>
          <w:rFonts w:cs="Arial"/>
        </w:rPr>
        <w:t>Other analysis methods at the discretion of the project engineer</w:t>
      </w:r>
      <w:r>
        <w:rPr>
          <w:rFonts w:cs="Arial"/>
        </w:rPr>
        <w:t xml:space="preserve"> and approval of the reviewing agency</w:t>
      </w:r>
      <w:r>
        <w:rPr>
          <w:sz w:val="23"/>
          <w:szCs w:val="23"/>
        </w:rPr>
        <w:t xml:space="preserve"> </w:t>
      </w:r>
    </w:p>
    <w:p w:rsidR="00E63488" w:rsidRDefault="00E63488" w:rsidP="00A16CAF">
      <w:pPr>
        <w:spacing w:after="200"/>
      </w:pPr>
      <w:r>
        <w:t xml:space="preserve">A qualified professional must exercise judgment in the selection of the infiltration test method. Where satisfactory data from adjacent areas is available that demonstrates infiltration testing is not necessary, the infiltration testing requirement may be waived. Waiver of site specific testing is subject to approval by the local approval authority. Recommendation for foregoing infiltration testing must be submitted in a report which includes supporting data and is stamped and signed by the project geotechnical engineer or project geologist. </w:t>
      </w:r>
    </w:p>
    <w:p w:rsidR="00FE3A73" w:rsidRDefault="00E63488" w:rsidP="00A52883">
      <w:pPr>
        <w:pStyle w:val="Heading3"/>
      </w:pPr>
      <w:r>
        <w:t xml:space="preserve">Testing </w:t>
      </w:r>
      <w:r w:rsidRPr="00FC6CAC">
        <w:t>Criteria</w:t>
      </w:r>
      <w:r>
        <w:t xml:space="preserve"> </w:t>
      </w:r>
    </w:p>
    <w:p w:rsidR="00FE3A73" w:rsidRDefault="00E63488" w:rsidP="009531AF">
      <w:pPr>
        <w:numPr>
          <w:ilvl w:val="0"/>
          <w:numId w:val="8"/>
        </w:numPr>
        <w:spacing w:before="120"/>
        <w:contextualSpacing/>
        <w:outlineLvl w:val="0"/>
      </w:pPr>
      <w:r>
        <w:t xml:space="preserve">Testing must be conducted or overseen by a qualified professional, either a Professional Engineer (PE) or Registered Geologist (RG) licensed in the State of California. </w:t>
      </w:r>
    </w:p>
    <w:p w:rsidR="00E63488" w:rsidRDefault="00E63488" w:rsidP="009531AF">
      <w:pPr>
        <w:numPr>
          <w:ilvl w:val="0"/>
          <w:numId w:val="8"/>
        </w:numPr>
        <w:contextualSpacing/>
        <w:outlineLvl w:val="0"/>
      </w:pPr>
      <w:r>
        <w:t>The elevation of the test must correspond to the facility elevation, plus 2 feet to account for soil amendments under the infiltration system. If a confining layer, or soil with a greater percentage of fines, is observed during the subsurface investigation to be within 4 feet of the bottom of the planned infiltration system, the testing should be conducted within that confining layer. The boring log must be continued to a depth adequate to show separation between the bottom of the infiltration facility and the seasonal high groundwater level.</w:t>
      </w:r>
    </w:p>
    <w:p w:rsidR="00E63488" w:rsidRDefault="00E63488" w:rsidP="009531AF">
      <w:pPr>
        <w:numPr>
          <w:ilvl w:val="0"/>
          <w:numId w:val="8"/>
        </w:numPr>
        <w:contextualSpacing/>
        <w:outlineLvl w:val="0"/>
      </w:pPr>
      <w:r>
        <w:t xml:space="preserve">Tests must be performed in the immediate vicinity of the proposed facility. Exceptions can be made to the test location provided the qualified professional can support that the strata are consistent from the proposed facility to the test location. </w:t>
      </w:r>
    </w:p>
    <w:p w:rsidR="00E63488" w:rsidRDefault="00E63488" w:rsidP="009531AF">
      <w:pPr>
        <w:numPr>
          <w:ilvl w:val="0"/>
          <w:numId w:val="8"/>
        </w:numPr>
        <w:contextualSpacing/>
        <w:outlineLvl w:val="0"/>
      </w:pPr>
      <w:r>
        <w:t xml:space="preserve">Infiltration testing should not be conducted in engineered or undocumented fill. </w:t>
      </w:r>
    </w:p>
    <w:p w:rsidR="00FE3A73" w:rsidRDefault="00E63488" w:rsidP="00A52883">
      <w:pPr>
        <w:pStyle w:val="Heading3"/>
      </w:pPr>
      <w:r w:rsidRPr="000B7F76">
        <w:t xml:space="preserve">Minimum Number of Required Tests </w:t>
      </w:r>
    </w:p>
    <w:p w:rsidR="00E63488" w:rsidRDefault="00E63488" w:rsidP="007D631A">
      <w:pPr>
        <w:pStyle w:val="ListBullet"/>
      </w:pPr>
      <w:r>
        <w:t xml:space="preserve">A total of two infiltration tests for every 10,000 square feet of lot area available for new or redevelopment (minimum 2 tests per priority project). </w:t>
      </w:r>
    </w:p>
    <w:p w:rsidR="00E63488" w:rsidRDefault="00E63488" w:rsidP="007D631A">
      <w:pPr>
        <w:pStyle w:val="ListBullet"/>
      </w:pPr>
      <w:r>
        <w:t xml:space="preserve">An additional test for every 10,000 square feet of lot area available for new or redevelopment. </w:t>
      </w:r>
    </w:p>
    <w:p w:rsidR="00E63488" w:rsidRDefault="00E63488" w:rsidP="007D631A">
      <w:pPr>
        <w:pStyle w:val="ListBullet"/>
      </w:pPr>
      <w:r>
        <w:t xml:space="preserve">At least one test for any potential street facility. </w:t>
      </w:r>
    </w:p>
    <w:p w:rsidR="00E63488" w:rsidRDefault="00E63488" w:rsidP="007D631A">
      <w:pPr>
        <w:pStyle w:val="ListBullet"/>
      </w:pPr>
      <w:r>
        <w:t xml:space="preserve">One test for every 100 lineal feet of infiltration facility. </w:t>
      </w:r>
    </w:p>
    <w:p w:rsidR="00E63488" w:rsidRDefault="009E2B1A" w:rsidP="007D631A">
      <w:pPr>
        <w:pStyle w:val="ListBullet"/>
      </w:pPr>
      <w:r>
        <w:t xml:space="preserve">In general no </w:t>
      </w:r>
      <w:r w:rsidR="00E63488">
        <w:t>more than five</w:t>
      </w:r>
      <w:r>
        <w:t xml:space="preserve"> valid</w:t>
      </w:r>
      <w:r w:rsidR="00E63488">
        <w:t xml:space="preserve"> tests are required per development</w:t>
      </w:r>
      <w:r>
        <w:t>, unless more tests would be valuable or necessary</w:t>
      </w:r>
      <w:r w:rsidR="00E63488">
        <w:t xml:space="preserve"> (at the discretion of the qualified professional assessing the site, as well as the reviewing agency). </w:t>
      </w:r>
    </w:p>
    <w:p w:rsidR="00E63488" w:rsidRDefault="00E63488" w:rsidP="00E63488">
      <w:r>
        <w:t xml:space="preserve">Where multiple types of facilities are used, it is likely that multiple tests will be necessary, since different facility types may infiltrate at different depths and an infiltration test can test only a single soil stratum. It is highly recommended to conduct an infiltration test at each stratum used. Additional testing may be required at the discretion of the local approval authority. </w:t>
      </w:r>
    </w:p>
    <w:p w:rsidR="00FE3A73" w:rsidRDefault="00E63488" w:rsidP="00A52883">
      <w:pPr>
        <w:pStyle w:val="Heading3"/>
      </w:pPr>
      <w:r w:rsidRPr="000B7F76">
        <w:t xml:space="preserve">Factors of Safety </w:t>
      </w:r>
    </w:p>
    <w:p w:rsidR="00E63488" w:rsidRPr="00B70137" w:rsidRDefault="00E63488" w:rsidP="00E63488">
      <w:r w:rsidRPr="00B70137">
        <w:t xml:space="preserve">Long term monitoring has shown that the performance of working full-scale infiltration facilities may be far lower than the rate measured by small-scale testing. There are several reasons for this: </w:t>
      </w:r>
    </w:p>
    <w:p w:rsidR="00E63488" w:rsidRPr="00B70137" w:rsidRDefault="00E63488" w:rsidP="009531AF">
      <w:pPr>
        <w:pStyle w:val="ListParagraph"/>
        <w:numPr>
          <w:ilvl w:val="0"/>
          <w:numId w:val="18"/>
        </w:numPr>
        <w:jc w:val="both"/>
      </w:pPr>
      <w:r w:rsidRPr="00B70137">
        <w:t xml:space="preserve">Over time, the surface of infiltration facilities can become plugged as sedimentary particles accumulate at the infiltration surface. </w:t>
      </w:r>
    </w:p>
    <w:p w:rsidR="00E63488" w:rsidRPr="00B70137" w:rsidRDefault="00E63488" w:rsidP="009531AF">
      <w:pPr>
        <w:pStyle w:val="ListParagraph"/>
        <w:numPr>
          <w:ilvl w:val="0"/>
          <w:numId w:val="18"/>
        </w:numPr>
        <w:jc w:val="both"/>
      </w:pPr>
      <w:r w:rsidRPr="00B70137">
        <w:t xml:space="preserve">Post-grading compaction of the site can destroy soil structure and seriously impact the facility’s performance. </w:t>
      </w:r>
    </w:p>
    <w:p w:rsidR="00E63488" w:rsidRPr="00B70137" w:rsidRDefault="00E63488" w:rsidP="009531AF">
      <w:pPr>
        <w:pStyle w:val="ListParagraph"/>
        <w:numPr>
          <w:ilvl w:val="0"/>
          <w:numId w:val="18"/>
        </w:numPr>
        <w:jc w:val="both"/>
      </w:pPr>
      <w:r w:rsidRPr="00B70137">
        <w:t xml:space="preserve">Testing procedures in general are subject to errors which can skew the results. </w:t>
      </w:r>
    </w:p>
    <w:p w:rsidR="00E63488" w:rsidRDefault="00E63488" w:rsidP="00E63488">
      <w:r>
        <w:t xml:space="preserve">The method for determination of the factor of safety described in </w:t>
      </w:r>
      <w:r w:rsidR="002E1936">
        <w:t xml:space="preserve">Section </w:t>
      </w:r>
      <w:r w:rsidR="00126F3D" w:rsidRPr="00126DE5">
        <w:rPr>
          <w:rFonts w:cs="Arial"/>
          <w:b/>
          <w:color w:val="0070C0"/>
          <w:sz w:val="20"/>
          <w:szCs w:val="20"/>
        </w:rPr>
        <w:fldChar w:fldCharType="begin"/>
      </w:r>
      <w:r w:rsidRPr="00126DE5">
        <w:rPr>
          <w:rFonts w:cs="Arial"/>
          <w:b/>
          <w:color w:val="0070C0"/>
          <w:sz w:val="20"/>
          <w:szCs w:val="20"/>
        </w:rPr>
        <w:instrText xml:space="preserve"> REF _Ref261944895 \r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rFonts w:cs="Arial"/>
          <w:b/>
          <w:color w:val="0070C0"/>
          <w:sz w:val="20"/>
          <w:szCs w:val="20"/>
        </w:rPr>
        <w:t>VII.4</w:t>
      </w:r>
      <w:r w:rsidR="00126F3D" w:rsidRPr="00126DE5">
        <w:rPr>
          <w:rFonts w:cs="Arial"/>
          <w:b/>
          <w:color w:val="0070C0"/>
          <w:sz w:val="20"/>
          <w:szCs w:val="20"/>
        </w:rPr>
        <w:fldChar w:fldCharType="end"/>
      </w:r>
      <w:r>
        <w:t xml:space="preserve"> includes, among other factors, a consideration of the testing methods used to measure infiltration rate.  The open pit falling head test (see Section </w:t>
      </w:r>
      <w:r w:rsidR="00126F3D" w:rsidRPr="00126DE5">
        <w:rPr>
          <w:rFonts w:cs="Arial"/>
          <w:b/>
          <w:color w:val="0070C0"/>
          <w:sz w:val="20"/>
          <w:szCs w:val="20"/>
        </w:rPr>
        <w:fldChar w:fldCharType="begin"/>
      </w:r>
      <w:r w:rsidRPr="00126DE5">
        <w:rPr>
          <w:rFonts w:cs="Arial"/>
          <w:b/>
          <w:color w:val="0070C0"/>
          <w:sz w:val="20"/>
          <w:szCs w:val="20"/>
        </w:rPr>
        <w:instrText xml:space="preserve"> REF _Ref261944716 \r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rFonts w:cs="Arial"/>
          <w:b/>
          <w:color w:val="0070C0"/>
          <w:sz w:val="20"/>
          <w:szCs w:val="20"/>
        </w:rPr>
        <w:t>VII.3.4</w:t>
      </w:r>
      <w:r w:rsidR="00126F3D" w:rsidRPr="00126DE5">
        <w:rPr>
          <w:rFonts w:cs="Arial"/>
          <w:b/>
          <w:color w:val="0070C0"/>
          <w:sz w:val="20"/>
          <w:szCs w:val="20"/>
        </w:rPr>
        <w:fldChar w:fldCharType="end"/>
      </w:r>
      <w:r>
        <w:t>) is considered the most reliable infiltration testing method if constructed to the recommended dimensions.</w:t>
      </w:r>
    </w:p>
    <w:p w:rsidR="00FE3A73" w:rsidRDefault="00E63488" w:rsidP="00A52883">
      <w:pPr>
        <w:pStyle w:val="Heading3"/>
      </w:pPr>
      <w:bookmarkStart w:id="435" w:name="_Ref261944716"/>
      <w:r w:rsidRPr="000B7F76">
        <w:t>Open Pit Falling Head Procedure</w:t>
      </w:r>
      <w:bookmarkEnd w:id="435"/>
      <w:r w:rsidRPr="000B7F76">
        <w:t xml:space="preserve"> </w:t>
      </w:r>
    </w:p>
    <w:p w:rsidR="00E63488" w:rsidRPr="00D53BB8" w:rsidRDefault="00E63488" w:rsidP="00E63488">
      <w:r>
        <w:t>The open pit falling head procedure is performed in an open excavation and therefore is a test of the combination of vertical and lateral infiltration. The tester and excavator should conduct all testing in accordance with OSHA regulations regarding open pit excavations.</w:t>
      </w:r>
    </w:p>
    <w:p w:rsidR="00E63488" w:rsidRDefault="00E63488" w:rsidP="009531AF">
      <w:pPr>
        <w:numPr>
          <w:ilvl w:val="0"/>
          <w:numId w:val="9"/>
        </w:numPr>
        <w:contextualSpacing/>
      </w:pPr>
      <w:r>
        <w:t xml:space="preserve">Excavate a hole with bottom dimensions of at </w:t>
      </w:r>
      <w:r w:rsidRPr="008265B0">
        <w:t>least 2 feet by 4 feet into</w:t>
      </w:r>
      <w:r>
        <w:t xml:space="preserve"> the native soil to the elevation 2 feet below the proposed facility bottom to account for amendment of soils under infiltration areas. If a smooth excavation bucket is used, scratch the sides and bottom of the hole with a sharp pointed instrument, and remove the loose material from the bottom of the test hole. The bottom of the hole should not be compacted and should be as level as possible.</w:t>
      </w:r>
    </w:p>
    <w:p w:rsidR="00E63488" w:rsidRDefault="00E63488" w:rsidP="009531AF">
      <w:pPr>
        <w:numPr>
          <w:ilvl w:val="0"/>
          <w:numId w:val="9"/>
        </w:numPr>
        <w:contextualSpacing/>
      </w:pPr>
      <w:r>
        <w:t xml:space="preserve">Fill the hole with clean water a minimum of 1 foot above the soil to be tested, and maintain this depth of water for at least 4 hours (or overnight if clay soils are present) to presoak the native material. In sandy soils with little or no clay or silt, soaking is not necessary. If after filling the hole twice with 12 inches of water, the water seeps completely away in less than 10 minutes, the test can proceed immediately. </w:t>
      </w:r>
    </w:p>
    <w:p w:rsidR="00E63488" w:rsidRDefault="00E63488" w:rsidP="009531AF">
      <w:pPr>
        <w:numPr>
          <w:ilvl w:val="0"/>
          <w:numId w:val="9"/>
        </w:numPr>
        <w:contextualSpacing/>
      </w:pPr>
      <w:r>
        <w:t xml:space="preserve">Determine how the water level will be accurately measured. The measurements should be made with reference to a fixed point. A lath placed in the test pit prior to filling or </w:t>
      </w:r>
      <w:proofErr w:type="gramStart"/>
      <w:r>
        <w:t>a sturdy beam across the top of the pit are</w:t>
      </w:r>
      <w:proofErr w:type="gramEnd"/>
      <w:r>
        <w:t xml:space="preserve"> convenient reference points. </w:t>
      </w:r>
    </w:p>
    <w:p w:rsidR="00E63488" w:rsidRDefault="00E63488" w:rsidP="009531AF">
      <w:pPr>
        <w:numPr>
          <w:ilvl w:val="0"/>
          <w:numId w:val="9"/>
        </w:numPr>
        <w:contextualSpacing/>
      </w:pPr>
      <w:r>
        <w:t xml:space="preserve">After the pre-saturation period, refill the hole with water to 12 inches above the soil and record the time. For deep holes, it may be necessary to use remote sensing equipment to accurately measure changes in water level. Alternative water head heights may be used for testing provided the </w:t>
      </w:r>
      <w:proofErr w:type="spellStart"/>
      <w:r>
        <w:t>presaturation</w:t>
      </w:r>
      <w:proofErr w:type="spellEnd"/>
      <w:r>
        <w:t xml:space="preserve"> height is adjusted accordingly and the water head height used in infiltration testing is 50 percent or less than the water head height in the proposed stormwater system during the design storm event. Measure the water level to the nearest 0.01 foot (⅛ inch) at 10-minute intervals for a total period of 1 hour (or 20-minute intervals for 2 hours in slower soils) or until all of the water has drained. In faster draining soils (sands and gravels), it may be necessary to shorten the measurement interval in order to obtain a well-defined infiltration rate curve. Constant head tests may be substituted for falling head tests at the discretion of the professional overseeing the infiltration testing. </w:t>
      </w:r>
    </w:p>
    <w:p w:rsidR="00E63488" w:rsidRDefault="00E63488" w:rsidP="009531AF">
      <w:pPr>
        <w:numPr>
          <w:ilvl w:val="0"/>
          <w:numId w:val="9"/>
        </w:numPr>
        <w:contextualSpacing/>
      </w:pPr>
      <w:r>
        <w:t>Repeat the test. Successive trials should be run until the percent change in measured infiltration rate between two successive trials is minimal (&lt;10 percent). The trial should be discounted if the infiltration rate between successive trials increases. At least three trials must be conducted. After each trial, the water level is readjusted to the 12 inch level. Record results.</w:t>
      </w:r>
    </w:p>
    <w:p w:rsidR="00E63488" w:rsidRDefault="00E63488" w:rsidP="009531AF">
      <w:pPr>
        <w:numPr>
          <w:ilvl w:val="0"/>
          <w:numId w:val="9"/>
        </w:numPr>
        <w:contextualSpacing/>
      </w:pPr>
      <w:r>
        <w:t xml:space="preserve">The average infiltration rate over the last trial should be used to calculate the unadjusted (pre-factor of safety) infiltration rate. The final rate must be reported in inches per hour. </w:t>
      </w:r>
    </w:p>
    <w:p w:rsidR="00E63488" w:rsidRDefault="00E63488" w:rsidP="009531AF">
      <w:pPr>
        <w:numPr>
          <w:ilvl w:val="0"/>
          <w:numId w:val="9"/>
        </w:numPr>
        <w:contextualSpacing/>
      </w:pPr>
      <w:r>
        <w:t xml:space="preserve">Upon completion of the testing, the excavation must be backfilled. </w:t>
      </w:r>
    </w:p>
    <w:p w:rsidR="00E63488" w:rsidRDefault="00E63488" w:rsidP="009531AF">
      <w:pPr>
        <w:numPr>
          <w:ilvl w:val="0"/>
          <w:numId w:val="9"/>
        </w:numPr>
        <w:contextualSpacing/>
      </w:pPr>
      <w:r>
        <w:t xml:space="preserve">For very rapidly draining soils, it may not be possible to maintain a water head above the bottom of the test pit. If the infiltration rate meets or exceeds the flow of water into the test pit, conduct the test in the following manner: </w:t>
      </w:r>
    </w:p>
    <w:p w:rsidR="00E63488" w:rsidRDefault="00E63488" w:rsidP="009531AF">
      <w:pPr>
        <w:numPr>
          <w:ilvl w:val="0"/>
          <w:numId w:val="10"/>
        </w:numPr>
        <w:ind w:left="1440"/>
        <w:contextualSpacing/>
      </w:pPr>
      <w:r>
        <w:t xml:space="preserve">Approximate the area over which the water is infiltrating. </w:t>
      </w:r>
    </w:p>
    <w:p w:rsidR="00E63488" w:rsidRDefault="00E63488" w:rsidP="009531AF">
      <w:pPr>
        <w:numPr>
          <w:ilvl w:val="0"/>
          <w:numId w:val="10"/>
        </w:numPr>
        <w:ind w:left="1440"/>
        <w:contextualSpacing/>
      </w:pPr>
      <w:r>
        <w:t xml:space="preserve">Using a water meter, bucket, or other device, measure the rate of water discharging into the test pit. </w:t>
      </w:r>
    </w:p>
    <w:p w:rsidR="00E63488" w:rsidRDefault="00E63488" w:rsidP="009531AF">
      <w:pPr>
        <w:numPr>
          <w:ilvl w:val="0"/>
          <w:numId w:val="10"/>
        </w:numPr>
        <w:ind w:left="1440"/>
        <w:contextualSpacing/>
      </w:pPr>
      <w:r>
        <w:t xml:space="preserve">Calculate the infiltration rate by dividing the rate of discharge (cubic inches per hour) by the area over which it is infiltrating (square inches) and correcting to units of inches per hour. </w:t>
      </w:r>
    </w:p>
    <w:p w:rsidR="00FE3A73" w:rsidRDefault="00E63488" w:rsidP="00A52883">
      <w:pPr>
        <w:pStyle w:val="Heading3"/>
      </w:pPr>
      <w:bookmarkStart w:id="436" w:name="_Ref284238006"/>
      <w:r w:rsidRPr="000B7F76">
        <w:t>Single Ring Infiltrometer Test</w:t>
      </w:r>
      <w:bookmarkEnd w:id="436"/>
      <w:r w:rsidRPr="000B7F76">
        <w:t xml:space="preserve"> </w:t>
      </w:r>
    </w:p>
    <w:p w:rsidR="000B7F76" w:rsidRPr="00FD40C5" w:rsidRDefault="00E63488" w:rsidP="00E63488">
      <w:r w:rsidRPr="00FD40C5">
        <w:t xml:space="preserve">Single ring infiltrometer tests using a large ring in diameter </w:t>
      </w:r>
      <w:r>
        <w:t>(</w:t>
      </w:r>
      <w:r w:rsidRPr="00FD40C5">
        <w:t>40 inches or larger</w:t>
      </w:r>
      <w:r>
        <w:t xml:space="preserve"> is optimal)</w:t>
      </w:r>
      <w:r w:rsidRPr="00FD40C5">
        <w:t xml:space="preserve"> have </w:t>
      </w:r>
      <w:r w:rsidRPr="00657874">
        <w:t>been shown to closely match full-scale facility performance (</w:t>
      </w:r>
      <w:fldSimple w:instr=" REF _Ref284254269 \h  \* MERGEFORMAT ">
        <w:r w:rsidR="00126DE5" w:rsidRPr="00126DE5">
          <w:rPr>
            <w:rFonts w:cs="Arial"/>
            <w:b/>
            <w:color w:val="0070C0"/>
            <w:sz w:val="20"/>
            <w:szCs w:val="20"/>
          </w:rPr>
          <w:t xml:space="preserve">Figure </w:t>
        </w:r>
        <w:r w:rsidR="00126DE5" w:rsidRPr="00126DE5">
          <w:rPr>
            <w:rFonts w:cs="Arial"/>
            <w:b/>
            <w:noProof/>
            <w:color w:val="0070C0"/>
            <w:sz w:val="20"/>
            <w:szCs w:val="20"/>
          </w:rPr>
          <w:t>VII</w:t>
        </w:r>
        <w:r w:rsidR="00126DE5" w:rsidRPr="00126DE5">
          <w:rPr>
            <w:rFonts w:cs="Arial"/>
            <w:b/>
            <w:color w:val="0070C0"/>
            <w:sz w:val="20"/>
            <w:szCs w:val="20"/>
          </w:rPr>
          <w:t>.1</w:t>
        </w:r>
      </w:fldSimple>
      <w:r w:rsidRPr="00657874">
        <w:t xml:space="preserve"> to </w:t>
      </w:r>
      <w:fldSimple w:instr=" REF _Ref284255001 \h  \* MERGEFORMAT ">
        <w:r w:rsidR="00126DE5" w:rsidRPr="00126DE5">
          <w:rPr>
            <w:rFonts w:cs="Arial"/>
            <w:b/>
            <w:color w:val="0070C0"/>
            <w:sz w:val="20"/>
            <w:szCs w:val="20"/>
          </w:rPr>
          <w:t xml:space="preserve">Figure </w:t>
        </w:r>
        <w:r w:rsidR="00126DE5" w:rsidRPr="00126DE5">
          <w:rPr>
            <w:rFonts w:cs="Arial"/>
            <w:b/>
            <w:noProof/>
            <w:color w:val="0070C0"/>
            <w:sz w:val="20"/>
            <w:szCs w:val="20"/>
          </w:rPr>
          <w:t>VII</w:t>
        </w:r>
        <w:r w:rsidR="00126DE5" w:rsidRPr="00126DE5">
          <w:rPr>
            <w:rFonts w:cs="Arial"/>
            <w:b/>
            <w:color w:val="0070C0"/>
            <w:sz w:val="20"/>
            <w:szCs w:val="20"/>
          </w:rPr>
          <w:t>.3</w:t>
        </w:r>
      </w:fldSimple>
      <w:r w:rsidRPr="00657874">
        <w:t>). The</w:t>
      </w:r>
      <w:r w:rsidRPr="00FD40C5">
        <w:t xml:space="preserve"> cylindrical ring is driven approximately 12 inches into the soil. Water is ponded within the ring above the soil surface. The upper surface of the ring is often covered to prevent evaporation. Using the constant head method, the volumetric rate of water added to the ring sufficient to maintain a constant head within the ring is measured. The test is complete and the tested infiltration rate, I</w:t>
      </w:r>
      <w:r w:rsidRPr="00FD40C5">
        <w:rPr>
          <w:vertAlign w:val="subscript"/>
        </w:rPr>
        <w:t>t</w:t>
      </w:r>
      <w:r w:rsidRPr="00FD40C5">
        <w:t>, is determined after the fl</w:t>
      </w:r>
      <w:r>
        <w:t>ow rate has stabilized (ASTM D</w:t>
      </w:r>
      <w:r w:rsidRPr="00FD40C5">
        <w:t>5126)</w:t>
      </w:r>
      <w:r>
        <w:t>.</w:t>
      </w:r>
      <w:r w:rsidRPr="00FD40C5">
        <w:t xml:space="preserve"> </w:t>
      </w:r>
    </w:p>
    <w:p w:rsidR="000B7F76" w:rsidRPr="00FD40C5" w:rsidRDefault="00E63488" w:rsidP="00E63488">
      <w:r w:rsidRPr="00FD40C5">
        <w:t xml:space="preserve">To help maintain a constant head, a variety of devices may be used. A hook gage, steel tape or rule, length of </w:t>
      </w:r>
      <w:proofErr w:type="gramStart"/>
      <w:r w:rsidRPr="00FD40C5">
        <w:t>steel,</w:t>
      </w:r>
      <w:proofErr w:type="gramEnd"/>
      <w:r w:rsidRPr="00FD40C5">
        <w:t xml:space="preserve"> or plastic rod pointed on one end can be used for measuring and controlling the depth of liquid (head) in the infiltrometer ring. If available, a graduated Mariotte tube or automatic flow control system may also be used. Care should be taken when driving the ring into the ground as there can be a poor connection between the ring wall and the soil. This poor connection can cause a leakage of water along the ring wall and an overestimation of the infiltration rate. </w:t>
      </w:r>
    </w:p>
    <w:p w:rsidR="000B7F76" w:rsidRPr="00FD40C5" w:rsidRDefault="00E63488" w:rsidP="00E63488">
      <w:r w:rsidRPr="00FD40C5">
        <w:t xml:space="preserve">The volume of liquid used during each measured time interval may be converted into an incremental infiltration velocity (infiltration rate) using the following equation: </w:t>
      </w:r>
    </w:p>
    <w:p w:rsidR="00E63488" w:rsidRPr="00FD40C5" w:rsidRDefault="00E63488" w:rsidP="00EA1EA6">
      <w:pPr>
        <w:jc w:val="center"/>
        <w:outlineLvl w:val="0"/>
      </w:pPr>
      <w:r w:rsidRPr="00FD40C5">
        <w:t>I</w:t>
      </w:r>
      <w:r w:rsidRPr="003D362E">
        <w:rPr>
          <w:vertAlign w:val="subscript"/>
        </w:rPr>
        <w:t>t</w:t>
      </w:r>
      <w:r w:rsidRPr="00FD40C5">
        <w:t xml:space="preserve"> = V</w:t>
      </w:r>
      <w:proofErr w:type="gramStart"/>
      <w:r w:rsidRPr="00FD40C5">
        <w:t>/(</w:t>
      </w:r>
      <w:proofErr w:type="gramEnd"/>
      <w:r w:rsidRPr="00FD40C5">
        <w:t>A*t)</w:t>
      </w:r>
    </w:p>
    <w:p w:rsidR="00E63488" w:rsidRPr="00FD40C5" w:rsidRDefault="00E63488" w:rsidP="00E63488">
      <w:proofErr w:type="gramStart"/>
      <w:r>
        <w:t>w</w:t>
      </w:r>
      <w:r w:rsidRPr="00FD40C5">
        <w:t>here</w:t>
      </w:r>
      <w:proofErr w:type="gramEnd"/>
      <w:r w:rsidRPr="00FD40C5">
        <w:t xml:space="preserve">: </w:t>
      </w:r>
    </w:p>
    <w:p w:rsidR="00E63488" w:rsidRPr="00FD40C5" w:rsidRDefault="00E63488" w:rsidP="007D631A">
      <w:pPr>
        <w:ind w:left="720"/>
        <w:contextualSpacing/>
      </w:pPr>
      <w:r w:rsidRPr="00FD40C5">
        <w:t>I</w:t>
      </w:r>
      <w:r w:rsidRPr="00FD40C5">
        <w:rPr>
          <w:vertAlign w:val="subscript"/>
        </w:rPr>
        <w:t>t</w:t>
      </w:r>
      <w:r w:rsidRPr="00FD40C5">
        <w:t xml:space="preserve"> = tested infiltration rate, in/hr </w:t>
      </w:r>
    </w:p>
    <w:p w:rsidR="00E63488" w:rsidRPr="00FD40C5" w:rsidRDefault="00E63488" w:rsidP="007D631A">
      <w:pPr>
        <w:ind w:left="720"/>
        <w:contextualSpacing/>
      </w:pPr>
      <w:r w:rsidRPr="00FD40C5">
        <w:t>V = volume of liquid used during time interval to maintain constan</w:t>
      </w:r>
      <w:r>
        <w:t>t head in the ring, in</w:t>
      </w:r>
      <w:r w:rsidRPr="000924B4">
        <w:rPr>
          <w:vertAlign w:val="superscript"/>
        </w:rPr>
        <w:t>3</w:t>
      </w:r>
    </w:p>
    <w:p w:rsidR="00E63488" w:rsidRPr="00FD40C5" w:rsidRDefault="00E63488" w:rsidP="007D631A">
      <w:pPr>
        <w:ind w:left="720"/>
        <w:contextualSpacing/>
      </w:pPr>
      <w:r w:rsidRPr="00FD40C5">
        <w:t>A = internal area of ring, in</w:t>
      </w:r>
      <w:r w:rsidRPr="00FD40C5">
        <w:rPr>
          <w:vertAlign w:val="superscript"/>
        </w:rPr>
        <w:t>2</w:t>
      </w:r>
      <w:r w:rsidRPr="00FD40C5">
        <w:t xml:space="preserve"> </w:t>
      </w:r>
    </w:p>
    <w:p w:rsidR="00E63488" w:rsidRDefault="00E63488" w:rsidP="007D631A">
      <w:pPr>
        <w:ind w:left="720"/>
        <w:contextualSpacing/>
      </w:pPr>
      <w:r w:rsidRPr="00FD40C5">
        <w:t>t = time interval, hr.</w:t>
      </w:r>
    </w:p>
    <w:p w:rsidR="00E63488" w:rsidRDefault="00E63488" w:rsidP="00E63488"/>
    <w:p w:rsidR="007D631A" w:rsidRPr="00524D76" w:rsidRDefault="007D631A" w:rsidP="00647B99">
      <w:pPr>
        <w:pStyle w:val="Caption"/>
      </w:pPr>
      <w:bookmarkStart w:id="437" w:name="_Ref284254269"/>
      <w:bookmarkStart w:id="438" w:name="_Toc288555043"/>
      <w:r w:rsidRPr="00524D76">
        <w:t xml:space="preserve">Figure </w:t>
      </w:r>
      <w:fldSimple w:instr=" STYLEREF 1 \s ">
        <w:r w:rsidR="00524D76">
          <w:rPr>
            <w:noProof/>
          </w:rPr>
          <w:t>VII</w:t>
        </w:r>
      </w:fldSimple>
      <w:r w:rsidR="00524D76">
        <w:t>.</w:t>
      </w:r>
      <w:fldSimple w:instr=" SEQ Figure \* ARABIC \s 1 ">
        <w:r w:rsidR="00524D76">
          <w:rPr>
            <w:noProof/>
          </w:rPr>
          <w:t>1</w:t>
        </w:r>
      </w:fldSimple>
      <w:bookmarkEnd w:id="437"/>
      <w:r w:rsidRPr="00524D76">
        <w:t>. Photo of Single Ring Infiltrometer</w:t>
      </w:r>
      <w:bookmarkEnd w:id="438"/>
    </w:p>
    <w:p w:rsidR="00E63488" w:rsidRDefault="004673AC" w:rsidP="007D631A">
      <w:pPr>
        <w:jc w:val="center"/>
      </w:pPr>
      <w:r>
        <w:rPr>
          <w:b/>
          <w:bCs/>
          <w:noProof/>
          <w:color w:val="000000"/>
          <w:sz w:val="23"/>
          <w:szCs w:val="23"/>
        </w:rPr>
        <w:drawing>
          <wp:inline distT="0" distB="0" distL="0" distR="0">
            <wp:extent cx="4248150" cy="3612238"/>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gle ring infiltrometer.jpg"/>
                    <pic:cNvPicPr/>
                  </pic:nvPicPr>
                  <pic:blipFill>
                    <a:blip r:embed="rId5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60347" cy="3622609"/>
                    </a:xfrm>
                    <a:prstGeom prst="rect">
                      <a:avLst/>
                    </a:prstGeom>
                  </pic:spPr>
                </pic:pic>
              </a:graphicData>
            </a:graphic>
          </wp:inline>
        </w:drawing>
      </w:r>
    </w:p>
    <w:p w:rsidR="007D631A" w:rsidRDefault="007D631A" w:rsidP="007D631A">
      <w:pPr>
        <w:jc w:val="center"/>
      </w:pPr>
    </w:p>
    <w:p w:rsidR="007D631A" w:rsidRPr="00524D76" w:rsidRDefault="007D631A" w:rsidP="00647B99">
      <w:pPr>
        <w:pStyle w:val="Caption"/>
      </w:pPr>
      <w:bookmarkStart w:id="439" w:name="_Toc288555044"/>
      <w:r w:rsidRPr="00524D76">
        <w:t xml:space="preserve">Figure </w:t>
      </w:r>
      <w:fldSimple w:instr=" STYLEREF 1 \s ">
        <w:r w:rsidR="00524D76">
          <w:rPr>
            <w:noProof/>
          </w:rPr>
          <w:t>VII</w:t>
        </w:r>
      </w:fldSimple>
      <w:r w:rsidR="00524D76">
        <w:t>.</w:t>
      </w:r>
      <w:fldSimple w:instr=" SEQ Figure \* ARABIC \s 1 ">
        <w:r w:rsidR="00524D76">
          <w:rPr>
            <w:noProof/>
          </w:rPr>
          <w:t>2</w:t>
        </w:r>
      </w:fldSimple>
      <w:r w:rsidRPr="00524D76">
        <w:t>.  Single Ring Infiltrometer Construction</w:t>
      </w:r>
      <w:bookmarkEnd w:id="439"/>
    </w:p>
    <w:p w:rsidR="007D631A" w:rsidRPr="00524D76" w:rsidRDefault="00126F3D" w:rsidP="00647B99">
      <w:pPr>
        <w:pStyle w:val="Caption"/>
      </w:pPr>
      <w:r>
        <w:rPr>
          <w:noProof/>
        </w:rPr>
      </w:r>
      <w:r>
        <w:rPr>
          <w:noProof/>
        </w:rPr>
        <w:pict>
          <v:group id="Canvas 22" o:spid="_x0000_s1197" editas="canvas" style="width:415.2pt;height:465.2pt;mso-position-horizontal-relative:char;mso-position-vertical-relative:line" coordorigin=",-806" coordsize="52730,59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98" type="#_x0000_t75" style="position:absolute;top:-806;width:52730;height:59079;visibility:visible">
              <v:fill o:detectmouseclick="t"/>
              <v:path o:connecttype="none"/>
            </v:shape>
            <v:shape id="Picture 9" o:spid="_x0000_s1199" type="#_x0000_t75" style="position:absolute;width:49149;height:539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1+fzEAAAA3AAAAA8AAABkcnMvZG93bnJldi54bWxEj0FrwkAQhe+C/2EZoTfd2NJSUlcpgjY3&#10;Mba0xyE7JqHZ2Zhdk/jvOwehtxnem/e+WW1G16ieulB7NrBcJKCIC29rLg18nnbzV1AhIltsPJOB&#10;GwXYrKeTFabWD3ykPo+lkhAOKRqoYmxTrUNRkcOw8C2xaGffOYyydqW2HQ4S7hr9mCQv2mHN0lBh&#10;S9uKit/86gyMmc731+/sa9Bo9z8fl3N8OvTGPMzG9zdQkcb4b75fZ1bwn4VWnpEJ9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v1+fzEAAAA3AAAAA8AAAAAAAAAAAAAAAAA&#10;nwIAAGRycy9kb3ducmV2LnhtbFBLBQYAAAAABAAEAPcAAACQAwAAAAA=&#10;">
              <v:imagedata r:id="rId57" o:title="" cropbottom="2991f"/>
            </v:shape>
            <w10:wrap type="none"/>
            <w10:anchorlock/>
          </v:group>
        </w:pict>
      </w:r>
    </w:p>
    <w:p w:rsidR="007D631A" w:rsidRPr="00C46207" w:rsidRDefault="007D631A" w:rsidP="007D631A">
      <w:pPr>
        <w:keepNext/>
        <w:ind w:left="720"/>
        <w:jc w:val="center"/>
        <w:outlineLvl w:val="0"/>
        <w:rPr>
          <w:b/>
        </w:rPr>
      </w:pPr>
    </w:p>
    <w:p w:rsidR="00E63488" w:rsidRPr="005A74EE" w:rsidRDefault="00E63488" w:rsidP="007D631A"/>
    <w:p w:rsidR="00E63488" w:rsidRDefault="00E63488" w:rsidP="007D631A"/>
    <w:p w:rsidR="00E63488" w:rsidRPr="00524D76" w:rsidRDefault="007D631A" w:rsidP="00647B99">
      <w:pPr>
        <w:pStyle w:val="Caption"/>
      </w:pPr>
      <w:bookmarkStart w:id="440" w:name="_Ref284255001"/>
      <w:bookmarkStart w:id="441" w:name="_Toc288555045"/>
      <w:r w:rsidRPr="00524D76">
        <w:t xml:space="preserve">Figure </w:t>
      </w:r>
      <w:fldSimple w:instr=" STYLEREF 1 \s ">
        <w:r w:rsidR="00524D76">
          <w:rPr>
            <w:noProof/>
          </w:rPr>
          <w:t>VII</w:t>
        </w:r>
      </w:fldSimple>
      <w:r w:rsidR="00524D76">
        <w:t>.</w:t>
      </w:r>
      <w:fldSimple w:instr=" SEQ Figure \* ARABIC \s 1 ">
        <w:r w:rsidR="00524D76">
          <w:rPr>
            <w:noProof/>
          </w:rPr>
          <w:t>3</w:t>
        </w:r>
      </w:fldSimple>
      <w:bookmarkEnd w:id="440"/>
      <w:r w:rsidRPr="00524D76">
        <w:t>.  Single Ring Infiltrometer Setup with Mariotte Tube</w:t>
      </w:r>
      <w:bookmarkEnd w:id="441"/>
    </w:p>
    <w:p w:rsidR="007D631A" w:rsidRPr="00524D76" w:rsidRDefault="00126F3D" w:rsidP="00647B99">
      <w:pPr>
        <w:pStyle w:val="Caption"/>
      </w:pPr>
      <w:r>
        <w:rPr>
          <w:noProof/>
        </w:rPr>
      </w:r>
      <w:r>
        <w:rPr>
          <w:noProof/>
        </w:rPr>
        <w:pict>
          <v:group id="Canvas 20" o:spid="_x0000_s1083" editas="canvas" style="width:424.5pt;height:288.6pt;mso-position-horizontal-relative:char;mso-position-vertical-relative:line" coordsize="53911,36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">
            <v:shape id="_x0000_s1085" type="#_x0000_t75" style="position:absolute;width:53911;height:36652;visibility:visible">
              <v:fill o:detectmouseclick="t"/>
              <v:path o:connecttype="none"/>
            </v:shape>
            <v:shape id="Picture 5" o:spid="_x0000_s1084" type="#_x0000_t75" style="position:absolute;width:53911;height:362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KcyDCAAAA3AAAAA8AAABkcnMvZG93bnJldi54bWxET01rwkAQvRf8D8sIvTUbBa1EV1GprYde&#10;jIvnITsmIdnZkN1q/PduodDbPN7nrDaDbcWNel87VjBJUhDEhTM1lwr0+fC2AOEDssHWMSl4kIfN&#10;evSywsy4O5/olodSxBD2GSqoQugyKX1RkUWfuI44clfXWwwR9qU0Pd5juG3lNE3n0mLNsaHCjvYV&#10;FU3+YxVs3eWr2V3ejzP81AfzgVp/p41Sr+NhuwQRaAj/4j/30cT5szn8PhMvkO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inMgwgAAANwAAAAPAAAAAAAAAAAAAAAAAJ8C&#10;AABkcnMvZG93bnJldi54bWxQSwUGAAAAAAQABAD3AAAAjgMAAAAA&#10;">
              <v:imagedata r:id="rId58" o:title="" cropbottom="8916f"/>
            </v:shape>
            <w10:wrap type="none"/>
            <w10:anchorlock/>
          </v:group>
        </w:pict>
      </w:r>
      <w:r w:rsidR="007D631A" w:rsidRPr="00524D76">
        <w:t xml:space="preserve"> </w:t>
      </w:r>
    </w:p>
    <w:p w:rsidR="007D631A" w:rsidRPr="007D631A" w:rsidRDefault="007D631A" w:rsidP="007D631A">
      <w:pPr>
        <w:rPr>
          <w:lang w:bidi="en-US"/>
        </w:rPr>
      </w:pPr>
    </w:p>
    <w:p w:rsidR="007D631A" w:rsidRPr="00524D76" w:rsidRDefault="007D631A" w:rsidP="00647B99">
      <w:pPr>
        <w:pStyle w:val="Caption"/>
      </w:pPr>
      <w:bookmarkStart w:id="442" w:name="_Toc288555046"/>
      <w:r w:rsidRPr="00524D76">
        <w:t xml:space="preserve">Figure </w:t>
      </w:r>
      <w:fldSimple w:instr=" STYLEREF 1 \s ">
        <w:r w:rsidR="00524D76">
          <w:rPr>
            <w:noProof/>
          </w:rPr>
          <w:t>VII</w:t>
        </w:r>
      </w:fldSimple>
      <w:r w:rsidR="00524D76">
        <w:t>.</w:t>
      </w:r>
      <w:fldSimple w:instr=" SEQ Figure \* ARABIC \s 1 ">
        <w:r w:rsidR="00524D76">
          <w:rPr>
            <w:noProof/>
          </w:rPr>
          <w:t>4</w:t>
        </w:r>
      </w:fldSimple>
      <w:r w:rsidRPr="00524D76">
        <w:t>. Sample Test Data Form for Single Ring Infiltrometer Test</w:t>
      </w:r>
      <w:bookmarkEnd w:id="442"/>
    </w:p>
    <w:p w:rsidR="00E63488" w:rsidRDefault="004673AC" w:rsidP="00E63488">
      <w:pPr>
        <w:keepNext/>
        <w:ind w:left="720"/>
        <w:jc w:val="center"/>
        <w:rPr>
          <w:b/>
        </w:rPr>
      </w:pPr>
      <w:r>
        <w:rPr>
          <w:noProof/>
        </w:rPr>
        <w:drawing>
          <wp:inline distT="0" distB="0" distL="0" distR="0">
            <wp:extent cx="4944140" cy="6975860"/>
            <wp:effectExtent l="19050" t="0" r="886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48399" cy="6981869"/>
                    </a:xfrm>
                    <a:prstGeom prst="rect">
                      <a:avLst/>
                    </a:prstGeom>
                    <a:noFill/>
                    <a:ln>
                      <a:noFill/>
                    </a:ln>
                  </pic:spPr>
                </pic:pic>
              </a:graphicData>
            </a:graphic>
          </wp:inline>
        </w:drawing>
      </w:r>
    </w:p>
    <w:p w:rsidR="00FE3A73" w:rsidRDefault="00FE3A73" w:rsidP="00FE3A73"/>
    <w:p w:rsidR="00FE3A73" w:rsidRDefault="00E63488" w:rsidP="00A52883">
      <w:pPr>
        <w:pStyle w:val="Heading3"/>
      </w:pPr>
      <w:bookmarkStart w:id="443" w:name="_Ref261944731"/>
      <w:r w:rsidRPr="000B7F76">
        <w:t>Double Ring Infiltrometer Test</w:t>
      </w:r>
      <w:bookmarkEnd w:id="443"/>
      <w:r w:rsidRPr="000B7F76">
        <w:t xml:space="preserve"> </w:t>
      </w:r>
    </w:p>
    <w:p w:rsidR="000B7F76" w:rsidRDefault="00E63488" w:rsidP="00E63488">
      <w:pPr>
        <w:rPr>
          <w:rFonts w:cs="Book Antiqua"/>
        </w:rPr>
      </w:pPr>
      <w:r w:rsidRPr="00DC224B">
        <w:rPr>
          <w:rFonts w:cs="Book Antiqua"/>
        </w:rPr>
        <w:t xml:space="preserve">The double </w:t>
      </w:r>
      <w:r>
        <w:rPr>
          <w:rFonts w:cs="Book Antiqua"/>
        </w:rPr>
        <w:t>ring infiltrometer test (ASTM D</w:t>
      </w:r>
      <w:r w:rsidRPr="00DC224B">
        <w:rPr>
          <w:rFonts w:cs="Book Antiqua"/>
        </w:rPr>
        <w:t xml:space="preserve">3385) is a </w:t>
      </w:r>
      <w:r w:rsidRPr="00D25DCD">
        <w:rPr>
          <w:rFonts w:cs="Book Antiqua"/>
        </w:rPr>
        <w:t>well-recognized</w:t>
      </w:r>
      <w:r w:rsidRPr="00DC224B">
        <w:rPr>
          <w:rFonts w:cs="Book Antiqua"/>
        </w:rPr>
        <w:t xml:space="preserve"> and documented </w:t>
      </w:r>
      <w:r w:rsidRPr="00657874">
        <w:rPr>
          <w:rFonts w:cs="Book Antiqua"/>
        </w:rPr>
        <w:t>technique for directly measuring the soil infiltration rate of a site (see</w:t>
      </w:r>
      <w:r>
        <w:rPr>
          <w:rFonts w:cs="Book Antiqua"/>
        </w:rPr>
        <w:t xml:space="preserve"> </w:t>
      </w:r>
      <w:fldSimple w:instr=" REF _Ref284255072 \h  \* MERGEFORMAT ">
        <w:r w:rsidR="00126DE5" w:rsidRPr="00126DE5">
          <w:rPr>
            <w:rFonts w:cs="Arial"/>
            <w:b/>
            <w:color w:val="0070C0"/>
            <w:sz w:val="20"/>
            <w:szCs w:val="20"/>
          </w:rPr>
          <w:t xml:space="preserve">Figure </w:t>
        </w:r>
        <w:r w:rsidR="00126DE5" w:rsidRPr="00126DE5">
          <w:rPr>
            <w:rFonts w:cs="Arial"/>
            <w:b/>
            <w:noProof/>
            <w:color w:val="0070C0"/>
            <w:sz w:val="20"/>
            <w:szCs w:val="20"/>
          </w:rPr>
          <w:t>VII</w:t>
        </w:r>
        <w:r w:rsidR="00126DE5" w:rsidRPr="00126DE5">
          <w:rPr>
            <w:rFonts w:cs="Arial"/>
            <w:b/>
            <w:color w:val="0070C0"/>
            <w:sz w:val="20"/>
            <w:szCs w:val="20"/>
          </w:rPr>
          <w:t>.5</w:t>
        </w:r>
      </w:fldSimple>
      <w:r w:rsidRPr="00657874">
        <w:rPr>
          <w:rFonts w:cs="Book Antiqua"/>
        </w:rPr>
        <w:t xml:space="preserve"> to </w:t>
      </w:r>
      <w:fldSimple w:instr=" REF _Ref284255096 \h  \* MERGEFORMAT ">
        <w:r w:rsidR="00126DE5" w:rsidRPr="00126DE5">
          <w:rPr>
            <w:rFonts w:cs="Arial"/>
            <w:b/>
            <w:bCs/>
            <w:noProof/>
            <w:color w:val="0070C0"/>
            <w:sz w:val="20"/>
            <w:szCs w:val="20"/>
          </w:rPr>
          <w:t>Figure</w:t>
        </w:r>
        <w:r w:rsidR="00126DE5" w:rsidRPr="00126DE5">
          <w:rPr>
            <w:rFonts w:cs="Arial"/>
            <w:b/>
            <w:color w:val="0070C0"/>
            <w:sz w:val="20"/>
            <w:szCs w:val="20"/>
          </w:rPr>
          <w:t xml:space="preserve"> </w:t>
        </w:r>
        <w:r w:rsidR="00126DE5" w:rsidRPr="00126DE5">
          <w:rPr>
            <w:rFonts w:cs="Arial"/>
            <w:b/>
            <w:noProof/>
            <w:color w:val="0070C0"/>
            <w:sz w:val="20"/>
            <w:szCs w:val="20"/>
          </w:rPr>
          <w:t>VII</w:t>
        </w:r>
        <w:r w:rsidR="00126DE5" w:rsidRPr="00126DE5">
          <w:rPr>
            <w:rFonts w:cs="Arial"/>
            <w:b/>
            <w:color w:val="0070C0"/>
            <w:sz w:val="20"/>
            <w:szCs w:val="20"/>
          </w:rPr>
          <w:t>.</w:t>
        </w:r>
        <w:r w:rsidR="00126DE5" w:rsidRPr="00126DE5">
          <w:rPr>
            <w:rFonts w:cs="Arial"/>
            <w:b/>
            <w:noProof/>
            <w:color w:val="0070C0"/>
            <w:sz w:val="20"/>
            <w:szCs w:val="20"/>
          </w:rPr>
          <w:t>12</w:t>
        </w:r>
      </w:fldSimple>
      <w:r w:rsidRPr="00657874">
        <w:rPr>
          <w:rFonts w:cs="Book Antiqua"/>
        </w:rPr>
        <w:t>). Double ring infiltrometers were developed in response to the fact that smaller (less than</w:t>
      </w:r>
      <w:r w:rsidRPr="00DC224B">
        <w:rPr>
          <w:rFonts w:cs="Book Antiqua"/>
        </w:rPr>
        <w:t xml:space="preserve"> 40 inch diameter) single ring infiltrometers tend to overestimate vertical infiltration rates. This has been attributed to the fact that the flow of water beneath the cylinder is not purely vertical and diverges laterally. Double ring infiltrometers minimize the error associated with the single-ring method because the water level in the outer ring forces vertical infiltration of water in the inner ring. Care should be taken when driving the rings into the ground as there can be a poor connection between the ring wall and the soil. This poor connection can cause a leakage of water along the ring wall and an overestimation of the infiltration rate. </w:t>
      </w:r>
      <w:r>
        <w:rPr>
          <w:rFonts w:cs="Book Antiqua"/>
        </w:rPr>
        <w:t>The double-ring infiltrometer test should be performed at an elevation 2 feet below the proposed elevation of the infiltration surface to account for the use of soil amendments below the infiltration system.</w:t>
      </w:r>
    </w:p>
    <w:p w:rsidR="000B7F76" w:rsidRPr="00DC224B" w:rsidRDefault="00E63488" w:rsidP="00E63488">
      <w:pPr>
        <w:rPr>
          <w:rFonts w:cs="Book Antiqua"/>
        </w:rPr>
      </w:pPr>
      <w:r w:rsidRPr="00DC224B">
        <w:rPr>
          <w:rFonts w:cs="Book Antiqua"/>
        </w:rPr>
        <w:t xml:space="preserve">A typical double ring infiltrometer would consist of a 12 inch inner ring and a 24 inch outer ring. While there are two operational techniques used with the double-ring infiltrometer, the constant head method and the falling head </w:t>
      </w:r>
      <w:proofErr w:type="gramStart"/>
      <w:r w:rsidRPr="00DC224B">
        <w:rPr>
          <w:rFonts w:cs="Book Antiqua"/>
        </w:rPr>
        <w:t>method,</w:t>
      </w:r>
      <w:proofErr w:type="gramEnd"/>
      <w:r w:rsidRPr="00DC224B">
        <w:rPr>
          <w:rFonts w:cs="Book Antiqua"/>
        </w:rPr>
        <w:t xml:space="preserve"> ASTM D3385 mandates the use of the constant head method. With the constant head method, water is consistently added to both the outer and inner rings to maintain a constant level throughout the testing. The volume of water needed to maintain the fixed level of the inner ring is measured. To help maintain a constant head, a variety of devices may be used. A hook gage, steel tape or rule, or length of steel or plastic rod pointed on one end, can be used for measuring and controlling the depth of liquid (head) in the infiltrometer ring. If available, a graduated Mariotte tube or automatic flow control system may also be used. </w:t>
      </w:r>
    </w:p>
    <w:p w:rsidR="000B7F76" w:rsidRPr="00DC224B" w:rsidRDefault="00E63488" w:rsidP="00E63488">
      <w:pPr>
        <w:rPr>
          <w:rFonts w:cs="Book Antiqua"/>
        </w:rPr>
      </w:pPr>
      <w:r w:rsidRPr="00DC224B">
        <w:rPr>
          <w:rFonts w:cs="Book Antiqua"/>
        </w:rPr>
        <w:t xml:space="preserve">The volume of liquid used during each measured time interval may be converted into an incremental infiltration velocity (infiltration rate) using the following equation: </w:t>
      </w:r>
    </w:p>
    <w:p w:rsidR="00E63488" w:rsidRPr="006A3D6C" w:rsidRDefault="00E63488" w:rsidP="00EA1EA6">
      <w:pPr>
        <w:autoSpaceDE w:val="0"/>
        <w:autoSpaceDN w:val="0"/>
        <w:adjustRightInd w:val="0"/>
        <w:spacing w:line="240" w:lineRule="auto"/>
        <w:jc w:val="center"/>
        <w:outlineLvl w:val="0"/>
        <w:rPr>
          <w:color w:val="000000"/>
        </w:rPr>
      </w:pPr>
      <w:r w:rsidRPr="006A3D6C">
        <w:rPr>
          <w:color w:val="000000"/>
        </w:rPr>
        <w:t>I</w:t>
      </w:r>
      <w:r w:rsidRPr="006A3D6C">
        <w:rPr>
          <w:color w:val="000000"/>
          <w:vertAlign w:val="subscript"/>
        </w:rPr>
        <w:t>t</w:t>
      </w:r>
      <w:r w:rsidRPr="006A3D6C">
        <w:rPr>
          <w:color w:val="000000"/>
        </w:rPr>
        <w:t xml:space="preserve"> = V</w:t>
      </w:r>
      <w:proofErr w:type="gramStart"/>
      <w:r w:rsidRPr="006A3D6C">
        <w:rPr>
          <w:color w:val="000000"/>
        </w:rPr>
        <w:t>/(</w:t>
      </w:r>
      <w:proofErr w:type="gramEnd"/>
      <w:r w:rsidRPr="006A3D6C">
        <w:rPr>
          <w:color w:val="000000"/>
        </w:rPr>
        <w:t>A*t)</w:t>
      </w:r>
    </w:p>
    <w:p w:rsidR="00E63488" w:rsidRPr="006A3D6C" w:rsidRDefault="00E63488" w:rsidP="00E63488">
      <w:pPr>
        <w:autoSpaceDE w:val="0"/>
        <w:autoSpaceDN w:val="0"/>
        <w:adjustRightInd w:val="0"/>
        <w:spacing w:line="240" w:lineRule="auto"/>
        <w:rPr>
          <w:color w:val="000000"/>
        </w:rPr>
      </w:pPr>
      <w:proofErr w:type="gramStart"/>
      <w:r>
        <w:rPr>
          <w:color w:val="000000"/>
        </w:rPr>
        <w:t>w</w:t>
      </w:r>
      <w:r w:rsidRPr="006A3D6C">
        <w:rPr>
          <w:color w:val="000000"/>
        </w:rPr>
        <w:t>here</w:t>
      </w:r>
      <w:proofErr w:type="gramEnd"/>
      <w:r w:rsidRPr="006A3D6C">
        <w:rPr>
          <w:color w:val="000000"/>
        </w:rPr>
        <w:t xml:space="preserve">: </w:t>
      </w:r>
    </w:p>
    <w:p w:rsidR="00E63488" w:rsidRPr="006A3D6C" w:rsidRDefault="00E63488" w:rsidP="007D631A">
      <w:pPr>
        <w:autoSpaceDE w:val="0"/>
        <w:autoSpaceDN w:val="0"/>
        <w:adjustRightInd w:val="0"/>
        <w:spacing w:line="240" w:lineRule="auto"/>
        <w:ind w:left="720"/>
        <w:contextualSpacing/>
        <w:rPr>
          <w:color w:val="000000"/>
        </w:rPr>
      </w:pPr>
      <w:r w:rsidRPr="006A3D6C">
        <w:rPr>
          <w:color w:val="000000"/>
        </w:rPr>
        <w:t>I</w:t>
      </w:r>
      <w:r w:rsidRPr="006A3D6C">
        <w:rPr>
          <w:color w:val="000000"/>
          <w:vertAlign w:val="subscript"/>
        </w:rPr>
        <w:t>t</w:t>
      </w:r>
      <w:r w:rsidRPr="006A3D6C">
        <w:rPr>
          <w:color w:val="000000"/>
        </w:rPr>
        <w:t xml:space="preserve"> = tested infiltration rate, in/hr </w:t>
      </w:r>
    </w:p>
    <w:p w:rsidR="00E63488" w:rsidRPr="006A3D6C" w:rsidRDefault="00E63488" w:rsidP="007D631A">
      <w:pPr>
        <w:autoSpaceDE w:val="0"/>
        <w:autoSpaceDN w:val="0"/>
        <w:adjustRightInd w:val="0"/>
        <w:spacing w:line="240" w:lineRule="auto"/>
        <w:ind w:left="720"/>
        <w:contextualSpacing/>
        <w:rPr>
          <w:color w:val="000000"/>
        </w:rPr>
      </w:pPr>
      <w:r w:rsidRPr="006A3D6C">
        <w:rPr>
          <w:color w:val="000000"/>
        </w:rPr>
        <w:t>V = volume of liquid used during time interval to maintain constant head in the inner ring, in</w:t>
      </w:r>
      <w:r w:rsidRPr="006A3D6C">
        <w:rPr>
          <w:color w:val="000000"/>
          <w:vertAlign w:val="superscript"/>
        </w:rPr>
        <w:t>3</w:t>
      </w:r>
    </w:p>
    <w:p w:rsidR="00E63488" w:rsidRPr="006A3D6C" w:rsidRDefault="00E63488" w:rsidP="007D631A">
      <w:pPr>
        <w:autoSpaceDE w:val="0"/>
        <w:autoSpaceDN w:val="0"/>
        <w:adjustRightInd w:val="0"/>
        <w:spacing w:line="240" w:lineRule="auto"/>
        <w:ind w:left="720"/>
        <w:contextualSpacing/>
        <w:rPr>
          <w:color w:val="000000"/>
        </w:rPr>
      </w:pPr>
      <w:r w:rsidRPr="006A3D6C">
        <w:rPr>
          <w:color w:val="000000"/>
        </w:rPr>
        <w:t>A = area of inner ring, in</w:t>
      </w:r>
      <w:r w:rsidRPr="006A3D6C">
        <w:rPr>
          <w:color w:val="000000"/>
          <w:vertAlign w:val="superscript"/>
        </w:rPr>
        <w:t>2</w:t>
      </w:r>
    </w:p>
    <w:p w:rsidR="00E63488" w:rsidRPr="006A3D6C" w:rsidRDefault="00E63488" w:rsidP="007D631A">
      <w:pPr>
        <w:autoSpaceDE w:val="0"/>
        <w:autoSpaceDN w:val="0"/>
        <w:adjustRightInd w:val="0"/>
        <w:spacing w:line="240" w:lineRule="auto"/>
        <w:ind w:left="720"/>
        <w:contextualSpacing/>
        <w:rPr>
          <w:color w:val="000000"/>
        </w:rPr>
      </w:pPr>
      <w:r w:rsidRPr="006A3D6C">
        <w:rPr>
          <w:color w:val="000000"/>
        </w:rPr>
        <w:t xml:space="preserve">t = time interval, hr. </w:t>
      </w:r>
    </w:p>
    <w:p w:rsidR="00E63488" w:rsidRPr="00DC224B" w:rsidRDefault="00E63488" w:rsidP="00E63488">
      <w:pPr>
        <w:autoSpaceDE w:val="0"/>
        <w:autoSpaceDN w:val="0"/>
        <w:adjustRightInd w:val="0"/>
        <w:spacing w:line="240" w:lineRule="auto"/>
        <w:ind w:left="720"/>
        <w:rPr>
          <w:color w:val="000000"/>
          <w:sz w:val="23"/>
          <w:szCs w:val="23"/>
        </w:rPr>
      </w:pPr>
    </w:p>
    <w:p w:rsidR="007D631A" w:rsidRPr="00524D76" w:rsidRDefault="007D631A" w:rsidP="00647B99">
      <w:pPr>
        <w:pStyle w:val="Caption"/>
      </w:pPr>
      <w:bookmarkStart w:id="444" w:name="_Ref284255072"/>
      <w:bookmarkStart w:id="445" w:name="_Toc288555047"/>
      <w:r w:rsidRPr="00524D76">
        <w:t xml:space="preserve">Figure </w:t>
      </w:r>
      <w:fldSimple w:instr=" STYLEREF 1 \s ">
        <w:r w:rsidR="00524D76">
          <w:rPr>
            <w:noProof/>
          </w:rPr>
          <w:t>VII</w:t>
        </w:r>
      </w:fldSimple>
      <w:r w:rsidR="00524D76">
        <w:t>.</w:t>
      </w:r>
      <w:fldSimple w:instr=" SEQ Figure \* ARABIC \s 1 ">
        <w:r w:rsidR="00524D76">
          <w:rPr>
            <w:noProof/>
          </w:rPr>
          <w:t>5</w:t>
        </w:r>
      </w:fldSimple>
      <w:bookmarkEnd w:id="444"/>
      <w:r w:rsidRPr="00524D76">
        <w:t>. Photo of Simple Double Ring Infiltrometer</w:t>
      </w:r>
      <w:bookmarkEnd w:id="445"/>
    </w:p>
    <w:p w:rsidR="00E63488" w:rsidRDefault="004673AC" w:rsidP="00E63488">
      <w:pPr>
        <w:jc w:val="center"/>
      </w:pPr>
      <w:r>
        <w:rPr>
          <w:noProof/>
          <w:color w:val="000000"/>
          <w:sz w:val="23"/>
          <w:szCs w:val="23"/>
        </w:rPr>
        <w:drawing>
          <wp:inline distT="0" distB="0" distL="0" distR="0">
            <wp:extent cx="4010690" cy="2987595"/>
            <wp:effectExtent l="19050" t="0" r="8860"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6134" cy="2991650"/>
                    </a:xfrm>
                    <a:prstGeom prst="rect">
                      <a:avLst/>
                    </a:prstGeom>
                    <a:noFill/>
                    <a:ln>
                      <a:noFill/>
                    </a:ln>
                  </pic:spPr>
                </pic:pic>
              </a:graphicData>
            </a:graphic>
          </wp:inline>
        </w:drawing>
      </w:r>
    </w:p>
    <w:p w:rsidR="007D631A" w:rsidRDefault="007D631A" w:rsidP="00E63488">
      <w:pPr>
        <w:jc w:val="center"/>
      </w:pPr>
    </w:p>
    <w:p w:rsidR="002B1599" w:rsidRPr="00524D76" w:rsidRDefault="007D631A" w:rsidP="00647B99">
      <w:pPr>
        <w:pStyle w:val="Caption"/>
      </w:pPr>
      <w:bookmarkStart w:id="446" w:name="_Toc288555048"/>
      <w:r w:rsidRPr="00524D76">
        <w:t xml:space="preserve">Figure </w:t>
      </w:r>
      <w:fldSimple w:instr=" STYLEREF 1 \s ">
        <w:r w:rsidR="00524D76">
          <w:rPr>
            <w:noProof/>
          </w:rPr>
          <w:t>VII</w:t>
        </w:r>
      </w:fldSimple>
      <w:r w:rsidR="00524D76">
        <w:t>.</w:t>
      </w:r>
      <w:fldSimple w:instr=" SEQ Figure \* ARABIC \s 1 ">
        <w:r w:rsidR="00524D76">
          <w:rPr>
            <w:noProof/>
          </w:rPr>
          <w:t>6</w:t>
        </w:r>
      </w:fldSimple>
      <w:r w:rsidRPr="00524D76">
        <w:t>.  Photo of Pre-fabricated Double Ring Infiltrometer</w:t>
      </w:r>
      <w:bookmarkEnd w:id="446"/>
      <w:r w:rsidRPr="00524D76">
        <w:t xml:space="preserve"> </w:t>
      </w:r>
    </w:p>
    <w:p w:rsidR="00E63488" w:rsidRDefault="004673AC" w:rsidP="00E63488">
      <w:pPr>
        <w:jc w:val="center"/>
        <w:rPr>
          <w:rFonts w:cs="Book Antiqua"/>
        </w:rPr>
      </w:pPr>
      <w:r>
        <w:rPr>
          <w:rFonts w:cs="Book Antiqua"/>
          <w:noProof/>
        </w:rPr>
        <w:drawing>
          <wp:inline distT="0" distB="0" distL="0" distR="0">
            <wp:extent cx="3924522" cy="2953236"/>
            <wp:effectExtent l="19050" t="0" r="0" b="0"/>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27806" cy="2955707"/>
                    </a:xfrm>
                    <a:prstGeom prst="rect">
                      <a:avLst/>
                    </a:prstGeom>
                    <a:noFill/>
                    <a:ln>
                      <a:noFill/>
                    </a:ln>
                  </pic:spPr>
                </pic:pic>
              </a:graphicData>
            </a:graphic>
          </wp:inline>
        </w:drawing>
      </w:r>
    </w:p>
    <w:p w:rsidR="007D631A" w:rsidRPr="007D631A" w:rsidRDefault="007D631A" w:rsidP="007D631A">
      <w:pPr>
        <w:pStyle w:val="CDMBTEXT"/>
        <w:jc w:val="center"/>
      </w:pPr>
      <w:r w:rsidRPr="007D631A">
        <w:t>(Photo courtesy of Turf-Tec International)</w:t>
      </w:r>
    </w:p>
    <w:p w:rsidR="002B1599" w:rsidRPr="002B1599" w:rsidRDefault="002B1599" w:rsidP="002B1599">
      <w:pPr>
        <w:rPr>
          <w:lang w:bidi="en-US"/>
        </w:rPr>
      </w:pPr>
    </w:p>
    <w:p w:rsidR="003435FD" w:rsidRPr="00524D76" w:rsidRDefault="003435FD" w:rsidP="00647B99">
      <w:pPr>
        <w:pStyle w:val="Caption"/>
      </w:pPr>
      <w:bookmarkStart w:id="447" w:name="_Toc288555049"/>
      <w:r w:rsidRPr="00524D76">
        <w:t xml:space="preserve">Figure </w:t>
      </w:r>
      <w:fldSimple w:instr=" STYLEREF 1 \s ">
        <w:r w:rsidR="00524D76">
          <w:rPr>
            <w:noProof/>
          </w:rPr>
          <w:t>VII</w:t>
        </w:r>
      </w:fldSimple>
      <w:r w:rsidR="00524D76">
        <w:t>.</w:t>
      </w:r>
      <w:fldSimple w:instr=" SEQ Figure \* ARABIC \s 1 ">
        <w:r w:rsidR="00524D76">
          <w:rPr>
            <w:noProof/>
          </w:rPr>
          <w:t>7</w:t>
        </w:r>
      </w:fldSimple>
      <w:r w:rsidRPr="00524D76">
        <w:t>. Mariotte Tube</w:t>
      </w:r>
      <w:bookmarkEnd w:id="447"/>
    </w:p>
    <w:p w:rsidR="00E63488" w:rsidRDefault="004673AC" w:rsidP="00E63488">
      <w:pPr>
        <w:keepNext/>
        <w:jc w:val="center"/>
      </w:pPr>
      <w:r>
        <w:rPr>
          <w:b/>
          <w:bCs/>
          <w:noProof/>
          <w:sz w:val="23"/>
          <w:szCs w:val="23"/>
        </w:rPr>
        <w:drawing>
          <wp:inline distT="0" distB="0" distL="0" distR="0">
            <wp:extent cx="2922896" cy="7325832"/>
            <wp:effectExtent l="1905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945"/>
                    <a:stretch/>
                  </pic:blipFill>
                  <pic:spPr bwMode="auto">
                    <a:xfrm>
                      <a:off x="0" y="0"/>
                      <a:ext cx="2938663" cy="736535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36C4D" w:rsidRDefault="00636C4D" w:rsidP="00E63488">
      <w:pPr>
        <w:keepNext/>
        <w:jc w:val="center"/>
        <w:rPr>
          <w:b/>
        </w:rPr>
      </w:pPr>
    </w:p>
    <w:p w:rsidR="003435FD" w:rsidRPr="00524D76" w:rsidRDefault="003435FD" w:rsidP="00647B99">
      <w:pPr>
        <w:pStyle w:val="Caption"/>
      </w:pPr>
      <w:bookmarkStart w:id="448" w:name="_Toc288555050"/>
      <w:r w:rsidRPr="00524D76">
        <w:t xml:space="preserve">Figure </w:t>
      </w:r>
      <w:fldSimple w:instr=" STYLEREF 1 \s ">
        <w:r w:rsidR="00524D76">
          <w:rPr>
            <w:noProof/>
          </w:rPr>
          <w:t>VII</w:t>
        </w:r>
      </w:fldSimple>
      <w:r w:rsidR="00524D76">
        <w:t>.</w:t>
      </w:r>
      <w:fldSimple w:instr=" SEQ Figure \* ARABIC \s 1 ">
        <w:r w:rsidR="00524D76">
          <w:rPr>
            <w:noProof/>
          </w:rPr>
          <w:t>8</w:t>
        </w:r>
      </w:fldSimple>
      <w:r w:rsidRPr="00524D76">
        <w:t>. Double Ring Infiltrometer Construction</w:t>
      </w:r>
      <w:bookmarkEnd w:id="448"/>
    </w:p>
    <w:p w:rsidR="003435FD" w:rsidRPr="00524D76" w:rsidRDefault="004673AC" w:rsidP="00647B99">
      <w:pPr>
        <w:pStyle w:val="Caption"/>
      </w:pPr>
      <w:r w:rsidRPr="00524D76">
        <w:rPr>
          <w:noProof/>
          <w:sz w:val="23"/>
          <w:szCs w:val="23"/>
          <w:lang w:bidi="ar-SA"/>
        </w:rPr>
        <w:drawing>
          <wp:inline distT="0" distB="0" distL="0" distR="0">
            <wp:extent cx="4181475" cy="5297888"/>
            <wp:effectExtent l="0" t="0" r="0"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054"/>
                    <a:stretch/>
                  </pic:blipFill>
                  <pic:spPr bwMode="auto">
                    <a:xfrm>
                      <a:off x="0" y="0"/>
                      <a:ext cx="4183218" cy="530009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3435FD" w:rsidRPr="00524D76">
        <w:t xml:space="preserve"> </w:t>
      </w:r>
    </w:p>
    <w:p w:rsidR="003435FD" w:rsidRDefault="003435FD" w:rsidP="003435FD">
      <w:pPr>
        <w:pStyle w:val="CDMBTEXT"/>
      </w:pPr>
    </w:p>
    <w:p w:rsidR="00E63488" w:rsidRPr="00524D76" w:rsidRDefault="003435FD" w:rsidP="00647B99">
      <w:pPr>
        <w:pStyle w:val="Caption"/>
      </w:pPr>
      <w:bookmarkStart w:id="449" w:name="_Toc288555051"/>
      <w:r w:rsidRPr="00524D76">
        <w:t xml:space="preserve">Figure </w:t>
      </w:r>
      <w:fldSimple w:instr=" STYLEREF 1 \s ">
        <w:r w:rsidR="00524D76">
          <w:rPr>
            <w:noProof/>
          </w:rPr>
          <w:t>VII</w:t>
        </w:r>
      </w:fldSimple>
      <w:r w:rsidR="00524D76">
        <w:t>.</w:t>
      </w:r>
      <w:fldSimple w:instr=" SEQ Figure \* ARABIC \s 1 ">
        <w:r w:rsidR="00524D76">
          <w:rPr>
            <w:noProof/>
          </w:rPr>
          <w:t>9</w:t>
        </w:r>
      </w:fldSimple>
      <w:r w:rsidRPr="00524D76">
        <w:t>.  Double Ring Setup with Mariotte Tubes</w:t>
      </w:r>
      <w:bookmarkEnd w:id="449"/>
    </w:p>
    <w:p w:rsidR="00E63488" w:rsidRDefault="004673AC" w:rsidP="00E63488">
      <w:pPr>
        <w:rPr>
          <w:b/>
          <w:bCs/>
          <w:sz w:val="23"/>
          <w:szCs w:val="23"/>
        </w:rPr>
      </w:pPr>
      <w:r>
        <w:rPr>
          <w:b/>
          <w:bCs/>
          <w:noProof/>
          <w:sz w:val="23"/>
          <w:szCs w:val="23"/>
        </w:rPr>
        <w:drawing>
          <wp:inline distT="0" distB="0" distL="0" distR="0">
            <wp:extent cx="5936360" cy="3162300"/>
            <wp:effectExtent l="0" t="0" r="762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6479"/>
                    <a:stretch/>
                  </pic:blipFill>
                  <pic:spPr bwMode="auto">
                    <a:xfrm>
                      <a:off x="0" y="0"/>
                      <a:ext cx="5943600" cy="316615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435FD" w:rsidRDefault="003435FD" w:rsidP="00E63488">
      <w:pPr>
        <w:rPr>
          <w:b/>
          <w:bCs/>
          <w:sz w:val="23"/>
          <w:szCs w:val="23"/>
        </w:rPr>
      </w:pPr>
    </w:p>
    <w:p w:rsidR="00E63488" w:rsidRPr="00524D76" w:rsidRDefault="003435FD" w:rsidP="00647B99">
      <w:pPr>
        <w:pStyle w:val="Caption"/>
        <w:rPr>
          <w:sz w:val="23"/>
          <w:szCs w:val="23"/>
        </w:rPr>
      </w:pPr>
      <w:bookmarkStart w:id="450" w:name="_Toc288555052"/>
      <w:r w:rsidRPr="00524D76">
        <w:t xml:space="preserve">Figure </w:t>
      </w:r>
      <w:fldSimple w:instr=" STYLEREF 1 \s ">
        <w:r w:rsidR="00524D76">
          <w:rPr>
            <w:noProof/>
          </w:rPr>
          <w:t>VII</w:t>
        </w:r>
      </w:fldSimple>
      <w:r w:rsidR="00524D76">
        <w:t>.</w:t>
      </w:r>
      <w:fldSimple w:instr=" SEQ Figure \* ARABIC \s 1 ">
        <w:r w:rsidR="00524D76">
          <w:rPr>
            <w:noProof/>
          </w:rPr>
          <w:t>10</w:t>
        </w:r>
      </w:fldSimple>
      <w:r w:rsidRPr="00524D76">
        <w:t xml:space="preserve">. </w:t>
      </w:r>
      <w:r w:rsidRPr="00524D76">
        <w:rPr>
          <w:sz w:val="23"/>
          <w:szCs w:val="23"/>
        </w:rPr>
        <w:t>Double Ring Infiltrometer Set-up with Mariotte Tubes</w:t>
      </w:r>
      <w:bookmarkEnd w:id="450"/>
    </w:p>
    <w:p w:rsidR="00E63488" w:rsidRDefault="004673AC" w:rsidP="00E63488">
      <w:pPr>
        <w:jc w:val="center"/>
        <w:rPr>
          <w:b/>
          <w:bCs/>
          <w:sz w:val="23"/>
          <w:szCs w:val="23"/>
        </w:rPr>
      </w:pPr>
      <w:r>
        <w:rPr>
          <w:b/>
          <w:bCs/>
          <w:noProof/>
          <w:sz w:val="23"/>
          <w:szCs w:val="23"/>
        </w:rPr>
        <w:drawing>
          <wp:inline distT="0" distB="0" distL="0" distR="0">
            <wp:extent cx="4136065" cy="3089220"/>
            <wp:effectExtent l="19050" t="0" r="0" b="0"/>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39242" cy="3091593"/>
                    </a:xfrm>
                    <a:prstGeom prst="rect">
                      <a:avLst/>
                    </a:prstGeom>
                    <a:noFill/>
                    <a:ln>
                      <a:noFill/>
                    </a:ln>
                  </pic:spPr>
                </pic:pic>
              </a:graphicData>
            </a:graphic>
          </wp:inline>
        </w:drawing>
      </w:r>
    </w:p>
    <w:p w:rsidR="00E63488" w:rsidRPr="00A214BC" w:rsidRDefault="00E63488" w:rsidP="003435FD">
      <w:pPr>
        <w:pStyle w:val="CDMBTEXT"/>
        <w:jc w:val="center"/>
      </w:pPr>
      <w:r w:rsidRPr="00A214BC">
        <w:t>(Photo courtesy of Turf-Tec International)</w:t>
      </w:r>
    </w:p>
    <w:p w:rsidR="002B1599" w:rsidRPr="00524D76" w:rsidRDefault="003435FD" w:rsidP="00647B99">
      <w:pPr>
        <w:pStyle w:val="Caption"/>
      </w:pPr>
      <w:bookmarkStart w:id="451" w:name="_Toc288555053"/>
      <w:r w:rsidRPr="00524D76">
        <w:t xml:space="preserve">Figure </w:t>
      </w:r>
      <w:fldSimple w:instr=" STYLEREF 1 \s ">
        <w:r w:rsidR="00524D76">
          <w:rPr>
            <w:noProof/>
          </w:rPr>
          <w:t>VII</w:t>
        </w:r>
      </w:fldSimple>
      <w:r w:rsidR="00524D76">
        <w:t>.</w:t>
      </w:r>
      <w:fldSimple w:instr=" SEQ Figure \* ARABIC \s 1 ">
        <w:r w:rsidR="00524D76">
          <w:rPr>
            <w:noProof/>
          </w:rPr>
          <w:t>11</w:t>
        </w:r>
      </w:fldSimple>
      <w:r w:rsidRPr="00524D76">
        <w:t>.  Double Ring Infiltrometer Set-up for Test at Basin Surface Elevation</w:t>
      </w:r>
      <w:bookmarkEnd w:id="451"/>
    </w:p>
    <w:p w:rsidR="00E63488" w:rsidRDefault="004673AC" w:rsidP="00E63488">
      <w:pPr>
        <w:jc w:val="center"/>
        <w:rPr>
          <w:b/>
          <w:bCs/>
          <w:sz w:val="23"/>
          <w:szCs w:val="23"/>
        </w:rPr>
      </w:pPr>
      <w:r>
        <w:rPr>
          <w:b/>
          <w:bCs/>
          <w:noProof/>
          <w:sz w:val="23"/>
          <w:szCs w:val="23"/>
        </w:rPr>
        <w:drawing>
          <wp:inline distT="0" distB="0" distL="0" distR="0">
            <wp:extent cx="5114925" cy="3892046"/>
            <wp:effectExtent l="0" t="0" r="0" b="0"/>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4925" cy="3892046"/>
                    </a:xfrm>
                    <a:prstGeom prst="rect">
                      <a:avLst/>
                    </a:prstGeom>
                    <a:noFill/>
                    <a:ln>
                      <a:noFill/>
                    </a:ln>
                  </pic:spPr>
                </pic:pic>
              </a:graphicData>
            </a:graphic>
          </wp:inline>
        </w:drawing>
      </w:r>
    </w:p>
    <w:p w:rsidR="00E63488" w:rsidRPr="00A214BC" w:rsidRDefault="00E63488" w:rsidP="003435FD">
      <w:pPr>
        <w:pStyle w:val="CDMBTEXT"/>
        <w:jc w:val="center"/>
      </w:pPr>
      <w:r w:rsidRPr="00A214BC">
        <w:t>(Photo courtesy of Turf-Tec International)</w:t>
      </w:r>
    </w:p>
    <w:p w:rsidR="003435FD" w:rsidRPr="00524D76" w:rsidRDefault="003435FD" w:rsidP="00647B99">
      <w:pPr>
        <w:pStyle w:val="Caption"/>
      </w:pPr>
      <w:bookmarkStart w:id="452" w:name="_Ref284255096"/>
      <w:bookmarkStart w:id="453" w:name="_Toc288555054"/>
      <w:r w:rsidRPr="00524D76">
        <w:rPr>
          <w:noProof/>
        </w:rPr>
        <w:t>F</w:t>
      </w:r>
      <w:proofErr w:type="spellStart"/>
      <w:r w:rsidRPr="00524D76">
        <w:t>igure</w:t>
      </w:r>
      <w:proofErr w:type="spellEnd"/>
      <w:r w:rsidRPr="00524D76">
        <w:t xml:space="preserve"> </w:t>
      </w:r>
      <w:fldSimple w:instr=" STYLEREF 1 \s ">
        <w:r w:rsidR="00524D76">
          <w:rPr>
            <w:noProof/>
          </w:rPr>
          <w:t>VII</w:t>
        </w:r>
      </w:fldSimple>
      <w:r w:rsidR="00524D76">
        <w:t>.</w:t>
      </w:r>
      <w:fldSimple w:instr=" SEQ Figure \* ARABIC \s 1 ">
        <w:r w:rsidR="00524D76">
          <w:rPr>
            <w:noProof/>
          </w:rPr>
          <w:t>12</w:t>
        </w:r>
      </w:fldSimple>
      <w:bookmarkEnd w:id="452"/>
      <w:r w:rsidRPr="00524D76">
        <w:t>.  Sample Test Data Form for Double Ring Infiltrometer Test</w:t>
      </w:r>
      <w:bookmarkEnd w:id="453"/>
    </w:p>
    <w:p w:rsidR="00E63488" w:rsidRDefault="004673AC" w:rsidP="00E63488">
      <w:pPr>
        <w:jc w:val="center"/>
        <w:rPr>
          <w:b/>
          <w:bCs/>
          <w:noProof/>
          <w:sz w:val="23"/>
          <w:szCs w:val="23"/>
        </w:rPr>
      </w:pPr>
      <w:r>
        <w:rPr>
          <w:b/>
          <w:bCs/>
          <w:noProof/>
          <w:sz w:val="23"/>
          <w:szCs w:val="23"/>
        </w:rPr>
        <w:drawing>
          <wp:inline distT="0" distB="0" distL="0" distR="0">
            <wp:extent cx="4969116" cy="7102548"/>
            <wp:effectExtent l="19050" t="0" r="2934" b="0"/>
            <wp:docPr id="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66803" cy="7099242"/>
                    </a:xfrm>
                    <a:prstGeom prst="rect">
                      <a:avLst/>
                    </a:prstGeom>
                    <a:noFill/>
                    <a:ln>
                      <a:noFill/>
                    </a:ln>
                  </pic:spPr>
                </pic:pic>
              </a:graphicData>
            </a:graphic>
          </wp:inline>
        </w:drawing>
      </w:r>
    </w:p>
    <w:p w:rsidR="002B1599" w:rsidRPr="002B1599" w:rsidRDefault="002B1599" w:rsidP="002B1599">
      <w:pPr>
        <w:rPr>
          <w:lang w:bidi="en-US"/>
        </w:rPr>
      </w:pPr>
    </w:p>
    <w:p w:rsidR="00E63488" w:rsidRPr="00CA0590" w:rsidRDefault="00E63488" w:rsidP="00A52883">
      <w:pPr>
        <w:pStyle w:val="Heading3"/>
      </w:pPr>
      <w:bookmarkStart w:id="454" w:name="_Ref284236908"/>
      <w:bookmarkStart w:id="455" w:name="OLE_LINK1"/>
      <w:bookmarkStart w:id="456" w:name="OLE_LINK2"/>
      <w:r>
        <w:t xml:space="preserve">Well </w:t>
      </w:r>
      <w:proofErr w:type="spellStart"/>
      <w:r>
        <w:t>Permeameter</w:t>
      </w:r>
      <w:proofErr w:type="spellEnd"/>
      <w:r>
        <w:t xml:space="preserve"> Method (USBR Procedure 7300-89)</w:t>
      </w:r>
      <w:bookmarkEnd w:id="454"/>
    </w:p>
    <w:bookmarkEnd w:id="455"/>
    <w:bookmarkEnd w:id="456"/>
    <w:p w:rsidR="00E63488" w:rsidRDefault="00E63488" w:rsidP="00E63488">
      <w:pPr>
        <w:rPr>
          <w:sz w:val="23"/>
          <w:szCs w:val="23"/>
        </w:rPr>
      </w:pPr>
      <w:r>
        <w:rPr>
          <w:sz w:val="23"/>
          <w:szCs w:val="23"/>
        </w:rPr>
        <w:t xml:space="preserve">Similar to a constant-head version of the percolation test used for seepage pit design is the </w:t>
      </w:r>
      <w:r w:rsidRPr="00657874">
        <w:rPr>
          <w:sz w:val="23"/>
          <w:szCs w:val="23"/>
        </w:rPr>
        <w:t xml:space="preserve">Well </w:t>
      </w:r>
      <w:proofErr w:type="spellStart"/>
      <w:r w:rsidRPr="00657874">
        <w:rPr>
          <w:sz w:val="23"/>
          <w:szCs w:val="23"/>
        </w:rPr>
        <w:t>Permeameter</w:t>
      </w:r>
      <w:proofErr w:type="spellEnd"/>
      <w:r w:rsidRPr="00657874">
        <w:rPr>
          <w:sz w:val="23"/>
          <w:szCs w:val="23"/>
        </w:rPr>
        <w:t xml:space="preserve"> Method of the United States Bureau of Reclamation (see </w:t>
      </w:r>
      <w:fldSimple w:instr=" REF _Ref284255198 \h  \* MERGEFORMAT ">
        <w:r w:rsidR="00126DE5" w:rsidRPr="00126DE5">
          <w:rPr>
            <w:rFonts w:cs="Arial"/>
            <w:b/>
            <w:color w:val="0070C0"/>
            <w:sz w:val="20"/>
            <w:szCs w:val="20"/>
          </w:rPr>
          <w:t xml:space="preserve">Figure </w:t>
        </w:r>
        <w:r w:rsidR="00126DE5" w:rsidRPr="00126DE5">
          <w:rPr>
            <w:rFonts w:cs="Arial"/>
            <w:b/>
            <w:noProof/>
            <w:color w:val="0070C0"/>
            <w:sz w:val="20"/>
            <w:szCs w:val="20"/>
          </w:rPr>
          <w:t>VII</w:t>
        </w:r>
        <w:r w:rsidR="00126DE5" w:rsidRPr="00126DE5">
          <w:rPr>
            <w:rFonts w:cs="Arial"/>
            <w:b/>
            <w:color w:val="0070C0"/>
            <w:sz w:val="20"/>
            <w:szCs w:val="20"/>
          </w:rPr>
          <w:t>.</w:t>
        </w:r>
        <w:r w:rsidR="00126DE5" w:rsidRPr="00126DE5">
          <w:rPr>
            <w:rFonts w:cs="Arial"/>
            <w:b/>
            <w:noProof/>
            <w:color w:val="0070C0"/>
            <w:sz w:val="20"/>
            <w:szCs w:val="20"/>
          </w:rPr>
          <w:t>13</w:t>
        </w:r>
      </w:fldSimple>
      <w:r w:rsidRPr="00657874">
        <w:rPr>
          <w:sz w:val="23"/>
          <w:szCs w:val="23"/>
        </w:rPr>
        <w:t xml:space="preserve"> and </w:t>
      </w:r>
      <w:fldSimple w:instr=" REF _Ref284255209 \h  \* MERGEFORMAT ">
        <w:r w:rsidR="00126DE5" w:rsidRPr="00126DE5">
          <w:rPr>
            <w:rFonts w:cs="Arial"/>
            <w:b/>
            <w:color w:val="0070C0"/>
            <w:sz w:val="20"/>
            <w:szCs w:val="20"/>
          </w:rPr>
          <w:t xml:space="preserve">Figure </w:t>
        </w:r>
        <w:r w:rsidR="00126DE5" w:rsidRPr="00126DE5">
          <w:rPr>
            <w:rFonts w:cs="Arial"/>
            <w:b/>
            <w:noProof/>
            <w:color w:val="0070C0"/>
            <w:sz w:val="20"/>
            <w:szCs w:val="20"/>
          </w:rPr>
          <w:t>VII</w:t>
        </w:r>
        <w:r w:rsidR="00126DE5" w:rsidRPr="00126DE5">
          <w:rPr>
            <w:rFonts w:cs="Arial"/>
            <w:b/>
            <w:color w:val="0070C0"/>
            <w:sz w:val="20"/>
            <w:szCs w:val="20"/>
          </w:rPr>
          <w:t>.</w:t>
        </w:r>
        <w:r w:rsidR="00126DE5" w:rsidRPr="00126DE5">
          <w:rPr>
            <w:rFonts w:cs="Arial"/>
            <w:b/>
            <w:noProof/>
            <w:color w:val="0070C0"/>
            <w:sz w:val="20"/>
            <w:szCs w:val="20"/>
          </w:rPr>
          <w:t>14</w:t>
        </w:r>
      </w:fldSimple>
      <w:r w:rsidRPr="00657874">
        <w:rPr>
          <w:sz w:val="23"/>
          <w:szCs w:val="23"/>
        </w:rPr>
        <w:t xml:space="preserve">). </w:t>
      </w:r>
      <w:r w:rsidRPr="00657874">
        <w:rPr>
          <w:rStyle w:val="FootnoteReference"/>
          <w:sz w:val="23"/>
          <w:szCs w:val="23"/>
        </w:rPr>
        <w:footnoteReference w:id="12"/>
      </w:r>
      <w:r w:rsidRPr="00657874">
        <w:rPr>
          <w:sz w:val="23"/>
          <w:szCs w:val="23"/>
        </w:rPr>
        <w:t>USBR 7300-89 is an in-hole hydraulic conductivity test performed by</w:t>
      </w:r>
      <w:r>
        <w:rPr>
          <w:sz w:val="23"/>
          <w:szCs w:val="23"/>
        </w:rPr>
        <w:t xml:space="preserve"> drilling test wells with a 6-8 inch diameter auger to the desired depth. This test measures the rate at which water flows into the soil under constant-head flow conditions and is used to determine field-saturated hydraulic conductivity. As with the percolation test, the rate determined with this test is a “percolation rate” and not an infiltration rate, but this procedure uses special equation(s) to establish an infiltration rate from the data produced. See USBR procedure 7300-89 for more details.</w:t>
      </w:r>
    </w:p>
    <w:p w:rsidR="00E63488" w:rsidRPr="00524D76" w:rsidRDefault="003435FD" w:rsidP="00647B99">
      <w:pPr>
        <w:pStyle w:val="Caption"/>
        <w:rPr>
          <w:sz w:val="23"/>
          <w:szCs w:val="23"/>
        </w:rPr>
      </w:pPr>
      <w:bookmarkStart w:id="457" w:name="_Ref284255198"/>
      <w:bookmarkStart w:id="458" w:name="_Toc288555055"/>
      <w:r w:rsidRPr="00524D76">
        <w:t xml:space="preserve">Figure </w:t>
      </w:r>
      <w:fldSimple w:instr=" STYLEREF 1 \s ">
        <w:r w:rsidR="00524D76">
          <w:rPr>
            <w:noProof/>
          </w:rPr>
          <w:t>VII</w:t>
        </w:r>
      </w:fldSimple>
      <w:r w:rsidR="00524D76">
        <w:t>.</w:t>
      </w:r>
      <w:fldSimple w:instr=" SEQ Figure \* ARABIC \s 1 ">
        <w:r w:rsidR="00524D76">
          <w:rPr>
            <w:noProof/>
          </w:rPr>
          <w:t>13</w:t>
        </w:r>
      </w:fldSimple>
      <w:bookmarkEnd w:id="457"/>
      <w:r w:rsidRPr="00524D76">
        <w:t xml:space="preserve">.  </w:t>
      </w:r>
      <w:r w:rsidRPr="00524D76">
        <w:rPr>
          <w:sz w:val="23"/>
          <w:szCs w:val="23"/>
        </w:rPr>
        <w:t xml:space="preserve">Typical Well </w:t>
      </w:r>
      <w:proofErr w:type="spellStart"/>
      <w:r w:rsidRPr="00524D76">
        <w:rPr>
          <w:sz w:val="23"/>
          <w:szCs w:val="23"/>
        </w:rPr>
        <w:t>Permeameter</w:t>
      </w:r>
      <w:proofErr w:type="spellEnd"/>
      <w:r w:rsidRPr="00524D76">
        <w:rPr>
          <w:sz w:val="23"/>
          <w:szCs w:val="23"/>
        </w:rPr>
        <w:t xml:space="preserve"> Test Installation</w:t>
      </w:r>
      <w:bookmarkEnd w:id="458"/>
    </w:p>
    <w:p w:rsidR="00E63488" w:rsidRDefault="004673AC" w:rsidP="00E63488">
      <w:pPr>
        <w:jc w:val="center"/>
        <w:rPr>
          <w:b/>
        </w:rPr>
      </w:pPr>
      <w:r>
        <w:rPr>
          <w:noProof/>
        </w:rPr>
        <w:drawing>
          <wp:inline distT="0" distB="0" distL="0" distR="0">
            <wp:extent cx="4219575" cy="3647323"/>
            <wp:effectExtent l="0" t="0" r="0" b="0"/>
            <wp:docPr id="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22503" cy="3649854"/>
                    </a:xfrm>
                    <a:prstGeom prst="rect">
                      <a:avLst/>
                    </a:prstGeom>
                    <a:noFill/>
                    <a:ln>
                      <a:noFill/>
                    </a:ln>
                  </pic:spPr>
                </pic:pic>
              </a:graphicData>
            </a:graphic>
          </wp:inline>
        </w:drawing>
      </w:r>
    </w:p>
    <w:p w:rsidR="002B1599" w:rsidRPr="00524D76" w:rsidRDefault="003435FD" w:rsidP="00647B99">
      <w:pPr>
        <w:pStyle w:val="Caption"/>
      </w:pPr>
      <w:bookmarkStart w:id="459" w:name="_Ref284255209"/>
      <w:bookmarkStart w:id="460" w:name="_Toc288555056"/>
      <w:r w:rsidRPr="00524D76">
        <w:t xml:space="preserve">Figure </w:t>
      </w:r>
      <w:fldSimple w:instr=" STYLEREF 1 \s ">
        <w:r w:rsidR="00524D76">
          <w:rPr>
            <w:noProof/>
          </w:rPr>
          <w:t>VII</w:t>
        </w:r>
      </w:fldSimple>
      <w:r w:rsidR="00524D76">
        <w:t>.</w:t>
      </w:r>
      <w:fldSimple w:instr=" SEQ Figure \* ARABIC \s 1 ">
        <w:r w:rsidR="00524D76">
          <w:rPr>
            <w:noProof/>
          </w:rPr>
          <w:t>14</w:t>
        </w:r>
      </w:fldSimple>
      <w:bookmarkEnd w:id="459"/>
      <w:r w:rsidRPr="00524D76">
        <w:t xml:space="preserve">.  </w:t>
      </w:r>
      <w:r w:rsidRPr="00524D76">
        <w:rPr>
          <w:sz w:val="23"/>
          <w:szCs w:val="23"/>
        </w:rPr>
        <w:t xml:space="preserve">Well </w:t>
      </w:r>
      <w:proofErr w:type="spellStart"/>
      <w:r w:rsidRPr="00524D76">
        <w:rPr>
          <w:sz w:val="23"/>
          <w:szCs w:val="23"/>
        </w:rPr>
        <w:t>Permeameter</w:t>
      </w:r>
      <w:proofErr w:type="spellEnd"/>
      <w:r w:rsidRPr="00524D76">
        <w:rPr>
          <w:sz w:val="23"/>
          <w:szCs w:val="23"/>
        </w:rPr>
        <w:t xml:space="preserve"> Test Equipment</w:t>
      </w:r>
      <w:bookmarkEnd w:id="460"/>
    </w:p>
    <w:p w:rsidR="00E63488" w:rsidRDefault="004673AC" w:rsidP="00E63488">
      <w:r>
        <w:rPr>
          <w:noProof/>
        </w:rPr>
        <w:drawing>
          <wp:inline distT="0" distB="0" distL="0" distR="0">
            <wp:extent cx="5915025" cy="7111048"/>
            <wp:effectExtent l="19050" t="0" r="9525" b="0"/>
            <wp:docPr id="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1772" cy="7107137"/>
                    </a:xfrm>
                    <a:prstGeom prst="rect">
                      <a:avLst/>
                    </a:prstGeom>
                    <a:noFill/>
                    <a:ln>
                      <a:noFill/>
                    </a:ln>
                  </pic:spPr>
                </pic:pic>
              </a:graphicData>
            </a:graphic>
          </wp:inline>
        </w:drawing>
      </w:r>
    </w:p>
    <w:p w:rsidR="00E63488" w:rsidRDefault="00E63488" w:rsidP="00E63488">
      <w:pPr>
        <w:ind w:left="720"/>
      </w:pPr>
    </w:p>
    <w:p w:rsidR="00FE3A73" w:rsidRDefault="00E63488" w:rsidP="00A52883">
      <w:pPr>
        <w:pStyle w:val="Heading3"/>
      </w:pPr>
      <w:bookmarkStart w:id="461" w:name="_Ref284236926"/>
      <w:r w:rsidRPr="000B7F76">
        <w:t>Percolation Test Procedure</w:t>
      </w:r>
      <w:bookmarkEnd w:id="461"/>
      <w:r w:rsidRPr="000B7F76">
        <w:t xml:space="preserve"> </w:t>
      </w:r>
    </w:p>
    <w:p w:rsidR="00E63488" w:rsidRDefault="00E63488" w:rsidP="00E63488">
      <w:pPr>
        <w:rPr>
          <w:rFonts w:cs="Book Antiqua"/>
        </w:rPr>
      </w:pPr>
      <w:r>
        <w:rPr>
          <w:rFonts w:cs="Book Antiqua"/>
        </w:rPr>
        <w:t>The percolation test procedure below (per Riverside County Department of Environmental Health) should only be performed by tho</w:t>
      </w:r>
      <w:r w:rsidRPr="0025506D">
        <w:rPr>
          <w:rFonts w:cs="Book Antiqua"/>
        </w:rPr>
        <w:t xml:space="preserve">se individuals trained and educated to perform, understand and evaluate the field conditions and tests. This would include those who hold one of the following State of California credentials and registrations: Professional Civil and Geotechnical Engineers, Certified Engineering Geologist and Certified </w:t>
      </w:r>
      <w:proofErr w:type="spellStart"/>
      <w:r w:rsidRPr="0025506D">
        <w:rPr>
          <w:rFonts w:cs="Book Antiqua"/>
        </w:rPr>
        <w:t>Hy</w:t>
      </w:r>
      <w:r>
        <w:rPr>
          <w:rFonts w:cs="Book Antiqua"/>
        </w:rPr>
        <w:t>drogeologist</w:t>
      </w:r>
      <w:proofErr w:type="spellEnd"/>
      <w:r>
        <w:rPr>
          <w:rFonts w:cs="Book Antiqua"/>
        </w:rPr>
        <w:t>.</w:t>
      </w:r>
      <w:r w:rsidRPr="0025506D">
        <w:rPr>
          <w:rFonts w:cs="Book Antiqua"/>
        </w:rPr>
        <w:t xml:space="preserve"> </w:t>
      </w:r>
    </w:p>
    <w:p w:rsidR="00E63488" w:rsidRDefault="00E63488" w:rsidP="00E63488">
      <w:pPr>
        <w:rPr>
          <w:rFonts w:cs="Book Antiqua"/>
        </w:rPr>
      </w:pPr>
      <w:r>
        <w:rPr>
          <w:rFonts w:cs="Book Antiqua"/>
        </w:rPr>
        <w:t xml:space="preserve">The procedure for this test varies, depending on the depth of the hole to be used.  Procedures </w:t>
      </w:r>
      <w:r w:rsidRPr="00D32823">
        <w:rPr>
          <w:rFonts w:cs="Book Antiqua"/>
        </w:rPr>
        <w:t>for both scenarios (less than 10 feet or 10 - 40 feet deep) and diagrams (</w:t>
      </w:r>
      <w:fldSimple w:instr=" REF _Ref284255597 \h  \* MERGEFORMAT ">
        <w:r w:rsidR="00126DE5" w:rsidRPr="00126DE5">
          <w:rPr>
            <w:rFonts w:cs="Arial"/>
            <w:b/>
            <w:color w:val="0070C0"/>
            <w:sz w:val="20"/>
            <w:szCs w:val="20"/>
          </w:rPr>
          <w:t xml:space="preserve">Figure </w:t>
        </w:r>
        <w:r w:rsidR="00126DE5" w:rsidRPr="00126DE5">
          <w:rPr>
            <w:rFonts w:cs="Arial"/>
            <w:b/>
            <w:noProof/>
            <w:color w:val="0070C0"/>
            <w:sz w:val="20"/>
            <w:szCs w:val="20"/>
          </w:rPr>
          <w:t>VII</w:t>
        </w:r>
        <w:r w:rsidR="00126DE5" w:rsidRPr="00126DE5">
          <w:rPr>
            <w:rFonts w:cs="Arial"/>
            <w:b/>
            <w:color w:val="0070C0"/>
            <w:sz w:val="20"/>
            <w:szCs w:val="20"/>
          </w:rPr>
          <w:t>.</w:t>
        </w:r>
        <w:r w:rsidR="00126DE5" w:rsidRPr="00126DE5">
          <w:rPr>
            <w:rFonts w:cs="Arial"/>
            <w:b/>
            <w:noProof/>
            <w:color w:val="0070C0"/>
            <w:sz w:val="20"/>
            <w:szCs w:val="20"/>
          </w:rPr>
          <w:t>15</w:t>
        </w:r>
      </w:fldSimple>
      <w:r w:rsidRPr="00D32823">
        <w:rPr>
          <w:rFonts w:cs="Book Antiqua"/>
        </w:rPr>
        <w:t xml:space="preserve"> to </w:t>
      </w:r>
      <w:fldSimple w:instr=" REF _Ref284255911 \h  \* MERGEFORMAT ">
        <w:r w:rsidR="00126DE5" w:rsidRPr="00126DE5">
          <w:rPr>
            <w:rFonts w:cs="Arial"/>
            <w:b/>
            <w:color w:val="0070C0"/>
            <w:sz w:val="20"/>
            <w:szCs w:val="20"/>
          </w:rPr>
          <w:t xml:space="preserve">Figure </w:t>
        </w:r>
        <w:r w:rsidR="00126DE5" w:rsidRPr="00126DE5">
          <w:rPr>
            <w:rFonts w:cs="Arial"/>
            <w:b/>
            <w:noProof/>
            <w:color w:val="0070C0"/>
            <w:sz w:val="20"/>
            <w:szCs w:val="20"/>
          </w:rPr>
          <w:t>VII</w:t>
        </w:r>
        <w:r w:rsidR="00126DE5" w:rsidRPr="00126DE5">
          <w:rPr>
            <w:rFonts w:cs="Arial"/>
            <w:b/>
            <w:color w:val="0070C0"/>
            <w:sz w:val="20"/>
            <w:szCs w:val="20"/>
          </w:rPr>
          <w:t>.</w:t>
        </w:r>
        <w:r w:rsidR="00126DE5" w:rsidRPr="00126DE5">
          <w:rPr>
            <w:rFonts w:cs="Arial"/>
            <w:b/>
            <w:noProof/>
            <w:color w:val="0070C0"/>
            <w:sz w:val="20"/>
            <w:szCs w:val="20"/>
          </w:rPr>
          <w:t>17</w:t>
        </w:r>
      </w:fldSimple>
      <w:r w:rsidRPr="00D32823">
        <w:rPr>
          <w:rFonts w:cs="Book Antiqua"/>
        </w:rPr>
        <w:t>) are included below. When the percolation testing has been completed, a 3 foot long</w:t>
      </w:r>
      <w:r w:rsidRPr="0025506D">
        <w:rPr>
          <w:rFonts w:cs="Book Antiqua"/>
        </w:rPr>
        <w:t xml:space="preserve"> surveyor’s stake (lath) shall be flagged with highly visible banner tape and placed in the location of the test indicating date, test </w:t>
      </w:r>
      <w:proofErr w:type="gramStart"/>
      <w:r w:rsidRPr="0025506D">
        <w:rPr>
          <w:rFonts w:cs="Book Antiqua"/>
        </w:rPr>
        <w:t>hole</w:t>
      </w:r>
      <w:proofErr w:type="gramEnd"/>
      <w:r w:rsidRPr="0025506D">
        <w:rPr>
          <w:rFonts w:cs="Book Antiqua"/>
        </w:rPr>
        <w:t xml:space="preserve"> number as shown on the field data shee</w:t>
      </w:r>
      <w:r>
        <w:rPr>
          <w:rFonts w:cs="Book Antiqua"/>
        </w:rPr>
        <w:t>t, and firm performing the test</w:t>
      </w:r>
      <w:r w:rsidRPr="0025506D">
        <w:rPr>
          <w:rFonts w:cs="Book Antiqua"/>
        </w:rPr>
        <w:t xml:space="preserve">. </w:t>
      </w:r>
    </w:p>
    <w:p w:rsidR="00FE3A73" w:rsidRDefault="00E63488" w:rsidP="00EA1EA6">
      <w:pPr>
        <w:pStyle w:val="Heading4"/>
      </w:pPr>
      <w:r w:rsidRPr="0025506D">
        <w:t xml:space="preserve">Shallow </w:t>
      </w:r>
      <w:r w:rsidRPr="000B7F76">
        <w:t>Percolation</w:t>
      </w:r>
      <w:r w:rsidRPr="0025506D">
        <w:t xml:space="preserve"> Test (less than 10 feet) </w:t>
      </w:r>
    </w:p>
    <w:p w:rsidR="00E63488" w:rsidRPr="00DF7F32" w:rsidRDefault="00E63488" w:rsidP="00EA1EA6">
      <w:pPr>
        <w:pStyle w:val="CDMBTEXT"/>
        <w:outlineLvl w:val="0"/>
        <w:rPr>
          <w:b/>
        </w:rPr>
      </w:pPr>
      <w:r w:rsidRPr="00DF7F32">
        <w:rPr>
          <w:b/>
        </w:rPr>
        <w:t xml:space="preserve">Test Preparation </w:t>
      </w:r>
    </w:p>
    <w:p w:rsidR="00E63488" w:rsidRPr="00233EBF" w:rsidRDefault="00E63488" w:rsidP="009531AF">
      <w:pPr>
        <w:numPr>
          <w:ilvl w:val="0"/>
          <w:numId w:val="15"/>
        </w:numPr>
        <w:spacing w:after="200"/>
      </w:pPr>
      <w:r w:rsidRPr="00233EBF">
        <w:t xml:space="preserve">The test hole opening shall be between 8 and 12 inches in diameter or between 7 and 11 inches on each side if square. </w:t>
      </w:r>
    </w:p>
    <w:p w:rsidR="00E63488" w:rsidRPr="00233EBF" w:rsidRDefault="00E63488" w:rsidP="009531AF">
      <w:pPr>
        <w:numPr>
          <w:ilvl w:val="0"/>
          <w:numId w:val="15"/>
        </w:numPr>
        <w:spacing w:after="200"/>
      </w:pPr>
      <w:r w:rsidRPr="00233EBF">
        <w:t xml:space="preserve">The bottom elevation of the test hole shall correspond to the bottom elevation of the proposed basin (infiltration surface). Keep in mind that this procedure will require the test hole to be filled with water to a depth of at least 5 times the </w:t>
      </w:r>
      <w:proofErr w:type="gramStart"/>
      <w:r w:rsidRPr="00233EBF">
        <w:t>hole’s</w:t>
      </w:r>
      <w:proofErr w:type="gramEnd"/>
      <w:r w:rsidRPr="00233EBF">
        <w:t xml:space="preserve"> radius. </w:t>
      </w:r>
    </w:p>
    <w:p w:rsidR="00E63488" w:rsidRPr="00233EBF" w:rsidRDefault="00E63488" w:rsidP="009531AF">
      <w:pPr>
        <w:numPr>
          <w:ilvl w:val="0"/>
          <w:numId w:val="15"/>
        </w:numPr>
        <w:spacing w:after="200"/>
      </w:pPr>
      <w:r w:rsidRPr="00233EBF">
        <w:t xml:space="preserve">The bottom of the test hole shall be covered with 2 inches of gravel. </w:t>
      </w:r>
    </w:p>
    <w:p w:rsidR="00E63488" w:rsidRPr="00233EBF" w:rsidRDefault="00E63488" w:rsidP="009531AF">
      <w:pPr>
        <w:numPr>
          <w:ilvl w:val="0"/>
          <w:numId w:val="15"/>
        </w:numPr>
        <w:spacing w:after="200"/>
      </w:pPr>
      <w:r w:rsidRPr="00233EBF">
        <w:t xml:space="preserve">The sides of the hole shall remain undisturbed (not smeared) after drilling and any cobbles encountered left in place. </w:t>
      </w:r>
    </w:p>
    <w:p w:rsidR="00E63488" w:rsidRPr="00D32823" w:rsidRDefault="00E63488" w:rsidP="009531AF">
      <w:pPr>
        <w:numPr>
          <w:ilvl w:val="0"/>
          <w:numId w:val="15"/>
        </w:numPr>
        <w:spacing w:after="200"/>
      </w:pPr>
      <w:r w:rsidRPr="00233EBF">
        <w:rPr>
          <w:b/>
          <w:bCs/>
          <w:color w:val="000000"/>
        </w:rPr>
        <w:t xml:space="preserve">Pre-soaking </w:t>
      </w:r>
      <w:r w:rsidRPr="00233EBF">
        <w:rPr>
          <w:color w:val="000000"/>
        </w:rPr>
        <w:t>shall be used with this procedure. Invert a full 5 gallon bottle (more if necessary) of clear water supported over the hole so that the water flow into the hole holds constant at a level at least 5 times the hole’s radius above the gravel at the bottom of the hole. Testing may commence after all of the water has percolated through the test hole or after 15 hours has elapsed since initiating the pre-soak. However, to assure saturated conditions, testing must commence no later than 26 hours after all pre-soak water has percolated through the test hole. The use of the “continuous pre-soak procedure” is no longer accepted. When sandy soils (as described below) are present, the test shall be run immediately.</w:t>
      </w:r>
    </w:p>
    <w:p w:rsidR="00E63488" w:rsidRPr="00DF7F32" w:rsidRDefault="00E63488" w:rsidP="00EA1EA6">
      <w:pPr>
        <w:keepNext/>
        <w:outlineLvl w:val="0"/>
        <w:rPr>
          <w:b/>
          <w:bCs/>
          <w:color w:val="000000"/>
          <w:lang w:val="es-GT"/>
        </w:rPr>
      </w:pPr>
      <w:r w:rsidRPr="00233EBF">
        <w:rPr>
          <w:color w:val="000000"/>
        </w:rPr>
        <w:t xml:space="preserve"> </w:t>
      </w:r>
      <w:r w:rsidR="00DF7F32">
        <w:rPr>
          <w:b/>
          <w:bCs/>
          <w:color w:val="000000"/>
          <w:lang w:val="es-GT"/>
        </w:rPr>
        <w:t xml:space="preserve">Test </w:t>
      </w:r>
      <w:proofErr w:type="spellStart"/>
      <w:r w:rsidR="00DF7F32">
        <w:rPr>
          <w:b/>
          <w:bCs/>
          <w:color w:val="000000"/>
          <w:lang w:val="es-GT"/>
        </w:rPr>
        <w:t>Procedure</w:t>
      </w:r>
      <w:proofErr w:type="spellEnd"/>
    </w:p>
    <w:p w:rsidR="00E63488" w:rsidRPr="00DF7F32" w:rsidRDefault="00E63488" w:rsidP="00E63488">
      <w:pPr>
        <w:autoSpaceDE w:val="0"/>
        <w:autoSpaceDN w:val="0"/>
        <w:adjustRightInd w:val="0"/>
        <w:spacing w:line="240" w:lineRule="auto"/>
        <w:rPr>
          <w:color w:val="000000"/>
        </w:rPr>
      </w:pPr>
      <w:r w:rsidRPr="00233EBF">
        <w:rPr>
          <w:color w:val="000000"/>
        </w:rPr>
        <w:t xml:space="preserve">Test hole shall be carefully filled with water to a depth equal to at least 5 times the </w:t>
      </w:r>
      <w:proofErr w:type="gramStart"/>
      <w:r w:rsidRPr="00233EBF">
        <w:rPr>
          <w:color w:val="000000"/>
        </w:rPr>
        <w:t>hole’s</w:t>
      </w:r>
      <w:proofErr w:type="gramEnd"/>
      <w:r w:rsidRPr="00233EBF">
        <w:rPr>
          <w:color w:val="000000"/>
        </w:rPr>
        <w:t xml:space="preserve"> radius (H/r&gt;5) above the gravel at the bottom of the test hole prior to each test interval.</w:t>
      </w:r>
    </w:p>
    <w:p w:rsidR="00E63488" w:rsidRPr="00DF7F32" w:rsidRDefault="00E63488" w:rsidP="009531AF">
      <w:pPr>
        <w:pStyle w:val="ListParagraph"/>
        <w:numPr>
          <w:ilvl w:val="0"/>
          <w:numId w:val="16"/>
        </w:numPr>
        <w:autoSpaceDE w:val="0"/>
        <w:autoSpaceDN w:val="0"/>
        <w:adjustRightInd w:val="0"/>
        <w:spacing w:line="240" w:lineRule="auto"/>
        <w:contextualSpacing w:val="0"/>
        <w:jc w:val="both"/>
        <w:rPr>
          <w:color w:val="000000"/>
        </w:rPr>
      </w:pPr>
      <w:r w:rsidRPr="00233EBF">
        <w:rPr>
          <w:color w:val="000000"/>
        </w:rPr>
        <w:t xml:space="preserve">In </w:t>
      </w:r>
      <w:r w:rsidRPr="00233EBF">
        <w:rPr>
          <w:b/>
          <w:bCs/>
          <w:color w:val="000000"/>
        </w:rPr>
        <w:t>sandy soils</w:t>
      </w:r>
      <w:r w:rsidRPr="00233EBF">
        <w:rPr>
          <w:color w:val="000000"/>
        </w:rPr>
        <w:t xml:space="preserve">, when 2 consecutive measurements show that 6 inches of water seeps away in less than 25 minutes, the test shall be run for an additional hour with measurements taken every 10 minutes. Measurements shall be taken with a precision of 0.25 inches or better. The drop that occurs during the final 10 minutes is used to calculate the percolation rate. Field data must show the two 25 minute readings and the six 10 minute readings. </w:t>
      </w:r>
    </w:p>
    <w:p w:rsidR="00E63488" w:rsidRDefault="00E63488" w:rsidP="009531AF">
      <w:pPr>
        <w:pStyle w:val="ListParagraph"/>
        <w:numPr>
          <w:ilvl w:val="0"/>
          <w:numId w:val="16"/>
        </w:numPr>
        <w:autoSpaceDE w:val="0"/>
        <w:autoSpaceDN w:val="0"/>
        <w:adjustRightInd w:val="0"/>
        <w:spacing w:line="240" w:lineRule="auto"/>
        <w:contextualSpacing w:val="0"/>
        <w:jc w:val="both"/>
        <w:rPr>
          <w:color w:val="000000"/>
        </w:rPr>
      </w:pPr>
      <w:r w:rsidRPr="00233EBF">
        <w:rPr>
          <w:color w:val="000000"/>
        </w:rPr>
        <w:t xml:space="preserve">In </w:t>
      </w:r>
      <w:r w:rsidRPr="00233EBF">
        <w:rPr>
          <w:b/>
          <w:bCs/>
          <w:color w:val="000000"/>
        </w:rPr>
        <w:t>non-sandy soils</w:t>
      </w:r>
      <w:r w:rsidRPr="00233EBF">
        <w:rPr>
          <w:color w:val="000000"/>
        </w:rPr>
        <w:t xml:space="preserve">, obtain at least twelve measurements per hole over at least six hours with a precision of 0.25 inches or better. From a fixed reference point, measure the drop in water level over a 30 minute period for at least 6 hours, refilling after every 30 minute reading. The total depth of the hole must be measured at every reading to verify that collapse of the borehole has not occurred. The drop that occurs during the final reading is used to calculate the percolation rate. </w:t>
      </w:r>
    </w:p>
    <w:p w:rsidR="00E63488" w:rsidRPr="00524D76" w:rsidRDefault="00430D51" w:rsidP="00647B99">
      <w:pPr>
        <w:pStyle w:val="Caption"/>
        <w:rPr>
          <w:sz w:val="23"/>
          <w:szCs w:val="23"/>
        </w:rPr>
      </w:pPr>
      <w:bookmarkStart w:id="462" w:name="_Ref284255597"/>
      <w:bookmarkStart w:id="463" w:name="_Toc288555057"/>
      <w:r w:rsidRPr="00524D76">
        <w:t xml:space="preserve">Figure </w:t>
      </w:r>
      <w:fldSimple w:instr=" STYLEREF 1 \s ">
        <w:r w:rsidR="00524D76">
          <w:rPr>
            <w:noProof/>
          </w:rPr>
          <w:t>VII</w:t>
        </w:r>
      </w:fldSimple>
      <w:r w:rsidR="00524D76">
        <w:t>.</w:t>
      </w:r>
      <w:fldSimple w:instr=" SEQ Figure \* ARABIC \s 1 ">
        <w:r w:rsidR="00524D76">
          <w:rPr>
            <w:noProof/>
          </w:rPr>
          <w:t>15</w:t>
        </w:r>
      </w:fldSimple>
      <w:bookmarkEnd w:id="462"/>
      <w:r w:rsidRPr="00524D76">
        <w:t>.  Test Pit for Shallow Percolation Test</w:t>
      </w:r>
      <w:bookmarkEnd w:id="463"/>
    </w:p>
    <w:p w:rsidR="00E63488" w:rsidRDefault="004673AC" w:rsidP="00E63488">
      <w:pPr>
        <w:autoSpaceDE w:val="0"/>
        <w:autoSpaceDN w:val="0"/>
        <w:adjustRightInd w:val="0"/>
        <w:spacing w:line="240" w:lineRule="auto"/>
        <w:rPr>
          <w:color w:val="000000"/>
          <w:sz w:val="23"/>
          <w:szCs w:val="23"/>
        </w:rPr>
      </w:pPr>
      <w:r>
        <w:rPr>
          <w:noProof/>
          <w:color w:val="000000"/>
          <w:sz w:val="23"/>
          <w:szCs w:val="23"/>
        </w:rPr>
        <w:drawing>
          <wp:inline distT="0" distB="0" distL="0" distR="0">
            <wp:extent cx="5938121" cy="3219450"/>
            <wp:effectExtent l="0" t="0" r="5715"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0" cstate="email"/>
                    <a:srcRect b="9866"/>
                    <a:stretch/>
                  </pic:blipFill>
                  <pic:spPr bwMode="auto">
                    <a:xfrm>
                      <a:off x="0" y="0"/>
                      <a:ext cx="5943600" cy="322242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63488" w:rsidRDefault="00E63488" w:rsidP="00E63488">
      <w:pPr>
        <w:autoSpaceDE w:val="0"/>
        <w:autoSpaceDN w:val="0"/>
        <w:adjustRightInd w:val="0"/>
        <w:spacing w:line="240" w:lineRule="auto"/>
        <w:rPr>
          <w:color w:val="000000"/>
          <w:sz w:val="23"/>
          <w:szCs w:val="23"/>
        </w:rPr>
      </w:pPr>
    </w:p>
    <w:p w:rsidR="00E63488" w:rsidRPr="0025506D" w:rsidRDefault="00E63488" w:rsidP="00E63488">
      <w:pPr>
        <w:autoSpaceDE w:val="0"/>
        <w:autoSpaceDN w:val="0"/>
        <w:adjustRightInd w:val="0"/>
        <w:spacing w:line="240" w:lineRule="auto"/>
        <w:rPr>
          <w:color w:val="000000"/>
          <w:sz w:val="23"/>
          <w:szCs w:val="23"/>
        </w:rPr>
      </w:pPr>
    </w:p>
    <w:p w:rsidR="00FE3A73" w:rsidRDefault="00E63488" w:rsidP="00EA1EA6">
      <w:pPr>
        <w:pStyle w:val="Heading4"/>
      </w:pPr>
      <w:r w:rsidRPr="009B1043">
        <w:t xml:space="preserve">Deep Percolation Test (10 - 40 feet) </w:t>
      </w:r>
    </w:p>
    <w:p w:rsidR="000B7F76" w:rsidRPr="00DF7F32" w:rsidRDefault="00E63488" w:rsidP="00EA1EA6">
      <w:pPr>
        <w:autoSpaceDE w:val="0"/>
        <w:autoSpaceDN w:val="0"/>
        <w:adjustRightInd w:val="0"/>
        <w:spacing w:line="240" w:lineRule="auto"/>
        <w:outlineLvl w:val="0"/>
        <w:rPr>
          <w:b/>
          <w:bCs/>
          <w:color w:val="000000"/>
        </w:rPr>
      </w:pPr>
      <w:r w:rsidRPr="00233EBF">
        <w:rPr>
          <w:b/>
          <w:bCs/>
          <w:color w:val="000000"/>
        </w:rPr>
        <w:t xml:space="preserve">Test Preparation </w:t>
      </w:r>
    </w:p>
    <w:p w:rsidR="00E63488" w:rsidRPr="00DF7F32" w:rsidRDefault="00E63488" w:rsidP="009531AF">
      <w:pPr>
        <w:pStyle w:val="ListParagraph"/>
        <w:numPr>
          <w:ilvl w:val="0"/>
          <w:numId w:val="17"/>
        </w:numPr>
        <w:autoSpaceDE w:val="0"/>
        <w:autoSpaceDN w:val="0"/>
        <w:adjustRightInd w:val="0"/>
        <w:spacing w:line="240" w:lineRule="auto"/>
        <w:contextualSpacing w:val="0"/>
        <w:jc w:val="both"/>
        <w:rPr>
          <w:color w:val="000000"/>
        </w:rPr>
      </w:pPr>
      <w:r w:rsidRPr="00233EBF">
        <w:rPr>
          <w:color w:val="000000"/>
        </w:rPr>
        <w:t xml:space="preserve">Borehole diameter shall be either 6 inch or 8 inch only. No other diameter test holes will be accepted. </w:t>
      </w:r>
    </w:p>
    <w:p w:rsidR="00E63488" w:rsidRPr="00DF7F32" w:rsidRDefault="00E63488" w:rsidP="009531AF">
      <w:pPr>
        <w:pStyle w:val="ListParagraph"/>
        <w:numPr>
          <w:ilvl w:val="0"/>
          <w:numId w:val="17"/>
        </w:numPr>
        <w:autoSpaceDE w:val="0"/>
        <w:autoSpaceDN w:val="0"/>
        <w:adjustRightInd w:val="0"/>
        <w:spacing w:line="240" w:lineRule="auto"/>
        <w:contextualSpacing w:val="0"/>
        <w:jc w:val="both"/>
        <w:rPr>
          <w:color w:val="000000"/>
        </w:rPr>
      </w:pPr>
      <w:r w:rsidRPr="00233EBF">
        <w:rPr>
          <w:color w:val="000000"/>
        </w:rPr>
        <w:t xml:space="preserve">The bottom elevation of the test hole shall correspond to the bottom elevation of the proposed basin (infiltration surface). Keep in mind that this procedure will require the test hole to be filled with water to a depth of at least 5 times the </w:t>
      </w:r>
      <w:proofErr w:type="gramStart"/>
      <w:r w:rsidRPr="00233EBF">
        <w:rPr>
          <w:color w:val="000000"/>
        </w:rPr>
        <w:t>hole’s</w:t>
      </w:r>
      <w:proofErr w:type="gramEnd"/>
      <w:r w:rsidRPr="00233EBF">
        <w:rPr>
          <w:color w:val="000000"/>
        </w:rPr>
        <w:t xml:space="preserve"> radius.</w:t>
      </w:r>
    </w:p>
    <w:p w:rsidR="00E63488" w:rsidRPr="00DF7F32" w:rsidRDefault="00E63488" w:rsidP="009531AF">
      <w:pPr>
        <w:pStyle w:val="ListParagraph"/>
        <w:numPr>
          <w:ilvl w:val="0"/>
          <w:numId w:val="17"/>
        </w:numPr>
        <w:autoSpaceDE w:val="0"/>
        <w:autoSpaceDN w:val="0"/>
        <w:adjustRightInd w:val="0"/>
        <w:spacing w:line="240" w:lineRule="auto"/>
        <w:contextualSpacing w:val="0"/>
        <w:jc w:val="both"/>
        <w:rPr>
          <w:color w:val="000000"/>
        </w:rPr>
      </w:pPr>
      <w:r w:rsidRPr="00233EBF">
        <w:rPr>
          <w:color w:val="000000"/>
        </w:rPr>
        <w:t xml:space="preserve">The bottom of the test hole shall be covered with 2 inches of gravel. </w:t>
      </w:r>
    </w:p>
    <w:p w:rsidR="00E63488" w:rsidRPr="00DF7F32" w:rsidRDefault="00E63488" w:rsidP="009531AF">
      <w:pPr>
        <w:pStyle w:val="ListParagraph"/>
        <w:numPr>
          <w:ilvl w:val="0"/>
          <w:numId w:val="17"/>
        </w:numPr>
        <w:autoSpaceDE w:val="0"/>
        <w:autoSpaceDN w:val="0"/>
        <w:adjustRightInd w:val="0"/>
        <w:spacing w:line="240" w:lineRule="auto"/>
        <w:contextualSpacing w:val="0"/>
        <w:jc w:val="both"/>
        <w:rPr>
          <w:color w:val="000000"/>
        </w:rPr>
      </w:pPr>
      <w:r w:rsidRPr="00233EBF">
        <w:rPr>
          <w:color w:val="000000"/>
        </w:rPr>
        <w:t xml:space="preserve">The sides of the hole shall remain undisturbed (not smeared) after drilling and any cobbles encountered left in place. Special care should be taken to avoid cave-in. </w:t>
      </w:r>
    </w:p>
    <w:p w:rsidR="00E63488" w:rsidRDefault="00E63488" w:rsidP="009531AF">
      <w:pPr>
        <w:pStyle w:val="ListParagraph"/>
        <w:numPr>
          <w:ilvl w:val="0"/>
          <w:numId w:val="17"/>
        </w:numPr>
        <w:autoSpaceDE w:val="0"/>
        <w:autoSpaceDN w:val="0"/>
        <w:adjustRightInd w:val="0"/>
        <w:spacing w:line="240" w:lineRule="auto"/>
        <w:contextualSpacing w:val="0"/>
        <w:jc w:val="both"/>
        <w:rPr>
          <w:color w:val="000000"/>
        </w:rPr>
      </w:pPr>
      <w:r w:rsidRPr="00233EBF">
        <w:rPr>
          <w:b/>
          <w:bCs/>
          <w:color w:val="000000"/>
        </w:rPr>
        <w:t xml:space="preserve">Pre-soaking </w:t>
      </w:r>
      <w:r w:rsidRPr="00233EBF">
        <w:rPr>
          <w:color w:val="000000"/>
        </w:rPr>
        <w:t xml:space="preserve">shall be used with this procedure. Invert a full 5 gallon bottle of clear water supported over the hole so that the water flow into the hole holds constant at a maximum depth of 4 feet below the surface of the ground or if grading cuts are anticipated, to the approximate elevation of the </w:t>
      </w:r>
      <w:r w:rsidRPr="00233EBF">
        <w:rPr>
          <w:b/>
          <w:bCs/>
          <w:color w:val="000000"/>
        </w:rPr>
        <w:t xml:space="preserve">top </w:t>
      </w:r>
      <w:r w:rsidRPr="00233EBF">
        <w:rPr>
          <w:color w:val="000000"/>
        </w:rPr>
        <w:t>of the basin but at least 5 times the hole’s radius (H/r</w:t>
      </w:r>
      <w:r>
        <w:rPr>
          <w:color w:val="000000"/>
        </w:rPr>
        <w:t xml:space="preserve"> </w:t>
      </w:r>
      <w:r w:rsidRPr="00233EBF">
        <w:rPr>
          <w:color w:val="000000"/>
        </w:rPr>
        <w:t>&gt;</w:t>
      </w:r>
      <w:r>
        <w:rPr>
          <w:color w:val="000000"/>
        </w:rPr>
        <w:t xml:space="preserve"> </w:t>
      </w:r>
      <w:r w:rsidRPr="00233EBF">
        <w:rPr>
          <w:color w:val="000000"/>
        </w:rPr>
        <w:t xml:space="preserve">5). Pre-soaking shall be performed for 24 hours unless the site consists of sandy soils containing little or no clay. If sandy soils exist as described below, the tests may then be run after a 2 hour pre-soak. However, to assure saturated conditions, testing must commence no later than 26 hours after all pre-soak water has percolated through </w:t>
      </w:r>
      <w:r>
        <w:rPr>
          <w:color w:val="000000"/>
        </w:rPr>
        <w:t>the test hole. The “c</w:t>
      </w:r>
      <w:r w:rsidRPr="00233EBF">
        <w:rPr>
          <w:color w:val="000000"/>
        </w:rPr>
        <w:t>ontinuous pre-soak procedure” is no</w:t>
      </w:r>
      <w:r>
        <w:rPr>
          <w:color w:val="000000"/>
        </w:rPr>
        <w:t xml:space="preserve">t </w:t>
      </w:r>
      <w:r w:rsidRPr="00233EBF">
        <w:rPr>
          <w:color w:val="000000"/>
        </w:rPr>
        <w:t xml:space="preserve">accepted. When sandy soils (as described below) are present, the test shall be run immediately. </w:t>
      </w:r>
    </w:p>
    <w:p w:rsidR="00430D51" w:rsidRPr="00524D76" w:rsidRDefault="00430D51" w:rsidP="00647B99">
      <w:pPr>
        <w:pStyle w:val="Caption"/>
      </w:pPr>
      <w:bookmarkStart w:id="464" w:name="_Ref284255603"/>
      <w:bookmarkStart w:id="465" w:name="_Toc288555058"/>
      <w:r w:rsidRPr="00524D76">
        <w:t xml:space="preserve">Figure </w:t>
      </w:r>
      <w:fldSimple w:instr=" STYLEREF 1 \s ">
        <w:r w:rsidR="00524D76">
          <w:rPr>
            <w:noProof/>
          </w:rPr>
          <w:t>VII</w:t>
        </w:r>
      </w:fldSimple>
      <w:r w:rsidR="00524D76">
        <w:t>.</w:t>
      </w:r>
      <w:fldSimple w:instr=" SEQ Figure \* ARABIC \s 1 ">
        <w:r w:rsidR="00524D76">
          <w:rPr>
            <w:noProof/>
          </w:rPr>
          <w:t>16</w:t>
        </w:r>
      </w:fldSimple>
      <w:bookmarkEnd w:id="464"/>
      <w:r w:rsidRPr="00524D76">
        <w:t>.  Test Pit for Deep Percolation Test</w:t>
      </w:r>
      <w:bookmarkEnd w:id="465"/>
    </w:p>
    <w:p w:rsidR="00E63488" w:rsidRDefault="004673AC" w:rsidP="00E63488">
      <w:pPr>
        <w:autoSpaceDE w:val="0"/>
        <w:autoSpaceDN w:val="0"/>
        <w:adjustRightInd w:val="0"/>
        <w:spacing w:line="240" w:lineRule="auto"/>
        <w:rPr>
          <w:color w:val="000000"/>
          <w:sz w:val="23"/>
          <w:szCs w:val="23"/>
        </w:rPr>
      </w:pPr>
      <w:r>
        <w:rPr>
          <w:noProof/>
          <w:color w:val="000000"/>
          <w:sz w:val="23"/>
          <w:szCs w:val="23"/>
        </w:rPr>
        <w:drawing>
          <wp:inline distT="0" distB="0" distL="0" distR="0">
            <wp:extent cx="5635256" cy="3802516"/>
            <wp:effectExtent l="19050" t="0" r="3544"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1" cstate="email"/>
                    <a:srcRect b="12122"/>
                    <a:stretch/>
                  </pic:blipFill>
                  <pic:spPr bwMode="auto">
                    <a:xfrm>
                      <a:off x="0" y="0"/>
                      <a:ext cx="5634126" cy="380175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63488" w:rsidRPr="0025506D" w:rsidRDefault="00E63488" w:rsidP="00E63488">
      <w:pPr>
        <w:autoSpaceDE w:val="0"/>
        <w:autoSpaceDN w:val="0"/>
        <w:adjustRightInd w:val="0"/>
        <w:spacing w:line="240" w:lineRule="auto"/>
        <w:rPr>
          <w:color w:val="000000"/>
          <w:sz w:val="23"/>
          <w:szCs w:val="23"/>
        </w:rPr>
      </w:pPr>
    </w:p>
    <w:p w:rsidR="00E63488" w:rsidRPr="00233EBF" w:rsidRDefault="00E63488" w:rsidP="00EA1EA6">
      <w:pPr>
        <w:autoSpaceDE w:val="0"/>
        <w:autoSpaceDN w:val="0"/>
        <w:adjustRightInd w:val="0"/>
        <w:spacing w:line="240" w:lineRule="auto"/>
        <w:outlineLvl w:val="0"/>
        <w:rPr>
          <w:color w:val="000000"/>
        </w:rPr>
      </w:pPr>
      <w:r w:rsidRPr="00233EBF">
        <w:rPr>
          <w:b/>
          <w:bCs/>
          <w:color w:val="000000"/>
        </w:rPr>
        <w:t xml:space="preserve">Test Procedure </w:t>
      </w:r>
    </w:p>
    <w:p w:rsidR="00E63488" w:rsidRPr="00DF7F32" w:rsidRDefault="00E63488" w:rsidP="00E63488">
      <w:pPr>
        <w:autoSpaceDE w:val="0"/>
        <w:autoSpaceDN w:val="0"/>
        <w:adjustRightInd w:val="0"/>
        <w:spacing w:line="240" w:lineRule="auto"/>
        <w:rPr>
          <w:color w:val="000000"/>
        </w:rPr>
      </w:pPr>
      <w:r w:rsidRPr="00233EBF">
        <w:rPr>
          <w:color w:val="000000"/>
        </w:rPr>
        <w:t xml:space="preserve">Carefully fill the hole with clear water to a maximum depth of 4 feet below the surface of the ground or, if grading cuts are anticipated, to the approximate elevation of the </w:t>
      </w:r>
      <w:r w:rsidRPr="00233EBF">
        <w:rPr>
          <w:b/>
          <w:bCs/>
          <w:color w:val="000000"/>
        </w:rPr>
        <w:t xml:space="preserve">top </w:t>
      </w:r>
      <w:r w:rsidRPr="00233EBF">
        <w:rPr>
          <w:color w:val="000000"/>
        </w:rPr>
        <w:t xml:space="preserve">of the basin. However, at a minimum, the bore hole shall be filled with water to a depth equal to 5 times the </w:t>
      </w:r>
      <w:proofErr w:type="gramStart"/>
      <w:r w:rsidRPr="00233EBF">
        <w:rPr>
          <w:color w:val="000000"/>
        </w:rPr>
        <w:t>hole’s</w:t>
      </w:r>
      <w:proofErr w:type="gramEnd"/>
      <w:r w:rsidRPr="00233EBF">
        <w:rPr>
          <w:color w:val="000000"/>
        </w:rPr>
        <w:t xml:space="preserve"> radius (H/r&gt;5).</w:t>
      </w:r>
    </w:p>
    <w:p w:rsidR="00E63488" w:rsidRPr="00233EBF" w:rsidRDefault="00E63488" w:rsidP="00E63488">
      <w:pPr>
        <w:autoSpaceDE w:val="0"/>
        <w:autoSpaceDN w:val="0"/>
        <w:adjustRightInd w:val="0"/>
        <w:spacing w:line="240" w:lineRule="auto"/>
        <w:rPr>
          <w:color w:val="000000"/>
        </w:rPr>
      </w:pPr>
      <w:r w:rsidRPr="00233EBF">
        <w:rPr>
          <w:color w:val="000000"/>
        </w:rPr>
        <w:t xml:space="preserve">In </w:t>
      </w:r>
      <w:r w:rsidRPr="00233EBF">
        <w:rPr>
          <w:b/>
          <w:bCs/>
          <w:color w:val="000000"/>
        </w:rPr>
        <w:t>sandy soils</w:t>
      </w:r>
      <w:r w:rsidRPr="00233EBF">
        <w:rPr>
          <w:color w:val="000000"/>
        </w:rPr>
        <w:t xml:space="preserve">, when 2 consecutive measurements show that 6 inches of water seeps away in less than 25 minutes, the test shall be run for an additional hour with measurements taken every 10 minutes. Measurements shall be taken with a precision of 0.25 inches or better. The drop that occurs during the final 10 minutes is used to calculate the percolation rate. Field data must show the two 25 minute readings and the six 10 minute readings. </w:t>
      </w:r>
    </w:p>
    <w:p w:rsidR="00E63488" w:rsidRPr="00233EBF" w:rsidRDefault="00E63488" w:rsidP="00E63488">
      <w:pPr>
        <w:autoSpaceDE w:val="0"/>
        <w:autoSpaceDN w:val="0"/>
        <w:adjustRightInd w:val="0"/>
        <w:spacing w:line="240" w:lineRule="auto"/>
        <w:rPr>
          <w:color w:val="000000"/>
        </w:rPr>
      </w:pPr>
      <w:r w:rsidRPr="00233EBF">
        <w:rPr>
          <w:color w:val="000000"/>
        </w:rPr>
        <w:t xml:space="preserve">In </w:t>
      </w:r>
      <w:r w:rsidRPr="00233EBF">
        <w:rPr>
          <w:b/>
          <w:bCs/>
          <w:color w:val="000000"/>
        </w:rPr>
        <w:t>non-sandy soils</w:t>
      </w:r>
      <w:r w:rsidRPr="00233EBF">
        <w:rPr>
          <w:color w:val="000000"/>
        </w:rPr>
        <w:t xml:space="preserve">, the percolation rate measurement shall be made on the day following initiation of the pre-soak as described in Item #5 above. From a fixed reference point, measure the drop in water level over a 30 minute period for at least 6 hours, refilling after every 30 minute reading. Measurements shall be taken with a precision of 0.25 inches or better. The total depth of hole must be measured at every reading to verify that collapse of the borehole has not occurred. The drop that occurs during the final reading is used to calculate the percolation rate. </w:t>
      </w:r>
    </w:p>
    <w:p w:rsidR="00E63488" w:rsidRPr="00524D76" w:rsidRDefault="00430D51" w:rsidP="00647B99">
      <w:pPr>
        <w:pStyle w:val="Caption"/>
        <w:rPr>
          <w:sz w:val="23"/>
          <w:szCs w:val="23"/>
        </w:rPr>
      </w:pPr>
      <w:bookmarkStart w:id="466" w:name="_Ref284255911"/>
      <w:bookmarkStart w:id="467" w:name="_Toc288555059"/>
      <w:r w:rsidRPr="00524D76">
        <w:t xml:space="preserve">Figure </w:t>
      </w:r>
      <w:fldSimple w:instr=" STYLEREF 1 \s ">
        <w:r w:rsidR="00524D76">
          <w:rPr>
            <w:noProof/>
          </w:rPr>
          <w:t>VII</w:t>
        </w:r>
      </w:fldSimple>
      <w:r w:rsidR="00524D76">
        <w:t>.</w:t>
      </w:r>
      <w:fldSimple w:instr=" SEQ Figure \* ARABIC \s 1 ">
        <w:r w:rsidR="00524D76">
          <w:rPr>
            <w:noProof/>
          </w:rPr>
          <w:t>17</w:t>
        </w:r>
      </w:fldSimple>
      <w:bookmarkEnd w:id="466"/>
      <w:r w:rsidRPr="00524D76">
        <w:t xml:space="preserve">. </w:t>
      </w:r>
      <w:proofErr w:type="gramStart"/>
      <w:r w:rsidRPr="00524D76">
        <w:t xml:space="preserve">Photo of </w:t>
      </w:r>
      <w:r w:rsidRPr="00524D76">
        <w:rPr>
          <w:sz w:val="23"/>
          <w:szCs w:val="23"/>
        </w:rPr>
        <w:t>Percolation Test Pit.</w:t>
      </w:r>
      <w:bookmarkEnd w:id="467"/>
      <w:proofErr w:type="gramEnd"/>
      <w:r w:rsidRPr="00524D76">
        <w:rPr>
          <w:sz w:val="23"/>
          <w:szCs w:val="23"/>
        </w:rPr>
        <w:t xml:space="preserve"> </w:t>
      </w:r>
    </w:p>
    <w:p w:rsidR="00E63488" w:rsidRDefault="004673AC" w:rsidP="00E63488">
      <w:pPr>
        <w:pStyle w:val="ListParagraph"/>
        <w:autoSpaceDE w:val="0"/>
        <w:autoSpaceDN w:val="0"/>
        <w:adjustRightInd w:val="0"/>
        <w:spacing w:line="240" w:lineRule="auto"/>
        <w:rPr>
          <w:b/>
        </w:rPr>
      </w:pPr>
      <w:r>
        <w:rPr>
          <w:noProof/>
          <w:color w:val="000000"/>
          <w:sz w:val="23"/>
          <w:szCs w:val="23"/>
        </w:rPr>
        <w:drawing>
          <wp:inline distT="0" distB="0" distL="0" distR="0">
            <wp:extent cx="4869180" cy="3562350"/>
            <wp:effectExtent l="19050" t="0" r="7620" b="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email"/>
                    <a:srcRect/>
                    <a:stretch>
                      <a:fillRect/>
                    </a:stretch>
                  </pic:blipFill>
                  <pic:spPr bwMode="auto">
                    <a:xfrm>
                      <a:off x="0" y="0"/>
                      <a:ext cx="4869180" cy="3562350"/>
                    </a:xfrm>
                    <a:prstGeom prst="rect">
                      <a:avLst/>
                    </a:prstGeom>
                    <a:noFill/>
                    <a:ln w="9525">
                      <a:noFill/>
                      <a:miter lim="800000"/>
                      <a:headEnd/>
                      <a:tailEnd/>
                    </a:ln>
                  </pic:spPr>
                </pic:pic>
              </a:graphicData>
            </a:graphic>
          </wp:inline>
        </w:drawing>
      </w:r>
    </w:p>
    <w:p w:rsidR="00E63488" w:rsidRPr="00A214BC" w:rsidRDefault="00E63488" w:rsidP="00430D51">
      <w:pPr>
        <w:pStyle w:val="CDMBTEXT"/>
        <w:jc w:val="center"/>
      </w:pPr>
      <w:r w:rsidRPr="00A214BC">
        <w:t>(Use of perforated PVC pipe is a variation.)</w:t>
      </w:r>
    </w:p>
    <w:p w:rsidR="002B1599" w:rsidRPr="00524D76" w:rsidRDefault="00430D51" w:rsidP="00647B99">
      <w:pPr>
        <w:pStyle w:val="Caption"/>
      </w:pPr>
      <w:bookmarkStart w:id="468" w:name="_Toc288555060"/>
      <w:r w:rsidRPr="00524D76">
        <w:t xml:space="preserve">Figure </w:t>
      </w:r>
      <w:fldSimple w:instr=" STYLEREF 1 \s ">
        <w:r w:rsidR="00524D76">
          <w:rPr>
            <w:noProof/>
          </w:rPr>
          <w:t>VII</w:t>
        </w:r>
      </w:fldSimple>
      <w:r w:rsidR="00524D76">
        <w:t>.</w:t>
      </w:r>
      <w:fldSimple w:instr=" SEQ Figure \* ARABIC \s 1 ">
        <w:r w:rsidR="00524D76">
          <w:rPr>
            <w:noProof/>
          </w:rPr>
          <w:t>18</w:t>
        </w:r>
      </w:fldSimple>
      <w:r w:rsidRPr="00524D76">
        <w:t>.  Sample Test Data Form for Percolation Test</w:t>
      </w:r>
      <w:bookmarkEnd w:id="468"/>
    </w:p>
    <w:p w:rsidR="00E63488" w:rsidRDefault="004673AC" w:rsidP="00E63488">
      <w:pPr>
        <w:autoSpaceDE w:val="0"/>
        <w:autoSpaceDN w:val="0"/>
        <w:adjustRightInd w:val="0"/>
        <w:spacing w:line="240" w:lineRule="auto"/>
        <w:jc w:val="center"/>
        <w:rPr>
          <w:rFonts w:ascii="Calibri" w:hAnsi="Calibri" w:cs="Calibri"/>
          <w:color w:val="000000"/>
        </w:rPr>
      </w:pPr>
      <w:r>
        <w:rPr>
          <w:rFonts w:ascii="Calibri" w:hAnsi="Calibri" w:cs="Calibri"/>
          <w:noProof/>
          <w:color w:val="000000"/>
        </w:rPr>
        <w:drawing>
          <wp:inline distT="0" distB="0" distL="0" distR="0">
            <wp:extent cx="5358205" cy="7315200"/>
            <wp:effectExtent l="19050" t="0" r="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email"/>
                    <a:srcRect/>
                    <a:stretch>
                      <a:fillRect/>
                    </a:stretch>
                  </pic:blipFill>
                  <pic:spPr bwMode="auto">
                    <a:xfrm>
                      <a:off x="0" y="0"/>
                      <a:ext cx="5362368" cy="7320884"/>
                    </a:xfrm>
                    <a:prstGeom prst="rect">
                      <a:avLst/>
                    </a:prstGeom>
                    <a:noFill/>
                    <a:ln w="9525">
                      <a:noFill/>
                      <a:miter lim="800000"/>
                      <a:headEnd/>
                      <a:tailEnd/>
                    </a:ln>
                  </pic:spPr>
                </pic:pic>
              </a:graphicData>
            </a:graphic>
          </wp:inline>
        </w:drawing>
      </w:r>
    </w:p>
    <w:p w:rsidR="002E1936" w:rsidRPr="002E1936" w:rsidRDefault="002E1936" w:rsidP="002E1936">
      <w:pPr>
        <w:rPr>
          <w:lang w:bidi="en-US"/>
        </w:rPr>
      </w:pPr>
    </w:p>
    <w:p w:rsidR="009E7FDA" w:rsidRPr="00524D76" w:rsidRDefault="002E1936" w:rsidP="00647B99">
      <w:pPr>
        <w:pStyle w:val="Caption"/>
        <w:rPr>
          <w:lang w:val="es-GT"/>
        </w:rPr>
      </w:pPr>
      <w:bookmarkStart w:id="469" w:name="_Ref287895923"/>
      <w:bookmarkStart w:id="470" w:name="_Toc288554454"/>
      <w:proofErr w:type="gramStart"/>
      <w:r w:rsidRPr="00524D76">
        <w:t xml:space="preserve">Example </w:t>
      </w:r>
      <w:fldSimple w:instr=" STYLEREF 1 \s ">
        <w:r w:rsidR="00126DE5" w:rsidRPr="00524D76">
          <w:rPr>
            <w:noProof/>
          </w:rPr>
          <w:t>VII</w:t>
        </w:r>
      </w:fldSimple>
      <w:r w:rsidRPr="00524D76">
        <w:t>.</w:t>
      </w:r>
      <w:proofErr w:type="gramEnd"/>
      <w:r w:rsidR="00126F3D" w:rsidRPr="00524D76">
        <w:fldChar w:fldCharType="begin"/>
      </w:r>
      <w:r w:rsidRPr="00524D76">
        <w:instrText xml:space="preserve"> SEQ Example \* ARABIC \s 1 </w:instrText>
      </w:r>
      <w:r w:rsidR="00126F3D" w:rsidRPr="00524D76">
        <w:fldChar w:fldCharType="separate"/>
      </w:r>
      <w:r w:rsidR="00126DE5" w:rsidRPr="00524D76">
        <w:rPr>
          <w:noProof/>
        </w:rPr>
        <w:t>1</w:t>
      </w:r>
      <w:r w:rsidR="00126F3D" w:rsidRPr="00524D76">
        <w:fldChar w:fldCharType="end"/>
      </w:r>
      <w:bookmarkEnd w:id="469"/>
      <w:r w:rsidRPr="00524D76">
        <w:t xml:space="preserve">: </w:t>
      </w:r>
      <w:proofErr w:type="spellStart"/>
      <w:r w:rsidR="00C34320" w:rsidRPr="00524D76">
        <w:rPr>
          <w:lang w:val="es-GT"/>
        </w:rPr>
        <w:t>Percolation</w:t>
      </w:r>
      <w:proofErr w:type="spellEnd"/>
      <w:r w:rsidR="00C34320" w:rsidRPr="00524D76">
        <w:rPr>
          <w:lang w:val="es-GT"/>
        </w:rPr>
        <w:t xml:space="preserve"> </w:t>
      </w:r>
      <w:proofErr w:type="spellStart"/>
      <w:r w:rsidR="00C34320" w:rsidRPr="00524D76">
        <w:rPr>
          <w:lang w:val="es-GT"/>
        </w:rPr>
        <w:t>Rate</w:t>
      </w:r>
      <w:proofErr w:type="spellEnd"/>
      <w:r w:rsidR="00C34320" w:rsidRPr="00524D76">
        <w:rPr>
          <w:lang w:val="es-GT"/>
        </w:rPr>
        <w:t xml:space="preserve"> </w:t>
      </w:r>
      <w:proofErr w:type="spellStart"/>
      <w:r w:rsidR="00C34320" w:rsidRPr="00524D76">
        <w:rPr>
          <w:lang w:val="es-GT"/>
        </w:rPr>
        <w:t>Conversion</w:t>
      </w:r>
      <w:proofErr w:type="spellEnd"/>
      <w:r w:rsidR="00C34320" w:rsidRPr="00524D76">
        <w:rPr>
          <w:lang w:val="es-GT"/>
        </w:rPr>
        <w:t xml:space="preserve"> </w:t>
      </w:r>
      <w:proofErr w:type="spellStart"/>
      <w:r w:rsidR="00C34320" w:rsidRPr="00524D76">
        <w:rPr>
          <w:lang w:val="es-GT"/>
        </w:rPr>
        <w:t>Example</w:t>
      </w:r>
      <w:bookmarkEnd w:id="470"/>
      <w:proofErr w:type="spellEnd"/>
      <w:r w:rsidR="00D02547" w:rsidRPr="00524D76">
        <w:rPr>
          <w:lang w:val="es-GT"/>
        </w:rPr>
        <w:t xml:space="preserve"> </w:t>
      </w:r>
    </w:p>
    <w:p w:rsidR="009E7FDA" w:rsidRPr="00524D76" w:rsidRDefault="00D02547" w:rsidP="00647B99">
      <w:pPr>
        <w:pStyle w:val="Caption"/>
        <w:rPr>
          <w:lang w:val="es-GT"/>
        </w:rPr>
      </w:pPr>
      <w:r w:rsidRPr="00524D76">
        <w:rPr>
          <w:lang w:val="es-GT"/>
        </w:rPr>
        <w:t>(</w:t>
      </w:r>
      <w:proofErr w:type="spellStart"/>
      <w:r w:rsidRPr="00524D76">
        <w:rPr>
          <w:lang w:val="es-GT"/>
        </w:rPr>
        <w:t>Porchet</w:t>
      </w:r>
      <w:proofErr w:type="spellEnd"/>
      <w:r w:rsidRPr="00524D76">
        <w:rPr>
          <w:lang w:val="es-GT"/>
        </w:rPr>
        <w:t xml:space="preserve"> </w:t>
      </w:r>
      <w:proofErr w:type="spellStart"/>
      <w:r w:rsidRPr="00524D76">
        <w:rPr>
          <w:lang w:val="es-GT"/>
        </w:rPr>
        <w:t>Method</w:t>
      </w:r>
      <w:proofErr w:type="spellEnd"/>
      <w:r w:rsidRPr="00524D76">
        <w:rPr>
          <w:lang w:val="es-GT"/>
        </w:rPr>
        <w:t xml:space="preserve">, </w:t>
      </w:r>
      <w:proofErr w:type="spellStart"/>
      <w:r w:rsidRPr="00524D76">
        <w:rPr>
          <w:lang w:val="es-GT"/>
        </w:rPr>
        <w:t>aka</w:t>
      </w:r>
      <w:proofErr w:type="spellEnd"/>
      <w:r w:rsidRPr="00524D76">
        <w:rPr>
          <w:lang w:val="es-GT"/>
        </w:rPr>
        <w:t xml:space="preserve"> </w:t>
      </w:r>
      <w:proofErr w:type="spellStart"/>
      <w:r w:rsidRPr="00524D76">
        <w:rPr>
          <w:lang w:val="es-GT"/>
        </w:rPr>
        <w:t>Inverse</w:t>
      </w:r>
      <w:proofErr w:type="spellEnd"/>
      <w:r w:rsidRPr="00524D76">
        <w:rPr>
          <w:lang w:val="es-GT"/>
        </w:rPr>
        <w:t xml:space="preserve"> </w:t>
      </w:r>
      <w:proofErr w:type="spellStart"/>
      <w:r w:rsidRPr="00524D76">
        <w:rPr>
          <w:lang w:val="es-GT"/>
        </w:rPr>
        <w:t>Borehole</w:t>
      </w:r>
      <w:proofErr w:type="spellEnd"/>
      <w:r w:rsidRPr="00524D76">
        <w:rPr>
          <w:lang w:val="es-GT"/>
        </w:rPr>
        <w:t xml:space="preserve"> </w:t>
      </w:r>
      <w:proofErr w:type="spellStart"/>
      <w:r w:rsidRPr="00524D76">
        <w:rPr>
          <w:lang w:val="es-GT"/>
        </w:rPr>
        <w:t>Method</w:t>
      </w:r>
      <w:proofErr w:type="spellEnd"/>
      <w:r w:rsidRPr="00524D76">
        <w:rPr>
          <w:lang w:val="es-GT"/>
        </w:rPr>
        <w:t>)</w:t>
      </w:r>
      <w:r w:rsidR="00C34320" w:rsidRPr="00524D76">
        <w:rPr>
          <w:lang w:val="es-GT"/>
        </w:rPr>
        <w:t xml:space="preserve">: </w:t>
      </w:r>
    </w:p>
    <w:p w:rsidR="00E63488" w:rsidRPr="002E1936" w:rsidRDefault="00C34320" w:rsidP="00E63488">
      <w:r w:rsidRPr="002E1936">
        <w:t>The bottom of a proposed infiltration basin would be at 5.0 feet below natural grade. Percolation tests are performed within the boundaries of the proposed basin location with the depth of the test hole set at the infiltration surface level (bottom of the basin). The Percolation Test Data Sheet (Table 5) is prepared as the test is being performed. After the minimum required number of testing in</w:t>
      </w:r>
      <w:r w:rsidR="00DB1A24">
        <w:t xml:space="preserve">tervals, the test is complete. </w:t>
      </w:r>
      <w:r w:rsidRPr="002E1936">
        <w:t xml:space="preserve">The data collected at the final interval is as follows: </w:t>
      </w:r>
    </w:p>
    <w:p w:rsidR="00E63488" w:rsidRPr="002E1936" w:rsidRDefault="00924525" w:rsidP="00E63488">
      <w:pPr>
        <w:tabs>
          <w:tab w:val="left" w:pos="720"/>
          <w:tab w:val="left" w:pos="5040"/>
        </w:tabs>
        <w:ind w:left="720" w:hanging="720"/>
      </w:pPr>
      <w:r>
        <w:tab/>
        <w:t xml:space="preserve">Time interval, </w:t>
      </w:r>
      <w:proofErr w:type="spellStart"/>
      <w:proofErr w:type="gramStart"/>
      <w:r>
        <w:t>Δt</w:t>
      </w:r>
      <w:proofErr w:type="spellEnd"/>
      <w:proofErr w:type="gramEnd"/>
      <w:r>
        <w:t xml:space="preserve"> = 10 minutes</w:t>
      </w:r>
      <w:r>
        <w:tab/>
        <w:t xml:space="preserve"> Initial Depth to Water, D</w:t>
      </w:r>
      <w:r>
        <w:rPr>
          <w:vertAlign w:val="subscript"/>
        </w:rPr>
        <w:t>0</w:t>
      </w:r>
      <w:r>
        <w:t xml:space="preserve"> = 12.25 inches Final Depth to Water, </w:t>
      </w:r>
      <w:proofErr w:type="spellStart"/>
      <w:r>
        <w:t>D</w:t>
      </w:r>
      <w:r>
        <w:rPr>
          <w:vertAlign w:val="subscript"/>
        </w:rPr>
        <w:t>f</w:t>
      </w:r>
      <w:proofErr w:type="spellEnd"/>
      <w:r>
        <w:t xml:space="preserve"> = 13.75 inches </w:t>
      </w:r>
      <w:r>
        <w:tab/>
        <w:t>Total Depth of Test Hole, D</w:t>
      </w:r>
      <w:r>
        <w:rPr>
          <w:vertAlign w:val="subscript"/>
        </w:rPr>
        <w:t>T</w:t>
      </w:r>
      <w:r>
        <w:t xml:space="preserve"> = 60 inches </w:t>
      </w:r>
      <w:r w:rsidR="00C34320" w:rsidRPr="002E1936">
        <w:rPr>
          <w:rStyle w:val="FootnoteReference"/>
        </w:rPr>
        <w:footnoteReference w:id="13"/>
      </w:r>
      <w:r w:rsidR="00616820" w:rsidRPr="00616820">
        <w:t xml:space="preserve">Test Hole Radius, r = 4 inches </w:t>
      </w:r>
    </w:p>
    <w:p w:rsidR="000B7F76" w:rsidRPr="002E1936" w:rsidRDefault="00616820" w:rsidP="00E63488">
      <w:r w:rsidRPr="00616820">
        <w:t xml:space="preserve">The conversion equation is used: </w:t>
      </w:r>
    </w:p>
    <w:p w:rsidR="00E63488" w:rsidRPr="002E1936" w:rsidRDefault="00126F3D" w:rsidP="00E63488">
      <w:pPr>
        <w:rPr>
          <w:rFonts w:eastAsiaTheme="minorEastAsia"/>
        </w:rPr>
      </w:pPr>
      <m:oMathPara>
        <m:oMath>
          <m:sSub>
            <m:sSubPr>
              <m:ctrlPr>
                <w:rPr>
                  <w:rFonts w:ascii="Cambria Math" w:hAnsi="Cambria Math"/>
                  <w:i/>
                </w:rPr>
              </m:ctrlPr>
            </m:sSubPr>
            <m:e>
              <m:r>
                <w:rPr>
                  <w:rFonts w:ascii="Cambria Math" w:hAnsi="Cambria Math"/>
                </w:rPr>
                <m:t>I</m:t>
              </m:r>
            </m:e>
            <m:sub>
              <m:r>
                <w:rPr>
                  <w:rFonts w:ascii="Cambria Math" w:hAnsi="Cambria Math"/>
                </w:rPr>
                <m:t>t</m:t>
              </m:r>
            </m:sub>
          </m:sSub>
          <m:r>
            <w:rPr>
              <w:rFonts w:ascii="Cambria Math" w:hAnsi="Cambria Math"/>
            </w:rPr>
            <m:t>=</m:t>
          </m:r>
          <m:f>
            <m:fPr>
              <m:ctrlPr>
                <w:rPr>
                  <w:rFonts w:ascii="Cambria Math" w:hAnsi="Cambria Math"/>
                  <w:i/>
                </w:rPr>
              </m:ctrlPr>
            </m:fPr>
            <m:num>
              <m:r>
                <w:rPr>
                  <w:rFonts w:ascii="Cambria Math" w:hAnsi="Cambria Math"/>
                </w:rPr>
                <m:t>∆H(60r)</m:t>
              </m:r>
            </m:num>
            <m:den>
              <m:r>
                <w:rPr>
                  <w:rFonts w:ascii="Cambria Math" w:hAnsi="Cambria Math"/>
                </w:rPr>
                <m:t>∆t(r+2</m:t>
              </m:r>
              <m:sSub>
                <m:sSubPr>
                  <m:ctrlPr>
                    <w:rPr>
                      <w:rFonts w:ascii="Cambria Math" w:hAnsi="Cambria Math"/>
                      <w:i/>
                    </w:rPr>
                  </m:ctrlPr>
                </m:sSubPr>
                <m:e>
                  <m:r>
                    <w:rPr>
                      <w:rFonts w:ascii="Cambria Math" w:hAnsi="Cambria Math"/>
                    </w:rPr>
                    <m:t>H</m:t>
                  </m:r>
                </m:e>
                <m:sub>
                  <m:r>
                    <w:rPr>
                      <w:rFonts w:ascii="Cambria Math" w:hAnsi="Cambria Math"/>
                    </w:rPr>
                    <m:t>avg</m:t>
                  </m:r>
                </m:sub>
              </m:sSub>
              <m:r>
                <w:rPr>
                  <w:rFonts w:ascii="Cambria Math" w:hAnsi="Cambria Math"/>
                </w:rPr>
                <m:t>)</m:t>
              </m:r>
            </m:den>
          </m:f>
        </m:oMath>
      </m:oMathPara>
    </w:p>
    <w:p w:rsidR="000B7F76" w:rsidRPr="002E1936" w:rsidRDefault="00616820" w:rsidP="009E7FDA">
      <w:pPr>
        <w:spacing w:after="120"/>
      </w:pPr>
      <w:r w:rsidRPr="00616820">
        <w:t xml:space="preserve"> “H</w:t>
      </w:r>
      <w:r w:rsidR="00C34320" w:rsidRPr="002E1936">
        <w:rPr>
          <w:vertAlign w:val="subscript"/>
        </w:rPr>
        <w:t>o</w:t>
      </w:r>
      <w:r w:rsidRPr="00616820">
        <w:t xml:space="preserve">” is the initial height of water at the selected time interval. </w:t>
      </w:r>
    </w:p>
    <w:p w:rsidR="00E63488" w:rsidRPr="002E1936" w:rsidRDefault="00616820" w:rsidP="009E7FDA">
      <w:pPr>
        <w:spacing w:after="120"/>
        <w:ind w:firstLine="720"/>
      </w:pPr>
      <w:r w:rsidRPr="00616820">
        <w:t>H</w:t>
      </w:r>
      <w:r w:rsidR="00C34320" w:rsidRPr="002E1936">
        <w:rPr>
          <w:vertAlign w:val="subscript"/>
        </w:rPr>
        <w:t>o</w:t>
      </w:r>
      <w:r w:rsidRPr="00616820">
        <w:t xml:space="preserve"> = D</w:t>
      </w:r>
      <w:r w:rsidR="00C34320" w:rsidRPr="002E1936">
        <w:rPr>
          <w:vertAlign w:val="subscript"/>
        </w:rPr>
        <w:t>T</w:t>
      </w:r>
      <w:r w:rsidRPr="00616820">
        <w:t xml:space="preserve"> - D</w:t>
      </w:r>
      <w:r w:rsidR="00C34320" w:rsidRPr="002E1936">
        <w:rPr>
          <w:vertAlign w:val="subscript"/>
        </w:rPr>
        <w:t>0</w:t>
      </w:r>
      <w:r w:rsidRPr="00616820">
        <w:t xml:space="preserve"> = 60 – 12.25 = 47.75 inches </w:t>
      </w:r>
    </w:p>
    <w:p w:rsidR="00E63488" w:rsidRPr="002E1936" w:rsidRDefault="00616820" w:rsidP="009E7FDA">
      <w:pPr>
        <w:spacing w:after="120"/>
      </w:pPr>
      <w:r w:rsidRPr="00616820">
        <w:t>“</w:t>
      </w:r>
      <w:proofErr w:type="spellStart"/>
      <w:r w:rsidRPr="00616820">
        <w:t>H</w:t>
      </w:r>
      <w:r w:rsidR="00C34320" w:rsidRPr="002E1936">
        <w:rPr>
          <w:vertAlign w:val="subscript"/>
        </w:rPr>
        <w:t>f</w:t>
      </w:r>
      <w:proofErr w:type="spellEnd"/>
      <w:r w:rsidRPr="00616820">
        <w:t xml:space="preserve">” is the final height of water at the selected time interval. </w:t>
      </w:r>
    </w:p>
    <w:p w:rsidR="00E63488" w:rsidRPr="002E1936" w:rsidRDefault="00616820" w:rsidP="009E7FDA">
      <w:pPr>
        <w:spacing w:after="120"/>
        <w:ind w:firstLine="720"/>
        <w:outlineLvl w:val="0"/>
      </w:pPr>
      <w:proofErr w:type="spellStart"/>
      <w:r w:rsidRPr="00616820">
        <w:t>H</w:t>
      </w:r>
      <w:r w:rsidR="00C34320" w:rsidRPr="002E1936">
        <w:rPr>
          <w:vertAlign w:val="subscript"/>
        </w:rPr>
        <w:t>f</w:t>
      </w:r>
      <w:proofErr w:type="spellEnd"/>
      <w:r w:rsidRPr="00616820">
        <w:t xml:space="preserve"> = D</w:t>
      </w:r>
      <w:r w:rsidR="00C34320" w:rsidRPr="002E1936">
        <w:rPr>
          <w:vertAlign w:val="subscript"/>
        </w:rPr>
        <w:t>T</w:t>
      </w:r>
      <w:r w:rsidRPr="00616820">
        <w:t xml:space="preserve"> - D</w:t>
      </w:r>
      <w:r w:rsidR="00C34320" w:rsidRPr="002E1936">
        <w:rPr>
          <w:vertAlign w:val="subscript"/>
        </w:rPr>
        <w:t>0</w:t>
      </w:r>
      <w:r w:rsidRPr="00616820">
        <w:t xml:space="preserve"> = 60 - 13.75 = 46.25 inches </w:t>
      </w:r>
    </w:p>
    <w:p w:rsidR="00E63488" w:rsidRPr="002E1936" w:rsidRDefault="00616820" w:rsidP="009E7FDA">
      <w:pPr>
        <w:spacing w:after="120"/>
      </w:pPr>
      <w:r w:rsidRPr="00616820">
        <w:t xml:space="preserve">“ΔH” is the change in height over the time interval. </w:t>
      </w:r>
    </w:p>
    <w:p w:rsidR="00E63488" w:rsidRPr="002E1936" w:rsidRDefault="00616820" w:rsidP="009E7FDA">
      <w:pPr>
        <w:spacing w:after="120"/>
        <w:ind w:firstLine="720"/>
        <w:outlineLvl w:val="0"/>
      </w:pPr>
      <w:r w:rsidRPr="00616820">
        <w:t>ΔH = ΔD = H</w:t>
      </w:r>
      <w:r w:rsidR="00C34320" w:rsidRPr="002E1936">
        <w:rPr>
          <w:vertAlign w:val="subscript"/>
        </w:rPr>
        <w:t>o</w:t>
      </w:r>
      <w:r w:rsidRPr="00616820">
        <w:t xml:space="preserve"> - </w:t>
      </w:r>
      <w:proofErr w:type="spellStart"/>
      <w:r w:rsidRPr="00616820">
        <w:t>H</w:t>
      </w:r>
      <w:r w:rsidR="00C34320" w:rsidRPr="002E1936">
        <w:rPr>
          <w:vertAlign w:val="subscript"/>
        </w:rPr>
        <w:t>f</w:t>
      </w:r>
      <w:proofErr w:type="spellEnd"/>
      <w:r w:rsidRPr="00616820">
        <w:t xml:space="preserve"> = 47.75 – 46.25 = 1.5 inches </w:t>
      </w:r>
    </w:p>
    <w:p w:rsidR="00E63488" w:rsidRPr="002E1936" w:rsidRDefault="00616820" w:rsidP="009E7FDA">
      <w:pPr>
        <w:spacing w:after="120"/>
      </w:pPr>
      <w:r w:rsidRPr="00616820">
        <w:t>“</w:t>
      </w:r>
      <w:proofErr w:type="spellStart"/>
      <w:r w:rsidRPr="00616820">
        <w:t>H</w:t>
      </w:r>
      <w:r w:rsidR="00C34320" w:rsidRPr="002E1936">
        <w:rPr>
          <w:vertAlign w:val="subscript"/>
        </w:rPr>
        <w:t>avg</w:t>
      </w:r>
      <w:proofErr w:type="spellEnd"/>
      <w:r w:rsidRPr="00616820">
        <w:t xml:space="preserve">” is the average head height over the time interval. </w:t>
      </w:r>
    </w:p>
    <w:p w:rsidR="00E63488" w:rsidRPr="002E1936" w:rsidRDefault="00616820" w:rsidP="009E7FDA">
      <w:pPr>
        <w:spacing w:after="120"/>
        <w:ind w:firstLine="720"/>
        <w:outlineLvl w:val="0"/>
      </w:pPr>
      <w:proofErr w:type="spellStart"/>
      <w:r w:rsidRPr="00616820">
        <w:t>H</w:t>
      </w:r>
      <w:r w:rsidR="00C34320" w:rsidRPr="002E1936">
        <w:rPr>
          <w:vertAlign w:val="subscript"/>
        </w:rPr>
        <w:t>avg</w:t>
      </w:r>
      <w:proofErr w:type="spellEnd"/>
      <w:r w:rsidRPr="00616820">
        <w:t xml:space="preserve"> = (H</w:t>
      </w:r>
      <w:r w:rsidR="00C34320" w:rsidRPr="002E1936">
        <w:rPr>
          <w:vertAlign w:val="subscript"/>
        </w:rPr>
        <w:t>o</w:t>
      </w:r>
      <w:r w:rsidRPr="00616820">
        <w:t xml:space="preserve"> - </w:t>
      </w:r>
      <w:proofErr w:type="spellStart"/>
      <w:r w:rsidRPr="00616820">
        <w:t>H</w:t>
      </w:r>
      <w:r w:rsidR="00C34320" w:rsidRPr="002E1936">
        <w:rPr>
          <w:vertAlign w:val="subscript"/>
        </w:rPr>
        <w:t>f</w:t>
      </w:r>
      <w:proofErr w:type="spellEnd"/>
      <w:r w:rsidRPr="00616820">
        <w:t xml:space="preserve">)/2 = (47.75 – 46.25)/2 = 47.0 inches </w:t>
      </w:r>
    </w:p>
    <w:p w:rsidR="00E63488" w:rsidRPr="002E1936" w:rsidRDefault="00616820" w:rsidP="009E7FDA">
      <w:pPr>
        <w:spacing w:after="120"/>
      </w:pPr>
      <w:r w:rsidRPr="00616820">
        <w:t>“I</w:t>
      </w:r>
      <w:r w:rsidR="00C34320" w:rsidRPr="002E1936">
        <w:rPr>
          <w:vertAlign w:val="subscript"/>
        </w:rPr>
        <w:t>t</w:t>
      </w:r>
      <w:r w:rsidRPr="00616820">
        <w:t xml:space="preserve">” is the tested infiltration rate. </w:t>
      </w:r>
    </w:p>
    <w:p w:rsidR="00E63488" w:rsidRDefault="00126F3D" w:rsidP="00E63488">
      <w:pPr>
        <w:rPr>
          <w:rFonts w:eastAsiaTheme="minorEastAsia"/>
        </w:rPr>
      </w:pPr>
      <m:oMathPara>
        <m:oMath>
          <m:sSub>
            <m:sSubPr>
              <m:ctrlPr>
                <w:rPr>
                  <w:rFonts w:ascii="Cambria Math" w:hAnsi="Cambria Math"/>
                  <w:i/>
                </w:rPr>
              </m:ctrlPr>
            </m:sSubPr>
            <m:e>
              <m:r>
                <w:rPr>
                  <w:rFonts w:ascii="Cambria Math" w:hAnsi="Cambria Math"/>
                </w:rPr>
                <m:t>I</m:t>
              </m:r>
            </m:e>
            <m:sub>
              <m:r>
                <w:rPr>
                  <w:rFonts w:ascii="Cambria Math" w:hAnsi="Cambria Math"/>
                </w:rPr>
                <m:t>t</m:t>
              </m:r>
            </m:sub>
          </m:sSub>
          <m:r>
            <w:rPr>
              <w:rFonts w:ascii="Cambria Math" w:hAnsi="Cambria Math"/>
            </w:rPr>
            <m:t>=</m:t>
          </m:r>
          <m:f>
            <m:fPr>
              <m:ctrlPr>
                <w:rPr>
                  <w:rFonts w:ascii="Cambria Math" w:hAnsi="Cambria Math"/>
                  <w:i/>
                </w:rPr>
              </m:ctrlPr>
            </m:fPr>
            <m:num>
              <m:r>
                <w:rPr>
                  <w:rFonts w:ascii="Cambria Math" w:hAnsi="Cambria Math"/>
                </w:rPr>
                <m:t>∆H(60r)</m:t>
              </m:r>
            </m:num>
            <m:den>
              <m:r>
                <w:rPr>
                  <w:rFonts w:ascii="Cambria Math" w:hAnsi="Cambria Math"/>
                </w:rPr>
                <m:t>∆t(r+2</m:t>
              </m:r>
              <m:sSub>
                <m:sSubPr>
                  <m:ctrlPr>
                    <w:rPr>
                      <w:rFonts w:ascii="Cambria Math" w:hAnsi="Cambria Math"/>
                      <w:i/>
                    </w:rPr>
                  </m:ctrlPr>
                </m:sSubPr>
                <m:e>
                  <m:r>
                    <w:rPr>
                      <w:rFonts w:ascii="Cambria Math" w:hAnsi="Cambria Math"/>
                    </w:rPr>
                    <m:t>H</m:t>
                  </m:r>
                </m:e>
                <m:sub>
                  <m:r>
                    <w:rPr>
                      <w:rFonts w:ascii="Cambria Math" w:hAnsi="Cambria Math"/>
                    </w:rPr>
                    <m:t>avg</m:t>
                  </m:r>
                </m:sub>
              </m:sSub>
              <m:r>
                <w:rPr>
                  <w:rFonts w:ascii="Cambria Math" w:hAnsi="Cambria Math"/>
                </w:rPr>
                <m:t>)</m:t>
              </m:r>
            </m:den>
          </m:f>
          <m:r>
            <w:rPr>
              <w:rFonts w:ascii="Cambria Math" w:hAnsi="Cambria Math"/>
            </w:rPr>
            <m:t xml:space="preserve">= </m:t>
          </m:r>
          <m:f>
            <m:fPr>
              <m:ctrlPr>
                <w:rPr>
                  <w:rFonts w:ascii="Cambria Math" w:hAnsi="Cambria Math"/>
                  <w:i/>
                </w:rPr>
              </m:ctrlPr>
            </m:fPr>
            <m:num>
              <m:r>
                <w:rPr>
                  <w:rFonts w:ascii="Cambria Math" w:hAnsi="Cambria Math"/>
                </w:rPr>
                <m:t>(1.5 in)(</m:t>
              </m:r>
              <m:f>
                <m:fPr>
                  <m:ctrlPr>
                    <w:rPr>
                      <w:rFonts w:ascii="Cambria Math" w:hAnsi="Cambria Math"/>
                      <w:i/>
                    </w:rPr>
                  </m:ctrlPr>
                </m:fPr>
                <m:num>
                  <m:r>
                    <w:rPr>
                      <w:rFonts w:ascii="Cambria Math" w:hAnsi="Cambria Math"/>
                    </w:rPr>
                    <m:t>60 min</m:t>
                  </m:r>
                </m:num>
                <m:den>
                  <m:r>
                    <w:rPr>
                      <w:rFonts w:ascii="Cambria Math" w:hAnsi="Cambria Math"/>
                    </w:rPr>
                    <m:t>hr</m:t>
                  </m:r>
                </m:den>
              </m:f>
              <m:r>
                <w:rPr>
                  <w:rFonts w:ascii="Cambria Math" w:hAnsi="Cambria Math"/>
                </w:rPr>
                <m:t>)(4 in)</m:t>
              </m:r>
            </m:num>
            <m:den>
              <m:r>
                <w:rPr>
                  <w:rFonts w:ascii="Cambria Math" w:hAnsi="Cambria Math"/>
                </w:rPr>
                <m:t xml:space="preserve">(10 </m:t>
              </m:r>
              <m:r>
                <m:rPr>
                  <m:sty m:val="p"/>
                </m:rPr>
                <w:rPr>
                  <w:rFonts w:ascii="Cambria Math" w:hAnsi="Cambria Math"/>
                </w:rPr>
                <m:t>min⁡</m:t>
              </m:r>
              <m:r>
                <w:rPr>
                  <w:rFonts w:ascii="Cambria Math" w:hAnsi="Cambria Math"/>
                </w:rPr>
                <m:t>)(</m:t>
              </m:r>
              <m:d>
                <m:dPr>
                  <m:ctrlPr>
                    <w:rPr>
                      <w:rFonts w:ascii="Cambria Math" w:hAnsi="Cambria Math"/>
                      <w:i/>
                    </w:rPr>
                  </m:ctrlPr>
                </m:dPr>
                <m:e>
                  <m:r>
                    <w:rPr>
                      <w:rFonts w:ascii="Cambria Math" w:hAnsi="Cambria Math"/>
                    </w:rPr>
                    <m:t>4 in</m:t>
                  </m:r>
                </m:e>
              </m:d>
              <m:r>
                <w:rPr>
                  <w:rFonts w:ascii="Cambria Math" w:hAnsi="Cambria Math"/>
                </w:rPr>
                <m:t>+2</m:t>
              </m:r>
              <m:d>
                <m:dPr>
                  <m:ctrlPr>
                    <w:rPr>
                      <w:rFonts w:ascii="Cambria Math" w:hAnsi="Cambria Math"/>
                      <w:i/>
                    </w:rPr>
                  </m:ctrlPr>
                </m:dPr>
                <m:e>
                  <m:r>
                    <w:rPr>
                      <w:rFonts w:ascii="Cambria Math" w:hAnsi="Cambria Math"/>
                    </w:rPr>
                    <m:t>47 in</m:t>
                  </m:r>
                </m:e>
              </m:d>
              <m:r>
                <w:rPr>
                  <w:rFonts w:ascii="Cambria Math" w:hAnsi="Cambria Math"/>
                </w:rPr>
                <m:t>)</m:t>
              </m:r>
            </m:den>
          </m:f>
          <m:r>
            <w:rPr>
              <w:rFonts w:ascii="Cambria Math" w:hAnsi="Cambria Math"/>
            </w:rPr>
            <m:t>=0.37 in/hr</m:t>
          </m:r>
        </m:oMath>
      </m:oMathPara>
    </w:p>
    <w:p w:rsidR="00FE3A73" w:rsidRDefault="00E63488" w:rsidP="00A52883">
      <w:pPr>
        <w:pStyle w:val="Heading2"/>
      </w:pPr>
      <w:bookmarkStart w:id="471" w:name="_Ref261944895"/>
      <w:bookmarkStart w:id="472" w:name="_Toc285308160"/>
      <w:bookmarkStart w:id="473" w:name="_Toc285315744"/>
      <w:bookmarkStart w:id="474" w:name="_Toc285492463"/>
      <w:bookmarkStart w:id="475" w:name="_Toc288541083"/>
      <w:bookmarkStart w:id="476" w:name="_Toc293937140"/>
      <w:r w:rsidRPr="00DA0C1C">
        <w:t>Considerations</w:t>
      </w:r>
      <w:r>
        <w:t xml:space="preserve"> for Infiltration Rate Factor of Safety</w:t>
      </w:r>
      <w:bookmarkEnd w:id="471"/>
      <w:bookmarkEnd w:id="472"/>
      <w:bookmarkEnd w:id="473"/>
      <w:bookmarkEnd w:id="474"/>
      <w:bookmarkEnd w:id="475"/>
      <w:bookmarkEnd w:id="476"/>
    </w:p>
    <w:p w:rsidR="00E63488" w:rsidRDefault="00C821E2" w:rsidP="00E63488">
      <w:r w:rsidRPr="00F307D6">
        <w:t xml:space="preserve">Given the known potential for infiltration BMPs to fail over time, </w:t>
      </w:r>
      <w:r>
        <w:t>an appropriate factor of safety applied to infiltration testing results</w:t>
      </w:r>
      <w:r w:rsidRPr="00F307D6">
        <w:t xml:space="preserve"> must be mandatory</w:t>
      </w:r>
      <w:r>
        <w:t xml:space="preserve">. </w:t>
      </w:r>
      <w:r w:rsidR="00E63488">
        <w:t xml:space="preserve">The infiltration rate will decline between maintenance cycles as the BMP surface becomes occluded and particulates accumulate in the infiltrative layer. </w:t>
      </w:r>
      <w:r w:rsidR="00E63488" w:rsidRPr="0091428A">
        <w:t>Monitoring of actual facility performance has shown that the full-scale infiltration rate is far lower than the rate measured by small-scale testing.</w:t>
      </w:r>
      <w:r w:rsidR="00E63488">
        <w:t xml:space="preserve"> </w:t>
      </w:r>
      <w:r w:rsidR="00E63488" w:rsidRPr="0091428A">
        <w:t xml:space="preserve">It is important that adequate conservatism is incorporated in the selection of design </w:t>
      </w:r>
      <w:r w:rsidR="00E63488">
        <w:t>infiltration</w:t>
      </w:r>
      <w:r w:rsidR="00E63488" w:rsidRPr="0091428A">
        <w:t xml:space="preserve"> rates. </w:t>
      </w:r>
      <w:r w:rsidR="00E63488">
        <w:t>T</w:t>
      </w:r>
      <w:r w:rsidR="00E63488" w:rsidRPr="0091428A">
        <w:t xml:space="preserve">he design </w:t>
      </w:r>
      <w:r w:rsidR="00E63488">
        <w:t>infiltration</w:t>
      </w:r>
      <w:r w:rsidR="00E63488" w:rsidRPr="0091428A">
        <w:t xml:space="preserve"> rate discussed here is the </w:t>
      </w:r>
      <w:r w:rsidR="00E63488">
        <w:t>infiltration</w:t>
      </w:r>
      <w:r w:rsidR="00E63488" w:rsidRPr="0091428A">
        <w:t xml:space="preserve"> rate of the underlying soil</w:t>
      </w:r>
      <w:r w:rsidR="00E63488">
        <w:t xml:space="preserve">, below the elevation to which soil amendments would not be provided. </w:t>
      </w:r>
    </w:p>
    <w:p w:rsidR="00E63488" w:rsidRDefault="00E63488" w:rsidP="00E63488">
      <w:r>
        <w:t>The factor of safety that should be applied to measured infiltration rates is a function of:</w:t>
      </w:r>
    </w:p>
    <w:p w:rsidR="00E63488" w:rsidRDefault="00E63488" w:rsidP="00430D51">
      <w:pPr>
        <w:pStyle w:val="ListBullet"/>
      </w:pPr>
      <w:r>
        <w:t>Suitability of underlying soils for infiltration</w:t>
      </w:r>
    </w:p>
    <w:p w:rsidR="00E63488" w:rsidRDefault="00E63488" w:rsidP="00430D51">
      <w:pPr>
        <w:pStyle w:val="ListBullet"/>
      </w:pPr>
      <w:r>
        <w:t>The infiltration system design.</w:t>
      </w:r>
    </w:p>
    <w:p w:rsidR="00E63488" w:rsidRDefault="00E63488" w:rsidP="00E63488">
      <w:r>
        <w:t>These factors are discussed in the following sections.</w:t>
      </w:r>
    </w:p>
    <w:p w:rsidR="006376C6" w:rsidRDefault="006376C6" w:rsidP="00E63488">
      <w:r>
        <w:t xml:space="preserve">The </w:t>
      </w:r>
      <w:r w:rsidRPr="00F30235">
        <w:rPr>
          <w:i/>
        </w:rPr>
        <w:t>measured infiltration rate</w:t>
      </w:r>
      <w:r>
        <w:t xml:space="preserve"> calculated for the purpose of infiltration infeasibility screening (</w:t>
      </w:r>
      <w:r w:rsidRPr="00A214BC">
        <w:rPr>
          <w:b/>
          <w:color w:val="00B050"/>
        </w:rPr>
        <w:t>TGD Section 2.4</w:t>
      </w:r>
      <w:r>
        <w:rPr>
          <w:color w:val="00B050"/>
        </w:rPr>
        <w:t>)</w:t>
      </w:r>
      <w:r>
        <w:t xml:space="preserve"> shall be based on a factor of safety of 2.0 applied to the rates obtained from the infiltration test results.  No adjustments from this value are permitted. The factor of safety used to compute the </w:t>
      </w:r>
      <w:r w:rsidRPr="00F30235">
        <w:rPr>
          <w:i/>
        </w:rPr>
        <w:t>design infiltration rate</w:t>
      </w:r>
      <w:r>
        <w:t xml:space="preserve"> shall not be less than 2.0, but may be higher at the discretion of the design engineer and acceptance of the plan reviewer</w:t>
      </w:r>
      <w:r>
        <w:rPr>
          <w:i/>
        </w:rPr>
        <w:t>,</w:t>
      </w:r>
      <w:r>
        <w:t xml:space="preserve"> per the considerations described in the following </w:t>
      </w:r>
      <w:r w:rsidR="0085094C">
        <w:t>s</w:t>
      </w:r>
      <w:r>
        <w:t>ections.</w:t>
      </w:r>
      <w:r w:rsidR="0085094C">
        <w:t xml:space="preserve">  </w:t>
      </w:r>
    </w:p>
    <w:p w:rsidR="0085094C" w:rsidRDefault="00F76858" w:rsidP="0085094C">
      <w:pPr>
        <w:pStyle w:val="CDMBTEXT"/>
        <w:rPr>
          <w:rFonts w:ascii="Times New Roman" w:hAnsi="Times New Roman"/>
          <w:sz w:val="24"/>
          <w:szCs w:val="24"/>
        </w:rPr>
      </w:pPr>
      <w:r>
        <w:rPr>
          <w:rFonts w:ascii="Times New Roman" w:hAnsi="Times New Roman"/>
          <w:sz w:val="24"/>
          <w:szCs w:val="24"/>
        </w:rPr>
        <w:t>It is recognized that there</w:t>
      </w:r>
      <w:r w:rsidR="0085094C">
        <w:rPr>
          <w:rFonts w:ascii="Times New Roman" w:hAnsi="Times New Roman"/>
          <w:sz w:val="24"/>
          <w:szCs w:val="24"/>
        </w:rPr>
        <w:t xml:space="preserve"> are competing objectives in the selection of a factor of safety. There is an </w:t>
      </w:r>
      <w:r>
        <w:rPr>
          <w:rFonts w:ascii="Times New Roman" w:hAnsi="Times New Roman"/>
          <w:sz w:val="24"/>
          <w:szCs w:val="24"/>
        </w:rPr>
        <w:t xml:space="preserve">initial </w:t>
      </w:r>
      <w:r w:rsidR="0085094C">
        <w:rPr>
          <w:rFonts w:ascii="Times New Roman" w:hAnsi="Times New Roman"/>
          <w:sz w:val="24"/>
          <w:szCs w:val="24"/>
        </w:rPr>
        <w:t>economic incentive to select a low</w:t>
      </w:r>
      <w:r w:rsidR="001C281A">
        <w:rPr>
          <w:rFonts w:ascii="Times New Roman" w:hAnsi="Times New Roman"/>
          <w:sz w:val="24"/>
          <w:szCs w:val="24"/>
        </w:rPr>
        <w:t>er</w:t>
      </w:r>
      <w:r w:rsidR="0085094C">
        <w:rPr>
          <w:rFonts w:ascii="Times New Roman" w:hAnsi="Times New Roman"/>
          <w:sz w:val="24"/>
          <w:szCs w:val="24"/>
        </w:rPr>
        <w:t xml:space="preserve"> factor of safety to yield smaller BMP designs. A low factor of safety also allows a broader range of systems to be considered “feasible” in marginal conditions. However, there are both economic and environmental incentives for the use of an appropriate factor of safety to prevent premature failure</w:t>
      </w:r>
      <w:r>
        <w:rPr>
          <w:rFonts w:ascii="Times New Roman" w:hAnsi="Times New Roman"/>
          <w:sz w:val="24"/>
          <w:szCs w:val="24"/>
        </w:rPr>
        <w:t xml:space="preserve"> and </w:t>
      </w:r>
      <w:r w:rsidR="0085094C">
        <w:rPr>
          <w:rFonts w:ascii="Times New Roman" w:hAnsi="Times New Roman"/>
          <w:sz w:val="24"/>
          <w:szCs w:val="24"/>
        </w:rPr>
        <w:t>substandard performance. The use of an artificially low factor of safety to demonstrate feasibility in the design process is shortsighted in that it does not consider the long term feasibility of the system.</w:t>
      </w:r>
    </w:p>
    <w:p w:rsidR="0014047B" w:rsidRDefault="0085094C" w:rsidP="009E7FDA">
      <w:r>
        <w:t>The best way to balance these competing factors is through a commitment to thorough site investigation, use of effective pretreatment controls, good construction practices, the commitment to restore the infiltration rates of soils that are damaged by prior uses or construction practices</w:t>
      </w:r>
      <w:r w:rsidR="00EA1EA6">
        <w:t>, and the commitment to effective maintenance practices</w:t>
      </w:r>
      <w:r w:rsidR="00F76858">
        <w:t>. However, these commitments do</w:t>
      </w:r>
      <w:r>
        <w:t xml:space="preserve"> not mitigate the need to apply a factor of safety to account for uncertainty and long term deterioration that cannot be technically mitigated.</w:t>
      </w:r>
      <w:r w:rsidR="00EA1EA6">
        <w:t xml:space="preserve"> Therefore, a</w:t>
      </w:r>
      <w:r w:rsidR="00C821E2">
        <w:t xml:space="preserve"> factor of safety of no less than 2.0 shall be used to compute the design infiltration rate</w:t>
      </w:r>
      <w:r w:rsidR="00EA1EA6">
        <w:t xml:space="preserve">. </w:t>
      </w:r>
    </w:p>
    <w:p w:rsidR="00FE3A73" w:rsidRDefault="00E63488" w:rsidP="00A52883">
      <w:pPr>
        <w:pStyle w:val="Heading3"/>
      </w:pPr>
      <w:r>
        <w:t>Site Suitability Considerations</w:t>
      </w:r>
    </w:p>
    <w:p w:rsidR="00E63488" w:rsidRPr="007368E8" w:rsidRDefault="00E63488" w:rsidP="00E63488">
      <w:r>
        <w:t xml:space="preserve">Suitability assessment related considerations </w:t>
      </w:r>
      <w:r w:rsidRPr="001D770A">
        <w:t>include (</w:t>
      </w:r>
      <w:fldSimple w:instr=" REF _Ref255765379 \h  \* MERGEFORMAT ">
        <w:r w:rsidR="00126DE5" w:rsidRPr="00126DE5">
          <w:rPr>
            <w:rFonts w:cs="Arial"/>
            <w:b/>
            <w:color w:val="0070C0"/>
            <w:sz w:val="20"/>
            <w:szCs w:val="20"/>
          </w:rPr>
          <w:t xml:space="preserve">Table </w:t>
        </w:r>
        <w:r w:rsidR="00126DE5" w:rsidRPr="00126DE5">
          <w:rPr>
            <w:rFonts w:cs="Arial"/>
            <w:b/>
            <w:noProof/>
            <w:color w:val="0070C0"/>
            <w:sz w:val="20"/>
            <w:szCs w:val="20"/>
          </w:rPr>
          <w:t>VII</w:t>
        </w:r>
        <w:r w:rsidR="00126DE5" w:rsidRPr="00126DE5">
          <w:rPr>
            <w:rFonts w:cs="Arial"/>
            <w:b/>
            <w:color w:val="0070C0"/>
            <w:sz w:val="20"/>
            <w:szCs w:val="20"/>
          </w:rPr>
          <w:t>.3</w:t>
        </w:r>
      </w:fldSimple>
      <w:r>
        <w:t>):</w:t>
      </w:r>
    </w:p>
    <w:p w:rsidR="00FE3A73" w:rsidRDefault="00E63488" w:rsidP="00A52883">
      <w:pPr>
        <w:pStyle w:val="ListBullet"/>
      </w:pPr>
      <w:r w:rsidRPr="006B20D7">
        <w:t xml:space="preserve">Soil assessment methods – the site assessment extent (e.g., number of borings, test pits, etc.) and the measurement method used to estimate the short-term infiltration rate. </w:t>
      </w:r>
    </w:p>
    <w:p w:rsidR="00FE3A73" w:rsidRDefault="00E63488" w:rsidP="00A52883">
      <w:pPr>
        <w:pStyle w:val="ListBullet"/>
      </w:pPr>
      <w:r w:rsidRPr="006B20D7">
        <w:t>Predominant soil texture/percent fines – soil texture and the percent of fines can greatly influence the potential for clogging.</w:t>
      </w:r>
      <w:r>
        <w:t xml:space="preserve"> </w:t>
      </w:r>
    </w:p>
    <w:p w:rsidR="00FE3A73" w:rsidRDefault="00E63488" w:rsidP="00A52883">
      <w:pPr>
        <w:pStyle w:val="ListBullet"/>
      </w:pPr>
      <w:r w:rsidRPr="006B20D7">
        <w:t>Site soil variability – site with spatially heterogeneous soils (vertically or horizontally) as determined from site investigations are more difficult to estimate average properties for resulting in a higher level of uncertainty associated with initial estimates.</w:t>
      </w:r>
      <w:r>
        <w:t xml:space="preserve"> </w:t>
      </w:r>
    </w:p>
    <w:p w:rsidR="00FE3A73" w:rsidRDefault="00E63488" w:rsidP="00A52883">
      <w:pPr>
        <w:pStyle w:val="ListBullet"/>
      </w:pPr>
      <w:r w:rsidRPr="006B20D7">
        <w:t xml:space="preserve">Depth to seasonal high groundwater/impervious layer – groundwater mounding may become an issue during excessively wet conditions where shallow aquifers or shallow clay lenses are present. </w:t>
      </w:r>
    </w:p>
    <w:tbl>
      <w:tblPr>
        <w:tblW w:w="931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790"/>
        <w:gridCol w:w="2022"/>
        <w:gridCol w:w="2022"/>
        <w:gridCol w:w="2485"/>
      </w:tblGrid>
      <w:tr w:rsidR="00E63488" w:rsidRPr="00197E7D" w:rsidTr="00430D51">
        <w:trPr>
          <w:trHeight w:val="620"/>
        </w:trPr>
        <w:tc>
          <w:tcPr>
            <w:tcW w:w="9319" w:type="dxa"/>
            <w:gridSpan w:val="4"/>
            <w:tcBorders>
              <w:top w:val="nil"/>
              <w:left w:val="nil"/>
              <w:bottom w:val="single" w:sz="4" w:space="0" w:color="auto"/>
              <w:right w:val="nil"/>
            </w:tcBorders>
            <w:shd w:val="clear" w:color="auto" w:fill="auto"/>
            <w:vAlign w:val="center"/>
          </w:tcPr>
          <w:p w:rsidR="00E63488" w:rsidRPr="00524D76" w:rsidRDefault="00E63488" w:rsidP="00647B99">
            <w:pPr>
              <w:pStyle w:val="Caption"/>
            </w:pPr>
            <w:bookmarkStart w:id="477" w:name="_Ref255765379"/>
            <w:bookmarkStart w:id="478" w:name="_Ref255765280"/>
            <w:bookmarkStart w:id="479" w:name="_Toc260859941"/>
            <w:bookmarkStart w:id="480" w:name="_Toc288554381"/>
            <w:r w:rsidRPr="00524D76">
              <w:t xml:space="preserve">Table </w:t>
            </w:r>
            <w:r w:rsidR="00126F3D" w:rsidRPr="00524D76">
              <w:rPr>
                <w:rFonts w:cs="Arial"/>
              </w:rPr>
              <w:fldChar w:fldCharType="begin"/>
            </w:r>
            <w:r w:rsidR="00F83E79" w:rsidRPr="00524D76">
              <w:rPr>
                <w:rFonts w:cs="Arial"/>
              </w:rPr>
              <w:instrText xml:space="preserve"> STYLEREF 1 \s </w:instrText>
            </w:r>
            <w:r w:rsidR="00126F3D" w:rsidRPr="00524D76">
              <w:rPr>
                <w:rFonts w:cs="Arial"/>
              </w:rPr>
              <w:fldChar w:fldCharType="separate"/>
            </w:r>
            <w:r w:rsidR="00126DE5" w:rsidRPr="00524D76">
              <w:rPr>
                <w:rFonts w:cs="Arial"/>
                <w:noProof/>
              </w:rPr>
              <w:t>VII</w:t>
            </w:r>
            <w:r w:rsidR="00126F3D" w:rsidRPr="00524D76">
              <w:rPr>
                <w:rFonts w:cs="Arial"/>
              </w:rPr>
              <w:fldChar w:fldCharType="end"/>
            </w:r>
            <w:r w:rsidR="000B5480" w:rsidRPr="00524D76">
              <w:t>.</w:t>
            </w:r>
            <w:r w:rsidR="00126F3D" w:rsidRPr="00524D76">
              <w:rPr>
                <w:rFonts w:cs="Arial"/>
              </w:rPr>
              <w:fldChar w:fldCharType="begin"/>
            </w:r>
            <w:r w:rsidR="00F83E79" w:rsidRPr="00524D76">
              <w:rPr>
                <w:rFonts w:cs="Arial"/>
              </w:rPr>
              <w:instrText xml:space="preserve"> SEQ Table \* ARABIC \s 1 </w:instrText>
            </w:r>
            <w:r w:rsidR="00126F3D" w:rsidRPr="00524D76">
              <w:rPr>
                <w:rFonts w:cs="Arial"/>
              </w:rPr>
              <w:fldChar w:fldCharType="separate"/>
            </w:r>
            <w:r w:rsidR="00126DE5" w:rsidRPr="00524D76">
              <w:rPr>
                <w:rFonts w:cs="Arial"/>
                <w:noProof/>
              </w:rPr>
              <w:t>3</w:t>
            </w:r>
            <w:r w:rsidR="00126F3D" w:rsidRPr="00524D76">
              <w:rPr>
                <w:rFonts w:cs="Arial"/>
              </w:rPr>
              <w:fldChar w:fldCharType="end"/>
            </w:r>
            <w:bookmarkEnd w:id="477"/>
            <w:r w:rsidRPr="00524D76">
              <w:t>: Suitability Assessment Related Considerations for Infiltration Facility Safety Factors</w:t>
            </w:r>
            <w:bookmarkEnd w:id="478"/>
            <w:bookmarkEnd w:id="479"/>
            <w:bookmarkEnd w:id="480"/>
          </w:p>
        </w:tc>
      </w:tr>
      <w:tr w:rsidR="00E63488" w:rsidRPr="00DA0C1C" w:rsidTr="00430D51">
        <w:tc>
          <w:tcPr>
            <w:tcW w:w="2790" w:type="dxa"/>
            <w:tcBorders>
              <w:top w:val="single" w:sz="4" w:space="0" w:color="auto"/>
              <w:bottom w:val="single" w:sz="12" w:space="0" w:color="auto"/>
            </w:tcBorders>
            <w:shd w:val="clear" w:color="auto" w:fill="D9D9D9" w:themeFill="background1" w:themeFillShade="D9"/>
            <w:vAlign w:val="center"/>
          </w:tcPr>
          <w:p w:rsidR="00E63488" w:rsidRPr="00244B6E" w:rsidRDefault="00E63488" w:rsidP="00254A9D">
            <w:pPr>
              <w:pStyle w:val="TableFont"/>
              <w:keepNext/>
              <w:jc w:val="center"/>
              <w:rPr>
                <w:b/>
              </w:rPr>
            </w:pPr>
            <w:r w:rsidRPr="00244B6E">
              <w:rPr>
                <w:b/>
              </w:rPr>
              <w:t>Consideration</w:t>
            </w:r>
          </w:p>
        </w:tc>
        <w:tc>
          <w:tcPr>
            <w:tcW w:w="2022" w:type="dxa"/>
            <w:tcBorders>
              <w:top w:val="single" w:sz="4" w:space="0" w:color="auto"/>
              <w:bottom w:val="single" w:sz="12" w:space="0" w:color="auto"/>
            </w:tcBorders>
            <w:shd w:val="clear" w:color="auto" w:fill="D9D9D9" w:themeFill="background1" w:themeFillShade="D9"/>
            <w:vAlign w:val="center"/>
          </w:tcPr>
          <w:p w:rsidR="00E63488" w:rsidRPr="00244B6E" w:rsidRDefault="00E63488" w:rsidP="00254A9D">
            <w:pPr>
              <w:pStyle w:val="TableFont"/>
              <w:keepNext/>
              <w:jc w:val="center"/>
              <w:rPr>
                <w:b/>
              </w:rPr>
            </w:pPr>
            <w:r w:rsidRPr="00244B6E">
              <w:rPr>
                <w:b/>
              </w:rPr>
              <w:t>High Concern</w:t>
            </w:r>
          </w:p>
        </w:tc>
        <w:tc>
          <w:tcPr>
            <w:tcW w:w="2022" w:type="dxa"/>
            <w:tcBorders>
              <w:top w:val="single" w:sz="4" w:space="0" w:color="auto"/>
              <w:bottom w:val="single" w:sz="12" w:space="0" w:color="auto"/>
            </w:tcBorders>
            <w:shd w:val="clear" w:color="auto" w:fill="D9D9D9" w:themeFill="background1" w:themeFillShade="D9"/>
            <w:vAlign w:val="center"/>
          </w:tcPr>
          <w:p w:rsidR="00E63488" w:rsidRPr="00244B6E" w:rsidRDefault="00E63488" w:rsidP="00254A9D">
            <w:pPr>
              <w:pStyle w:val="TableFont"/>
              <w:keepNext/>
              <w:jc w:val="center"/>
              <w:rPr>
                <w:b/>
              </w:rPr>
            </w:pPr>
            <w:r w:rsidRPr="00244B6E">
              <w:rPr>
                <w:b/>
              </w:rPr>
              <w:t>Medium Concern</w:t>
            </w:r>
          </w:p>
        </w:tc>
        <w:tc>
          <w:tcPr>
            <w:tcW w:w="2485" w:type="dxa"/>
            <w:tcBorders>
              <w:top w:val="single" w:sz="4" w:space="0" w:color="auto"/>
              <w:bottom w:val="single" w:sz="12" w:space="0" w:color="auto"/>
            </w:tcBorders>
            <w:shd w:val="clear" w:color="auto" w:fill="D9D9D9" w:themeFill="background1" w:themeFillShade="D9"/>
            <w:vAlign w:val="center"/>
          </w:tcPr>
          <w:p w:rsidR="00E63488" w:rsidRPr="00244B6E" w:rsidRDefault="00E63488" w:rsidP="00254A9D">
            <w:pPr>
              <w:pStyle w:val="TableFont"/>
              <w:keepNext/>
              <w:jc w:val="center"/>
              <w:rPr>
                <w:b/>
              </w:rPr>
            </w:pPr>
            <w:r w:rsidRPr="00244B6E">
              <w:rPr>
                <w:b/>
              </w:rPr>
              <w:t>Low Concern</w:t>
            </w:r>
          </w:p>
        </w:tc>
      </w:tr>
      <w:tr w:rsidR="00E63488" w:rsidRPr="00DA0C1C" w:rsidTr="00430D51">
        <w:trPr>
          <w:trHeight w:val="2796"/>
        </w:trPr>
        <w:tc>
          <w:tcPr>
            <w:tcW w:w="2790" w:type="dxa"/>
            <w:tcBorders>
              <w:top w:val="single" w:sz="12" w:space="0" w:color="auto"/>
            </w:tcBorders>
            <w:vAlign w:val="center"/>
          </w:tcPr>
          <w:p w:rsidR="00E63488" w:rsidRDefault="00E63488" w:rsidP="00254A9D">
            <w:pPr>
              <w:pStyle w:val="TableFont"/>
              <w:keepNext/>
            </w:pPr>
            <w:r w:rsidRPr="00197E7D">
              <w:t>Assessment methods</w:t>
            </w:r>
          </w:p>
          <w:p w:rsidR="00E63488" w:rsidRPr="00197E7D" w:rsidRDefault="00E63488" w:rsidP="00254A9D">
            <w:pPr>
              <w:pStyle w:val="TableFont"/>
              <w:keepNext/>
            </w:pPr>
            <w:r>
              <w:t>(see explanation below)</w:t>
            </w:r>
          </w:p>
        </w:tc>
        <w:tc>
          <w:tcPr>
            <w:tcW w:w="2022" w:type="dxa"/>
            <w:tcBorders>
              <w:top w:val="single" w:sz="12" w:space="0" w:color="auto"/>
            </w:tcBorders>
            <w:vAlign w:val="center"/>
          </w:tcPr>
          <w:p w:rsidR="00E63488" w:rsidRPr="00197E7D" w:rsidRDefault="00E63488" w:rsidP="00254A9D">
            <w:pPr>
              <w:pStyle w:val="TableFont"/>
              <w:keepNext/>
            </w:pPr>
            <w:r w:rsidRPr="00197E7D">
              <w:t>Use of soil survey maps or simple texture analysis to estimate short-term infiltration rates</w:t>
            </w:r>
          </w:p>
        </w:tc>
        <w:tc>
          <w:tcPr>
            <w:tcW w:w="2022" w:type="dxa"/>
            <w:tcBorders>
              <w:top w:val="single" w:sz="12" w:space="0" w:color="auto"/>
            </w:tcBorders>
            <w:vAlign w:val="center"/>
          </w:tcPr>
          <w:p w:rsidR="00E63488" w:rsidRPr="00197E7D" w:rsidRDefault="00E63488" w:rsidP="00254A9D">
            <w:pPr>
              <w:pStyle w:val="TableFont"/>
              <w:keepNext/>
            </w:pPr>
            <w:r w:rsidRPr="004B2FD7">
              <w:t>Direct measurement of</w:t>
            </w:r>
            <w:r>
              <w:t xml:space="preserve"> </w:t>
            </w:r>
            <w:r w:rsidRPr="004B2FD7">
              <w:t>≥ 20 percent of infiltration area with localized infiltration measurement methods</w:t>
            </w:r>
            <w:r>
              <w:t xml:space="preserve"> (e.g., infiltrometer)</w:t>
            </w:r>
          </w:p>
        </w:tc>
        <w:tc>
          <w:tcPr>
            <w:tcW w:w="2485" w:type="dxa"/>
            <w:tcBorders>
              <w:top w:val="single" w:sz="12" w:space="0" w:color="auto"/>
            </w:tcBorders>
            <w:vAlign w:val="center"/>
          </w:tcPr>
          <w:p w:rsidR="00E63488" w:rsidRDefault="00E63488" w:rsidP="00254A9D">
            <w:pPr>
              <w:pStyle w:val="TableFont"/>
              <w:keepNext/>
            </w:pPr>
            <w:r>
              <w:t xml:space="preserve">Direct measurement of ≥ 50 percent of infiltration area with localized infiltration measurement methods </w:t>
            </w:r>
          </w:p>
          <w:p w:rsidR="00E63488" w:rsidRDefault="00E63488" w:rsidP="00254A9D">
            <w:pPr>
              <w:pStyle w:val="TableFont"/>
              <w:keepNext/>
            </w:pPr>
            <w:r>
              <w:t>or</w:t>
            </w:r>
          </w:p>
          <w:p w:rsidR="00E63488" w:rsidRPr="00197E7D" w:rsidRDefault="00E63488" w:rsidP="00254A9D">
            <w:pPr>
              <w:pStyle w:val="TableFont"/>
              <w:keepNext/>
            </w:pPr>
            <w:r>
              <w:t>Use of extensive test pit infiltration measurement methods</w:t>
            </w:r>
          </w:p>
        </w:tc>
      </w:tr>
      <w:tr w:rsidR="00E63488" w:rsidRPr="00DA0C1C" w:rsidTr="00430D51">
        <w:trPr>
          <w:trHeight w:val="890"/>
        </w:trPr>
        <w:tc>
          <w:tcPr>
            <w:tcW w:w="2790" w:type="dxa"/>
            <w:vAlign w:val="center"/>
          </w:tcPr>
          <w:p w:rsidR="00E63488" w:rsidRPr="00197E7D" w:rsidRDefault="00E63488" w:rsidP="00254A9D">
            <w:pPr>
              <w:pStyle w:val="TableFont"/>
              <w:keepNext/>
            </w:pPr>
            <w:r>
              <w:t>Texture Class</w:t>
            </w:r>
          </w:p>
        </w:tc>
        <w:tc>
          <w:tcPr>
            <w:tcW w:w="2022" w:type="dxa"/>
            <w:vAlign w:val="center"/>
          </w:tcPr>
          <w:p w:rsidR="00E63488" w:rsidRPr="00197E7D" w:rsidRDefault="00E63488" w:rsidP="00254A9D">
            <w:pPr>
              <w:pStyle w:val="TableFont"/>
              <w:keepNext/>
              <w:jc w:val="center"/>
            </w:pPr>
            <w:r>
              <w:t>Silty and clayey soils with significant fines</w:t>
            </w:r>
          </w:p>
        </w:tc>
        <w:tc>
          <w:tcPr>
            <w:tcW w:w="2022" w:type="dxa"/>
            <w:vAlign w:val="center"/>
          </w:tcPr>
          <w:p w:rsidR="00E63488" w:rsidRPr="00197E7D" w:rsidRDefault="00E63488" w:rsidP="00254A9D">
            <w:pPr>
              <w:pStyle w:val="TableFont"/>
              <w:keepNext/>
              <w:jc w:val="center"/>
            </w:pPr>
            <w:r>
              <w:t>Loamy soils</w:t>
            </w:r>
          </w:p>
        </w:tc>
        <w:tc>
          <w:tcPr>
            <w:tcW w:w="2485" w:type="dxa"/>
            <w:vAlign w:val="center"/>
          </w:tcPr>
          <w:p w:rsidR="00E63488" w:rsidRPr="00197E7D" w:rsidRDefault="00E63488" w:rsidP="00254A9D">
            <w:pPr>
              <w:pStyle w:val="TableFont"/>
              <w:keepNext/>
              <w:jc w:val="center"/>
            </w:pPr>
            <w:r>
              <w:t>Granular to slightly loamy soils</w:t>
            </w:r>
          </w:p>
        </w:tc>
      </w:tr>
      <w:tr w:rsidR="00E63488" w:rsidRPr="00DA0C1C" w:rsidTr="00430D51">
        <w:tc>
          <w:tcPr>
            <w:tcW w:w="2790" w:type="dxa"/>
            <w:vAlign w:val="center"/>
          </w:tcPr>
          <w:p w:rsidR="00E63488" w:rsidRPr="00197E7D" w:rsidRDefault="00E63488" w:rsidP="00254A9D">
            <w:pPr>
              <w:pStyle w:val="TableFont"/>
              <w:keepNext/>
            </w:pPr>
            <w:r w:rsidRPr="00197E7D">
              <w:t>Site soil variability</w:t>
            </w:r>
          </w:p>
        </w:tc>
        <w:tc>
          <w:tcPr>
            <w:tcW w:w="2022" w:type="dxa"/>
            <w:vAlign w:val="center"/>
          </w:tcPr>
          <w:p w:rsidR="00E63488" w:rsidRPr="00197E7D" w:rsidRDefault="00E63488" w:rsidP="00254A9D">
            <w:pPr>
              <w:pStyle w:val="TableFont"/>
              <w:keepNext/>
            </w:pPr>
            <w:r w:rsidRPr="00197E7D">
              <w:t>Highly variable soils indicated from site assessment or limited soil borings collected during site assessment</w:t>
            </w:r>
          </w:p>
        </w:tc>
        <w:tc>
          <w:tcPr>
            <w:tcW w:w="2022" w:type="dxa"/>
            <w:vAlign w:val="center"/>
          </w:tcPr>
          <w:p w:rsidR="00E63488" w:rsidRPr="00197E7D" w:rsidRDefault="00E63488" w:rsidP="00254A9D">
            <w:pPr>
              <w:pStyle w:val="TableFont"/>
              <w:keepNext/>
            </w:pPr>
            <w:r w:rsidRPr="00197E7D">
              <w:t>Soil borings/test pits indicate moderately homogeneous soils</w:t>
            </w:r>
          </w:p>
        </w:tc>
        <w:tc>
          <w:tcPr>
            <w:tcW w:w="2485" w:type="dxa"/>
            <w:vAlign w:val="center"/>
          </w:tcPr>
          <w:p w:rsidR="00E63488" w:rsidRPr="00197E7D" w:rsidRDefault="00E63488" w:rsidP="00254A9D">
            <w:pPr>
              <w:pStyle w:val="TableFont"/>
              <w:keepNext/>
            </w:pPr>
            <w:r w:rsidRPr="00197E7D">
              <w:t>Multiple soil borings/test pits indicate relatively homogeneous soils</w:t>
            </w:r>
          </w:p>
        </w:tc>
      </w:tr>
      <w:tr w:rsidR="00E63488" w:rsidRPr="00DA0C1C" w:rsidTr="00430D51">
        <w:tc>
          <w:tcPr>
            <w:tcW w:w="2790" w:type="dxa"/>
            <w:vAlign w:val="center"/>
          </w:tcPr>
          <w:p w:rsidR="00E63488" w:rsidRPr="00197E7D" w:rsidRDefault="00E63488" w:rsidP="00254A9D">
            <w:pPr>
              <w:pStyle w:val="TableFont"/>
            </w:pPr>
            <w:r w:rsidRPr="00197E7D">
              <w:t>Depth to groundwater/ impervious layer</w:t>
            </w:r>
          </w:p>
        </w:tc>
        <w:tc>
          <w:tcPr>
            <w:tcW w:w="2022" w:type="dxa"/>
            <w:vAlign w:val="center"/>
          </w:tcPr>
          <w:p w:rsidR="00E63488" w:rsidRPr="00197E7D" w:rsidRDefault="00E63488" w:rsidP="00254A9D">
            <w:pPr>
              <w:pStyle w:val="TableFont"/>
            </w:pPr>
            <w:r w:rsidRPr="00197E7D">
              <w:t>&lt;</w:t>
            </w:r>
            <w:r>
              <w:t>5</w:t>
            </w:r>
            <w:r w:rsidRPr="00197E7D">
              <w:t xml:space="preserve"> ft below facility bottom</w:t>
            </w:r>
          </w:p>
        </w:tc>
        <w:tc>
          <w:tcPr>
            <w:tcW w:w="2022" w:type="dxa"/>
            <w:vAlign w:val="center"/>
          </w:tcPr>
          <w:p w:rsidR="00E63488" w:rsidRPr="00197E7D" w:rsidRDefault="00E63488" w:rsidP="00254A9D">
            <w:pPr>
              <w:pStyle w:val="TableFont"/>
            </w:pPr>
            <w:r>
              <w:t>5</w:t>
            </w:r>
            <w:r w:rsidRPr="00197E7D">
              <w:t>-</w:t>
            </w:r>
            <w:r>
              <w:t>10</w:t>
            </w:r>
            <w:r w:rsidRPr="00197E7D">
              <w:t xml:space="preserve"> ft below facility bottom</w:t>
            </w:r>
          </w:p>
        </w:tc>
        <w:tc>
          <w:tcPr>
            <w:tcW w:w="2485" w:type="dxa"/>
            <w:vAlign w:val="center"/>
          </w:tcPr>
          <w:p w:rsidR="00E63488" w:rsidRPr="00197E7D" w:rsidRDefault="00E63488" w:rsidP="00254A9D">
            <w:pPr>
              <w:pStyle w:val="TableFont"/>
            </w:pPr>
            <w:r w:rsidRPr="00197E7D">
              <w:t>&gt;</w:t>
            </w:r>
            <w:r>
              <w:t>10</w:t>
            </w:r>
            <w:r w:rsidRPr="00197E7D">
              <w:t xml:space="preserve"> below facility bottom</w:t>
            </w:r>
          </w:p>
        </w:tc>
      </w:tr>
    </w:tbl>
    <w:p w:rsidR="00E63488" w:rsidRPr="003B65D2" w:rsidRDefault="00E63488" w:rsidP="00E63488"/>
    <w:p w:rsidR="00E63488" w:rsidRDefault="00E63488" w:rsidP="00E63488">
      <w:r>
        <w:t>Localized infiltration testing refers to methods such as the double ring infiltrometer test (ASTM D3385-88) which measure infiltration rates over an area less than 10 sq-ft, may include lateral flow, and do not attempt to account for heterogeneity of soil. The amount of area each test represents should be estimated depending on the observed heterogeneity of the soil.</w:t>
      </w:r>
    </w:p>
    <w:p w:rsidR="009B1043" w:rsidRDefault="00E63488" w:rsidP="00E63488">
      <w:r>
        <w:t xml:space="preserve">Extensive infiltration testing refers to methods that include excavating a significant portion of the proposed infiltration area, filling the excavation with water, and monitoring drawdown. The excavation should be to the depth of the proposed infiltration surface and ideally be at least 50 to 100 square feet. </w:t>
      </w:r>
    </w:p>
    <w:p w:rsidR="00E63488" w:rsidRDefault="00E63488" w:rsidP="00E63488">
      <w:r>
        <w:t xml:space="preserve"> In all cases, testing should be conducted in the area of the proposed BMP where, based on review of available geotechnical data, soils appear least likely to support infiltration.</w:t>
      </w:r>
    </w:p>
    <w:p w:rsidR="00FE3A73" w:rsidRDefault="00E63488" w:rsidP="00A52883">
      <w:pPr>
        <w:pStyle w:val="Heading3"/>
      </w:pPr>
      <w:r w:rsidRPr="009B1043">
        <w:t>Design Related Considerations</w:t>
      </w:r>
    </w:p>
    <w:p w:rsidR="00F94DDF" w:rsidRPr="00801F81" w:rsidRDefault="00F94DDF" w:rsidP="00F94DDF">
      <w:r>
        <w:t>Design related considerations include (</w:t>
      </w:r>
      <w:fldSimple w:instr=" REF _Ref255765772 \h  \* MERGEFORMAT ">
        <w:r w:rsidR="00126DE5" w:rsidRPr="00126DE5">
          <w:rPr>
            <w:rFonts w:cs="Arial"/>
            <w:b/>
            <w:color w:val="0070C0"/>
            <w:sz w:val="20"/>
            <w:szCs w:val="20"/>
          </w:rPr>
          <w:t xml:space="preserve">Table </w:t>
        </w:r>
        <w:r w:rsidR="00126DE5" w:rsidRPr="00126DE5">
          <w:rPr>
            <w:rFonts w:cs="Arial"/>
            <w:b/>
            <w:noProof/>
            <w:color w:val="0070C0"/>
            <w:sz w:val="20"/>
            <w:szCs w:val="20"/>
          </w:rPr>
          <w:t>VII</w:t>
        </w:r>
        <w:r w:rsidR="00126DE5" w:rsidRPr="00126DE5">
          <w:rPr>
            <w:rFonts w:cs="Arial"/>
            <w:b/>
            <w:color w:val="0070C0"/>
            <w:sz w:val="20"/>
            <w:szCs w:val="20"/>
          </w:rPr>
          <w:t>.4</w:t>
        </w:r>
      </w:fldSimple>
      <w:r>
        <w:t>):</w:t>
      </w:r>
    </w:p>
    <w:p w:rsidR="00FE3A73" w:rsidRDefault="00F94DDF" w:rsidP="00A52883">
      <w:pPr>
        <w:pStyle w:val="ListBullet"/>
      </w:pPr>
      <w:r w:rsidRPr="002940D4">
        <w:t>Size of area tributary to facility – all things being equal, risk factors related to infiltration facilities increase with an increase in the tributary area served. Therefore facilities serving larger tributary areas should use more restrictive adjustment factors.</w:t>
      </w:r>
    </w:p>
    <w:p w:rsidR="00FE3A73" w:rsidRDefault="00F94DDF" w:rsidP="00A52883">
      <w:pPr>
        <w:pStyle w:val="ListBullet"/>
      </w:pPr>
      <w:r w:rsidRPr="002940D4">
        <w:t>Level of pretreatment/expected influent sediment loads – credit should be given for good pretreatment by allowing less restrictive factors to account for the reduced probability of clogging from high sediment loading. Also, facilities designed to capture runoff from relatively clean surfaces such as rooftops are likely to see low sediment loads and therefore should be allowed to apply less restrictive safety factors.</w:t>
      </w:r>
    </w:p>
    <w:p w:rsidR="00FE3A73" w:rsidRDefault="00F94DDF" w:rsidP="00A52883">
      <w:pPr>
        <w:pStyle w:val="ListBullet"/>
      </w:pPr>
      <w:r w:rsidRPr="002940D4">
        <w:t>Redundancy – facilities that consist of multiple subsystems operating in parallel such that parts of the system remains functional when other parts fail and/or bypass should be rewarded for the built-in redundancy with less restrictive correction and safety factors.</w:t>
      </w:r>
      <w:r>
        <w:t xml:space="preserve"> </w:t>
      </w:r>
      <w:r w:rsidRPr="002940D4">
        <w:t>For example, if bypass flows would be at least partially treated in another BMP, the risk of discharging untreated runoff in the event of clogging the primary facility is reduced.</w:t>
      </w:r>
      <w:r>
        <w:t xml:space="preserve"> </w:t>
      </w:r>
      <w:r w:rsidRPr="002940D4">
        <w:t>A bioretention facility that overflows to a landscaped area is another example.</w:t>
      </w:r>
    </w:p>
    <w:p w:rsidR="00FE3A73" w:rsidRDefault="00F94DDF" w:rsidP="00A52883">
      <w:pPr>
        <w:pStyle w:val="ListBullet"/>
      </w:pPr>
      <w:r w:rsidRPr="00A72027">
        <w:t>Compaction during construction – proper construction oversight is needed during construction to ensure that the bottoms of infiltration facility are not overly compacted. Facilities that do not commit to proper construction practices and oversight should have to use more restrictive correction and safety factors.</w:t>
      </w:r>
      <w:r w:rsidRPr="001452E6">
        <w:t xml:space="preserve"> </w:t>
      </w:r>
    </w:p>
    <w:tbl>
      <w:tblPr>
        <w:tblW w:w="9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070"/>
        <w:gridCol w:w="2448"/>
        <w:gridCol w:w="2610"/>
        <w:gridCol w:w="2430"/>
      </w:tblGrid>
      <w:tr w:rsidR="00F94DDF" w:rsidRPr="00197E7D" w:rsidTr="00430D51">
        <w:trPr>
          <w:cantSplit/>
          <w:trHeight w:val="350"/>
          <w:tblHeader/>
        </w:trPr>
        <w:tc>
          <w:tcPr>
            <w:tcW w:w="9558" w:type="dxa"/>
            <w:gridSpan w:val="4"/>
            <w:tcBorders>
              <w:top w:val="nil"/>
              <w:left w:val="nil"/>
              <w:bottom w:val="single" w:sz="4" w:space="0" w:color="auto"/>
              <w:right w:val="nil"/>
            </w:tcBorders>
            <w:shd w:val="clear" w:color="auto" w:fill="auto"/>
            <w:vAlign w:val="center"/>
          </w:tcPr>
          <w:p w:rsidR="00F94DDF" w:rsidRPr="00524D76" w:rsidRDefault="00F94DDF" w:rsidP="00647B99">
            <w:pPr>
              <w:pStyle w:val="Caption"/>
            </w:pPr>
            <w:bookmarkStart w:id="481" w:name="_Ref255765772"/>
            <w:bookmarkStart w:id="482" w:name="_Toc260859942"/>
            <w:bookmarkStart w:id="483" w:name="_Toc288554382"/>
            <w:r w:rsidRPr="00524D76">
              <w:t xml:space="preserve">Table </w:t>
            </w:r>
            <w:r w:rsidR="00126F3D" w:rsidRPr="00524D76">
              <w:rPr>
                <w:rFonts w:cs="Arial"/>
              </w:rPr>
              <w:fldChar w:fldCharType="begin"/>
            </w:r>
            <w:r w:rsidR="00F83E79" w:rsidRPr="00524D76">
              <w:rPr>
                <w:rFonts w:cs="Arial"/>
              </w:rPr>
              <w:instrText xml:space="preserve"> STYLEREF 1 \s </w:instrText>
            </w:r>
            <w:r w:rsidR="00126F3D" w:rsidRPr="00524D76">
              <w:rPr>
                <w:rFonts w:cs="Arial"/>
              </w:rPr>
              <w:fldChar w:fldCharType="separate"/>
            </w:r>
            <w:r w:rsidR="00126DE5" w:rsidRPr="00524D76">
              <w:rPr>
                <w:rFonts w:cs="Arial"/>
                <w:noProof/>
              </w:rPr>
              <w:t>VII</w:t>
            </w:r>
            <w:r w:rsidR="00126F3D" w:rsidRPr="00524D76">
              <w:rPr>
                <w:rFonts w:cs="Arial"/>
              </w:rPr>
              <w:fldChar w:fldCharType="end"/>
            </w:r>
            <w:r w:rsidR="000B5480" w:rsidRPr="00524D76">
              <w:t>.</w:t>
            </w:r>
            <w:r w:rsidR="00126F3D" w:rsidRPr="00524D76">
              <w:rPr>
                <w:rFonts w:cs="Arial"/>
              </w:rPr>
              <w:fldChar w:fldCharType="begin"/>
            </w:r>
            <w:r w:rsidR="00F83E79" w:rsidRPr="00524D76">
              <w:rPr>
                <w:rFonts w:cs="Arial"/>
              </w:rPr>
              <w:instrText xml:space="preserve"> SEQ Table \* ARABIC \s 1 </w:instrText>
            </w:r>
            <w:r w:rsidR="00126F3D" w:rsidRPr="00524D76">
              <w:rPr>
                <w:rFonts w:cs="Arial"/>
              </w:rPr>
              <w:fldChar w:fldCharType="separate"/>
            </w:r>
            <w:r w:rsidR="00126DE5" w:rsidRPr="00524D76">
              <w:rPr>
                <w:rFonts w:cs="Arial"/>
                <w:noProof/>
              </w:rPr>
              <w:t>4</w:t>
            </w:r>
            <w:r w:rsidR="00126F3D" w:rsidRPr="00524D76">
              <w:rPr>
                <w:rFonts w:cs="Arial"/>
              </w:rPr>
              <w:fldChar w:fldCharType="end"/>
            </w:r>
            <w:bookmarkEnd w:id="481"/>
            <w:r w:rsidRPr="00524D76">
              <w:rPr>
                <w:rFonts w:ascii="Times New Roman" w:hAnsi="Times New Roman"/>
                <w:sz w:val="24"/>
                <w:szCs w:val="24"/>
              </w:rPr>
              <w:t xml:space="preserve">: </w:t>
            </w:r>
            <w:r w:rsidRPr="00524D76">
              <w:t>Design Related Considerations for Infiltration Facility Safety Factors</w:t>
            </w:r>
            <w:bookmarkEnd w:id="482"/>
            <w:bookmarkEnd w:id="483"/>
          </w:p>
        </w:tc>
      </w:tr>
      <w:tr w:rsidR="00F94DDF" w:rsidRPr="00DA0C1C" w:rsidTr="00430D51">
        <w:trPr>
          <w:cantSplit/>
          <w:tblHeader/>
        </w:trPr>
        <w:tc>
          <w:tcPr>
            <w:tcW w:w="2070" w:type="dxa"/>
            <w:tcBorders>
              <w:top w:val="single" w:sz="4" w:space="0" w:color="auto"/>
              <w:bottom w:val="single" w:sz="12" w:space="0" w:color="auto"/>
            </w:tcBorders>
            <w:shd w:val="clear" w:color="auto" w:fill="D9D9D9" w:themeFill="background1" w:themeFillShade="D9"/>
            <w:vAlign w:val="center"/>
          </w:tcPr>
          <w:p w:rsidR="00F94DDF" w:rsidRPr="001D770A" w:rsidRDefault="00F94DDF" w:rsidP="00DF7F32">
            <w:pPr>
              <w:pStyle w:val="TableFont"/>
              <w:keepNext/>
              <w:spacing w:before="0" w:after="0"/>
              <w:rPr>
                <w:b/>
              </w:rPr>
            </w:pPr>
            <w:r w:rsidRPr="001D770A">
              <w:rPr>
                <w:b/>
              </w:rPr>
              <w:t>Consideration</w:t>
            </w:r>
          </w:p>
        </w:tc>
        <w:tc>
          <w:tcPr>
            <w:tcW w:w="2448" w:type="dxa"/>
            <w:tcBorders>
              <w:top w:val="single" w:sz="4" w:space="0" w:color="auto"/>
              <w:bottom w:val="single" w:sz="12" w:space="0" w:color="auto"/>
            </w:tcBorders>
            <w:shd w:val="clear" w:color="auto" w:fill="D9D9D9" w:themeFill="background1" w:themeFillShade="D9"/>
            <w:vAlign w:val="center"/>
          </w:tcPr>
          <w:p w:rsidR="00F94DDF" w:rsidRPr="001D770A" w:rsidRDefault="00F94DDF" w:rsidP="00DF7F32">
            <w:pPr>
              <w:pStyle w:val="TableFont"/>
              <w:keepNext/>
              <w:spacing w:before="0" w:after="0"/>
              <w:rPr>
                <w:b/>
              </w:rPr>
            </w:pPr>
            <w:r w:rsidRPr="001D770A">
              <w:rPr>
                <w:b/>
              </w:rPr>
              <w:t>High Concern</w:t>
            </w:r>
          </w:p>
        </w:tc>
        <w:tc>
          <w:tcPr>
            <w:tcW w:w="2610" w:type="dxa"/>
            <w:tcBorders>
              <w:top w:val="single" w:sz="4" w:space="0" w:color="auto"/>
              <w:bottom w:val="single" w:sz="12" w:space="0" w:color="auto"/>
            </w:tcBorders>
            <w:shd w:val="clear" w:color="auto" w:fill="D9D9D9" w:themeFill="background1" w:themeFillShade="D9"/>
            <w:vAlign w:val="center"/>
          </w:tcPr>
          <w:p w:rsidR="00F94DDF" w:rsidRPr="001D770A" w:rsidRDefault="00F94DDF" w:rsidP="00DF7F32">
            <w:pPr>
              <w:pStyle w:val="TableFont"/>
              <w:keepNext/>
              <w:spacing w:before="0" w:after="0"/>
              <w:rPr>
                <w:b/>
              </w:rPr>
            </w:pPr>
            <w:r w:rsidRPr="001D770A">
              <w:rPr>
                <w:b/>
              </w:rPr>
              <w:t>Medium Concern</w:t>
            </w:r>
          </w:p>
        </w:tc>
        <w:tc>
          <w:tcPr>
            <w:tcW w:w="2430" w:type="dxa"/>
            <w:tcBorders>
              <w:top w:val="single" w:sz="4" w:space="0" w:color="auto"/>
              <w:bottom w:val="single" w:sz="12" w:space="0" w:color="auto"/>
            </w:tcBorders>
            <w:shd w:val="clear" w:color="auto" w:fill="D9D9D9" w:themeFill="background1" w:themeFillShade="D9"/>
            <w:vAlign w:val="center"/>
          </w:tcPr>
          <w:p w:rsidR="00F94DDF" w:rsidRPr="001D770A" w:rsidRDefault="00F94DDF" w:rsidP="00DF7F32">
            <w:pPr>
              <w:pStyle w:val="TableFont"/>
              <w:keepNext/>
              <w:spacing w:before="0" w:after="0"/>
              <w:rPr>
                <w:b/>
              </w:rPr>
            </w:pPr>
            <w:r w:rsidRPr="001D770A">
              <w:rPr>
                <w:b/>
              </w:rPr>
              <w:t>Low Concern</w:t>
            </w:r>
          </w:p>
        </w:tc>
      </w:tr>
      <w:tr w:rsidR="00F94DDF" w:rsidRPr="00DA0C1C" w:rsidTr="00D25D7A">
        <w:trPr>
          <w:cantSplit/>
        </w:trPr>
        <w:tc>
          <w:tcPr>
            <w:tcW w:w="2070" w:type="dxa"/>
            <w:tcBorders>
              <w:top w:val="single" w:sz="12" w:space="0" w:color="auto"/>
            </w:tcBorders>
            <w:vAlign w:val="center"/>
          </w:tcPr>
          <w:p w:rsidR="00F94DDF" w:rsidRPr="00197E7D" w:rsidRDefault="00F94DDF" w:rsidP="00DF7F32">
            <w:pPr>
              <w:pStyle w:val="TableFont"/>
              <w:keepNext/>
              <w:spacing w:before="0" w:after="0"/>
            </w:pPr>
            <w:r w:rsidRPr="00197E7D">
              <w:t>Tributary area size</w:t>
            </w:r>
          </w:p>
        </w:tc>
        <w:tc>
          <w:tcPr>
            <w:tcW w:w="2448" w:type="dxa"/>
            <w:tcBorders>
              <w:top w:val="single" w:sz="12" w:space="0" w:color="auto"/>
            </w:tcBorders>
            <w:vAlign w:val="center"/>
          </w:tcPr>
          <w:p w:rsidR="00F94DDF" w:rsidRPr="00197E7D" w:rsidRDefault="00F94DDF" w:rsidP="00DF7F32">
            <w:pPr>
              <w:pStyle w:val="TableFont"/>
              <w:keepNext/>
              <w:spacing w:before="0" w:after="0"/>
            </w:pPr>
            <w:r w:rsidRPr="00197E7D">
              <w:t>Greater than 10 acres.</w:t>
            </w:r>
          </w:p>
        </w:tc>
        <w:tc>
          <w:tcPr>
            <w:tcW w:w="2610" w:type="dxa"/>
            <w:tcBorders>
              <w:top w:val="single" w:sz="12" w:space="0" w:color="auto"/>
            </w:tcBorders>
            <w:vAlign w:val="center"/>
          </w:tcPr>
          <w:p w:rsidR="00F94DDF" w:rsidRPr="00197E7D" w:rsidRDefault="00F94DDF" w:rsidP="00DF7F32">
            <w:pPr>
              <w:pStyle w:val="TableFont"/>
              <w:keepNext/>
              <w:spacing w:before="0" w:after="0"/>
            </w:pPr>
            <w:r w:rsidRPr="00197E7D">
              <w:t>Greater than 2 acres but less than 10 acres.</w:t>
            </w:r>
          </w:p>
        </w:tc>
        <w:tc>
          <w:tcPr>
            <w:tcW w:w="2430" w:type="dxa"/>
            <w:tcBorders>
              <w:top w:val="single" w:sz="12" w:space="0" w:color="auto"/>
            </w:tcBorders>
            <w:vAlign w:val="center"/>
          </w:tcPr>
          <w:p w:rsidR="00F94DDF" w:rsidRPr="00197E7D" w:rsidRDefault="00F94DDF" w:rsidP="00DF7F32">
            <w:pPr>
              <w:pStyle w:val="TableFont"/>
              <w:keepNext/>
              <w:spacing w:before="0" w:after="0"/>
            </w:pPr>
            <w:r w:rsidRPr="00197E7D">
              <w:t>2 acres or less.</w:t>
            </w:r>
          </w:p>
        </w:tc>
      </w:tr>
      <w:tr w:rsidR="00F94DDF" w:rsidRPr="00DA0C1C" w:rsidTr="00D25D7A">
        <w:trPr>
          <w:cantSplit/>
        </w:trPr>
        <w:tc>
          <w:tcPr>
            <w:tcW w:w="2070" w:type="dxa"/>
            <w:vAlign w:val="center"/>
          </w:tcPr>
          <w:p w:rsidR="00F94DDF" w:rsidRPr="00197E7D" w:rsidRDefault="00F94DDF" w:rsidP="00DF7F32">
            <w:pPr>
              <w:pStyle w:val="TableFont"/>
              <w:keepNext/>
              <w:spacing w:before="0" w:after="0"/>
            </w:pPr>
            <w:r w:rsidRPr="00197E7D">
              <w:t xml:space="preserve">Level of </w:t>
            </w:r>
            <w:r w:rsidR="00B43EEC">
              <w:t>pretreatment</w:t>
            </w:r>
            <w:r w:rsidRPr="00197E7D">
              <w:t>/</w:t>
            </w:r>
            <w:r>
              <w:t xml:space="preserve"> </w:t>
            </w:r>
            <w:r w:rsidRPr="00197E7D">
              <w:t>expected influent sediment loads</w:t>
            </w:r>
          </w:p>
        </w:tc>
        <w:tc>
          <w:tcPr>
            <w:tcW w:w="2448" w:type="dxa"/>
            <w:vAlign w:val="center"/>
          </w:tcPr>
          <w:p w:rsidR="00F94DDF" w:rsidRPr="00197E7D" w:rsidRDefault="00B43EEC" w:rsidP="00DF7F32">
            <w:pPr>
              <w:pStyle w:val="TableFont"/>
              <w:keepNext/>
              <w:spacing w:before="0" w:after="0"/>
            </w:pPr>
            <w:r>
              <w:t>Pretreatment</w:t>
            </w:r>
            <w:r w:rsidR="00F94DDF" w:rsidRPr="00197E7D">
              <w:t xml:space="preserve"> from gross solids removal devices only, such as hydrodynamic separators, racks and screens AND tributary area includes landscaped areas, steep slopes, high traffic areas, or any other areas expected to produce high sediment, trash, or debris loads.</w:t>
            </w:r>
          </w:p>
        </w:tc>
        <w:tc>
          <w:tcPr>
            <w:tcW w:w="2610" w:type="dxa"/>
            <w:vAlign w:val="center"/>
          </w:tcPr>
          <w:p w:rsidR="00F94DDF" w:rsidRPr="00197E7D" w:rsidRDefault="00F94DDF" w:rsidP="00DF7F32">
            <w:pPr>
              <w:pStyle w:val="TableFont"/>
              <w:keepNext/>
              <w:spacing w:before="0" w:after="0"/>
            </w:pPr>
            <w:r w:rsidRPr="00197E7D">
              <w:t xml:space="preserve">Good </w:t>
            </w:r>
            <w:r w:rsidR="00B43EEC">
              <w:t>pretreatment</w:t>
            </w:r>
            <w:r w:rsidRPr="00197E7D">
              <w:t xml:space="preserve"> with BMPs that mitigate coarse sediments such as vegetated swales AND influent sediment loads from the tributary area are expected to be relatively low (e.g., low traffic, mild slopes, disconnected impervious areas, etc.).</w:t>
            </w:r>
          </w:p>
        </w:tc>
        <w:tc>
          <w:tcPr>
            <w:tcW w:w="2430" w:type="dxa"/>
            <w:vAlign w:val="center"/>
          </w:tcPr>
          <w:p w:rsidR="00F94DDF" w:rsidRPr="00197E7D" w:rsidRDefault="00F94DDF" w:rsidP="00DF7F32">
            <w:pPr>
              <w:pStyle w:val="TableFont"/>
              <w:keepNext/>
              <w:spacing w:before="0" w:after="0"/>
            </w:pPr>
            <w:r w:rsidRPr="00197E7D">
              <w:t xml:space="preserve">Excellent </w:t>
            </w:r>
            <w:r w:rsidR="00B43EEC">
              <w:t>pretreatment</w:t>
            </w:r>
            <w:r w:rsidRPr="00197E7D">
              <w:t xml:space="preserve"> with BMPs that mitigate fine sediments such as bioretention or media filtration OR sedimentation or facility only treats runoff from relatively clean surfaces, such as rooftops.</w:t>
            </w:r>
          </w:p>
        </w:tc>
      </w:tr>
      <w:tr w:rsidR="00F94DDF" w:rsidRPr="00DA0C1C" w:rsidTr="00D25D7A">
        <w:trPr>
          <w:cantSplit/>
        </w:trPr>
        <w:tc>
          <w:tcPr>
            <w:tcW w:w="2070" w:type="dxa"/>
            <w:vAlign w:val="center"/>
          </w:tcPr>
          <w:p w:rsidR="00F94DDF" w:rsidRPr="00197E7D" w:rsidRDefault="00F94DDF" w:rsidP="00DF7F32">
            <w:pPr>
              <w:pStyle w:val="TableFont"/>
              <w:keepNext/>
              <w:spacing w:before="0" w:after="0"/>
            </w:pPr>
            <w:r w:rsidRPr="00197E7D">
              <w:t>Redundancy of treatment</w:t>
            </w:r>
          </w:p>
        </w:tc>
        <w:tc>
          <w:tcPr>
            <w:tcW w:w="2448" w:type="dxa"/>
            <w:vAlign w:val="center"/>
          </w:tcPr>
          <w:p w:rsidR="00F94DDF" w:rsidRPr="00197E7D" w:rsidRDefault="00F94DDF" w:rsidP="00DF7F32">
            <w:pPr>
              <w:pStyle w:val="TableFont"/>
              <w:keepNext/>
              <w:spacing w:before="0" w:after="0"/>
            </w:pPr>
            <w:r w:rsidRPr="00197E7D">
              <w:t>No redundancy in BMP treatment train.</w:t>
            </w:r>
          </w:p>
        </w:tc>
        <w:tc>
          <w:tcPr>
            <w:tcW w:w="2610" w:type="dxa"/>
            <w:vAlign w:val="center"/>
          </w:tcPr>
          <w:p w:rsidR="00F94DDF" w:rsidRPr="00197E7D" w:rsidRDefault="00F94DDF" w:rsidP="00DF7F32">
            <w:pPr>
              <w:pStyle w:val="TableFont"/>
              <w:keepNext/>
              <w:spacing w:before="0" w:after="0"/>
            </w:pPr>
            <w:r w:rsidRPr="00197E7D">
              <w:t>Medium redundancy, other BMPs available in treatment train to maintain at least 50% of function of facility in event of failure.</w:t>
            </w:r>
          </w:p>
        </w:tc>
        <w:tc>
          <w:tcPr>
            <w:tcW w:w="2430" w:type="dxa"/>
            <w:vAlign w:val="center"/>
          </w:tcPr>
          <w:p w:rsidR="00F94DDF" w:rsidRPr="00197E7D" w:rsidRDefault="00F94DDF" w:rsidP="00DF7F32">
            <w:pPr>
              <w:pStyle w:val="TableFont"/>
              <w:keepNext/>
              <w:spacing w:before="0" w:after="0"/>
            </w:pPr>
            <w:r w:rsidRPr="00197E7D">
              <w:t>High redundancy, multiple components capable of operating independently and in parallel, maintaining at least 90% of facility functionality in event of failure.</w:t>
            </w:r>
          </w:p>
        </w:tc>
      </w:tr>
      <w:tr w:rsidR="00F94DDF" w:rsidRPr="00DA0C1C" w:rsidTr="00D25D7A">
        <w:trPr>
          <w:cantSplit/>
        </w:trPr>
        <w:tc>
          <w:tcPr>
            <w:tcW w:w="2070" w:type="dxa"/>
            <w:vAlign w:val="center"/>
          </w:tcPr>
          <w:p w:rsidR="00F94DDF" w:rsidRPr="00197E7D" w:rsidRDefault="00F94DDF" w:rsidP="00DF7F32">
            <w:pPr>
              <w:pStyle w:val="TableFont"/>
              <w:spacing w:before="0" w:after="0"/>
            </w:pPr>
            <w:r w:rsidRPr="00197E7D">
              <w:t>Compaction during construction</w:t>
            </w:r>
          </w:p>
        </w:tc>
        <w:tc>
          <w:tcPr>
            <w:tcW w:w="2448" w:type="dxa"/>
            <w:vAlign w:val="center"/>
          </w:tcPr>
          <w:p w:rsidR="00F94DDF" w:rsidRPr="00197E7D" w:rsidRDefault="00F94DDF" w:rsidP="00DF7F32">
            <w:pPr>
              <w:pStyle w:val="TableFont"/>
              <w:spacing w:before="0" w:after="0"/>
            </w:pPr>
            <w:r w:rsidRPr="00197E7D">
              <w:t>Construction of facility on a compacted site or elevated probability of unintended/</w:t>
            </w:r>
            <w:r>
              <w:t xml:space="preserve"> </w:t>
            </w:r>
            <w:r w:rsidRPr="00197E7D">
              <w:t>indirect compaction.</w:t>
            </w:r>
          </w:p>
        </w:tc>
        <w:tc>
          <w:tcPr>
            <w:tcW w:w="2610" w:type="dxa"/>
            <w:vAlign w:val="center"/>
          </w:tcPr>
          <w:p w:rsidR="00F94DDF" w:rsidRPr="00197E7D" w:rsidRDefault="00F94DDF" w:rsidP="00DF7F32">
            <w:pPr>
              <w:pStyle w:val="TableFont"/>
              <w:spacing w:before="0" w:after="0"/>
            </w:pPr>
            <w:r w:rsidRPr="00197E7D">
              <w:t>Medium probability of unintended/</w:t>
            </w:r>
            <w:r>
              <w:t xml:space="preserve"> </w:t>
            </w:r>
            <w:r w:rsidRPr="00197E7D">
              <w:t>indirect compaction.</w:t>
            </w:r>
          </w:p>
        </w:tc>
        <w:tc>
          <w:tcPr>
            <w:tcW w:w="2430" w:type="dxa"/>
            <w:vAlign w:val="center"/>
          </w:tcPr>
          <w:p w:rsidR="00F94DDF" w:rsidRPr="00197E7D" w:rsidRDefault="00F94DDF" w:rsidP="00DF7F32">
            <w:pPr>
              <w:pStyle w:val="TableFont"/>
              <w:spacing w:before="0" w:after="0"/>
            </w:pPr>
            <w:r w:rsidRPr="00197E7D">
              <w:t>Heavy equipment actively prohibited from infiltration areas during construction and low probability of unintended/</w:t>
            </w:r>
            <w:r>
              <w:t xml:space="preserve"> </w:t>
            </w:r>
            <w:r w:rsidRPr="00197E7D">
              <w:t>indirect compaction.</w:t>
            </w:r>
          </w:p>
        </w:tc>
      </w:tr>
    </w:tbl>
    <w:p w:rsidR="00DF24E8" w:rsidRDefault="00DF24E8">
      <w:pPr>
        <w:spacing w:after="200"/>
      </w:pPr>
      <w:r>
        <w:br w:type="page"/>
      </w:r>
    </w:p>
    <w:p w:rsidR="00FE3A73" w:rsidRDefault="00F94DDF" w:rsidP="00A52883">
      <w:pPr>
        <w:pStyle w:val="Heading3"/>
      </w:pPr>
      <w:bookmarkStart w:id="484" w:name="_Ref287557805"/>
      <w:r w:rsidRPr="00F94DDF">
        <w:t>Determining Factor of Safety</w:t>
      </w:r>
      <w:bookmarkEnd w:id="484"/>
    </w:p>
    <w:p w:rsidR="00F94DDF" w:rsidRDefault="006D0057" w:rsidP="00F94DDF">
      <w:r>
        <w:t xml:space="preserve">A factor of safety </w:t>
      </w:r>
      <w:r w:rsidR="00292B62">
        <w:t>shall be used.</w:t>
      </w:r>
      <w:r>
        <w:t xml:space="preserve"> T</w:t>
      </w:r>
      <w:r w:rsidR="00292B62">
        <w:t>o assist in selecting the appropriate design infiltration rate, t</w:t>
      </w:r>
      <w:r w:rsidR="00F94DDF">
        <w:t xml:space="preserve">he measured short term infiltration rate </w:t>
      </w:r>
      <w:r>
        <w:t xml:space="preserve">should be adjusted </w:t>
      </w:r>
      <w:r w:rsidR="00F94DDF">
        <w:t xml:space="preserve">using a weighted average of several safety factors using the worksheet shown in </w:t>
      </w:r>
      <w:r w:rsidR="00126F3D" w:rsidRPr="00126DE5">
        <w:rPr>
          <w:rFonts w:cs="Arial"/>
          <w:b/>
          <w:color w:val="0070C0"/>
          <w:sz w:val="20"/>
          <w:szCs w:val="20"/>
        </w:rPr>
        <w:fldChar w:fldCharType="begin"/>
      </w:r>
      <w:r w:rsidR="00DF24E8" w:rsidRPr="00126DE5">
        <w:rPr>
          <w:rFonts w:cs="Arial"/>
          <w:b/>
          <w:color w:val="0070C0"/>
          <w:sz w:val="20"/>
          <w:szCs w:val="20"/>
        </w:rPr>
        <w:instrText xml:space="preserve"> REF _Ref285393921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b/>
          <w:color w:val="0070C0"/>
        </w:rPr>
        <w:t xml:space="preserve">Worksheet </w:t>
      </w:r>
      <w:r w:rsidR="00126DE5" w:rsidRPr="00126DE5">
        <w:rPr>
          <w:rFonts w:cs="Arial"/>
          <w:b/>
          <w:noProof/>
          <w:color w:val="0070C0"/>
        </w:rPr>
        <w:t>H</w:t>
      </w:r>
      <w:r w:rsidR="00126F3D" w:rsidRPr="00126DE5">
        <w:rPr>
          <w:rFonts w:cs="Arial"/>
          <w:b/>
          <w:color w:val="0070C0"/>
          <w:sz w:val="20"/>
          <w:szCs w:val="20"/>
        </w:rPr>
        <w:fldChar w:fldCharType="end"/>
      </w:r>
      <w:r w:rsidR="00DF24E8">
        <w:rPr>
          <w:b/>
          <w:color w:val="0070C0"/>
        </w:rPr>
        <w:t xml:space="preserve"> </w:t>
      </w:r>
      <w:r w:rsidR="00F94DDF">
        <w:t>below. The design infiltration rate would be determined as follows:</w:t>
      </w:r>
    </w:p>
    <w:p w:rsidR="00FE3A73" w:rsidRDefault="00F94DDF" w:rsidP="009531AF">
      <w:pPr>
        <w:pStyle w:val="ListNumber"/>
        <w:numPr>
          <w:ilvl w:val="0"/>
          <w:numId w:val="20"/>
        </w:numPr>
        <w:spacing w:before="120"/>
      </w:pPr>
      <w:r w:rsidRPr="002940D4">
        <w:t xml:space="preserve">For each consideration shown in </w:t>
      </w:r>
      <w:fldSimple w:instr=" REF _Ref255765379 \h  \* MERGEFORMAT ">
        <w:r w:rsidR="00126DE5" w:rsidRPr="00126DE5">
          <w:rPr>
            <w:rFonts w:cs="Arial"/>
            <w:b/>
            <w:color w:val="0070C0"/>
            <w:sz w:val="20"/>
            <w:szCs w:val="20"/>
          </w:rPr>
          <w:t xml:space="preserve">Table </w:t>
        </w:r>
        <w:r w:rsidR="00126DE5" w:rsidRPr="00126DE5">
          <w:rPr>
            <w:rFonts w:cs="Arial"/>
            <w:b/>
            <w:noProof/>
            <w:color w:val="0070C0"/>
            <w:sz w:val="20"/>
            <w:szCs w:val="20"/>
          </w:rPr>
          <w:t>VII</w:t>
        </w:r>
        <w:r w:rsidR="00126DE5" w:rsidRPr="00126DE5">
          <w:rPr>
            <w:rFonts w:cs="Arial"/>
            <w:b/>
            <w:color w:val="0070C0"/>
            <w:sz w:val="20"/>
            <w:szCs w:val="20"/>
          </w:rPr>
          <w:t>.3</w:t>
        </w:r>
      </w:fldSimple>
      <w:r w:rsidR="009A7904">
        <w:rPr>
          <w:rFonts w:ascii="Arial" w:hAnsi="Arial" w:cs="Arial"/>
          <w:b/>
          <w:color w:val="0070C0"/>
          <w:sz w:val="20"/>
          <w:szCs w:val="20"/>
        </w:rPr>
        <w:t xml:space="preserve"> </w:t>
      </w:r>
      <w:r w:rsidRPr="002940D4">
        <w:t xml:space="preserve">and </w:t>
      </w:r>
      <w:fldSimple w:instr=" REF _Ref255765772 \h  \* MERGEFORMAT ">
        <w:r w:rsidR="00126DE5" w:rsidRPr="00126DE5">
          <w:rPr>
            <w:rFonts w:cs="Arial"/>
            <w:b/>
            <w:color w:val="0070C0"/>
            <w:sz w:val="20"/>
            <w:szCs w:val="20"/>
          </w:rPr>
          <w:t xml:space="preserve">Table </w:t>
        </w:r>
        <w:r w:rsidR="00126DE5" w:rsidRPr="00126DE5">
          <w:rPr>
            <w:rFonts w:cs="Arial"/>
            <w:b/>
            <w:noProof/>
            <w:color w:val="0070C0"/>
            <w:sz w:val="20"/>
            <w:szCs w:val="20"/>
          </w:rPr>
          <w:t>VII</w:t>
        </w:r>
        <w:r w:rsidR="00126DE5" w:rsidRPr="00126DE5">
          <w:rPr>
            <w:rFonts w:cs="Arial"/>
            <w:b/>
            <w:color w:val="0070C0"/>
            <w:sz w:val="20"/>
            <w:szCs w:val="20"/>
          </w:rPr>
          <w:t>.4</w:t>
        </w:r>
      </w:fldSimple>
      <w:r w:rsidRPr="002940D4">
        <w:t xml:space="preserve"> above, determine whether the consideration is a high, medium, or low concern. </w:t>
      </w:r>
    </w:p>
    <w:p w:rsidR="00F94DDF" w:rsidRPr="002940D4" w:rsidRDefault="00F94DDF" w:rsidP="00DF24E8">
      <w:pPr>
        <w:pStyle w:val="ListNumber"/>
      </w:pPr>
      <w:r w:rsidRPr="002940D4">
        <w:t xml:space="preserve">For all high concerns, assign a factor value of 3, for medium concerns, assign a factor value of 2, and for low concerns assign a factor value of 1. </w:t>
      </w:r>
    </w:p>
    <w:p w:rsidR="00F94DDF" w:rsidRPr="002940D4" w:rsidRDefault="00F94DDF" w:rsidP="00DF24E8">
      <w:pPr>
        <w:pStyle w:val="ListNumber"/>
      </w:pPr>
      <w:r w:rsidRPr="002940D4">
        <w:t xml:space="preserve">Multiply each of the factors by the corresponding weight to get a product. </w:t>
      </w:r>
    </w:p>
    <w:p w:rsidR="00F94DDF" w:rsidRPr="002940D4" w:rsidRDefault="00F94DDF" w:rsidP="00DF24E8">
      <w:pPr>
        <w:pStyle w:val="ListNumber"/>
      </w:pPr>
      <w:r w:rsidRPr="002940D4">
        <w:t>Sum the products within each factor category to obtain a safety factor for each.</w:t>
      </w:r>
    </w:p>
    <w:p w:rsidR="00F94DDF" w:rsidRPr="002940D4" w:rsidRDefault="00F94DDF" w:rsidP="00DF24E8">
      <w:pPr>
        <w:pStyle w:val="ListNumber"/>
      </w:pPr>
      <w:r w:rsidRPr="002940D4">
        <w:t>Multiply the two safety factors together to get the final combined safety factor. If the combined safety factor is less than 2, then 2</w:t>
      </w:r>
      <w:r w:rsidR="00DB1A24">
        <w:t xml:space="preserve"> </w:t>
      </w:r>
      <w:r w:rsidR="003C39EF">
        <w:t>shall be used</w:t>
      </w:r>
      <w:r w:rsidRPr="002940D4">
        <w:t xml:space="preserve"> as the safety factor. </w:t>
      </w:r>
    </w:p>
    <w:p w:rsidR="006376C6" w:rsidRDefault="00F94DDF" w:rsidP="001D6B02">
      <w:pPr>
        <w:pStyle w:val="ListNumber"/>
      </w:pPr>
      <w:r w:rsidRPr="002940D4">
        <w:t xml:space="preserve">Divide the measured short term infiltration rate by the combined safety factor to obtain the adjusted </w:t>
      </w:r>
      <w:r>
        <w:t>design</w:t>
      </w:r>
      <w:r w:rsidRPr="002940D4">
        <w:t xml:space="preserve"> </w:t>
      </w:r>
      <w:r>
        <w:t>infiltration</w:t>
      </w:r>
      <w:r w:rsidRPr="002940D4">
        <w:t xml:space="preserve"> rate for use in sizing the infiltration facility.</w:t>
      </w:r>
    </w:p>
    <w:p w:rsidR="0014047B" w:rsidRDefault="00037711">
      <w:pPr>
        <w:pStyle w:val="CDMBTEXT"/>
        <w:rPr>
          <w:rFonts w:ascii="Times New Roman" w:hAnsi="Times New Roman"/>
          <w:sz w:val="24"/>
          <w:szCs w:val="24"/>
        </w:rPr>
      </w:pPr>
      <w:r>
        <w:rPr>
          <w:rFonts w:ascii="Times New Roman" w:hAnsi="Times New Roman"/>
          <w:sz w:val="24"/>
          <w:szCs w:val="24"/>
        </w:rPr>
        <w:t xml:space="preserve">The design infiltration rate shall be used to size BMPs and to evaluate their expected long term performance. </w:t>
      </w:r>
      <w:r w:rsidR="00292B62">
        <w:rPr>
          <w:rFonts w:ascii="Times New Roman" w:hAnsi="Times New Roman"/>
          <w:sz w:val="24"/>
          <w:szCs w:val="24"/>
        </w:rPr>
        <w:t>This rate shal</w:t>
      </w:r>
      <w:r w:rsidR="00DB1A24">
        <w:rPr>
          <w:rFonts w:ascii="Times New Roman" w:hAnsi="Times New Roman"/>
          <w:sz w:val="24"/>
          <w:szCs w:val="24"/>
        </w:rPr>
        <w:t>l not be less than 2</w:t>
      </w:r>
      <w:r w:rsidR="00292B62">
        <w:rPr>
          <w:rFonts w:ascii="Times New Roman" w:hAnsi="Times New Roman"/>
          <w:sz w:val="24"/>
          <w:szCs w:val="24"/>
        </w:rPr>
        <w:t>, but may be higher at the discretion of the design engineer.</w:t>
      </w:r>
    </w:p>
    <w:tbl>
      <w:tblPr>
        <w:tblW w:w="8955" w:type="dxa"/>
        <w:jc w:val="center"/>
        <w:tblInd w:w="-5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tblPr>
      <w:tblGrid>
        <w:gridCol w:w="540"/>
        <w:gridCol w:w="1440"/>
        <w:gridCol w:w="3285"/>
        <w:gridCol w:w="1260"/>
        <w:gridCol w:w="270"/>
        <w:gridCol w:w="900"/>
        <w:gridCol w:w="1260"/>
      </w:tblGrid>
      <w:tr w:rsidR="00F94DDF" w:rsidRPr="00451153" w:rsidTr="00430D51">
        <w:trPr>
          <w:trHeight w:val="350"/>
          <w:tblHeader/>
          <w:jc w:val="center"/>
        </w:trPr>
        <w:tc>
          <w:tcPr>
            <w:tcW w:w="8955" w:type="dxa"/>
            <w:gridSpan w:val="7"/>
            <w:tcBorders>
              <w:top w:val="nil"/>
              <w:left w:val="nil"/>
              <w:bottom w:val="single" w:sz="4" w:space="0" w:color="auto"/>
              <w:right w:val="nil"/>
            </w:tcBorders>
            <w:shd w:val="clear" w:color="auto" w:fill="auto"/>
            <w:vAlign w:val="bottom"/>
          </w:tcPr>
          <w:p w:rsidR="00F94DDF" w:rsidRPr="00524D76" w:rsidRDefault="00DF24E8" w:rsidP="00647B99">
            <w:pPr>
              <w:pStyle w:val="Caption"/>
            </w:pPr>
            <w:bookmarkStart w:id="485" w:name="_Ref285393921"/>
            <w:bookmarkStart w:id="486" w:name="_Toc260859943"/>
            <w:bookmarkStart w:id="487" w:name="_Ref285531400"/>
            <w:bookmarkStart w:id="488" w:name="_Ref285574572"/>
            <w:bookmarkStart w:id="489" w:name="_Toc288554463"/>
            <w:r w:rsidRPr="00524D76">
              <w:t xml:space="preserve">Worksheet </w:t>
            </w:r>
            <w:r w:rsidR="00126F3D" w:rsidRPr="00524D76">
              <w:rPr>
                <w:rFonts w:cs="Arial"/>
              </w:rPr>
              <w:fldChar w:fldCharType="begin"/>
            </w:r>
            <w:r w:rsidR="00F83E79" w:rsidRPr="00524D76">
              <w:rPr>
                <w:rFonts w:cs="Arial"/>
              </w:rPr>
              <w:instrText xml:space="preserve"> SEQ Worksheet \* ALPHABETIC </w:instrText>
            </w:r>
            <w:r w:rsidR="00126F3D" w:rsidRPr="00524D76">
              <w:rPr>
                <w:rFonts w:cs="Arial"/>
              </w:rPr>
              <w:fldChar w:fldCharType="separate"/>
            </w:r>
            <w:r w:rsidR="00126DE5" w:rsidRPr="00524D76">
              <w:rPr>
                <w:rFonts w:cs="Arial"/>
                <w:noProof/>
              </w:rPr>
              <w:t>H</w:t>
            </w:r>
            <w:r w:rsidR="00126F3D" w:rsidRPr="00524D76">
              <w:rPr>
                <w:rFonts w:cs="Arial"/>
              </w:rPr>
              <w:fldChar w:fldCharType="end"/>
            </w:r>
            <w:bookmarkEnd w:id="485"/>
            <w:r w:rsidR="00F94DDF" w:rsidRPr="00524D76">
              <w:t xml:space="preserve">: </w:t>
            </w:r>
            <w:r w:rsidR="00C77682" w:rsidRPr="00524D76">
              <w:t xml:space="preserve">Factor of Safety and Design Infiltration Rate and </w:t>
            </w:r>
            <w:r w:rsidR="00F94DDF" w:rsidRPr="00524D76">
              <w:t>Worksheet</w:t>
            </w:r>
            <w:bookmarkEnd w:id="486"/>
            <w:bookmarkEnd w:id="487"/>
            <w:bookmarkEnd w:id="488"/>
            <w:bookmarkEnd w:id="489"/>
          </w:p>
        </w:tc>
      </w:tr>
      <w:tr w:rsidR="00F94DDF" w:rsidRPr="00451153" w:rsidTr="00430D51">
        <w:trPr>
          <w:trHeight w:val="753"/>
          <w:tblHeader/>
          <w:jc w:val="center"/>
        </w:trPr>
        <w:tc>
          <w:tcPr>
            <w:tcW w:w="1980" w:type="dxa"/>
            <w:gridSpan w:val="2"/>
            <w:tcBorders>
              <w:top w:val="single" w:sz="4" w:space="0" w:color="auto"/>
              <w:left w:val="single" w:sz="4" w:space="0" w:color="auto"/>
              <w:bottom w:val="single" w:sz="12" w:space="0" w:color="auto"/>
              <w:right w:val="single" w:sz="4" w:space="0" w:color="auto"/>
            </w:tcBorders>
            <w:shd w:val="clear" w:color="auto" w:fill="D9D9D9" w:themeFill="background1" w:themeFillShade="D9"/>
            <w:vAlign w:val="bottom"/>
          </w:tcPr>
          <w:p w:rsidR="00F94DDF" w:rsidRPr="00451153" w:rsidRDefault="00F94DDF" w:rsidP="00D25D7A">
            <w:pPr>
              <w:pStyle w:val="TableFont"/>
              <w:keepNext/>
            </w:pPr>
            <w:r w:rsidRPr="00451153">
              <w:t>Factor Category</w:t>
            </w:r>
          </w:p>
        </w:tc>
        <w:tc>
          <w:tcPr>
            <w:tcW w:w="3285" w:type="dxa"/>
            <w:tcBorders>
              <w:top w:val="single" w:sz="4" w:space="0" w:color="auto"/>
              <w:left w:val="single" w:sz="4" w:space="0" w:color="auto"/>
              <w:bottom w:val="single" w:sz="12" w:space="0" w:color="auto"/>
              <w:right w:val="single" w:sz="4" w:space="0" w:color="auto"/>
            </w:tcBorders>
            <w:shd w:val="clear" w:color="auto" w:fill="D9D9D9" w:themeFill="background1" w:themeFillShade="D9"/>
            <w:vAlign w:val="bottom"/>
          </w:tcPr>
          <w:p w:rsidR="00F94DDF" w:rsidRPr="00451153" w:rsidRDefault="00F94DDF" w:rsidP="00D25D7A">
            <w:pPr>
              <w:pStyle w:val="TableFont"/>
              <w:keepNext/>
            </w:pPr>
            <w:r w:rsidRPr="00451153">
              <w:t>Factor Description</w:t>
            </w:r>
          </w:p>
        </w:tc>
        <w:tc>
          <w:tcPr>
            <w:tcW w:w="1260" w:type="dxa"/>
            <w:tcBorders>
              <w:top w:val="single" w:sz="4" w:space="0" w:color="auto"/>
              <w:left w:val="single" w:sz="4" w:space="0" w:color="auto"/>
              <w:bottom w:val="single" w:sz="12" w:space="0" w:color="auto"/>
              <w:right w:val="single" w:sz="4" w:space="0" w:color="auto"/>
            </w:tcBorders>
            <w:shd w:val="clear" w:color="auto" w:fill="D9D9D9" w:themeFill="background1" w:themeFillShade="D9"/>
            <w:vAlign w:val="bottom"/>
          </w:tcPr>
          <w:p w:rsidR="00F94DDF" w:rsidRPr="00451153" w:rsidRDefault="00F94DDF" w:rsidP="00DF24E8">
            <w:pPr>
              <w:pStyle w:val="TableFont"/>
              <w:keepNext/>
            </w:pPr>
            <w:r w:rsidRPr="00451153">
              <w:t>Assigned Weight</w:t>
            </w:r>
            <w:r w:rsidR="00DF24E8">
              <w:t xml:space="preserve"> </w:t>
            </w:r>
            <w:r w:rsidRPr="00451153">
              <w:t>(w)</w:t>
            </w:r>
          </w:p>
        </w:tc>
        <w:tc>
          <w:tcPr>
            <w:tcW w:w="1170" w:type="dxa"/>
            <w:gridSpan w:val="2"/>
            <w:tcBorders>
              <w:top w:val="single" w:sz="4" w:space="0" w:color="auto"/>
              <w:left w:val="single" w:sz="4" w:space="0" w:color="auto"/>
              <w:bottom w:val="single" w:sz="12" w:space="0" w:color="auto"/>
              <w:right w:val="single" w:sz="4" w:space="0" w:color="auto"/>
            </w:tcBorders>
            <w:shd w:val="clear" w:color="auto" w:fill="D9D9D9" w:themeFill="background1" w:themeFillShade="D9"/>
            <w:vAlign w:val="bottom"/>
          </w:tcPr>
          <w:p w:rsidR="00F94DDF" w:rsidRPr="00451153" w:rsidRDefault="00F94DDF" w:rsidP="00DF24E8">
            <w:pPr>
              <w:pStyle w:val="TableFont"/>
              <w:keepNext/>
            </w:pPr>
            <w:r w:rsidRPr="00451153">
              <w:t>Factor Value</w:t>
            </w:r>
            <w:r w:rsidR="00DF24E8">
              <w:t xml:space="preserve"> </w:t>
            </w:r>
            <w:r w:rsidRPr="00451153">
              <w:t>(v)</w:t>
            </w:r>
          </w:p>
        </w:tc>
        <w:tc>
          <w:tcPr>
            <w:tcW w:w="1260" w:type="dxa"/>
            <w:tcBorders>
              <w:top w:val="single" w:sz="4" w:space="0" w:color="auto"/>
              <w:left w:val="single" w:sz="4" w:space="0" w:color="auto"/>
              <w:bottom w:val="single" w:sz="12" w:space="0" w:color="auto"/>
              <w:right w:val="single" w:sz="4" w:space="0" w:color="auto"/>
            </w:tcBorders>
            <w:shd w:val="clear" w:color="auto" w:fill="D9D9D9" w:themeFill="background1" w:themeFillShade="D9"/>
            <w:vAlign w:val="bottom"/>
          </w:tcPr>
          <w:p w:rsidR="00F94DDF" w:rsidRPr="00451153" w:rsidRDefault="00F94DDF" w:rsidP="00D25D7A">
            <w:pPr>
              <w:pStyle w:val="TableFont"/>
              <w:keepNext/>
            </w:pPr>
            <w:r w:rsidRPr="00451153">
              <w:t>Product</w:t>
            </w:r>
            <w:r w:rsidR="00DF24E8">
              <w:t xml:space="preserve"> </w:t>
            </w:r>
            <w:r w:rsidRPr="00451153">
              <w:t>(p)</w:t>
            </w:r>
          </w:p>
          <w:p w:rsidR="00F94DDF" w:rsidRPr="00451153" w:rsidRDefault="00F94DDF" w:rsidP="00D25D7A">
            <w:pPr>
              <w:pStyle w:val="TableFont"/>
              <w:keepNext/>
            </w:pPr>
            <w:r w:rsidRPr="00451153">
              <w:t>p = w x v</w:t>
            </w:r>
          </w:p>
        </w:tc>
      </w:tr>
      <w:tr w:rsidR="00F94DDF" w:rsidRPr="00451153" w:rsidTr="00430D51">
        <w:trPr>
          <w:trHeight w:val="285"/>
          <w:jc w:val="center"/>
        </w:trPr>
        <w:tc>
          <w:tcPr>
            <w:tcW w:w="540" w:type="dxa"/>
            <w:vMerge w:val="restart"/>
            <w:tcBorders>
              <w:top w:val="single" w:sz="12" w:space="0" w:color="auto"/>
              <w:left w:val="single" w:sz="4" w:space="0" w:color="auto"/>
              <w:bottom w:val="single" w:sz="4" w:space="0" w:color="A6A6A6"/>
              <w:right w:val="single" w:sz="4" w:space="0" w:color="A6A6A6"/>
            </w:tcBorders>
            <w:vAlign w:val="center"/>
          </w:tcPr>
          <w:p w:rsidR="00F94DDF" w:rsidRPr="00451153" w:rsidRDefault="00F94DDF" w:rsidP="00D25D7A">
            <w:pPr>
              <w:pStyle w:val="TableFont"/>
              <w:keepNext/>
            </w:pPr>
            <w:r w:rsidRPr="00451153">
              <w:t>A</w:t>
            </w:r>
          </w:p>
        </w:tc>
        <w:tc>
          <w:tcPr>
            <w:tcW w:w="1440" w:type="dxa"/>
            <w:vMerge w:val="restart"/>
            <w:tcBorders>
              <w:top w:val="single" w:sz="12" w:space="0" w:color="auto"/>
              <w:left w:val="single" w:sz="4" w:space="0" w:color="auto"/>
              <w:bottom w:val="single" w:sz="4" w:space="0" w:color="A6A6A6"/>
              <w:right w:val="single" w:sz="4" w:space="0" w:color="A6A6A6"/>
            </w:tcBorders>
            <w:vAlign w:val="center"/>
          </w:tcPr>
          <w:p w:rsidR="00F94DDF" w:rsidRPr="00451153" w:rsidRDefault="00F94DDF" w:rsidP="00D25D7A">
            <w:pPr>
              <w:pStyle w:val="TableFont"/>
              <w:keepNext/>
            </w:pPr>
            <w:r w:rsidRPr="00451153">
              <w:t>Suitability Assessment</w:t>
            </w:r>
          </w:p>
        </w:tc>
        <w:tc>
          <w:tcPr>
            <w:tcW w:w="3285" w:type="dxa"/>
            <w:tcBorders>
              <w:top w:val="single" w:sz="12" w:space="0" w:color="auto"/>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r w:rsidRPr="00451153">
              <w:t>Soil assessment methods</w:t>
            </w:r>
          </w:p>
        </w:tc>
        <w:tc>
          <w:tcPr>
            <w:tcW w:w="1260" w:type="dxa"/>
            <w:tcBorders>
              <w:top w:val="single" w:sz="12" w:space="0" w:color="auto"/>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r w:rsidRPr="00451153">
              <w:t>0.25</w:t>
            </w:r>
          </w:p>
        </w:tc>
        <w:tc>
          <w:tcPr>
            <w:tcW w:w="1170" w:type="dxa"/>
            <w:gridSpan w:val="2"/>
            <w:tcBorders>
              <w:top w:val="single" w:sz="12" w:space="0" w:color="auto"/>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p>
        </w:tc>
        <w:tc>
          <w:tcPr>
            <w:tcW w:w="1260" w:type="dxa"/>
            <w:tcBorders>
              <w:top w:val="single" w:sz="12" w:space="0" w:color="auto"/>
              <w:left w:val="single" w:sz="4" w:space="0" w:color="A6A6A6"/>
              <w:bottom w:val="single" w:sz="4" w:space="0" w:color="A6A6A6"/>
              <w:right w:val="single" w:sz="4" w:space="0" w:color="auto"/>
            </w:tcBorders>
            <w:vAlign w:val="center"/>
          </w:tcPr>
          <w:p w:rsidR="00F94DDF" w:rsidRPr="00451153" w:rsidRDefault="00F94DDF" w:rsidP="00D25D7A">
            <w:pPr>
              <w:pStyle w:val="TableFont"/>
              <w:keepNext/>
            </w:pPr>
          </w:p>
        </w:tc>
      </w:tr>
      <w:tr w:rsidR="00F94DDF" w:rsidRPr="00451153" w:rsidTr="00430D51">
        <w:trPr>
          <w:trHeight w:val="286"/>
          <w:jc w:val="center"/>
        </w:trPr>
        <w:tc>
          <w:tcPr>
            <w:tcW w:w="540" w:type="dxa"/>
            <w:vMerge/>
            <w:tcBorders>
              <w:top w:val="single" w:sz="4" w:space="0" w:color="A6A6A6"/>
              <w:left w:val="single" w:sz="4" w:space="0" w:color="auto"/>
              <w:bottom w:val="single" w:sz="4" w:space="0" w:color="A6A6A6"/>
              <w:right w:val="single" w:sz="4" w:space="0" w:color="A6A6A6"/>
            </w:tcBorders>
            <w:vAlign w:val="center"/>
          </w:tcPr>
          <w:p w:rsidR="00F94DDF" w:rsidRPr="00451153" w:rsidRDefault="00F94DDF" w:rsidP="00D25D7A">
            <w:pPr>
              <w:pStyle w:val="TableFont"/>
              <w:keepNext/>
            </w:pPr>
          </w:p>
        </w:tc>
        <w:tc>
          <w:tcPr>
            <w:tcW w:w="1440" w:type="dxa"/>
            <w:vMerge/>
            <w:tcBorders>
              <w:top w:val="single" w:sz="4" w:space="0" w:color="A6A6A6"/>
              <w:left w:val="single" w:sz="4" w:space="0" w:color="auto"/>
              <w:bottom w:val="single" w:sz="4" w:space="0" w:color="A6A6A6"/>
              <w:right w:val="single" w:sz="4" w:space="0" w:color="A6A6A6"/>
            </w:tcBorders>
            <w:vAlign w:val="center"/>
          </w:tcPr>
          <w:p w:rsidR="00F94DDF" w:rsidRPr="00451153" w:rsidRDefault="00F94DDF" w:rsidP="00D25D7A">
            <w:pPr>
              <w:pStyle w:val="TableFont"/>
              <w:keepNext/>
            </w:pPr>
          </w:p>
        </w:tc>
        <w:tc>
          <w:tcPr>
            <w:tcW w:w="3285" w:type="dxa"/>
            <w:tcBorders>
              <w:top w:val="single" w:sz="4" w:space="0" w:color="A6A6A6"/>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r w:rsidRPr="00451153">
              <w:t>Predominant soil texture</w:t>
            </w:r>
          </w:p>
        </w:tc>
        <w:tc>
          <w:tcPr>
            <w:tcW w:w="1260" w:type="dxa"/>
            <w:tcBorders>
              <w:top w:val="single" w:sz="4" w:space="0" w:color="A6A6A6"/>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r w:rsidRPr="00451153">
              <w:t>0.25</w:t>
            </w:r>
          </w:p>
        </w:tc>
        <w:tc>
          <w:tcPr>
            <w:tcW w:w="1170" w:type="dxa"/>
            <w:gridSpan w:val="2"/>
            <w:tcBorders>
              <w:top w:val="single" w:sz="4" w:space="0" w:color="A6A6A6"/>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p>
        </w:tc>
        <w:tc>
          <w:tcPr>
            <w:tcW w:w="1260" w:type="dxa"/>
            <w:tcBorders>
              <w:top w:val="single" w:sz="4" w:space="0" w:color="A6A6A6"/>
              <w:left w:val="single" w:sz="4" w:space="0" w:color="A6A6A6"/>
              <w:bottom w:val="single" w:sz="4" w:space="0" w:color="A6A6A6"/>
              <w:right w:val="single" w:sz="4" w:space="0" w:color="auto"/>
            </w:tcBorders>
            <w:vAlign w:val="center"/>
          </w:tcPr>
          <w:p w:rsidR="00F94DDF" w:rsidRPr="00451153" w:rsidRDefault="00F94DDF" w:rsidP="00D25D7A">
            <w:pPr>
              <w:pStyle w:val="TableFont"/>
              <w:keepNext/>
            </w:pPr>
          </w:p>
        </w:tc>
      </w:tr>
      <w:tr w:rsidR="00F94DDF" w:rsidRPr="00451153" w:rsidTr="00430D51">
        <w:trPr>
          <w:trHeight w:val="286"/>
          <w:jc w:val="center"/>
        </w:trPr>
        <w:tc>
          <w:tcPr>
            <w:tcW w:w="540" w:type="dxa"/>
            <w:vMerge/>
            <w:tcBorders>
              <w:top w:val="single" w:sz="4" w:space="0" w:color="A6A6A6"/>
              <w:left w:val="single" w:sz="4" w:space="0" w:color="auto"/>
              <w:bottom w:val="single" w:sz="4" w:space="0" w:color="A6A6A6"/>
              <w:right w:val="single" w:sz="4" w:space="0" w:color="A6A6A6"/>
            </w:tcBorders>
            <w:vAlign w:val="center"/>
          </w:tcPr>
          <w:p w:rsidR="00F94DDF" w:rsidRPr="00451153" w:rsidRDefault="00F94DDF" w:rsidP="00D25D7A">
            <w:pPr>
              <w:pStyle w:val="TableFont"/>
              <w:keepNext/>
            </w:pPr>
          </w:p>
        </w:tc>
        <w:tc>
          <w:tcPr>
            <w:tcW w:w="1440" w:type="dxa"/>
            <w:vMerge/>
            <w:tcBorders>
              <w:top w:val="single" w:sz="4" w:space="0" w:color="A6A6A6"/>
              <w:left w:val="single" w:sz="4" w:space="0" w:color="auto"/>
              <w:bottom w:val="single" w:sz="4" w:space="0" w:color="A6A6A6"/>
              <w:right w:val="single" w:sz="4" w:space="0" w:color="A6A6A6"/>
            </w:tcBorders>
            <w:vAlign w:val="center"/>
          </w:tcPr>
          <w:p w:rsidR="00F94DDF" w:rsidRPr="00451153" w:rsidRDefault="00F94DDF" w:rsidP="00D25D7A">
            <w:pPr>
              <w:pStyle w:val="TableFont"/>
              <w:keepNext/>
            </w:pPr>
          </w:p>
        </w:tc>
        <w:tc>
          <w:tcPr>
            <w:tcW w:w="3285" w:type="dxa"/>
            <w:tcBorders>
              <w:top w:val="single" w:sz="4" w:space="0" w:color="A6A6A6"/>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r w:rsidRPr="00451153">
              <w:t>Site soil variability</w:t>
            </w:r>
          </w:p>
        </w:tc>
        <w:tc>
          <w:tcPr>
            <w:tcW w:w="1260" w:type="dxa"/>
            <w:tcBorders>
              <w:top w:val="single" w:sz="4" w:space="0" w:color="A6A6A6"/>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r w:rsidRPr="00451153">
              <w:t>0.25</w:t>
            </w:r>
          </w:p>
        </w:tc>
        <w:tc>
          <w:tcPr>
            <w:tcW w:w="1170" w:type="dxa"/>
            <w:gridSpan w:val="2"/>
            <w:tcBorders>
              <w:top w:val="single" w:sz="4" w:space="0" w:color="A6A6A6"/>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p>
        </w:tc>
        <w:tc>
          <w:tcPr>
            <w:tcW w:w="1260" w:type="dxa"/>
            <w:tcBorders>
              <w:top w:val="single" w:sz="4" w:space="0" w:color="A6A6A6"/>
              <w:left w:val="single" w:sz="4" w:space="0" w:color="A6A6A6"/>
              <w:bottom w:val="single" w:sz="4" w:space="0" w:color="A6A6A6"/>
              <w:right w:val="single" w:sz="4" w:space="0" w:color="auto"/>
            </w:tcBorders>
            <w:vAlign w:val="center"/>
          </w:tcPr>
          <w:p w:rsidR="00F94DDF" w:rsidRPr="00451153" w:rsidRDefault="00F94DDF" w:rsidP="00D25D7A">
            <w:pPr>
              <w:pStyle w:val="TableFont"/>
              <w:keepNext/>
            </w:pPr>
          </w:p>
        </w:tc>
      </w:tr>
      <w:tr w:rsidR="00F94DDF" w:rsidRPr="00451153" w:rsidTr="00430D51">
        <w:trPr>
          <w:trHeight w:val="286"/>
          <w:jc w:val="center"/>
        </w:trPr>
        <w:tc>
          <w:tcPr>
            <w:tcW w:w="540" w:type="dxa"/>
            <w:vMerge/>
            <w:tcBorders>
              <w:top w:val="single" w:sz="4" w:space="0" w:color="A6A6A6"/>
              <w:left w:val="single" w:sz="4" w:space="0" w:color="auto"/>
              <w:bottom w:val="single" w:sz="4" w:space="0" w:color="A6A6A6"/>
              <w:right w:val="single" w:sz="4" w:space="0" w:color="A6A6A6"/>
            </w:tcBorders>
            <w:vAlign w:val="center"/>
          </w:tcPr>
          <w:p w:rsidR="00F94DDF" w:rsidRPr="00451153" w:rsidRDefault="00F94DDF" w:rsidP="00D25D7A">
            <w:pPr>
              <w:pStyle w:val="TableFont"/>
              <w:keepNext/>
            </w:pPr>
          </w:p>
        </w:tc>
        <w:tc>
          <w:tcPr>
            <w:tcW w:w="1440" w:type="dxa"/>
            <w:vMerge/>
            <w:tcBorders>
              <w:top w:val="single" w:sz="4" w:space="0" w:color="A6A6A6"/>
              <w:left w:val="single" w:sz="4" w:space="0" w:color="auto"/>
              <w:bottom w:val="single" w:sz="4" w:space="0" w:color="A6A6A6"/>
              <w:right w:val="single" w:sz="4" w:space="0" w:color="A6A6A6"/>
            </w:tcBorders>
            <w:vAlign w:val="center"/>
          </w:tcPr>
          <w:p w:rsidR="00F94DDF" w:rsidRPr="00451153" w:rsidRDefault="00F94DDF" w:rsidP="00D25D7A">
            <w:pPr>
              <w:pStyle w:val="TableFont"/>
              <w:keepNext/>
            </w:pPr>
          </w:p>
        </w:tc>
        <w:tc>
          <w:tcPr>
            <w:tcW w:w="3285" w:type="dxa"/>
            <w:tcBorders>
              <w:top w:val="single" w:sz="4" w:space="0" w:color="A6A6A6"/>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r w:rsidRPr="00451153">
              <w:t>Depth to groundwater / impervious layer</w:t>
            </w:r>
          </w:p>
        </w:tc>
        <w:tc>
          <w:tcPr>
            <w:tcW w:w="1260" w:type="dxa"/>
            <w:tcBorders>
              <w:top w:val="single" w:sz="4" w:space="0" w:color="A6A6A6"/>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r w:rsidRPr="00451153">
              <w:t>0.25</w:t>
            </w:r>
          </w:p>
        </w:tc>
        <w:tc>
          <w:tcPr>
            <w:tcW w:w="1170" w:type="dxa"/>
            <w:gridSpan w:val="2"/>
            <w:tcBorders>
              <w:top w:val="single" w:sz="4" w:space="0" w:color="A6A6A6"/>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p>
        </w:tc>
        <w:tc>
          <w:tcPr>
            <w:tcW w:w="1260" w:type="dxa"/>
            <w:tcBorders>
              <w:top w:val="single" w:sz="4" w:space="0" w:color="A6A6A6"/>
              <w:left w:val="single" w:sz="4" w:space="0" w:color="A6A6A6"/>
              <w:bottom w:val="single" w:sz="4" w:space="0" w:color="A6A6A6"/>
              <w:right w:val="single" w:sz="4" w:space="0" w:color="auto"/>
            </w:tcBorders>
            <w:vAlign w:val="center"/>
          </w:tcPr>
          <w:p w:rsidR="00F94DDF" w:rsidRPr="00451153" w:rsidRDefault="00F94DDF" w:rsidP="00D25D7A">
            <w:pPr>
              <w:pStyle w:val="TableFont"/>
              <w:keepNext/>
            </w:pPr>
          </w:p>
        </w:tc>
      </w:tr>
      <w:tr w:rsidR="00F94DDF" w:rsidRPr="00451153" w:rsidTr="00430D51">
        <w:trPr>
          <w:trHeight w:val="286"/>
          <w:jc w:val="center"/>
        </w:trPr>
        <w:tc>
          <w:tcPr>
            <w:tcW w:w="540" w:type="dxa"/>
            <w:vMerge/>
            <w:tcBorders>
              <w:top w:val="single" w:sz="4" w:space="0" w:color="A6A6A6"/>
              <w:left w:val="single" w:sz="4" w:space="0" w:color="auto"/>
              <w:bottom w:val="single" w:sz="4" w:space="0" w:color="auto"/>
              <w:right w:val="single" w:sz="4" w:space="0" w:color="A6A6A6"/>
            </w:tcBorders>
            <w:vAlign w:val="center"/>
          </w:tcPr>
          <w:p w:rsidR="00F94DDF" w:rsidRPr="00451153" w:rsidRDefault="00F94DDF" w:rsidP="00D25D7A">
            <w:pPr>
              <w:pStyle w:val="TableFont"/>
              <w:keepNext/>
            </w:pPr>
          </w:p>
        </w:tc>
        <w:tc>
          <w:tcPr>
            <w:tcW w:w="1440" w:type="dxa"/>
            <w:vMerge/>
            <w:tcBorders>
              <w:top w:val="single" w:sz="4" w:space="0" w:color="A6A6A6"/>
              <w:left w:val="single" w:sz="4" w:space="0" w:color="auto"/>
              <w:bottom w:val="single" w:sz="4" w:space="0" w:color="auto"/>
              <w:right w:val="single" w:sz="4" w:space="0" w:color="A6A6A6"/>
            </w:tcBorders>
            <w:vAlign w:val="center"/>
          </w:tcPr>
          <w:p w:rsidR="00F94DDF" w:rsidRPr="00451153" w:rsidRDefault="00F94DDF" w:rsidP="00D25D7A">
            <w:pPr>
              <w:pStyle w:val="TableFont"/>
              <w:keepNext/>
            </w:pPr>
          </w:p>
        </w:tc>
        <w:tc>
          <w:tcPr>
            <w:tcW w:w="5715" w:type="dxa"/>
            <w:gridSpan w:val="4"/>
            <w:tcBorders>
              <w:top w:val="single" w:sz="4" w:space="0" w:color="A6A6A6"/>
              <w:left w:val="single" w:sz="4" w:space="0" w:color="A6A6A6"/>
              <w:bottom w:val="single" w:sz="4" w:space="0" w:color="auto"/>
              <w:right w:val="single" w:sz="4" w:space="0" w:color="A6A6A6"/>
            </w:tcBorders>
            <w:vAlign w:val="center"/>
          </w:tcPr>
          <w:p w:rsidR="00F94DDF" w:rsidRPr="00451153" w:rsidRDefault="00F94DDF" w:rsidP="00D25D7A">
            <w:pPr>
              <w:pStyle w:val="TableFont"/>
              <w:keepNext/>
            </w:pPr>
            <w:r w:rsidRPr="00451153">
              <w:t>Suitability Assessment Safety Factor, S</w:t>
            </w:r>
            <w:r w:rsidRPr="00451153">
              <w:rPr>
                <w:vertAlign w:val="subscript"/>
              </w:rPr>
              <w:t>A</w:t>
            </w:r>
            <w:r w:rsidRPr="00451153">
              <w:t xml:space="preserve"> = </w:t>
            </w:r>
            <w:r w:rsidRPr="00451153">
              <w:sym w:font="Symbol" w:char="F053"/>
            </w:r>
            <w:r w:rsidRPr="00451153">
              <w:t>p</w:t>
            </w:r>
          </w:p>
        </w:tc>
        <w:tc>
          <w:tcPr>
            <w:tcW w:w="1260" w:type="dxa"/>
            <w:tcBorders>
              <w:top w:val="single" w:sz="4" w:space="0" w:color="A6A6A6"/>
              <w:left w:val="single" w:sz="4" w:space="0" w:color="A6A6A6"/>
              <w:bottom w:val="single" w:sz="4" w:space="0" w:color="auto"/>
              <w:right w:val="single" w:sz="4" w:space="0" w:color="auto"/>
            </w:tcBorders>
            <w:vAlign w:val="center"/>
          </w:tcPr>
          <w:p w:rsidR="00F94DDF" w:rsidRPr="00451153" w:rsidRDefault="00F94DDF" w:rsidP="00D25D7A">
            <w:pPr>
              <w:pStyle w:val="TableFont"/>
              <w:keepNext/>
            </w:pPr>
          </w:p>
        </w:tc>
      </w:tr>
      <w:tr w:rsidR="00F94DDF" w:rsidRPr="00451153" w:rsidTr="00430D51">
        <w:trPr>
          <w:trHeight w:val="286"/>
          <w:jc w:val="center"/>
        </w:trPr>
        <w:tc>
          <w:tcPr>
            <w:tcW w:w="540" w:type="dxa"/>
            <w:vMerge w:val="restart"/>
            <w:tcBorders>
              <w:top w:val="single" w:sz="4" w:space="0" w:color="auto"/>
              <w:left w:val="single" w:sz="4" w:space="0" w:color="auto"/>
              <w:bottom w:val="single" w:sz="4" w:space="0" w:color="A6A6A6"/>
              <w:right w:val="single" w:sz="4" w:space="0" w:color="A6A6A6"/>
            </w:tcBorders>
            <w:vAlign w:val="center"/>
          </w:tcPr>
          <w:p w:rsidR="00F94DDF" w:rsidRPr="00451153" w:rsidRDefault="00F94DDF" w:rsidP="00D25D7A">
            <w:pPr>
              <w:pStyle w:val="TableFont"/>
              <w:keepNext/>
            </w:pPr>
            <w:r w:rsidRPr="00451153">
              <w:t>B</w:t>
            </w:r>
          </w:p>
        </w:tc>
        <w:tc>
          <w:tcPr>
            <w:tcW w:w="1440" w:type="dxa"/>
            <w:vMerge w:val="restart"/>
            <w:tcBorders>
              <w:top w:val="single" w:sz="4" w:space="0" w:color="auto"/>
              <w:left w:val="single" w:sz="4" w:space="0" w:color="auto"/>
              <w:bottom w:val="single" w:sz="4" w:space="0" w:color="A6A6A6"/>
              <w:right w:val="single" w:sz="4" w:space="0" w:color="A6A6A6"/>
            </w:tcBorders>
            <w:vAlign w:val="center"/>
          </w:tcPr>
          <w:p w:rsidR="00F94DDF" w:rsidRPr="00451153" w:rsidRDefault="00F94DDF" w:rsidP="00D25D7A">
            <w:pPr>
              <w:pStyle w:val="TableFont"/>
              <w:keepNext/>
            </w:pPr>
            <w:r w:rsidRPr="00451153">
              <w:t>Design</w:t>
            </w:r>
          </w:p>
        </w:tc>
        <w:tc>
          <w:tcPr>
            <w:tcW w:w="3285" w:type="dxa"/>
            <w:tcBorders>
              <w:top w:val="single" w:sz="4" w:space="0" w:color="auto"/>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r w:rsidRPr="00451153">
              <w:t>Tributary area size</w:t>
            </w:r>
          </w:p>
        </w:tc>
        <w:tc>
          <w:tcPr>
            <w:tcW w:w="1260" w:type="dxa"/>
            <w:tcBorders>
              <w:top w:val="single" w:sz="4" w:space="0" w:color="auto"/>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r w:rsidRPr="00451153">
              <w:t>0.25</w:t>
            </w:r>
          </w:p>
        </w:tc>
        <w:tc>
          <w:tcPr>
            <w:tcW w:w="1170" w:type="dxa"/>
            <w:gridSpan w:val="2"/>
            <w:tcBorders>
              <w:top w:val="single" w:sz="4" w:space="0" w:color="auto"/>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p>
        </w:tc>
        <w:tc>
          <w:tcPr>
            <w:tcW w:w="1260" w:type="dxa"/>
            <w:tcBorders>
              <w:top w:val="single" w:sz="4" w:space="0" w:color="auto"/>
              <w:left w:val="single" w:sz="4" w:space="0" w:color="A6A6A6"/>
              <w:bottom w:val="single" w:sz="4" w:space="0" w:color="A6A6A6"/>
              <w:right w:val="single" w:sz="4" w:space="0" w:color="auto"/>
            </w:tcBorders>
            <w:vAlign w:val="center"/>
          </w:tcPr>
          <w:p w:rsidR="00F94DDF" w:rsidRPr="00451153" w:rsidRDefault="00F94DDF" w:rsidP="00D25D7A">
            <w:pPr>
              <w:pStyle w:val="TableFont"/>
              <w:keepNext/>
            </w:pPr>
          </w:p>
        </w:tc>
      </w:tr>
      <w:tr w:rsidR="00F94DDF" w:rsidRPr="00451153" w:rsidTr="00430D51">
        <w:trPr>
          <w:trHeight w:val="286"/>
          <w:jc w:val="center"/>
        </w:trPr>
        <w:tc>
          <w:tcPr>
            <w:tcW w:w="540" w:type="dxa"/>
            <w:vMerge/>
            <w:tcBorders>
              <w:top w:val="single" w:sz="4" w:space="0" w:color="A6A6A6"/>
              <w:left w:val="single" w:sz="4" w:space="0" w:color="auto"/>
              <w:bottom w:val="single" w:sz="4" w:space="0" w:color="A6A6A6"/>
              <w:right w:val="single" w:sz="4" w:space="0" w:color="A6A6A6"/>
            </w:tcBorders>
            <w:vAlign w:val="center"/>
          </w:tcPr>
          <w:p w:rsidR="00F94DDF" w:rsidRPr="00451153" w:rsidRDefault="00F94DDF" w:rsidP="00D25D7A">
            <w:pPr>
              <w:pStyle w:val="TableFont"/>
              <w:keepNext/>
            </w:pPr>
          </w:p>
        </w:tc>
        <w:tc>
          <w:tcPr>
            <w:tcW w:w="1440" w:type="dxa"/>
            <w:vMerge/>
            <w:tcBorders>
              <w:top w:val="single" w:sz="4" w:space="0" w:color="A6A6A6"/>
              <w:left w:val="single" w:sz="4" w:space="0" w:color="auto"/>
              <w:bottom w:val="single" w:sz="4" w:space="0" w:color="A6A6A6"/>
              <w:right w:val="single" w:sz="4" w:space="0" w:color="A6A6A6"/>
            </w:tcBorders>
            <w:vAlign w:val="center"/>
          </w:tcPr>
          <w:p w:rsidR="00F94DDF" w:rsidRPr="00451153" w:rsidRDefault="00F94DDF" w:rsidP="00D25D7A">
            <w:pPr>
              <w:pStyle w:val="TableFont"/>
              <w:keepNext/>
            </w:pPr>
          </w:p>
        </w:tc>
        <w:tc>
          <w:tcPr>
            <w:tcW w:w="3285" w:type="dxa"/>
            <w:tcBorders>
              <w:top w:val="single" w:sz="4" w:space="0" w:color="A6A6A6"/>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r w:rsidRPr="00451153">
              <w:t xml:space="preserve">Level of </w:t>
            </w:r>
            <w:r w:rsidR="00B43EEC">
              <w:t>pretreatment</w:t>
            </w:r>
            <w:r w:rsidRPr="00451153">
              <w:t>/</w:t>
            </w:r>
            <w:r>
              <w:t xml:space="preserve"> </w:t>
            </w:r>
            <w:r w:rsidRPr="00451153">
              <w:t>expected sediment loads</w:t>
            </w:r>
          </w:p>
        </w:tc>
        <w:tc>
          <w:tcPr>
            <w:tcW w:w="1260" w:type="dxa"/>
            <w:tcBorders>
              <w:top w:val="single" w:sz="4" w:space="0" w:color="A6A6A6"/>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r w:rsidRPr="00451153">
              <w:t>0.25</w:t>
            </w:r>
          </w:p>
        </w:tc>
        <w:tc>
          <w:tcPr>
            <w:tcW w:w="1170" w:type="dxa"/>
            <w:gridSpan w:val="2"/>
            <w:tcBorders>
              <w:top w:val="single" w:sz="4" w:space="0" w:color="A6A6A6"/>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p>
        </w:tc>
        <w:tc>
          <w:tcPr>
            <w:tcW w:w="1260" w:type="dxa"/>
            <w:tcBorders>
              <w:top w:val="single" w:sz="4" w:space="0" w:color="A6A6A6"/>
              <w:left w:val="single" w:sz="4" w:space="0" w:color="A6A6A6"/>
              <w:bottom w:val="single" w:sz="4" w:space="0" w:color="A6A6A6"/>
              <w:right w:val="single" w:sz="4" w:space="0" w:color="auto"/>
            </w:tcBorders>
            <w:vAlign w:val="center"/>
          </w:tcPr>
          <w:p w:rsidR="00F94DDF" w:rsidRPr="00451153" w:rsidRDefault="00F94DDF" w:rsidP="00D25D7A">
            <w:pPr>
              <w:pStyle w:val="TableFont"/>
              <w:keepNext/>
            </w:pPr>
          </w:p>
        </w:tc>
      </w:tr>
      <w:tr w:rsidR="00F94DDF" w:rsidRPr="00451153" w:rsidTr="00430D51">
        <w:trPr>
          <w:trHeight w:val="285"/>
          <w:jc w:val="center"/>
        </w:trPr>
        <w:tc>
          <w:tcPr>
            <w:tcW w:w="540" w:type="dxa"/>
            <w:vMerge/>
            <w:tcBorders>
              <w:top w:val="single" w:sz="4" w:space="0" w:color="A6A6A6"/>
              <w:left w:val="single" w:sz="4" w:space="0" w:color="auto"/>
              <w:bottom w:val="single" w:sz="4" w:space="0" w:color="A6A6A6"/>
              <w:right w:val="single" w:sz="4" w:space="0" w:color="A6A6A6"/>
            </w:tcBorders>
            <w:vAlign w:val="center"/>
          </w:tcPr>
          <w:p w:rsidR="00F94DDF" w:rsidRPr="00451153" w:rsidRDefault="00F94DDF" w:rsidP="00D25D7A">
            <w:pPr>
              <w:pStyle w:val="TableFont"/>
              <w:keepNext/>
            </w:pPr>
          </w:p>
        </w:tc>
        <w:tc>
          <w:tcPr>
            <w:tcW w:w="1440" w:type="dxa"/>
            <w:vMerge/>
            <w:tcBorders>
              <w:top w:val="single" w:sz="4" w:space="0" w:color="A6A6A6"/>
              <w:left w:val="single" w:sz="4" w:space="0" w:color="auto"/>
              <w:bottom w:val="single" w:sz="4" w:space="0" w:color="A6A6A6"/>
              <w:right w:val="single" w:sz="4" w:space="0" w:color="A6A6A6"/>
            </w:tcBorders>
            <w:vAlign w:val="center"/>
          </w:tcPr>
          <w:p w:rsidR="00F94DDF" w:rsidRPr="00451153" w:rsidRDefault="00F94DDF" w:rsidP="00D25D7A">
            <w:pPr>
              <w:pStyle w:val="TableFont"/>
              <w:keepNext/>
            </w:pPr>
          </w:p>
        </w:tc>
        <w:tc>
          <w:tcPr>
            <w:tcW w:w="3285" w:type="dxa"/>
            <w:tcBorders>
              <w:top w:val="single" w:sz="4" w:space="0" w:color="A6A6A6"/>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r w:rsidRPr="00451153">
              <w:t>Redundancy</w:t>
            </w:r>
          </w:p>
        </w:tc>
        <w:tc>
          <w:tcPr>
            <w:tcW w:w="1260" w:type="dxa"/>
            <w:tcBorders>
              <w:top w:val="single" w:sz="4" w:space="0" w:color="A6A6A6"/>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r w:rsidRPr="00451153">
              <w:t>0.25</w:t>
            </w:r>
          </w:p>
        </w:tc>
        <w:tc>
          <w:tcPr>
            <w:tcW w:w="1170" w:type="dxa"/>
            <w:gridSpan w:val="2"/>
            <w:tcBorders>
              <w:top w:val="single" w:sz="4" w:space="0" w:color="A6A6A6"/>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p>
        </w:tc>
        <w:tc>
          <w:tcPr>
            <w:tcW w:w="1260" w:type="dxa"/>
            <w:tcBorders>
              <w:top w:val="single" w:sz="4" w:space="0" w:color="A6A6A6"/>
              <w:left w:val="single" w:sz="4" w:space="0" w:color="A6A6A6"/>
              <w:bottom w:val="single" w:sz="4" w:space="0" w:color="A6A6A6"/>
              <w:right w:val="single" w:sz="4" w:space="0" w:color="auto"/>
            </w:tcBorders>
            <w:vAlign w:val="center"/>
          </w:tcPr>
          <w:p w:rsidR="00F94DDF" w:rsidRPr="00451153" w:rsidRDefault="00F94DDF" w:rsidP="00D25D7A">
            <w:pPr>
              <w:pStyle w:val="TableFont"/>
              <w:keepNext/>
            </w:pPr>
          </w:p>
        </w:tc>
      </w:tr>
      <w:tr w:rsidR="00F94DDF" w:rsidRPr="00451153" w:rsidTr="00430D51">
        <w:trPr>
          <w:trHeight w:val="285"/>
          <w:jc w:val="center"/>
        </w:trPr>
        <w:tc>
          <w:tcPr>
            <w:tcW w:w="540" w:type="dxa"/>
            <w:vMerge/>
            <w:tcBorders>
              <w:top w:val="single" w:sz="4" w:space="0" w:color="A6A6A6"/>
              <w:left w:val="single" w:sz="4" w:space="0" w:color="auto"/>
              <w:bottom w:val="single" w:sz="4" w:space="0" w:color="A6A6A6"/>
              <w:right w:val="single" w:sz="4" w:space="0" w:color="A6A6A6"/>
            </w:tcBorders>
            <w:vAlign w:val="center"/>
          </w:tcPr>
          <w:p w:rsidR="00F94DDF" w:rsidRPr="00451153" w:rsidRDefault="00F94DDF" w:rsidP="00D25D7A">
            <w:pPr>
              <w:pStyle w:val="TableFont"/>
              <w:keepNext/>
            </w:pPr>
          </w:p>
        </w:tc>
        <w:tc>
          <w:tcPr>
            <w:tcW w:w="1440" w:type="dxa"/>
            <w:vMerge/>
            <w:tcBorders>
              <w:top w:val="single" w:sz="4" w:space="0" w:color="A6A6A6"/>
              <w:left w:val="single" w:sz="4" w:space="0" w:color="auto"/>
              <w:bottom w:val="single" w:sz="4" w:space="0" w:color="A6A6A6"/>
              <w:right w:val="single" w:sz="4" w:space="0" w:color="A6A6A6"/>
            </w:tcBorders>
            <w:vAlign w:val="center"/>
          </w:tcPr>
          <w:p w:rsidR="00F94DDF" w:rsidRPr="00451153" w:rsidRDefault="00F94DDF" w:rsidP="00D25D7A">
            <w:pPr>
              <w:pStyle w:val="TableFont"/>
              <w:keepNext/>
            </w:pPr>
          </w:p>
        </w:tc>
        <w:tc>
          <w:tcPr>
            <w:tcW w:w="3285" w:type="dxa"/>
            <w:tcBorders>
              <w:top w:val="single" w:sz="4" w:space="0" w:color="A6A6A6"/>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r w:rsidRPr="00451153">
              <w:t>Compaction during construction</w:t>
            </w:r>
          </w:p>
        </w:tc>
        <w:tc>
          <w:tcPr>
            <w:tcW w:w="1260" w:type="dxa"/>
            <w:tcBorders>
              <w:top w:val="single" w:sz="4" w:space="0" w:color="A6A6A6"/>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r w:rsidRPr="00451153">
              <w:t>0.25</w:t>
            </w:r>
          </w:p>
        </w:tc>
        <w:tc>
          <w:tcPr>
            <w:tcW w:w="1170" w:type="dxa"/>
            <w:gridSpan w:val="2"/>
            <w:tcBorders>
              <w:top w:val="single" w:sz="4" w:space="0" w:color="A6A6A6"/>
              <w:left w:val="single" w:sz="4" w:space="0" w:color="A6A6A6"/>
              <w:bottom w:val="single" w:sz="4" w:space="0" w:color="A6A6A6"/>
              <w:right w:val="single" w:sz="4" w:space="0" w:color="A6A6A6"/>
            </w:tcBorders>
            <w:vAlign w:val="center"/>
          </w:tcPr>
          <w:p w:rsidR="00F94DDF" w:rsidRPr="00451153" w:rsidRDefault="00F94DDF" w:rsidP="00D25D7A">
            <w:pPr>
              <w:pStyle w:val="TableFont"/>
              <w:keepNext/>
            </w:pPr>
          </w:p>
        </w:tc>
        <w:tc>
          <w:tcPr>
            <w:tcW w:w="1260" w:type="dxa"/>
            <w:tcBorders>
              <w:top w:val="single" w:sz="4" w:space="0" w:color="A6A6A6"/>
              <w:left w:val="single" w:sz="4" w:space="0" w:color="A6A6A6"/>
              <w:bottom w:val="single" w:sz="4" w:space="0" w:color="A6A6A6"/>
              <w:right w:val="single" w:sz="4" w:space="0" w:color="auto"/>
            </w:tcBorders>
            <w:vAlign w:val="center"/>
          </w:tcPr>
          <w:p w:rsidR="00F94DDF" w:rsidRPr="00451153" w:rsidRDefault="00F94DDF" w:rsidP="00D25D7A">
            <w:pPr>
              <w:pStyle w:val="TableFont"/>
              <w:keepNext/>
            </w:pPr>
          </w:p>
        </w:tc>
      </w:tr>
      <w:tr w:rsidR="00F94DDF" w:rsidRPr="00451153" w:rsidTr="00430D51">
        <w:trPr>
          <w:trHeight w:val="286"/>
          <w:jc w:val="center"/>
        </w:trPr>
        <w:tc>
          <w:tcPr>
            <w:tcW w:w="540" w:type="dxa"/>
            <w:vMerge/>
            <w:tcBorders>
              <w:top w:val="single" w:sz="4" w:space="0" w:color="A6A6A6"/>
              <w:left w:val="single" w:sz="4" w:space="0" w:color="auto"/>
              <w:bottom w:val="single" w:sz="4" w:space="0" w:color="auto"/>
              <w:right w:val="single" w:sz="4" w:space="0" w:color="A6A6A6"/>
            </w:tcBorders>
            <w:vAlign w:val="center"/>
          </w:tcPr>
          <w:p w:rsidR="00F94DDF" w:rsidRPr="00451153" w:rsidRDefault="00F94DDF" w:rsidP="00D25D7A">
            <w:pPr>
              <w:pStyle w:val="TableFont"/>
              <w:keepNext/>
            </w:pPr>
          </w:p>
        </w:tc>
        <w:tc>
          <w:tcPr>
            <w:tcW w:w="1440" w:type="dxa"/>
            <w:vMerge/>
            <w:tcBorders>
              <w:top w:val="single" w:sz="4" w:space="0" w:color="A6A6A6"/>
              <w:left w:val="single" w:sz="4" w:space="0" w:color="auto"/>
              <w:bottom w:val="single" w:sz="4" w:space="0" w:color="auto"/>
              <w:right w:val="single" w:sz="4" w:space="0" w:color="A6A6A6"/>
            </w:tcBorders>
            <w:vAlign w:val="center"/>
          </w:tcPr>
          <w:p w:rsidR="00F94DDF" w:rsidRPr="00451153" w:rsidRDefault="00F94DDF" w:rsidP="00D25D7A">
            <w:pPr>
              <w:pStyle w:val="TableFont"/>
              <w:keepNext/>
            </w:pPr>
          </w:p>
        </w:tc>
        <w:tc>
          <w:tcPr>
            <w:tcW w:w="5715" w:type="dxa"/>
            <w:gridSpan w:val="4"/>
            <w:tcBorders>
              <w:top w:val="single" w:sz="4" w:space="0" w:color="A6A6A6"/>
              <w:left w:val="single" w:sz="4" w:space="0" w:color="A6A6A6"/>
              <w:bottom w:val="single" w:sz="4" w:space="0" w:color="auto"/>
              <w:right w:val="single" w:sz="4" w:space="0" w:color="A6A6A6"/>
            </w:tcBorders>
            <w:vAlign w:val="center"/>
          </w:tcPr>
          <w:p w:rsidR="00F94DDF" w:rsidRPr="00451153" w:rsidRDefault="00F94DDF" w:rsidP="00D25D7A">
            <w:pPr>
              <w:pStyle w:val="TableFont"/>
              <w:keepNext/>
            </w:pPr>
            <w:r w:rsidRPr="00451153">
              <w:t>Design Safety Factor, S</w:t>
            </w:r>
            <w:r w:rsidRPr="00451153">
              <w:rPr>
                <w:vertAlign w:val="subscript"/>
              </w:rPr>
              <w:t>B</w:t>
            </w:r>
            <w:r w:rsidRPr="00451153">
              <w:t xml:space="preserve"> = </w:t>
            </w:r>
            <w:r w:rsidRPr="00451153">
              <w:sym w:font="Symbol" w:char="F053"/>
            </w:r>
            <w:r w:rsidRPr="00451153">
              <w:t>p</w:t>
            </w:r>
          </w:p>
        </w:tc>
        <w:tc>
          <w:tcPr>
            <w:tcW w:w="1260" w:type="dxa"/>
            <w:tcBorders>
              <w:top w:val="single" w:sz="4" w:space="0" w:color="A6A6A6"/>
              <w:left w:val="single" w:sz="4" w:space="0" w:color="A6A6A6"/>
              <w:bottom w:val="single" w:sz="4" w:space="0" w:color="auto"/>
              <w:right w:val="single" w:sz="4" w:space="0" w:color="auto"/>
            </w:tcBorders>
            <w:vAlign w:val="center"/>
          </w:tcPr>
          <w:p w:rsidR="00F94DDF" w:rsidRPr="00451153" w:rsidRDefault="00F94DDF" w:rsidP="00D25D7A">
            <w:pPr>
              <w:pStyle w:val="TableFont"/>
              <w:keepNext/>
            </w:pPr>
          </w:p>
        </w:tc>
      </w:tr>
      <w:tr w:rsidR="00F94DDF" w:rsidRPr="00451153" w:rsidTr="00430D51">
        <w:trPr>
          <w:trHeight w:val="584"/>
          <w:jc w:val="center"/>
        </w:trPr>
        <w:tc>
          <w:tcPr>
            <w:tcW w:w="6795" w:type="dxa"/>
            <w:gridSpan w:val="5"/>
            <w:tcBorders>
              <w:top w:val="single" w:sz="4" w:space="0" w:color="auto"/>
              <w:left w:val="single" w:sz="4" w:space="0" w:color="auto"/>
              <w:bottom w:val="single" w:sz="4" w:space="0" w:color="auto"/>
            </w:tcBorders>
            <w:vAlign w:val="center"/>
          </w:tcPr>
          <w:p w:rsidR="00F94DDF" w:rsidRPr="00451153" w:rsidRDefault="00C77682" w:rsidP="00D25D7A">
            <w:pPr>
              <w:pStyle w:val="TableFont"/>
              <w:keepNext/>
            </w:pPr>
            <w:r>
              <w:t>Combined Safety Factor, S</w:t>
            </w:r>
            <w:r w:rsidRPr="00C77682">
              <w:rPr>
                <w:vertAlign w:val="subscript"/>
              </w:rPr>
              <w:t>T</w:t>
            </w:r>
            <w:r>
              <w:rPr>
                <w:vertAlign w:val="subscript"/>
              </w:rPr>
              <w:t>OT</w:t>
            </w:r>
            <w:r w:rsidR="00F94DDF" w:rsidRPr="00451153">
              <w:t>= S</w:t>
            </w:r>
            <w:r w:rsidR="00F94DDF" w:rsidRPr="00451153">
              <w:rPr>
                <w:vertAlign w:val="subscript"/>
              </w:rPr>
              <w:t xml:space="preserve">A </w:t>
            </w:r>
            <w:r w:rsidR="00F94DDF" w:rsidRPr="00451153">
              <w:t>x S</w:t>
            </w:r>
            <w:r w:rsidR="00F94DDF" w:rsidRPr="00451153">
              <w:rPr>
                <w:vertAlign w:val="subscript"/>
              </w:rPr>
              <w:t>B</w:t>
            </w:r>
            <w:r w:rsidR="00F94DDF" w:rsidRPr="00451153">
              <w:t xml:space="preserve"> </w:t>
            </w:r>
          </w:p>
        </w:tc>
        <w:tc>
          <w:tcPr>
            <w:tcW w:w="2160" w:type="dxa"/>
            <w:gridSpan w:val="2"/>
            <w:tcBorders>
              <w:top w:val="single" w:sz="4" w:space="0" w:color="auto"/>
              <w:bottom w:val="single" w:sz="4" w:space="0" w:color="auto"/>
              <w:right w:val="single" w:sz="4" w:space="0" w:color="auto"/>
            </w:tcBorders>
            <w:vAlign w:val="center"/>
          </w:tcPr>
          <w:p w:rsidR="00F94DDF" w:rsidRPr="00451153" w:rsidRDefault="00F94DDF" w:rsidP="00DF24E8">
            <w:pPr>
              <w:pStyle w:val="TableFont"/>
              <w:keepNext/>
            </w:pPr>
          </w:p>
        </w:tc>
      </w:tr>
      <w:tr w:rsidR="00C77682" w:rsidRPr="00451153" w:rsidTr="00430D51">
        <w:trPr>
          <w:jc w:val="center"/>
        </w:trPr>
        <w:tc>
          <w:tcPr>
            <w:tcW w:w="6795" w:type="dxa"/>
            <w:gridSpan w:val="5"/>
            <w:tcBorders>
              <w:top w:val="single" w:sz="4" w:space="0" w:color="auto"/>
              <w:left w:val="single" w:sz="4" w:space="0" w:color="auto"/>
              <w:bottom w:val="single" w:sz="4" w:space="0" w:color="auto"/>
            </w:tcBorders>
            <w:vAlign w:val="center"/>
          </w:tcPr>
          <w:p w:rsidR="00C77682" w:rsidRDefault="00C77682" w:rsidP="00D25D7A">
            <w:pPr>
              <w:pStyle w:val="TableFont"/>
              <w:keepNext/>
            </w:pPr>
            <w:r>
              <w:t>Measured Infiltration Rate, inch/hr, K</w:t>
            </w:r>
            <w:r w:rsidRPr="00C77682">
              <w:rPr>
                <w:vertAlign w:val="subscript"/>
              </w:rPr>
              <w:t>M</w:t>
            </w:r>
          </w:p>
          <w:p w:rsidR="00C77682" w:rsidRPr="00451153" w:rsidRDefault="00C77682" w:rsidP="00C77682">
            <w:pPr>
              <w:pStyle w:val="TableFont"/>
              <w:keepNext/>
            </w:pPr>
            <w:r>
              <w:t>(corrected for test-specific bias)</w:t>
            </w:r>
          </w:p>
        </w:tc>
        <w:tc>
          <w:tcPr>
            <w:tcW w:w="2160" w:type="dxa"/>
            <w:gridSpan w:val="2"/>
            <w:tcBorders>
              <w:top w:val="single" w:sz="4" w:space="0" w:color="auto"/>
              <w:bottom w:val="single" w:sz="4" w:space="0" w:color="auto"/>
              <w:right w:val="single" w:sz="4" w:space="0" w:color="auto"/>
            </w:tcBorders>
            <w:vAlign w:val="center"/>
          </w:tcPr>
          <w:p w:rsidR="00C77682" w:rsidRPr="00451153" w:rsidRDefault="00C77682" w:rsidP="00DF24E8">
            <w:pPr>
              <w:pStyle w:val="TableFont"/>
              <w:keepNext/>
            </w:pPr>
          </w:p>
        </w:tc>
      </w:tr>
      <w:tr w:rsidR="00C77682" w:rsidRPr="00451153" w:rsidTr="00430D51">
        <w:trPr>
          <w:trHeight w:val="629"/>
          <w:jc w:val="center"/>
        </w:trPr>
        <w:tc>
          <w:tcPr>
            <w:tcW w:w="6795" w:type="dxa"/>
            <w:gridSpan w:val="5"/>
            <w:tcBorders>
              <w:top w:val="single" w:sz="4" w:space="0" w:color="auto"/>
              <w:left w:val="single" w:sz="4" w:space="0" w:color="auto"/>
              <w:bottom w:val="single" w:sz="4" w:space="0" w:color="auto"/>
            </w:tcBorders>
            <w:vAlign w:val="center"/>
          </w:tcPr>
          <w:p w:rsidR="00C77682" w:rsidRDefault="00C77682" w:rsidP="00C77682">
            <w:pPr>
              <w:pStyle w:val="TableFont"/>
              <w:keepNext/>
            </w:pPr>
            <w:r>
              <w:t>Design Infiltration Rate, in/hr, K</w:t>
            </w:r>
            <w:r w:rsidRPr="00C77682">
              <w:rPr>
                <w:vertAlign w:val="subscript"/>
              </w:rPr>
              <w:t>DESIGN</w:t>
            </w:r>
            <w:r>
              <w:rPr>
                <w:vertAlign w:val="subscript"/>
              </w:rPr>
              <w:t xml:space="preserve"> </w:t>
            </w:r>
            <w:r w:rsidRPr="00C77682">
              <w:t xml:space="preserve">= </w:t>
            </w:r>
            <w:r>
              <w:t>S</w:t>
            </w:r>
            <w:r w:rsidRPr="00C77682">
              <w:rPr>
                <w:vertAlign w:val="subscript"/>
              </w:rPr>
              <w:t>T</w:t>
            </w:r>
            <w:r>
              <w:rPr>
                <w:vertAlign w:val="subscript"/>
              </w:rPr>
              <w:t xml:space="preserve">OT </w:t>
            </w:r>
            <w:r w:rsidRPr="00C77682">
              <w:t xml:space="preserve">× </w:t>
            </w:r>
            <w:r>
              <w:t>K</w:t>
            </w:r>
            <w:r w:rsidRPr="00C77682">
              <w:rPr>
                <w:vertAlign w:val="subscript"/>
              </w:rPr>
              <w:t>M</w:t>
            </w:r>
          </w:p>
        </w:tc>
        <w:tc>
          <w:tcPr>
            <w:tcW w:w="2160" w:type="dxa"/>
            <w:gridSpan w:val="2"/>
            <w:tcBorders>
              <w:top w:val="single" w:sz="4" w:space="0" w:color="auto"/>
              <w:bottom w:val="single" w:sz="4" w:space="0" w:color="auto"/>
              <w:right w:val="single" w:sz="4" w:space="0" w:color="auto"/>
            </w:tcBorders>
            <w:vAlign w:val="center"/>
          </w:tcPr>
          <w:p w:rsidR="00C77682" w:rsidRPr="00451153" w:rsidRDefault="00C77682" w:rsidP="00DF24E8">
            <w:pPr>
              <w:pStyle w:val="TableFont"/>
              <w:keepNext/>
            </w:pPr>
          </w:p>
        </w:tc>
      </w:tr>
      <w:tr w:rsidR="00C77682" w:rsidRPr="00451153" w:rsidTr="00430D51">
        <w:trPr>
          <w:jc w:val="center"/>
        </w:trPr>
        <w:tc>
          <w:tcPr>
            <w:tcW w:w="8955" w:type="dxa"/>
            <w:gridSpan w:val="7"/>
            <w:tcBorders>
              <w:top w:val="single" w:sz="4" w:space="0" w:color="auto"/>
              <w:left w:val="single" w:sz="4" w:space="0" w:color="auto"/>
              <w:bottom w:val="single" w:sz="4" w:space="0" w:color="auto"/>
              <w:right w:val="single" w:sz="4" w:space="0" w:color="auto"/>
            </w:tcBorders>
            <w:shd w:val="clear" w:color="auto" w:fill="000000" w:themeFill="text1"/>
            <w:vAlign w:val="center"/>
          </w:tcPr>
          <w:p w:rsidR="00C77682" w:rsidRPr="00C77682" w:rsidRDefault="00C77682" w:rsidP="00DF24E8">
            <w:pPr>
              <w:pStyle w:val="TableFont"/>
              <w:keepNext/>
              <w:rPr>
                <w:b/>
              </w:rPr>
            </w:pPr>
            <w:r w:rsidRPr="00C77682">
              <w:rPr>
                <w:b/>
              </w:rPr>
              <w:t>Supporting Data</w:t>
            </w:r>
          </w:p>
        </w:tc>
      </w:tr>
      <w:tr w:rsidR="00C77682" w:rsidRPr="00451153" w:rsidTr="00430D51">
        <w:trPr>
          <w:trHeight w:val="3266"/>
          <w:jc w:val="center"/>
        </w:trPr>
        <w:tc>
          <w:tcPr>
            <w:tcW w:w="8955" w:type="dxa"/>
            <w:gridSpan w:val="7"/>
            <w:tcBorders>
              <w:top w:val="single" w:sz="4" w:space="0" w:color="auto"/>
              <w:left w:val="single" w:sz="4" w:space="0" w:color="auto"/>
              <w:bottom w:val="single" w:sz="4" w:space="0" w:color="auto"/>
              <w:right w:val="single" w:sz="4" w:space="0" w:color="auto"/>
            </w:tcBorders>
            <w:vAlign w:val="center"/>
          </w:tcPr>
          <w:p w:rsidR="00C77682" w:rsidRDefault="00C77682" w:rsidP="00C77682">
            <w:pPr>
              <w:pStyle w:val="TableFont"/>
              <w:keepNext/>
            </w:pPr>
            <w:r>
              <w:t>Briefly describe infiltration test and provide reference to test forms:</w:t>
            </w:r>
          </w:p>
          <w:p w:rsidR="00C77682" w:rsidRDefault="00C77682" w:rsidP="00C77682">
            <w:pPr>
              <w:pStyle w:val="TableFont"/>
              <w:keepNext/>
            </w:pPr>
          </w:p>
          <w:p w:rsidR="00C77682" w:rsidRDefault="00C77682" w:rsidP="00C77682">
            <w:pPr>
              <w:pStyle w:val="TableFont"/>
              <w:keepNext/>
            </w:pPr>
          </w:p>
          <w:p w:rsidR="00C77682" w:rsidRDefault="00C77682" w:rsidP="00C77682">
            <w:pPr>
              <w:pStyle w:val="TableFont"/>
              <w:keepNext/>
            </w:pPr>
          </w:p>
          <w:p w:rsidR="00C77682" w:rsidRDefault="00C77682" w:rsidP="00C77682">
            <w:pPr>
              <w:pStyle w:val="TableFont"/>
              <w:keepNext/>
            </w:pPr>
          </w:p>
          <w:p w:rsidR="00C77682" w:rsidRDefault="00C77682" w:rsidP="00C77682">
            <w:pPr>
              <w:pStyle w:val="TableFont"/>
              <w:keepNext/>
            </w:pPr>
          </w:p>
          <w:p w:rsidR="00C77682" w:rsidRDefault="00C77682" w:rsidP="00C77682">
            <w:pPr>
              <w:pStyle w:val="TableFont"/>
              <w:keepNext/>
            </w:pPr>
          </w:p>
          <w:p w:rsidR="00C77682" w:rsidRDefault="00C77682" w:rsidP="00C77682">
            <w:pPr>
              <w:pStyle w:val="TableFont"/>
              <w:keepNext/>
            </w:pPr>
          </w:p>
          <w:p w:rsidR="00C77682" w:rsidRDefault="00C77682" w:rsidP="00C77682">
            <w:pPr>
              <w:pStyle w:val="TableFont"/>
              <w:keepNext/>
            </w:pPr>
          </w:p>
          <w:p w:rsidR="00C77682" w:rsidRDefault="00C77682" w:rsidP="00C77682">
            <w:pPr>
              <w:pStyle w:val="TableFont"/>
              <w:keepNext/>
            </w:pPr>
          </w:p>
          <w:p w:rsidR="00C77682" w:rsidRPr="00451153" w:rsidRDefault="00C77682" w:rsidP="00DF24E8">
            <w:pPr>
              <w:pStyle w:val="TableFont"/>
              <w:keepNext/>
            </w:pPr>
          </w:p>
        </w:tc>
      </w:tr>
    </w:tbl>
    <w:p w:rsidR="00F94DDF" w:rsidRDefault="00F94DDF" w:rsidP="00F94DDF">
      <w:pPr>
        <w:ind w:left="450"/>
        <w:rPr>
          <w:rFonts w:ascii="Arial" w:hAnsi="Arial" w:cs="Arial"/>
          <w:sz w:val="20"/>
          <w:szCs w:val="20"/>
        </w:rPr>
      </w:pPr>
      <w:r w:rsidRPr="00443FD8">
        <w:rPr>
          <w:rFonts w:ascii="Arial" w:hAnsi="Arial" w:cs="Arial"/>
          <w:b/>
          <w:sz w:val="20"/>
          <w:szCs w:val="20"/>
        </w:rPr>
        <w:t>Note:</w:t>
      </w:r>
      <w:r w:rsidRPr="00443FD8">
        <w:rPr>
          <w:rFonts w:ascii="Arial" w:hAnsi="Arial" w:cs="Arial"/>
          <w:sz w:val="20"/>
          <w:szCs w:val="20"/>
        </w:rPr>
        <w:t xml:space="preserve"> The minimum combined adjustment factor shall not be less </w:t>
      </w:r>
      <w:r>
        <w:rPr>
          <w:rFonts w:ascii="Arial" w:hAnsi="Arial" w:cs="Arial"/>
          <w:sz w:val="20"/>
          <w:szCs w:val="20"/>
        </w:rPr>
        <w:t>than 2.0</w:t>
      </w:r>
      <w:r w:rsidRPr="00443FD8">
        <w:rPr>
          <w:rFonts w:ascii="Arial" w:hAnsi="Arial" w:cs="Arial"/>
          <w:sz w:val="20"/>
          <w:szCs w:val="20"/>
        </w:rPr>
        <w:t xml:space="preserve"> and the maximum combined adjustment factor shall not exceed 9</w:t>
      </w:r>
      <w:r>
        <w:rPr>
          <w:rFonts w:ascii="Arial" w:hAnsi="Arial" w:cs="Arial"/>
          <w:sz w:val="20"/>
          <w:szCs w:val="20"/>
        </w:rPr>
        <w:t>.0</w:t>
      </w:r>
      <w:r w:rsidRPr="00443FD8">
        <w:rPr>
          <w:rFonts w:ascii="Arial" w:hAnsi="Arial" w:cs="Arial"/>
          <w:sz w:val="20"/>
          <w:szCs w:val="20"/>
        </w:rPr>
        <w:t>.</w:t>
      </w:r>
    </w:p>
    <w:p w:rsidR="00C77682" w:rsidRDefault="00C77682" w:rsidP="00F94DDF">
      <w:pPr>
        <w:ind w:left="450"/>
        <w:rPr>
          <w:rFonts w:ascii="Arial" w:hAnsi="Arial" w:cs="Arial"/>
          <w:sz w:val="20"/>
          <w:szCs w:val="20"/>
        </w:rPr>
      </w:pPr>
    </w:p>
    <w:p w:rsidR="00FE3A73" w:rsidRDefault="009B1043" w:rsidP="00A52883">
      <w:pPr>
        <w:pStyle w:val="Heading2"/>
      </w:pPr>
      <w:bookmarkStart w:id="490" w:name="_Toc216167475"/>
      <w:bookmarkStart w:id="491" w:name="_Toc285308161"/>
      <w:bookmarkStart w:id="492" w:name="_Toc285315745"/>
      <w:bookmarkStart w:id="493" w:name="_Toc285492464"/>
      <w:bookmarkStart w:id="494" w:name="_Toc288541084"/>
      <w:bookmarkStart w:id="495" w:name="_Toc293937141"/>
      <w:r w:rsidRPr="009B1043">
        <w:t>References</w:t>
      </w:r>
      <w:bookmarkEnd w:id="490"/>
      <w:bookmarkEnd w:id="491"/>
      <w:bookmarkEnd w:id="492"/>
      <w:bookmarkEnd w:id="493"/>
      <w:bookmarkEnd w:id="494"/>
      <w:bookmarkEnd w:id="495"/>
    </w:p>
    <w:p w:rsidR="009B1043" w:rsidRDefault="009B1043" w:rsidP="009B1043">
      <w:pPr>
        <w:ind w:left="360" w:hanging="360"/>
      </w:pPr>
      <w:proofErr w:type="gramStart"/>
      <w:r>
        <w:t>ASTM D 3385-94, 2003</w:t>
      </w:r>
      <w:r w:rsidRPr="00E33F3D">
        <w:t>.</w:t>
      </w:r>
      <w:proofErr w:type="gramEnd"/>
      <w:r w:rsidRPr="00E33F3D">
        <w:t xml:space="preserve"> </w:t>
      </w:r>
      <w:proofErr w:type="gramStart"/>
      <w:r w:rsidRPr="00E33F3D">
        <w:t>“Standard Test Method for Infiltration Rate of Soils Field Using Double-Ring Infiltrometer.”</w:t>
      </w:r>
      <w:proofErr w:type="gramEnd"/>
      <w:r w:rsidRPr="00E33F3D">
        <w:t xml:space="preserve"> </w:t>
      </w:r>
      <w:proofErr w:type="gramStart"/>
      <w:r w:rsidRPr="00E33F3D">
        <w:t>American Society for Testing Materials, Conshohocken, PA.</w:t>
      </w:r>
      <w:proofErr w:type="gramEnd"/>
      <w:r w:rsidRPr="00E33F3D">
        <w:t xml:space="preserve"> 10 Jun</w:t>
      </w:r>
      <w:r>
        <w:t>,</w:t>
      </w:r>
      <w:r w:rsidRPr="00E33F3D">
        <w:t xml:space="preserve"> 2003</w:t>
      </w:r>
      <w:r>
        <w:t>.</w:t>
      </w:r>
    </w:p>
    <w:p w:rsidR="009B1043" w:rsidRDefault="009B1043" w:rsidP="009B1043">
      <w:pPr>
        <w:ind w:left="360" w:hanging="360"/>
      </w:pPr>
      <w:proofErr w:type="gramStart"/>
      <w:r>
        <w:t>Caltrans, 2003.</w:t>
      </w:r>
      <w:proofErr w:type="gramEnd"/>
      <w:r>
        <w:t xml:space="preserve"> </w:t>
      </w:r>
      <w:proofErr w:type="gramStart"/>
      <w:r>
        <w:t>“Infiltration Basin Site Selection”.</w:t>
      </w:r>
      <w:proofErr w:type="gramEnd"/>
      <w:r>
        <w:t xml:space="preserve"> Study Volume I. California Department of Transportation. Report No. </w:t>
      </w:r>
      <w:proofErr w:type="gramStart"/>
      <w:r w:rsidRPr="00860F1E">
        <w:t>CTSW-RT-03-025</w:t>
      </w:r>
      <w:r>
        <w:t>.</w:t>
      </w:r>
      <w:proofErr w:type="gramEnd"/>
    </w:p>
    <w:p w:rsidR="009B1043" w:rsidRDefault="009B1043" w:rsidP="009B1043">
      <w:pPr>
        <w:ind w:left="360" w:hanging="360"/>
      </w:pPr>
      <w:proofErr w:type="gramStart"/>
      <w:r>
        <w:t>City of Portland, 2010.</w:t>
      </w:r>
      <w:proofErr w:type="gramEnd"/>
      <w:r>
        <w:t xml:space="preserve"> </w:t>
      </w:r>
      <w:r w:rsidRPr="00443FD8">
        <w:rPr>
          <w:i/>
        </w:rPr>
        <w:t>Appendix F.2: Infiltration Testing.</w:t>
      </w:r>
      <w:r>
        <w:t xml:space="preserve"> Portland Stormwater Management Manual, Revised February 1, 2010.</w:t>
      </w:r>
    </w:p>
    <w:p w:rsidR="0013104B" w:rsidRPr="0059675C" w:rsidRDefault="009B1043" w:rsidP="00C14658">
      <w:pPr>
        <w:ind w:left="360" w:hanging="360"/>
      </w:pPr>
      <w:proofErr w:type="gramStart"/>
      <w:r w:rsidRPr="005A17F2">
        <w:t>United State</w:t>
      </w:r>
      <w:r>
        <w:t>s</w:t>
      </w:r>
      <w:r w:rsidRPr="005A17F2">
        <w:t xml:space="preserve"> </w:t>
      </w:r>
      <w:r>
        <w:t xml:space="preserve">Department of the Interior, Bureau of Reclamation (USBR), 1990a, "Procedure for Performing Field Permeability Testing by the Well </w:t>
      </w:r>
      <w:proofErr w:type="spellStart"/>
      <w:r>
        <w:t>Permeameter</w:t>
      </w:r>
      <w:proofErr w:type="spellEnd"/>
      <w:r>
        <w:t xml:space="preserve"> Method (USBR 7300-89)," in </w:t>
      </w:r>
      <w:r w:rsidRPr="00860F1E">
        <w:t>Earth Manual, Part 2, A Water Resources Technical Publication</w:t>
      </w:r>
      <w:r>
        <w:t>, 3rd ed., Bureau of Reclamation, Denver, Colo.</w:t>
      </w:r>
      <w:proofErr w:type="gramEnd"/>
      <w:r w:rsidR="00C14658">
        <w:t xml:space="preserve">  </w:t>
      </w:r>
    </w:p>
    <w:p w:rsidR="002F160D" w:rsidRDefault="002F160D" w:rsidP="003E7813">
      <w:pPr>
        <w:pStyle w:val="CDMBTEXT"/>
      </w:pPr>
    </w:p>
    <w:p w:rsidR="003E7813" w:rsidRPr="003E7813" w:rsidRDefault="003E7813" w:rsidP="003E7813">
      <w:pPr>
        <w:sectPr w:rsidR="003E7813" w:rsidRPr="003E7813" w:rsidSect="00BF43BB">
          <w:pgSz w:w="12240" w:h="15840" w:code="1"/>
          <w:pgMar w:top="1440" w:right="1440" w:bottom="1440" w:left="1440" w:header="720" w:footer="432" w:gutter="0"/>
          <w:pgNumType w:start="1" w:chapStyle="1"/>
          <w:cols w:space="720"/>
          <w:docGrid w:linePitch="360"/>
        </w:sectPr>
      </w:pPr>
    </w:p>
    <w:p w:rsidR="0013104B" w:rsidRDefault="004C6431" w:rsidP="00A52883">
      <w:pPr>
        <w:pStyle w:val="Heading1"/>
      </w:pPr>
      <w:bookmarkStart w:id="496" w:name="_Groundwater-Related_Infiltration_Fe"/>
      <w:bookmarkStart w:id="497" w:name="_Toc285308162"/>
      <w:bookmarkStart w:id="498" w:name="_Toc285315746"/>
      <w:bookmarkStart w:id="499" w:name="_Toc285315897"/>
      <w:bookmarkStart w:id="500" w:name="_Toc285492465"/>
      <w:bookmarkStart w:id="501" w:name="_Toc288541085"/>
      <w:bookmarkStart w:id="502" w:name="_Toc293937142"/>
      <w:bookmarkEnd w:id="496"/>
      <w:r>
        <w:rPr>
          <w:caps w:val="0"/>
        </w:rPr>
        <w:t>GROUNDWATER-RELATED INFILTRATION FEASIBILITY CRITERIA</w:t>
      </w:r>
      <w:bookmarkEnd w:id="497"/>
      <w:bookmarkEnd w:id="498"/>
      <w:bookmarkEnd w:id="499"/>
      <w:bookmarkEnd w:id="500"/>
      <w:bookmarkEnd w:id="501"/>
      <w:bookmarkEnd w:id="502"/>
    </w:p>
    <w:p w:rsidR="004266A7" w:rsidRDefault="004266A7" w:rsidP="004266A7">
      <w:r>
        <w:t>Infiltration BMPs shall not be used where they would adversely affect groundwater quality or where depth to groundwater would limit infiltration. The purpose of this section is to provide guidelines for allowable use of infiltration BMPs to protect groundwater quality and ensure physical feasibility relative to groundwater</w:t>
      </w:r>
      <w:r w:rsidR="00DC2637">
        <w:t xml:space="preserve"> and groundwater-related geotechnical considerations</w:t>
      </w:r>
      <w:r>
        <w:t>.</w:t>
      </w:r>
      <w:r w:rsidR="00D84F1C">
        <w:t xml:space="preserve"> </w:t>
      </w:r>
      <w:r>
        <w:t xml:space="preserve"> This section considers: </w:t>
      </w:r>
    </w:p>
    <w:p w:rsidR="004266A7" w:rsidRDefault="004266A7" w:rsidP="009531AF">
      <w:pPr>
        <w:pStyle w:val="ListParagraph"/>
        <w:numPr>
          <w:ilvl w:val="0"/>
          <w:numId w:val="24"/>
        </w:numPr>
        <w:tabs>
          <w:tab w:val="left" w:pos="950"/>
        </w:tabs>
        <w:spacing w:after="120" w:line="264" w:lineRule="auto"/>
        <w:jc w:val="both"/>
      </w:pPr>
      <w:r>
        <w:t>Depth to groundwater</w:t>
      </w:r>
      <w:r w:rsidR="00B04A99">
        <w:t xml:space="preserve"> and mounding potential</w:t>
      </w:r>
      <w:r>
        <w:t>,</w:t>
      </w:r>
    </w:p>
    <w:p w:rsidR="004266A7" w:rsidRDefault="004266A7" w:rsidP="009531AF">
      <w:pPr>
        <w:pStyle w:val="ListParagraph"/>
        <w:numPr>
          <w:ilvl w:val="0"/>
          <w:numId w:val="24"/>
        </w:numPr>
        <w:tabs>
          <w:tab w:val="left" w:pos="950"/>
        </w:tabs>
        <w:spacing w:after="120" w:line="264" w:lineRule="auto"/>
        <w:jc w:val="both"/>
      </w:pPr>
      <w:r>
        <w:t>Presence of groundwater plumes,</w:t>
      </w:r>
    </w:p>
    <w:p w:rsidR="004266A7" w:rsidRDefault="004266A7" w:rsidP="009531AF">
      <w:pPr>
        <w:pStyle w:val="ListParagraph"/>
        <w:numPr>
          <w:ilvl w:val="0"/>
          <w:numId w:val="24"/>
        </w:numPr>
        <w:tabs>
          <w:tab w:val="left" w:pos="950"/>
        </w:tabs>
        <w:spacing w:after="120" w:line="264" w:lineRule="auto"/>
        <w:jc w:val="both"/>
      </w:pPr>
      <w:r>
        <w:t xml:space="preserve">Wellhead protection and septic systems, </w:t>
      </w:r>
    </w:p>
    <w:p w:rsidR="004266A7" w:rsidRDefault="004266A7" w:rsidP="009531AF">
      <w:pPr>
        <w:pStyle w:val="ListParagraph"/>
        <w:numPr>
          <w:ilvl w:val="0"/>
          <w:numId w:val="24"/>
        </w:numPr>
        <w:tabs>
          <w:tab w:val="left" w:pos="950"/>
        </w:tabs>
        <w:spacing w:after="120" w:line="264" w:lineRule="auto"/>
        <w:jc w:val="both"/>
      </w:pPr>
      <w:r>
        <w:t xml:space="preserve">Contamination risks from land use activities in the area tributary to the BMP, </w:t>
      </w:r>
    </w:p>
    <w:p w:rsidR="004266A7" w:rsidRDefault="004266A7" w:rsidP="009531AF">
      <w:pPr>
        <w:pStyle w:val="ListParagraph"/>
        <w:numPr>
          <w:ilvl w:val="0"/>
          <w:numId w:val="24"/>
        </w:numPr>
        <w:tabs>
          <w:tab w:val="left" w:pos="950"/>
        </w:tabs>
        <w:spacing w:after="120" w:line="264" w:lineRule="auto"/>
        <w:jc w:val="both"/>
      </w:pPr>
      <w:r>
        <w:t>Consultation with applicable groundwater agencies, and</w:t>
      </w:r>
    </w:p>
    <w:p w:rsidR="004266A7" w:rsidRDefault="004266A7" w:rsidP="009531AF">
      <w:pPr>
        <w:pStyle w:val="ListParagraph"/>
        <w:numPr>
          <w:ilvl w:val="0"/>
          <w:numId w:val="24"/>
        </w:numPr>
        <w:tabs>
          <w:tab w:val="left" w:pos="950"/>
        </w:tabs>
        <w:spacing w:after="120" w:line="264" w:lineRule="auto"/>
        <w:jc w:val="both"/>
      </w:pPr>
      <w:r>
        <w:t>Technical requirements for conducting site specific studies,</w:t>
      </w:r>
    </w:p>
    <w:p w:rsidR="004266A7" w:rsidRPr="00123AC0" w:rsidRDefault="004266A7" w:rsidP="00A52883">
      <w:pPr>
        <w:pStyle w:val="Heading2"/>
      </w:pPr>
      <w:bookmarkStart w:id="503" w:name="_Toc285308163"/>
      <w:bookmarkStart w:id="504" w:name="_Toc285315747"/>
      <w:bookmarkStart w:id="505" w:name="_Toc285492466"/>
      <w:bookmarkStart w:id="506" w:name="_Toc288541086"/>
      <w:bookmarkStart w:id="507" w:name="_Toc293937143"/>
      <w:r w:rsidRPr="00123AC0">
        <w:t>Intended Use</w:t>
      </w:r>
      <w:bookmarkEnd w:id="503"/>
      <w:bookmarkEnd w:id="504"/>
      <w:bookmarkEnd w:id="505"/>
      <w:bookmarkEnd w:id="506"/>
      <w:bookmarkEnd w:id="507"/>
    </w:p>
    <w:p w:rsidR="00D84F1C" w:rsidRDefault="004266A7" w:rsidP="004266A7">
      <w:r>
        <w:t>The criteria contained in this section are intended to be use</w:t>
      </w:r>
      <w:r w:rsidR="00D84F1C">
        <w:t>d</w:t>
      </w:r>
      <w:r>
        <w:t xml:space="preserve"> </w:t>
      </w:r>
      <w:r w:rsidRPr="00123AC0">
        <w:t>as part of</w:t>
      </w:r>
      <w:r>
        <w:t xml:space="preserve"> the overall feasibility screening process. If other feasibility criteria (e.g., low soil infiltration rate) render infiltration infeasible, it is not necessary to also consider the criteria contained in this section. However, before infiltration BMPs are approved for use on a project, these groundwater quality-related criteria must be evaluated. </w:t>
      </w:r>
    </w:p>
    <w:p w:rsidR="00FE3A73" w:rsidRDefault="004266A7" w:rsidP="00A52883">
      <w:pPr>
        <w:pStyle w:val="Heading2"/>
      </w:pPr>
      <w:bookmarkStart w:id="508" w:name="_Toc285308164"/>
      <w:bookmarkStart w:id="509" w:name="_Toc285315748"/>
      <w:bookmarkStart w:id="510" w:name="_Toc285492467"/>
      <w:bookmarkStart w:id="511" w:name="_Ref285571512"/>
      <w:bookmarkStart w:id="512" w:name="_Toc288541087"/>
      <w:bookmarkStart w:id="513" w:name="_Toc293937144"/>
      <w:r>
        <w:t>Depth to Groundwater</w:t>
      </w:r>
      <w:bookmarkEnd w:id="508"/>
      <w:bookmarkEnd w:id="509"/>
      <w:r w:rsidR="00B04A99">
        <w:t xml:space="preserve"> and Mounding Potential</w:t>
      </w:r>
      <w:bookmarkEnd w:id="510"/>
      <w:bookmarkEnd w:id="511"/>
      <w:bookmarkEnd w:id="512"/>
      <w:bookmarkEnd w:id="513"/>
    </w:p>
    <w:p w:rsidR="004266A7" w:rsidRDefault="004266A7" w:rsidP="004266A7">
      <w:pPr>
        <w:pStyle w:val="BodyText"/>
      </w:pPr>
      <w:r>
        <w:t>Minimum separation between the infiltrating surface</w:t>
      </w:r>
      <w:r w:rsidR="00DC2637">
        <w:t xml:space="preserve"> (bottom of infiltration facility)</w:t>
      </w:r>
      <w:r>
        <w:t xml:space="preserve"> and seasonally high mounded groundwater shall be observed in the design of infiltration BMPs, depending on BMP type.  </w:t>
      </w:r>
    </w:p>
    <w:p w:rsidR="0085199C" w:rsidRDefault="0085199C" w:rsidP="009531AF">
      <w:pPr>
        <w:pStyle w:val="ListParagraph"/>
        <w:numPr>
          <w:ilvl w:val="0"/>
          <w:numId w:val="25"/>
        </w:numPr>
        <w:tabs>
          <w:tab w:val="left" w:pos="950"/>
        </w:tabs>
        <w:spacing w:after="120" w:line="264" w:lineRule="auto"/>
        <w:jc w:val="both"/>
      </w:pPr>
      <w:r>
        <w:t xml:space="preserve">If the depth to </w:t>
      </w:r>
      <w:proofErr w:type="spellStart"/>
      <w:r>
        <w:t>unmounded</w:t>
      </w:r>
      <w:proofErr w:type="spellEnd"/>
      <w:r>
        <w:t xml:space="preserve"> seasonally high groundwater is greater than 15 feet, the depth to groundwater </w:t>
      </w:r>
      <w:r w:rsidRPr="00B6061E">
        <w:t>does not constrain infiltration</w:t>
      </w:r>
      <w:r>
        <w:t xml:space="preserve">  </w:t>
      </w:r>
    </w:p>
    <w:p w:rsidR="004266A7" w:rsidRDefault="004266A7" w:rsidP="009531AF">
      <w:pPr>
        <w:pStyle w:val="ListParagraph"/>
        <w:numPr>
          <w:ilvl w:val="0"/>
          <w:numId w:val="25"/>
        </w:numPr>
        <w:tabs>
          <w:tab w:val="left" w:pos="950"/>
        </w:tabs>
        <w:spacing w:after="120" w:line="264" w:lineRule="auto"/>
        <w:jc w:val="both"/>
      </w:pPr>
      <w:r w:rsidRPr="00B6061E">
        <w:t xml:space="preserve">If </w:t>
      </w:r>
      <w:r>
        <w:t xml:space="preserve">separation to </w:t>
      </w:r>
      <w:proofErr w:type="spellStart"/>
      <w:r w:rsidR="0085199C">
        <w:t>unmounded</w:t>
      </w:r>
      <w:proofErr w:type="spellEnd"/>
      <w:r w:rsidR="0085199C">
        <w:t xml:space="preserve"> </w:t>
      </w:r>
      <w:r>
        <w:t xml:space="preserve">seasonally high groundwater is </w:t>
      </w:r>
      <w:r w:rsidRPr="00B6061E">
        <w:t>greater than 10-f</w:t>
      </w:r>
      <w:r>
        <w:t>ee</w:t>
      </w:r>
      <w:r w:rsidRPr="00B6061E">
        <w:t>t</w:t>
      </w:r>
      <w:r w:rsidR="00B04A99">
        <w:t xml:space="preserve"> and the infiltration area is less than </w:t>
      </w:r>
      <w:r w:rsidR="00DC2637">
        <w:t>2,000 sq-ft</w:t>
      </w:r>
      <w:r w:rsidRPr="00B6061E">
        <w:t xml:space="preserve">, </w:t>
      </w:r>
      <w:r w:rsidR="00C457D8">
        <w:t xml:space="preserve">the </w:t>
      </w:r>
      <w:r>
        <w:t xml:space="preserve">depth to groundwater </w:t>
      </w:r>
      <w:r w:rsidRPr="00B6061E">
        <w:t>does not constrain infiltration</w:t>
      </w:r>
      <w:r>
        <w:t>.</w:t>
      </w:r>
    </w:p>
    <w:p w:rsidR="004266A7" w:rsidRDefault="00D84F1C" w:rsidP="009531AF">
      <w:pPr>
        <w:pStyle w:val="ListParagraph"/>
        <w:numPr>
          <w:ilvl w:val="0"/>
          <w:numId w:val="25"/>
        </w:numPr>
        <w:tabs>
          <w:tab w:val="left" w:pos="950"/>
        </w:tabs>
        <w:spacing w:after="120" w:line="264" w:lineRule="auto"/>
        <w:jc w:val="both"/>
      </w:pPr>
      <w:r>
        <w:t xml:space="preserve">The </w:t>
      </w:r>
      <w:r w:rsidR="00C14658">
        <w:t>separation between the infiltrating surface</w:t>
      </w:r>
      <w:r w:rsidR="00DC2637">
        <w:t xml:space="preserve"> and</w:t>
      </w:r>
      <w:r w:rsidR="00C14658">
        <w:t xml:space="preserve"> the</w:t>
      </w:r>
      <w:r w:rsidR="004266A7">
        <w:t xml:space="preserve"> seasonally high mounded groundwater </w:t>
      </w:r>
      <w:r w:rsidR="00C14658">
        <w:t xml:space="preserve">table shall not be less than 5 feet </w:t>
      </w:r>
      <w:r w:rsidR="004266A7">
        <w:t xml:space="preserve">for all BMP types. BMPs for which 5-foot </w:t>
      </w:r>
      <w:r w:rsidR="00DC2637">
        <w:t xml:space="preserve">minimum </w:t>
      </w:r>
      <w:r w:rsidR="004266A7">
        <w:t>separation applies include:</w:t>
      </w:r>
    </w:p>
    <w:p w:rsidR="004266A7" w:rsidRDefault="004266A7" w:rsidP="004266A7">
      <w:pPr>
        <w:pStyle w:val="ListParagraph"/>
      </w:pPr>
    </w:p>
    <w:p w:rsidR="004266A7" w:rsidRDefault="004266A7" w:rsidP="009531AF">
      <w:pPr>
        <w:pStyle w:val="ListParagraph"/>
        <w:numPr>
          <w:ilvl w:val="1"/>
          <w:numId w:val="25"/>
        </w:numPr>
        <w:tabs>
          <w:tab w:val="left" w:pos="950"/>
        </w:tabs>
        <w:spacing w:after="120" w:line="264" w:lineRule="auto"/>
        <w:jc w:val="both"/>
      </w:pPr>
      <w:r>
        <w:t>Rain gardens and dispersion trenches (small, residential applications)</w:t>
      </w:r>
    </w:p>
    <w:p w:rsidR="004266A7" w:rsidRDefault="004266A7" w:rsidP="009531AF">
      <w:pPr>
        <w:pStyle w:val="ListParagraph"/>
        <w:numPr>
          <w:ilvl w:val="1"/>
          <w:numId w:val="25"/>
        </w:numPr>
        <w:tabs>
          <w:tab w:val="left" w:pos="950"/>
        </w:tabs>
        <w:spacing w:after="120" w:line="264" w:lineRule="auto"/>
        <w:jc w:val="both"/>
      </w:pPr>
      <w:r>
        <w:t xml:space="preserve">Bioretention and planters </w:t>
      </w:r>
    </w:p>
    <w:p w:rsidR="004266A7" w:rsidRDefault="004266A7" w:rsidP="009531AF">
      <w:pPr>
        <w:pStyle w:val="ListParagraph"/>
        <w:numPr>
          <w:ilvl w:val="1"/>
          <w:numId w:val="25"/>
        </w:numPr>
        <w:tabs>
          <w:tab w:val="left" w:pos="950"/>
        </w:tabs>
        <w:spacing w:after="120" w:line="264" w:lineRule="auto"/>
        <w:jc w:val="both"/>
      </w:pPr>
      <w:r>
        <w:t>Permeable Pavement</w:t>
      </w:r>
    </w:p>
    <w:p w:rsidR="004266A7" w:rsidRDefault="004266A7" w:rsidP="009531AF">
      <w:pPr>
        <w:pStyle w:val="ListParagraph"/>
        <w:numPr>
          <w:ilvl w:val="1"/>
          <w:numId w:val="25"/>
        </w:numPr>
        <w:tabs>
          <w:tab w:val="left" w:pos="950"/>
        </w:tabs>
        <w:spacing w:after="120" w:line="264" w:lineRule="auto"/>
        <w:jc w:val="both"/>
      </w:pPr>
      <w:r>
        <w:t>Similar BMPs infiltrating over an extensive surface area and providing robust pretreatment or embedded treatment processes.</w:t>
      </w:r>
    </w:p>
    <w:p w:rsidR="004266A7" w:rsidRDefault="004266A7" w:rsidP="004266A7">
      <w:pPr>
        <w:pStyle w:val="ListParagraph"/>
        <w:ind w:left="1440"/>
      </w:pPr>
    </w:p>
    <w:p w:rsidR="004266A7" w:rsidRDefault="004266A7" w:rsidP="009531AF">
      <w:pPr>
        <w:pStyle w:val="ListParagraph"/>
        <w:numPr>
          <w:ilvl w:val="0"/>
          <w:numId w:val="25"/>
        </w:numPr>
        <w:tabs>
          <w:tab w:val="left" w:pos="950"/>
        </w:tabs>
        <w:spacing w:after="120" w:line="264" w:lineRule="auto"/>
        <w:jc w:val="both"/>
      </w:pPr>
      <w:r>
        <w:t xml:space="preserve">Separation to </w:t>
      </w:r>
      <w:r w:rsidR="00C457D8">
        <w:t xml:space="preserve">mounded </w:t>
      </w:r>
      <w:r>
        <w:t>seasonally high groundwater shall be at least 10 feet for infiltration devices that inject water below the subsurface and surface infiltration BMPs w</w:t>
      </w:r>
      <w:r w:rsidR="00DC2637">
        <w:t>ith tributary area and land use activities</w:t>
      </w:r>
      <w:r>
        <w:t xml:space="preserve"> that</w:t>
      </w:r>
      <w:r w:rsidR="00DC2637">
        <w:t xml:space="preserve"> are considered to</w:t>
      </w:r>
      <w:r>
        <w:t xml:space="preserve"> pose a </w:t>
      </w:r>
      <w:r w:rsidR="00DC2637">
        <w:t xml:space="preserve">more </w:t>
      </w:r>
      <w:r>
        <w:t>significant risk to groundwater quality. BMPs for which the 10-foot separation applies include:</w:t>
      </w:r>
    </w:p>
    <w:p w:rsidR="004266A7" w:rsidRDefault="004266A7" w:rsidP="004266A7">
      <w:pPr>
        <w:pStyle w:val="ListParagraph"/>
      </w:pPr>
    </w:p>
    <w:p w:rsidR="004266A7" w:rsidRDefault="004266A7" w:rsidP="009531AF">
      <w:pPr>
        <w:pStyle w:val="ListParagraph"/>
        <w:numPr>
          <w:ilvl w:val="1"/>
          <w:numId w:val="25"/>
        </w:numPr>
        <w:tabs>
          <w:tab w:val="left" w:pos="950"/>
        </w:tabs>
        <w:spacing w:after="120" w:line="264" w:lineRule="auto"/>
        <w:jc w:val="both"/>
      </w:pPr>
      <w:r>
        <w:t>Dry wells</w:t>
      </w:r>
    </w:p>
    <w:p w:rsidR="004266A7" w:rsidRDefault="004266A7" w:rsidP="009531AF">
      <w:pPr>
        <w:pStyle w:val="ListParagraph"/>
        <w:numPr>
          <w:ilvl w:val="1"/>
          <w:numId w:val="25"/>
        </w:numPr>
        <w:tabs>
          <w:tab w:val="left" w:pos="950"/>
        </w:tabs>
        <w:spacing w:after="120" w:line="264" w:lineRule="auto"/>
        <w:jc w:val="both"/>
      </w:pPr>
      <w:r>
        <w:t>Subsurface infiltration galleries or vaults</w:t>
      </w:r>
    </w:p>
    <w:p w:rsidR="004266A7" w:rsidRPr="00B03092" w:rsidRDefault="004266A7" w:rsidP="009531AF">
      <w:pPr>
        <w:pStyle w:val="ListParagraph"/>
        <w:numPr>
          <w:ilvl w:val="1"/>
          <w:numId w:val="25"/>
        </w:numPr>
        <w:tabs>
          <w:tab w:val="left" w:pos="950"/>
        </w:tabs>
        <w:spacing w:after="120" w:line="264" w:lineRule="auto"/>
        <w:jc w:val="both"/>
        <w:rPr>
          <w:rFonts w:cs="Times New Roman"/>
        </w:rPr>
      </w:pPr>
      <w:r>
        <w:t xml:space="preserve">Surface Infiltration Basins </w:t>
      </w:r>
    </w:p>
    <w:p w:rsidR="004266A7" w:rsidRPr="00B03092" w:rsidRDefault="004266A7" w:rsidP="009531AF">
      <w:pPr>
        <w:pStyle w:val="ListParagraph"/>
        <w:numPr>
          <w:ilvl w:val="1"/>
          <w:numId w:val="25"/>
        </w:numPr>
        <w:tabs>
          <w:tab w:val="left" w:pos="950"/>
        </w:tabs>
        <w:spacing w:after="120" w:line="264" w:lineRule="auto"/>
        <w:jc w:val="both"/>
        <w:rPr>
          <w:rFonts w:cs="Times New Roman"/>
        </w:rPr>
      </w:pPr>
      <w:r w:rsidRPr="00B03092">
        <w:rPr>
          <w:rFonts w:cs="Times New Roman"/>
        </w:rPr>
        <w:t xml:space="preserve">Infiltration Trenches </w:t>
      </w:r>
    </w:p>
    <w:p w:rsidR="004266A7" w:rsidRDefault="004266A7" w:rsidP="009531AF">
      <w:pPr>
        <w:pStyle w:val="ListParagraph"/>
        <w:numPr>
          <w:ilvl w:val="1"/>
          <w:numId w:val="25"/>
        </w:numPr>
        <w:tabs>
          <w:tab w:val="left" w:pos="950"/>
        </w:tabs>
        <w:spacing w:after="120" w:line="264" w:lineRule="auto"/>
        <w:jc w:val="both"/>
      </w:pPr>
      <w:r>
        <w:t xml:space="preserve">Other functionally similar devices or BMPs. </w:t>
      </w:r>
    </w:p>
    <w:p w:rsidR="00DF7F32" w:rsidRDefault="00DF7F32" w:rsidP="00A52883">
      <w:pPr>
        <w:pStyle w:val="Heading3"/>
      </w:pPr>
      <w:r>
        <w:t>Approved Methods for Determining the Depth to Seasonally High Groundwater</w:t>
      </w:r>
    </w:p>
    <w:p w:rsidR="00C31D4A" w:rsidRPr="00C457D8" w:rsidRDefault="00C457D8" w:rsidP="00C457D8">
      <w:pPr>
        <w:pStyle w:val="CDMBTEXT"/>
      </w:pPr>
      <w:r w:rsidRPr="00C457D8">
        <w:t>T</w:t>
      </w:r>
      <w:r w:rsidR="00C31D4A" w:rsidRPr="00C457D8">
        <w:t>he seasonally high groundwater table is defined as the depth to the highest level of the saturated groundwater zone.  It is quantified as the average of measured annual minim</w:t>
      </w:r>
      <w:r>
        <w:t>a</w:t>
      </w:r>
      <w:r w:rsidR="00C31D4A" w:rsidRPr="00C457D8">
        <w:t xml:space="preserve"> (i.e., the shallowest recorded measurements in each water year, defined as October 1 through September 30</w:t>
      </w:r>
      <w:r>
        <w:t xml:space="preserve"> are average</w:t>
      </w:r>
      <w:r w:rsidR="00DB1A24">
        <w:t>d</w:t>
      </w:r>
      <w:r w:rsidR="00C31D4A" w:rsidRPr="00C457D8">
        <w:t xml:space="preserve">) for all years on record.  </w:t>
      </w:r>
    </w:p>
    <w:p w:rsidR="00C31D4A" w:rsidRDefault="00C31D4A" w:rsidP="00C457D8">
      <w:pPr>
        <w:pStyle w:val="CDMBTEXT"/>
        <w:rPr>
          <w:iCs/>
        </w:rPr>
      </w:pPr>
      <w:r w:rsidRPr="00C457D8">
        <w:t>The depth to seasonally high groundwater is ideally determined from long-term groundwater level data.  If groundwater level data are not available or are inadequate, the seasonal high groundwater depth can be estimated by redoximorphic analytical methods combined with temporary groundwater monitoring for November 1 through April 1 at the proposed Project site.  In this approach, a professional geologist assesses soil-mottling characteristics of soil cores to determine the depth at which soil features display reductive conditions</w:t>
      </w:r>
      <w:r w:rsidR="00DC2637" w:rsidRPr="00DC2637">
        <w:t xml:space="preserve"> </w:t>
      </w:r>
      <w:r w:rsidR="00DC2637">
        <w:t>which indicate the seasonal height of groundwater</w:t>
      </w:r>
      <w:r w:rsidRPr="00C457D8">
        <w:t>.</w:t>
      </w:r>
      <w:r>
        <w:t xml:space="preserve">  </w:t>
      </w:r>
    </w:p>
    <w:p w:rsidR="001838A4" w:rsidRPr="001838A4" w:rsidRDefault="001838A4" w:rsidP="00A52883">
      <w:pPr>
        <w:pStyle w:val="Heading3"/>
      </w:pPr>
      <w:bookmarkStart w:id="514" w:name="_Toc285308165"/>
      <w:bookmarkStart w:id="515" w:name="_Toc285315749"/>
      <w:r w:rsidRPr="001838A4">
        <w:t xml:space="preserve">  </w:t>
      </w:r>
      <w:r w:rsidR="0085199C">
        <w:t xml:space="preserve">Methods for </w:t>
      </w:r>
      <w:r w:rsidRPr="001838A4">
        <w:t xml:space="preserve">Evaluation of Groundwater Mounding Potential </w:t>
      </w:r>
    </w:p>
    <w:p w:rsidR="00C31D4A" w:rsidRDefault="00C31D4A" w:rsidP="00C31D4A">
      <w:r>
        <w:t xml:space="preserve">Stormwater infiltration and recharge </w:t>
      </w:r>
      <w:r>
        <w:rPr>
          <w:rFonts w:eastAsia="Calibri" w:cs="Times New Roman"/>
        </w:rPr>
        <w:t xml:space="preserve">to the </w:t>
      </w:r>
      <w:r>
        <w:t xml:space="preserve">underlying </w:t>
      </w:r>
      <w:r>
        <w:rPr>
          <w:rFonts w:eastAsia="Calibri" w:cs="Times New Roman"/>
        </w:rPr>
        <w:t xml:space="preserve">groundwater table will </w:t>
      </w:r>
      <w:r w:rsidR="00DC2637">
        <w:rPr>
          <w:rFonts w:eastAsia="Calibri" w:cs="Times New Roman"/>
        </w:rPr>
        <w:t xml:space="preserve">in most cases </w:t>
      </w:r>
      <w:r>
        <w:rPr>
          <w:rFonts w:eastAsia="Calibri" w:cs="Times New Roman"/>
        </w:rPr>
        <w:t>create a groundwater mound</w:t>
      </w:r>
      <w:r>
        <w:t xml:space="preserve"> </w:t>
      </w:r>
      <w:r>
        <w:rPr>
          <w:rFonts w:eastAsia="Calibri" w:cs="Times New Roman"/>
        </w:rPr>
        <w:t xml:space="preserve">beneath the </w:t>
      </w:r>
      <w:r>
        <w:t>infiltration</w:t>
      </w:r>
      <w:r>
        <w:rPr>
          <w:rFonts w:eastAsia="Calibri" w:cs="Times New Roman"/>
        </w:rPr>
        <w:t xml:space="preserve"> </w:t>
      </w:r>
      <w:r>
        <w:t>facility</w:t>
      </w:r>
      <w:r>
        <w:rPr>
          <w:rFonts w:eastAsia="Calibri" w:cs="Times New Roman"/>
        </w:rPr>
        <w:t xml:space="preserve">.  The height and shape of the mound depends on the </w:t>
      </w:r>
      <w:r>
        <w:t>infiltration</w:t>
      </w:r>
      <w:r>
        <w:rPr>
          <w:rFonts w:eastAsia="Calibri" w:cs="Times New Roman"/>
        </w:rPr>
        <w:t xml:space="preserve"> system design, the recharge rate, and the hydrogeologic conditions at the site, especially the </w:t>
      </w:r>
      <w:r w:rsidR="00C457D8">
        <w:rPr>
          <w:rFonts w:eastAsia="Calibri" w:cs="Times New Roman"/>
        </w:rPr>
        <w:t xml:space="preserve">horizontal </w:t>
      </w:r>
      <w:r>
        <w:rPr>
          <w:rFonts w:eastAsia="Calibri" w:cs="Times New Roman"/>
        </w:rPr>
        <w:t xml:space="preserve">hydraulic conductivity and the saturated thickness.  </w:t>
      </w:r>
      <w:r>
        <w:t xml:space="preserve">Groundwater mounding beneath infiltration facilities also depends on the precipitation patterns, which affects the applied recharge rates and underlying soil moisture conditions.  Maximum mounding potential is likely to occur in response to cumulative precipitation over relatively short periods, for example, a series of intense winter storms over a one to two week period.  </w:t>
      </w:r>
    </w:p>
    <w:p w:rsidR="00C31D4A" w:rsidRDefault="00C31D4A" w:rsidP="00C31D4A">
      <w:pPr>
        <w:rPr>
          <w:rFonts w:eastAsia="Calibri" w:cs="Times New Roman"/>
        </w:rPr>
      </w:pPr>
      <w:proofErr w:type="gramStart"/>
      <w:r>
        <w:rPr>
          <w:rFonts w:eastAsia="Calibri" w:cs="Times New Roman"/>
        </w:rPr>
        <w:t>Methods for quantifying groundwater mounding potential range from detailed modeling studies to simple conservative estimation techniques.</w:t>
      </w:r>
      <w:proofErr w:type="gramEnd"/>
      <w:r>
        <w:rPr>
          <w:rFonts w:eastAsia="Calibri" w:cs="Times New Roman"/>
        </w:rPr>
        <w:t xml:space="preserve"> </w:t>
      </w:r>
      <w:r w:rsidR="00352720">
        <w:rPr>
          <w:rFonts w:eastAsia="Calibri" w:cs="Times New Roman"/>
        </w:rPr>
        <w:t xml:space="preserve">The methods employed by the project proponent </w:t>
      </w:r>
      <w:r w:rsidR="009E2B1A">
        <w:rPr>
          <w:rFonts w:eastAsia="Calibri" w:cs="Times New Roman"/>
        </w:rPr>
        <w:t xml:space="preserve">will be subject </w:t>
      </w:r>
      <w:r w:rsidR="00352720">
        <w:rPr>
          <w:rFonts w:eastAsia="Calibri" w:cs="Times New Roman"/>
        </w:rPr>
        <w:t>to the acceptance of the reviewing agency.</w:t>
      </w:r>
    </w:p>
    <w:p w:rsidR="00C31D4A" w:rsidRDefault="00C31D4A" w:rsidP="00C31D4A">
      <w:r w:rsidRPr="006D0057">
        <w:rPr>
          <w:rFonts w:eastAsia="Calibri" w:cs="Times New Roman"/>
          <w:b/>
          <w:i/>
        </w:rPr>
        <w:t xml:space="preserve">Mounding Evaluation with </w:t>
      </w:r>
      <w:r w:rsidR="00616820" w:rsidRPr="00616820">
        <w:rPr>
          <w:rFonts w:eastAsia="Calibri" w:cs="Times New Roman"/>
          <w:b/>
          <w:i/>
        </w:rPr>
        <w:t>Modeling Studies:</w:t>
      </w:r>
      <w:r>
        <w:rPr>
          <w:rFonts w:eastAsia="Calibri" w:cs="Times New Roman"/>
        </w:rPr>
        <w:t xml:space="preserve">  A rigorous evaluation of mounding potential requires detailed site characterization and detailed modeling that accounts for the transient nature of stormwater infiltration and the site-specific </w:t>
      </w:r>
      <w:proofErr w:type="spellStart"/>
      <w:r>
        <w:rPr>
          <w:rFonts w:eastAsia="Calibri" w:cs="Times New Roman"/>
        </w:rPr>
        <w:t>hydrogeological</w:t>
      </w:r>
      <w:proofErr w:type="spellEnd"/>
      <w:r>
        <w:rPr>
          <w:rFonts w:eastAsia="Calibri" w:cs="Times New Roman"/>
        </w:rPr>
        <w:t xml:space="preserve"> conditions.  For example, Carlton (2010)</w:t>
      </w:r>
      <w:r>
        <w:rPr>
          <w:rStyle w:val="FootnoteReference"/>
          <w:rFonts w:eastAsia="Calibri" w:cs="Times New Roman"/>
        </w:rPr>
        <w:footnoteReference w:id="14"/>
      </w:r>
      <w:r>
        <w:rPr>
          <w:rFonts w:eastAsia="Calibri" w:cs="Times New Roman"/>
        </w:rPr>
        <w:t xml:space="preserve"> used MODFLOW, an industry standard groundwater flow model, to evaluate groundwater mounding potential from infiltration facilities in hypothetical 1-acre and 10-acre developments.  Modeling studies to evaluate groundwater mounding potential are applicable for design studies of large regional facilities. Detailed modeling analyses are typically not feasible for evaluation of on-site facilities in small development projects</w:t>
      </w:r>
      <w:r w:rsidR="00DC2637">
        <w:rPr>
          <w:rFonts w:eastAsia="Calibri" w:cs="Times New Roman"/>
        </w:rPr>
        <w:t xml:space="preserve"> or dispersed small-scale facilities in larger projects</w:t>
      </w:r>
      <w:r>
        <w:rPr>
          <w:rFonts w:eastAsia="Calibri" w:cs="Times New Roman"/>
        </w:rPr>
        <w:t>.</w:t>
      </w:r>
    </w:p>
    <w:p w:rsidR="00C31D4A" w:rsidRDefault="00C31D4A" w:rsidP="00C31D4A">
      <w:pPr>
        <w:rPr>
          <w:rFonts w:eastAsia="Calibri" w:cs="Times New Roman"/>
        </w:rPr>
      </w:pPr>
      <w:r w:rsidRPr="006D0057">
        <w:rPr>
          <w:b/>
          <w:i/>
        </w:rPr>
        <w:t xml:space="preserve">Mounding </w:t>
      </w:r>
      <w:r w:rsidR="00616820" w:rsidRPr="00616820">
        <w:rPr>
          <w:b/>
          <w:i/>
        </w:rPr>
        <w:t xml:space="preserve">Estimates Based on </w:t>
      </w:r>
      <w:r w:rsidRPr="006D0057">
        <w:rPr>
          <w:b/>
          <w:i/>
        </w:rPr>
        <w:t>Simplified Groundwater Equations</w:t>
      </w:r>
      <w:r w:rsidR="00616820" w:rsidRPr="00616820">
        <w:rPr>
          <w:b/>
          <w:i/>
        </w:rPr>
        <w:t>:</w:t>
      </w:r>
      <w:r>
        <w:t xml:space="preserve">  Estimates of maximum mounding potential can be developed from analytical solutions to groundwater equations, called the </w:t>
      </w:r>
      <w:proofErr w:type="spellStart"/>
      <w:r>
        <w:t>Hantush</w:t>
      </w:r>
      <w:proofErr w:type="spellEnd"/>
      <w:r>
        <w:t xml:space="preserve"> equations.  These equations incorporate a number of simplifying assumptions about the </w:t>
      </w:r>
      <w:r w:rsidR="00C457D8">
        <w:t>hydro</w:t>
      </w:r>
      <w:r>
        <w:t xml:space="preserve">geology of the site including </w:t>
      </w:r>
      <w:r w:rsidR="00C457D8">
        <w:t xml:space="preserve">assumptions of </w:t>
      </w:r>
      <w:r>
        <w:t xml:space="preserve">uniform </w:t>
      </w:r>
      <w:r w:rsidR="00C457D8">
        <w:t xml:space="preserve">horizontal </w:t>
      </w:r>
      <w:r>
        <w:t xml:space="preserve">hydraulic conductivity and </w:t>
      </w:r>
      <w:r w:rsidR="00C457D8">
        <w:t xml:space="preserve">vertical </w:t>
      </w:r>
      <w:r>
        <w:t xml:space="preserve">infiltration rates.  Solution of the </w:t>
      </w:r>
      <w:proofErr w:type="spellStart"/>
      <w:r>
        <w:t>Hantush</w:t>
      </w:r>
      <w:proofErr w:type="spellEnd"/>
      <w:r>
        <w:t xml:space="preserve"> equations can be accomplished with a simple Excel spreadsheet tool developed by the USGS (</w:t>
      </w:r>
      <w:r>
        <w:rPr>
          <w:rFonts w:eastAsia="Calibri" w:cs="Times New Roman"/>
        </w:rPr>
        <w:t xml:space="preserve">Carlton, 2010) available at online at </w:t>
      </w:r>
      <w:hyperlink r:id="rId74" w:history="1">
        <w:r w:rsidRPr="00126DE5">
          <w:rPr>
            <w:rStyle w:val="Hyperlink"/>
            <w:rFonts w:eastAsia="Calibri" w:cs="Arial"/>
            <w:b/>
            <w:color w:val="0070C0"/>
            <w:sz w:val="20"/>
            <w:szCs w:val="20"/>
          </w:rPr>
          <w:t>http://pubs.usgs.gov/sir/2010/5102/</w:t>
        </w:r>
      </w:hyperlink>
      <w:r>
        <w:rPr>
          <w:rFonts w:eastAsia="Calibri" w:cs="Times New Roman"/>
        </w:rPr>
        <w:t xml:space="preserve">.  </w:t>
      </w:r>
    </w:p>
    <w:p w:rsidR="00C31D4A" w:rsidRDefault="00C31D4A" w:rsidP="00C31D4A">
      <w:pPr>
        <w:rPr>
          <w:rFonts w:eastAsia="Calibri" w:cs="Times New Roman"/>
        </w:rPr>
      </w:pPr>
      <w:r>
        <w:rPr>
          <w:rFonts w:eastAsia="Calibri" w:cs="Times New Roman"/>
        </w:rPr>
        <w:t xml:space="preserve">This tool is simple to use but requires inputs about the saturated zone hydraulic conductivity, the thickness of the saturated zone, and estimates of the specific yield, which is related to the effective porosity.  The tool also requires inputs about the infiltration conditions, including the dimensions of the infiltration facility, the uniform infiltration rate and the period application that will result in the maximum mounding height.  Use of the USGS groundwater mounding tool is applicable and recommended for planning or design level analysis where there is the sufficient information of the surface conditions of the site and use of detailed modeling is not warranted. </w:t>
      </w:r>
    </w:p>
    <w:p w:rsidR="00C457D8" w:rsidRDefault="00011473" w:rsidP="00C31D4A">
      <w:pPr>
        <w:rPr>
          <w:rFonts w:eastAsia="Calibri" w:cs="Times New Roman"/>
        </w:rPr>
      </w:pPr>
      <w:r>
        <w:rPr>
          <w:rFonts w:eastAsia="Calibri" w:cs="Times New Roman"/>
        </w:rPr>
        <w:t>Where information is not available, t</w:t>
      </w:r>
      <w:r w:rsidR="00C457D8">
        <w:rPr>
          <w:rFonts w:eastAsia="Calibri" w:cs="Times New Roman"/>
        </w:rPr>
        <w:t>he following assumptions are recommended for using this tool to evaluating the potential for mounding under small-scale localized BMPs</w:t>
      </w:r>
      <w:r>
        <w:rPr>
          <w:rFonts w:eastAsia="Calibri" w:cs="Times New Roman"/>
        </w:rPr>
        <w:t>.  Site-specific data and professional judgment should always be used in conducting groundwater mounding analyses.</w:t>
      </w:r>
    </w:p>
    <w:p w:rsidR="00C457D8" w:rsidRPr="00011473" w:rsidRDefault="00C457D8" w:rsidP="009531AF">
      <w:pPr>
        <w:pStyle w:val="ListParagraph"/>
        <w:numPr>
          <w:ilvl w:val="0"/>
          <w:numId w:val="59"/>
        </w:numPr>
        <w:rPr>
          <w:rFonts w:eastAsia="Calibri" w:cs="Times New Roman"/>
        </w:rPr>
      </w:pPr>
      <w:r w:rsidRPr="00011473">
        <w:rPr>
          <w:rFonts w:eastAsia="Calibri" w:cs="Times New Roman"/>
        </w:rPr>
        <w:t xml:space="preserve">Recharge rate should be set to </w:t>
      </w:r>
      <w:r w:rsidR="00011473" w:rsidRPr="00011473">
        <w:rPr>
          <w:rFonts w:eastAsia="Calibri" w:cs="Times New Roman"/>
        </w:rPr>
        <w:t>the design infiltration rate of the stormwater BMP, assuming that the BMP operates at its design infiltration rate throughout the critical period for groundwater mounding.</w:t>
      </w:r>
    </w:p>
    <w:p w:rsidR="00011473" w:rsidRPr="00B24C0F" w:rsidRDefault="00011473" w:rsidP="009531AF">
      <w:pPr>
        <w:pStyle w:val="ListParagraph"/>
        <w:numPr>
          <w:ilvl w:val="0"/>
          <w:numId w:val="59"/>
        </w:numPr>
        <w:rPr>
          <w:rFonts w:eastAsia="Calibri" w:cs="Times New Roman"/>
        </w:rPr>
      </w:pPr>
      <w:r w:rsidRPr="00011473">
        <w:rPr>
          <w:rFonts w:eastAsia="Calibri" w:cs="Times New Roman"/>
        </w:rPr>
        <w:t xml:space="preserve">The horizontal hydraulic conductivity should be set to 10 times the measured infiltration rate of the soil to account for typical anisotropy of natural soils (ratio of horizontal to vertical hydraulic conductivity).  </w:t>
      </w:r>
      <w:r w:rsidRPr="00B24C0F">
        <w:rPr>
          <w:rFonts w:eastAsia="Calibri" w:cs="Times New Roman"/>
        </w:rPr>
        <w:t xml:space="preserve">Note the measured infiltration rate will generally be greater than or equal to 2 times the design infiltration rate. </w:t>
      </w:r>
    </w:p>
    <w:p w:rsidR="00011473" w:rsidRPr="00011473" w:rsidRDefault="00011473" w:rsidP="009531AF">
      <w:pPr>
        <w:pStyle w:val="ListParagraph"/>
        <w:numPr>
          <w:ilvl w:val="0"/>
          <w:numId w:val="59"/>
        </w:numPr>
        <w:rPr>
          <w:rFonts w:eastAsia="Calibri" w:cs="Times New Roman"/>
        </w:rPr>
      </w:pPr>
      <w:r w:rsidRPr="00011473">
        <w:rPr>
          <w:rFonts w:eastAsia="Calibri" w:cs="Times New Roman"/>
        </w:rPr>
        <w:t xml:space="preserve">The period of simulation should be set to 10 days. Applying the design infiltration rate continuously over 10 days generally results in 3-5 times the </w:t>
      </w:r>
      <w:r w:rsidR="003C7091">
        <w:rPr>
          <w:rFonts w:eastAsia="Calibri" w:cs="Times New Roman"/>
        </w:rPr>
        <w:t>DCV</w:t>
      </w:r>
      <w:r w:rsidRPr="00011473">
        <w:rPr>
          <w:rFonts w:eastAsia="Calibri" w:cs="Times New Roman"/>
        </w:rPr>
        <w:t xml:space="preserve"> infiltrated over this perio</w:t>
      </w:r>
      <w:r>
        <w:rPr>
          <w:rFonts w:eastAsia="Calibri" w:cs="Times New Roman"/>
        </w:rPr>
        <w:t>d considering typical BMP drawdown times</w:t>
      </w:r>
      <w:r w:rsidRPr="00011473">
        <w:rPr>
          <w:rFonts w:eastAsia="Calibri" w:cs="Times New Roman"/>
        </w:rPr>
        <w:t>.</w:t>
      </w:r>
    </w:p>
    <w:p w:rsidR="00011473" w:rsidRPr="00011473" w:rsidRDefault="00011473" w:rsidP="009531AF">
      <w:pPr>
        <w:pStyle w:val="ListParagraph"/>
        <w:numPr>
          <w:ilvl w:val="0"/>
          <w:numId w:val="59"/>
        </w:numPr>
        <w:rPr>
          <w:rFonts w:eastAsia="Calibri" w:cs="Times New Roman"/>
        </w:rPr>
      </w:pPr>
      <w:r w:rsidRPr="00011473">
        <w:rPr>
          <w:rFonts w:eastAsia="Calibri" w:cs="Times New Roman"/>
        </w:rPr>
        <w:t>The specific yield should be set to 0.2.</w:t>
      </w:r>
    </w:p>
    <w:p w:rsidR="00011473" w:rsidRDefault="00011473" w:rsidP="009531AF">
      <w:pPr>
        <w:pStyle w:val="ListParagraph"/>
        <w:numPr>
          <w:ilvl w:val="0"/>
          <w:numId w:val="59"/>
        </w:numPr>
        <w:rPr>
          <w:rFonts w:eastAsia="Calibri" w:cs="Times New Roman"/>
        </w:rPr>
      </w:pPr>
      <w:r w:rsidRPr="00011473">
        <w:rPr>
          <w:rFonts w:eastAsia="Calibri" w:cs="Times New Roman"/>
        </w:rPr>
        <w:t>The saturated zone thickness should be set to 20 feet.</w:t>
      </w:r>
    </w:p>
    <w:p w:rsidR="0014047B" w:rsidRDefault="008B2623">
      <w:r>
        <w:t xml:space="preserve">An example using the USGS tool is included in </w:t>
      </w:r>
      <w:r w:rsidR="00126F3D" w:rsidRPr="00126DE5">
        <w:rPr>
          <w:b/>
          <w:color w:val="0070C0"/>
          <w:sz w:val="20"/>
        </w:rPr>
        <w:fldChar w:fldCharType="begin"/>
      </w:r>
      <w:r w:rsidRPr="00126DE5">
        <w:rPr>
          <w:b/>
          <w:color w:val="0070C0"/>
          <w:sz w:val="20"/>
        </w:rPr>
        <w:instrText xml:space="preserve"> REF _Ref287948670 \h </w:instrText>
      </w:r>
      <w:r w:rsidR="00126F3D" w:rsidRPr="00126DE5">
        <w:rPr>
          <w:b/>
          <w:color w:val="0070C0"/>
          <w:sz w:val="20"/>
        </w:rPr>
      </w:r>
      <w:r w:rsidR="00126F3D" w:rsidRPr="00126DE5">
        <w:rPr>
          <w:b/>
          <w:color w:val="0070C0"/>
          <w:sz w:val="20"/>
        </w:rPr>
        <w:fldChar w:fldCharType="separate"/>
      </w:r>
      <w:r w:rsidR="00126DE5" w:rsidRPr="00126DE5">
        <w:rPr>
          <w:b/>
          <w:color w:val="0070C0"/>
        </w:rPr>
        <w:t xml:space="preserve">Example </w:t>
      </w:r>
      <w:r w:rsidR="00126DE5" w:rsidRPr="00126DE5">
        <w:rPr>
          <w:b/>
          <w:noProof/>
          <w:color w:val="0070C0"/>
        </w:rPr>
        <w:t>VIII</w:t>
      </w:r>
      <w:r w:rsidR="00126DE5" w:rsidRPr="00126DE5">
        <w:rPr>
          <w:b/>
          <w:color w:val="0070C0"/>
        </w:rPr>
        <w:t>.</w:t>
      </w:r>
      <w:r w:rsidR="00126DE5" w:rsidRPr="00126DE5">
        <w:rPr>
          <w:b/>
          <w:noProof/>
          <w:color w:val="0070C0"/>
        </w:rPr>
        <w:t>1</w:t>
      </w:r>
      <w:r w:rsidR="00126F3D" w:rsidRPr="00126DE5">
        <w:rPr>
          <w:b/>
          <w:color w:val="0070C0"/>
          <w:sz w:val="20"/>
        </w:rPr>
        <w:fldChar w:fldCharType="end"/>
      </w:r>
      <w:r>
        <w:t xml:space="preserve"> below. </w:t>
      </w:r>
    </w:p>
    <w:p w:rsidR="008B2623" w:rsidRPr="007A343A" w:rsidRDefault="008B2623" w:rsidP="0027571A">
      <w:pPr>
        <w:pStyle w:val="ExampleHeading"/>
      </w:pPr>
      <w:bookmarkStart w:id="516" w:name="_Ref287948670"/>
      <w:bookmarkStart w:id="517" w:name="_Toc288541088"/>
      <w:bookmarkStart w:id="518" w:name="_Toc288554455"/>
      <w:proofErr w:type="gramStart"/>
      <w:r w:rsidRPr="007A343A">
        <w:t xml:space="preserve">Example </w:t>
      </w:r>
      <w:r w:rsidR="00126F3D" w:rsidRPr="00126DE5">
        <w:rPr>
          <w:color w:val="0070C0"/>
        </w:rPr>
        <w:fldChar w:fldCharType="begin"/>
      </w:r>
      <w:r w:rsidRPr="00126DE5">
        <w:rPr>
          <w:color w:val="0070C0"/>
        </w:rPr>
        <w:instrText xml:space="preserve"> STYLEREF 1 \s </w:instrText>
      </w:r>
      <w:r w:rsidR="00126F3D" w:rsidRPr="00126DE5">
        <w:rPr>
          <w:color w:val="0070C0"/>
        </w:rPr>
        <w:fldChar w:fldCharType="separate"/>
      </w:r>
      <w:r w:rsidR="00126DE5" w:rsidRPr="00126DE5">
        <w:rPr>
          <w:noProof/>
          <w:color w:val="0070C0"/>
        </w:rPr>
        <w:t>VIII</w:t>
      </w:r>
      <w:r w:rsidR="00126F3D" w:rsidRPr="00126DE5">
        <w:rPr>
          <w:color w:val="0070C0"/>
        </w:rPr>
        <w:fldChar w:fldCharType="end"/>
      </w:r>
      <w:r w:rsidRPr="007A343A">
        <w:t>.</w:t>
      </w:r>
      <w:proofErr w:type="gramEnd"/>
      <w:r w:rsidR="00126F3D" w:rsidRPr="00126DE5">
        <w:rPr>
          <w:color w:val="0070C0"/>
        </w:rPr>
        <w:fldChar w:fldCharType="begin"/>
      </w:r>
      <w:r w:rsidRPr="00126DE5">
        <w:rPr>
          <w:color w:val="0070C0"/>
        </w:rPr>
        <w:instrText xml:space="preserve"> SEQ Example \* ARABIC \s 1 </w:instrText>
      </w:r>
      <w:r w:rsidR="00126F3D" w:rsidRPr="00126DE5">
        <w:rPr>
          <w:color w:val="0070C0"/>
        </w:rPr>
        <w:fldChar w:fldCharType="separate"/>
      </w:r>
      <w:r w:rsidR="00126DE5" w:rsidRPr="00126DE5">
        <w:rPr>
          <w:noProof/>
          <w:color w:val="0070C0"/>
        </w:rPr>
        <w:t>1</w:t>
      </w:r>
      <w:r w:rsidR="00126F3D" w:rsidRPr="00126DE5">
        <w:rPr>
          <w:color w:val="0070C0"/>
        </w:rPr>
        <w:fldChar w:fldCharType="end"/>
      </w:r>
      <w:bookmarkEnd w:id="516"/>
      <w:r w:rsidRPr="007A343A">
        <w:t xml:space="preserve">: Application </w:t>
      </w:r>
      <w:r w:rsidR="00344DD2">
        <w:t>o</w:t>
      </w:r>
      <w:r w:rsidR="00344DD2" w:rsidRPr="007A343A">
        <w:t xml:space="preserve">f </w:t>
      </w:r>
      <w:r w:rsidRPr="007A343A">
        <w:t xml:space="preserve">USGS </w:t>
      </w:r>
      <w:r w:rsidR="00344DD2" w:rsidRPr="007A343A">
        <w:t xml:space="preserve">Groundwater Mounding Tool Using </w:t>
      </w:r>
      <w:r w:rsidR="00344DD2">
        <w:t>a Hypothetical Range of</w:t>
      </w:r>
      <w:r w:rsidR="00344DD2" w:rsidRPr="007A343A">
        <w:t xml:space="preserve"> Infiltration Scenarios</w:t>
      </w:r>
      <w:bookmarkEnd w:id="517"/>
      <w:bookmarkEnd w:id="518"/>
    </w:p>
    <w:p w:rsidR="008B2623" w:rsidRPr="00B53524" w:rsidRDefault="008B2623" w:rsidP="008B2623">
      <w:pPr>
        <w:pStyle w:val="ExampleSubheading"/>
        <w:outlineLvl w:val="0"/>
      </w:pPr>
      <w:r w:rsidRPr="00B53524">
        <w:t>Given:</w:t>
      </w:r>
    </w:p>
    <w:p w:rsidR="008B2623" w:rsidRPr="00011473" w:rsidRDefault="008B2623" w:rsidP="008B2623">
      <w:pPr>
        <w:pStyle w:val="ExampleBullets"/>
        <w:rPr>
          <w:rFonts w:eastAsia="Calibri"/>
        </w:rPr>
      </w:pPr>
      <w:r>
        <w:rPr>
          <w:rFonts w:eastAsia="Calibri"/>
        </w:rPr>
        <w:t>Measured soil infiltration rate: 0.2 to 4 inches per hour</w:t>
      </w:r>
    </w:p>
    <w:p w:rsidR="008B2623" w:rsidRPr="00011473" w:rsidRDefault="008B2623" w:rsidP="008B2623">
      <w:pPr>
        <w:pStyle w:val="ExampleBullets"/>
        <w:rPr>
          <w:rFonts w:eastAsia="Calibri"/>
        </w:rPr>
      </w:pPr>
      <w:r>
        <w:rPr>
          <w:rFonts w:eastAsia="Calibri"/>
        </w:rPr>
        <w:t>Design infiltration rate: 0.1 to 2 inches per hour (Factor of Safety = 2.0)</w:t>
      </w:r>
    </w:p>
    <w:p w:rsidR="008B2623" w:rsidRPr="00FC1398" w:rsidRDefault="008B2623" w:rsidP="008B2623">
      <w:pPr>
        <w:pStyle w:val="ExampleBullets"/>
        <w:rPr>
          <w:rFonts w:eastAsia="Calibri"/>
        </w:rPr>
      </w:pPr>
      <w:r>
        <w:rPr>
          <w:rFonts w:eastAsia="Calibri"/>
        </w:rPr>
        <w:t>Horizontal Hydraulic Conductivity: 2 to 40 inches per hour</w:t>
      </w:r>
      <w:r w:rsidRPr="00FC1398">
        <w:rPr>
          <w:rFonts w:eastAsia="Calibri"/>
        </w:rPr>
        <w:t xml:space="preserve"> </w:t>
      </w:r>
      <w:r>
        <w:rPr>
          <w:rFonts w:eastAsia="Calibri"/>
        </w:rPr>
        <w:t>(Anisotropy: 10:1 (H:V) applied to measured infiltration rate)</w:t>
      </w:r>
    </w:p>
    <w:p w:rsidR="008B2623" w:rsidRPr="00FC1398" w:rsidRDefault="008B2623" w:rsidP="008B2623">
      <w:pPr>
        <w:pStyle w:val="ExampleBullets"/>
        <w:rPr>
          <w:rFonts w:eastAsia="Calibri"/>
        </w:rPr>
      </w:pPr>
      <w:r>
        <w:rPr>
          <w:rFonts w:eastAsia="Calibri"/>
        </w:rPr>
        <w:t>Facility footprint: 500 to 4,000 sq-ft</w:t>
      </w:r>
    </w:p>
    <w:p w:rsidR="008B2623" w:rsidRPr="001838A4" w:rsidRDefault="008B2623" w:rsidP="008B2623">
      <w:pPr>
        <w:pStyle w:val="ExampleBullets"/>
        <w:rPr>
          <w:rFonts w:eastAsia="Calibri"/>
        </w:rPr>
      </w:pPr>
      <w:r>
        <w:rPr>
          <w:rFonts w:eastAsia="Calibri"/>
          <w:i/>
          <w:sz w:val="24"/>
        </w:rPr>
        <w:t>System aspect ratio</w:t>
      </w:r>
      <w:r w:rsidRPr="00DF6A25">
        <w:rPr>
          <w:rFonts w:eastAsia="Calibri"/>
        </w:rPr>
        <w:t>:</w:t>
      </w:r>
      <w:r>
        <w:rPr>
          <w:rFonts w:eastAsia="Calibri"/>
        </w:rPr>
        <w:t xml:space="preserve"> 1:1 (square) and 5:1 </w:t>
      </w:r>
    </w:p>
    <w:p w:rsidR="008B2623" w:rsidRPr="00FC1398" w:rsidRDefault="008B2623" w:rsidP="008B2623">
      <w:pPr>
        <w:pStyle w:val="ExampleBullets"/>
        <w:rPr>
          <w:rFonts w:eastAsia="Calibri"/>
        </w:rPr>
      </w:pPr>
      <w:r>
        <w:rPr>
          <w:rFonts w:eastAsia="Calibri"/>
        </w:rPr>
        <w:t xml:space="preserve">Period of simulation: 10 days (total infiltrated depth =24 to 480 inches) </w:t>
      </w:r>
    </w:p>
    <w:p w:rsidR="008B2623" w:rsidRPr="001838A4" w:rsidRDefault="008B2623" w:rsidP="008B2623">
      <w:pPr>
        <w:pStyle w:val="ExampleBullets"/>
        <w:rPr>
          <w:rFonts w:eastAsia="Calibri"/>
        </w:rPr>
      </w:pPr>
      <w:r w:rsidRPr="001838A4">
        <w:rPr>
          <w:rFonts w:eastAsia="Calibri"/>
        </w:rPr>
        <w:t>Saturated zone thickness: 20 feet</w:t>
      </w:r>
    </w:p>
    <w:p w:rsidR="0014047B" w:rsidRDefault="008B2623">
      <w:pPr>
        <w:pStyle w:val="ExampleBullets"/>
      </w:pPr>
      <w:r w:rsidRPr="008B2623">
        <w:rPr>
          <w:rFonts w:eastAsia="Calibri"/>
        </w:rPr>
        <w:t>Specific yield: 0.2</w:t>
      </w:r>
    </w:p>
    <w:p w:rsidR="008B2623" w:rsidRPr="00B53524" w:rsidRDefault="008B2623" w:rsidP="008B2623">
      <w:pPr>
        <w:pStyle w:val="ExampleSubheading"/>
        <w:outlineLvl w:val="0"/>
      </w:pPr>
      <w:r w:rsidRPr="00B53524">
        <w:t>Required:</w:t>
      </w:r>
    </w:p>
    <w:p w:rsidR="008B2623" w:rsidRPr="00B53524" w:rsidRDefault="008B2623" w:rsidP="008B2623">
      <w:pPr>
        <w:pStyle w:val="ExampleBullets"/>
        <w:keepNext/>
      </w:pPr>
      <w:r w:rsidRPr="00B53524">
        <w:t xml:space="preserve">Compute </w:t>
      </w:r>
      <w:r>
        <w:t>maximum mounding heights using USGS tool</w:t>
      </w:r>
    </w:p>
    <w:p w:rsidR="008B2623" w:rsidRPr="00B53524" w:rsidRDefault="008B2623" w:rsidP="008B2623">
      <w:pPr>
        <w:pStyle w:val="ExampleSubheading"/>
        <w:outlineLvl w:val="0"/>
      </w:pPr>
      <w:r w:rsidRPr="00B53524">
        <w:t>Solution:</w:t>
      </w:r>
    </w:p>
    <w:p w:rsidR="00352720" w:rsidRDefault="008B2623" w:rsidP="00352720">
      <w:pPr>
        <w:pStyle w:val="ExampleBullets"/>
        <w:numPr>
          <w:ilvl w:val="0"/>
          <w:numId w:val="0"/>
        </w:numPr>
        <w:pBdr>
          <w:left w:val="single" w:sz="4" w:space="1" w:color="auto"/>
          <w:right w:val="single" w:sz="4" w:space="1" w:color="auto"/>
        </w:pBdr>
        <w:spacing w:after="200"/>
        <w:ind w:left="270" w:right="-90"/>
        <w:rPr>
          <w:rFonts w:eastAsia="Calibri"/>
        </w:rPr>
      </w:pPr>
      <w:r w:rsidRPr="008B2623">
        <w:rPr>
          <w:rFonts w:eastAsia="Calibri"/>
        </w:rPr>
        <w:t>Maximum mounding heights calculated with the USGS tool are given in</w:t>
      </w:r>
      <w:r w:rsidR="00430D51">
        <w:rPr>
          <w:rFonts w:eastAsia="Calibri"/>
          <w:b/>
          <w:color w:val="0070C0"/>
        </w:rPr>
        <w:t xml:space="preserve"> </w:t>
      </w:r>
      <w:r w:rsidR="00126F3D" w:rsidRPr="00126DE5">
        <w:rPr>
          <w:rFonts w:ascii="Book Antiqua" w:eastAsia="Calibri" w:hAnsi="Book Antiqua"/>
          <w:b/>
          <w:color w:val="0070C0"/>
        </w:rPr>
        <w:fldChar w:fldCharType="begin"/>
      </w:r>
      <w:r w:rsidR="00430D51" w:rsidRPr="00126DE5">
        <w:rPr>
          <w:rFonts w:ascii="Book Antiqua" w:eastAsia="Calibri" w:hAnsi="Book Antiqua"/>
          <w:b/>
          <w:color w:val="0070C0"/>
        </w:rPr>
        <w:instrText xml:space="preserve"> REF _Ref288491795 \h </w:instrText>
      </w:r>
      <w:r w:rsidR="00126F3D" w:rsidRPr="00126DE5">
        <w:rPr>
          <w:rFonts w:ascii="Book Antiqua" w:eastAsia="Calibri" w:hAnsi="Book Antiqua"/>
          <w:b/>
          <w:color w:val="0070C0"/>
        </w:rPr>
      </w:r>
      <w:r w:rsidR="00126F3D" w:rsidRPr="00126DE5">
        <w:rPr>
          <w:rFonts w:ascii="Book Antiqua" w:eastAsia="Calibri" w:hAnsi="Book Antiqua"/>
          <w:b/>
          <w:color w:val="0070C0"/>
        </w:rPr>
        <w:fldChar w:fldCharType="separate"/>
      </w:r>
      <w:r w:rsidR="00126DE5" w:rsidRPr="00126DE5">
        <w:rPr>
          <w:rFonts w:ascii="Book Antiqua" w:hAnsi="Book Antiqua"/>
          <w:b/>
          <w:color w:val="0070C0"/>
        </w:rPr>
        <w:t xml:space="preserve">Figure </w:t>
      </w:r>
      <w:r w:rsidR="00126DE5" w:rsidRPr="00126DE5">
        <w:rPr>
          <w:rFonts w:ascii="Book Antiqua" w:hAnsi="Book Antiqua"/>
          <w:b/>
          <w:noProof/>
          <w:color w:val="0070C0"/>
        </w:rPr>
        <w:t>VIII</w:t>
      </w:r>
      <w:r w:rsidR="00126DE5" w:rsidRPr="00126DE5">
        <w:rPr>
          <w:rFonts w:ascii="Book Antiqua" w:hAnsi="Book Antiqua"/>
          <w:b/>
          <w:color w:val="0070C0"/>
        </w:rPr>
        <w:t>.</w:t>
      </w:r>
      <w:r w:rsidR="00126DE5" w:rsidRPr="00126DE5">
        <w:rPr>
          <w:rFonts w:ascii="Book Antiqua" w:hAnsi="Book Antiqua"/>
          <w:b/>
          <w:noProof/>
          <w:color w:val="0070C0"/>
        </w:rPr>
        <w:t>1</w:t>
      </w:r>
      <w:r w:rsidR="00126F3D" w:rsidRPr="00126DE5">
        <w:rPr>
          <w:rFonts w:ascii="Book Antiqua" w:eastAsia="Calibri" w:hAnsi="Book Antiqua"/>
          <w:b/>
          <w:color w:val="0070C0"/>
        </w:rPr>
        <w:fldChar w:fldCharType="end"/>
      </w:r>
      <w:r w:rsidRPr="008B2623">
        <w:rPr>
          <w:rFonts w:eastAsia="Calibri"/>
        </w:rPr>
        <w:t>. While these results reflect a relatively conservative case, they indicate that system size and design infiltration rate both influence the potential for mounding.  In addition, a linear geometry reduces the magnitude of mounding somewhat compared to a square geometry with the same footprint.</w:t>
      </w:r>
    </w:p>
    <w:p w:rsidR="00352720" w:rsidRPr="00524D76" w:rsidRDefault="00352720" w:rsidP="00647B99">
      <w:pPr>
        <w:pStyle w:val="Caption"/>
      </w:pPr>
      <w:bookmarkStart w:id="519" w:name="_Ref288491795"/>
      <w:bookmarkStart w:id="520" w:name="_Toc288555061"/>
      <w:r w:rsidRPr="00524D76">
        <w:t xml:space="preserve">Figure </w:t>
      </w:r>
      <w:fldSimple w:instr=" STYLEREF 1 \s ">
        <w:r w:rsidR="00524D76">
          <w:rPr>
            <w:noProof/>
          </w:rPr>
          <w:t>VIII</w:t>
        </w:r>
      </w:fldSimple>
      <w:r w:rsidR="00524D76">
        <w:t>.</w:t>
      </w:r>
      <w:fldSimple w:instr=" SEQ Figure \* ARABIC \s 1 ">
        <w:r w:rsidR="00524D76">
          <w:rPr>
            <w:noProof/>
          </w:rPr>
          <w:t>1</w:t>
        </w:r>
      </w:fldSimple>
      <w:bookmarkEnd w:id="519"/>
      <w:r w:rsidRPr="00524D76">
        <w:t xml:space="preserve">: Example </w:t>
      </w:r>
      <w:r w:rsidR="00344DD2" w:rsidRPr="00524D76">
        <w:t xml:space="preserve">Calculations of Maximum Mounding Height by Facility Configuration </w:t>
      </w:r>
      <w:r w:rsidRPr="00524D76">
        <w:t>from USGS Calculator (Carlton, 2010)</w:t>
      </w:r>
      <w:bookmarkEnd w:id="520"/>
      <w:r w:rsidRPr="00524D76">
        <w:t xml:space="preserve"> </w:t>
      </w:r>
    </w:p>
    <w:p w:rsidR="0014047B" w:rsidRDefault="00352720" w:rsidP="00352720">
      <w:pPr>
        <w:pStyle w:val="ExampleBullets"/>
        <w:numPr>
          <w:ilvl w:val="0"/>
          <w:numId w:val="0"/>
        </w:numPr>
        <w:pBdr>
          <w:left w:val="single" w:sz="4" w:space="1" w:color="auto"/>
          <w:right w:val="single" w:sz="4" w:space="1" w:color="auto"/>
        </w:pBdr>
        <w:spacing w:after="200"/>
        <w:ind w:left="270" w:right="-90"/>
        <w:jc w:val="center"/>
        <w:rPr>
          <w:rFonts w:eastAsia="Calibri"/>
        </w:rPr>
      </w:pPr>
      <w:r w:rsidRPr="00B24C0F">
        <w:t>(</w:t>
      </w:r>
      <w:r>
        <w:t>F</w:t>
      </w:r>
      <w:r w:rsidRPr="00B24C0F">
        <w:t>or illustration purposes only</w:t>
      </w:r>
      <w:r>
        <w:t xml:space="preserve"> based on input assumptions above;</w:t>
      </w:r>
      <w:r w:rsidRPr="00B24C0F">
        <w:t xml:space="preserve"> </w:t>
      </w:r>
      <w:r>
        <w:t>inputs shall be based on professional judgment</w:t>
      </w:r>
      <w:r w:rsidRPr="00B24C0F">
        <w:t>)</w:t>
      </w:r>
    </w:p>
    <w:p w:rsidR="0014047B" w:rsidRDefault="0014047B" w:rsidP="00352720">
      <w:pPr>
        <w:pStyle w:val="ExampleNumbers"/>
        <w:numPr>
          <w:ilvl w:val="0"/>
          <w:numId w:val="0"/>
        </w:numPr>
        <w:pBdr>
          <w:left w:val="single" w:sz="4" w:space="1" w:color="auto"/>
          <w:right w:val="single" w:sz="4" w:space="1" w:color="auto"/>
        </w:pBdr>
        <w:spacing w:line="240" w:lineRule="atLeast"/>
        <w:ind w:left="270" w:right="-90"/>
        <w:jc w:val="center"/>
        <w:rPr>
          <w:rFonts w:eastAsia="Calibri"/>
        </w:rPr>
      </w:pPr>
      <w:r>
        <w:rPr>
          <w:rFonts w:eastAsia="Calibri"/>
          <w:noProof/>
        </w:rPr>
        <w:drawing>
          <wp:inline distT="0" distB="0" distL="0" distR="0">
            <wp:extent cx="3423285" cy="2976880"/>
            <wp:effectExtent l="19050" t="0" r="5715" b="0"/>
            <wp:docPr id="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email"/>
                    <a:srcRect/>
                    <a:stretch>
                      <a:fillRect/>
                    </a:stretch>
                  </pic:blipFill>
                  <pic:spPr bwMode="auto">
                    <a:xfrm>
                      <a:off x="0" y="0"/>
                      <a:ext cx="3423285" cy="2976880"/>
                    </a:xfrm>
                    <a:prstGeom prst="rect">
                      <a:avLst/>
                    </a:prstGeom>
                    <a:noFill/>
                  </pic:spPr>
                </pic:pic>
              </a:graphicData>
            </a:graphic>
          </wp:inline>
        </w:drawing>
      </w:r>
    </w:p>
    <w:p w:rsidR="0014047B" w:rsidRDefault="0014047B" w:rsidP="00352720">
      <w:pPr>
        <w:pStyle w:val="ExampleNumbers"/>
        <w:numPr>
          <w:ilvl w:val="0"/>
          <w:numId w:val="0"/>
        </w:numPr>
        <w:pBdr>
          <w:left w:val="single" w:sz="4" w:space="1" w:color="auto"/>
          <w:right w:val="single" w:sz="4" w:space="1" w:color="auto"/>
        </w:pBdr>
        <w:spacing w:line="240" w:lineRule="atLeast"/>
        <w:ind w:left="270" w:right="-90"/>
        <w:jc w:val="center"/>
        <w:rPr>
          <w:rFonts w:eastAsia="Calibri"/>
        </w:rPr>
      </w:pPr>
      <w:r>
        <w:rPr>
          <w:rFonts w:eastAsia="Calibri"/>
          <w:noProof/>
        </w:rPr>
        <w:drawing>
          <wp:inline distT="0" distB="0" distL="0" distR="0">
            <wp:extent cx="3423285" cy="2976880"/>
            <wp:effectExtent l="19050" t="0" r="5715" b="0"/>
            <wp:docPr id="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cstate="email"/>
                    <a:srcRect/>
                    <a:stretch>
                      <a:fillRect/>
                    </a:stretch>
                  </pic:blipFill>
                  <pic:spPr bwMode="auto">
                    <a:xfrm>
                      <a:off x="0" y="0"/>
                      <a:ext cx="3423285" cy="2976880"/>
                    </a:xfrm>
                    <a:prstGeom prst="rect">
                      <a:avLst/>
                    </a:prstGeom>
                    <a:noFill/>
                  </pic:spPr>
                </pic:pic>
              </a:graphicData>
            </a:graphic>
          </wp:inline>
        </w:drawing>
      </w:r>
    </w:p>
    <w:p w:rsidR="0014047B" w:rsidRDefault="0014047B">
      <w:pPr>
        <w:pStyle w:val="TableFont"/>
        <w:jc w:val="center"/>
      </w:pPr>
    </w:p>
    <w:p w:rsidR="00FE3A73" w:rsidRDefault="004266A7" w:rsidP="00A52883">
      <w:pPr>
        <w:pStyle w:val="Heading2"/>
      </w:pPr>
      <w:bookmarkStart w:id="521" w:name="_Toc285492468"/>
      <w:bookmarkStart w:id="522" w:name="_Toc288541089"/>
      <w:bookmarkStart w:id="523" w:name="_Toc293937145"/>
      <w:r w:rsidRPr="007408FD">
        <w:t>Groundwater Plumes</w:t>
      </w:r>
      <w:bookmarkEnd w:id="514"/>
      <w:bookmarkEnd w:id="515"/>
      <w:bookmarkEnd w:id="521"/>
      <w:bookmarkEnd w:id="522"/>
      <w:bookmarkEnd w:id="523"/>
    </w:p>
    <w:p w:rsidR="004266A7" w:rsidRDefault="004266A7" w:rsidP="00C14658">
      <w:pPr>
        <w:pStyle w:val="CDMBTEXT"/>
      </w:pPr>
      <w:r>
        <w:t>Infiltration shall not be allowed in the vicinity of mapped or potential groundwater plumes, except where infiltration would not adversely impact groundwater conditions as determined via a site-specific or watershed study applicable to the site. In the absence of a site specific</w:t>
      </w:r>
      <w:r w:rsidR="00D03515">
        <w:t xml:space="preserve"> </w:t>
      </w:r>
      <w:r>
        <w:t>study, the following criteria apply:</w:t>
      </w:r>
    </w:p>
    <w:p w:rsidR="004266A7" w:rsidRDefault="004266A7" w:rsidP="00430D51">
      <w:pPr>
        <w:pStyle w:val="ListBullet"/>
      </w:pPr>
      <w:r>
        <w:t xml:space="preserve">Infiltration is prohibited within </w:t>
      </w:r>
      <w:r w:rsidRPr="004410D2">
        <w:rPr>
          <w:i/>
        </w:rPr>
        <w:t>plume protection boundaries</w:t>
      </w:r>
      <w:r w:rsidR="00357F02">
        <w:rPr>
          <w:i/>
        </w:rPr>
        <w:t xml:space="preserve"> </w:t>
      </w:r>
      <w:r w:rsidRPr="00590296">
        <w:t>identified by Orange County Water District (OCWD)</w:t>
      </w:r>
      <w:r>
        <w:t xml:space="preserve"> (See </w:t>
      </w:r>
      <w:fldSimple w:instr=" REF _Ref285384324 \h  \* MERGEFORMAT ">
        <w:r w:rsidR="00126DE5" w:rsidRPr="00126DE5">
          <w:rPr>
            <w:b/>
            <w:color w:val="0070C0"/>
          </w:rPr>
          <w:t xml:space="preserve">Figure </w:t>
        </w:r>
        <w:r w:rsidR="00126DE5" w:rsidRPr="00126DE5">
          <w:rPr>
            <w:rFonts w:cs="Arial"/>
            <w:b/>
            <w:noProof/>
            <w:color w:val="0070C0"/>
            <w:sz w:val="20"/>
          </w:rPr>
          <w:t>VIII</w:t>
        </w:r>
        <w:r w:rsidR="00126DE5" w:rsidRPr="00126DE5">
          <w:rPr>
            <w:b/>
            <w:color w:val="0070C0"/>
          </w:rPr>
          <w:t>.</w:t>
        </w:r>
        <w:r w:rsidR="00126DE5" w:rsidRPr="00126DE5">
          <w:rPr>
            <w:rFonts w:cs="Arial"/>
            <w:b/>
            <w:noProof/>
            <w:color w:val="0070C0"/>
            <w:sz w:val="20"/>
          </w:rPr>
          <w:t>2</w:t>
        </w:r>
      </w:fldSimple>
      <w:r w:rsidR="00434575">
        <w:t>)</w:t>
      </w:r>
      <w:r>
        <w:t>, or equivalent boundaries identified by applicable groundwater agencies</w:t>
      </w:r>
      <w:r w:rsidR="00DC6D1E">
        <w:t>, unless a site specific study demonstrates that infiltration would not adversely impact groundwater conditions</w:t>
      </w:r>
      <w:r>
        <w:t>.</w:t>
      </w:r>
    </w:p>
    <w:p w:rsidR="004266A7" w:rsidRDefault="004266A7" w:rsidP="00430D51">
      <w:pPr>
        <w:pStyle w:val="ListBullet"/>
      </w:pPr>
      <w:r>
        <w:t xml:space="preserve">Infiltration is prohibited in identified natural pollutant source areas (e.g., selenium) </w:t>
      </w:r>
      <w:r w:rsidR="00357F02">
        <w:t xml:space="preserve">(See </w:t>
      </w:r>
      <w:fldSimple w:instr=" REF _Ref285384324 \h  \* MERGEFORMAT ">
        <w:r w:rsidR="00126DE5" w:rsidRPr="00126DE5">
          <w:rPr>
            <w:b/>
            <w:color w:val="0070C0"/>
          </w:rPr>
          <w:t xml:space="preserve">Figure </w:t>
        </w:r>
        <w:r w:rsidR="00126DE5" w:rsidRPr="00126DE5">
          <w:rPr>
            <w:rFonts w:cs="Arial"/>
            <w:b/>
            <w:noProof/>
            <w:color w:val="0070C0"/>
            <w:sz w:val="20"/>
          </w:rPr>
          <w:t>VIII</w:t>
        </w:r>
        <w:r w:rsidR="00126DE5" w:rsidRPr="00126DE5">
          <w:rPr>
            <w:b/>
            <w:color w:val="0070C0"/>
          </w:rPr>
          <w:t>.</w:t>
        </w:r>
        <w:r w:rsidR="00126DE5" w:rsidRPr="00126DE5">
          <w:rPr>
            <w:rFonts w:cs="Arial"/>
            <w:b/>
            <w:noProof/>
            <w:color w:val="0070C0"/>
            <w:sz w:val="20"/>
          </w:rPr>
          <w:t>2</w:t>
        </w:r>
      </w:fldSimple>
      <w:r w:rsidR="00357F02">
        <w:t>),</w:t>
      </w:r>
      <w:r w:rsidR="00DC6D1E" w:rsidRPr="00DC6D1E">
        <w:t xml:space="preserve"> </w:t>
      </w:r>
      <w:r w:rsidR="00DC6D1E">
        <w:t>unless a site specific study demonstrates that infiltration would not adversely impact groundwater conditions,</w:t>
      </w:r>
    </w:p>
    <w:p w:rsidR="004266A7" w:rsidRDefault="004266A7" w:rsidP="00430D51">
      <w:pPr>
        <w:pStyle w:val="ListBullet"/>
      </w:pPr>
      <w:r>
        <w:t xml:space="preserve">Infiltration is prohibited </w:t>
      </w:r>
      <w:r w:rsidRPr="00590296">
        <w:t>within 2</w:t>
      </w:r>
      <w:r>
        <w:t>50</w:t>
      </w:r>
      <w:r w:rsidRPr="00590296">
        <w:t xml:space="preserve"> feet of</w:t>
      </w:r>
      <w:r>
        <w:t xml:space="preserve"> contaminated sites, such as sites found in the Geotracker or </w:t>
      </w:r>
      <w:proofErr w:type="spellStart"/>
      <w:r>
        <w:t>EviroStor</w:t>
      </w:r>
      <w:proofErr w:type="spellEnd"/>
      <w:r>
        <w:t xml:space="preserve"> databases (</w:t>
      </w:r>
      <w:hyperlink r:id="rId77" w:history="1">
        <w:r w:rsidRPr="00126DE5">
          <w:rPr>
            <w:rStyle w:val="Hyperlink"/>
            <w:rFonts w:cs="Arial"/>
            <w:b/>
            <w:color w:val="0070C0"/>
            <w:sz w:val="20"/>
          </w:rPr>
          <w:t>http://geotracker.swrcb.ca.gov/</w:t>
        </w:r>
      </w:hyperlink>
      <w:r>
        <w:t xml:space="preserve">, </w:t>
      </w:r>
      <w:hyperlink r:id="rId78" w:history="1">
        <w:r w:rsidRPr="00126DE5">
          <w:rPr>
            <w:rStyle w:val="Hyperlink"/>
            <w:rFonts w:cs="Arial"/>
            <w:b/>
            <w:color w:val="0070C0"/>
            <w:sz w:val="20"/>
          </w:rPr>
          <w:t>http://www.envirostor.dtsc.ca.gov/public/</w:t>
        </w:r>
      </w:hyperlink>
      <w:r>
        <w:t>)</w:t>
      </w:r>
      <w:r w:rsidR="00DC6D1E">
        <w:t>,</w:t>
      </w:r>
      <w:r w:rsidR="00DC6D1E" w:rsidRPr="00DC6D1E">
        <w:t xml:space="preserve"> </w:t>
      </w:r>
      <w:r w:rsidR="00DC6D1E">
        <w:t>unless a site specific study demonstrates that infiltration would not adversely impact groundwater conditions</w:t>
      </w:r>
      <w:r>
        <w:t>.</w:t>
      </w:r>
      <w:r w:rsidR="00C14658">
        <w:t xml:space="preserve"> </w:t>
      </w:r>
      <w:r w:rsidR="00C135D8">
        <w:t xml:space="preserve"> The study must include a review of the magnitude and type of the original contaminants and byproducts shall be used to assess the level of risk posed by infiltration in the vicinity of closed sites. </w:t>
      </w:r>
      <w:r w:rsidR="00C14658">
        <w:t>This criterion applies to active contaminated sites or closed sites that have significant remaining potential for pollutant mobilization as a resu</w:t>
      </w:r>
      <w:r w:rsidR="00B24C0F">
        <w:t>lt of stormwater infiltration.</w:t>
      </w:r>
      <w:r w:rsidR="00352720">
        <w:t xml:space="preserve"> </w:t>
      </w:r>
    </w:p>
    <w:p w:rsidR="00C14658" w:rsidRDefault="00C14658" w:rsidP="00430D51">
      <w:pPr>
        <w:pStyle w:val="ListBullet"/>
      </w:pPr>
      <w:r>
        <w:t>A site-specific investigation shall always be performed to assess the feasibility of stormwater infiltration when the project proposes to redevelop a previously-contaminated site (</w:t>
      </w:r>
      <w:r w:rsidR="00DC2637">
        <w:t xml:space="preserve">e.g., </w:t>
      </w:r>
      <w:r>
        <w:t>Brownfield</w:t>
      </w:r>
      <w:r w:rsidR="00DC2637">
        <w:t>s or otherwise contaminated</w:t>
      </w:r>
      <w:r>
        <w:t>).</w:t>
      </w:r>
    </w:p>
    <w:p w:rsidR="00B04A99" w:rsidRDefault="00616820" w:rsidP="00C14658">
      <w:pPr>
        <w:pStyle w:val="CDMBTEXT"/>
      </w:pPr>
      <w:r w:rsidRPr="00616820">
        <w:t>As locations, boundaries, and number of contamination sites is subject to change, it is the responsibility of applicants to use the most up-to-date maps available from the permittee</w:t>
      </w:r>
      <w:r w:rsidR="00E92699">
        <w:t>s</w:t>
      </w:r>
      <w:r w:rsidRPr="00616820">
        <w:t xml:space="preserve"> and applicable groundwater</w:t>
      </w:r>
      <w:r w:rsidR="00E92699">
        <w:t xml:space="preserve"> management</w:t>
      </w:r>
      <w:r w:rsidRPr="00616820">
        <w:t xml:space="preserve"> agencies.</w:t>
      </w:r>
      <w:r w:rsidR="00D03515">
        <w:t xml:space="preserve"> </w:t>
      </w:r>
      <w:r w:rsidR="004266A7">
        <w:t xml:space="preserve">Requirements for conducting site-specific studies vary with project size and are identified in Section </w:t>
      </w:r>
      <w:r w:rsidR="00126F3D" w:rsidRPr="00126DE5">
        <w:rPr>
          <w:rFonts w:cs="Arial"/>
          <w:b/>
          <w:color w:val="0070C0"/>
          <w:sz w:val="20"/>
        </w:rPr>
        <w:fldChar w:fldCharType="begin"/>
      </w:r>
      <w:r w:rsidR="00C14658" w:rsidRPr="00126DE5">
        <w:rPr>
          <w:rFonts w:cs="Arial"/>
          <w:b/>
          <w:color w:val="0070C0"/>
          <w:sz w:val="20"/>
        </w:rPr>
        <w:instrText xml:space="preserve"> REF _Ref285290264 \r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rFonts w:cs="Arial"/>
          <w:b/>
          <w:color w:val="0070C0"/>
          <w:sz w:val="20"/>
        </w:rPr>
        <w:t>VIII.8</w:t>
      </w:r>
      <w:r w:rsidR="00126F3D" w:rsidRPr="00126DE5">
        <w:rPr>
          <w:rFonts w:cs="Arial"/>
          <w:b/>
          <w:color w:val="0070C0"/>
          <w:sz w:val="20"/>
        </w:rPr>
        <w:fldChar w:fldCharType="end"/>
      </w:r>
      <w:r w:rsidR="00C14658">
        <w:t>.</w:t>
      </w:r>
      <w:r w:rsidR="004266A7">
        <w:t xml:space="preserve"> </w:t>
      </w:r>
    </w:p>
    <w:p w:rsidR="00A05B65" w:rsidRPr="00A05B65" w:rsidRDefault="00A05B65" w:rsidP="00A05B65">
      <w:pPr>
        <w:pStyle w:val="CDMBHEADER"/>
        <w:rPr>
          <w:b/>
          <w:u w:val="single"/>
        </w:rPr>
      </w:pPr>
      <w:r w:rsidRPr="00A05B65">
        <w:rPr>
          <w:b/>
          <w:u w:val="single"/>
        </w:rPr>
        <w:t>Basis for 250-foot Setback</w:t>
      </w:r>
    </w:p>
    <w:p w:rsidR="00A05B65" w:rsidRPr="006A7D07" w:rsidRDefault="00A05B65" w:rsidP="00A05B65">
      <w:pPr>
        <w:pStyle w:val="CDMBHEADER"/>
      </w:pPr>
      <w:r w:rsidRPr="006A7D07">
        <w:t>The 250-foot separation distance from contaminated sites is based on the following considerations:</w:t>
      </w:r>
    </w:p>
    <w:p w:rsidR="00A05B65" w:rsidRDefault="00A05B65" w:rsidP="00430D51">
      <w:pPr>
        <w:pStyle w:val="ListBullet"/>
      </w:pPr>
      <w:r w:rsidRPr="006A7D07">
        <w:t xml:space="preserve">In general terms, the degree of subsurface contamination typically decreases in the horizontal direction away from a contaminated site (although there can be site-specific conditions where this is not the case); </w:t>
      </w:r>
    </w:p>
    <w:p w:rsidR="00A05B65" w:rsidRPr="006A7D07" w:rsidRDefault="00A05B65" w:rsidP="00430D51">
      <w:pPr>
        <w:pStyle w:val="ListBullet"/>
      </w:pPr>
      <w:r>
        <w:t>A</w:t>
      </w:r>
      <w:r w:rsidRPr="006A7D07">
        <w:t xml:space="preserve">s the distance between a contaminated site and a potential engineered infiltration </w:t>
      </w:r>
      <w:r>
        <w:t>system increases, the risk</w:t>
      </w:r>
      <w:r w:rsidRPr="006A7D07">
        <w:t xml:space="preserve"> </w:t>
      </w:r>
      <w:r>
        <w:t xml:space="preserve">decreases </w:t>
      </w:r>
      <w:r w:rsidRPr="006A7D07">
        <w:t xml:space="preserve">that the engineered infiltration system will infiltrate water into subsurface contamination </w:t>
      </w:r>
      <w:r>
        <w:t>or otherwise negatively affect contamination originating from the contaminated site</w:t>
      </w:r>
      <w:r w:rsidRPr="006A7D07">
        <w:t>;</w:t>
      </w:r>
    </w:p>
    <w:p w:rsidR="00A05B65" w:rsidRPr="006A7D07" w:rsidRDefault="00A05B65" w:rsidP="00430D51">
      <w:pPr>
        <w:pStyle w:val="ListBullet"/>
      </w:pPr>
      <w:r w:rsidRPr="006A7D07">
        <w:t xml:space="preserve">By precluding engineered infiltration systems within 250 feet of a contaminated site, the risk </w:t>
      </w:r>
      <w:r>
        <w:t xml:space="preserve">decreases </w:t>
      </w:r>
      <w:r w:rsidRPr="006A7D07">
        <w:t>that infiltration would be increased through an area of the subsurface containing non-aqueous phase liquid contamination or areas with groundwater containing very high levels of contamination;</w:t>
      </w:r>
    </w:p>
    <w:p w:rsidR="00A05B65" w:rsidRPr="00A05B65" w:rsidRDefault="00A05B65" w:rsidP="00430D51">
      <w:pPr>
        <w:pStyle w:val="ListBullet"/>
      </w:pPr>
      <w:r w:rsidRPr="006A7D07">
        <w:t>A survey of sites contaminated with petroleum</w:t>
      </w:r>
      <w:r>
        <w:t>-related</w:t>
      </w:r>
      <w:r w:rsidRPr="006A7D07">
        <w:t xml:space="preserve"> products </w:t>
      </w:r>
      <w:r>
        <w:t>estimat</w:t>
      </w:r>
      <w:r w:rsidRPr="006A7D07">
        <w:t xml:space="preserve">ed </w:t>
      </w:r>
      <w:r>
        <w:t xml:space="preserve">horizontal benzene plume lengths </w:t>
      </w:r>
      <w:r w:rsidRPr="006F31E2">
        <w:t xml:space="preserve">(California Leaking Underground Fuel Tank (LUFT) Historical Case Analysis, </w:t>
      </w:r>
      <w:r w:rsidRPr="006F31E2">
        <w:rPr>
          <w:bCs/>
        </w:rPr>
        <w:t xml:space="preserve">UCRL-AR-122207, </w:t>
      </w:r>
      <w:r w:rsidRPr="006F31E2">
        <w:t>prepared by Lawrence Livermore National Laboratory, 1995)</w:t>
      </w:r>
      <w:r>
        <w:t>.  Based on a 10 part per billion concentration threshold, the survey estimated</w:t>
      </w:r>
      <w:r w:rsidRPr="006A7D07">
        <w:t xml:space="preserve"> that </w:t>
      </w:r>
      <w:r>
        <w:t>9</w:t>
      </w:r>
      <w:r w:rsidRPr="006A7D07">
        <w:t>0 percent of the sites</w:t>
      </w:r>
      <w:r>
        <w:t xml:space="preserve"> had benzene plume lengths of 261</w:t>
      </w:r>
      <w:r w:rsidRPr="006A7D07">
        <w:t xml:space="preserve"> feet</w:t>
      </w:r>
      <w:r>
        <w:t xml:space="preserve"> or less.  Some contaminants may have longer or shorter plume lengths than benzene and the amount of data on plume lengths is increasing as additional data are collected.  Additional data and analysis may warrant reconsideration of this issue in the future.</w:t>
      </w:r>
    </w:p>
    <w:p w:rsidR="004266A7" w:rsidRDefault="00094961" w:rsidP="00A52883">
      <w:pPr>
        <w:pStyle w:val="Heading2"/>
      </w:pPr>
      <w:bookmarkStart w:id="524" w:name="_Toc285308166"/>
      <w:bookmarkStart w:id="525" w:name="_Toc285315750"/>
      <w:bookmarkStart w:id="526" w:name="_Toc285492469"/>
      <w:bookmarkStart w:id="527" w:name="_Toc288541090"/>
      <w:bookmarkStart w:id="528" w:name="_Toc293937146"/>
      <w:r>
        <w:t>Requirements for BMP Selection by Tributary Land Use Activities</w:t>
      </w:r>
      <w:bookmarkEnd w:id="524"/>
      <w:bookmarkEnd w:id="525"/>
      <w:bookmarkEnd w:id="526"/>
      <w:bookmarkEnd w:id="527"/>
      <w:bookmarkEnd w:id="528"/>
    </w:p>
    <w:p w:rsidR="004266A7" w:rsidRDefault="00126F3D" w:rsidP="00094961">
      <w:pPr>
        <w:pStyle w:val="CDMBTEXT"/>
      </w:pPr>
      <w:fldSimple w:instr=" REF  _Ref284434027 \h  \* MERGEFORMAT ">
        <w:r w:rsidR="00126DE5" w:rsidRPr="00126DE5">
          <w:rPr>
            <w:rFonts w:cs="Arial"/>
            <w:b/>
            <w:color w:val="0070C0"/>
            <w:sz w:val="20"/>
          </w:rPr>
          <w:t xml:space="preserve">Table </w:t>
        </w:r>
        <w:r w:rsidR="00126DE5" w:rsidRPr="00126DE5">
          <w:rPr>
            <w:rFonts w:cs="Arial"/>
            <w:b/>
            <w:noProof/>
            <w:color w:val="0070C0"/>
            <w:sz w:val="20"/>
          </w:rPr>
          <w:t>VIII</w:t>
        </w:r>
        <w:r w:rsidR="00126DE5" w:rsidRPr="00126DE5">
          <w:rPr>
            <w:rFonts w:cs="Arial"/>
            <w:b/>
            <w:color w:val="0070C0"/>
            <w:sz w:val="20"/>
          </w:rPr>
          <w:t>.1</w:t>
        </w:r>
      </w:fldSimple>
      <w:r w:rsidR="00094961">
        <w:t xml:space="preserve"> provides criteria for selection of BMPs to address the potential for contamination of groundwater from tributary land use activities. Infiltration BMPs shall be selected and applied as recommended by </w:t>
      </w:r>
      <w:fldSimple w:instr=" REF  _Ref284434027 \h  \* MERGEFORMAT ">
        <w:r w:rsidR="00126DE5" w:rsidRPr="00126DE5">
          <w:rPr>
            <w:rFonts w:cs="Arial"/>
            <w:b/>
            <w:color w:val="0070C0"/>
            <w:sz w:val="20"/>
          </w:rPr>
          <w:t xml:space="preserve">Table </w:t>
        </w:r>
        <w:r w:rsidR="00126DE5" w:rsidRPr="00126DE5">
          <w:rPr>
            <w:rFonts w:cs="Arial"/>
            <w:b/>
            <w:noProof/>
            <w:color w:val="0070C0"/>
            <w:sz w:val="20"/>
          </w:rPr>
          <w:t>VIII</w:t>
        </w:r>
        <w:r w:rsidR="00126DE5" w:rsidRPr="00126DE5">
          <w:rPr>
            <w:rFonts w:cs="Arial"/>
            <w:b/>
            <w:color w:val="0070C0"/>
            <w:sz w:val="20"/>
          </w:rPr>
          <w:t>.1</w:t>
        </w:r>
      </w:fldSimple>
      <w:r w:rsidR="00094961">
        <w:t xml:space="preserve">. </w:t>
      </w:r>
    </w:p>
    <w:p w:rsidR="00C14658" w:rsidRDefault="000C23C0" w:rsidP="00094961">
      <w:pPr>
        <w:pStyle w:val="CDMBTEXT"/>
      </w:pPr>
      <w:r>
        <w:t xml:space="preserve">To prevent contamination from materials used in the construction of the infiltration BMP itself, soil </w:t>
      </w:r>
      <w:r w:rsidRPr="000C23C0">
        <w:t>media</w:t>
      </w:r>
      <w:r>
        <w:t>,</w:t>
      </w:r>
      <w:r w:rsidRPr="000C23C0">
        <w:t xml:space="preserve"> construction materials</w:t>
      </w:r>
      <w:r>
        <w:t>,</w:t>
      </w:r>
      <w:r w:rsidRPr="000C23C0">
        <w:t xml:space="preserve"> and construction practices should be appropriately selected to ensure</w:t>
      </w:r>
      <w:r>
        <w:t xml:space="preserve"> that hazardous chemicals or groundwater pollutants of concern</w:t>
      </w:r>
      <w:r w:rsidRPr="000C23C0">
        <w:t xml:space="preserve"> are</w:t>
      </w:r>
      <w:r>
        <w:t xml:space="preserve"> not</w:t>
      </w:r>
      <w:r w:rsidRPr="000C23C0">
        <w:t xml:space="preserve"> inadvertently leached to the underlying </w:t>
      </w:r>
      <w:r>
        <w:t>groundwater</w:t>
      </w:r>
      <w:r w:rsidRPr="000C23C0">
        <w:t>.</w:t>
      </w:r>
    </w:p>
    <w:p w:rsidR="00C14658" w:rsidRDefault="00C14658" w:rsidP="00094961">
      <w:pPr>
        <w:pStyle w:val="CDMBTEXT"/>
        <w:sectPr w:rsidR="00C14658" w:rsidSect="00BF43BB">
          <w:headerReference w:type="first" r:id="rId79"/>
          <w:pgSz w:w="12240" w:h="15840"/>
          <w:pgMar w:top="1440" w:right="1440" w:bottom="1440" w:left="1440" w:header="720" w:footer="432" w:gutter="0"/>
          <w:pgNumType w:start="1" w:chapStyle="1"/>
          <w:cols w:space="720"/>
          <w:titlePg/>
          <w:docGrid w:linePitch="360"/>
        </w:sectPr>
      </w:pPr>
    </w:p>
    <w:p w:rsidR="00430D51" w:rsidRPr="00524D76" w:rsidRDefault="00430D51" w:rsidP="00647B99">
      <w:pPr>
        <w:pStyle w:val="Caption"/>
      </w:pPr>
      <w:bookmarkStart w:id="529" w:name="_Ref285384324"/>
      <w:bookmarkStart w:id="530" w:name="_Toc288555062"/>
      <w:r w:rsidRPr="00524D76">
        <w:t xml:space="preserve">Figure </w:t>
      </w:r>
      <w:fldSimple w:instr=" STYLEREF 1 \s ">
        <w:r w:rsidR="00524D76">
          <w:rPr>
            <w:noProof/>
          </w:rPr>
          <w:t>VIII</w:t>
        </w:r>
      </w:fldSimple>
      <w:r w:rsidR="00524D76">
        <w:t>.</w:t>
      </w:r>
      <w:fldSimple w:instr=" SEQ Figure \* ARABIC \s 1 ">
        <w:r w:rsidR="00524D76">
          <w:rPr>
            <w:noProof/>
          </w:rPr>
          <w:t>2</w:t>
        </w:r>
      </w:fldSimple>
      <w:bookmarkEnd w:id="529"/>
      <w:r w:rsidRPr="00524D76">
        <w:t>: North Orange County Groundwater Basin Protection Boundary and Plume Protection Boundaries (</w:t>
      </w:r>
      <w:hyperlink w:anchor="_Groundwater_Protection_Areas" w:history="1">
        <w:r w:rsidRPr="00524D76">
          <w:rPr>
            <w:rStyle w:val="Hyperlink"/>
            <w:color w:val="auto"/>
            <w:u w:val="none"/>
          </w:rPr>
          <w:t xml:space="preserve">See Figure </w:t>
        </w:r>
        <w:fldSimple w:instr=" REF _Ref288491922 \r \h  \* MERGEFORMAT ">
          <w:r w:rsidR="00126DE5" w:rsidRPr="00524D76">
            <w:rPr>
              <w:rStyle w:val="Hyperlink"/>
              <w:color w:val="auto"/>
              <w:u w:val="none"/>
            </w:rPr>
            <w:t>XVI.2</w:t>
          </w:r>
        </w:fldSimple>
        <w:r w:rsidRPr="00524D76">
          <w:rPr>
            <w:rStyle w:val="Hyperlink"/>
            <w:color w:val="auto"/>
            <w:u w:val="none"/>
          </w:rPr>
          <w:t>f for high resolution exhibit</w:t>
        </w:r>
      </w:hyperlink>
      <w:r w:rsidRPr="00524D76">
        <w:t>)</w:t>
      </w:r>
      <w:bookmarkEnd w:id="530"/>
    </w:p>
    <w:p w:rsidR="001631F5" w:rsidRPr="00524D76" w:rsidRDefault="00DF5096" w:rsidP="00647B99">
      <w:pPr>
        <w:pStyle w:val="Caption"/>
      </w:pPr>
      <w:r w:rsidRPr="00524D76">
        <w:rPr>
          <w:noProof/>
          <w:lang w:bidi="ar-SA"/>
        </w:rPr>
        <w:drawing>
          <wp:inline distT="0" distB="0" distL="0" distR="0">
            <wp:extent cx="7444588" cy="5167423"/>
            <wp:effectExtent l="19050" t="0" r="3962" b="0"/>
            <wp:docPr id="7" name="Picture 6" descr="9526E_Figure6_NorthOCGroundwaterProtectionAreasStreetMap_201102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26E_Figure6_NorthOCGroundwaterProtectionAreasStreetMap_201102157.png"/>
                    <pic:cNvPicPr/>
                  </pic:nvPicPr>
                  <pic:blipFill>
                    <a:blip r:embed="rId80" cstate="email"/>
                    <a:srcRect/>
                    <a:stretch>
                      <a:fillRect/>
                    </a:stretch>
                  </pic:blipFill>
                  <pic:spPr>
                    <a:xfrm>
                      <a:off x="0" y="0"/>
                      <a:ext cx="7444867" cy="5167617"/>
                    </a:xfrm>
                    <a:prstGeom prst="rect">
                      <a:avLst/>
                    </a:prstGeom>
                  </pic:spPr>
                </pic:pic>
              </a:graphicData>
            </a:graphic>
          </wp:inline>
        </w:drawing>
      </w:r>
    </w:p>
    <w:tbl>
      <w:tblPr>
        <w:tblStyle w:val="TableGrid"/>
        <w:tblW w:w="13255" w:type="dxa"/>
        <w:tblLayout w:type="fixed"/>
        <w:tblLook w:val="04A0"/>
      </w:tblPr>
      <w:tblGrid>
        <w:gridCol w:w="1555"/>
        <w:gridCol w:w="3150"/>
        <w:gridCol w:w="5490"/>
        <w:gridCol w:w="3060"/>
      </w:tblGrid>
      <w:tr w:rsidR="00DF5096" w:rsidRPr="00160878" w:rsidTr="00430D51">
        <w:trPr>
          <w:trHeight w:val="278"/>
        </w:trPr>
        <w:tc>
          <w:tcPr>
            <w:tcW w:w="13255" w:type="dxa"/>
            <w:gridSpan w:val="4"/>
            <w:tcBorders>
              <w:top w:val="nil"/>
              <w:left w:val="nil"/>
              <w:bottom w:val="single" w:sz="4" w:space="0" w:color="auto"/>
              <w:right w:val="nil"/>
            </w:tcBorders>
            <w:shd w:val="clear" w:color="auto" w:fill="auto"/>
            <w:tcMar>
              <w:top w:w="72" w:type="dxa"/>
              <w:left w:w="115" w:type="dxa"/>
              <w:bottom w:w="72" w:type="dxa"/>
              <w:right w:w="115" w:type="dxa"/>
            </w:tcMar>
          </w:tcPr>
          <w:p w:rsidR="00DF5096" w:rsidRPr="00524D76" w:rsidRDefault="00DF5096" w:rsidP="00647B99">
            <w:pPr>
              <w:pStyle w:val="Caption"/>
            </w:pPr>
            <w:bookmarkStart w:id="531" w:name="_Ref285023246"/>
            <w:bookmarkStart w:id="532" w:name="_Ref284434027"/>
            <w:bookmarkStart w:id="533" w:name="_Toc288554383"/>
            <w:r w:rsidRPr="00524D76">
              <w:rPr>
                <w:szCs w:val="22"/>
              </w:rPr>
              <w:t xml:space="preserve">Table </w:t>
            </w:r>
            <w:r w:rsidR="00126F3D" w:rsidRPr="00524D76">
              <w:rPr>
                <w:rFonts w:cs="Arial"/>
              </w:rPr>
              <w:fldChar w:fldCharType="begin"/>
            </w:r>
            <w:r w:rsidR="000B5480" w:rsidRPr="00524D76">
              <w:rPr>
                <w:rFonts w:cs="Arial"/>
              </w:rPr>
              <w:instrText xml:space="preserve"> STYLEREF 1 \s </w:instrText>
            </w:r>
            <w:r w:rsidR="00126F3D" w:rsidRPr="00524D76">
              <w:rPr>
                <w:rFonts w:cs="Arial"/>
              </w:rPr>
              <w:fldChar w:fldCharType="separate"/>
            </w:r>
            <w:r w:rsidR="00126DE5" w:rsidRPr="00524D76">
              <w:rPr>
                <w:rFonts w:cs="Arial"/>
                <w:noProof/>
              </w:rPr>
              <w:t>VIII</w:t>
            </w:r>
            <w:r w:rsidR="00126F3D" w:rsidRPr="00524D76">
              <w:rPr>
                <w:rFonts w:cs="Arial"/>
              </w:rPr>
              <w:fldChar w:fldCharType="end"/>
            </w:r>
            <w:r w:rsidR="000B5480" w:rsidRPr="00524D76">
              <w:rPr>
                <w:szCs w:val="22"/>
              </w:rPr>
              <w:t>.</w:t>
            </w:r>
            <w:r w:rsidR="00126F3D" w:rsidRPr="00524D76">
              <w:rPr>
                <w:rFonts w:cs="Arial"/>
              </w:rPr>
              <w:fldChar w:fldCharType="begin"/>
            </w:r>
            <w:r w:rsidR="000B5480" w:rsidRPr="00524D76">
              <w:rPr>
                <w:rFonts w:cs="Arial"/>
              </w:rPr>
              <w:instrText xml:space="preserve"> SEQ Table \* ARABIC \s 1 </w:instrText>
            </w:r>
            <w:r w:rsidR="00126F3D" w:rsidRPr="00524D76">
              <w:rPr>
                <w:rFonts w:cs="Arial"/>
              </w:rPr>
              <w:fldChar w:fldCharType="separate"/>
            </w:r>
            <w:r w:rsidR="00126DE5" w:rsidRPr="00524D76">
              <w:rPr>
                <w:rFonts w:cs="Arial"/>
                <w:noProof/>
              </w:rPr>
              <w:t>1</w:t>
            </w:r>
            <w:r w:rsidR="00126F3D" w:rsidRPr="00524D76">
              <w:rPr>
                <w:rFonts w:cs="Arial"/>
              </w:rPr>
              <w:fldChar w:fldCharType="end"/>
            </w:r>
            <w:bookmarkEnd w:id="531"/>
            <w:bookmarkEnd w:id="532"/>
            <w:r w:rsidRPr="00524D76">
              <w:rPr>
                <w:szCs w:val="22"/>
              </w:rPr>
              <w:t xml:space="preserve">: </w:t>
            </w:r>
            <w:r w:rsidRPr="00524D76">
              <w:t>Recommendations/Requirements for BMP Selection to Minimize Groundwater Quality Impacts</w:t>
            </w:r>
            <w:bookmarkEnd w:id="533"/>
          </w:p>
        </w:tc>
      </w:tr>
      <w:tr w:rsidR="00DF5096" w:rsidRPr="00160878" w:rsidTr="00430D51">
        <w:trPr>
          <w:trHeight w:val="386"/>
        </w:trPr>
        <w:tc>
          <w:tcPr>
            <w:tcW w:w="1555" w:type="dxa"/>
            <w:tcBorders>
              <w:top w:val="single" w:sz="4" w:space="0" w:color="auto"/>
              <w:right w:val="single" w:sz="4" w:space="0" w:color="FFFFFF" w:themeColor="background1"/>
            </w:tcBorders>
            <w:shd w:val="clear" w:color="auto" w:fill="D9D9D9" w:themeFill="background1" w:themeFillShade="D9"/>
            <w:tcMar>
              <w:top w:w="43" w:type="dxa"/>
              <w:left w:w="115" w:type="dxa"/>
              <w:bottom w:w="58" w:type="dxa"/>
              <w:right w:w="115" w:type="dxa"/>
            </w:tcMar>
            <w:vAlign w:val="bottom"/>
          </w:tcPr>
          <w:p w:rsidR="00DF5096" w:rsidRPr="006D6026" w:rsidRDefault="00E712F1" w:rsidP="00357F02">
            <w:pPr>
              <w:tabs>
                <w:tab w:val="clear" w:pos="475"/>
                <w:tab w:val="clear" w:pos="950"/>
                <w:tab w:val="clear" w:pos="2390"/>
              </w:tabs>
              <w:spacing w:after="0" w:line="276" w:lineRule="auto"/>
              <w:jc w:val="center"/>
              <w:rPr>
                <w:rFonts w:ascii="Arial" w:hAnsi="Arial" w:cs="Arial"/>
                <w:b/>
                <w:sz w:val="18"/>
                <w:szCs w:val="18"/>
              </w:rPr>
            </w:pPr>
            <w:r w:rsidRPr="00E712F1">
              <w:rPr>
                <w:rFonts w:ascii="Arial" w:hAnsi="Arial" w:cs="Arial"/>
                <w:b/>
                <w:sz w:val="18"/>
                <w:szCs w:val="18"/>
              </w:rPr>
              <w:t>Tributary Area Risk Category</w:t>
            </w:r>
          </w:p>
        </w:tc>
        <w:tc>
          <w:tcPr>
            <w:tcW w:w="3150" w:type="dxa"/>
            <w:tcBorders>
              <w:top w:val="single" w:sz="4" w:space="0" w:color="auto"/>
              <w:left w:val="single" w:sz="4" w:space="0" w:color="FFFFFF" w:themeColor="background1"/>
              <w:right w:val="single" w:sz="4" w:space="0" w:color="FFFFFF" w:themeColor="background1"/>
            </w:tcBorders>
            <w:shd w:val="clear" w:color="auto" w:fill="D9D9D9" w:themeFill="background1" w:themeFillShade="D9"/>
            <w:tcMar>
              <w:top w:w="43" w:type="dxa"/>
              <w:left w:w="115" w:type="dxa"/>
              <w:bottom w:w="58" w:type="dxa"/>
              <w:right w:w="115" w:type="dxa"/>
            </w:tcMar>
            <w:vAlign w:val="bottom"/>
          </w:tcPr>
          <w:p w:rsidR="00DF5096" w:rsidRPr="006D6026" w:rsidRDefault="00E712F1" w:rsidP="00352720">
            <w:pPr>
              <w:tabs>
                <w:tab w:val="clear" w:pos="475"/>
                <w:tab w:val="clear" w:pos="950"/>
                <w:tab w:val="clear" w:pos="2390"/>
              </w:tabs>
              <w:spacing w:after="0" w:line="276" w:lineRule="auto"/>
              <w:ind w:left="-115"/>
              <w:jc w:val="center"/>
              <w:rPr>
                <w:rFonts w:ascii="Arial" w:hAnsi="Arial" w:cs="Arial"/>
                <w:b/>
                <w:sz w:val="18"/>
                <w:szCs w:val="18"/>
              </w:rPr>
            </w:pPr>
            <w:r w:rsidRPr="00E712F1">
              <w:rPr>
                <w:rFonts w:ascii="Arial" w:hAnsi="Arial" w:cs="Arial"/>
                <w:b/>
                <w:sz w:val="18"/>
                <w:szCs w:val="18"/>
              </w:rPr>
              <w:t>Narrative Description of Category</w:t>
            </w:r>
          </w:p>
        </w:tc>
        <w:tc>
          <w:tcPr>
            <w:tcW w:w="5490" w:type="dxa"/>
            <w:tcBorders>
              <w:top w:val="single" w:sz="4" w:space="0" w:color="auto"/>
              <w:left w:val="single" w:sz="4" w:space="0" w:color="FFFFFF" w:themeColor="background1"/>
              <w:right w:val="single" w:sz="4" w:space="0" w:color="FFFFFF" w:themeColor="background1"/>
            </w:tcBorders>
            <w:shd w:val="clear" w:color="auto" w:fill="D9D9D9" w:themeFill="background1" w:themeFillShade="D9"/>
            <w:tcMar>
              <w:top w:w="43" w:type="dxa"/>
              <w:left w:w="115" w:type="dxa"/>
              <w:bottom w:w="58" w:type="dxa"/>
              <w:right w:w="115" w:type="dxa"/>
            </w:tcMar>
            <w:vAlign w:val="bottom"/>
          </w:tcPr>
          <w:p w:rsidR="00DF5096" w:rsidRPr="006D6026" w:rsidRDefault="00E712F1" w:rsidP="00357F02">
            <w:pPr>
              <w:tabs>
                <w:tab w:val="clear" w:pos="475"/>
                <w:tab w:val="clear" w:pos="950"/>
                <w:tab w:val="clear" w:pos="2390"/>
              </w:tabs>
              <w:spacing w:after="0" w:line="276" w:lineRule="auto"/>
              <w:jc w:val="center"/>
              <w:rPr>
                <w:rFonts w:ascii="Arial" w:hAnsi="Arial" w:cs="Arial"/>
                <w:b/>
                <w:sz w:val="18"/>
                <w:szCs w:val="18"/>
              </w:rPr>
            </w:pPr>
            <w:r w:rsidRPr="00E712F1">
              <w:rPr>
                <w:rFonts w:ascii="Arial" w:hAnsi="Arial" w:cs="Arial"/>
                <w:b/>
                <w:sz w:val="18"/>
                <w:szCs w:val="18"/>
              </w:rPr>
              <w:t>Example Land Use Activities</w:t>
            </w:r>
          </w:p>
        </w:tc>
        <w:tc>
          <w:tcPr>
            <w:tcW w:w="3060" w:type="dxa"/>
            <w:tcBorders>
              <w:top w:val="single" w:sz="4" w:space="0" w:color="auto"/>
              <w:left w:val="single" w:sz="4" w:space="0" w:color="FFFFFF" w:themeColor="background1"/>
            </w:tcBorders>
            <w:shd w:val="clear" w:color="auto" w:fill="D9D9D9" w:themeFill="background1" w:themeFillShade="D9"/>
            <w:tcMar>
              <w:top w:w="43" w:type="dxa"/>
              <w:left w:w="115" w:type="dxa"/>
              <w:bottom w:w="58" w:type="dxa"/>
              <w:right w:w="115" w:type="dxa"/>
            </w:tcMar>
            <w:vAlign w:val="bottom"/>
          </w:tcPr>
          <w:p w:rsidR="00DF5096" w:rsidRPr="006D6026" w:rsidRDefault="00E712F1" w:rsidP="00357F02">
            <w:pPr>
              <w:tabs>
                <w:tab w:val="clear" w:pos="475"/>
                <w:tab w:val="clear" w:pos="950"/>
                <w:tab w:val="clear" w:pos="2390"/>
              </w:tabs>
              <w:spacing w:after="0" w:line="276" w:lineRule="auto"/>
              <w:jc w:val="center"/>
              <w:rPr>
                <w:rFonts w:ascii="Arial" w:hAnsi="Arial" w:cs="Arial"/>
                <w:b/>
                <w:sz w:val="18"/>
                <w:szCs w:val="18"/>
              </w:rPr>
            </w:pPr>
            <w:r w:rsidRPr="00E712F1">
              <w:rPr>
                <w:rFonts w:ascii="Arial" w:hAnsi="Arial" w:cs="Arial"/>
                <w:b/>
                <w:sz w:val="18"/>
                <w:szCs w:val="18"/>
              </w:rPr>
              <w:t>BMP Selection Requirements</w:t>
            </w:r>
          </w:p>
        </w:tc>
      </w:tr>
      <w:tr w:rsidR="00DF5096" w:rsidRPr="00160878" w:rsidTr="00352720">
        <w:trPr>
          <w:trHeight w:val="935"/>
        </w:trPr>
        <w:tc>
          <w:tcPr>
            <w:tcW w:w="1555" w:type="dxa"/>
            <w:shd w:val="clear" w:color="auto" w:fill="D9D9D9" w:themeFill="background1" w:themeFillShade="D9"/>
            <w:tcMar>
              <w:top w:w="43" w:type="dxa"/>
              <w:left w:w="115" w:type="dxa"/>
              <w:bottom w:w="58" w:type="dxa"/>
              <w:right w:w="115" w:type="dxa"/>
            </w:tcMar>
          </w:tcPr>
          <w:p w:rsidR="00DF5096" w:rsidRPr="006D6026" w:rsidRDefault="00354C54" w:rsidP="00357F02">
            <w:pPr>
              <w:tabs>
                <w:tab w:val="clear" w:pos="475"/>
                <w:tab w:val="clear" w:pos="950"/>
                <w:tab w:val="clear" w:pos="2390"/>
              </w:tabs>
              <w:spacing w:after="0" w:line="276" w:lineRule="auto"/>
              <w:jc w:val="left"/>
              <w:rPr>
                <w:rFonts w:ascii="Arial" w:hAnsi="Arial" w:cs="Arial"/>
                <w:sz w:val="18"/>
                <w:szCs w:val="18"/>
              </w:rPr>
            </w:pPr>
            <w:r w:rsidRPr="00354C54">
              <w:rPr>
                <w:rFonts w:ascii="Arial" w:hAnsi="Arial" w:cs="Arial"/>
                <w:b/>
                <w:sz w:val="18"/>
                <w:szCs w:val="18"/>
              </w:rPr>
              <w:t>Low Runoff Contamination Potential</w:t>
            </w:r>
          </w:p>
        </w:tc>
        <w:tc>
          <w:tcPr>
            <w:tcW w:w="3150" w:type="dxa"/>
            <w:tcMar>
              <w:top w:w="43" w:type="dxa"/>
              <w:left w:w="115" w:type="dxa"/>
              <w:bottom w:w="58" w:type="dxa"/>
              <w:right w:w="115" w:type="dxa"/>
            </w:tcMar>
          </w:tcPr>
          <w:p w:rsidR="00DF5096" w:rsidRPr="006D6026" w:rsidRDefault="00E712F1" w:rsidP="00352720">
            <w:pPr>
              <w:tabs>
                <w:tab w:val="clear" w:pos="475"/>
                <w:tab w:val="clear" w:pos="950"/>
                <w:tab w:val="clear" w:pos="2390"/>
              </w:tabs>
              <w:spacing w:after="0" w:line="276" w:lineRule="auto"/>
              <w:ind w:left="-109"/>
              <w:jc w:val="left"/>
              <w:rPr>
                <w:rFonts w:ascii="Arial" w:hAnsi="Arial" w:cs="Arial"/>
                <w:sz w:val="18"/>
                <w:szCs w:val="18"/>
              </w:rPr>
            </w:pPr>
            <w:r w:rsidRPr="00E712F1">
              <w:rPr>
                <w:rFonts w:ascii="Arial" w:hAnsi="Arial" w:cs="Arial"/>
                <w:sz w:val="18"/>
                <w:szCs w:val="18"/>
              </w:rPr>
              <w:t>BMP receives runoff from a mix of land covers that are expected to have relatively clean runoff; significant spills in tributary area are unlikely.</w:t>
            </w:r>
          </w:p>
        </w:tc>
        <w:tc>
          <w:tcPr>
            <w:tcW w:w="5490" w:type="dxa"/>
            <w:tcMar>
              <w:top w:w="43" w:type="dxa"/>
              <w:left w:w="115" w:type="dxa"/>
              <w:bottom w:w="58" w:type="dxa"/>
              <w:right w:w="115" w:type="dxa"/>
            </w:tcMar>
          </w:tcPr>
          <w:p w:rsidR="00DF5096" w:rsidRPr="006D6026" w:rsidRDefault="00354C54" w:rsidP="009531AF">
            <w:pPr>
              <w:pStyle w:val="ListParagraph"/>
              <w:numPr>
                <w:ilvl w:val="0"/>
                <w:numId w:val="26"/>
              </w:numPr>
              <w:tabs>
                <w:tab w:val="clear" w:pos="475"/>
                <w:tab w:val="clear" w:pos="950"/>
                <w:tab w:val="clear" w:pos="2390"/>
              </w:tabs>
              <w:spacing w:after="0" w:line="276" w:lineRule="auto"/>
              <w:ind w:left="169" w:hanging="180"/>
              <w:jc w:val="left"/>
              <w:rPr>
                <w:rFonts w:ascii="Arial" w:hAnsi="Arial" w:cs="Arial"/>
                <w:sz w:val="18"/>
                <w:szCs w:val="18"/>
              </w:rPr>
            </w:pPr>
            <w:r w:rsidRPr="00354C54">
              <w:rPr>
                <w:rFonts w:ascii="Arial" w:hAnsi="Arial" w:cs="Arial"/>
                <w:sz w:val="18"/>
                <w:szCs w:val="18"/>
              </w:rPr>
              <w:t>Rooftops with roofing material and downspouts free of copper and zinc</w:t>
            </w:r>
          </w:p>
          <w:p w:rsidR="00DF5096" w:rsidRPr="006D6026" w:rsidRDefault="00E712F1" w:rsidP="009531AF">
            <w:pPr>
              <w:pStyle w:val="ListParagraph"/>
              <w:numPr>
                <w:ilvl w:val="0"/>
                <w:numId w:val="26"/>
              </w:numPr>
              <w:tabs>
                <w:tab w:val="clear" w:pos="475"/>
                <w:tab w:val="clear" w:pos="950"/>
                <w:tab w:val="clear" w:pos="2390"/>
              </w:tabs>
              <w:spacing w:after="0" w:line="276" w:lineRule="auto"/>
              <w:ind w:left="169" w:hanging="180"/>
              <w:jc w:val="left"/>
              <w:rPr>
                <w:rFonts w:ascii="Arial" w:hAnsi="Arial" w:cs="Arial"/>
                <w:sz w:val="18"/>
                <w:szCs w:val="18"/>
              </w:rPr>
            </w:pPr>
            <w:r w:rsidRPr="00E712F1">
              <w:rPr>
                <w:rFonts w:ascii="Arial" w:hAnsi="Arial" w:cs="Arial"/>
                <w:sz w:val="18"/>
                <w:szCs w:val="18"/>
              </w:rPr>
              <w:t>Patios, sidewalks, and other pedestrian areas</w:t>
            </w:r>
          </w:p>
          <w:p w:rsidR="00DF5096" w:rsidRPr="006D6026" w:rsidRDefault="00E712F1" w:rsidP="009531AF">
            <w:pPr>
              <w:pStyle w:val="ListParagraph"/>
              <w:numPr>
                <w:ilvl w:val="0"/>
                <w:numId w:val="26"/>
              </w:numPr>
              <w:tabs>
                <w:tab w:val="clear" w:pos="475"/>
                <w:tab w:val="clear" w:pos="950"/>
                <w:tab w:val="clear" w:pos="2390"/>
              </w:tabs>
              <w:spacing w:after="0" w:line="276" w:lineRule="auto"/>
              <w:ind w:left="169" w:hanging="180"/>
              <w:jc w:val="left"/>
              <w:rPr>
                <w:rFonts w:ascii="Arial" w:hAnsi="Arial" w:cs="Arial"/>
                <w:sz w:val="18"/>
                <w:szCs w:val="18"/>
              </w:rPr>
            </w:pPr>
            <w:r w:rsidRPr="00E712F1">
              <w:rPr>
                <w:rFonts w:ascii="Arial" w:hAnsi="Arial" w:cs="Arial"/>
                <w:sz w:val="18"/>
                <w:szCs w:val="18"/>
              </w:rPr>
              <w:t>Mixed residential land uses with applicable source controls</w:t>
            </w:r>
          </w:p>
          <w:p w:rsidR="00DF5096" w:rsidRPr="006D6026" w:rsidRDefault="00E712F1" w:rsidP="009531AF">
            <w:pPr>
              <w:pStyle w:val="ListParagraph"/>
              <w:numPr>
                <w:ilvl w:val="0"/>
                <w:numId w:val="26"/>
              </w:numPr>
              <w:tabs>
                <w:tab w:val="clear" w:pos="475"/>
                <w:tab w:val="clear" w:pos="950"/>
                <w:tab w:val="clear" w:pos="2390"/>
              </w:tabs>
              <w:spacing w:after="0" w:line="276" w:lineRule="auto"/>
              <w:ind w:left="169" w:hanging="180"/>
              <w:jc w:val="left"/>
              <w:rPr>
                <w:rFonts w:ascii="Arial" w:hAnsi="Arial" w:cs="Arial"/>
                <w:sz w:val="18"/>
                <w:szCs w:val="18"/>
              </w:rPr>
            </w:pPr>
            <w:r w:rsidRPr="00E712F1">
              <w:rPr>
                <w:rFonts w:ascii="Arial" w:hAnsi="Arial" w:cs="Arial"/>
                <w:sz w:val="18"/>
                <w:szCs w:val="18"/>
              </w:rPr>
              <w:t>Institutional land uses with applicable source controls</w:t>
            </w:r>
          </w:p>
          <w:p w:rsidR="00DF5096" w:rsidRPr="006D6026" w:rsidRDefault="00E712F1" w:rsidP="009531AF">
            <w:pPr>
              <w:pStyle w:val="ListParagraph"/>
              <w:numPr>
                <w:ilvl w:val="0"/>
                <w:numId w:val="23"/>
              </w:numPr>
              <w:tabs>
                <w:tab w:val="clear" w:pos="475"/>
                <w:tab w:val="clear" w:pos="950"/>
                <w:tab w:val="clear" w:pos="2390"/>
              </w:tabs>
              <w:spacing w:after="0" w:line="240" w:lineRule="auto"/>
              <w:ind w:left="169" w:hanging="180"/>
              <w:jc w:val="left"/>
              <w:rPr>
                <w:rFonts w:ascii="Arial" w:hAnsi="Arial" w:cs="Arial"/>
                <w:sz w:val="18"/>
                <w:szCs w:val="18"/>
              </w:rPr>
            </w:pPr>
            <w:r w:rsidRPr="00E712F1">
              <w:rPr>
                <w:rFonts w:ascii="Arial" w:hAnsi="Arial" w:cs="Arial"/>
                <w:sz w:val="18"/>
                <w:szCs w:val="18"/>
              </w:rPr>
              <w:t>Driveways and minor streets</w:t>
            </w:r>
          </w:p>
        </w:tc>
        <w:tc>
          <w:tcPr>
            <w:tcW w:w="3060" w:type="dxa"/>
            <w:tcMar>
              <w:top w:w="43" w:type="dxa"/>
              <w:left w:w="115" w:type="dxa"/>
              <w:bottom w:w="58" w:type="dxa"/>
              <w:right w:w="115" w:type="dxa"/>
            </w:tcMar>
          </w:tcPr>
          <w:p w:rsidR="00DF5096" w:rsidRPr="006D6026" w:rsidRDefault="00E712F1" w:rsidP="009531AF">
            <w:pPr>
              <w:pStyle w:val="ListParagraph"/>
              <w:numPr>
                <w:ilvl w:val="0"/>
                <w:numId w:val="23"/>
              </w:numPr>
              <w:tabs>
                <w:tab w:val="clear" w:pos="475"/>
                <w:tab w:val="clear" w:pos="950"/>
                <w:tab w:val="clear" w:pos="2390"/>
              </w:tabs>
              <w:spacing w:after="0" w:line="240" w:lineRule="auto"/>
              <w:ind w:left="169" w:hanging="180"/>
              <w:jc w:val="left"/>
              <w:rPr>
                <w:rFonts w:ascii="Arial" w:hAnsi="Arial" w:cs="Arial"/>
                <w:sz w:val="18"/>
                <w:szCs w:val="18"/>
              </w:rPr>
            </w:pPr>
            <w:r w:rsidRPr="00E712F1">
              <w:rPr>
                <w:rFonts w:ascii="Arial" w:hAnsi="Arial" w:cs="Arial"/>
                <w:sz w:val="18"/>
                <w:szCs w:val="18"/>
              </w:rPr>
              <w:t>Any infiltration BMP type may be used</w:t>
            </w:r>
          </w:p>
          <w:p w:rsidR="00DF5096" w:rsidRPr="006D6026" w:rsidRDefault="00E712F1" w:rsidP="009531AF">
            <w:pPr>
              <w:pStyle w:val="ListParagraph"/>
              <w:numPr>
                <w:ilvl w:val="0"/>
                <w:numId w:val="23"/>
              </w:numPr>
              <w:tabs>
                <w:tab w:val="clear" w:pos="475"/>
                <w:tab w:val="clear" w:pos="950"/>
                <w:tab w:val="clear" w:pos="2390"/>
              </w:tabs>
              <w:spacing w:after="0" w:line="240" w:lineRule="auto"/>
              <w:ind w:left="169" w:hanging="180"/>
              <w:jc w:val="left"/>
              <w:rPr>
                <w:rFonts w:ascii="Arial" w:hAnsi="Arial" w:cs="Arial"/>
                <w:sz w:val="18"/>
                <w:szCs w:val="18"/>
              </w:rPr>
            </w:pPr>
            <w:r w:rsidRPr="00E712F1">
              <w:rPr>
                <w:rFonts w:ascii="Arial" w:hAnsi="Arial" w:cs="Arial"/>
                <w:sz w:val="18"/>
                <w:szCs w:val="18"/>
              </w:rPr>
              <w:t>Pretreatment for sediment is strongly recommended, as applicable, to mitigate clogging</w:t>
            </w:r>
          </w:p>
        </w:tc>
      </w:tr>
      <w:tr w:rsidR="00DF5096" w:rsidRPr="00160878" w:rsidTr="00430D51">
        <w:trPr>
          <w:trHeight w:val="1765"/>
        </w:trPr>
        <w:tc>
          <w:tcPr>
            <w:tcW w:w="1555" w:type="dxa"/>
            <w:shd w:val="clear" w:color="auto" w:fill="D9D9D9" w:themeFill="background1" w:themeFillShade="D9"/>
            <w:tcMar>
              <w:top w:w="43" w:type="dxa"/>
              <w:left w:w="115" w:type="dxa"/>
              <w:bottom w:w="58" w:type="dxa"/>
              <w:right w:w="115" w:type="dxa"/>
            </w:tcMar>
          </w:tcPr>
          <w:p w:rsidR="00DF5096" w:rsidRPr="006D6026" w:rsidRDefault="00354C54" w:rsidP="00357F02">
            <w:pPr>
              <w:tabs>
                <w:tab w:val="clear" w:pos="475"/>
                <w:tab w:val="clear" w:pos="950"/>
                <w:tab w:val="clear" w:pos="2390"/>
              </w:tabs>
              <w:spacing w:after="0" w:line="276" w:lineRule="auto"/>
              <w:jc w:val="left"/>
              <w:rPr>
                <w:rFonts w:ascii="Arial" w:hAnsi="Arial" w:cs="Arial"/>
                <w:b/>
                <w:sz w:val="18"/>
                <w:szCs w:val="18"/>
              </w:rPr>
            </w:pPr>
            <w:r w:rsidRPr="00354C54">
              <w:rPr>
                <w:rFonts w:ascii="Arial" w:hAnsi="Arial" w:cs="Arial"/>
                <w:b/>
                <w:sz w:val="18"/>
                <w:szCs w:val="18"/>
              </w:rPr>
              <w:t>Moderate Runoff Contamination Potential</w:t>
            </w:r>
          </w:p>
        </w:tc>
        <w:tc>
          <w:tcPr>
            <w:tcW w:w="3150" w:type="dxa"/>
            <w:tcMar>
              <w:top w:w="43" w:type="dxa"/>
              <w:left w:w="115" w:type="dxa"/>
              <w:bottom w:w="58" w:type="dxa"/>
              <w:right w:w="115" w:type="dxa"/>
            </w:tcMar>
          </w:tcPr>
          <w:p w:rsidR="00DF5096" w:rsidRPr="006D6026" w:rsidDel="002E199E" w:rsidRDefault="00E712F1" w:rsidP="00352720">
            <w:pPr>
              <w:tabs>
                <w:tab w:val="clear" w:pos="475"/>
                <w:tab w:val="clear" w:pos="950"/>
                <w:tab w:val="clear" w:pos="2390"/>
              </w:tabs>
              <w:spacing w:after="0" w:line="276" w:lineRule="auto"/>
              <w:ind w:left="-109"/>
              <w:jc w:val="left"/>
              <w:rPr>
                <w:rFonts w:ascii="Arial" w:hAnsi="Arial" w:cs="Arial"/>
                <w:sz w:val="18"/>
                <w:szCs w:val="18"/>
              </w:rPr>
            </w:pPr>
            <w:r w:rsidRPr="00E712F1">
              <w:rPr>
                <w:rFonts w:ascii="Arial" w:hAnsi="Arial" w:cs="Arial"/>
                <w:sz w:val="18"/>
                <w:szCs w:val="18"/>
              </w:rPr>
              <w:t>BMP receives runoff from a mix of land covers, more than 10 percent of which have the potential to generate stormwater pollutants at levels that could potentially contaminate groundwater; there is potential for minor spills in the tributary area.</w:t>
            </w:r>
          </w:p>
        </w:tc>
        <w:tc>
          <w:tcPr>
            <w:tcW w:w="5490" w:type="dxa"/>
            <w:tcMar>
              <w:top w:w="43" w:type="dxa"/>
              <w:left w:w="115" w:type="dxa"/>
              <w:bottom w:w="58" w:type="dxa"/>
              <w:right w:w="115" w:type="dxa"/>
            </w:tcMar>
          </w:tcPr>
          <w:p w:rsidR="00DF5096" w:rsidRPr="006D6026" w:rsidRDefault="00E712F1" w:rsidP="009531AF">
            <w:pPr>
              <w:pStyle w:val="ListParagraph"/>
              <w:numPr>
                <w:ilvl w:val="0"/>
                <w:numId w:val="26"/>
              </w:numPr>
              <w:tabs>
                <w:tab w:val="clear" w:pos="475"/>
                <w:tab w:val="clear" w:pos="950"/>
                <w:tab w:val="clear" w:pos="2390"/>
              </w:tabs>
              <w:spacing w:after="0" w:line="276" w:lineRule="auto"/>
              <w:ind w:left="169" w:hanging="180"/>
              <w:jc w:val="left"/>
              <w:rPr>
                <w:rFonts w:ascii="Arial" w:hAnsi="Arial" w:cs="Arial"/>
                <w:sz w:val="18"/>
                <w:szCs w:val="18"/>
              </w:rPr>
            </w:pPr>
            <w:r w:rsidRPr="00E712F1">
              <w:rPr>
                <w:rFonts w:ascii="Arial" w:hAnsi="Arial" w:cs="Arial"/>
                <w:sz w:val="18"/>
                <w:szCs w:val="18"/>
              </w:rPr>
              <w:t>Roadways greater than 5,000 ADT but less than 25,000 ADT</w:t>
            </w:r>
          </w:p>
          <w:p w:rsidR="00DF5096" w:rsidRPr="006D6026" w:rsidRDefault="00E712F1" w:rsidP="009531AF">
            <w:pPr>
              <w:pStyle w:val="ListParagraph"/>
              <w:numPr>
                <w:ilvl w:val="0"/>
                <w:numId w:val="26"/>
              </w:numPr>
              <w:tabs>
                <w:tab w:val="clear" w:pos="475"/>
                <w:tab w:val="clear" w:pos="950"/>
                <w:tab w:val="clear" w:pos="2390"/>
              </w:tabs>
              <w:spacing w:after="0" w:line="276" w:lineRule="auto"/>
              <w:ind w:left="169" w:hanging="180"/>
              <w:jc w:val="left"/>
              <w:rPr>
                <w:rFonts w:ascii="Arial" w:hAnsi="Arial" w:cs="Arial"/>
                <w:sz w:val="18"/>
                <w:szCs w:val="18"/>
              </w:rPr>
            </w:pPr>
            <w:r w:rsidRPr="00E712F1">
              <w:rPr>
                <w:rFonts w:ascii="Arial" w:hAnsi="Arial" w:cs="Arial"/>
                <w:sz w:val="18"/>
                <w:szCs w:val="18"/>
              </w:rPr>
              <w:t>Commercial and institutional parking lots</w:t>
            </w:r>
          </w:p>
          <w:p w:rsidR="00DF5096" w:rsidRPr="006D6026" w:rsidRDefault="00E712F1" w:rsidP="009531AF">
            <w:pPr>
              <w:pStyle w:val="ListParagraph"/>
              <w:numPr>
                <w:ilvl w:val="0"/>
                <w:numId w:val="26"/>
              </w:numPr>
              <w:tabs>
                <w:tab w:val="clear" w:pos="475"/>
                <w:tab w:val="clear" w:pos="950"/>
                <w:tab w:val="clear" w:pos="2390"/>
              </w:tabs>
              <w:spacing w:after="0" w:line="276" w:lineRule="auto"/>
              <w:ind w:left="169" w:hanging="180"/>
              <w:jc w:val="left"/>
              <w:rPr>
                <w:rFonts w:ascii="Arial" w:hAnsi="Arial" w:cs="Arial"/>
                <w:sz w:val="18"/>
                <w:szCs w:val="18"/>
              </w:rPr>
            </w:pPr>
            <w:r w:rsidRPr="00E712F1">
              <w:rPr>
                <w:rFonts w:ascii="Arial" w:hAnsi="Arial" w:cs="Arial"/>
                <w:sz w:val="18"/>
                <w:szCs w:val="18"/>
              </w:rPr>
              <w:t>Commercial land uses</w:t>
            </w:r>
          </w:p>
          <w:p w:rsidR="00DF5096" w:rsidRPr="006D6026" w:rsidRDefault="00E712F1" w:rsidP="009531AF">
            <w:pPr>
              <w:pStyle w:val="ListParagraph"/>
              <w:numPr>
                <w:ilvl w:val="0"/>
                <w:numId w:val="26"/>
              </w:numPr>
              <w:tabs>
                <w:tab w:val="clear" w:pos="475"/>
                <w:tab w:val="clear" w:pos="950"/>
                <w:tab w:val="clear" w:pos="2390"/>
              </w:tabs>
              <w:spacing w:after="0" w:line="276" w:lineRule="auto"/>
              <w:ind w:left="169" w:hanging="180"/>
              <w:jc w:val="left"/>
              <w:rPr>
                <w:rFonts w:ascii="Arial" w:hAnsi="Arial" w:cs="Arial"/>
                <w:sz w:val="18"/>
                <w:szCs w:val="18"/>
              </w:rPr>
            </w:pPr>
            <w:r w:rsidRPr="00E712F1">
              <w:rPr>
                <w:rFonts w:ascii="Arial" w:hAnsi="Arial" w:cs="Arial"/>
                <w:sz w:val="18"/>
                <w:szCs w:val="18"/>
              </w:rPr>
              <w:t>Light industrial that does not include usage of chemicals that are mobile in stormwater and groundwater</w:t>
            </w:r>
          </w:p>
          <w:p w:rsidR="00DF5096" w:rsidRPr="006D6026" w:rsidDel="00CF5006" w:rsidRDefault="00E712F1" w:rsidP="009531AF">
            <w:pPr>
              <w:pStyle w:val="ListParagraph"/>
              <w:numPr>
                <w:ilvl w:val="0"/>
                <w:numId w:val="23"/>
              </w:numPr>
              <w:tabs>
                <w:tab w:val="clear" w:pos="475"/>
                <w:tab w:val="clear" w:pos="950"/>
                <w:tab w:val="clear" w:pos="2390"/>
              </w:tabs>
              <w:spacing w:after="0" w:line="240" w:lineRule="auto"/>
              <w:ind w:left="169" w:hanging="180"/>
              <w:jc w:val="left"/>
              <w:rPr>
                <w:rFonts w:ascii="Arial" w:hAnsi="Arial" w:cs="Arial"/>
                <w:sz w:val="18"/>
                <w:szCs w:val="18"/>
              </w:rPr>
            </w:pPr>
            <w:r w:rsidRPr="00E712F1">
              <w:rPr>
                <w:rFonts w:ascii="Arial" w:hAnsi="Arial" w:cs="Arial"/>
                <w:sz w:val="18"/>
                <w:szCs w:val="18"/>
              </w:rPr>
              <w:t>Trash storage areas</w:t>
            </w:r>
          </w:p>
        </w:tc>
        <w:tc>
          <w:tcPr>
            <w:tcW w:w="3060" w:type="dxa"/>
            <w:tcMar>
              <w:top w:w="43" w:type="dxa"/>
              <w:left w:w="115" w:type="dxa"/>
              <w:bottom w:w="58" w:type="dxa"/>
              <w:right w:w="115" w:type="dxa"/>
            </w:tcMar>
          </w:tcPr>
          <w:p w:rsidR="00DF5096" w:rsidRPr="006D6026" w:rsidRDefault="00E712F1" w:rsidP="009531AF">
            <w:pPr>
              <w:pStyle w:val="ListParagraph"/>
              <w:numPr>
                <w:ilvl w:val="0"/>
                <w:numId w:val="23"/>
              </w:numPr>
              <w:tabs>
                <w:tab w:val="clear" w:pos="475"/>
                <w:tab w:val="clear" w:pos="950"/>
                <w:tab w:val="clear" w:pos="2390"/>
              </w:tabs>
              <w:spacing w:after="0" w:line="240" w:lineRule="auto"/>
              <w:ind w:left="169" w:hanging="180"/>
              <w:jc w:val="left"/>
              <w:rPr>
                <w:rFonts w:ascii="Arial" w:hAnsi="Arial" w:cs="Arial"/>
                <w:sz w:val="18"/>
                <w:szCs w:val="18"/>
              </w:rPr>
            </w:pPr>
            <w:r w:rsidRPr="00E712F1">
              <w:rPr>
                <w:rFonts w:ascii="Arial" w:hAnsi="Arial" w:cs="Arial"/>
                <w:sz w:val="18"/>
                <w:szCs w:val="18"/>
              </w:rPr>
              <w:t xml:space="preserve">Any infiltration BMP type may be used </w:t>
            </w:r>
          </w:p>
          <w:p w:rsidR="00DF5096" w:rsidRPr="006D6026" w:rsidRDefault="00E712F1" w:rsidP="009531AF">
            <w:pPr>
              <w:pStyle w:val="ListParagraph"/>
              <w:numPr>
                <w:ilvl w:val="0"/>
                <w:numId w:val="23"/>
              </w:numPr>
              <w:tabs>
                <w:tab w:val="clear" w:pos="475"/>
                <w:tab w:val="clear" w:pos="950"/>
                <w:tab w:val="clear" w:pos="2390"/>
              </w:tabs>
              <w:spacing w:after="0" w:line="240" w:lineRule="auto"/>
              <w:ind w:left="169" w:hanging="180"/>
              <w:jc w:val="left"/>
              <w:rPr>
                <w:rFonts w:ascii="Arial" w:hAnsi="Arial" w:cs="Arial"/>
                <w:sz w:val="18"/>
                <w:szCs w:val="18"/>
              </w:rPr>
            </w:pPr>
            <w:r w:rsidRPr="00E712F1">
              <w:rPr>
                <w:rFonts w:ascii="Arial" w:hAnsi="Arial" w:cs="Arial"/>
                <w:sz w:val="18"/>
                <w:szCs w:val="18"/>
              </w:rPr>
              <w:t>Pretreatment shall be used</w:t>
            </w:r>
          </w:p>
          <w:p w:rsidR="00DF5096" w:rsidRPr="006D6026" w:rsidDel="00CF5006" w:rsidRDefault="00E712F1" w:rsidP="009531AF">
            <w:pPr>
              <w:pStyle w:val="ListParagraph"/>
              <w:numPr>
                <w:ilvl w:val="0"/>
                <w:numId w:val="23"/>
              </w:numPr>
              <w:tabs>
                <w:tab w:val="clear" w:pos="475"/>
                <w:tab w:val="clear" w:pos="950"/>
                <w:tab w:val="clear" w:pos="2390"/>
              </w:tabs>
              <w:spacing w:after="0" w:line="240" w:lineRule="auto"/>
              <w:ind w:left="169" w:hanging="180"/>
              <w:jc w:val="left"/>
              <w:rPr>
                <w:rFonts w:ascii="Arial" w:hAnsi="Arial" w:cs="Arial"/>
                <w:sz w:val="18"/>
                <w:szCs w:val="18"/>
              </w:rPr>
            </w:pPr>
            <w:r w:rsidRPr="00E712F1">
              <w:rPr>
                <w:rFonts w:ascii="Arial" w:hAnsi="Arial" w:cs="Arial"/>
                <w:sz w:val="18"/>
                <w:szCs w:val="18"/>
              </w:rPr>
              <w:t>The type of pretreatment shall be selected to address potential groundwater contaminants potentially found in stormwater runoff.</w:t>
            </w:r>
          </w:p>
        </w:tc>
      </w:tr>
      <w:tr w:rsidR="00DF5096" w:rsidRPr="00160878" w:rsidTr="00430D51">
        <w:trPr>
          <w:trHeight w:val="235"/>
        </w:trPr>
        <w:tc>
          <w:tcPr>
            <w:tcW w:w="1555" w:type="dxa"/>
            <w:shd w:val="clear" w:color="auto" w:fill="D9D9D9" w:themeFill="background1" w:themeFillShade="D9"/>
            <w:tcMar>
              <w:top w:w="43" w:type="dxa"/>
              <w:left w:w="115" w:type="dxa"/>
              <w:bottom w:w="58" w:type="dxa"/>
              <w:right w:w="115" w:type="dxa"/>
            </w:tcMar>
          </w:tcPr>
          <w:p w:rsidR="00DF5096" w:rsidRPr="006D6026" w:rsidRDefault="00354C54" w:rsidP="00357F02">
            <w:pPr>
              <w:tabs>
                <w:tab w:val="clear" w:pos="475"/>
                <w:tab w:val="clear" w:pos="950"/>
                <w:tab w:val="clear" w:pos="2390"/>
              </w:tabs>
              <w:spacing w:after="0" w:line="276" w:lineRule="auto"/>
              <w:jc w:val="left"/>
              <w:rPr>
                <w:rFonts w:ascii="Arial" w:hAnsi="Arial" w:cs="Arial"/>
                <w:b/>
                <w:sz w:val="18"/>
                <w:szCs w:val="18"/>
              </w:rPr>
            </w:pPr>
            <w:r w:rsidRPr="00354C54">
              <w:rPr>
                <w:rFonts w:ascii="Arial" w:hAnsi="Arial" w:cs="Arial"/>
                <w:b/>
                <w:sz w:val="18"/>
                <w:szCs w:val="18"/>
              </w:rPr>
              <w:t>High Runoff Contamination Potential</w:t>
            </w:r>
          </w:p>
        </w:tc>
        <w:tc>
          <w:tcPr>
            <w:tcW w:w="3150" w:type="dxa"/>
            <w:tcMar>
              <w:top w:w="43" w:type="dxa"/>
              <w:left w:w="115" w:type="dxa"/>
              <w:bottom w:w="58" w:type="dxa"/>
              <w:right w:w="115" w:type="dxa"/>
            </w:tcMar>
          </w:tcPr>
          <w:p w:rsidR="00DF5096" w:rsidRPr="006D6026" w:rsidDel="002E199E" w:rsidRDefault="00E712F1" w:rsidP="00352720">
            <w:pPr>
              <w:tabs>
                <w:tab w:val="clear" w:pos="475"/>
                <w:tab w:val="clear" w:pos="950"/>
                <w:tab w:val="clear" w:pos="2390"/>
              </w:tabs>
              <w:spacing w:after="0" w:line="276" w:lineRule="auto"/>
              <w:ind w:left="-109"/>
              <w:jc w:val="left"/>
              <w:rPr>
                <w:rFonts w:ascii="Arial" w:hAnsi="Arial" w:cs="Arial"/>
                <w:sz w:val="18"/>
                <w:szCs w:val="18"/>
              </w:rPr>
            </w:pPr>
            <w:r w:rsidRPr="00E712F1">
              <w:rPr>
                <w:rFonts w:ascii="Arial" w:hAnsi="Arial" w:cs="Arial"/>
                <w:sz w:val="18"/>
                <w:szCs w:val="18"/>
              </w:rPr>
              <w:t>BMP receives runoff from a mix of land covers, more than 10 percent of which have significant unavoidable potential to generate stormwater pollutants in quantities that could be detrimental to groundwater quality; and/or there is significant potential for major spills that could drain to BMPs.</w:t>
            </w:r>
          </w:p>
        </w:tc>
        <w:tc>
          <w:tcPr>
            <w:tcW w:w="5490" w:type="dxa"/>
            <w:tcMar>
              <w:top w:w="43" w:type="dxa"/>
              <w:left w:w="115" w:type="dxa"/>
              <w:bottom w:w="58" w:type="dxa"/>
              <w:right w:w="115" w:type="dxa"/>
            </w:tcMar>
          </w:tcPr>
          <w:p w:rsidR="00DF5096" w:rsidRPr="006D6026" w:rsidRDefault="00E712F1" w:rsidP="009531AF">
            <w:pPr>
              <w:pStyle w:val="ListParagraph"/>
              <w:numPr>
                <w:ilvl w:val="0"/>
                <w:numId w:val="26"/>
              </w:numPr>
              <w:tabs>
                <w:tab w:val="clear" w:pos="475"/>
                <w:tab w:val="clear" w:pos="950"/>
                <w:tab w:val="clear" w:pos="2390"/>
              </w:tabs>
              <w:spacing w:after="0" w:line="276" w:lineRule="auto"/>
              <w:ind w:left="169" w:hanging="180"/>
              <w:jc w:val="left"/>
              <w:rPr>
                <w:rFonts w:ascii="Arial" w:hAnsi="Arial" w:cs="Arial"/>
                <w:sz w:val="18"/>
                <w:szCs w:val="18"/>
              </w:rPr>
            </w:pPr>
            <w:r w:rsidRPr="00E712F1">
              <w:rPr>
                <w:rFonts w:ascii="Arial" w:hAnsi="Arial" w:cs="Arial"/>
                <w:sz w:val="18"/>
                <w:szCs w:val="18"/>
              </w:rPr>
              <w:t>Roads greater than 25,000 ADT</w:t>
            </w:r>
          </w:p>
          <w:p w:rsidR="0014047B" w:rsidRDefault="00E712F1" w:rsidP="009531AF">
            <w:pPr>
              <w:pStyle w:val="ListParagraph"/>
              <w:numPr>
                <w:ilvl w:val="0"/>
                <w:numId w:val="26"/>
              </w:numPr>
              <w:tabs>
                <w:tab w:val="clear" w:pos="950"/>
              </w:tabs>
              <w:spacing w:after="0" w:line="276" w:lineRule="auto"/>
              <w:ind w:left="169" w:hanging="180"/>
              <w:jc w:val="left"/>
              <w:rPr>
                <w:rFonts w:ascii="Arial" w:hAnsi="Arial" w:cs="Arial"/>
                <w:sz w:val="18"/>
                <w:szCs w:val="18"/>
              </w:rPr>
            </w:pPr>
            <w:r w:rsidRPr="00E712F1">
              <w:rPr>
                <w:rFonts w:ascii="Arial" w:hAnsi="Arial" w:cs="Arial"/>
                <w:sz w:val="18"/>
                <w:szCs w:val="18"/>
              </w:rPr>
              <w:t xml:space="preserve">Heavy and light industrial pollutant source areas, including </w:t>
            </w:r>
            <w:r w:rsidR="00DC6D1E">
              <w:rPr>
                <w:rFonts w:ascii="Arial" w:hAnsi="Arial" w:cs="Arial"/>
                <w:sz w:val="18"/>
                <w:szCs w:val="18"/>
              </w:rPr>
              <w:t xml:space="preserve">areas with </w:t>
            </w:r>
            <w:r w:rsidR="00354C54" w:rsidRPr="00354C54">
              <w:rPr>
                <w:rFonts w:ascii="Arial" w:hAnsi="Arial" w:cs="Arial"/>
                <w:sz w:val="18"/>
                <w:szCs w:val="18"/>
              </w:rPr>
              <w:t xml:space="preserve">exposed industrial </w:t>
            </w:r>
            <w:r w:rsidR="00354C54">
              <w:rPr>
                <w:rFonts w:ascii="Arial" w:hAnsi="Arial" w:cs="Arial"/>
                <w:sz w:val="18"/>
                <w:szCs w:val="18"/>
              </w:rPr>
              <w:t>activity</w:t>
            </w:r>
            <w:r w:rsidR="00DC6D1E">
              <w:rPr>
                <w:rFonts w:ascii="Arial" w:hAnsi="Arial" w:cs="Arial"/>
                <w:sz w:val="18"/>
                <w:szCs w:val="18"/>
              </w:rPr>
              <w:t xml:space="preserve"> and</w:t>
            </w:r>
            <w:r w:rsidR="00354C54">
              <w:rPr>
                <w:rFonts w:ascii="Arial" w:hAnsi="Arial" w:cs="Arial"/>
                <w:sz w:val="18"/>
                <w:szCs w:val="18"/>
              </w:rPr>
              <w:t xml:space="preserve"> high</w:t>
            </w:r>
            <w:r w:rsidR="00354C54" w:rsidRPr="00354C54">
              <w:rPr>
                <w:rFonts w:ascii="Arial" w:hAnsi="Arial" w:cs="Arial"/>
                <w:sz w:val="18"/>
                <w:szCs w:val="18"/>
              </w:rPr>
              <w:t xml:space="preserve"> use industrial truck traffic, and </w:t>
            </w:r>
            <w:r w:rsidR="00C44CAB">
              <w:rPr>
                <w:rFonts w:ascii="Arial" w:hAnsi="Arial" w:cs="Arial"/>
                <w:sz w:val="18"/>
                <w:szCs w:val="18"/>
              </w:rPr>
              <w:t>any</w:t>
            </w:r>
            <w:r w:rsidR="00354C54" w:rsidRPr="00354C54">
              <w:rPr>
                <w:rFonts w:ascii="Arial" w:hAnsi="Arial" w:cs="Arial"/>
                <w:sz w:val="18"/>
                <w:szCs w:val="18"/>
              </w:rPr>
              <w:t xml:space="preserve"> areas that cannot be isolated </w:t>
            </w:r>
            <w:r w:rsidR="00DC6D1E">
              <w:rPr>
                <w:rFonts w:ascii="Arial" w:hAnsi="Arial" w:cs="Arial"/>
                <w:sz w:val="18"/>
                <w:szCs w:val="18"/>
              </w:rPr>
              <w:t>these areas</w:t>
            </w:r>
            <w:r w:rsidR="00354C54" w:rsidRPr="00354C54">
              <w:rPr>
                <w:rFonts w:ascii="Arial" w:hAnsi="Arial" w:cs="Arial"/>
                <w:sz w:val="18"/>
                <w:szCs w:val="18"/>
              </w:rPr>
              <w:t xml:space="preserve">. </w:t>
            </w:r>
            <w:r w:rsidR="00616820" w:rsidRPr="00616820">
              <w:rPr>
                <w:rFonts w:ascii="Arial" w:hAnsi="Arial" w:cs="Arial"/>
                <w:sz w:val="18"/>
                <w:szCs w:val="18"/>
              </w:rPr>
              <w:t xml:space="preserve">Does not include lower risk source sources areas </w:t>
            </w:r>
            <w:r w:rsidR="00354C54" w:rsidRPr="00354C54">
              <w:rPr>
                <w:rFonts w:ascii="Arial" w:hAnsi="Arial" w:cs="Arial"/>
                <w:sz w:val="18"/>
                <w:szCs w:val="18"/>
              </w:rPr>
              <w:t>within industrial zones (e.g., r</w:t>
            </w:r>
            <w:r w:rsidR="00616820" w:rsidRPr="00616820">
              <w:rPr>
                <w:rFonts w:ascii="Arial" w:hAnsi="Arial" w:cs="Arial"/>
                <w:sz w:val="18"/>
                <w:szCs w:val="18"/>
              </w:rPr>
              <w:t>oofs, offices, and parking areas</w:t>
            </w:r>
            <w:r w:rsidR="00354C54" w:rsidRPr="00354C54">
              <w:rPr>
                <w:rFonts w:ascii="Arial" w:hAnsi="Arial" w:cs="Arial"/>
                <w:sz w:val="18"/>
                <w:szCs w:val="18"/>
              </w:rPr>
              <w:t xml:space="preserve">) that </w:t>
            </w:r>
            <w:r w:rsidR="00C44CAB">
              <w:rPr>
                <w:rFonts w:ascii="Arial" w:hAnsi="Arial" w:cs="Arial"/>
                <w:sz w:val="18"/>
                <w:szCs w:val="18"/>
              </w:rPr>
              <w:t>are hydrologically</w:t>
            </w:r>
            <w:r w:rsidR="00354C54" w:rsidRPr="00354C54">
              <w:rPr>
                <w:rFonts w:ascii="Arial" w:hAnsi="Arial" w:cs="Arial"/>
                <w:sz w:val="18"/>
                <w:szCs w:val="18"/>
              </w:rPr>
              <w:t xml:space="preserve"> isolated from industrial pollutant source areas</w:t>
            </w:r>
          </w:p>
          <w:p w:rsidR="00DF5096" w:rsidRPr="006D6026" w:rsidRDefault="00354C54" w:rsidP="009531AF">
            <w:pPr>
              <w:pStyle w:val="ListParagraph"/>
              <w:numPr>
                <w:ilvl w:val="0"/>
                <w:numId w:val="26"/>
              </w:numPr>
              <w:tabs>
                <w:tab w:val="clear" w:pos="475"/>
                <w:tab w:val="clear" w:pos="950"/>
                <w:tab w:val="clear" w:pos="2390"/>
                <w:tab w:val="center" w:pos="4680"/>
                <w:tab w:val="right" w:pos="9360"/>
              </w:tabs>
              <w:spacing w:after="0" w:line="276" w:lineRule="auto"/>
              <w:ind w:left="169" w:hanging="180"/>
              <w:jc w:val="left"/>
              <w:rPr>
                <w:rFonts w:ascii="Arial" w:hAnsi="Arial" w:cs="Arial"/>
                <w:sz w:val="18"/>
                <w:szCs w:val="18"/>
              </w:rPr>
            </w:pPr>
            <w:r w:rsidRPr="00354C54">
              <w:rPr>
                <w:rFonts w:ascii="Arial" w:hAnsi="Arial" w:cs="Arial"/>
                <w:sz w:val="18"/>
                <w:szCs w:val="18"/>
              </w:rPr>
              <w:t>Automotive repair shops</w:t>
            </w:r>
          </w:p>
          <w:p w:rsidR="00DF5096" w:rsidRPr="006D6026" w:rsidRDefault="00E712F1" w:rsidP="009531AF">
            <w:pPr>
              <w:pStyle w:val="ListParagraph"/>
              <w:numPr>
                <w:ilvl w:val="0"/>
                <w:numId w:val="26"/>
              </w:numPr>
              <w:tabs>
                <w:tab w:val="clear" w:pos="475"/>
                <w:tab w:val="clear" w:pos="950"/>
                <w:tab w:val="clear" w:pos="2390"/>
                <w:tab w:val="center" w:pos="4680"/>
                <w:tab w:val="right" w:pos="9360"/>
              </w:tabs>
              <w:spacing w:after="0" w:line="276" w:lineRule="auto"/>
              <w:ind w:left="169" w:hanging="180"/>
              <w:jc w:val="left"/>
              <w:rPr>
                <w:rFonts w:ascii="Arial" w:hAnsi="Arial" w:cs="Arial"/>
                <w:sz w:val="18"/>
                <w:szCs w:val="18"/>
              </w:rPr>
            </w:pPr>
            <w:r w:rsidRPr="00E712F1">
              <w:rPr>
                <w:rFonts w:ascii="Arial" w:hAnsi="Arial" w:cs="Arial"/>
                <w:sz w:val="18"/>
                <w:szCs w:val="18"/>
              </w:rPr>
              <w:t>Car washes</w:t>
            </w:r>
          </w:p>
          <w:p w:rsidR="00DF5096" w:rsidRPr="006D6026" w:rsidRDefault="00E712F1" w:rsidP="009531AF">
            <w:pPr>
              <w:pStyle w:val="ListParagraph"/>
              <w:numPr>
                <w:ilvl w:val="0"/>
                <w:numId w:val="26"/>
              </w:numPr>
              <w:tabs>
                <w:tab w:val="clear" w:pos="475"/>
                <w:tab w:val="clear" w:pos="950"/>
                <w:tab w:val="clear" w:pos="2390"/>
                <w:tab w:val="center" w:pos="4680"/>
                <w:tab w:val="right" w:pos="9360"/>
              </w:tabs>
              <w:spacing w:after="0" w:line="276" w:lineRule="auto"/>
              <w:ind w:left="169" w:hanging="180"/>
              <w:jc w:val="left"/>
              <w:rPr>
                <w:rFonts w:ascii="Arial" w:hAnsi="Arial" w:cs="Arial"/>
                <w:sz w:val="18"/>
                <w:szCs w:val="18"/>
              </w:rPr>
            </w:pPr>
            <w:r w:rsidRPr="00E712F1">
              <w:rPr>
                <w:rFonts w:ascii="Arial" w:hAnsi="Arial" w:cs="Arial"/>
                <w:sz w:val="18"/>
                <w:szCs w:val="18"/>
              </w:rPr>
              <w:t xml:space="preserve">Fleet storage areas </w:t>
            </w:r>
          </w:p>
          <w:p w:rsidR="00DF5096" w:rsidRPr="006D6026" w:rsidRDefault="00E712F1" w:rsidP="009531AF">
            <w:pPr>
              <w:pStyle w:val="ListParagraph"/>
              <w:numPr>
                <w:ilvl w:val="0"/>
                <w:numId w:val="26"/>
              </w:numPr>
              <w:tabs>
                <w:tab w:val="clear" w:pos="475"/>
                <w:tab w:val="clear" w:pos="950"/>
                <w:tab w:val="clear" w:pos="2390"/>
                <w:tab w:val="center" w:pos="4680"/>
                <w:tab w:val="right" w:pos="9360"/>
              </w:tabs>
              <w:spacing w:after="0" w:line="276" w:lineRule="auto"/>
              <w:ind w:left="169" w:hanging="180"/>
              <w:jc w:val="left"/>
              <w:rPr>
                <w:rFonts w:ascii="Arial" w:hAnsi="Arial" w:cs="Arial"/>
                <w:sz w:val="18"/>
                <w:szCs w:val="18"/>
              </w:rPr>
            </w:pPr>
            <w:r w:rsidRPr="00E712F1">
              <w:rPr>
                <w:rFonts w:ascii="Arial" w:hAnsi="Arial" w:cs="Arial"/>
                <w:sz w:val="18"/>
                <w:szCs w:val="18"/>
              </w:rPr>
              <w:t xml:space="preserve">Nurseries, agriculture, and heavily managed landscape areas with extensive use of fertilizer </w:t>
            </w:r>
          </w:p>
          <w:p w:rsidR="00DF5096" w:rsidRPr="006D6026" w:rsidDel="00CF5006" w:rsidRDefault="00E712F1" w:rsidP="009531AF">
            <w:pPr>
              <w:pStyle w:val="ListParagraph"/>
              <w:numPr>
                <w:ilvl w:val="0"/>
                <w:numId w:val="23"/>
              </w:numPr>
              <w:tabs>
                <w:tab w:val="clear" w:pos="475"/>
                <w:tab w:val="clear" w:pos="950"/>
                <w:tab w:val="clear" w:pos="2390"/>
                <w:tab w:val="center" w:pos="4680"/>
                <w:tab w:val="right" w:pos="9360"/>
              </w:tabs>
              <w:spacing w:after="0" w:line="240" w:lineRule="auto"/>
              <w:ind w:left="169" w:hanging="180"/>
              <w:jc w:val="left"/>
              <w:rPr>
                <w:rFonts w:ascii="Arial" w:hAnsi="Arial" w:cs="Arial"/>
                <w:sz w:val="18"/>
                <w:szCs w:val="18"/>
              </w:rPr>
            </w:pPr>
            <w:r w:rsidRPr="00E712F1">
              <w:rPr>
                <w:rFonts w:ascii="Arial" w:hAnsi="Arial" w:cs="Arial"/>
                <w:sz w:val="18"/>
                <w:szCs w:val="18"/>
              </w:rPr>
              <w:t>Fueling stations (infiltration prohibited under all conditions)</w:t>
            </w:r>
          </w:p>
        </w:tc>
        <w:tc>
          <w:tcPr>
            <w:tcW w:w="3060" w:type="dxa"/>
            <w:tcMar>
              <w:top w:w="43" w:type="dxa"/>
              <w:left w:w="115" w:type="dxa"/>
              <w:bottom w:w="58" w:type="dxa"/>
              <w:right w:w="115" w:type="dxa"/>
            </w:tcMar>
          </w:tcPr>
          <w:p w:rsidR="00DF5096" w:rsidRPr="006D6026" w:rsidRDefault="00E712F1" w:rsidP="009531AF">
            <w:pPr>
              <w:pStyle w:val="ListParagraph"/>
              <w:numPr>
                <w:ilvl w:val="0"/>
                <w:numId w:val="23"/>
              </w:numPr>
              <w:tabs>
                <w:tab w:val="clear" w:pos="475"/>
                <w:tab w:val="clear" w:pos="950"/>
                <w:tab w:val="clear" w:pos="2390"/>
                <w:tab w:val="center" w:pos="4680"/>
                <w:tab w:val="right" w:pos="9360"/>
              </w:tabs>
              <w:spacing w:after="0" w:line="240" w:lineRule="auto"/>
              <w:ind w:left="169" w:hanging="180"/>
              <w:jc w:val="left"/>
              <w:rPr>
                <w:rFonts w:ascii="Arial" w:hAnsi="Arial" w:cs="Arial"/>
                <w:sz w:val="18"/>
                <w:szCs w:val="18"/>
              </w:rPr>
            </w:pPr>
            <w:r w:rsidRPr="00E712F1">
              <w:rPr>
                <w:rFonts w:ascii="Arial" w:hAnsi="Arial" w:cs="Arial"/>
                <w:sz w:val="18"/>
                <w:szCs w:val="18"/>
              </w:rPr>
              <w:t>Infiltration is prohibited unless advanced pretreatment and spill isolation can be feasibly used and enhanced monitoring and inspection are implemented.</w:t>
            </w:r>
          </w:p>
          <w:p w:rsidR="00DF5096" w:rsidRPr="006D6026" w:rsidRDefault="00E712F1" w:rsidP="009531AF">
            <w:pPr>
              <w:pStyle w:val="ListParagraph"/>
              <w:numPr>
                <w:ilvl w:val="0"/>
                <w:numId w:val="23"/>
              </w:numPr>
              <w:tabs>
                <w:tab w:val="clear" w:pos="475"/>
                <w:tab w:val="clear" w:pos="950"/>
                <w:tab w:val="clear" w:pos="2390"/>
                <w:tab w:val="center" w:pos="4680"/>
                <w:tab w:val="right" w:pos="9360"/>
              </w:tabs>
              <w:spacing w:after="0" w:line="240" w:lineRule="auto"/>
              <w:ind w:left="169" w:hanging="180"/>
              <w:jc w:val="left"/>
              <w:rPr>
                <w:rFonts w:ascii="Arial" w:hAnsi="Arial" w:cs="Arial"/>
                <w:sz w:val="18"/>
                <w:szCs w:val="18"/>
              </w:rPr>
            </w:pPr>
            <w:r w:rsidRPr="00E712F1">
              <w:rPr>
                <w:rFonts w:ascii="Arial" w:hAnsi="Arial" w:cs="Arial"/>
                <w:sz w:val="18"/>
                <w:szCs w:val="18"/>
              </w:rPr>
              <w:t>Large projects</w:t>
            </w:r>
            <w:bookmarkStart w:id="534" w:name="_Ref284434326"/>
            <w:r w:rsidR="00354C54" w:rsidRPr="00354C54">
              <w:rPr>
                <w:rStyle w:val="FootnoteReference"/>
                <w:rFonts w:ascii="Arial" w:hAnsi="Arial" w:cs="Arial"/>
                <w:sz w:val="18"/>
                <w:szCs w:val="18"/>
              </w:rPr>
              <w:footnoteReference w:id="15"/>
            </w:r>
            <w:bookmarkEnd w:id="534"/>
            <w:r w:rsidR="00616820" w:rsidRPr="00616820">
              <w:rPr>
                <w:rFonts w:ascii="Arial" w:hAnsi="Arial" w:cs="Arial"/>
                <w:sz w:val="18"/>
                <w:szCs w:val="18"/>
              </w:rPr>
              <w:t xml:space="preserve"> must evaluate feasibility of advanced pretreatment and spill isolation.</w:t>
            </w:r>
          </w:p>
          <w:p w:rsidR="00DF5096" w:rsidRPr="006D6026" w:rsidDel="00CF5006" w:rsidRDefault="00616820" w:rsidP="009531AF">
            <w:pPr>
              <w:pStyle w:val="ListParagraph"/>
              <w:numPr>
                <w:ilvl w:val="0"/>
                <w:numId w:val="23"/>
              </w:numPr>
              <w:tabs>
                <w:tab w:val="clear" w:pos="475"/>
                <w:tab w:val="clear" w:pos="950"/>
                <w:tab w:val="clear" w:pos="2390"/>
                <w:tab w:val="center" w:pos="4680"/>
                <w:tab w:val="right" w:pos="9360"/>
              </w:tabs>
              <w:spacing w:after="0" w:line="240" w:lineRule="auto"/>
              <w:ind w:left="169" w:hanging="180"/>
              <w:jc w:val="left"/>
              <w:rPr>
                <w:rFonts w:ascii="Arial" w:hAnsi="Arial" w:cs="Arial"/>
                <w:sz w:val="18"/>
                <w:szCs w:val="18"/>
              </w:rPr>
            </w:pPr>
            <w:r w:rsidRPr="00616820">
              <w:rPr>
                <w:rFonts w:ascii="Arial" w:hAnsi="Arial" w:cs="Arial"/>
                <w:sz w:val="18"/>
                <w:szCs w:val="18"/>
              </w:rPr>
              <w:t>Small projects</w:t>
            </w:r>
            <w:fldSimple w:instr=" NOTEREF _Ref284434326 \h  \* MERGEFORMAT ">
              <w:r w:rsidR="00126DE5" w:rsidRPr="00126DE5">
                <w:rPr>
                  <w:rFonts w:cs="Arial"/>
                  <w:b/>
                  <w:color w:val="0070C0"/>
                  <w:szCs w:val="18"/>
                  <w:vertAlign w:val="superscript"/>
                </w:rPr>
                <w:t>15</w:t>
              </w:r>
            </w:fldSimple>
            <w:r w:rsidRPr="00616820">
              <w:rPr>
                <w:rFonts w:ascii="Arial" w:hAnsi="Arial" w:cs="Arial"/>
                <w:sz w:val="18"/>
                <w:szCs w:val="18"/>
              </w:rPr>
              <w:t xml:space="preserve"> may consider infiltration to be infeasible with narrative discussion.</w:t>
            </w:r>
          </w:p>
        </w:tc>
      </w:tr>
    </w:tbl>
    <w:p w:rsidR="00DF5096" w:rsidRDefault="00DF5096" w:rsidP="001631F5"/>
    <w:p w:rsidR="00F27F12" w:rsidRPr="001631F5" w:rsidRDefault="00F27F12" w:rsidP="001631F5">
      <w:pPr>
        <w:sectPr w:rsidR="00F27F12" w:rsidRPr="001631F5" w:rsidSect="00BF43BB">
          <w:headerReference w:type="first" r:id="rId81"/>
          <w:footerReference w:type="first" r:id="rId82"/>
          <w:pgSz w:w="15840" w:h="12240" w:orient="landscape"/>
          <w:pgMar w:top="1440" w:right="1440" w:bottom="1440" w:left="1440" w:header="720" w:footer="432" w:gutter="0"/>
          <w:pgNumType w:chapStyle="1"/>
          <w:cols w:space="720"/>
          <w:docGrid w:linePitch="360"/>
        </w:sectPr>
      </w:pPr>
    </w:p>
    <w:p w:rsidR="001631F5" w:rsidRDefault="001631F5" w:rsidP="00A52883">
      <w:pPr>
        <w:pStyle w:val="Heading2"/>
      </w:pPr>
      <w:bookmarkStart w:id="535" w:name="_Toc285308167"/>
      <w:bookmarkStart w:id="536" w:name="_Toc285315751"/>
      <w:bookmarkStart w:id="537" w:name="_Toc285492470"/>
      <w:bookmarkStart w:id="538" w:name="_Toc288541091"/>
      <w:bookmarkStart w:id="539" w:name="_Toc293937147"/>
      <w:r>
        <w:t>Well Head Protection and Septic Systems</w:t>
      </w:r>
      <w:bookmarkEnd w:id="535"/>
      <w:bookmarkEnd w:id="536"/>
      <w:bookmarkEnd w:id="537"/>
      <w:bookmarkEnd w:id="538"/>
      <w:bookmarkEnd w:id="539"/>
    </w:p>
    <w:p w:rsidR="00094961" w:rsidRDefault="00094961" w:rsidP="00094961">
      <w:pPr>
        <w:pStyle w:val="CDMBTEXT"/>
      </w:pPr>
      <w:r>
        <w:t>To ensure protection of groundwater quality, the following criteria shall be met:</w:t>
      </w:r>
    </w:p>
    <w:p w:rsidR="001631F5" w:rsidRDefault="001631F5" w:rsidP="00430D51">
      <w:pPr>
        <w:pStyle w:val="ListBullet"/>
      </w:pPr>
      <w:r>
        <w:t xml:space="preserve">Stormwater shall not be infiltrated within 100 feet horizontally of a </w:t>
      </w:r>
      <w:r w:rsidRPr="00204B76">
        <w:t>water supply well</w:t>
      </w:r>
      <w:r>
        <w:t>,</w:t>
      </w:r>
      <w:r w:rsidRPr="00204B76">
        <w:t xml:space="preserve"> </w:t>
      </w:r>
      <w:r>
        <w:t>non-potable well, or</w:t>
      </w:r>
      <w:r w:rsidRPr="002156F7">
        <w:t xml:space="preserve"> spring</w:t>
      </w:r>
      <w:r w:rsidRPr="00204B76">
        <w:t>.</w:t>
      </w:r>
      <w:r>
        <w:t xml:space="preserve"> </w:t>
      </w:r>
    </w:p>
    <w:p w:rsidR="001631F5" w:rsidRDefault="001631F5" w:rsidP="00430D51">
      <w:pPr>
        <w:pStyle w:val="ListBullet"/>
      </w:pPr>
      <w:r>
        <w:t>Stormwater shall not be infiltrated within 100 feet horizontally of a septic tank drain field.</w:t>
      </w:r>
    </w:p>
    <w:p w:rsidR="001631F5" w:rsidRDefault="001631F5" w:rsidP="00094961">
      <w:pPr>
        <w:pStyle w:val="CDMBTEXT"/>
      </w:pPr>
      <w:r>
        <w:t xml:space="preserve">Because data regarding the location of supply wells, springs, and septic systems is not generally available to the public, the project proponent is strongly encouraged to consult with the local review agency early in the WQMP preparation process to determine whether these </w:t>
      </w:r>
      <w:r w:rsidR="0051588E">
        <w:t xml:space="preserve">conditions </w:t>
      </w:r>
      <w:r>
        <w:t>apply to all or part of the project site.</w:t>
      </w:r>
    </w:p>
    <w:p w:rsidR="001631F5" w:rsidRDefault="001631F5" w:rsidP="00A52883">
      <w:pPr>
        <w:pStyle w:val="Heading2"/>
      </w:pPr>
      <w:bookmarkStart w:id="540" w:name="_Toc285308168"/>
      <w:bookmarkStart w:id="541" w:name="_Toc285315752"/>
      <w:bookmarkStart w:id="542" w:name="_Toc285492471"/>
      <w:bookmarkStart w:id="543" w:name="_Toc288541092"/>
      <w:bookmarkStart w:id="544" w:name="_Toc293937148"/>
      <w:r>
        <w:t>Stormwater Runoff Pollutants</w:t>
      </w:r>
      <w:bookmarkEnd w:id="540"/>
      <w:bookmarkEnd w:id="541"/>
      <w:bookmarkEnd w:id="542"/>
      <w:bookmarkEnd w:id="543"/>
      <w:bookmarkEnd w:id="544"/>
    </w:p>
    <w:p w:rsidR="001631F5" w:rsidRDefault="001631F5" w:rsidP="00094961">
      <w:pPr>
        <w:pStyle w:val="CDMBTEXT"/>
      </w:pPr>
      <w:r>
        <w:t xml:space="preserve">Stormwater BMPs shall be selected to minimize the introduction of contaminants into groundwater via infiltration of stormwater runoff.  The potential for groundwater contamination from pollutants found in stormwater runoff is a function of the land use activities that are present in the tributary area to the BMP.  </w:t>
      </w:r>
      <w:fldSimple w:instr=" REF _Ref284433383 \h  \* MERGEFORMAT ">
        <w:r w:rsidR="00126DE5" w:rsidRPr="00126DE5">
          <w:rPr>
            <w:rFonts w:cs="Arial"/>
            <w:b/>
            <w:color w:val="0070C0"/>
            <w:sz w:val="20"/>
          </w:rPr>
          <w:t xml:space="preserve">Table </w:t>
        </w:r>
        <w:r w:rsidR="00126DE5" w:rsidRPr="00126DE5">
          <w:rPr>
            <w:rFonts w:cs="Arial"/>
            <w:b/>
            <w:noProof/>
            <w:color w:val="0070C0"/>
            <w:sz w:val="20"/>
          </w:rPr>
          <w:t>VIII</w:t>
        </w:r>
        <w:r w:rsidR="00126DE5" w:rsidRPr="00126DE5">
          <w:rPr>
            <w:rFonts w:cs="Arial"/>
            <w:b/>
            <w:color w:val="0070C0"/>
            <w:sz w:val="20"/>
          </w:rPr>
          <w:t>.2</w:t>
        </w:r>
      </w:fldSimple>
      <w:r>
        <w:t xml:space="preserve"> provides requirements for selection of BMPs and pretreatment devices based on the level of risk posed by land use activities.</w:t>
      </w:r>
    </w:p>
    <w:p w:rsidR="004266A7" w:rsidRDefault="004266A7" w:rsidP="00A52883">
      <w:pPr>
        <w:pStyle w:val="Heading2"/>
      </w:pPr>
      <w:bookmarkStart w:id="545" w:name="_Toc285308169"/>
      <w:bookmarkStart w:id="546" w:name="_Toc285315753"/>
      <w:bookmarkStart w:id="547" w:name="_Toc285492472"/>
      <w:bookmarkStart w:id="548" w:name="_Toc288541093"/>
      <w:bookmarkStart w:id="549" w:name="_Toc293937149"/>
      <w:r>
        <w:t xml:space="preserve">Consultation with Applicable Groundwater </w:t>
      </w:r>
      <w:r w:rsidR="00A0151C">
        <w:t xml:space="preserve">Management </w:t>
      </w:r>
      <w:r>
        <w:t>Agencies</w:t>
      </w:r>
      <w:bookmarkEnd w:id="545"/>
      <w:bookmarkEnd w:id="546"/>
      <w:bookmarkEnd w:id="547"/>
      <w:bookmarkEnd w:id="548"/>
      <w:bookmarkEnd w:id="549"/>
    </w:p>
    <w:p w:rsidR="00A0151C" w:rsidRDefault="00A0151C" w:rsidP="00A0151C">
      <w:pPr>
        <w:pStyle w:val="CDMBTEXT"/>
      </w:pPr>
      <w:r>
        <w:t>Projects that propose to infiltrate stormwater are required to consult with the applicable groundwater management agency to the extent necessary to ensure that groundwater quality is protected.</w:t>
      </w:r>
    </w:p>
    <w:p w:rsidR="00A0151C" w:rsidRDefault="00A0151C" w:rsidP="00A0151C">
      <w:pPr>
        <w:pStyle w:val="CDMBTEXT"/>
      </w:pPr>
      <w:r>
        <w:t xml:space="preserve">The process for consultation with applicable groundwater </w:t>
      </w:r>
      <w:r w:rsidR="007E3916">
        <w:t>management</w:t>
      </w:r>
      <w:r>
        <w:t xml:space="preserve"> agencies was under development at the time of publication and is not included in this TGD. It is anticipated that guidelines will be published in the future that include:</w:t>
      </w:r>
    </w:p>
    <w:p w:rsidR="00A0151C" w:rsidRDefault="00A0151C" w:rsidP="00430D51">
      <w:pPr>
        <w:pStyle w:val="ListBullet"/>
      </w:pPr>
      <w:r>
        <w:t>Description of the consultation process</w:t>
      </w:r>
    </w:p>
    <w:p w:rsidR="00A0151C" w:rsidRDefault="00A0151C" w:rsidP="00430D51">
      <w:pPr>
        <w:pStyle w:val="ListBullet"/>
      </w:pPr>
      <w:r>
        <w:t>Description of the conditions under which consultation is necessary</w:t>
      </w:r>
    </w:p>
    <w:p w:rsidR="00A0151C" w:rsidRDefault="00A0151C" w:rsidP="00430D51">
      <w:pPr>
        <w:pStyle w:val="ListBullet"/>
      </w:pPr>
      <w:r>
        <w:t>Discussion of the point in the project process at which consultation should be initiated for qualifying projects</w:t>
      </w:r>
    </w:p>
    <w:p w:rsidR="00A0151C" w:rsidRDefault="00A0151C" w:rsidP="00430D51">
      <w:pPr>
        <w:pStyle w:val="ListBullet"/>
      </w:pPr>
      <w:r>
        <w:t>Discussion of the review schedule and fees (if applicable)</w:t>
      </w:r>
    </w:p>
    <w:p w:rsidR="00A0151C" w:rsidRDefault="00A0151C" w:rsidP="00430D51">
      <w:pPr>
        <w:pStyle w:val="ListBullet"/>
      </w:pPr>
      <w:r>
        <w:t>Materials that should be submitted as part of this process</w:t>
      </w:r>
    </w:p>
    <w:p w:rsidR="00A0151C" w:rsidRDefault="00A0151C" w:rsidP="00430D51">
      <w:pPr>
        <w:pStyle w:val="ListBullet"/>
      </w:pPr>
      <w:r>
        <w:t>Discussion of potential outcomes and actions from this process</w:t>
      </w:r>
    </w:p>
    <w:p w:rsidR="00A0151C" w:rsidRDefault="00A0151C" w:rsidP="00A0151C">
      <w:pPr>
        <w:pStyle w:val="CDMBTEXT"/>
      </w:pPr>
      <w:r w:rsidRPr="00A0151C">
        <w:t xml:space="preserve">Until guidelines are published, all infiltration activities should be coordinated with the </w:t>
      </w:r>
      <w:r>
        <w:t>applicable groundwater management agency</w:t>
      </w:r>
      <w:r w:rsidR="00E92699">
        <w:t>, such as OCWD</w:t>
      </w:r>
      <w:r>
        <w:t>,</w:t>
      </w:r>
      <w:r w:rsidRPr="00A0151C">
        <w:t xml:space="preserve"> to ensure groundwater quality is protected.  It is recommended that coordination be initiated as early as possible during the Preliminary/Conceptual WQMP development process.</w:t>
      </w:r>
      <w:r>
        <w:t xml:space="preserve"> </w:t>
      </w:r>
    </w:p>
    <w:p w:rsidR="00A0151C" w:rsidRPr="00564820" w:rsidRDefault="00A0151C" w:rsidP="00A0151C">
      <w:pPr>
        <w:pStyle w:val="CDMBTEXT"/>
        <w:rPr>
          <w:b/>
          <w:u w:val="single"/>
        </w:rPr>
      </w:pPr>
      <w:r w:rsidRPr="00564820">
        <w:rPr>
          <w:b/>
          <w:u w:val="single"/>
        </w:rPr>
        <w:t xml:space="preserve">Applicable groundwater </w:t>
      </w:r>
      <w:r>
        <w:rPr>
          <w:b/>
          <w:u w:val="single"/>
        </w:rPr>
        <w:t>management</w:t>
      </w:r>
      <w:r w:rsidRPr="00564820">
        <w:rPr>
          <w:b/>
          <w:u w:val="single"/>
        </w:rPr>
        <w:t xml:space="preserve"> agencies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8"/>
        <w:gridCol w:w="4788"/>
      </w:tblGrid>
      <w:tr w:rsidR="00A0151C" w:rsidTr="003C16B9">
        <w:tc>
          <w:tcPr>
            <w:tcW w:w="4788" w:type="dxa"/>
          </w:tcPr>
          <w:p w:rsidR="00A0151C" w:rsidRPr="00564820" w:rsidRDefault="00A0151C" w:rsidP="003C16B9">
            <w:pPr>
              <w:pStyle w:val="CDMBTEXT"/>
              <w:rPr>
                <w:b/>
              </w:rPr>
            </w:pPr>
            <w:r w:rsidRPr="00564820">
              <w:rPr>
                <w:b/>
              </w:rPr>
              <w:t>North Orange County Groundwater Basin:</w:t>
            </w:r>
          </w:p>
          <w:p w:rsidR="00A0151C" w:rsidRDefault="00A0151C" w:rsidP="003C16B9">
            <w:pPr>
              <w:pStyle w:val="CDMBTEXT"/>
            </w:pPr>
          </w:p>
        </w:tc>
        <w:tc>
          <w:tcPr>
            <w:tcW w:w="4788" w:type="dxa"/>
          </w:tcPr>
          <w:p w:rsidR="00A0151C" w:rsidRDefault="00A0151C" w:rsidP="003C16B9">
            <w:pPr>
              <w:pStyle w:val="CDMBTEXT"/>
              <w:spacing w:after="0"/>
            </w:pPr>
            <w:r>
              <w:t>Orange County Water District</w:t>
            </w:r>
          </w:p>
          <w:p w:rsidR="00A0151C" w:rsidRDefault="00A0151C" w:rsidP="003C16B9">
            <w:pPr>
              <w:pStyle w:val="CDMBTEXT"/>
              <w:spacing w:after="0"/>
            </w:pPr>
            <w:r>
              <w:t>Attn: Director of Planning</w:t>
            </w:r>
          </w:p>
          <w:p w:rsidR="00A0151C" w:rsidRDefault="00A0151C" w:rsidP="003C16B9">
            <w:pPr>
              <w:pStyle w:val="CDMBTEXT"/>
              <w:spacing w:after="0"/>
            </w:pPr>
            <w:r>
              <w:t>18700 Ward Street</w:t>
            </w:r>
          </w:p>
          <w:p w:rsidR="00A0151C" w:rsidRDefault="00A0151C" w:rsidP="003C16B9">
            <w:pPr>
              <w:pStyle w:val="CDMBTEXT"/>
              <w:spacing w:after="0"/>
            </w:pPr>
            <w:r>
              <w:t>Fountain Valley, CA 92708</w:t>
            </w:r>
          </w:p>
          <w:p w:rsidR="00A0151C" w:rsidRDefault="00A0151C" w:rsidP="003C16B9">
            <w:pPr>
              <w:pStyle w:val="CDMBTEXT"/>
              <w:spacing w:after="0"/>
            </w:pPr>
          </w:p>
        </w:tc>
      </w:tr>
      <w:tr w:rsidR="00A0151C" w:rsidTr="003C16B9">
        <w:tc>
          <w:tcPr>
            <w:tcW w:w="4788" w:type="dxa"/>
          </w:tcPr>
          <w:p w:rsidR="00A0151C" w:rsidRPr="00564820" w:rsidRDefault="00A0151C" w:rsidP="003C16B9">
            <w:pPr>
              <w:pStyle w:val="CDMBTEXT"/>
              <w:rPr>
                <w:b/>
              </w:rPr>
            </w:pPr>
            <w:r w:rsidRPr="00564820">
              <w:rPr>
                <w:b/>
              </w:rPr>
              <w:t>San Juan Groundwater Basin:</w:t>
            </w:r>
          </w:p>
        </w:tc>
        <w:tc>
          <w:tcPr>
            <w:tcW w:w="4788" w:type="dxa"/>
          </w:tcPr>
          <w:p w:rsidR="00A0151C" w:rsidRDefault="00A0151C" w:rsidP="003C16B9">
            <w:pPr>
              <w:pStyle w:val="CDMBTEXT"/>
              <w:spacing w:after="0"/>
            </w:pPr>
            <w:r>
              <w:t>San Juan Basin Authority</w:t>
            </w:r>
          </w:p>
          <w:p w:rsidR="00A0151C" w:rsidRPr="00564820" w:rsidRDefault="00A0151C" w:rsidP="003C16B9">
            <w:pPr>
              <w:pStyle w:val="CDMBTEXT"/>
              <w:spacing w:after="0"/>
              <w:rPr>
                <w:i/>
              </w:rPr>
            </w:pPr>
            <w:r w:rsidRPr="00E25EAA">
              <w:rPr>
                <w:i/>
              </w:rPr>
              <w:t>Contact info to be provided</w:t>
            </w:r>
          </w:p>
        </w:tc>
      </w:tr>
    </w:tbl>
    <w:p w:rsidR="006D6026" w:rsidRDefault="006D6026" w:rsidP="00094961">
      <w:pPr>
        <w:pStyle w:val="CDMBTEXT"/>
      </w:pPr>
    </w:p>
    <w:p w:rsidR="003B1526" w:rsidRPr="00F27F12" w:rsidRDefault="004266A7" w:rsidP="00094961">
      <w:pPr>
        <w:pStyle w:val="CDMBTEXT"/>
      </w:pPr>
      <w:r>
        <w:t xml:space="preserve">In addition, LID infiltration facilities may potentially be categorized as “Class V Injection Wells" under the federal Underground Injection Control (UIC) Program, which is regulated in California by U.S. EPA Region 9.  </w:t>
      </w:r>
      <w:r w:rsidR="003B1526">
        <w:t xml:space="preserve">The EPA defines a Class V well as any bored, drilled, or driven shaft, or dug hole that is deeper than its widest surface dimension, or an improved sinkhole, or a subsurface fluid distribution system (an infiltration system with piping to enhance infiltration capabilities).  </w:t>
      </w:r>
      <w:r>
        <w:t xml:space="preserve">A UIC permit may be required for such a facility (for details see http://www.epa.gov/region9/water/groundwater/uic-classv.html). </w:t>
      </w:r>
    </w:p>
    <w:p w:rsidR="00FE3A73" w:rsidRDefault="004266A7" w:rsidP="00A52883">
      <w:pPr>
        <w:pStyle w:val="Heading2"/>
      </w:pPr>
      <w:bookmarkStart w:id="550" w:name="_Ref285290264"/>
      <w:bookmarkStart w:id="551" w:name="_Toc285308170"/>
      <w:bookmarkStart w:id="552" w:name="_Toc285315754"/>
      <w:bookmarkStart w:id="553" w:name="_Toc285492473"/>
      <w:bookmarkStart w:id="554" w:name="_Toc288541094"/>
      <w:bookmarkStart w:id="555" w:name="_Toc293937150"/>
      <w:r>
        <w:t xml:space="preserve">Technical Requirements for Site Specific Study of Infiltration </w:t>
      </w:r>
      <w:bookmarkEnd w:id="550"/>
      <w:bookmarkEnd w:id="551"/>
      <w:bookmarkEnd w:id="552"/>
      <w:r w:rsidR="00B40134">
        <w:t>Impacts on Groundwater Quality</w:t>
      </w:r>
      <w:bookmarkEnd w:id="553"/>
      <w:bookmarkEnd w:id="554"/>
      <w:bookmarkEnd w:id="555"/>
    </w:p>
    <w:p w:rsidR="004266A7" w:rsidRPr="00713B6E" w:rsidRDefault="004266A7" w:rsidP="00A52883">
      <w:pPr>
        <w:pStyle w:val="Heading3"/>
      </w:pPr>
      <w:r w:rsidRPr="00713B6E">
        <w:t>Project Size Applicability</w:t>
      </w:r>
    </w:p>
    <w:p w:rsidR="00BB18A5" w:rsidRPr="00094961" w:rsidRDefault="006D6026" w:rsidP="00094961">
      <w:pPr>
        <w:pStyle w:val="CDMBTEXT"/>
      </w:pPr>
      <w:r>
        <w:t>Regardless of project size, a</w:t>
      </w:r>
      <w:r w:rsidR="004266A7" w:rsidRPr="005E18AC">
        <w:t xml:space="preserve">ny project proposing </w:t>
      </w:r>
      <w:r w:rsidR="004266A7">
        <w:t xml:space="preserve">to use infiltration BMPs </w:t>
      </w:r>
      <w:r w:rsidR="004266A7" w:rsidRPr="00FF633C">
        <w:t xml:space="preserve">within a </w:t>
      </w:r>
      <w:r w:rsidR="004266A7" w:rsidRPr="00FF633C">
        <w:rPr>
          <w:i/>
        </w:rPr>
        <w:t>plume protection boundary</w:t>
      </w:r>
      <w:r w:rsidR="004266A7" w:rsidRPr="00FF633C">
        <w:t xml:space="preserve"> </w:t>
      </w:r>
      <w:r w:rsidR="004266A7">
        <w:t xml:space="preserve">(see </w:t>
      </w:r>
      <w:r w:rsidR="00C06984">
        <w:t>Exhibit IX-3</w:t>
      </w:r>
      <w:r w:rsidR="00F27F12">
        <w:t>)</w:t>
      </w:r>
      <w:r w:rsidR="004266A7">
        <w:t xml:space="preserve"> </w:t>
      </w:r>
      <w:r w:rsidR="004266A7" w:rsidRPr="00FF633C">
        <w:t xml:space="preserve">or within 250 ft of a </w:t>
      </w:r>
      <w:r w:rsidR="004266A7">
        <w:t>contaminated site shall conduct a site-specific study prior to using these BMPs to demonstrate that infiltration will not have adverse impacts on groundwater quality.</w:t>
      </w:r>
    </w:p>
    <w:p w:rsidR="00BB18A5" w:rsidRPr="00A41B08" w:rsidRDefault="004266A7" w:rsidP="001B3E27">
      <w:pPr>
        <w:pStyle w:val="CDMBTEXT"/>
      </w:pPr>
      <w:r w:rsidRPr="00222756">
        <w:t>For small projects</w:t>
      </w:r>
      <w:r>
        <w:t xml:space="preserve">, a </w:t>
      </w:r>
      <w:r w:rsidRPr="009A70B3">
        <w:t>site</w:t>
      </w:r>
      <w:r>
        <w:t>-specific study is not required unless the project proponent chooses to use infiltration, in which case a site-specific study shall be prepared. If the proponent does not choose to use infiltration, the presence of one of the above-referenced conditions</w:t>
      </w:r>
      <w:r w:rsidR="001B3E27">
        <w:t xml:space="preserve"> (including: shallow groundwater depth or mounding potential, presence of groundwater plumes, proximity to wellheads or septic systems, risks from land use activities, or other site-specific feasibility concerns)</w:t>
      </w:r>
      <w:r>
        <w:t xml:space="preserve"> is sufficient to demonstrate infeasibility of infiltration BMPs</w:t>
      </w:r>
      <w:r w:rsidR="001B3E27">
        <w:t xml:space="preserve">.  </w:t>
      </w:r>
    </w:p>
    <w:p w:rsidR="005411C8" w:rsidRDefault="004266A7" w:rsidP="000C23C0">
      <w:pPr>
        <w:pStyle w:val="CDMBTEXT"/>
      </w:pPr>
      <w:r w:rsidRPr="00222756">
        <w:t>For large projects,</w:t>
      </w:r>
      <w:r w:rsidRPr="009A70B3">
        <w:t xml:space="preserve"> a</w:t>
      </w:r>
      <w:r w:rsidRPr="00A41B08">
        <w:t xml:space="preserve"> site-specific study is required to determine</w:t>
      </w:r>
      <w:r>
        <w:t xml:space="preserve"> if infiltration is feasible and would not adversely impact groundwater quality in the vicinity of </w:t>
      </w:r>
      <w:r w:rsidRPr="00A41B08">
        <w:t>plume(s)</w:t>
      </w:r>
      <w:r>
        <w:t xml:space="preserve"> and/or contaminated </w:t>
      </w:r>
      <w:r w:rsidRPr="00BB18A5">
        <w:t>sites</w:t>
      </w:r>
      <w:r w:rsidR="00BB18A5">
        <w:t>, or adversely affect groundwater drinking supplies</w:t>
      </w:r>
      <w:r w:rsidRPr="00BB18A5">
        <w:t xml:space="preserve">. </w:t>
      </w:r>
      <w:r w:rsidR="00BB18A5" w:rsidRPr="00BB18A5">
        <w:t xml:space="preserve"> </w:t>
      </w:r>
    </w:p>
    <w:p w:rsidR="004266A7" w:rsidRPr="000C23C0" w:rsidRDefault="004266A7" w:rsidP="000C23C0">
      <w:pPr>
        <w:pStyle w:val="CDMBTEXT"/>
        <w:rPr>
          <w:u w:val="single"/>
        </w:rPr>
      </w:pPr>
      <w:r w:rsidRPr="00BB18A5">
        <w:t xml:space="preserve">Large projects and small projects are defined in </w:t>
      </w:r>
      <w:fldSimple w:instr=" REF _Ref284433383 \h  \* MERGEFORMAT ">
        <w:r w:rsidR="00126DE5" w:rsidRPr="00126DE5">
          <w:rPr>
            <w:rFonts w:cs="Arial"/>
            <w:b/>
            <w:color w:val="0070C0"/>
            <w:sz w:val="20"/>
          </w:rPr>
          <w:t xml:space="preserve">Table </w:t>
        </w:r>
        <w:r w:rsidR="00126DE5" w:rsidRPr="00126DE5">
          <w:rPr>
            <w:rFonts w:cs="Arial"/>
            <w:b/>
            <w:noProof/>
            <w:color w:val="0070C0"/>
            <w:sz w:val="20"/>
          </w:rPr>
          <w:t>VIII</w:t>
        </w:r>
        <w:r w:rsidR="00126DE5" w:rsidRPr="00126DE5">
          <w:rPr>
            <w:rFonts w:cs="Arial"/>
            <w:b/>
            <w:color w:val="0070C0"/>
            <w:sz w:val="20"/>
          </w:rPr>
          <w:t>.2</w:t>
        </w:r>
      </w:fldSimple>
      <w:r w:rsidRPr="00BB18A5">
        <w:t>.</w:t>
      </w:r>
    </w:p>
    <w:tbl>
      <w:tblPr>
        <w:tblStyle w:val="TableGrid"/>
        <w:tblW w:w="0" w:type="auto"/>
        <w:tblLook w:val="04A0"/>
      </w:tblPr>
      <w:tblGrid>
        <w:gridCol w:w="1806"/>
        <w:gridCol w:w="2590"/>
        <w:gridCol w:w="2632"/>
        <w:gridCol w:w="2548"/>
      </w:tblGrid>
      <w:tr w:rsidR="004266A7" w:rsidTr="00430D51">
        <w:tc>
          <w:tcPr>
            <w:tcW w:w="9576" w:type="dxa"/>
            <w:gridSpan w:val="4"/>
            <w:tcBorders>
              <w:top w:val="nil"/>
              <w:left w:val="nil"/>
              <w:bottom w:val="single" w:sz="4" w:space="0" w:color="auto"/>
              <w:right w:val="nil"/>
            </w:tcBorders>
            <w:shd w:val="clear" w:color="auto" w:fill="auto"/>
            <w:tcMar>
              <w:top w:w="72" w:type="dxa"/>
              <w:left w:w="115" w:type="dxa"/>
              <w:bottom w:w="72" w:type="dxa"/>
              <w:right w:w="115" w:type="dxa"/>
            </w:tcMar>
          </w:tcPr>
          <w:p w:rsidR="00FE3A73" w:rsidRPr="00524D76" w:rsidRDefault="004266A7" w:rsidP="00647B99">
            <w:pPr>
              <w:pStyle w:val="Caption"/>
            </w:pPr>
            <w:bookmarkStart w:id="556" w:name="_Ref284433383"/>
            <w:bookmarkStart w:id="557" w:name="_Toc288554384"/>
            <w:r w:rsidRPr="00524D76">
              <w:t xml:space="preserve">Table </w:t>
            </w:r>
            <w:r w:rsidR="00126F3D" w:rsidRPr="00524D76">
              <w:fldChar w:fldCharType="begin"/>
            </w:r>
            <w:r w:rsidR="00F83E79" w:rsidRPr="00524D76">
              <w:instrText xml:space="preserve"> STYLEREF 1 \s </w:instrText>
            </w:r>
            <w:r w:rsidR="00126F3D" w:rsidRPr="00524D76">
              <w:fldChar w:fldCharType="separate"/>
            </w:r>
            <w:r w:rsidR="00126DE5" w:rsidRPr="00524D76">
              <w:rPr>
                <w:noProof/>
              </w:rPr>
              <w:t>VIII</w:t>
            </w:r>
            <w:r w:rsidR="00126F3D" w:rsidRPr="00524D76">
              <w:fldChar w:fldCharType="end"/>
            </w:r>
            <w:r w:rsidR="000B5480" w:rsidRPr="00524D76">
              <w:t>.</w:t>
            </w:r>
            <w:r w:rsidR="00126F3D" w:rsidRPr="00524D76">
              <w:fldChar w:fldCharType="begin"/>
            </w:r>
            <w:r w:rsidR="00F83E79" w:rsidRPr="00524D76">
              <w:instrText xml:space="preserve"> SEQ Table \* ARABIC \s 1 </w:instrText>
            </w:r>
            <w:r w:rsidR="00126F3D" w:rsidRPr="00524D76">
              <w:fldChar w:fldCharType="separate"/>
            </w:r>
            <w:r w:rsidR="00126DE5" w:rsidRPr="00524D76">
              <w:rPr>
                <w:noProof/>
              </w:rPr>
              <w:t>2</w:t>
            </w:r>
            <w:r w:rsidR="00126F3D" w:rsidRPr="00524D76">
              <w:fldChar w:fldCharType="end"/>
            </w:r>
            <w:bookmarkEnd w:id="556"/>
            <w:r w:rsidRPr="00524D76">
              <w:t>: Definition of Project Size Categories</w:t>
            </w:r>
            <w:bookmarkEnd w:id="557"/>
          </w:p>
        </w:tc>
      </w:tr>
      <w:tr w:rsidR="004266A7" w:rsidTr="00430D51">
        <w:trPr>
          <w:trHeight w:val="296"/>
        </w:trPr>
        <w:tc>
          <w:tcPr>
            <w:tcW w:w="1806" w:type="dxa"/>
            <w:tcBorders>
              <w:top w:val="single" w:sz="4" w:space="0" w:color="auto"/>
            </w:tcBorders>
            <w:shd w:val="clear" w:color="auto" w:fill="BFBFBF" w:themeFill="background1" w:themeFillShade="BF"/>
            <w:tcMar>
              <w:top w:w="72" w:type="dxa"/>
              <w:left w:w="115" w:type="dxa"/>
              <w:bottom w:w="72" w:type="dxa"/>
              <w:right w:w="115" w:type="dxa"/>
            </w:tcMar>
          </w:tcPr>
          <w:p w:rsidR="004266A7" w:rsidRPr="008438E5" w:rsidRDefault="004266A7" w:rsidP="00B03092">
            <w:pPr>
              <w:keepNext/>
              <w:rPr>
                <w:rFonts w:ascii="Arial" w:hAnsi="Arial" w:cs="Arial"/>
              </w:rPr>
            </w:pPr>
          </w:p>
        </w:tc>
        <w:tc>
          <w:tcPr>
            <w:tcW w:w="2590" w:type="dxa"/>
            <w:tcBorders>
              <w:top w:val="single" w:sz="4" w:space="0" w:color="auto"/>
            </w:tcBorders>
            <w:shd w:val="clear" w:color="auto" w:fill="BFBFBF" w:themeFill="background1" w:themeFillShade="BF"/>
            <w:tcMar>
              <w:top w:w="72" w:type="dxa"/>
              <w:left w:w="115" w:type="dxa"/>
              <w:bottom w:w="72" w:type="dxa"/>
              <w:right w:w="115" w:type="dxa"/>
            </w:tcMar>
            <w:vAlign w:val="bottom"/>
          </w:tcPr>
          <w:p w:rsidR="004266A7" w:rsidRPr="008438E5" w:rsidRDefault="004266A7" w:rsidP="000C23C0">
            <w:pPr>
              <w:keepNext/>
              <w:spacing w:after="0"/>
              <w:jc w:val="center"/>
              <w:rPr>
                <w:rFonts w:ascii="Arial" w:hAnsi="Arial" w:cs="Arial"/>
              </w:rPr>
            </w:pPr>
            <w:r w:rsidRPr="008438E5">
              <w:rPr>
                <w:rFonts w:ascii="Arial" w:hAnsi="Arial" w:cs="Arial"/>
              </w:rPr>
              <w:t>Residential</w:t>
            </w:r>
          </w:p>
        </w:tc>
        <w:tc>
          <w:tcPr>
            <w:tcW w:w="2632" w:type="dxa"/>
            <w:tcBorders>
              <w:top w:val="single" w:sz="4" w:space="0" w:color="auto"/>
            </w:tcBorders>
            <w:shd w:val="clear" w:color="auto" w:fill="BFBFBF" w:themeFill="background1" w:themeFillShade="BF"/>
            <w:tcMar>
              <w:top w:w="72" w:type="dxa"/>
              <w:left w:w="115" w:type="dxa"/>
              <w:bottom w:w="72" w:type="dxa"/>
              <w:right w:w="115" w:type="dxa"/>
            </w:tcMar>
            <w:vAlign w:val="bottom"/>
          </w:tcPr>
          <w:p w:rsidR="004266A7" w:rsidRPr="008438E5" w:rsidRDefault="004266A7" w:rsidP="000C23C0">
            <w:pPr>
              <w:keepNext/>
              <w:spacing w:after="0"/>
              <w:jc w:val="center"/>
              <w:rPr>
                <w:rFonts w:ascii="Arial" w:hAnsi="Arial" w:cs="Arial"/>
              </w:rPr>
            </w:pPr>
            <w:r w:rsidRPr="008438E5">
              <w:rPr>
                <w:rFonts w:ascii="Arial" w:hAnsi="Arial" w:cs="Arial"/>
              </w:rPr>
              <w:t>Commercial, Institutional</w:t>
            </w:r>
          </w:p>
        </w:tc>
        <w:tc>
          <w:tcPr>
            <w:tcW w:w="2548" w:type="dxa"/>
            <w:tcBorders>
              <w:top w:val="single" w:sz="4" w:space="0" w:color="auto"/>
            </w:tcBorders>
            <w:shd w:val="clear" w:color="auto" w:fill="BFBFBF" w:themeFill="background1" w:themeFillShade="BF"/>
            <w:tcMar>
              <w:top w:w="72" w:type="dxa"/>
              <w:left w:w="115" w:type="dxa"/>
              <w:bottom w:w="72" w:type="dxa"/>
              <w:right w:w="115" w:type="dxa"/>
            </w:tcMar>
            <w:vAlign w:val="bottom"/>
          </w:tcPr>
          <w:p w:rsidR="004266A7" w:rsidRPr="008438E5" w:rsidRDefault="004266A7" w:rsidP="000C23C0">
            <w:pPr>
              <w:keepNext/>
              <w:spacing w:after="0"/>
              <w:jc w:val="center"/>
              <w:rPr>
                <w:rFonts w:ascii="Arial" w:hAnsi="Arial" w:cs="Arial"/>
              </w:rPr>
            </w:pPr>
            <w:r w:rsidRPr="008438E5">
              <w:rPr>
                <w:rFonts w:ascii="Arial" w:hAnsi="Arial" w:cs="Arial"/>
              </w:rPr>
              <w:t>Industrial</w:t>
            </w:r>
          </w:p>
        </w:tc>
      </w:tr>
      <w:tr w:rsidR="004266A7" w:rsidTr="00B03092">
        <w:tc>
          <w:tcPr>
            <w:tcW w:w="1806" w:type="dxa"/>
            <w:shd w:val="clear" w:color="auto" w:fill="BFBFBF" w:themeFill="background1" w:themeFillShade="BF"/>
            <w:tcMar>
              <w:top w:w="72" w:type="dxa"/>
              <w:left w:w="115" w:type="dxa"/>
              <w:bottom w:w="72" w:type="dxa"/>
              <w:right w:w="115" w:type="dxa"/>
            </w:tcMar>
          </w:tcPr>
          <w:p w:rsidR="004266A7" w:rsidRPr="008438E5" w:rsidRDefault="004266A7" w:rsidP="00B03092">
            <w:pPr>
              <w:keepNext/>
              <w:rPr>
                <w:rFonts w:ascii="Arial" w:hAnsi="Arial" w:cs="Arial"/>
              </w:rPr>
            </w:pPr>
            <w:r w:rsidRPr="008438E5">
              <w:rPr>
                <w:rFonts w:ascii="Arial" w:hAnsi="Arial" w:cs="Arial"/>
              </w:rPr>
              <w:t>Small Projects</w:t>
            </w:r>
          </w:p>
        </w:tc>
        <w:tc>
          <w:tcPr>
            <w:tcW w:w="2590" w:type="dxa"/>
            <w:tcMar>
              <w:top w:w="72" w:type="dxa"/>
              <w:left w:w="115" w:type="dxa"/>
              <w:bottom w:w="72" w:type="dxa"/>
              <w:right w:w="115" w:type="dxa"/>
            </w:tcMar>
          </w:tcPr>
          <w:p w:rsidR="004266A7" w:rsidRPr="008438E5" w:rsidRDefault="004266A7" w:rsidP="000C23C0">
            <w:pPr>
              <w:keepNext/>
              <w:spacing w:after="0"/>
              <w:jc w:val="left"/>
              <w:rPr>
                <w:rFonts w:ascii="Arial" w:hAnsi="Arial" w:cs="Arial"/>
              </w:rPr>
            </w:pPr>
            <w:r w:rsidRPr="008438E5">
              <w:rPr>
                <w:rFonts w:ascii="Arial" w:hAnsi="Arial" w:cs="Arial"/>
              </w:rPr>
              <w:t xml:space="preserve">Less than </w:t>
            </w:r>
            <w:r>
              <w:rPr>
                <w:rFonts w:ascii="Arial" w:hAnsi="Arial" w:cs="Arial"/>
              </w:rPr>
              <w:t>10</w:t>
            </w:r>
            <w:r w:rsidRPr="008438E5">
              <w:rPr>
                <w:rFonts w:ascii="Arial" w:hAnsi="Arial" w:cs="Arial"/>
              </w:rPr>
              <w:t xml:space="preserve"> acres and less than </w:t>
            </w:r>
            <w:r>
              <w:rPr>
                <w:rFonts w:ascii="Arial" w:hAnsi="Arial" w:cs="Arial"/>
              </w:rPr>
              <w:t>30</w:t>
            </w:r>
            <w:r w:rsidRPr="008438E5">
              <w:rPr>
                <w:rFonts w:ascii="Arial" w:hAnsi="Arial" w:cs="Arial"/>
              </w:rPr>
              <w:t xml:space="preserve"> DU </w:t>
            </w:r>
          </w:p>
        </w:tc>
        <w:tc>
          <w:tcPr>
            <w:tcW w:w="2632" w:type="dxa"/>
            <w:tcMar>
              <w:top w:w="72" w:type="dxa"/>
              <w:left w:w="115" w:type="dxa"/>
              <w:bottom w:w="72" w:type="dxa"/>
              <w:right w:w="115" w:type="dxa"/>
            </w:tcMar>
          </w:tcPr>
          <w:p w:rsidR="004266A7" w:rsidRPr="008438E5" w:rsidRDefault="004266A7" w:rsidP="000C23C0">
            <w:pPr>
              <w:keepNext/>
              <w:spacing w:after="0"/>
              <w:jc w:val="left"/>
              <w:rPr>
                <w:rFonts w:ascii="Arial" w:hAnsi="Arial" w:cs="Arial"/>
              </w:rPr>
            </w:pPr>
            <w:r>
              <w:rPr>
                <w:rFonts w:ascii="Arial" w:hAnsi="Arial" w:cs="Arial"/>
              </w:rPr>
              <w:t>Less than 5</w:t>
            </w:r>
            <w:r w:rsidRPr="008438E5">
              <w:rPr>
                <w:rFonts w:ascii="Arial" w:hAnsi="Arial" w:cs="Arial"/>
              </w:rPr>
              <w:t xml:space="preserve"> acres and less than </w:t>
            </w:r>
            <w:r>
              <w:rPr>
                <w:rFonts w:ascii="Arial" w:hAnsi="Arial" w:cs="Arial"/>
              </w:rPr>
              <w:t>5</w:t>
            </w:r>
            <w:r w:rsidRPr="008438E5">
              <w:rPr>
                <w:rFonts w:ascii="Arial" w:hAnsi="Arial" w:cs="Arial"/>
              </w:rPr>
              <w:t>0,000 SF</w:t>
            </w:r>
          </w:p>
        </w:tc>
        <w:tc>
          <w:tcPr>
            <w:tcW w:w="2548" w:type="dxa"/>
            <w:tcMar>
              <w:top w:w="72" w:type="dxa"/>
              <w:left w:w="115" w:type="dxa"/>
              <w:bottom w:w="72" w:type="dxa"/>
              <w:right w:w="115" w:type="dxa"/>
            </w:tcMar>
          </w:tcPr>
          <w:p w:rsidR="004266A7" w:rsidRPr="008438E5" w:rsidRDefault="004266A7" w:rsidP="000C23C0">
            <w:pPr>
              <w:keepNext/>
              <w:spacing w:after="0"/>
              <w:jc w:val="left"/>
              <w:rPr>
                <w:rFonts w:ascii="Arial" w:hAnsi="Arial" w:cs="Arial"/>
              </w:rPr>
            </w:pPr>
            <w:r w:rsidRPr="008438E5">
              <w:rPr>
                <w:rFonts w:ascii="Arial" w:hAnsi="Arial" w:cs="Arial"/>
              </w:rPr>
              <w:t xml:space="preserve">Less than </w:t>
            </w:r>
            <w:r>
              <w:rPr>
                <w:rFonts w:ascii="Arial" w:hAnsi="Arial" w:cs="Arial"/>
              </w:rPr>
              <w:t xml:space="preserve">2 </w:t>
            </w:r>
            <w:r w:rsidRPr="008438E5">
              <w:rPr>
                <w:rFonts w:ascii="Arial" w:hAnsi="Arial" w:cs="Arial"/>
              </w:rPr>
              <w:t>acre and less than 20,000 SF</w:t>
            </w:r>
          </w:p>
        </w:tc>
      </w:tr>
      <w:tr w:rsidR="004266A7" w:rsidTr="00B03092">
        <w:tc>
          <w:tcPr>
            <w:tcW w:w="1806" w:type="dxa"/>
            <w:shd w:val="clear" w:color="auto" w:fill="BFBFBF" w:themeFill="background1" w:themeFillShade="BF"/>
            <w:tcMar>
              <w:top w:w="72" w:type="dxa"/>
              <w:left w:w="115" w:type="dxa"/>
              <w:bottom w:w="72" w:type="dxa"/>
              <w:right w:w="115" w:type="dxa"/>
            </w:tcMar>
          </w:tcPr>
          <w:p w:rsidR="004266A7" w:rsidRPr="008438E5" w:rsidRDefault="004266A7" w:rsidP="00B03092">
            <w:pPr>
              <w:rPr>
                <w:rFonts w:ascii="Arial" w:hAnsi="Arial" w:cs="Arial"/>
              </w:rPr>
            </w:pPr>
            <w:r w:rsidRPr="008438E5">
              <w:rPr>
                <w:rFonts w:ascii="Arial" w:hAnsi="Arial" w:cs="Arial"/>
              </w:rPr>
              <w:t>Large Projects</w:t>
            </w:r>
          </w:p>
        </w:tc>
        <w:tc>
          <w:tcPr>
            <w:tcW w:w="2590" w:type="dxa"/>
            <w:tcMar>
              <w:top w:w="72" w:type="dxa"/>
              <w:left w:w="115" w:type="dxa"/>
              <w:bottom w:w="72" w:type="dxa"/>
              <w:right w:w="115" w:type="dxa"/>
            </w:tcMar>
          </w:tcPr>
          <w:p w:rsidR="004266A7" w:rsidRPr="008438E5" w:rsidRDefault="004266A7" w:rsidP="000C23C0">
            <w:pPr>
              <w:spacing w:after="0"/>
              <w:jc w:val="left"/>
              <w:rPr>
                <w:rFonts w:ascii="Arial" w:hAnsi="Arial" w:cs="Arial"/>
              </w:rPr>
            </w:pPr>
            <w:r w:rsidRPr="008438E5">
              <w:rPr>
                <w:rFonts w:ascii="Arial" w:hAnsi="Arial" w:cs="Arial"/>
              </w:rPr>
              <w:t xml:space="preserve">Greater than </w:t>
            </w:r>
            <w:r>
              <w:rPr>
                <w:rFonts w:ascii="Arial" w:hAnsi="Arial" w:cs="Arial"/>
              </w:rPr>
              <w:t>10</w:t>
            </w:r>
            <w:r w:rsidRPr="008438E5">
              <w:rPr>
                <w:rFonts w:ascii="Arial" w:hAnsi="Arial" w:cs="Arial"/>
              </w:rPr>
              <w:t xml:space="preserve"> acres or greater than </w:t>
            </w:r>
            <w:r>
              <w:rPr>
                <w:rFonts w:ascii="Arial" w:hAnsi="Arial" w:cs="Arial"/>
              </w:rPr>
              <w:t>30</w:t>
            </w:r>
            <w:r w:rsidRPr="008438E5">
              <w:rPr>
                <w:rFonts w:ascii="Arial" w:hAnsi="Arial" w:cs="Arial"/>
              </w:rPr>
              <w:t xml:space="preserve"> DU</w:t>
            </w:r>
          </w:p>
        </w:tc>
        <w:tc>
          <w:tcPr>
            <w:tcW w:w="2632" w:type="dxa"/>
            <w:tcMar>
              <w:top w:w="72" w:type="dxa"/>
              <w:left w:w="115" w:type="dxa"/>
              <w:bottom w:w="72" w:type="dxa"/>
              <w:right w:w="115" w:type="dxa"/>
            </w:tcMar>
          </w:tcPr>
          <w:p w:rsidR="004266A7" w:rsidRPr="008438E5" w:rsidRDefault="004266A7" w:rsidP="000C23C0">
            <w:pPr>
              <w:spacing w:after="0"/>
              <w:jc w:val="left"/>
              <w:rPr>
                <w:rFonts w:ascii="Arial" w:hAnsi="Arial" w:cs="Arial"/>
              </w:rPr>
            </w:pPr>
            <w:r>
              <w:rPr>
                <w:rFonts w:ascii="Arial" w:hAnsi="Arial" w:cs="Arial"/>
              </w:rPr>
              <w:t>Greater than 5</w:t>
            </w:r>
            <w:r w:rsidRPr="008438E5">
              <w:rPr>
                <w:rFonts w:ascii="Arial" w:hAnsi="Arial" w:cs="Arial"/>
              </w:rPr>
              <w:t xml:space="preserve"> acres or greater than </w:t>
            </w:r>
            <w:r>
              <w:rPr>
                <w:rFonts w:ascii="Arial" w:hAnsi="Arial" w:cs="Arial"/>
              </w:rPr>
              <w:t>5</w:t>
            </w:r>
            <w:r w:rsidRPr="008438E5">
              <w:rPr>
                <w:rFonts w:ascii="Arial" w:hAnsi="Arial" w:cs="Arial"/>
              </w:rPr>
              <w:t>0,000 SF</w:t>
            </w:r>
          </w:p>
        </w:tc>
        <w:tc>
          <w:tcPr>
            <w:tcW w:w="2548" w:type="dxa"/>
            <w:tcMar>
              <w:top w:w="72" w:type="dxa"/>
              <w:left w:w="115" w:type="dxa"/>
              <w:bottom w:w="72" w:type="dxa"/>
              <w:right w:w="115" w:type="dxa"/>
            </w:tcMar>
          </w:tcPr>
          <w:p w:rsidR="004266A7" w:rsidRPr="008438E5" w:rsidRDefault="004266A7" w:rsidP="000C23C0">
            <w:pPr>
              <w:spacing w:after="0"/>
              <w:jc w:val="left"/>
              <w:rPr>
                <w:rFonts w:ascii="Arial" w:hAnsi="Arial" w:cs="Arial"/>
              </w:rPr>
            </w:pPr>
            <w:r w:rsidRPr="008438E5">
              <w:rPr>
                <w:rFonts w:ascii="Arial" w:hAnsi="Arial" w:cs="Arial"/>
              </w:rPr>
              <w:t xml:space="preserve">Greater than </w:t>
            </w:r>
            <w:r>
              <w:rPr>
                <w:rFonts w:ascii="Arial" w:hAnsi="Arial" w:cs="Arial"/>
              </w:rPr>
              <w:t>2</w:t>
            </w:r>
            <w:r w:rsidRPr="008438E5">
              <w:rPr>
                <w:rFonts w:ascii="Arial" w:hAnsi="Arial" w:cs="Arial"/>
              </w:rPr>
              <w:t xml:space="preserve"> acre or greater than 20,000 SF</w:t>
            </w:r>
          </w:p>
        </w:tc>
      </w:tr>
    </w:tbl>
    <w:p w:rsidR="004266A7" w:rsidRDefault="004266A7" w:rsidP="004266A7">
      <w:pPr>
        <w:spacing w:after="200"/>
      </w:pPr>
    </w:p>
    <w:p w:rsidR="004266A7" w:rsidRPr="00713B6E" w:rsidRDefault="004266A7" w:rsidP="00A52883">
      <w:pPr>
        <w:pStyle w:val="Heading3"/>
      </w:pPr>
      <w:r>
        <w:t>Information and Documentation Required in Site-Specific Study</w:t>
      </w:r>
      <w:r w:rsidRPr="00713B6E">
        <w:t xml:space="preserve"> </w:t>
      </w:r>
    </w:p>
    <w:p w:rsidR="004266A7" w:rsidRDefault="004266A7" w:rsidP="00094961">
      <w:pPr>
        <w:pStyle w:val="CDMBTEXT"/>
      </w:pPr>
      <w:r>
        <w:t>If</w:t>
      </w:r>
      <w:r w:rsidRPr="00FF633C">
        <w:t xml:space="preserve"> a project</w:t>
      </w:r>
      <w:r>
        <w:t xml:space="preserve"> proponent</w:t>
      </w:r>
      <w:r w:rsidRPr="00FF633C">
        <w:t xml:space="preserve"> </w:t>
      </w:r>
      <w:r>
        <w:t xml:space="preserve">proposes to use infiltration BMPs </w:t>
      </w:r>
      <w:r w:rsidRPr="00FF633C">
        <w:t xml:space="preserve">within a </w:t>
      </w:r>
      <w:r w:rsidRPr="00FF633C">
        <w:rPr>
          <w:i/>
        </w:rPr>
        <w:t>plume protection boundary</w:t>
      </w:r>
      <w:r w:rsidRPr="00FF633C">
        <w:t xml:space="preserve"> </w:t>
      </w:r>
      <w:r>
        <w:t xml:space="preserve">(see </w:t>
      </w:r>
      <w:r w:rsidR="00C06984">
        <w:t>Exhibit IX-3</w:t>
      </w:r>
      <w:r>
        <w:t xml:space="preserve">) </w:t>
      </w:r>
      <w:r w:rsidRPr="00FF633C">
        <w:t xml:space="preserve">or within 250 ft of a </w:t>
      </w:r>
      <w:r>
        <w:t>contaminated site, the project proponent shall provide a written report to demonstrate that infiltration does not pose an adverse risk to groundwater. The written report should be prepared by a state-certified professional and provided to OCWD for review and comment. The report shall document that the following conditions are met:</w:t>
      </w:r>
    </w:p>
    <w:p w:rsidR="0014047B" w:rsidRDefault="004266A7" w:rsidP="009531AF">
      <w:pPr>
        <w:pStyle w:val="CDMBTEXT"/>
        <w:numPr>
          <w:ilvl w:val="0"/>
          <w:numId w:val="31"/>
        </w:numPr>
        <w:contextualSpacing/>
      </w:pPr>
      <w:r>
        <w:t>Lateral and vertical extent of soil or groundwater contamination is defined at the site and is defined for off-site areas if contamination has migrated to the boundary of the site.</w:t>
      </w:r>
    </w:p>
    <w:p w:rsidR="0014047B" w:rsidRDefault="004266A7" w:rsidP="009531AF">
      <w:pPr>
        <w:pStyle w:val="CDMBTEXT"/>
        <w:numPr>
          <w:ilvl w:val="0"/>
          <w:numId w:val="31"/>
        </w:numPr>
        <w:contextualSpacing/>
      </w:pPr>
      <w:r>
        <w:t xml:space="preserve">Groundwater conditions are defined based on site specific data (e.g., subsurface sediment characteristics, depth to groundwater, groundwater flow direction, </w:t>
      </w:r>
      <w:proofErr w:type="gramStart"/>
      <w:r>
        <w:t>rate</w:t>
      </w:r>
      <w:proofErr w:type="gramEnd"/>
      <w:r>
        <w:t xml:space="preserve"> of groundwater movement).</w:t>
      </w:r>
    </w:p>
    <w:p w:rsidR="0014047B" w:rsidRDefault="004266A7" w:rsidP="009531AF">
      <w:pPr>
        <w:pStyle w:val="CDMBTEXT"/>
        <w:numPr>
          <w:ilvl w:val="0"/>
          <w:numId w:val="31"/>
        </w:numPr>
        <w:contextualSpacing/>
      </w:pPr>
      <w:r>
        <w:t>Ongoing monitoring of soil or groundwater contamination is occurring and will continue to occur, as necessary.</w:t>
      </w:r>
    </w:p>
    <w:p w:rsidR="0014047B" w:rsidRDefault="004266A7" w:rsidP="009531AF">
      <w:pPr>
        <w:pStyle w:val="CDMBTEXT"/>
        <w:numPr>
          <w:ilvl w:val="0"/>
          <w:numId w:val="31"/>
        </w:numPr>
        <w:contextualSpacing/>
      </w:pPr>
      <w:r>
        <w:t>A state-certified professional evaluates soil and groundwater data and evaluates whether proposed stormwater infiltration could cause adverse impacts to groundwater quality; an adverse impact to groundwater quality could include changing the movement of groundwater contamination, causing additional amounts of contamination in the unsaturated zone to migrate into the saturated zone, or negatively impacting an existing remediation system.</w:t>
      </w:r>
    </w:p>
    <w:p w:rsidR="0014047B" w:rsidRDefault="004266A7" w:rsidP="009531AF">
      <w:pPr>
        <w:pStyle w:val="CDMBTEXT"/>
        <w:numPr>
          <w:ilvl w:val="0"/>
          <w:numId w:val="31"/>
        </w:numPr>
        <w:contextualSpacing/>
      </w:pPr>
      <w:r>
        <w:t>The applicable regulatory agency is identified and has continuing authority to require additional investigation or cleanup work if stormwater infiltration causes an adverse impact on groundwater quality.</w:t>
      </w:r>
    </w:p>
    <w:p w:rsidR="00430D51" w:rsidRDefault="00430D51" w:rsidP="00430D51">
      <w:pPr>
        <w:pStyle w:val="CDMBTEXT"/>
        <w:ind w:left="720"/>
        <w:contextualSpacing/>
      </w:pPr>
    </w:p>
    <w:p w:rsidR="0013104B" w:rsidRDefault="004266A7" w:rsidP="00B40134">
      <w:pPr>
        <w:pStyle w:val="CDMBTEXT"/>
      </w:pPr>
      <w:r>
        <w:t>In</w:t>
      </w:r>
      <w:r w:rsidR="00DC2637">
        <w:t xml:space="preserve"> summary, i</w:t>
      </w:r>
      <w:r w:rsidR="007E3916">
        <w:t>n</w:t>
      </w:r>
      <w:r>
        <w:t>filtration sh</w:t>
      </w:r>
      <w:r w:rsidR="009805F5">
        <w:t>all</w:t>
      </w:r>
      <w:r>
        <w:t xml:space="preserve"> not b</w:t>
      </w:r>
      <w:r w:rsidR="009805F5">
        <w:t xml:space="preserve">e allowed for sites </w:t>
      </w:r>
      <w:r w:rsidR="00616820" w:rsidRPr="00616820">
        <w:t>where there is substantial evidence of an</w:t>
      </w:r>
      <w:r w:rsidR="00772506" w:rsidDel="00772506">
        <w:t xml:space="preserve"> </w:t>
      </w:r>
      <w:r>
        <w:t>adverse risk to groundwater quality.</w:t>
      </w:r>
    </w:p>
    <w:p w:rsidR="00C77682" w:rsidRDefault="00C77682">
      <w:pPr>
        <w:spacing w:after="200"/>
        <w:rPr>
          <w:rFonts w:eastAsia="Times New Roman" w:cs="Times New Roman"/>
          <w:szCs w:val="20"/>
        </w:rPr>
      </w:pPr>
      <w:r>
        <w:br w:type="page"/>
      </w:r>
    </w:p>
    <w:tbl>
      <w:tblPr>
        <w:tblW w:w="49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7"/>
        <w:gridCol w:w="5734"/>
        <w:gridCol w:w="1121"/>
        <w:gridCol w:w="1121"/>
        <w:gridCol w:w="1123"/>
      </w:tblGrid>
      <w:tr w:rsidR="00C77682" w:rsidRPr="00C77682" w:rsidTr="00430D51">
        <w:trPr>
          <w:trHeight w:val="300"/>
          <w:tblHeader/>
        </w:trPr>
        <w:tc>
          <w:tcPr>
            <w:tcW w:w="5000" w:type="pct"/>
            <w:gridSpan w:val="5"/>
            <w:tcBorders>
              <w:top w:val="nil"/>
              <w:left w:val="nil"/>
              <w:bottom w:val="single" w:sz="4" w:space="0" w:color="auto"/>
              <w:right w:val="nil"/>
            </w:tcBorders>
            <w:shd w:val="clear" w:color="auto" w:fill="auto"/>
            <w:noWrap/>
            <w:tcMar>
              <w:top w:w="36" w:type="dxa"/>
              <w:bottom w:w="36" w:type="dxa"/>
            </w:tcMar>
            <w:vAlign w:val="center"/>
            <w:hideMark/>
          </w:tcPr>
          <w:p w:rsidR="00C77682" w:rsidRPr="00524D76" w:rsidRDefault="00C77682" w:rsidP="00647B99">
            <w:pPr>
              <w:pStyle w:val="Caption"/>
              <w:rPr>
                <w:i/>
              </w:rPr>
            </w:pPr>
            <w:bookmarkStart w:id="558" w:name="_Ref285574578"/>
            <w:bookmarkStart w:id="559" w:name="_Toc288554464"/>
            <w:r w:rsidRPr="00524D76">
              <w:t xml:space="preserve">Worksheet </w:t>
            </w:r>
            <w:fldSimple w:instr=" SEQ Worksheet \* ALPHABETIC ">
              <w:r w:rsidR="00126DE5" w:rsidRPr="00524D76">
                <w:rPr>
                  <w:noProof/>
                </w:rPr>
                <w:t>I</w:t>
              </w:r>
            </w:fldSimple>
            <w:r w:rsidRPr="00524D76">
              <w:t>: Summary of Groundwater-related Feasibility Criteria</w:t>
            </w:r>
            <w:bookmarkEnd w:id="558"/>
            <w:bookmarkEnd w:id="559"/>
          </w:p>
        </w:tc>
      </w:tr>
      <w:tr w:rsidR="00C77682" w:rsidRPr="00C77682" w:rsidTr="00430D51">
        <w:trPr>
          <w:trHeight w:val="330"/>
        </w:trPr>
        <w:tc>
          <w:tcPr>
            <w:tcW w:w="244" w:type="pct"/>
            <w:tcBorders>
              <w:top w:val="single" w:sz="4" w:space="0" w:color="auto"/>
            </w:tcBorders>
            <w:shd w:val="clear" w:color="auto" w:fill="auto"/>
            <w:noWrap/>
            <w:tcMar>
              <w:top w:w="36" w:type="dxa"/>
              <w:bottom w:w="36" w:type="dxa"/>
            </w:tcMar>
            <w:vAlign w:val="center"/>
            <w:hideMark/>
          </w:tcPr>
          <w:p w:rsidR="00C77682" w:rsidRPr="00C77682" w:rsidRDefault="00C77682" w:rsidP="00776265">
            <w:pPr>
              <w:spacing w:after="0" w:line="240" w:lineRule="auto"/>
              <w:jc w:val="center"/>
              <w:rPr>
                <w:rFonts w:ascii="Arial" w:eastAsia="Times New Roman" w:hAnsi="Arial" w:cs="Arial"/>
                <w:color w:val="000000"/>
                <w:sz w:val="20"/>
                <w:szCs w:val="20"/>
              </w:rPr>
            </w:pPr>
            <w:r w:rsidRPr="00C77682">
              <w:rPr>
                <w:rFonts w:ascii="Arial" w:eastAsia="Times New Roman" w:hAnsi="Arial" w:cs="Arial"/>
                <w:color w:val="000000"/>
                <w:sz w:val="20"/>
                <w:szCs w:val="20"/>
              </w:rPr>
              <w:t>1</w:t>
            </w:r>
          </w:p>
        </w:tc>
        <w:tc>
          <w:tcPr>
            <w:tcW w:w="2997" w:type="pct"/>
            <w:tcBorders>
              <w:top w:val="single" w:sz="4" w:space="0" w:color="auto"/>
            </w:tcBorders>
            <w:shd w:val="clear" w:color="auto" w:fill="auto"/>
            <w:tcMar>
              <w:top w:w="36" w:type="dxa"/>
              <w:bottom w:w="36" w:type="dxa"/>
            </w:tcMar>
            <w:vAlign w:val="bottom"/>
            <w:hideMark/>
          </w:tcPr>
          <w:p w:rsidR="00C77682" w:rsidRDefault="00C77682" w:rsidP="00776265">
            <w:pPr>
              <w:spacing w:after="0" w:line="240" w:lineRule="auto"/>
              <w:jc w:val="both"/>
              <w:rPr>
                <w:rFonts w:ascii="Arial" w:hAnsi="Arial" w:cs="Arial"/>
                <w:sz w:val="20"/>
                <w:szCs w:val="20"/>
              </w:rPr>
            </w:pPr>
            <w:r w:rsidRPr="00C77682">
              <w:rPr>
                <w:rFonts w:ascii="Arial" w:hAnsi="Arial" w:cs="Arial"/>
                <w:sz w:val="20"/>
                <w:szCs w:val="20"/>
              </w:rPr>
              <w:t>Is project large or small? (</w:t>
            </w:r>
            <w:r>
              <w:rPr>
                <w:rFonts w:ascii="Arial" w:hAnsi="Arial" w:cs="Arial"/>
                <w:sz w:val="20"/>
                <w:szCs w:val="20"/>
              </w:rPr>
              <w:t>as defined by</w:t>
            </w:r>
            <w:r w:rsidRPr="00C77682">
              <w:rPr>
                <w:rFonts w:ascii="Arial" w:hAnsi="Arial" w:cs="Arial"/>
                <w:sz w:val="20"/>
                <w:szCs w:val="20"/>
              </w:rPr>
              <w:t xml:space="preserve"> </w:t>
            </w:r>
            <w:fldSimple w:instr=" REF _Ref284433383 \h  \* MERGEFORMAT ">
              <w:r w:rsidR="00126DE5" w:rsidRPr="00126DE5">
                <w:rPr>
                  <w:rFonts w:cs="Arial"/>
                  <w:b/>
                  <w:color w:val="0070C0"/>
                  <w:sz w:val="20"/>
                  <w:szCs w:val="20"/>
                </w:rPr>
                <w:t xml:space="preserve">Table </w:t>
              </w:r>
              <w:r w:rsidR="00126DE5" w:rsidRPr="00126DE5">
                <w:rPr>
                  <w:rFonts w:cs="Arial"/>
                  <w:b/>
                  <w:noProof/>
                  <w:color w:val="0070C0"/>
                  <w:sz w:val="20"/>
                  <w:szCs w:val="20"/>
                </w:rPr>
                <w:t>VIII</w:t>
              </w:r>
              <w:r w:rsidR="00126DE5" w:rsidRPr="00126DE5">
                <w:rPr>
                  <w:rFonts w:cs="Arial"/>
                  <w:b/>
                  <w:color w:val="0070C0"/>
                  <w:sz w:val="20"/>
                  <w:szCs w:val="20"/>
                </w:rPr>
                <w:t>.2</w:t>
              </w:r>
            </w:fldSimple>
            <w:r>
              <w:rPr>
                <w:rFonts w:ascii="Arial" w:hAnsi="Arial" w:cs="Arial"/>
                <w:sz w:val="20"/>
                <w:szCs w:val="20"/>
              </w:rPr>
              <w:t xml:space="preserve">) </w:t>
            </w:r>
          </w:p>
          <w:p w:rsidR="00C77682" w:rsidRPr="00C77682" w:rsidRDefault="00C77682" w:rsidP="00776265">
            <w:pPr>
              <w:spacing w:after="0" w:line="240" w:lineRule="auto"/>
              <w:jc w:val="both"/>
              <w:rPr>
                <w:rFonts w:ascii="Arial" w:eastAsia="Times New Roman" w:hAnsi="Arial" w:cs="Arial"/>
                <w:sz w:val="20"/>
                <w:szCs w:val="20"/>
              </w:rPr>
            </w:pPr>
            <w:r>
              <w:rPr>
                <w:rFonts w:ascii="Arial" w:hAnsi="Arial" w:cs="Arial"/>
                <w:sz w:val="20"/>
                <w:szCs w:val="20"/>
              </w:rPr>
              <w:t>circle one</w:t>
            </w:r>
          </w:p>
        </w:tc>
        <w:tc>
          <w:tcPr>
            <w:tcW w:w="1759" w:type="pct"/>
            <w:gridSpan w:val="3"/>
            <w:tcBorders>
              <w:top w:val="single" w:sz="4" w:space="0" w:color="auto"/>
            </w:tcBorders>
            <w:tcMar>
              <w:top w:w="36" w:type="dxa"/>
              <w:bottom w:w="36" w:type="dxa"/>
            </w:tcMar>
            <w:vAlign w:val="center"/>
          </w:tcPr>
          <w:p w:rsidR="00C77682" w:rsidRPr="00C77682" w:rsidRDefault="00C77682" w:rsidP="00776265">
            <w:pPr>
              <w:spacing w:after="0" w:line="240" w:lineRule="auto"/>
              <w:jc w:val="center"/>
              <w:rPr>
                <w:rFonts w:ascii="Arial" w:eastAsia="Times New Roman" w:hAnsi="Arial" w:cs="Arial"/>
                <w:sz w:val="20"/>
                <w:szCs w:val="20"/>
              </w:rPr>
            </w:pPr>
            <w:r>
              <w:rPr>
                <w:rFonts w:ascii="Arial" w:eastAsia="Times New Roman" w:hAnsi="Arial" w:cs="Arial"/>
                <w:sz w:val="20"/>
                <w:szCs w:val="20"/>
              </w:rPr>
              <w:t>Large                  Small</w:t>
            </w:r>
          </w:p>
        </w:tc>
      </w:tr>
      <w:tr w:rsidR="00C77682" w:rsidRPr="00C77682" w:rsidTr="00BD2C32">
        <w:trPr>
          <w:trHeight w:val="330"/>
        </w:trPr>
        <w:tc>
          <w:tcPr>
            <w:tcW w:w="244" w:type="pct"/>
            <w:shd w:val="clear" w:color="auto" w:fill="auto"/>
            <w:noWrap/>
            <w:tcMar>
              <w:top w:w="36" w:type="dxa"/>
              <w:bottom w:w="36" w:type="dxa"/>
            </w:tcMar>
            <w:vAlign w:val="center"/>
            <w:hideMark/>
          </w:tcPr>
          <w:p w:rsidR="00C77682" w:rsidRPr="00C77682" w:rsidRDefault="00C77682" w:rsidP="00776265">
            <w:pPr>
              <w:spacing w:after="0" w:line="240" w:lineRule="auto"/>
              <w:jc w:val="center"/>
              <w:rPr>
                <w:rFonts w:ascii="Arial" w:eastAsia="Times New Roman" w:hAnsi="Arial" w:cs="Arial"/>
                <w:color w:val="000000"/>
                <w:sz w:val="20"/>
                <w:szCs w:val="20"/>
              </w:rPr>
            </w:pPr>
            <w:r w:rsidRPr="00C77682">
              <w:rPr>
                <w:rFonts w:ascii="Arial" w:eastAsia="Times New Roman" w:hAnsi="Arial" w:cs="Arial"/>
                <w:color w:val="000000"/>
                <w:sz w:val="20"/>
                <w:szCs w:val="20"/>
              </w:rPr>
              <w:t>2</w:t>
            </w:r>
          </w:p>
        </w:tc>
        <w:tc>
          <w:tcPr>
            <w:tcW w:w="2997" w:type="pct"/>
            <w:shd w:val="clear" w:color="auto" w:fill="auto"/>
            <w:tcMar>
              <w:top w:w="36" w:type="dxa"/>
              <w:bottom w:w="36" w:type="dxa"/>
            </w:tcMar>
            <w:vAlign w:val="center"/>
            <w:hideMark/>
          </w:tcPr>
          <w:p w:rsidR="00C77682" w:rsidRPr="00C77682" w:rsidRDefault="00C77682" w:rsidP="00776265">
            <w:pPr>
              <w:spacing w:after="0" w:line="240" w:lineRule="auto"/>
              <w:rPr>
                <w:rFonts w:ascii="Arial" w:eastAsia="Times New Roman" w:hAnsi="Arial" w:cs="Arial"/>
                <w:sz w:val="20"/>
                <w:szCs w:val="20"/>
              </w:rPr>
            </w:pPr>
            <w:r>
              <w:rPr>
                <w:rFonts w:ascii="Arial" w:eastAsia="Times New Roman" w:hAnsi="Arial" w:cs="Arial"/>
                <w:sz w:val="20"/>
                <w:szCs w:val="20"/>
              </w:rPr>
              <w:t>What is the tributary area to the BMP?</w:t>
            </w:r>
          </w:p>
        </w:tc>
        <w:tc>
          <w:tcPr>
            <w:tcW w:w="586" w:type="pct"/>
            <w:tcMar>
              <w:top w:w="36" w:type="dxa"/>
              <w:bottom w:w="36" w:type="dxa"/>
            </w:tcMar>
            <w:vAlign w:val="center"/>
          </w:tcPr>
          <w:p w:rsidR="00C77682" w:rsidRPr="00C77682" w:rsidRDefault="00C77682" w:rsidP="00776265">
            <w:pPr>
              <w:spacing w:after="0" w:line="240" w:lineRule="auto"/>
              <w:jc w:val="right"/>
              <w:rPr>
                <w:rFonts w:ascii="Arial" w:eastAsia="Times New Roman" w:hAnsi="Arial" w:cs="Arial"/>
                <w:sz w:val="20"/>
                <w:szCs w:val="20"/>
              </w:rPr>
            </w:pPr>
            <w:r>
              <w:rPr>
                <w:rFonts w:ascii="Arial" w:eastAsia="Times New Roman" w:hAnsi="Arial" w:cs="Arial"/>
                <w:sz w:val="20"/>
                <w:szCs w:val="20"/>
              </w:rPr>
              <w:t>A</w:t>
            </w:r>
          </w:p>
        </w:tc>
        <w:tc>
          <w:tcPr>
            <w:tcW w:w="586" w:type="pct"/>
            <w:tcMar>
              <w:top w:w="36" w:type="dxa"/>
              <w:bottom w:w="36" w:type="dxa"/>
            </w:tcMar>
            <w:vAlign w:val="center"/>
          </w:tcPr>
          <w:p w:rsidR="00C77682" w:rsidRPr="00C77682" w:rsidRDefault="00C77682" w:rsidP="00776265">
            <w:pPr>
              <w:spacing w:after="0" w:line="240" w:lineRule="auto"/>
              <w:jc w:val="center"/>
              <w:rPr>
                <w:rFonts w:ascii="Arial" w:eastAsia="Times New Roman" w:hAnsi="Arial" w:cs="Arial"/>
                <w:sz w:val="20"/>
                <w:szCs w:val="20"/>
              </w:rPr>
            </w:pPr>
          </w:p>
        </w:tc>
        <w:tc>
          <w:tcPr>
            <w:tcW w:w="586" w:type="pct"/>
            <w:tcMar>
              <w:top w:w="36" w:type="dxa"/>
              <w:bottom w:w="36" w:type="dxa"/>
            </w:tcMar>
            <w:vAlign w:val="center"/>
          </w:tcPr>
          <w:p w:rsidR="00C77682" w:rsidRPr="00C77682" w:rsidRDefault="00C77682" w:rsidP="00776265">
            <w:pPr>
              <w:spacing w:after="0" w:line="240" w:lineRule="auto"/>
              <w:rPr>
                <w:rFonts w:ascii="Arial" w:eastAsia="Times New Roman" w:hAnsi="Arial" w:cs="Arial"/>
                <w:sz w:val="20"/>
                <w:szCs w:val="20"/>
              </w:rPr>
            </w:pPr>
            <w:r>
              <w:rPr>
                <w:rFonts w:ascii="Arial" w:eastAsia="Times New Roman" w:hAnsi="Arial" w:cs="Arial"/>
                <w:sz w:val="20"/>
                <w:szCs w:val="20"/>
              </w:rPr>
              <w:t>acres</w:t>
            </w:r>
          </w:p>
        </w:tc>
      </w:tr>
      <w:tr w:rsidR="00C77682" w:rsidRPr="00C77682" w:rsidTr="00BD2C32">
        <w:trPr>
          <w:trHeight w:val="530"/>
        </w:trPr>
        <w:tc>
          <w:tcPr>
            <w:tcW w:w="244" w:type="pct"/>
            <w:shd w:val="clear" w:color="auto" w:fill="auto"/>
            <w:noWrap/>
            <w:tcMar>
              <w:top w:w="36" w:type="dxa"/>
              <w:bottom w:w="36" w:type="dxa"/>
            </w:tcMar>
            <w:vAlign w:val="center"/>
            <w:hideMark/>
          </w:tcPr>
          <w:p w:rsidR="00C77682" w:rsidRPr="00C77682" w:rsidRDefault="00C77682" w:rsidP="0077626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w:t>
            </w:r>
          </w:p>
        </w:tc>
        <w:tc>
          <w:tcPr>
            <w:tcW w:w="2997" w:type="pct"/>
            <w:shd w:val="clear" w:color="auto" w:fill="auto"/>
            <w:tcMar>
              <w:top w:w="36" w:type="dxa"/>
              <w:bottom w:w="36" w:type="dxa"/>
            </w:tcMar>
            <w:vAlign w:val="center"/>
            <w:hideMark/>
          </w:tcPr>
          <w:p w:rsidR="00C77682" w:rsidRDefault="00C77682" w:rsidP="00776265">
            <w:pPr>
              <w:spacing w:after="0" w:line="240" w:lineRule="auto"/>
              <w:rPr>
                <w:rFonts w:ascii="Arial" w:eastAsia="Times New Roman" w:hAnsi="Arial" w:cs="Arial"/>
                <w:sz w:val="20"/>
                <w:szCs w:val="20"/>
              </w:rPr>
            </w:pPr>
            <w:r>
              <w:rPr>
                <w:rFonts w:ascii="Arial" w:eastAsia="Times New Roman" w:hAnsi="Arial" w:cs="Arial"/>
                <w:sz w:val="20"/>
                <w:szCs w:val="20"/>
              </w:rPr>
              <w:t>What type of BMP is proposed?</w:t>
            </w:r>
          </w:p>
        </w:tc>
        <w:tc>
          <w:tcPr>
            <w:tcW w:w="1759" w:type="pct"/>
            <w:gridSpan w:val="3"/>
            <w:tcMar>
              <w:top w:w="36" w:type="dxa"/>
              <w:bottom w:w="36" w:type="dxa"/>
            </w:tcMar>
            <w:vAlign w:val="center"/>
          </w:tcPr>
          <w:p w:rsidR="00C77682" w:rsidRDefault="00C77682" w:rsidP="00776265">
            <w:pPr>
              <w:spacing w:after="0" w:line="240" w:lineRule="auto"/>
              <w:rPr>
                <w:rFonts w:ascii="Arial" w:eastAsia="Times New Roman" w:hAnsi="Arial" w:cs="Arial"/>
                <w:sz w:val="20"/>
                <w:szCs w:val="20"/>
              </w:rPr>
            </w:pPr>
          </w:p>
        </w:tc>
      </w:tr>
      <w:tr w:rsidR="00C77682" w:rsidRPr="00C77682" w:rsidTr="00BD2C32">
        <w:trPr>
          <w:trHeight w:val="530"/>
        </w:trPr>
        <w:tc>
          <w:tcPr>
            <w:tcW w:w="244" w:type="pct"/>
            <w:shd w:val="clear" w:color="auto" w:fill="auto"/>
            <w:noWrap/>
            <w:tcMar>
              <w:top w:w="36" w:type="dxa"/>
              <w:bottom w:w="36" w:type="dxa"/>
            </w:tcMar>
            <w:vAlign w:val="center"/>
            <w:hideMark/>
          </w:tcPr>
          <w:p w:rsidR="00C77682" w:rsidRPr="00C77682" w:rsidRDefault="00C77682" w:rsidP="0077626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4</w:t>
            </w:r>
          </w:p>
        </w:tc>
        <w:tc>
          <w:tcPr>
            <w:tcW w:w="2997" w:type="pct"/>
            <w:shd w:val="clear" w:color="auto" w:fill="auto"/>
            <w:tcMar>
              <w:top w:w="36" w:type="dxa"/>
              <w:bottom w:w="36" w:type="dxa"/>
            </w:tcMar>
            <w:vAlign w:val="center"/>
            <w:hideMark/>
          </w:tcPr>
          <w:p w:rsidR="00C77682" w:rsidRDefault="00C77682" w:rsidP="00776265">
            <w:pPr>
              <w:spacing w:after="0" w:line="240" w:lineRule="auto"/>
              <w:rPr>
                <w:rFonts w:ascii="Arial" w:eastAsia="Times New Roman" w:hAnsi="Arial" w:cs="Arial"/>
                <w:sz w:val="20"/>
                <w:szCs w:val="20"/>
              </w:rPr>
            </w:pPr>
            <w:r>
              <w:rPr>
                <w:rFonts w:ascii="Arial" w:eastAsia="Times New Roman" w:hAnsi="Arial" w:cs="Arial"/>
                <w:sz w:val="20"/>
                <w:szCs w:val="20"/>
              </w:rPr>
              <w:t>What is the infiltrating surface area of the proposed BMP?</w:t>
            </w:r>
          </w:p>
        </w:tc>
        <w:tc>
          <w:tcPr>
            <w:tcW w:w="586" w:type="pct"/>
            <w:tcMar>
              <w:top w:w="36" w:type="dxa"/>
              <w:bottom w:w="36" w:type="dxa"/>
            </w:tcMar>
            <w:vAlign w:val="center"/>
          </w:tcPr>
          <w:p w:rsidR="00C77682" w:rsidRDefault="00C77682" w:rsidP="00776265">
            <w:pPr>
              <w:spacing w:after="0" w:line="240" w:lineRule="auto"/>
              <w:jc w:val="right"/>
              <w:rPr>
                <w:rFonts w:ascii="Arial" w:eastAsia="Times New Roman" w:hAnsi="Arial" w:cs="Arial"/>
                <w:sz w:val="20"/>
                <w:szCs w:val="20"/>
              </w:rPr>
            </w:pPr>
            <w:r>
              <w:rPr>
                <w:rFonts w:ascii="Arial" w:eastAsia="Times New Roman" w:hAnsi="Arial" w:cs="Arial"/>
                <w:sz w:val="20"/>
                <w:szCs w:val="20"/>
              </w:rPr>
              <w:t>A</w:t>
            </w:r>
            <w:r w:rsidRPr="00C77682">
              <w:rPr>
                <w:rFonts w:ascii="Arial" w:eastAsia="Times New Roman" w:hAnsi="Arial" w:cs="Arial"/>
                <w:sz w:val="20"/>
                <w:szCs w:val="20"/>
                <w:vertAlign w:val="subscript"/>
              </w:rPr>
              <w:t>BMP</w:t>
            </w:r>
          </w:p>
        </w:tc>
        <w:tc>
          <w:tcPr>
            <w:tcW w:w="586" w:type="pct"/>
            <w:vAlign w:val="center"/>
          </w:tcPr>
          <w:p w:rsidR="00C77682" w:rsidRDefault="00C77682" w:rsidP="00776265">
            <w:pPr>
              <w:spacing w:after="0" w:line="240" w:lineRule="auto"/>
              <w:rPr>
                <w:rFonts w:ascii="Arial" w:eastAsia="Times New Roman" w:hAnsi="Arial" w:cs="Arial"/>
                <w:sz w:val="20"/>
                <w:szCs w:val="20"/>
              </w:rPr>
            </w:pPr>
          </w:p>
        </w:tc>
        <w:tc>
          <w:tcPr>
            <w:tcW w:w="586" w:type="pct"/>
            <w:vAlign w:val="center"/>
          </w:tcPr>
          <w:p w:rsidR="00C77682" w:rsidRDefault="00C77682" w:rsidP="00776265">
            <w:pPr>
              <w:spacing w:after="0" w:line="240" w:lineRule="auto"/>
              <w:rPr>
                <w:rFonts w:ascii="Arial" w:eastAsia="Times New Roman" w:hAnsi="Arial" w:cs="Arial"/>
                <w:sz w:val="20"/>
                <w:szCs w:val="20"/>
              </w:rPr>
            </w:pPr>
            <w:r>
              <w:rPr>
                <w:rFonts w:ascii="Arial" w:eastAsia="Times New Roman" w:hAnsi="Arial" w:cs="Arial"/>
                <w:sz w:val="20"/>
                <w:szCs w:val="20"/>
              </w:rPr>
              <w:t>sq-ft</w:t>
            </w:r>
          </w:p>
        </w:tc>
      </w:tr>
      <w:tr w:rsidR="00C77682" w:rsidRPr="00C77682" w:rsidTr="00BD2C32">
        <w:trPr>
          <w:trHeight w:val="1646"/>
        </w:trPr>
        <w:tc>
          <w:tcPr>
            <w:tcW w:w="244" w:type="pct"/>
            <w:shd w:val="clear" w:color="auto" w:fill="auto"/>
            <w:noWrap/>
            <w:tcMar>
              <w:top w:w="36" w:type="dxa"/>
              <w:bottom w:w="36" w:type="dxa"/>
            </w:tcMar>
            <w:vAlign w:val="center"/>
            <w:hideMark/>
          </w:tcPr>
          <w:p w:rsidR="00C77682" w:rsidRPr="00C77682" w:rsidRDefault="00C77682" w:rsidP="0077626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w:t>
            </w:r>
          </w:p>
        </w:tc>
        <w:tc>
          <w:tcPr>
            <w:tcW w:w="4756" w:type="pct"/>
            <w:gridSpan w:val="4"/>
            <w:shd w:val="clear" w:color="auto" w:fill="auto"/>
            <w:tcMar>
              <w:top w:w="36" w:type="dxa"/>
              <w:bottom w:w="36" w:type="dxa"/>
            </w:tcMar>
            <w:hideMark/>
          </w:tcPr>
          <w:p w:rsidR="00C77682" w:rsidRDefault="00C77682" w:rsidP="00776265">
            <w:pPr>
              <w:spacing w:after="0" w:line="240" w:lineRule="auto"/>
              <w:rPr>
                <w:rFonts w:ascii="Arial" w:eastAsia="Times New Roman" w:hAnsi="Arial" w:cs="Arial"/>
                <w:sz w:val="20"/>
                <w:szCs w:val="20"/>
              </w:rPr>
            </w:pPr>
            <w:r>
              <w:rPr>
                <w:rFonts w:ascii="Arial" w:eastAsia="Times New Roman" w:hAnsi="Arial" w:cs="Arial"/>
                <w:sz w:val="20"/>
                <w:szCs w:val="20"/>
              </w:rPr>
              <w:t>What land use activities are present in the tributary area (list all)</w:t>
            </w:r>
          </w:p>
        </w:tc>
      </w:tr>
      <w:tr w:rsidR="00C77682" w:rsidRPr="00C77682" w:rsidTr="00BD2C32">
        <w:trPr>
          <w:trHeight w:val="330"/>
        </w:trPr>
        <w:tc>
          <w:tcPr>
            <w:tcW w:w="244" w:type="pct"/>
            <w:shd w:val="clear" w:color="auto" w:fill="auto"/>
            <w:noWrap/>
            <w:tcMar>
              <w:top w:w="36" w:type="dxa"/>
              <w:bottom w:w="36" w:type="dxa"/>
            </w:tcMar>
            <w:vAlign w:val="center"/>
            <w:hideMark/>
          </w:tcPr>
          <w:p w:rsidR="00C77682" w:rsidRPr="00C77682" w:rsidRDefault="00C77682" w:rsidP="0077626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6</w:t>
            </w:r>
          </w:p>
        </w:tc>
        <w:tc>
          <w:tcPr>
            <w:tcW w:w="2997" w:type="pct"/>
            <w:shd w:val="clear" w:color="auto" w:fill="auto"/>
            <w:tcMar>
              <w:top w:w="36" w:type="dxa"/>
              <w:bottom w:w="36" w:type="dxa"/>
            </w:tcMar>
            <w:vAlign w:val="center"/>
            <w:hideMark/>
          </w:tcPr>
          <w:p w:rsidR="00C77682" w:rsidRDefault="00C77682" w:rsidP="00776265">
            <w:pPr>
              <w:spacing w:after="0" w:line="240" w:lineRule="auto"/>
              <w:rPr>
                <w:rFonts w:ascii="Arial" w:eastAsia="Times New Roman" w:hAnsi="Arial" w:cs="Arial"/>
                <w:sz w:val="20"/>
                <w:szCs w:val="20"/>
              </w:rPr>
            </w:pPr>
            <w:r>
              <w:rPr>
                <w:rFonts w:ascii="Arial" w:eastAsia="Times New Roman" w:hAnsi="Arial" w:cs="Arial"/>
                <w:sz w:val="20"/>
                <w:szCs w:val="20"/>
              </w:rPr>
              <w:t>What land use</w:t>
            </w:r>
            <w:r w:rsidR="00776265">
              <w:rPr>
                <w:rFonts w:ascii="Arial" w:eastAsia="Times New Roman" w:hAnsi="Arial" w:cs="Arial"/>
                <w:sz w:val="20"/>
                <w:szCs w:val="20"/>
              </w:rPr>
              <w:t>-based</w:t>
            </w:r>
            <w:r>
              <w:rPr>
                <w:rFonts w:ascii="Arial" w:eastAsia="Times New Roman" w:hAnsi="Arial" w:cs="Arial"/>
                <w:sz w:val="20"/>
                <w:szCs w:val="20"/>
              </w:rPr>
              <w:t xml:space="preserve"> risk category is applicable?</w:t>
            </w:r>
          </w:p>
        </w:tc>
        <w:tc>
          <w:tcPr>
            <w:tcW w:w="586" w:type="pct"/>
            <w:tcMar>
              <w:top w:w="36" w:type="dxa"/>
              <w:bottom w:w="36" w:type="dxa"/>
            </w:tcMar>
            <w:vAlign w:val="center"/>
          </w:tcPr>
          <w:p w:rsidR="00C77682" w:rsidRDefault="00C77682" w:rsidP="00776265">
            <w:pPr>
              <w:spacing w:after="0" w:line="240" w:lineRule="auto"/>
              <w:jc w:val="center"/>
              <w:rPr>
                <w:rFonts w:ascii="Arial" w:eastAsia="Times New Roman" w:hAnsi="Arial" w:cs="Arial"/>
                <w:sz w:val="20"/>
                <w:szCs w:val="20"/>
              </w:rPr>
            </w:pPr>
            <w:r>
              <w:rPr>
                <w:rFonts w:ascii="Arial" w:eastAsia="Times New Roman" w:hAnsi="Arial" w:cs="Arial"/>
                <w:sz w:val="20"/>
                <w:szCs w:val="20"/>
              </w:rPr>
              <w:t>L</w:t>
            </w:r>
          </w:p>
        </w:tc>
        <w:tc>
          <w:tcPr>
            <w:tcW w:w="586" w:type="pct"/>
            <w:vAlign w:val="center"/>
          </w:tcPr>
          <w:p w:rsidR="00C77682" w:rsidRDefault="00C77682" w:rsidP="00776265">
            <w:pPr>
              <w:spacing w:after="0" w:line="240" w:lineRule="auto"/>
              <w:jc w:val="center"/>
              <w:rPr>
                <w:rFonts w:ascii="Arial" w:eastAsia="Times New Roman" w:hAnsi="Arial" w:cs="Arial"/>
                <w:sz w:val="20"/>
                <w:szCs w:val="20"/>
              </w:rPr>
            </w:pPr>
            <w:r>
              <w:rPr>
                <w:rFonts w:ascii="Arial" w:eastAsia="Times New Roman" w:hAnsi="Arial" w:cs="Arial"/>
                <w:sz w:val="20"/>
                <w:szCs w:val="20"/>
              </w:rPr>
              <w:t>M</w:t>
            </w:r>
          </w:p>
        </w:tc>
        <w:tc>
          <w:tcPr>
            <w:tcW w:w="586" w:type="pct"/>
            <w:vAlign w:val="center"/>
          </w:tcPr>
          <w:p w:rsidR="00C77682" w:rsidRDefault="00C77682" w:rsidP="00776265">
            <w:pPr>
              <w:spacing w:after="0" w:line="240" w:lineRule="auto"/>
              <w:jc w:val="center"/>
              <w:rPr>
                <w:rFonts w:ascii="Arial" w:eastAsia="Times New Roman" w:hAnsi="Arial" w:cs="Arial"/>
                <w:sz w:val="20"/>
                <w:szCs w:val="20"/>
              </w:rPr>
            </w:pPr>
            <w:r>
              <w:rPr>
                <w:rFonts w:ascii="Arial" w:eastAsia="Times New Roman" w:hAnsi="Arial" w:cs="Arial"/>
                <w:sz w:val="20"/>
                <w:szCs w:val="20"/>
              </w:rPr>
              <w:t>H</w:t>
            </w:r>
          </w:p>
        </w:tc>
      </w:tr>
      <w:tr w:rsidR="00C77682" w:rsidRPr="00C77682" w:rsidTr="00BD2C32">
        <w:trPr>
          <w:trHeight w:val="1754"/>
        </w:trPr>
        <w:tc>
          <w:tcPr>
            <w:tcW w:w="244" w:type="pct"/>
            <w:shd w:val="clear" w:color="auto" w:fill="auto"/>
            <w:noWrap/>
            <w:tcMar>
              <w:top w:w="36" w:type="dxa"/>
              <w:bottom w:w="36" w:type="dxa"/>
            </w:tcMar>
            <w:vAlign w:val="center"/>
            <w:hideMark/>
          </w:tcPr>
          <w:p w:rsidR="00C77682" w:rsidRPr="00C77682" w:rsidRDefault="00C77682" w:rsidP="0077626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7</w:t>
            </w:r>
          </w:p>
        </w:tc>
        <w:tc>
          <w:tcPr>
            <w:tcW w:w="4756" w:type="pct"/>
            <w:gridSpan w:val="4"/>
            <w:shd w:val="clear" w:color="auto" w:fill="auto"/>
            <w:tcMar>
              <w:top w:w="36" w:type="dxa"/>
              <w:bottom w:w="36" w:type="dxa"/>
            </w:tcMar>
            <w:hideMark/>
          </w:tcPr>
          <w:p w:rsidR="00C77682" w:rsidRDefault="00C77682" w:rsidP="00BD2C32">
            <w:pPr>
              <w:spacing w:after="0" w:line="240" w:lineRule="auto"/>
              <w:rPr>
                <w:rFonts w:ascii="Arial" w:eastAsia="Times New Roman" w:hAnsi="Arial" w:cs="Arial"/>
                <w:sz w:val="20"/>
                <w:szCs w:val="20"/>
              </w:rPr>
            </w:pPr>
            <w:r>
              <w:rPr>
                <w:rFonts w:ascii="Arial" w:eastAsia="Times New Roman" w:hAnsi="Arial" w:cs="Arial"/>
                <w:sz w:val="20"/>
                <w:szCs w:val="20"/>
              </w:rPr>
              <w:t xml:space="preserve">If M or H, what pretreatment and source isolation BMPs </w:t>
            </w:r>
            <w:r w:rsidR="00BD2C32">
              <w:rPr>
                <w:rFonts w:ascii="Arial" w:eastAsia="Times New Roman" w:hAnsi="Arial" w:cs="Arial"/>
                <w:sz w:val="20"/>
                <w:szCs w:val="20"/>
              </w:rPr>
              <w:t>have been considered and are</w:t>
            </w:r>
            <w:r>
              <w:rPr>
                <w:rFonts w:ascii="Arial" w:eastAsia="Times New Roman" w:hAnsi="Arial" w:cs="Arial"/>
                <w:sz w:val="20"/>
                <w:szCs w:val="20"/>
              </w:rPr>
              <w:t xml:space="preserve"> proposed (describe all):</w:t>
            </w:r>
          </w:p>
        </w:tc>
      </w:tr>
      <w:tr w:rsidR="00C77682" w:rsidRPr="00C77682" w:rsidTr="00BD2C32">
        <w:trPr>
          <w:trHeight w:val="330"/>
        </w:trPr>
        <w:tc>
          <w:tcPr>
            <w:tcW w:w="244" w:type="pct"/>
            <w:shd w:val="clear" w:color="auto" w:fill="auto"/>
            <w:noWrap/>
            <w:tcMar>
              <w:top w:w="36" w:type="dxa"/>
              <w:bottom w:w="36" w:type="dxa"/>
            </w:tcMar>
            <w:vAlign w:val="center"/>
            <w:hideMark/>
          </w:tcPr>
          <w:p w:rsidR="00C77682" w:rsidRPr="00C77682" w:rsidRDefault="00C77682" w:rsidP="0077626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8</w:t>
            </w:r>
          </w:p>
        </w:tc>
        <w:tc>
          <w:tcPr>
            <w:tcW w:w="2997" w:type="pct"/>
            <w:shd w:val="clear" w:color="auto" w:fill="auto"/>
            <w:tcMar>
              <w:top w:w="36" w:type="dxa"/>
              <w:bottom w:w="36" w:type="dxa"/>
            </w:tcMar>
            <w:vAlign w:val="center"/>
            <w:hideMark/>
          </w:tcPr>
          <w:p w:rsidR="00C77682" w:rsidRDefault="00C77682" w:rsidP="00776265">
            <w:pPr>
              <w:spacing w:after="0" w:line="240" w:lineRule="auto"/>
              <w:rPr>
                <w:rFonts w:ascii="Arial" w:eastAsia="Times New Roman" w:hAnsi="Arial" w:cs="Arial"/>
                <w:sz w:val="20"/>
                <w:szCs w:val="20"/>
              </w:rPr>
            </w:pPr>
            <w:r>
              <w:rPr>
                <w:rFonts w:ascii="Arial" w:eastAsia="Times New Roman" w:hAnsi="Arial" w:cs="Arial"/>
                <w:sz w:val="20"/>
                <w:szCs w:val="20"/>
              </w:rPr>
              <w:t>What minimum separation to mounded seasonally high groundwater applies to the proposed BMP?</w:t>
            </w:r>
          </w:p>
          <w:p w:rsidR="00C77682" w:rsidRDefault="00C77682" w:rsidP="00776265">
            <w:pPr>
              <w:spacing w:after="0" w:line="240" w:lineRule="auto"/>
              <w:rPr>
                <w:rFonts w:ascii="Arial" w:eastAsia="Times New Roman" w:hAnsi="Arial" w:cs="Arial"/>
                <w:sz w:val="20"/>
                <w:szCs w:val="20"/>
              </w:rPr>
            </w:pPr>
            <w:r>
              <w:rPr>
                <w:rFonts w:ascii="Arial" w:eastAsia="Times New Roman" w:hAnsi="Arial" w:cs="Arial"/>
                <w:sz w:val="20"/>
                <w:szCs w:val="20"/>
              </w:rPr>
              <w:t xml:space="preserve">See Section </w:t>
            </w:r>
            <w:fldSimple w:instr=" REF _Ref285571512 \r \h  \* MERGEFORMAT ">
              <w:r w:rsidR="00126DE5" w:rsidRPr="00126DE5">
                <w:rPr>
                  <w:rFonts w:eastAsia="Times New Roman" w:cs="Arial"/>
                  <w:b/>
                  <w:color w:val="0070C0"/>
                  <w:sz w:val="20"/>
                  <w:szCs w:val="20"/>
                </w:rPr>
                <w:t>VIII.2</w:t>
              </w:r>
            </w:fldSimple>
            <w:r>
              <w:rPr>
                <w:rFonts w:ascii="Arial" w:eastAsia="Times New Roman" w:hAnsi="Arial" w:cs="Arial"/>
                <w:sz w:val="20"/>
                <w:szCs w:val="20"/>
              </w:rPr>
              <w:t xml:space="preserve"> (circle one)</w:t>
            </w:r>
          </w:p>
        </w:tc>
        <w:tc>
          <w:tcPr>
            <w:tcW w:w="1759" w:type="pct"/>
            <w:gridSpan w:val="3"/>
            <w:tcMar>
              <w:top w:w="36" w:type="dxa"/>
              <w:bottom w:w="36" w:type="dxa"/>
            </w:tcMar>
            <w:vAlign w:val="center"/>
          </w:tcPr>
          <w:p w:rsidR="00C77682" w:rsidRDefault="00C77682" w:rsidP="00776265">
            <w:pPr>
              <w:spacing w:after="0" w:line="240" w:lineRule="auto"/>
              <w:jc w:val="center"/>
              <w:rPr>
                <w:rFonts w:ascii="Arial" w:eastAsia="Times New Roman" w:hAnsi="Arial" w:cs="Arial"/>
                <w:sz w:val="20"/>
                <w:szCs w:val="20"/>
              </w:rPr>
            </w:pPr>
            <w:r>
              <w:rPr>
                <w:rFonts w:ascii="Arial" w:eastAsia="Times New Roman" w:hAnsi="Arial" w:cs="Arial"/>
                <w:sz w:val="20"/>
                <w:szCs w:val="20"/>
              </w:rPr>
              <w:t>5 ft                 10 ft</w:t>
            </w:r>
          </w:p>
        </w:tc>
      </w:tr>
      <w:tr w:rsidR="00776265" w:rsidRPr="00C77682" w:rsidTr="00BD2C32">
        <w:trPr>
          <w:trHeight w:val="1754"/>
        </w:trPr>
        <w:tc>
          <w:tcPr>
            <w:tcW w:w="244" w:type="pct"/>
            <w:shd w:val="clear" w:color="auto" w:fill="auto"/>
            <w:noWrap/>
            <w:tcMar>
              <w:top w:w="36" w:type="dxa"/>
              <w:bottom w:w="36" w:type="dxa"/>
            </w:tcMar>
            <w:vAlign w:val="center"/>
            <w:hideMark/>
          </w:tcPr>
          <w:p w:rsidR="00776265" w:rsidRPr="00C77682" w:rsidRDefault="00BD2C32" w:rsidP="0077626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9</w:t>
            </w:r>
          </w:p>
        </w:tc>
        <w:tc>
          <w:tcPr>
            <w:tcW w:w="4756" w:type="pct"/>
            <w:gridSpan w:val="4"/>
            <w:shd w:val="clear" w:color="auto" w:fill="auto"/>
            <w:tcMar>
              <w:top w:w="36" w:type="dxa"/>
              <w:bottom w:w="36" w:type="dxa"/>
            </w:tcMar>
            <w:hideMark/>
          </w:tcPr>
          <w:p w:rsidR="00776265" w:rsidRDefault="00776265" w:rsidP="00776265">
            <w:pPr>
              <w:spacing w:after="0" w:line="240" w:lineRule="auto"/>
              <w:rPr>
                <w:rFonts w:ascii="Arial" w:eastAsia="Times New Roman" w:hAnsi="Arial" w:cs="Arial"/>
                <w:sz w:val="20"/>
                <w:szCs w:val="20"/>
              </w:rPr>
            </w:pPr>
            <w:r>
              <w:rPr>
                <w:rFonts w:ascii="Arial" w:eastAsia="Times New Roman" w:hAnsi="Arial" w:cs="Arial"/>
                <w:sz w:val="20"/>
                <w:szCs w:val="20"/>
              </w:rPr>
              <w:t xml:space="preserve">Provide rationale for selection of applicable minimum separation to seasonally high mounded groundwater: </w:t>
            </w:r>
          </w:p>
        </w:tc>
      </w:tr>
      <w:tr w:rsidR="00C77682" w:rsidRPr="00C77682" w:rsidTr="00BD2C32">
        <w:trPr>
          <w:trHeight w:val="330"/>
        </w:trPr>
        <w:tc>
          <w:tcPr>
            <w:tcW w:w="244" w:type="pct"/>
            <w:shd w:val="clear" w:color="auto" w:fill="auto"/>
            <w:noWrap/>
            <w:tcMar>
              <w:top w:w="36" w:type="dxa"/>
              <w:bottom w:w="36" w:type="dxa"/>
            </w:tcMar>
            <w:vAlign w:val="center"/>
            <w:hideMark/>
          </w:tcPr>
          <w:p w:rsidR="00C77682" w:rsidRPr="00C77682" w:rsidRDefault="00BD2C32" w:rsidP="00776265">
            <w:pPr>
              <w:spacing w:after="0"/>
              <w:jc w:val="center"/>
              <w:rPr>
                <w:rFonts w:ascii="Arial" w:hAnsi="Arial" w:cs="Arial"/>
                <w:color w:val="000000"/>
                <w:sz w:val="20"/>
                <w:szCs w:val="20"/>
              </w:rPr>
            </w:pPr>
            <w:r>
              <w:rPr>
                <w:rFonts w:ascii="Arial" w:hAnsi="Arial" w:cs="Arial"/>
                <w:color w:val="000000"/>
                <w:sz w:val="20"/>
                <w:szCs w:val="20"/>
              </w:rPr>
              <w:t>10</w:t>
            </w:r>
          </w:p>
        </w:tc>
        <w:tc>
          <w:tcPr>
            <w:tcW w:w="2997" w:type="pct"/>
            <w:shd w:val="clear" w:color="auto" w:fill="auto"/>
            <w:tcMar>
              <w:top w:w="36" w:type="dxa"/>
              <w:left w:w="115" w:type="dxa"/>
              <w:bottom w:w="36" w:type="dxa"/>
              <w:right w:w="115" w:type="dxa"/>
            </w:tcMar>
            <w:vAlign w:val="center"/>
            <w:hideMark/>
          </w:tcPr>
          <w:p w:rsidR="00C77682" w:rsidRPr="00C77682" w:rsidRDefault="00C77682" w:rsidP="00776265">
            <w:pPr>
              <w:spacing w:after="0"/>
              <w:rPr>
                <w:rFonts w:ascii="Arial" w:hAnsi="Arial" w:cs="Arial"/>
                <w:color w:val="000000"/>
                <w:sz w:val="20"/>
                <w:szCs w:val="20"/>
              </w:rPr>
            </w:pPr>
            <w:r>
              <w:rPr>
                <w:rFonts w:ascii="Arial" w:hAnsi="Arial" w:cs="Arial"/>
                <w:color w:val="000000"/>
                <w:sz w:val="20"/>
                <w:szCs w:val="20"/>
              </w:rPr>
              <w:t>What is separation from the infiltrating surface to seasonally high groundwater?</w:t>
            </w:r>
          </w:p>
        </w:tc>
        <w:tc>
          <w:tcPr>
            <w:tcW w:w="586" w:type="pct"/>
            <w:tcMar>
              <w:top w:w="36" w:type="dxa"/>
              <w:bottom w:w="36" w:type="dxa"/>
            </w:tcMar>
            <w:vAlign w:val="center"/>
          </w:tcPr>
          <w:p w:rsidR="00C77682" w:rsidRPr="00C77682" w:rsidRDefault="00776265" w:rsidP="00776265">
            <w:pPr>
              <w:spacing w:after="0"/>
              <w:jc w:val="center"/>
              <w:rPr>
                <w:rFonts w:ascii="Arial" w:hAnsi="Arial" w:cs="Arial"/>
                <w:color w:val="000000"/>
                <w:sz w:val="20"/>
                <w:szCs w:val="20"/>
              </w:rPr>
            </w:pPr>
            <w:r>
              <w:rPr>
                <w:rFonts w:ascii="Arial" w:hAnsi="Arial" w:cs="Arial"/>
                <w:color w:val="000000"/>
                <w:sz w:val="20"/>
                <w:szCs w:val="20"/>
              </w:rPr>
              <w:t>SHGWT</w:t>
            </w:r>
          </w:p>
        </w:tc>
        <w:tc>
          <w:tcPr>
            <w:tcW w:w="586" w:type="pct"/>
            <w:tcMar>
              <w:top w:w="36" w:type="dxa"/>
              <w:bottom w:w="36" w:type="dxa"/>
            </w:tcMar>
            <w:vAlign w:val="center"/>
          </w:tcPr>
          <w:p w:rsidR="00C77682" w:rsidRPr="00C77682" w:rsidRDefault="00C77682" w:rsidP="00776265">
            <w:pPr>
              <w:spacing w:after="0" w:line="240" w:lineRule="auto"/>
              <w:jc w:val="center"/>
              <w:rPr>
                <w:rFonts w:ascii="Arial" w:eastAsia="Times New Roman" w:hAnsi="Arial" w:cs="Arial"/>
                <w:sz w:val="20"/>
                <w:szCs w:val="20"/>
              </w:rPr>
            </w:pPr>
          </w:p>
        </w:tc>
        <w:tc>
          <w:tcPr>
            <w:tcW w:w="586" w:type="pct"/>
            <w:tcMar>
              <w:top w:w="36" w:type="dxa"/>
              <w:bottom w:w="36" w:type="dxa"/>
            </w:tcMar>
            <w:vAlign w:val="center"/>
          </w:tcPr>
          <w:p w:rsidR="00C77682" w:rsidRPr="00C77682" w:rsidRDefault="00776265" w:rsidP="00776265">
            <w:pPr>
              <w:spacing w:after="0" w:line="240" w:lineRule="auto"/>
              <w:rPr>
                <w:rFonts w:ascii="Arial" w:eastAsia="Times New Roman" w:hAnsi="Arial" w:cs="Arial"/>
                <w:sz w:val="20"/>
                <w:szCs w:val="20"/>
              </w:rPr>
            </w:pPr>
            <w:r>
              <w:rPr>
                <w:rFonts w:ascii="Arial" w:eastAsia="Times New Roman" w:hAnsi="Arial" w:cs="Arial"/>
                <w:sz w:val="20"/>
                <w:szCs w:val="20"/>
              </w:rPr>
              <w:t>ft</w:t>
            </w:r>
          </w:p>
        </w:tc>
      </w:tr>
      <w:tr w:rsidR="00C77682" w:rsidRPr="00C77682" w:rsidTr="00BD2C32">
        <w:trPr>
          <w:trHeight w:val="330"/>
        </w:trPr>
        <w:tc>
          <w:tcPr>
            <w:tcW w:w="244" w:type="pct"/>
            <w:shd w:val="clear" w:color="auto" w:fill="auto"/>
            <w:noWrap/>
            <w:tcMar>
              <w:top w:w="36" w:type="dxa"/>
              <w:bottom w:w="36" w:type="dxa"/>
            </w:tcMar>
            <w:vAlign w:val="center"/>
            <w:hideMark/>
          </w:tcPr>
          <w:p w:rsidR="00C77682" w:rsidRPr="00C77682" w:rsidRDefault="00C77682" w:rsidP="00776265">
            <w:pPr>
              <w:spacing w:after="0"/>
              <w:jc w:val="center"/>
              <w:rPr>
                <w:rFonts w:ascii="Arial" w:hAnsi="Arial" w:cs="Arial"/>
                <w:color w:val="000000"/>
                <w:sz w:val="20"/>
                <w:szCs w:val="20"/>
              </w:rPr>
            </w:pPr>
            <w:r>
              <w:rPr>
                <w:rFonts w:ascii="Arial" w:hAnsi="Arial" w:cs="Arial"/>
                <w:color w:val="000000"/>
                <w:sz w:val="20"/>
                <w:szCs w:val="20"/>
              </w:rPr>
              <w:t>1</w:t>
            </w:r>
            <w:r w:rsidR="00BD2C32">
              <w:rPr>
                <w:rFonts w:ascii="Arial" w:hAnsi="Arial" w:cs="Arial"/>
                <w:color w:val="000000"/>
                <w:sz w:val="20"/>
                <w:szCs w:val="20"/>
              </w:rPr>
              <w:t>1</w:t>
            </w:r>
          </w:p>
        </w:tc>
        <w:tc>
          <w:tcPr>
            <w:tcW w:w="2997" w:type="pct"/>
            <w:shd w:val="clear" w:color="auto" w:fill="auto"/>
            <w:tcMar>
              <w:top w:w="36" w:type="dxa"/>
              <w:left w:w="115" w:type="dxa"/>
              <w:bottom w:w="36" w:type="dxa"/>
              <w:right w:w="115" w:type="dxa"/>
            </w:tcMar>
            <w:vAlign w:val="center"/>
            <w:hideMark/>
          </w:tcPr>
          <w:p w:rsidR="00C77682" w:rsidRDefault="00C77682" w:rsidP="00776265">
            <w:pPr>
              <w:spacing w:after="0"/>
              <w:rPr>
                <w:rFonts w:ascii="Arial" w:hAnsi="Arial" w:cs="Arial"/>
                <w:color w:val="000000"/>
                <w:sz w:val="20"/>
                <w:szCs w:val="20"/>
              </w:rPr>
            </w:pPr>
            <w:r>
              <w:rPr>
                <w:rFonts w:ascii="Arial" w:hAnsi="Arial" w:cs="Arial"/>
                <w:color w:val="000000"/>
                <w:sz w:val="20"/>
                <w:szCs w:val="20"/>
              </w:rPr>
              <w:t>What is separation from the infiltrating surface to mounded seasonally high groundwater?</w:t>
            </w:r>
          </w:p>
        </w:tc>
        <w:tc>
          <w:tcPr>
            <w:tcW w:w="586" w:type="pct"/>
            <w:tcMar>
              <w:top w:w="36" w:type="dxa"/>
              <w:bottom w:w="36" w:type="dxa"/>
            </w:tcMar>
            <w:vAlign w:val="center"/>
          </w:tcPr>
          <w:p w:rsidR="00C77682" w:rsidRPr="00C77682" w:rsidRDefault="00776265" w:rsidP="00776265">
            <w:pPr>
              <w:spacing w:after="0"/>
              <w:jc w:val="center"/>
              <w:rPr>
                <w:rFonts w:ascii="Arial" w:hAnsi="Arial" w:cs="Arial"/>
                <w:color w:val="000000"/>
                <w:sz w:val="20"/>
                <w:szCs w:val="20"/>
              </w:rPr>
            </w:pPr>
            <w:r>
              <w:rPr>
                <w:rFonts w:ascii="Arial" w:hAnsi="Arial" w:cs="Arial"/>
                <w:color w:val="000000"/>
                <w:sz w:val="20"/>
                <w:szCs w:val="20"/>
              </w:rPr>
              <w:t>Mounded SHGWT</w:t>
            </w:r>
          </w:p>
        </w:tc>
        <w:tc>
          <w:tcPr>
            <w:tcW w:w="586" w:type="pct"/>
            <w:tcMar>
              <w:top w:w="36" w:type="dxa"/>
              <w:bottom w:w="36" w:type="dxa"/>
            </w:tcMar>
            <w:vAlign w:val="center"/>
          </w:tcPr>
          <w:p w:rsidR="00C77682" w:rsidRPr="00C77682" w:rsidRDefault="00C77682" w:rsidP="00776265">
            <w:pPr>
              <w:spacing w:after="0" w:line="240" w:lineRule="auto"/>
              <w:jc w:val="center"/>
              <w:rPr>
                <w:rFonts w:ascii="Arial" w:eastAsia="Times New Roman" w:hAnsi="Arial" w:cs="Arial"/>
                <w:sz w:val="20"/>
                <w:szCs w:val="20"/>
              </w:rPr>
            </w:pPr>
          </w:p>
        </w:tc>
        <w:tc>
          <w:tcPr>
            <w:tcW w:w="586" w:type="pct"/>
            <w:tcMar>
              <w:top w:w="36" w:type="dxa"/>
              <w:bottom w:w="36" w:type="dxa"/>
            </w:tcMar>
            <w:vAlign w:val="center"/>
          </w:tcPr>
          <w:p w:rsidR="00C77682" w:rsidRPr="00C77682" w:rsidRDefault="00776265" w:rsidP="00776265">
            <w:pPr>
              <w:spacing w:after="0" w:line="240" w:lineRule="auto"/>
              <w:rPr>
                <w:rFonts w:ascii="Arial" w:eastAsia="Times New Roman" w:hAnsi="Arial" w:cs="Arial"/>
                <w:sz w:val="20"/>
                <w:szCs w:val="20"/>
              </w:rPr>
            </w:pPr>
            <w:r>
              <w:rPr>
                <w:rFonts w:ascii="Arial" w:eastAsia="Times New Roman" w:hAnsi="Arial" w:cs="Arial"/>
                <w:sz w:val="20"/>
                <w:szCs w:val="20"/>
              </w:rPr>
              <w:t>ft</w:t>
            </w:r>
          </w:p>
        </w:tc>
      </w:tr>
      <w:tr w:rsidR="00C77682" w:rsidRPr="00C77682" w:rsidTr="00BD2C32">
        <w:trPr>
          <w:trHeight w:val="1763"/>
        </w:trPr>
        <w:tc>
          <w:tcPr>
            <w:tcW w:w="244" w:type="pct"/>
            <w:shd w:val="clear" w:color="auto" w:fill="auto"/>
            <w:noWrap/>
            <w:tcMar>
              <w:top w:w="36" w:type="dxa"/>
              <w:bottom w:w="36" w:type="dxa"/>
            </w:tcMar>
            <w:vAlign w:val="center"/>
            <w:hideMark/>
          </w:tcPr>
          <w:p w:rsidR="00C77682" w:rsidRPr="00C77682" w:rsidRDefault="00BD2C32" w:rsidP="0077626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12</w:t>
            </w:r>
          </w:p>
        </w:tc>
        <w:tc>
          <w:tcPr>
            <w:tcW w:w="4756" w:type="pct"/>
            <w:gridSpan w:val="4"/>
            <w:shd w:val="clear" w:color="auto" w:fill="auto"/>
            <w:tcMar>
              <w:top w:w="36" w:type="dxa"/>
              <w:bottom w:w="36" w:type="dxa"/>
            </w:tcMar>
            <w:hideMark/>
          </w:tcPr>
          <w:p w:rsidR="00C77682" w:rsidRDefault="00C77682" w:rsidP="00776265">
            <w:pPr>
              <w:spacing w:after="0" w:line="240" w:lineRule="auto"/>
              <w:rPr>
                <w:rFonts w:ascii="Arial" w:eastAsia="Times New Roman" w:hAnsi="Arial" w:cs="Arial"/>
                <w:sz w:val="20"/>
                <w:szCs w:val="20"/>
              </w:rPr>
            </w:pPr>
            <w:r>
              <w:rPr>
                <w:rFonts w:ascii="Arial" w:eastAsia="Times New Roman" w:hAnsi="Arial" w:cs="Arial"/>
                <w:sz w:val="20"/>
                <w:szCs w:val="20"/>
              </w:rPr>
              <w:t>Describe assumptions and methods used for mounding analysis:</w:t>
            </w:r>
          </w:p>
        </w:tc>
      </w:tr>
      <w:tr w:rsidR="00C77682" w:rsidRPr="00C77682" w:rsidTr="00BD2C32">
        <w:trPr>
          <w:trHeight w:val="330"/>
        </w:trPr>
        <w:tc>
          <w:tcPr>
            <w:tcW w:w="244" w:type="pct"/>
            <w:shd w:val="clear" w:color="auto" w:fill="auto"/>
            <w:noWrap/>
            <w:tcMar>
              <w:top w:w="36" w:type="dxa"/>
              <w:bottom w:w="36" w:type="dxa"/>
            </w:tcMar>
            <w:vAlign w:val="center"/>
            <w:hideMark/>
          </w:tcPr>
          <w:p w:rsidR="00C77682" w:rsidRDefault="00BD2C32" w:rsidP="00BD2C32">
            <w:pPr>
              <w:spacing w:after="0"/>
              <w:jc w:val="center"/>
              <w:rPr>
                <w:rFonts w:ascii="Arial" w:hAnsi="Arial" w:cs="Arial"/>
                <w:color w:val="000000"/>
                <w:sz w:val="20"/>
                <w:szCs w:val="20"/>
              </w:rPr>
            </w:pPr>
            <w:r>
              <w:rPr>
                <w:rFonts w:ascii="Arial" w:hAnsi="Arial" w:cs="Arial"/>
                <w:color w:val="000000"/>
                <w:sz w:val="20"/>
                <w:szCs w:val="20"/>
              </w:rPr>
              <w:t>13</w:t>
            </w:r>
          </w:p>
        </w:tc>
        <w:tc>
          <w:tcPr>
            <w:tcW w:w="2997" w:type="pct"/>
            <w:shd w:val="clear" w:color="auto" w:fill="auto"/>
            <w:tcMar>
              <w:top w:w="36" w:type="dxa"/>
              <w:left w:w="115" w:type="dxa"/>
              <w:bottom w:w="36" w:type="dxa"/>
              <w:right w:w="115" w:type="dxa"/>
            </w:tcMar>
            <w:vAlign w:val="center"/>
            <w:hideMark/>
          </w:tcPr>
          <w:p w:rsidR="00C77682" w:rsidRPr="00C77682" w:rsidRDefault="00C77682" w:rsidP="00BD2C32">
            <w:pPr>
              <w:spacing w:after="0"/>
              <w:rPr>
                <w:rFonts w:ascii="Arial" w:hAnsi="Arial" w:cs="Arial"/>
                <w:color w:val="000000"/>
                <w:sz w:val="20"/>
                <w:szCs w:val="20"/>
              </w:rPr>
            </w:pPr>
            <w:r w:rsidRPr="00C77682">
              <w:rPr>
                <w:rFonts w:ascii="Arial" w:hAnsi="Arial" w:cs="Arial"/>
                <w:color w:val="000000"/>
                <w:sz w:val="20"/>
                <w:szCs w:val="20"/>
              </w:rPr>
              <w:t xml:space="preserve">Is the site within a plume protection boundary (See </w:t>
            </w:r>
            <w:fldSimple w:instr=" REF _Ref285384324 \h  \* MERGEFORMAT ">
              <w:r w:rsidR="00126DE5" w:rsidRPr="00126DE5">
                <w:rPr>
                  <w:rFonts w:cs="Arial"/>
                  <w:b/>
                  <w:color w:val="0070C0"/>
                  <w:sz w:val="20"/>
                  <w:szCs w:val="20"/>
                </w:rPr>
                <w:t xml:space="preserve">Figure </w:t>
              </w:r>
              <w:r w:rsidR="00126DE5" w:rsidRPr="00126DE5">
                <w:rPr>
                  <w:rFonts w:cs="Arial"/>
                  <w:b/>
                  <w:noProof/>
                  <w:color w:val="0070C0"/>
                  <w:sz w:val="20"/>
                  <w:szCs w:val="20"/>
                </w:rPr>
                <w:t>VIII</w:t>
              </w:r>
              <w:r w:rsidR="00126DE5" w:rsidRPr="00126DE5">
                <w:rPr>
                  <w:rFonts w:cs="Arial"/>
                  <w:b/>
                  <w:color w:val="0070C0"/>
                  <w:sz w:val="20"/>
                  <w:szCs w:val="20"/>
                </w:rPr>
                <w:t>.2</w:t>
              </w:r>
            </w:fldSimple>
            <w:r w:rsidRPr="00776265">
              <w:rPr>
                <w:rFonts w:ascii="Arial" w:hAnsi="Arial" w:cs="Arial"/>
                <w:sz w:val="20"/>
                <w:szCs w:val="20"/>
              </w:rPr>
              <w:t>)?</w:t>
            </w:r>
          </w:p>
        </w:tc>
        <w:tc>
          <w:tcPr>
            <w:tcW w:w="1759" w:type="pct"/>
            <w:gridSpan w:val="3"/>
            <w:tcMar>
              <w:top w:w="36" w:type="dxa"/>
              <w:bottom w:w="36" w:type="dxa"/>
            </w:tcMar>
            <w:vAlign w:val="center"/>
          </w:tcPr>
          <w:p w:rsidR="00C77682" w:rsidRPr="00C77682" w:rsidRDefault="00C77682" w:rsidP="00776265">
            <w:pPr>
              <w:spacing w:after="0" w:line="240" w:lineRule="auto"/>
              <w:jc w:val="center"/>
              <w:rPr>
                <w:rFonts w:ascii="Arial" w:eastAsia="Times New Roman" w:hAnsi="Arial" w:cs="Arial"/>
                <w:sz w:val="20"/>
                <w:szCs w:val="20"/>
              </w:rPr>
            </w:pPr>
            <w:r>
              <w:rPr>
                <w:rFonts w:ascii="Arial" w:eastAsia="Times New Roman" w:hAnsi="Arial" w:cs="Arial"/>
                <w:sz w:val="20"/>
                <w:szCs w:val="20"/>
              </w:rPr>
              <w:t xml:space="preserve">Y    </w:t>
            </w:r>
            <w:r w:rsidR="00776265">
              <w:rPr>
                <w:rFonts w:ascii="Arial" w:eastAsia="Times New Roman" w:hAnsi="Arial" w:cs="Arial"/>
                <w:sz w:val="20"/>
                <w:szCs w:val="20"/>
              </w:rPr>
              <w:t xml:space="preserve"> </w:t>
            </w:r>
            <w:r>
              <w:rPr>
                <w:rFonts w:ascii="Arial" w:eastAsia="Times New Roman" w:hAnsi="Arial" w:cs="Arial"/>
                <w:sz w:val="20"/>
                <w:szCs w:val="20"/>
              </w:rPr>
              <w:t xml:space="preserve">      N</w:t>
            </w:r>
            <w:r w:rsidR="00776265">
              <w:rPr>
                <w:rFonts w:ascii="Arial" w:eastAsia="Times New Roman" w:hAnsi="Arial" w:cs="Arial"/>
                <w:sz w:val="20"/>
                <w:szCs w:val="20"/>
              </w:rPr>
              <w:t xml:space="preserve">          N/A</w:t>
            </w:r>
          </w:p>
        </w:tc>
      </w:tr>
      <w:tr w:rsidR="00BD2C32" w:rsidRPr="00C77682" w:rsidTr="00BD2C32">
        <w:trPr>
          <w:trHeight w:val="330"/>
        </w:trPr>
        <w:tc>
          <w:tcPr>
            <w:tcW w:w="244" w:type="pct"/>
            <w:shd w:val="clear" w:color="auto" w:fill="auto"/>
            <w:noWrap/>
            <w:tcMar>
              <w:top w:w="36" w:type="dxa"/>
              <w:bottom w:w="36" w:type="dxa"/>
            </w:tcMar>
            <w:vAlign w:val="center"/>
            <w:hideMark/>
          </w:tcPr>
          <w:p w:rsidR="00BD2C32" w:rsidRDefault="00BD2C32" w:rsidP="00BD2C32">
            <w:pPr>
              <w:spacing w:after="0"/>
              <w:jc w:val="center"/>
              <w:rPr>
                <w:rFonts w:ascii="Arial" w:hAnsi="Arial" w:cs="Arial"/>
                <w:color w:val="000000"/>
                <w:sz w:val="20"/>
                <w:szCs w:val="20"/>
              </w:rPr>
            </w:pPr>
            <w:r>
              <w:rPr>
                <w:rFonts w:ascii="Arial" w:hAnsi="Arial" w:cs="Arial"/>
                <w:color w:val="000000"/>
                <w:sz w:val="20"/>
                <w:szCs w:val="20"/>
              </w:rPr>
              <w:t>14</w:t>
            </w:r>
          </w:p>
        </w:tc>
        <w:tc>
          <w:tcPr>
            <w:tcW w:w="2997" w:type="pct"/>
            <w:shd w:val="clear" w:color="auto" w:fill="auto"/>
            <w:tcMar>
              <w:top w:w="36" w:type="dxa"/>
              <w:left w:w="115" w:type="dxa"/>
              <w:bottom w:w="36" w:type="dxa"/>
              <w:right w:w="115" w:type="dxa"/>
            </w:tcMar>
            <w:vAlign w:val="center"/>
            <w:hideMark/>
          </w:tcPr>
          <w:p w:rsidR="00BD2C32" w:rsidRPr="00C77682" w:rsidRDefault="00BD2C32" w:rsidP="00BD2C32">
            <w:pPr>
              <w:spacing w:after="0"/>
              <w:rPr>
                <w:rFonts w:ascii="Arial" w:hAnsi="Arial" w:cs="Arial"/>
                <w:color w:val="000000"/>
                <w:sz w:val="20"/>
                <w:szCs w:val="20"/>
              </w:rPr>
            </w:pPr>
            <w:r w:rsidRPr="00C77682">
              <w:rPr>
                <w:rFonts w:ascii="Arial" w:hAnsi="Arial" w:cs="Arial"/>
                <w:color w:val="000000"/>
                <w:sz w:val="20"/>
                <w:szCs w:val="20"/>
              </w:rPr>
              <w:t xml:space="preserve">Is the site within </w:t>
            </w:r>
            <w:r>
              <w:rPr>
                <w:rFonts w:ascii="Arial" w:hAnsi="Arial" w:cs="Arial"/>
                <w:color w:val="000000"/>
                <w:sz w:val="20"/>
                <w:szCs w:val="20"/>
              </w:rPr>
              <w:t>a selenium source area or other natural plume area</w:t>
            </w:r>
            <w:r w:rsidRPr="00C77682">
              <w:rPr>
                <w:rFonts w:ascii="Arial" w:hAnsi="Arial" w:cs="Arial"/>
                <w:color w:val="000000"/>
                <w:sz w:val="20"/>
                <w:szCs w:val="20"/>
              </w:rPr>
              <w:t xml:space="preserve"> (See </w:t>
            </w:r>
            <w:fldSimple w:instr=" REF _Ref285384324 \h  \* MERGEFORMAT ">
              <w:r w:rsidR="00126DE5" w:rsidRPr="00126DE5">
                <w:rPr>
                  <w:rFonts w:cs="Arial"/>
                  <w:b/>
                  <w:color w:val="0070C0"/>
                  <w:sz w:val="20"/>
                  <w:szCs w:val="20"/>
                </w:rPr>
                <w:t xml:space="preserve">Figure </w:t>
              </w:r>
              <w:r w:rsidR="00126DE5" w:rsidRPr="00126DE5">
                <w:rPr>
                  <w:rFonts w:cs="Arial"/>
                  <w:b/>
                  <w:noProof/>
                  <w:color w:val="0070C0"/>
                  <w:sz w:val="20"/>
                  <w:szCs w:val="20"/>
                </w:rPr>
                <w:t>VIII</w:t>
              </w:r>
              <w:r w:rsidR="00126DE5" w:rsidRPr="00126DE5">
                <w:rPr>
                  <w:rFonts w:cs="Arial"/>
                  <w:b/>
                  <w:color w:val="0070C0"/>
                  <w:sz w:val="20"/>
                  <w:szCs w:val="20"/>
                </w:rPr>
                <w:t>.2</w:t>
              </w:r>
            </w:fldSimple>
            <w:r w:rsidRPr="00776265">
              <w:rPr>
                <w:rFonts w:ascii="Arial" w:hAnsi="Arial" w:cs="Arial"/>
                <w:sz w:val="20"/>
                <w:szCs w:val="20"/>
              </w:rPr>
              <w:t>)?</w:t>
            </w:r>
          </w:p>
        </w:tc>
        <w:tc>
          <w:tcPr>
            <w:tcW w:w="1759" w:type="pct"/>
            <w:gridSpan w:val="3"/>
            <w:tcMar>
              <w:top w:w="36" w:type="dxa"/>
              <w:bottom w:w="36" w:type="dxa"/>
            </w:tcMar>
            <w:vAlign w:val="center"/>
          </w:tcPr>
          <w:p w:rsidR="00BD2C32" w:rsidRDefault="00BD2C32" w:rsidP="00776265">
            <w:pPr>
              <w:spacing w:after="0" w:line="240" w:lineRule="auto"/>
              <w:jc w:val="center"/>
              <w:rPr>
                <w:rFonts w:ascii="Arial" w:eastAsia="Times New Roman" w:hAnsi="Arial" w:cs="Arial"/>
                <w:sz w:val="20"/>
                <w:szCs w:val="20"/>
              </w:rPr>
            </w:pPr>
            <w:r>
              <w:rPr>
                <w:rFonts w:ascii="Arial" w:eastAsia="Times New Roman" w:hAnsi="Arial" w:cs="Arial"/>
                <w:sz w:val="20"/>
                <w:szCs w:val="20"/>
              </w:rPr>
              <w:t>Y           N          N/A</w:t>
            </w:r>
          </w:p>
        </w:tc>
      </w:tr>
      <w:tr w:rsidR="00BD2C32" w:rsidRPr="00C77682" w:rsidTr="00BD2C32">
        <w:trPr>
          <w:trHeight w:val="330"/>
        </w:trPr>
        <w:tc>
          <w:tcPr>
            <w:tcW w:w="244" w:type="pct"/>
            <w:shd w:val="clear" w:color="auto" w:fill="auto"/>
            <w:noWrap/>
            <w:tcMar>
              <w:top w:w="36" w:type="dxa"/>
              <w:bottom w:w="36" w:type="dxa"/>
            </w:tcMar>
            <w:vAlign w:val="center"/>
            <w:hideMark/>
          </w:tcPr>
          <w:p w:rsidR="00BD2C32" w:rsidRDefault="00BD2C32" w:rsidP="00BD2C32">
            <w:pPr>
              <w:spacing w:after="0"/>
              <w:jc w:val="center"/>
              <w:rPr>
                <w:rFonts w:ascii="Arial" w:hAnsi="Arial" w:cs="Arial"/>
                <w:color w:val="000000"/>
                <w:sz w:val="20"/>
                <w:szCs w:val="20"/>
              </w:rPr>
            </w:pPr>
            <w:r>
              <w:rPr>
                <w:rFonts w:ascii="Arial" w:hAnsi="Arial" w:cs="Arial"/>
                <w:color w:val="000000"/>
                <w:sz w:val="20"/>
                <w:szCs w:val="20"/>
              </w:rPr>
              <w:t>15</w:t>
            </w:r>
          </w:p>
        </w:tc>
        <w:tc>
          <w:tcPr>
            <w:tcW w:w="2997" w:type="pct"/>
            <w:shd w:val="clear" w:color="auto" w:fill="auto"/>
            <w:tcMar>
              <w:top w:w="36" w:type="dxa"/>
              <w:left w:w="115" w:type="dxa"/>
              <w:bottom w:w="36" w:type="dxa"/>
              <w:right w:w="115" w:type="dxa"/>
            </w:tcMar>
            <w:vAlign w:val="center"/>
            <w:hideMark/>
          </w:tcPr>
          <w:p w:rsidR="00BD2C32" w:rsidRPr="00BD2C32" w:rsidRDefault="00BD2C32" w:rsidP="00BD2C32">
            <w:pPr>
              <w:spacing w:after="0"/>
              <w:rPr>
                <w:rFonts w:ascii="Arial" w:hAnsi="Arial" w:cs="Arial"/>
                <w:sz w:val="20"/>
                <w:szCs w:val="20"/>
              </w:rPr>
            </w:pPr>
            <w:r w:rsidRPr="00C77682">
              <w:rPr>
                <w:rFonts w:ascii="Arial" w:hAnsi="Arial" w:cs="Arial"/>
                <w:color w:val="000000"/>
                <w:sz w:val="20"/>
                <w:szCs w:val="20"/>
              </w:rPr>
              <w:t xml:space="preserve">Is the site </w:t>
            </w:r>
            <w:r w:rsidRPr="00776265">
              <w:rPr>
                <w:rFonts w:ascii="Arial" w:hAnsi="Arial" w:cs="Arial"/>
                <w:sz w:val="20"/>
                <w:szCs w:val="20"/>
              </w:rPr>
              <w:t>within 250 feet of a contaminated site?</w:t>
            </w:r>
          </w:p>
        </w:tc>
        <w:tc>
          <w:tcPr>
            <w:tcW w:w="1759" w:type="pct"/>
            <w:gridSpan w:val="3"/>
            <w:tcMar>
              <w:top w:w="36" w:type="dxa"/>
              <w:bottom w:w="36" w:type="dxa"/>
            </w:tcMar>
            <w:vAlign w:val="center"/>
          </w:tcPr>
          <w:p w:rsidR="00BD2C32" w:rsidRDefault="00BD2C32" w:rsidP="00776265">
            <w:pPr>
              <w:spacing w:after="0" w:line="240" w:lineRule="auto"/>
              <w:jc w:val="center"/>
              <w:rPr>
                <w:rFonts w:ascii="Arial" w:eastAsia="Times New Roman" w:hAnsi="Arial" w:cs="Arial"/>
                <w:sz w:val="20"/>
                <w:szCs w:val="20"/>
              </w:rPr>
            </w:pPr>
            <w:r>
              <w:rPr>
                <w:rFonts w:ascii="Arial" w:eastAsia="Times New Roman" w:hAnsi="Arial" w:cs="Arial"/>
                <w:sz w:val="20"/>
                <w:szCs w:val="20"/>
              </w:rPr>
              <w:t>Y           N          N/A</w:t>
            </w:r>
          </w:p>
        </w:tc>
      </w:tr>
      <w:tr w:rsidR="00BD2C32" w:rsidRPr="00C77682" w:rsidTr="00BD2C32">
        <w:trPr>
          <w:trHeight w:val="1952"/>
        </w:trPr>
        <w:tc>
          <w:tcPr>
            <w:tcW w:w="244" w:type="pct"/>
            <w:shd w:val="clear" w:color="auto" w:fill="auto"/>
            <w:noWrap/>
            <w:tcMar>
              <w:top w:w="36" w:type="dxa"/>
              <w:bottom w:w="36" w:type="dxa"/>
            </w:tcMar>
            <w:vAlign w:val="center"/>
            <w:hideMark/>
          </w:tcPr>
          <w:p w:rsidR="00BD2C32" w:rsidRDefault="00BD2C32" w:rsidP="00BD2C32">
            <w:pPr>
              <w:spacing w:after="0"/>
              <w:jc w:val="center"/>
              <w:rPr>
                <w:rFonts w:ascii="Arial" w:hAnsi="Arial" w:cs="Arial"/>
                <w:color w:val="000000"/>
                <w:sz w:val="20"/>
                <w:szCs w:val="20"/>
              </w:rPr>
            </w:pPr>
            <w:r>
              <w:rPr>
                <w:rFonts w:ascii="Arial" w:hAnsi="Arial" w:cs="Arial"/>
                <w:color w:val="000000"/>
                <w:sz w:val="20"/>
                <w:szCs w:val="20"/>
              </w:rPr>
              <w:t>16</w:t>
            </w:r>
          </w:p>
        </w:tc>
        <w:tc>
          <w:tcPr>
            <w:tcW w:w="4756" w:type="pct"/>
            <w:gridSpan w:val="4"/>
            <w:shd w:val="clear" w:color="auto" w:fill="auto"/>
            <w:tcMar>
              <w:top w:w="36" w:type="dxa"/>
              <w:left w:w="115" w:type="dxa"/>
              <w:bottom w:w="36" w:type="dxa"/>
              <w:right w:w="115" w:type="dxa"/>
            </w:tcMar>
            <w:hideMark/>
          </w:tcPr>
          <w:p w:rsidR="00BD2C32" w:rsidRDefault="00BD2C32" w:rsidP="00BD2C32">
            <w:pPr>
              <w:spacing w:after="0" w:line="240" w:lineRule="auto"/>
              <w:rPr>
                <w:rFonts w:ascii="Arial" w:eastAsia="Times New Roman" w:hAnsi="Arial" w:cs="Arial"/>
                <w:sz w:val="20"/>
                <w:szCs w:val="20"/>
              </w:rPr>
            </w:pPr>
            <w:r>
              <w:rPr>
                <w:rFonts w:ascii="Arial" w:hAnsi="Arial" w:cs="Arial"/>
                <w:color w:val="000000"/>
                <w:sz w:val="20"/>
                <w:szCs w:val="20"/>
              </w:rPr>
              <w:t>If site-specific study has been prepared, provide citation and briefly summarize relevant findings:</w:t>
            </w:r>
          </w:p>
        </w:tc>
      </w:tr>
      <w:tr w:rsidR="00BD2C32" w:rsidRPr="00C77682" w:rsidTr="00BD2C32">
        <w:trPr>
          <w:trHeight w:val="330"/>
        </w:trPr>
        <w:tc>
          <w:tcPr>
            <w:tcW w:w="244" w:type="pct"/>
            <w:shd w:val="clear" w:color="auto" w:fill="auto"/>
            <w:noWrap/>
            <w:tcMar>
              <w:top w:w="36" w:type="dxa"/>
              <w:bottom w:w="36" w:type="dxa"/>
            </w:tcMar>
            <w:vAlign w:val="center"/>
            <w:hideMark/>
          </w:tcPr>
          <w:p w:rsidR="00BD2C32" w:rsidRDefault="00BD2C32" w:rsidP="00BD2C32">
            <w:pPr>
              <w:spacing w:after="0"/>
              <w:jc w:val="center"/>
              <w:rPr>
                <w:rFonts w:ascii="Arial" w:hAnsi="Arial" w:cs="Arial"/>
                <w:color w:val="000000"/>
                <w:sz w:val="20"/>
                <w:szCs w:val="20"/>
              </w:rPr>
            </w:pPr>
            <w:r>
              <w:rPr>
                <w:rFonts w:ascii="Arial" w:hAnsi="Arial" w:cs="Arial"/>
                <w:color w:val="000000"/>
                <w:sz w:val="20"/>
                <w:szCs w:val="20"/>
              </w:rPr>
              <w:t>17</w:t>
            </w:r>
          </w:p>
        </w:tc>
        <w:tc>
          <w:tcPr>
            <w:tcW w:w="2997" w:type="pct"/>
            <w:shd w:val="clear" w:color="auto" w:fill="auto"/>
            <w:tcMar>
              <w:top w:w="36" w:type="dxa"/>
              <w:left w:w="115" w:type="dxa"/>
              <w:bottom w:w="36" w:type="dxa"/>
              <w:right w:w="115" w:type="dxa"/>
            </w:tcMar>
            <w:vAlign w:val="center"/>
            <w:hideMark/>
          </w:tcPr>
          <w:p w:rsidR="00907794" w:rsidRDefault="00BD2C32">
            <w:pPr>
              <w:spacing w:after="0"/>
              <w:rPr>
                <w:rFonts w:ascii="Arial" w:hAnsi="Arial" w:cs="Arial"/>
                <w:color w:val="000000"/>
                <w:sz w:val="20"/>
                <w:szCs w:val="20"/>
              </w:rPr>
            </w:pPr>
            <w:r w:rsidRPr="00C77682">
              <w:rPr>
                <w:rFonts w:ascii="Arial" w:hAnsi="Arial" w:cs="Arial"/>
                <w:color w:val="000000"/>
                <w:sz w:val="20"/>
                <w:szCs w:val="20"/>
              </w:rPr>
              <w:t xml:space="preserve">Is the site within </w:t>
            </w:r>
            <w:r>
              <w:rPr>
                <w:rFonts w:ascii="Arial" w:hAnsi="Arial" w:cs="Arial"/>
                <w:color w:val="000000"/>
                <w:sz w:val="20"/>
                <w:szCs w:val="20"/>
              </w:rPr>
              <w:t>100 feet of a water supply well, spring, septic system</w:t>
            </w:r>
            <w:r w:rsidRPr="00776265">
              <w:rPr>
                <w:rFonts w:ascii="Arial" w:hAnsi="Arial" w:cs="Arial"/>
                <w:sz w:val="20"/>
                <w:szCs w:val="20"/>
              </w:rPr>
              <w:t>?</w:t>
            </w:r>
          </w:p>
        </w:tc>
        <w:tc>
          <w:tcPr>
            <w:tcW w:w="1759" w:type="pct"/>
            <w:gridSpan w:val="3"/>
            <w:tcMar>
              <w:top w:w="36" w:type="dxa"/>
              <w:bottom w:w="36" w:type="dxa"/>
            </w:tcMar>
            <w:vAlign w:val="center"/>
          </w:tcPr>
          <w:p w:rsidR="00BD2C32" w:rsidRPr="00C77682" w:rsidRDefault="00BD2C32" w:rsidP="00776265">
            <w:pPr>
              <w:spacing w:after="0" w:line="240" w:lineRule="auto"/>
              <w:jc w:val="center"/>
              <w:rPr>
                <w:rFonts w:ascii="Arial" w:eastAsia="Times New Roman" w:hAnsi="Arial" w:cs="Arial"/>
                <w:sz w:val="20"/>
                <w:szCs w:val="20"/>
              </w:rPr>
            </w:pPr>
            <w:r>
              <w:rPr>
                <w:rFonts w:ascii="Arial" w:eastAsia="Times New Roman" w:hAnsi="Arial" w:cs="Arial"/>
                <w:sz w:val="20"/>
                <w:szCs w:val="20"/>
              </w:rPr>
              <w:t>Y           N          N/A</w:t>
            </w:r>
          </w:p>
        </w:tc>
      </w:tr>
      <w:tr w:rsidR="00BD2C32" w:rsidRPr="00C77682" w:rsidTr="00BD2C32">
        <w:trPr>
          <w:trHeight w:val="330"/>
        </w:trPr>
        <w:tc>
          <w:tcPr>
            <w:tcW w:w="244" w:type="pct"/>
            <w:shd w:val="clear" w:color="auto" w:fill="auto"/>
            <w:noWrap/>
            <w:tcMar>
              <w:top w:w="36" w:type="dxa"/>
              <w:bottom w:w="36" w:type="dxa"/>
            </w:tcMar>
            <w:vAlign w:val="center"/>
            <w:hideMark/>
          </w:tcPr>
          <w:p w:rsidR="00BD2C32" w:rsidRPr="00C77682" w:rsidRDefault="00BD2C32" w:rsidP="00BD2C32">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18</w:t>
            </w:r>
          </w:p>
        </w:tc>
        <w:tc>
          <w:tcPr>
            <w:tcW w:w="2997" w:type="pct"/>
            <w:shd w:val="clear" w:color="auto" w:fill="auto"/>
            <w:tcMar>
              <w:top w:w="36" w:type="dxa"/>
              <w:bottom w:w="36" w:type="dxa"/>
            </w:tcMar>
            <w:vAlign w:val="center"/>
            <w:hideMark/>
          </w:tcPr>
          <w:p w:rsidR="00BD2C32" w:rsidRPr="00C77682" w:rsidRDefault="00BD2C32" w:rsidP="00776265">
            <w:pPr>
              <w:spacing w:after="0" w:line="240" w:lineRule="auto"/>
              <w:rPr>
                <w:rFonts w:ascii="Arial" w:eastAsia="Times New Roman" w:hAnsi="Arial" w:cs="Arial"/>
                <w:sz w:val="20"/>
                <w:szCs w:val="20"/>
              </w:rPr>
            </w:pPr>
            <w:r>
              <w:rPr>
                <w:rFonts w:ascii="Arial" w:eastAsia="Times New Roman" w:hAnsi="Arial" w:cs="Arial"/>
                <w:sz w:val="20"/>
                <w:szCs w:val="20"/>
              </w:rPr>
              <w:t>Is infiltration feasible on the site relative to groundwater-related criteria?</w:t>
            </w:r>
          </w:p>
        </w:tc>
        <w:tc>
          <w:tcPr>
            <w:tcW w:w="1759" w:type="pct"/>
            <w:gridSpan w:val="3"/>
            <w:tcMar>
              <w:top w:w="36" w:type="dxa"/>
              <w:bottom w:w="36" w:type="dxa"/>
            </w:tcMar>
            <w:vAlign w:val="center"/>
          </w:tcPr>
          <w:p w:rsidR="00BD2C32" w:rsidRPr="00C77682" w:rsidRDefault="00BD2C32" w:rsidP="00776265">
            <w:pPr>
              <w:spacing w:after="0" w:line="240" w:lineRule="auto"/>
              <w:jc w:val="center"/>
              <w:rPr>
                <w:rFonts w:ascii="Arial" w:eastAsia="Times New Roman" w:hAnsi="Arial" w:cs="Arial"/>
                <w:sz w:val="20"/>
                <w:szCs w:val="20"/>
              </w:rPr>
            </w:pPr>
            <w:r>
              <w:rPr>
                <w:rFonts w:ascii="Arial" w:eastAsia="Times New Roman" w:hAnsi="Arial" w:cs="Arial"/>
                <w:sz w:val="20"/>
                <w:szCs w:val="20"/>
              </w:rPr>
              <w:t>Y           N</w:t>
            </w:r>
          </w:p>
        </w:tc>
      </w:tr>
      <w:tr w:rsidR="00BD2C32" w:rsidRPr="00C77682" w:rsidTr="00BD2C32">
        <w:trPr>
          <w:trHeight w:val="3860"/>
        </w:trPr>
        <w:tc>
          <w:tcPr>
            <w:tcW w:w="5000" w:type="pct"/>
            <w:gridSpan w:val="5"/>
            <w:shd w:val="clear" w:color="auto" w:fill="auto"/>
            <w:noWrap/>
            <w:tcMar>
              <w:top w:w="36" w:type="dxa"/>
              <w:bottom w:w="36" w:type="dxa"/>
            </w:tcMar>
            <w:hideMark/>
          </w:tcPr>
          <w:p w:rsidR="00BD2C32" w:rsidRPr="00C77682" w:rsidRDefault="00BD2C32" w:rsidP="00776265">
            <w:pPr>
              <w:spacing w:after="0" w:line="240" w:lineRule="auto"/>
              <w:rPr>
                <w:rFonts w:ascii="Arial" w:eastAsia="Times New Roman" w:hAnsi="Arial" w:cs="Arial"/>
                <w:sz w:val="20"/>
                <w:szCs w:val="20"/>
              </w:rPr>
            </w:pPr>
            <w:r>
              <w:rPr>
                <w:rFonts w:ascii="Arial" w:eastAsia="Times New Roman" w:hAnsi="Arial" w:cs="Arial"/>
                <w:sz w:val="20"/>
                <w:szCs w:val="20"/>
              </w:rPr>
              <w:t>Provide rationale for feasibility determination:</w:t>
            </w:r>
          </w:p>
        </w:tc>
      </w:tr>
    </w:tbl>
    <w:p w:rsidR="009565DB" w:rsidRDefault="00BD2C32" w:rsidP="005411C8">
      <w:pPr>
        <w:pStyle w:val="CDMBTEXT"/>
      </w:pPr>
      <w:r>
        <w:t xml:space="preserve">Note: if a single criterion or group of </w:t>
      </w:r>
      <w:r w:rsidR="00DC6D1E">
        <w:t xml:space="preserve">criteria </w:t>
      </w:r>
      <w:r>
        <w:t>would render infiltration infeasible, it is not necessary to evaluate every question in this worksheet.</w:t>
      </w:r>
    </w:p>
    <w:p w:rsidR="00C77682" w:rsidRDefault="00C77682" w:rsidP="005411C8">
      <w:pPr>
        <w:pStyle w:val="CDMBTEXT"/>
      </w:pPr>
    </w:p>
    <w:p w:rsidR="00C77682" w:rsidRDefault="00C77682" w:rsidP="005411C8">
      <w:pPr>
        <w:pStyle w:val="CDMBTEXT"/>
      </w:pPr>
    </w:p>
    <w:p w:rsidR="005411C8" w:rsidRPr="005411C8" w:rsidRDefault="005411C8" w:rsidP="005411C8">
      <w:pPr>
        <w:sectPr w:rsidR="005411C8" w:rsidRPr="005411C8" w:rsidSect="00BF43BB">
          <w:pgSz w:w="12240" w:h="15840" w:code="1"/>
          <w:pgMar w:top="1440" w:right="1440" w:bottom="1440" w:left="1440" w:header="720" w:footer="432" w:gutter="0"/>
          <w:pgNumType w:chapStyle="1"/>
          <w:cols w:space="720"/>
          <w:docGrid w:linePitch="360"/>
        </w:sectPr>
      </w:pPr>
    </w:p>
    <w:p w:rsidR="00B31025" w:rsidRDefault="004C6431" w:rsidP="00A52883">
      <w:pPr>
        <w:pStyle w:val="Heading1"/>
      </w:pPr>
      <w:bookmarkStart w:id="560" w:name="_Technical_Basis_for"/>
      <w:bookmarkStart w:id="561" w:name="_Toc285308171"/>
      <w:bookmarkStart w:id="562" w:name="_Toc285315755"/>
      <w:bookmarkStart w:id="563" w:name="_Toc285315898"/>
      <w:bookmarkStart w:id="564" w:name="_Ref285388193"/>
      <w:bookmarkStart w:id="565" w:name="_Toc285492474"/>
      <w:bookmarkStart w:id="566" w:name="_Ref287704504"/>
      <w:bookmarkStart w:id="567" w:name="_Ref287704524"/>
      <w:bookmarkStart w:id="568" w:name="_Toc288541095"/>
      <w:bookmarkStart w:id="569" w:name="_Toc293937151"/>
      <w:bookmarkStart w:id="570" w:name="_Ref285288072"/>
      <w:bookmarkEnd w:id="560"/>
      <w:r>
        <w:rPr>
          <w:caps w:val="0"/>
        </w:rPr>
        <w:t>TECHNICAL BASIS FOR GREEN ROOF DESIGN CRITERIA</w:t>
      </w:r>
      <w:bookmarkEnd w:id="561"/>
      <w:bookmarkEnd w:id="562"/>
      <w:bookmarkEnd w:id="563"/>
      <w:bookmarkEnd w:id="564"/>
      <w:bookmarkEnd w:id="565"/>
      <w:bookmarkEnd w:id="566"/>
      <w:bookmarkEnd w:id="567"/>
      <w:bookmarkEnd w:id="568"/>
      <w:bookmarkEnd w:id="569"/>
    </w:p>
    <w:p w:rsidR="00A52ED1" w:rsidRDefault="00A52ED1" w:rsidP="00A52ED1">
      <w:r>
        <w:t xml:space="preserve">The purpose of this appendix is to present minimum criteria for </w:t>
      </w:r>
      <w:r w:rsidR="00B24C0F">
        <w:t>green roof</w:t>
      </w:r>
      <w:r>
        <w:t xml:space="preserve">s </w:t>
      </w:r>
      <w:r w:rsidR="00DC2637">
        <w:t xml:space="preserve">(roofs with growing media and vegetation) </w:t>
      </w:r>
      <w:r>
        <w:t xml:space="preserve">to be considered “self-retaining” for new development and significant redevelopment projects in Orange County. </w:t>
      </w:r>
      <w:r w:rsidR="009155C2">
        <w:t xml:space="preserve"> Self-retaining areas </w:t>
      </w:r>
      <w:r w:rsidR="009155C2">
        <w:rPr>
          <w:rFonts w:eastAsia="Calibri" w:cs="Times New Roman"/>
          <w:szCs w:val="24"/>
        </w:rPr>
        <w:t xml:space="preserve">are designed to retain </w:t>
      </w:r>
      <w:r w:rsidR="009155C2">
        <w:t xml:space="preserve">the </w:t>
      </w:r>
      <w:r w:rsidR="003C7091">
        <w:t>DCV</w:t>
      </w:r>
      <w:r w:rsidR="00B400E8">
        <w:t xml:space="preserve"> and no further management of these areas is required to meet LID and treatme</w:t>
      </w:r>
      <w:r w:rsidR="00E92699">
        <w:t>nt control performance criteria</w:t>
      </w:r>
      <w:r w:rsidR="009155C2">
        <w:t xml:space="preserve">.  </w:t>
      </w:r>
      <w:r w:rsidR="00DC2637">
        <w:t xml:space="preserve">This category also includes brown roofs, which are designed with vegetation intended to go seasonally dormant during dry periods. </w:t>
      </w:r>
      <w:r>
        <w:t xml:space="preserve">This document describes the functional definition of “self-retaining” that has been applied to </w:t>
      </w:r>
      <w:r w:rsidR="00B24C0F">
        <w:t>green roof</w:t>
      </w:r>
      <w:r>
        <w:t xml:space="preserve">s, presents an overview of the analytical methods used to evaluate performance of a range of design criteria, and presents the results of this analysis in terms of the minimum design criteria for </w:t>
      </w:r>
      <w:r w:rsidR="00B24C0F">
        <w:t>green roof</w:t>
      </w:r>
      <w:r>
        <w:t>s to be considered self-retaining.</w:t>
      </w:r>
    </w:p>
    <w:p w:rsidR="00A52ED1" w:rsidRDefault="00A52ED1" w:rsidP="00A52883">
      <w:pPr>
        <w:pStyle w:val="Heading2"/>
      </w:pPr>
      <w:bookmarkStart w:id="571" w:name="_Toc285308172"/>
      <w:bookmarkStart w:id="572" w:name="_Toc285315756"/>
      <w:bookmarkStart w:id="573" w:name="_Toc285492475"/>
      <w:bookmarkStart w:id="574" w:name="_Toc288541096"/>
      <w:bookmarkStart w:id="575" w:name="_Toc293937152"/>
      <w:r>
        <w:t xml:space="preserve">Functional Definition of “Self-Retaining” for </w:t>
      </w:r>
      <w:r w:rsidR="00B24C0F">
        <w:t>Green roof</w:t>
      </w:r>
      <w:r>
        <w:t>s</w:t>
      </w:r>
      <w:bookmarkEnd w:id="571"/>
      <w:bookmarkEnd w:id="572"/>
      <w:bookmarkEnd w:id="573"/>
      <w:bookmarkEnd w:id="574"/>
      <w:bookmarkEnd w:id="575"/>
    </w:p>
    <w:p w:rsidR="00A52ED1" w:rsidRDefault="003C7091" w:rsidP="00A52ED1">
      <w:r>
        <w:t>HSCs</w:t>
      </w:r>
      <w:r w:rsidR="00A52ED1">
        <w:t xml:space="preserve"> are group of low-tech stormwater management measures that reduce stormwater runoff volume through landscape dispersion and interception of stormwater. </w:t>
      </w:r>
      <w:r w:rsidR="009155C2">
        <w:t xml:space="preserve"> As described above, </w:t>
      </w:r>
      <w:r w:rsidR="00E92699">
        <w:t xml:space="preserve">if </w:t>
      </w:r>
      <w:r w:rsidR="00A52ED1">
        <w:t xml:space="preserve">an HSC </w:t>
      </w:r>
      <w:r w:rsidR="009155C2">
        <w:t xml:space="preserve">is </w:t>
      </w:r>
      <w:r w:rsidR="00A52ED1">
        <w:t>t</w:t>
      </w:r>
      <w:r w:rsidR="00E92699">
        <w:t>o be considered “self-retaining</w:t>
      </w:r>
      <w:r w:rsidR="00A52ED1">
        <w:t>,</w:t>
      </w:r>
      <w:r w:rsidR="00E92699">
        <w:t>”</w:t>
      </w:r>
      <w:r w:rsidR="00A52ED1">
        <w:t xml:space="preserve"> it should fully retain</w:t>
      </w:r>
      <w:r w:rsidR="00E92816">
        <w:t xml:space="preserve"> the volume from the LID design</w:t>
      </w:r>
      <w:r w:rsidR="00A52ED1">
        <w:t xml:space="preserve"> storm event</w:t>
      </w:r>
      <w:r w:rsidR="00B400E8">
        <w:t>.</w:t>
      </w:r>
    </w:p>
    <w:p w:rsidR="009E2B1A" w:rsidRPr="009E2B1A" w:rsidRDefault="00B24C0F" w:rsidP="009E2B1A">
      <w:r>
        <w:t>Green roof</w:t>
      </w:r>
      <w:r w:rsidR="00A52ED1">
        <w:t xml:space="preserve">s are a form of </w:t>
      </w:r>
      <w:r w:rsidR="003C7091">
        <w:t>HSC</w:t>
      </w:r>
      <w:r w:rsidR="00A52ED1">
        <w:t>. These systems reduce stormwater runoff volume by retaining a portion of rainfall in soil pores</w:t>
      </w:r>
      <w:r w:rsidR="00DC2637">
        <w:t xml:space="preserve"> and surface and plant depression storage</w:t>
      </w:r>
      <w:r w:rsidR="00A52ED1">
        <w:t xml:space="preserve"> during storm events and making it available fo</w:t>
      </w:r>
      <w:r w:rsidR="00FD5274">
        <w:t xml:space="preserve">r subsequent ET. </w:t>
      </w:r>
      <w:r>
        <w:t>Green roof</w:t>
      </w:r>
      <w:r w:rsidR="00A52ED1">
        <w:t>s also provide biotreatment/</w:t>
      </w:r>
      <w:r>
        <w:t xml:space="preserve"> </w:t>
      </w:r>
      <w:r w:rsidR="00A52ED1">
        <w:t xml:space="preserve">biofiltration of water draining through </w:t>
      </w:r>
      <w:r w:rsidR="00DC2637">
        <w:t xml:space="preserve">and over </w:t>
      </w:r>
      <w:r w:rsidR="00A52ED1">
        <w:t>roofs</w:t>
      </w:r>
      <w:r w:rsidR="009155C2">
        <w:t>,</w:t>
      </w:r>
      <w:r w:rsidR="00A52ED1">
        <w:t xml:space="preserve"> </w:t>
      </w:r>
      <w:r w:rsidR="009155C2">
        <w:t>removing</w:t>
      </w:r>
      <w:r w:rsidR="00A52ED1">
        <w:t xml:space="preserve"> pollutants deposited from the atmosphere or from adjacent transportation land uses. Finally, </w:t>
      </w:r>
      <w:r>
        <w:t>green roof</w:t>
      </w:r>
      <w:r w:rsidR="00A52ED1">
        <w:t>s can have additional benefits beyond stormwater management</w:t>
      </w:r>
      <w:r w:rsidR="009155C2">
        <w:t>,</w:t>
      </w:r>
      <w:r w:rsidR="00A52ED1">
        <w:t xml:space="preserve"> </w:t>
      </w:r>
      <w:r w:rsidR="009155C2">
        <w:t>including</w:t>
      </w:r>
      <w:r w:rsidR="00A52ED1">
        <w:t xml:space="preserve"> reductions in building heating and cooling costs and reductions in urban heat island effects. As such, </w:t>
      </w:r>
      <w:r>
        <w:t>green roof</w:t>
      </w:r>
      <w:r w:rsidR="00A52ED1">
        <w:t xml:space="preserve">s should be encouraged where they can provide appreciable benefit for stormwater management. </w:t>
      </w:r>
      <w:r w:rsidR="00DC2637">
        <w:t xml:space="preserve">They do require irrigation, so their effects on water </w:t>
      </w:r>
      <w:r w:rsidR="009E2B1A">
        <w:t xml:space="preserve">demand </w:t>
      </w:r>
      <w:r w:rsidR="00DC2637">
        <w:t>should be considered.</w:t>
      </w:r>
      <w:r w:rsidR="009E2B1A">
        <w:t xml:space="preserve"> In addition, green roofs may use reclaimed water for irrigation and measures may be required to mitigate the risk of discharges leaving the site.  </w:t>
      </w:r>
      <w:r w:rsidR="009E2B1A" w:rsidRPr="009E2B1A">
        <w:t>Green roofs are considered to be self-retaining on the basis that they provide the maximum feasible area for ET and provide biotreatment for the remaining portion of the DCV.  Ground-level LID BMPs must still be provided for ground level drainage areas, where feasible, and optionally can be sized to provide additional volume reduction and biotreatment of runoff from green roofs.</w:t>
      </w:r>
    </w:p>
    <w:p w:rsidR="00A52ED1" w:rsidRDefault="00DC2637" w:rsidP="00A52ED1">
      <w:r>
        <w:t>T</w:t>
      </w:r>
      <w:r w:rsidR="00A52ED1">
        <w:t xml:space="preserve">he volume reduction potential of </w:t>
      </w:r>
      <w:r w:rsidR="00B24C0F">
        <w:t>green roof</w:t>
      </w:r>
      <w:r w:rsidR="00A52ED1">
        <w:t>s is relatively limited in the southern California climate because of typical patterns of precipitation and ET: during winter months when the majority of rainfall occurs,</w:t>
      </w:r>
      <w:r>
        <w:t xml:space="preserve"> and particularly during the typical short periods of back-to-back rainfall events,</w:t>
      </w:r>
      <w:r w:rsidR="00A52ED1">
        <w:t xml:space="preserve"> ET rates are relatively low, and pore space is recovered relatively slowly. As such, it is not generally possible for </w:t>
      </w:r>
      <w:r w:rsidR="00B24C0F">
        <w:t>green roof</w:t>
      </w:r>
      <w:r w:rsidR="00A52ED1">
        <w:t xml:space="preserve">s to provide reliable reduction of the entire </w:t>
      </w:r>
      <w:r w:rsidR="003C7091">
        <w:t>DCV</w:t>
      </w:r>
      <w:r w:rsidR="00A52ED1">
        <w:t xml:space="preserve"> </w:t>
      </w:r>
      <w:r w:rsidR="00B400E8">
        <w:t>within the timeframe criteria applied to other HSCs.</w:t>
      </w:r>
      <w:r w:rsidR="00A52ED1">
        <w:t xml:space="preserve"> To recognize this limitation and still encourage the use of these system, a </w:t>
      </w:r>
      <w:r w:rsidR="00B24C0F">
        <w:t>green roof</w:t>
      </w:r>
      <w:r w:rsidR="00A52ED1">
        <w:t xml:space="preserve"> would be considered to be “self-retaining” (i.e., requiring no other stormwater mitigation measures for the </w:t>
      </w:r>
      <w:r w:rsidR="003C7091">
        <w:t>DCV</w:t>
      </w:r>
      <w:r w:rsidR="00A52ED1">
        <w:t xml:space="preserve">) if the roof retains at least 40 percent of average long term precipitation volume and </w:t>
      </w:r>
      <w:proofErr w:type="spellStart"/>
      <w:r w:rsidR="00A52ED1">
        <w:t>biotreats</w:t>
      </w:r>
      <w:proofErr w:type="spellEnd"/>
      <w:r w:rsidR="00A52ED1">
        <w:t xml:space="preserve"> the remaining volume.</w:t>
      </w:r>
    </w:p>
    <w:p w:rsidR="00A52ED1" w:rsidRDefault="00A52ED1" w:rsidP="00A52883">
      <w:pPr>
        <w:pStyle w:val="Heading2"/>
      </w:pPr>
      <w:bookmarkStart w:id="576" w:name="_Toc285308173"/>
      <w:bookmarkStart w:id="577" w:name="_Toc285315757"/>
      <w:bookmarkStart w:id="578" w:name="_Toc285492476"/>
      <w:bookmarkStart w:id="579" w:name="_Toc288541097"/>
      <w:bookmarkStart w:id="580" w:name="_Toc293937153"/>
      <w:r>
        <w:t>Analysis Inputs</w:t>
      </w:r>
      <w:bookmarkEnd w:id="576"/>
      <w:bookmarkEnd w:id="577"/>
      <w:bookmarkEnd w:id="578"/>
      <w:bookmarkEnd w:id="579"/>
      <w:bookmarkEnd w:id="580"/>
    </w:p>
    <w:p w:rsidR="00A52ED1" w:rsidRDefault="00A52ED1" w:rsidP="00A52ED1">
      <w:r>
        <w:t xml:space="preserve">To determine the minimum design criteria for a </w:t>
      </w:r>
      <w:r w:rsidR="00B24C0F">
        <w:t>green roof</w:t>
      </w:r>
      <w:r>
        <w:t xml:space="preserve"> to </w:t>
      </w:r>
      <w:r w:rsidR="009805F5">
        <w:t>be considered self-retaining, a simple modeling</w:t>
      </w:r>
      <w:r>
        <w:t xml:space="preserve"> analysis of precipitation, ET patterns, and </w:t>
      </w:r>
      <w:r w:rsidR="00B24C0F">
        <w:t>green roof</w:t>
      </w:r>
      <w:r>
        <w:t xml:space="preserve"> design parameters was conducted. This analysis included the following inputs:</w:t>
      </w:r>
    </w:p>
    <w:p w:rsidR="00A52ED1" w:rsidRDefault="00A52ED1" w:rsidP="009531AF">
      <w:pPr>
        <w:pStyle w:val="ListParagraph"/>
        <w:numPr>
          <w:ilvl w:val="0"/>
          <w:numId w:val="38"/>
        </w:numPr>
        <w:spacing w:after="200"/>
      </w:pPr>
      <w:r w:rsidRPr="008A14B9">
        <w:rPr>
          <w:b/>
        </w:rPr>
        <w:t>60 year of hourly precipitation data</w:t>
      </w:r>
      <w:r>
        <w:t xml:space="preserve"> from the </w:t>
      </w:r>
      <w:r w:rsidR="009464FC">
        <w:t xml:space="preserve">NCDC </w:t>
      </w:r>
      <w:r>
        <w:t>Los Angeles International Airport (LAX) climate station</w:t>
      </w:r>
      <w:r w:rsidR="009464FC">
        <w:t xml:space="preserve"> (COOP ID: 045114)</w:t>
      </w:r>
      <w:bookmarkStart w:id="581" w:name="_Ref285529588"/>
      <w:r w:rsidR="00DC2637">
        <w:rPr>
          <w:rStyle w:val="FootnoteReference"/>
        </w:rPr>
        <w:footnoteReference w:id="16"/>
      </w:r>
      <w:bookmarkEnd w:id="581"/>
      <w:r>
        <w:t>. The average annual precipitation at LAX is 12 inches, which is approximately the same as observed over much of Orange County, therefore this analysis is applicable to Orange County.</w:t>
      </w:r>
    </w:p>
    <w:p w:rsidR="00A52ED1" w:rsidRDefault="00A52ED1" w:rsidP="009531AF">
      <w:pPr>
        <w:pStyle w:val="ListParagraph"/>
        <w:numPr>
          <w:ilvl w:val="0"/>
          <w:numId w:val="38"/>
        </w:numPr>
        <w:spacing w:after="200"/>
      </w:pPr>
      <w:r w:rsidRPr="008A14B9">
        <w:rPr>
          <w:b/>
        </w:rPr>
        <w:t>Monthly normal reference ET data</w:t>
      </w:r>
      <w:r>
        <w:t xml:space="preserve"> </w:t>
      </w:r>
      <w:r w:rsidR="00B24C0F">
        <w:t>from the NCDC Cooperative Summary of the Day at LAX</w:t>
      </w:r>
      <w:r w:rsidR="009464FC">
        <w:t xml:space="preserve"> (COOP ID: 045114)</w:t>
      </w:r>
      <w:r w:rsidR="00DC2637">
        <w:t xml:space="preserve"> (See note </w:t>
      </w:r>
      <w:fldSimple w:instr=" NOTEREF _Ref285529588 \h  \* MERGEFORMAT ">
        <w:r w:rsidR="00126DE5" w:rsidRPr="00126DE5">
          <w:rPr>
            <w:rFonts w:cs="Arial"/>
            <w:b/>
            <w:color w:val="0070C0"/>
            <w:sz w:val="20"/>
            <w:szCs w:val="20"/>
          </w:rPr>
          <w:t>16</w:t>
        </w:r>
      </w:fldSimple>
      <w:r w:rsidR="00DC2637">
        <w:t>)</w:t>
      </w:r>
      <w:r w:rsidR="00B24C0F">
        <w:t>.</w:t>
      </w:r>
    </w:p>
    <w:p w:rsidR="00A52ED1" w:rsidRDefault="00A52ED1" w:rsidP="009531AF">
      <w:pPr>
        <w:pStyle w:val="ListParagraph"/>
        <w:numPr>
          <w:ilvl w:val="0"/>
          <w:numId w:val="38"/>
        </w:numPr>
        <w:spacing w:after="200"/>
      </w:pPr>
      <w:r w:rsidRPr="008A14B9">
        <w:rPr>
          <w:b/>
        </w:rPr>
        <w:t xml:space="preserve">Ranges of </w:t>
      </w:r>
      <w:r w:rsidR="00B24C0F">
        <w:rPr>
          <w:b/>
        </w:rPr>
        <w:t>green roof</w:t>
      </w:r>
      <w:r w:rsidRPr="008A14B9">
        <w:rPr>
          <w:b/>
        </w:rPr>
        <w:t xml:space="preserve"> extensiveness.</w:t>
      </w:r>
      <w:r>
        <w:t xml:space="preserve"> Extensiveness is defined as the ratio of the area covered by </w:t>
      </w:r>
      <w:r w:rsidR="00B24C0F">
        <w:t>green roof</w:t>
      </w:r>
      <w:r>
        <w:t xml:space="preserve"> to the area tributary to the roof (including the roof itself). Extensiveness has a maximum of 1.0. For the study, extensiveness varied from 0.5 (half the roof occupied by </w:t>
      </w:r>
      <w:r w:rsidR="00B24C0F">
        <w:t>green roof</w:t>
      </w:r>
      <w:r>
        <w:t xml:space="preserve"> with the remaining area draining to the </w:t>
      </w:r>
      <w:r w:rsidR="00B24C0F">
        <w:t>green roof</w:t>
      </w:r>
      <w:r>
        <w:t xml:space="preserve">) to 1.0 (the full roof covered by the </w:t>
      </w:r>
      <w:r w:rsidR="00B24C0F">
        <w:t>green roof</w:t>
      </w:r>
      <w:r>
        <w:t xml:space="preserve">, or the </w:t>
      </w:r>
      <w:r w:rsidR="00B24C0F">
        <w:t>green roof</w:t>
      </w:r>
      <w:r w:rsidR="009805F5">
        <w:t xml:space="preserve"> portion</w:t>
      </w:r>
      <w:r>
        <w:t xml:space="preserve"> not receiving any “run-on” from other areas).</w:t>
      </w:r>
    </w:p>
    <w:p w:rsidR="00A52ED1" w:rsidRDefault="00A52ED1" w:rsidP="009531AF">
      <w:pPr>
        <w:pStyle w:val="ListParagraph"/>
        <w:numPr>
          <w:ilvl w:val="0"/>
          <w:numId w:val="38"/>
        </w:numPr>
        <w:spacing w:after="200"/>
      </w:pPr>
      <w:r>
        <w:rPr>
          <w:b/>
        </w:rPr>
        <w:t>Ranges of landscape coefficient</w:t>
      </w:r>
      <w:r w:rsidR="009805F5">
        <w:rPr>
          <w:b/>
        </w:rPr>
        <w:t>s</w:t>
      </w:r>
      <w:r>
        <w:rPr>
          <w:b/>
        </w:rPr>
        <w:t>.</w:t>
      </w:r>
      <w:r w:rsidRPr="008B202F">
        <w:t xml:space="preserve"> </w:t>
      </w:r>
      <w:r>
        <w:t>The landscape coefficient</w:t>
      </w:r>
      <w:r w:rsidR="00E92816">
        <w:t xml:space="preserve"> (K</w:t>
      </w:r>
      <w:r w:rsidR="00E92816" w:rsidRPr="00E92816">
        <w:rPr>
          <w:vertAlign w:val="subscript"/>
        </w:rPr>
        <w:t>L</w:t>
      </w:r>
      <w:r w:rsidR="00E92816">
        <w:t>)</w:t>
      </w:r>
      <w:r>
        <w:t xml:space="preserve"> is a multiplier on the </w:t>
      </w:r>
      <w:r w:rsidR="00FD5274">
        <w:t>ET</w:t>
      </w:r>
      <w:r>
        <w:t xml:space="preserve"> rate that accounts for the plant species, micro climate (exposure, etc.), and the density of vegetative cover.</w:t>
      </w:r>
      <w:r w:rsidRPr="008B202F">
        <w:t xml:space="preserve"> </w:t>
      </w:r>
      <w:r>
        <w:t>For the study, landscape coefficients of 0.5 and 0.75 were evaluated, representing low water use species and moderate water use species, respectively. Landscape coefficients are generally believed to be highe</w:t>
      </w:r>
      <w:r w:rsidR="000E4DAD">
        <w:t>r on roof tops than for</w:t>
      </w:r>
      <w:r>
        <w:t xml:space="preserve"> </w:t>
      </w:r>
      <w:r w:rsidR="000E4DAD">
        <w:t>ground-level</w:t>
      </w:r>
      <w:r>
        <w:t xml:space="preserve"> landscaping because of high exposure to sun and wind. It is not recommended that high water use species be used in </w:t>
      </w:r>
      <w:r w:rsidR="00B24C0F">
        <w:t>green roof</w:t>
      </w:r>
      <w:r>
        <w:t>s because of the high irrigation demand exerted during summer months</w:t>
      </w:r>
      <w:r w:rsidR="000E4DAD">
        <w:t xml:space="preserve"> and winter dry periods</w:t>
      </w:r>
      <w:r>
        <w:t>.</w:t>
      </w:r>
    </w:p>
    <w:p w:rsidR="00A52ED1" w:rsidRDefault="00A52ED1" w:rsidP="009531AF">
      <w:pPr>
        <w:pStyle w:val="ListParagraph"/>
        <w:numPr>
          <w:ilvl w:val="0"/>
          <w:numId w:val="38"/>
        </w:numPr>
        <w:spacing w:after="200"/>
      </w:pPr>
      <w:r w:rsidRPr="008A14B9">
        <w:rPr>
          <w:b/>
        </w:rPr>
        <w:t xml:space="preserve">Ranges of soil moisture retention depth. </w:t>
      </w:r>
      <w:r w:rsidR="00B24C0F">
        <w:t>Green roof</w:t>
      </w:r>
      <w:r>
        <w:t xml:space="preserve"> moisture retention depth is the e</w:t>
      </w:r>
      <w:r w:rsidR="009464FC">
        <w:t>quivalent</w:t>
      </w:r>
      <w:r>
        <w:t xml:space="preserve"> depth of water that a </w:t>
      </w:r>
      <w:r w:rsidR="00B24C0F">
        <w:t>green roof</w:t>
      </w:r>
      <w:r>
        <w:t xml:space="preserve"> can hold long enough for ET to have an appreciable effect. </w:t>
      </w:r>
      <w:r w:rsidR="009464FC">
        <w:t xml:space="preserve">For </w:t>
      </w:r>
      <w:r w:rsidR="00E2448E">
        <w:t xml:space="preserve">engineered extensive or intensive </w:t>
      </w:r>
      <w:r w:rsidR="009464FC">
        <w:t>roofs, this is defined as the field capacity (FC</w:t>
      </w:r>
      <w:r w:rsidR="00E2448E">
        <w:t xml:space="preserve">, the </w:t>
      </w:r>
      <w:r w:rsidR="00B66631">
        <w:t xml:space="preserve">volumetric </w:t>
      </w:r>
      <w:r w:rsidR="00E2448E">
        <w:t>water content retained in soil after a prolonged period of draining</w:t>
      </w:r>
      <w:r w:rsidR="009464FC">
        <w:t>) minus the wilting point (WP</w:t>
      </w:r>
      <w:r w:rsidR="00E2448E">
        <w:t xml:space="preserve">, the lowest </w:t>
      </w:r>
      <w:r w:rsidR="00B66631">
        <w:t xml:space="preserve">volumetric </w:t>
      </w:r>
      <w:r w:rsidR="00E2448E">
        <w:t>water content that can be achieved via plant transpiration processes</w:t>
      </w:r>
      <w:r w:rsidR="009464FC">
        <w:t xml:space="preserve">). </w:t>
      </w:r>
      <w:r>
        <w:t xml:space="preserve">This is generally 15 to 20 percent of the actual thickness of the </w:t>
      </w:r>
      <w:r w:rsidR="00B24C0F">
        <w:t>green roof</w:t>
      </w:r>
      <w:r>
        <w:t>, dependin</w:t>
      </w:r>
      <w:r w:rsidR="009464FC">
        <w:t xml:space="preserve">g on the characteristics of the growing media.  Some proprietary green roof systems utilized specialized light weight media with enhanced soil moisture retention properties or synthetic materials such as </w:t>
      </w:r>
      <w:r w:rsidR="00B9693A">
        <w:t>plastic cup layers</w:t>
      </w:r>
      <w:r w:rsidR="009464FC">
        <w:t xml:space="preserve"> and</w:t>
      </w:r>
      <w:r w:rsidR="00B9693A">
        <w:t xml:space="preserve"> wick</w:t>
      </w:r>
      <w:r w:rsidR="009464FC">
        <w:t>ing</w:t>
      </w:r>
      <w:r w:rsidR="00B9693A">
        <w:t xml:space="preserve"> materia</w:t>
      </w:r>
      <w:r w:rsidR="009464FC">
        <w:t>ls</w:t>
      </w:r>
      <w:r>
        <w:t>.</w:t>
      </w:r>
      <w:r w:rsidR="009464FC">
        <w:t xml:space="preserve">  These systems are generally specified in terms of the effective depth of water they retain (i.e., the soil moisture retention depth).</w:t>
      </w:r>
      <w:r>
        <w:t xml:space="preserve"> Soil moisture retention depth was varied from 0 up to 4 inches for this study, representing </w:t>
      </w:r>
      <w:r w:rsidR="009464FC">
        <w:t xml:space="preserve">simple green </w:t>
      </w:r>
      <w:r>
        <w:t>roofs up to approximately 30 inches deep.</w:t>
      </w:r>
    </w:p>
    <w:p w:rsidR="00A52ED1" w:rsidRDefault="00A52ED1" w:rsidP="00A52883">
      <w:pPr>
        <w:pStyle w:val="Heading2"/>
      </w:pPr>
      <w:bookmarkStart w:id="582" w:name="_Toc285308174"/>
      <w:bookmarkStart w:id="583" w:name="_Toc285315758"/>
      <w:bookmarkStart w:id="584" w:name="_Toc285492477"/>
      <w:bookmarkStart w:id="585" w:name="_Toc288541098"/>
      <w:bookmarkStart w:id="586" w:name="_Toc293937154"/>
      <w:r>
        <w:t>Analysis Methods</w:t>
      </w:r>
      <w:bookmarkEnd w:id="582"/>
      <w:bookmarkEnd w:id="583"/>
      <w:bookmarkEnd w:id="584"/>
      <w:bookmarkEnd w:id="585"/>
      <w:bookmarkEnd w:id="586"/>
    </w:p>
    <w:p w:rsidR="00A52ED1" w:rsidRDefault="00A52ED1" w:rsidP="00A52ED1">
      <w:r>
        <w:t>For the purp</w:t>
      </w:r>
      <w:r w:rsidR="00E92816">
        <w:t xml:space="preserve">ose of this analysis, Geosyntec </w:t>
      </w:r>
      <w:r>
        <w:t xml:space="preserve">developed a model written in VBA (Excel) that incorporates the inputs described above on an hourly basis and tracks the transient storage contained in soil moisture storage. The model can best be thought of as physically representing a bucket of water, where the water level in the bucket corresponds to the amount of moisture held in the </w:t>
      </w:r>
      <w:r w:rsidR="00B24C0F">
        <w:t>green roof</w:t>
      </w:r>
      <w:r>
        <w:t xml:space="preserve"> soil. Precipitation is applied</w:t>
      </w:r>
      <w:r w:rsidR="00B400E8">
        <w:t xml:space="preserve"> over the roof and other areas tributary to the roof</w:t>
      </w:r>
      <w:r>
        <w:t xml:space="preserve"> at hourly time steps corresponding to historical records. When the capacity of the soil moisture layer is exceed, runoff occurs. During and between events, the monthly normal </w:t>
      </w:r>
      <w:r w:rsidR="00FD5274">
        <w:t>ET</w:t>
      </w:r>
      <w:r>
        <w:t xml:space="preserve"> rate is applied to the stored water to recover the storage in the soil moisture layer (i.e., empty the bucket). The precipitation and runoff is tracked and totaled for the model run, yielding the average fraction volume removed. </w:t>
      </w:r>
    </w:p>
    <w:p w:rsidR="00A52ED1" w:rsidRDefault="00A52ED1" w:rsidP="00A52883">
      <w:pPr>
        <w:pStyle w:val="Heading2"/>
      </w:pPr>
      <w:bookmarkStart w:id="587" w:name="_Toc285308175"/>
      <w:bookmarkStart w:id="588" w:name="_Toc285315759"/>
      <w:bookmarkStart w:id="589" w:name="_Toc285492478"/>
      <w:bookmarkStart w:id="590" w:name="_Toc288541099"/>
      <w:bookmarkStart w:id="591" w:name="_Toc293937155"/>
      <w:r>
        <w:t>Results</w:t>
      </w:r>
      <w:bookmarkEnd w:id="587"/>
      <w:bookmarkEnd w:id="588"/>
      <w:bookmarkEnd w:id="589"/>
      <w:bookmarkEnd w:id="590"/>
      <w:bookmarkEnd w:id="591"/>
    </w:p>
    <w:p w:rsidR="009805F5" w:rsidRDefault="00A52ED1" w:rsidP="00A52ED1">
      <w:r>
        <w:t>Results are presented in terms of the soil moisture retention depth required to achieve at least 4</w:t>
      </w:r>
      <w:r w:rsidR="00E92816">
        <w:t xml:space="preserve">0 percent reduction in volume. </w:t>
      </w:r>
      <w:r>
        <w:t xml:space="preserve">Results are presented in </w:t>
      </w:r>
      <w:r w:rsidR="00126F3D" w:rsidRPr="00126DE5">
        <w:rPr>
          <w:rFonts w:cs="Arial"/>
          <w:b/>
          <w:color w:val="0070C0"/>
          <w:sz w:val="20"/>
          <w:szCs w:val="20"/>
        </w:rPr>
        <w:fldChar w:fldCharType="begin"/>
      </w:r>
      <w:r w:rsidR="00E92816" w:rsidRPr="00126DE5">
        <w:rPr>
          <w:rFonts w:cs="Arial"/>
          <w:b/>
          <w:color w:val="0070C0"/>
          <w:sz w:val="20"/>
          <w:szCs w:val="20"/>
        </w:rPr>
        <w:instrText xml:space="preserve"> REF _Ref285353468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b/>
          <w:color w:val="0070C0"/>
        </w:rPr>
        <w:t xml:space="preserve">Table </w:t>
      </w:r>
      <w:r w:rsidR="00126DE5" w:rsidRPr="00126DE5">
        <w:rPr>
          <w:rFonts w:cs="Arial"/>
          <w:b/>
          <w:noProof/>
          <w:color w:val="0070C0"/>
        </w:rPr>
        <w:t>IX</w:t>
      </w:r>
      <w:r w:rsidR="00126DE5" w:rsidRPr="00126DE5">
        <w:rPr>
          <w:b/>
          <w:color w:val="0070C0"/>
        </w:rPr>
        <w:t>.</w:t>
      </w:r>
      <w:r w:rsidR="00126DE5" w:rsidRPr="00126DE5">
        <w:rPr>
          <w:rFonts w:cs="Arial"/>
          <w:b/>
          <w:noProof/>
          <w:color w:val="0070C0"/>
        </w:rPr>
        <w:t>1</w:t>
      </w:r>
      <w:r w:rsidR="00126F3D" w:rsidRPr="00126DE5">
        <w:rPr>
          <w:rFonts w:cs="Arial"/>
          <w:b/>
          <w:color w:val="0070C0"/>
          <w:sz w:val="20"/>
          <w:szCs w:val="20"/>
        </w:rPr>
        <w:fldChar w:fldCharType="end"/>
      </w:r>
      <w:r w:rsidR="00E92816">
        <w:t xml:space="preserve">. </w:t>
      </w:r>
      <w:r>
        <w:t xml:space="preserve">Graphical output of model results are shown in </w:t>
      </w:r>
      <w:r w:rsidR="00126F3D" w:rsidRPr="00126DE5">
        <w:rPr>
          <w:rFonts w:cs="Arial"/>
          <w:b/>
          <w:color w:val="0070C0"/>
          <w:sz w:val="20"/>
          <w:szCs w:val="20"/>
        </w:rPr>
        <w:fldChar w:fldCharType="begin"/>
      </w:r>
      <w:r w:rsidRPr="00126DE5">
        <w:rPr>
          <w:rFonts w:cs="Arial"/>
          <w:b/>
          <w:color w:val="0070C0"/>
          <w:sz w:val="20"/>
          <w:szCs w:val="20"/>
        </w:rPr>
        <w:instrText xml:space="preserve"> REF _Ref285177769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b/>
          <w:color w:val="0070C0"/>
        </w:rPr>
        <w:t xml:space="preserve">Figure </w:t>
      </w:r>
      <w:r w:rsidR="00126DE5" w:rsidRPr="00126DE5">
        <w:rPr>
          <w:b/>
          <w:noProof/>
          <w:color w:val="0070C0"/>
        </w:rPr>
        <w:t>IX</w:t>
      </w:r>
      <w:r w:rsidR="00126DE5" w:rsidRPr="00126DE5">
        <w:rPr>
          <w:b/>
          <w:color w:val="0070C0"/>
        </w:rPr>
        <w:t>.</w:t>
      </w:r>
      <w:r w:rsidR="00126DE5" w:rsidRPr="00126DE5">
        <w:rPr>
          <w:b/>
          <w:noProof/>
          <w:color w:val="0070C0"/>
        </w:rPr>
        <w:t>1</w:t>
      </w:r>
      <w:r w:rsidR="00126F3D" w:rsidRPr="00126DE5">
        <w:rPr>
          <w:rFonts w:cs="Arial"/>
          <w:b/>
          <w:color w:val="0070C0"/>
          <w:sz w:val="20"/>
          <w:szCs w:val="20"/>
        </w:rPr>
        <w:fldChar w:fldCharType="end"/>
      </w:r>
      <w:r>
        <w:t xml:space="preserve"> and </w:t>
      </w:r>
      <w:fldSimple w:instr=" REF _Ref285177776 \h  \* MERGEFORMAT ">
        <w:r w:rsidR="00126DE5" w:rsidRPr="00126DE5">
          <w:rPr>
            <w:rFonts w:cs="Arial"/>
            <w:b/>
            <w:color w:val="0070C0"/>
            <w:sz w:val="20"/>
            <w:szCs w:val="20"/>
          </w:rPr>
          <w:t xml:space="preserve">Figure </w:t>
        </w:r>
        <w:r w:rsidR="00126DE5" w:rsidRPr="00126DE5">
          <w:rPr>
            <w:rFonts w:cs="Arial"/>
            <w:b/>
            <w:noProof/>
            <w:color w:val="0070C0"/>
            <w:sz w:val="20"/>
            <w:szCs w:val="20"/>
          </w:rPr>
          <w:t>IX</w:t>
        </w:r>
        <w:r w:rsidR="00126DE5" w:rsidRPr="00126DE5">
          <w:rPr>
            <w:rFonts w:cs="Arial"/>
            <w:b/>
            <w:color w:val="0070C0"/>
            <w:sz w:val="20"/>
            <w:szCs w:val="20"/>
          </w:rPr>
          <w:t>.2</w:t>
        </w:r>
      </w:fldSimple>
      <w:r w:rsidR="00B66631">
        <w:t xml:space="preserve">, and are expressed in terms of landscape coefficient.  The landscape coefficient describes the fraction of reference </w:t>
      </w:r>
      <w:r w:rsidR="00FD5274">
        <w:t>ET</w:t>
      </w:r>
      <w:r w:rsidR="00B66631">
        <w:t xml:space="preserve"> that can be assumed to be evapotranspired for a given plant palette.  The</w:t>
      </w:r>
      <w:r>
        <w:t xml:space="preserve"> higher </w:t>
      </w:r>
      <w:r w:rsidR="00B66631">
        <w:t xml:space="preserve">the </w:t>
      </w:r>
      <w:r>
        <w:t>landscape coefficient</w:t>
      </w:r>
      <w:r w:rsidR="00B66631">
        <w:t>,</w:t>
      </w:r>
      <w:r>
        <w:t xml:space="preserve"> </w:t>
      </w:r>
      <w:r w:rsidR="00B66631">
        <w:t xml:space="preserve">the shallower </w:t>
      </w:r>
      <w:r>
        <w:t xml:space="preserve">the depth of </w:t>
      </w:r>
      <w:r w:rsidR="001504F4">
        <w:t xml:space="preserve">the </w:t>
      </w:r>
      <w:r w:rsidR="00B24C0F">
        <w:t>green roof</w:t>
      </w:r>
      <w:r>
        <w:t xml:space="preserve"> </w:t>
      </w:r>
      <w:r w:rsidR="00B66631">
        <w:t xml:space="preserve">needs to be </w:t>
      </w:r>
      <w:r>
        <w:t>to achieve 40 percent retention</w:t>
      </w:r>
      <w:r w:rsidR="00B66631">
        <w:t xml:space="preserve">.  This </w:t>
      </w:r>
      <w:r>
        <w:t xml:space="preserve">would be expected, since water lost to </w:t>
      </w:r>
      <w:r w:rsidR="009805F5">
        <w:t>ET</w:t>
      </w:r>
      <w:r>
        <w:t xml:space="preserve"> is retained (does not run off)</w:t>
      </w:r>
      <w:r w:rsidR="009805F5">
        <w:t xml:space="preserve"> and higher landscape coefficient increases the rate of ET</w:t>
      </w:r>
      <w:r>
        <w:t xml:space="preserve">. </w:t>
      </w:r>
      <w:r w:rsidR="009805F5">
        <w:t xml:space="preserve">Likewise increasing the extensiveness of a roof has the same effect, since larger </w:t>
      </w:r>
      <w:r w:rsidR="00B24C0F">
        <w:t>green roof</w:t>
      </w:r>
      <w:r w:rsidR="009805F5">
        <w:t xml:space="preserve"> surface area per unit of stored volume yields faster moisture recovery rates.</w:t>
      </w:r>
    </w:p>
    <w:p w:rsidR="00A52ED1" w:rsidRDefault="009805F5" w:rsidP="00A52ED1">
      <w:r>
        <w:t xml:space="preserve">It should be noted that </w:t>
      </w:r>
      <w:r w:rsidR="00A52ED1">
        <w:t xml:space="preserve">when designing a </w:t>
      </w:r>
      <w:r w:rsidR="00B24C0F">
        <w:t>green roof</w:t>
      </w:r>
      <w:r w:rsidR="00A52ED1">
        <w:t xml:space="preserve">, consideration should be given to summer irrigation demands as well as wet season performance. </w:t>
      </w:r>
      <w:r>
        <w:t xml:space="preserve">While a higher landscape coefficient and more extensive area would theoretically increase wet season performance, this would also tend to increase </w:t>
      </w:r>
      <w:r w:rsidR="000E4DAD">
        <w:t xml:space="preserve">irrigation demand during the </w:t>
      </w:r>
      <w:r>
        <w:t>dry season</w:t>
      </w:r>
      <w:r w:rsidR="000E4DAD">
        <w:t xml:space="preserve"> and during dry periods of the wet season</w:t>
      </w:r>
      <w:r>
        <w:t>.</w:t>
      </w:r>
    </w:p>
    <w:tbl>
      <w:tblPr>
        <w:tblW w:w="9422" w:type="dxa"/>
        <w:tblInd w:w="93" w:type="dxa"/>
        <w:tblLook w:val="04A0"/>
      </w:tblPr>
      <w:tblGrid>
        <w:gridCol w:w="2985"/>
        <w:gridCol w:w="1080"/>
        <w:gridCol w:w="990"/>
        <w:gridCol w:w="1080"/>
        <w:gridCol w:w="1080"/>
        <w:gridCol w:w="1080"/>
        <w:gridCol w:w="1127"/>
      </w:tblGrid>
      <w:tr w:rsidR="00A52ED1" w:rsidRPr="00C7477D" w:rsidTr="00430D51">
        <w:trPr>
          <w:trHeight w:val="300"/>
        </w:trPr>
        <w:tc>
          <w:tcPr>
            <w:tcW w:w="9422" w:type="dxa"/>
            <w:gridSpan w:val="7"/>
            <w:tcBorders>
              <w:top w:val="nil"/>
              <w:left w:val="nil"/>
              <w:right w:val="nil"/>
            </w:tcBorders>
            <w:shd w:val="clear" w:color="auto" w:fill="auto"/>
            <w:noWrap/>
            <w:vAlign w:val="bottom"/>
            <w:hideMark/>
          </w:tcPr>
          <w:p w:rsidR="00A52ED1" w:rsidRPr="007F11AF" w:rsidRDefault="00A52ED1" w:rsidP="00647B99">
            <w:pPr>
              <w:pStyle w:val="Caption"/>
            </w:pPr>
          </w:p>
        </w:tc>
      </w:tr>
      <w:tr w:rsidR="00B96ACD" w:rsidRPr="00C7477D" w:rsidTr="00430D51">
        <w:trPr>
          <w:trHeight w:val="413"/>
        </w:trPr>
        <w:tc>
          <w:tcPr>
            <w:tcW w:w="9422" w:type="dxa"/>
            <w:gridSpan w:val="7"/>
            <w:tcBorders>
              <w:bottom w:val="single" w:sz="4" w:space="0" w:color="auto"/>
            </w:tcBorders>
            <w:shd w:val="clear" w:color="auto" w:fill="auto"/>
            <w:noWrap/>
            <w:vAlign w:val="center"/>
            <w:hideMark/>
          </w:tcPr>
          <w:p w:rsidR="00B96ACD" w:rsidRPr="00524D76" w:rsidRDefault="00B96ACD" w:rsidP="005E57C9">
            <w:pPr>
              <w:pStyle w:val="Caption"/>
              <w:rPr>
                <w:rFonts w:ascii="Times New Roman" w:eastAsia="Times New Roman" w:hAnsi="Times New Roman"/>
                <w:i/>
                <w:iCs/>
              </w:rPr>
            </w:pPr>
            <w:bookmarkStart w:id="592" w:name="_Ref285353468"/>
            <w:bookmarkStart w:id="593" w:name="_Toc288554385"/>
            <w:r w:rsidRPr="00524D76">
              <w:t xml:space="preserve">Table </w:t>
            </w:r>
            <w:r w:rsidR="00126F3D" w:rsidRPr="00524D76">
              <w:rPr>
                <w:rFonts w:cs="Arial"/>
              </w:rPr>
              <w:fldChar w:fldCharType="begin"/>
            </w:r>
            <w:r w:rsidR="00F83E79" w:rsidRPr="00524D76">
              <w:rPr>
                <w:rFonts w:cs="Arial"/>
              </w:rPr>
              <w:instrText xml:space="preserve"> STYLEREF 1 \s </w:instrText>
            </w:r>
            <w:r w:rsidR="00126F3D" w:rsidRPr="00524D76">
              <w:rPr>
                <w:rFonts w:cs="Arial"/>
              </w:rPr>
              <w:fldChar w:fldCharType="separate"/>
            </w:r>
            <w:r w:rsidR="00126DE5" w:rsidRPr="00524D76">
              <w:rPr>
                <w:rFonts w:cs="Arial"/>
                <w:noProof/>
              </w:rPr>
              <w:t>IX</w:t>
            </w:r>
            <w:r w:rsidR="00126F3D" w:rsidRPr="00524D76">
              <w:rPr>
                <w:rFonts w:cs="Arial"/>
              </w:rPr>
              <w:fldChar w:fldCharType="end"/>
            </w:r>
            <w:r w:rsidR="000B5480" w:rsidRPr="00524D76">
              <w:t>.</w:t>
            </w:r>
            <w:r w:rsidR="00126F3D" w:rsidRPr="00524D76">
              <w:rPr>
                <w:rFonts w:cs="Arial"/>
              </w:rPr>
              <w:fldChar w:fldCharType="begin"/>
            </w:r>
            <w:r w:rsidR="00F83E79" w:rsidRPr="00524D76">
              <w:rPr>
                <w:rFonts w:cs="Arial"/>
              </w:rPr>
              <w:instrText xml:space="preserve"> SEQ Table \* ARABIC \s 1 </w:instrText>
            </w:r>
            <w:r w:rsidR="00126F3D" w:rsidRPr="00524D76">
              <w:rPr>
                <w:rFonts w:cs="Arial"/>
              </w:rPr>
              <w:fldChar w:fldCharType="separate"/>
            </w:r>
            <w:r w:rsidR="00126DE5" w:rsidRPr="00524D76">
              <w:rPr>
                <w:rFonts w:cs="Arial"/>
                <w:noProof/>
              </w:rPr>
              <w:t>1</w:t>
            </w:r>
            <w:r w:rsidR="00126F3D" w:rsidRPr="00524D76">
              <w:rPr>
                <w:rFonts w:cs="Arial"/>
              </w:rPr>
              <w:fldChar w:fldCharType="end"/>
            </w:r>
            <w:bookmarkEnd w:id="592"/>
            <w:r w:rsidRPr="00524D76">
              <w:t xml:space="preserve">: </w:t>
            </w:r>
            <w:r w:rsidR="00B24C0F" w:rsidRPr="00524D76">
              <w:t xml:space="preserve">Green </w:t>
            </w:r>
            <w:r w:rsidR="005E57C9" w:rsidRPr="00524D76">
              <w:t xml:space="preserve">Roof Moisture Retention Depth Required for 40 Percent Volume Reduction, </w:t>
            </w:r>
            <w:r w:rsidRPr="00524D76">
              <w:t>Los Angeles</w:t>
            </w:r>
            <w:r w:rsidR="005E57C9" w:rsidRPr="00524D76">
              <w:t>/</w:t>
            </w:r>
            <w:r w:rsidRPr="00524D76">
              <w:t>Orange County</w:t>
            </w:r>
            <w:bookmarkEnd w:id="593"/>
          </w:p>
        </w:tc>
      </w:tr>
      <w:tr w:rsidR="00A52ED1" w:rsidRPr="00C7477D" w:rsidTr="00430D51">
        <w:trPr>
          <w:trHeight w:val="413"/>
        </w:trPr>
        <w:tc>
          <w:tcPr>
            <w:tcW w:w="9422" w:type="dxa"/>
            <w:gridSpan w:val="7"/>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A52ED1" w:rsidRPr="00C7477D" w:rsidRDefault="00E92816" w:rsidP="00FE704C">
            <w:pPr>
              <w:keepNext/>
              <w:spacing w:after="0" w:line="240" w:lineRule="auto"/>
              <w:jc w:val="center"/>
              <w:rPr>
                <w:rFonts w:ascii="Times New Roman" w:eastAsia="Times New Roman" w:hAnsi="Times New Roman" w:cs="Times New Roman"/>
                <w:b/>
                <w:bCs/>
                <w:i/>
                <w:iCs/>
                <w:color w:val="000000"/>
                <w:sz w:val="20"/>
                <w:szCs w:val="20"/>
              </w:rPr>
            </w:pPr>
            <w:r w:rsidRPr="00787AAB">
              <w:rPr>
                <w:rFonts w:ascii="Times New Roman" w:eastAsia="Times New Roman" w:hAnsi="Times New Roman" w:cs="Times New Roman"/>
                <w:b/>
                <w:bCs/>
                <w:i/>
                <w:iCs/>
                <w:color w:val="000000"/>
                <w:sz w:val="20"/>
                <w:szCs w:val="20"/>
              </w:rPr>
              <w:t xml:space="preserve">Landscape Coefficient </w:t>
            </w:r>
            <w:r>
              <w:rPr>
                <w:rFonts w:ascii="Times New Roman" w:eastAsia="Times New Roman" w:hAnsi="Times New Roman" w:cs="Times New Roman"/>
                <w:b/>
                <w:bCs/>
                <w:i/>
                <w:iCs/>
                <w:color w:val="000000"/>
                <w:sz w:val="20"/>
                <w:szCs w:val="20"/>
              </w:rPr>
              <w:t>(K</w:t>
            </w:r>
            <w:r w:rsidRPr="00E92816">
              <w:rPr>
                <w:rFonts w:ascii="Times New Roman" w:eastAsia="Times New Roman" w:hAnsi="Times New Roman" w:cs="Times New Roman"/>
                <w:b/>
                <w:bCs/>
                <w:i/>
                <w:iCs/>
                <w:color w:val="000000"/>
                <w:sz w:val="20"/>
                <w:szCs w:val="20"/>
                <w:vertAlign w:val="subscript"/>
              </w:rPr>
              <w:t>L</w:t>
            </w:r>
            <w:r>
              <w:rPr>
                <w:rFonts w:ascii="Times New Roman" w:eastAsia="Times New Roman" w:hAnsi="Times New Roman" w:cs="Times New Roman"/>
                <w:b/>
                <w:bCs/>
                <w:i/>
                <w:iCs/>
                <w:color w:val="000000"/>
                <w:sz w:val="20"/>
                <w:szCs w:val="20"/>
              </w:rPr>
              <w:t xml:space="preserve">) </w:t>
            </w:r>
            <w:r w:rsidR="00A52ED1" w:rsidRPr="00C7477D">
              <w:rPr>
                <w:rFonts w:ascii="Times New Roman" w:eastAsia="Times New Roman" w:hAnsi="Times New Roman" w:cs="Times New Roman"/>
                <w:b/>
                <w:bCs/>
                <w:i/>
                <w:iCs/>
                <w:color w:val="000000"/>
                <w:sz w:val="20"/>
                <w:szCs w:val="20"/>
              </w:rPr>
              <w:t>= 0.5</w:t>
            </w:r>
          </w:p>
        </w:tc>
      </w:tr>
      <w:tr w:rsidR="00A52ED1" w:rsidRPr="00C7477D" w:rsidTr="00FE704C">
        <w:trPr>
          <w:trHeight w:val="350"/>
        </w:trPr>
        <w:tc>
          <w:tcPr>
            <w:tcW w:w="2985"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A52ED1" w:rsidRPr="00C7477D" w:rsidRDefault="00A52ED1" w:rsidP="00FE704C">
            <w:pPr>
              <w:keepNext/>
              <w:spacing w:after="0" w:line="240" w:lineRule="auto"/>
              <w:rPr>
                <w:rFonts w:ascii="Times New Roman" w:eastAsia="Times New Roman" w:hAnsi="Times New Roman" w:cs="Times New Roman"/>
                <w:color w:val="000000"/>
                <w:sz w:val="20"/>
                <w:szCs w:val="20"/>
              </w:rPr>
            </w:pPr>
            <w:r w:rsidRPr="00C7477D">
              <w:rPr>
                <w:rFonts w:ascii="Times New Roman" w:eastAsia="Times New Roman" w:hAnsi="Times New Roman" w:cs="Times New Roman"/>
                <w:color w:val="000000"/>
                <w:sz w:val="20"/>
                <w:szCs w:val="20"/>
              </w:rPr>
              <w:t>Extensiveness</w:t>
            </w:r>
          </w:p>
        </w:tc>
        <w:tc>
          <w:tcPr>
            <w:tcW w:w="1080"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A52ED1" w:rsidRPr="00C7477D" w:rsidRDefault="00A52ED1" w:rsidP="00FE704C">
            <w:pPr>
              <w:keepNext/>
              <w:spacing w:after="0" w:line="240" w:lineRule="auto"/>
              <w:jc w:val="center"/>
              <w:rPr>
                <w:rFonts w:ascii="Times New Roman" w:eastAsia="Times New Roman" w:hAnsi="Times New Roman" w:cs="Times New Roman"/>
                <w:color w:val="000000"/>
                <w:sz w:val="20"/>
                <w:szCs w:val="20"/>
              </w:rPr>
            </w:pPr>
            <w:r w:rsidRPr="00C7477D">
              <w:rPr>
                <w:rFonts w:ascii="Times New Roman" w:eastAsia="Times New Roman" w:hAnsi="Times New Roman" w:cs="Times New Roman"/>
                <w:color w:val="000000"/>
                <w:sz w:val="20"/>
                <w:szCs w:val="20"/>
              </w:rPr>
              <w:t>0.5</w:t>
            </w:r>
          </w:p>
        </w:tc>
        <w:tc>
          <w:tcPr>
            <w:tcW w:w="990"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A52ED1" w:rsidRPr="00C7477D" w:rsidRDefault="00A52ED1" w:rsidP="00FE704C">
            <w:pPr>
              <w:keepNext/>
              <w:spacing w:after="0" w:line="240" w:lineRule="auto"/>
              <w:jc w:val="center"/>
              <w:rPr>
                <w:rFonts w:ascii="Times New Roman" w:eastAsia="Times New Roman" w:hAnsi="Times New Roman" w:cs="Times New Roman"/>
                <w:color w:val="000000"/>
                <w:sz w:val="20"/>
                <w:szCs w:val="20"/>
              </w:rPr>
            </w:pPr>
            <w:r w:rsidRPr="00C7477D">
              <w:rPr>
                <w:rFonts w:ascii="Times New Roman" w:eastAsia="Times New Roman" w:hAnsi="Times New Roman" w:cs="Times New Roman"/>
                <w:color w:val="000000"/>
                <w:sz w:val="20"/>
                <w:szCs w:val="20"/>
              </w:rPr>
              <w:t>0.6</w:t>
            </w:r>
          </w:p>
        </w:tc>
        <w:tc>
          <w:tcPr>
            <w:tcW w:w="1080"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A52ED1" w:rsidRPr="00C7477D" w:rsidRDefault="00A52ED1" w:rsidP="00FE704C">
            <w:pPr>
              <w:keepNext/>
              <w:spacing w:after="0" w:line="240" w:lineRule="auto"/>
              <w:jc w:val="center"/>
              <w:rPr>
                <w:rFonts w:ascii="Times New Roman" w:eastAsia="Times New Roman" w:hAnsi="Times New Roman" w:cs="Times New Roman"/>
                <w:color w:val="000000"/>
                <w:sz w:val="20"/>
                <w:szCs w:val="20"/>
              </w:rPr>
            </w:pPr>
            <w:r w:rsidRPr="00C7477D">
              <w:rPr>
                <w:rFonts w:ascii="Times New Roman" w:eastAsia="Times New Roman" w:hAnsi="Times New Roman" w:cs="Times New Roman"/>
                <w:color w:val="000000"/>
                <w:sz w:val="20"/>
                <w:szCs w:val="20"/>
              </w:rPr>
              <w:t>0.7</w:t>
            </w:r>
          </w:p>
        </w:tc>
        <w:tc>
          <w:tcPr>
            <w:tcW w:w="1080"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A52ED1" w:rsidRPr="00C7477D" w:rsidRDefault="00A52ED1" w:rsidP="00FE704C">
            <w:pPr>
              <w:keepNext/>
              <w:spacing w:after="0" w:line="240" w:lineRule="auto"/>
              <w:jc w:val="center"/>
              <w:rPr>
                <w:rFonts w:ascii="Times New Roman" w:eastAsia="Times New Roman" w:hAnsi="Times New Roman" w:cs="Times New Roman"/>
                <w:color w:val="000000"/>
                <w:sz w:val="20"/>
                <w:szCs w:val="20"/>
              </w:rPr>
            </w:pPr>
            <w:r w:rsidRPr="00C7477D">
              <w:rPr>
                <w:rFonts w:ascii="Times New Roman" w:eastAsia="Times New Roman" w:hAnsi="Times New Roman" w:cs="Times New Roman"/>
                <w:color w:val="000000"/>
                <w:sz w:val="20"/>
                <w:szCs w:val="20"/>
              </w:rPr>
              <w:t>0.8</w:t>
            </w:r>
          </w:p>
        </w:tc>
        <w:tc>
          <w:tcPr>
            <w:tcW w:w="1080"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A52ED1" w:rsidRPr="00C7477D" w:rsidRDefault="00A52ED1" w:rsidP="00FE704C">
            <w:pPr>
              <w:keepNext/>
              <w:spacing w:after="0" w:line="240" w:lineRule="auto"/>
              <w:jc w:val="center"/>
              <w:rPr>
                <w:rFonts w:ascii="Times New Roman" w:eastAsia="Times New Roman" w:hAnsi="Times New Roman" w:cs="Times New Roman"/>
                <w:color w:val="000000"/>
                <w:sz w:val="20"/>
                <w:szCs w:val="20"/>
              </w:rPr>
            </w:pPr>
            <w:r w:rsidRPr="00C7477D">
              <w:rPr>
                <w:rFonts w:ascii="Times New Roman" w:eastAsia="Times New Roman" w:hAnsi="Times New Roman" w:cs="Times New Roman"/>
                <w:color w:val="000000"/>
                <w:sz w:val="20"/>
                <w:szCs w:val="20"/>
              </w:rPr>
              <w:t>0.9</w:t>
            </w:r>
          </w:p>
        </w:tc>
        <w:tc>
          <w:tcPr>
            <w:tcW w:w="1127"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A52ED1" w:rsidRPr="00C7477D" w:rsidRDefault="00A52ED1" w:rsidP="00FE704C">
            <w:pPr>
              <w:keepNext/>
              <w:spacing w:after="0" w:line="240" w:lineRule="auto"/>
              <w:jc w:val="center"/>
              <w:rPr>
                <w:rFonts w:ascii="Times New Roman" w:eastAsia="Times New Roman" w:hAnsi="Times New Roman" w:cs="Times New Roman"/>
                <w:color w:val="000000"/>
                <w:sz w:val="20"/>
                <w:szCs w:val="20"/>
              </w:rPr>
            </w:pPr>
            <w:r w:rsidRPr="00C7477D">
              <w:rPr>
                <w:rFonts w:ascii="Times New Roman" w:eastAsia="Times New Roman" w:hAnsi="Times New Roman" w:cs="Times New Roman"/>
                <w:color w:val="000000"/>
                <w:sz w:val="20"/>
                <w:szCs w:val="20"/>
              </w:rPr>
              <w:t>1.0</w:t>
            </w:r>
          </w:p>
        </w:tc>
      </w:tr>
      <w:tr w:rsidR="00A52ED1" w:rsidRPr="00C7477D" w:rsidTr="00FE704C">
        <w:trPr>
          <w:trHeight w:val="404"/>
        </w:trPr>
        <w:tc>
          <w:tcPr>
            <w:tcW w:w="2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52ED1" w:rsidRPr="00C7477D" w:rsidRDefault="00A52ED1" w:rsidP="00FE704C">
            <w:pPr>
              <w:keepNext/>
              <w:spacing w:after="0" w:line="240" w:lineRule="auto"/>
              <w:rPr>
                <w:rFonts w:ascii="Times New Roman" w:eastAsia="Times New Roman" w:hAnsi="Times New Roman" w:cs="Times New Roman"/>
                <w:color w:val="000000"/>
                <w:sz w:val="20"/>
                <w:szCs w:val="20"/>
              </w:rPr>
            </w:pPr>
            <w:r w:rsidRPr="00C7477D">
              <w:rPr>
                <w:rFonts w:ascii="Times New Roman" w:eastAsia="Times New Roman" w:hAnsi="Times New Roman" w:cs="Times New Roman"/>
                <w:color w:val="000000"/>
                <w:sz w:val="20"/>
                <w:szCs w:val="20"/>
              </w:rPr>
              <w:t>Minimum Required Moisture Retention Depth, inches</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1.3</w:t>
            </w:r>
          </w:p>
        </w:tc>
        <w:tc>
          <w:tcPr>
            <w:tcW w:w="990"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1.05</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0.9</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0.8</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0.7</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0.6</w:t>
            </w:r>
          </w:p>
        </w:tc>
      </w:tr>
      <w:tr w:rsidR="00A52ED1" w:rsidRPr="00C7477D" w:rsidTr="00FE704C">
        <w:trPr>
          <w:trHeight w:val="600"/>
        </w:trPr>
        <w:tc>
          <w:tcPr>
            <w:tcW w:w="2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52ED1" w:rsidRPr="00C7477D" w:rsidRDefault="00A52ED1" w:rsidP="00FE704C">
            <w:pPr>
              <w:keepNext/>
              <w:spacing w:after="0" w:line="240" w:lineRule="auto"/>
              <w:rPr>
                <w:rFonts w:ascii="Times New Roman" w:eastAsia="Times New Roman" w:hAnsi="Times New Roman" w:cs="Times New Roman"/>
                <w:color w:val="000000"/>
                <w:sz w:val="20"/>
                <w:szCs w:val="20"/>
              </w:rPr>
            </w:pPr>
            <w:r w:rsidRPr="00C7477D">
              <w:rPr>
                <w:rFonts w:ascii="Times New Roman" w:eastAsia="Times New Roman" w:hAnsi="Times New Roman" w:cs="Times New Roman"/>
                <w:color w:val="000000"/>
                <w:sz w:val="20"/>
                <w:szCs w:val="20"/>
              </w:rPr>
              <w:t xml:space="preserve">Typical Soil Depth </w:t>
            </w:r>
            <w:r w:rsidR="00E92816">
              <w:rPr>
                <w:rFonts w:ascii="Times New Roman" w:eastAsia="Times New Roman" w:hAnsi="Times New Roman" w:cs="Times New Roman"/>
                <w:color w:val="000000"/>
                <w:sz w:val="20"/>
                <w:szCs w:val="20"/>
              </w:rPr>
              <w:t>Required to Provide Minimum Moisture Retention Depth</w:t>
            </w:r>
            <w:r w:rsidRPr="00C7477D">
              <w:rPr>
                <w:rFonts w:ascii="Times New Roman" w:eastAsia="Times New Roman" w:hAnsi="Times New Roman" w:cs="Times New Roman"/>
                <w:color w:val="000000"/>
                <w:sz w:val="20"/>
                <w:szCs w:val="20"/>
              </w:rPr>
              <w:t>(FC - WP = 0.15)</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8.7</w:t>
            </w:r>
          </w:p>
        </w:tc>
        <w:tc>
          <w:tcPr>
            <w:tcW w:w="990"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7.0</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6.0</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5.3</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4.7</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4.0</w:t>
            </w:r>
          </w:p>
        </w:tc>
      </w:tr>
      <w:tr w:rsidR="00A52ED1" w:rsidRPr="00C7477D" w:rsidTr="00FE704C">
        <w:trPr>
          <w:trHeight w:val="440"/>
        </w:trPr>
        <w:tc>
          <w:tcPr>
            <w:tcW w:w="9422" w:type="dxa"/>
            <w:gridSpan w:val="7"/>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A52ED1" w:rsidRPr="00787AAB" w:rsidRDefault="00A52ED1" w:rsidP="00FE704C">
            <w:pPr>
              <w:keepNext/>
              <w:spacing w:after="0" w:line="240" w:lineRule="auto"/>
              <w:jc w:val="center"/>
              <w:rPr>
                <w:rFonts w:ascii="Times New Roman" w:eastAsia="Times New Roman" w:hAnsi="Times New Roman" w:cs="Times New Roman"/>
                <w:b/>
                <w:bCs/>
                <w:i/>
                <w:iCs/>
                <w:color w:val="000000"/>
                <w:sz w:val="20"/>
                <w:szCs w:val="20"/>
              </w:rPr>
            </w:pPr>
            <w:r w:rsidRPr="00787AAB">
              <w:rPr>
                <w:rFonts w:ascii="Times New Roman" w:eastAsia="Times New Roman" w:hAnsi="Times New Roman" w:cs="Times New Roman"/>
                <w:b/>
                <w:bCs/>
                <w:i/>
                <w:iCs/>
                <w:color w:val="000000"/>
                <w:sz w:val="20"/>
                <w:szCs w:val="20"/>
              </w:rPr>
              <w:t xml:space="preserve">Landscape Coefficient </w:t>
            </w:r>
            <w:r w:rsidR="00E92816">
              <w:rPr>
                <w:rFonts w:ascii="Times New Roman" w:eastAsia="Times New Roman" w:hAnsi="Times New Roman" w:cs="Times New Roman"/>
                <w:b/>
                <w:bCs/>
                <w:i/>
                <w:iCs/>
                <w:color w:val="000000"/>
                <w:sz w:val="20"/>
                <w:szCs w:val="20"/>
              </w:rPr>
              <w:t>(K</w:t>
            </w:r>
            <w:r w:rsidR="00E92816" w:rsidRPr="00E92816">
              <w:rPr>
                <w:rFonts w:ascii="Times New Roman" w:eastAsia="Times New Roman" w:hAnsi="Times New Roman" w:cs="Times New Roman"/>
                <w:b/>
                <w:bCs/>
                <w:i/>
                <w:iCs/>
                <w:color w:val="000000"/>
                <w:sz w:val="20"/>
                <w:szCs w:val="20"/>
                <w:vertAlign w:val="subscript"/>
              </w:rPr>
              <w:t>L</w:t>
            </w:r>
            <w:r w:rsidR="00E92816">
              <w:rPr>
                <w:rFonts w:ascii="Times New Roman" w:eastAsia="Times New Roman" w:hAnsi="Times New Roman" w:cs="Times New Roman"/>
                <w:b/>
                <w:bCs/>
                <w:i/>
                <w:iCs/>
                <w:color w:val="000000"/>
                <w:sz w:val="20"/>
                <w:szCs w:val="20"/>
              </w:rPr>
              <w:t xml:space="preserve">) </w:t>
            </w:r>
            <w:r w:rsidRPr="00787AAB">
              <w:rPr>
                <w:rFonts w:ascii="Times New Roman" w:eastAsia="Times New Roman" w:hAnsi="Times New Roman" w:cs="Times New Roman"/>
                <w:b/>
                <w:bCs/>
                <w:i/>
                <w:iCs/>
                <w:color w:val="000000"/>
                <w:sz w:val="20"/>
                <w:szCs w:val="20"/>
              </w:rPr>
              <w:t>= 0.75</w:t>
            </w:r>
          </w:p>
        </w:tc>
      </w:tr>
      <w:tr w:rsidR="00A52ED1" w:rsidRPr="00C7477D" w:rsidTr="00FE704C">
        <w:trPr>
          <w:trHeight w:val="314"/>
        </w:trPr>
        <w:tc>
          <w:tcPr>
            <w:tcW w:w="2985"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A52ED1" w:rsidRPr="00C7477D" w:rsidRDefault="00A52ED1" w:rsidP="00FE704C">
            <w:pPr>
              <w:keepNext/>
              <w:spacing w:after="0" w:line="240" w:lineRule="auto"/>
              <w:rPr>
                <w:rFonts w:ascii="Times New Roman" w:eastAsia="Times New Roman" w:hAnsi="Times New Roman" w:cs="Times New Roman"/>
                <w:color w:val="000000"/>
                <w:sz w:val="20"/>
                <w:szCs w:val="20"/>
              </w:rPr>
            </w:pPr>
            <w:r w:rsidRPr="00C7477D">
              <w:rPr>
                <w:rFonts w:ascii="Times New Roman" w:eastAsia="Times New Roman" w:hAnsi="Times New Roman" w:cs="Times New Roman"/>
                <w:color w:val="000000"/>
                <w:sz w:val="20"/>
                <w:szCs w:val="20"/>
              </w:rPr>
              <w:t>Extensiveness</w:t>
            </w:r>
          </w:p>
        </w:tc>
        <w:tc>
          <w:tcPr>
            <w:tcW w:w="1080"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A52ED1" w:rsidRPr="00787AAB" w:rsidRDefault="00A52ED1" w:rsidP="00FE704C">
            <w:pPr>
              <w:keepNext/>
              <w:spacing w:after="0" w:line="240" w:lineRule="auto"/>
              <w:jc w:val="center"/>
              <w:rPr>
                <w:rFonts w:ascii="Times New Roman" w:eastAsia="Times New Roman" w:hAnsi="Times New Roman" w:cs="Times New Roman"/>
                <w:color w:val="000000"/>
                <w:sz w:val="20"/>
                <w:szCs w:val="20"/>
              </w:rPr>
            </w:pPr>
            <w:r w:rsidRPr="00787AAB">
              <w:rPr>
                <w:rFonts w:ascii="Times New Roman" w:eastAsia="Times New Roman" w:hAnsi="Times New Roman" w:cs="Times New Roman"/>
                <w:color w:val="000000"/>
                <w:sz w:val="20"/>
                <w:szCs w:val="20"/>
              </w:rPr>
              <w:t>0.5</w:t>
            </w:r>
          </w:p>
        </w:tc>
        <w:tc>
          <w:tcPr>
            <w:tcW w:w="990"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A52ED1" w:rsidRPr="00787AAB" w:rsidRDefault="00A52ED1" w:rsidP="00FE704C">
            <w:pPr>
              <w:keepNext/>
              <w:spacing w:after="0" w:line="240" w:lineRule="auto"/>
              <w:jc w:val="center"/>
              <w:rPr>
                <w:rFonts w:ascii="Times New Roman" w:eastAsia="Times New Roman" w:hAnsi="Times New Roman" w:cs="Times New Roman"/>
                <w:color w:val="000000"/>
                <w:sz w:val="20"/>
                <w:szCs w:val="20"/>
              </w:rPr>
            </w:pPr>
            <w:r w:rsidRPr="00787AAB">
              <w:rPr>
                <w:rFonts w:ascii="Times New Roman" w:eastAsia="Times New Roman" w:hAnsi="Times New Roman" w:cs="Times New Roman"/>
                <w:color w:val="000000"/>
                <w:sz w:val="20"/>
                <w:szCs w:val="20"/>
              </w:rPr>
              <w:t>0.6</w:t>
            </w:r>
          </w:p>
        </w:tc>
        <w:tc>
          <w:tcPr>
            <w:tcW w:w="1080"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A52ED1" w:rsidRPr="00787AAB" w:rsidRDefault="00A52ED1" w:rsidP="00FE704C">
            <w:pPr>
              <w:keepNext/>
              <w:spacing w:after="0" w:line="240" w:lineRule="auto"/>
              <w:jc w:val="center"/>
              <w:rPr>
                <w:rFonts w:ascii="Times New Roman" w:eastAsia="Times New Roman" w:hAnsi="Times New Roman" w:cs="Times New Roman"/>
                <w:color w:val="000000"/>
                <w:sz w:val="20"/>
                <w:szCs w:val="20"/>
              </w:rPr>
            </w:pPr>
            <w:r w:rsidRPr="00787AAB">
              <w:rPr>
                <w:rFonts w:ascii="Times New Roman" w:eastAsia="Times New Roman" w:hAnsi="Times New Roman" w:cs="Times New Roman"/>
                <w:color w:val="000000"/>
                <w:sz w:val="20"/>
                <w:szCs w:val="20"/>
              </w:rPr>
              <w:t>0.7</w:t>
            </w:r>
          </w:p>
        </w:tc>
        <w:tc>
          <w:tcPr>
            <w:tcW w:w="1080"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A52ED1" w:rsidRPr="00787AAB" w:rsidRDefault="00A52ED1" w:rsidP="00FE704C">
            <w:pPr>
              <w:keepNext/>
              <w:spacing w:after="0" w:line="240" w:lineRule="auto"/>
              <w:jc w:val="center"/>
              <w:rPr>
                <w:rFonts w:ascii="Times New Roman" w:eastAsia="Times New Roman" w:hAnsi="Times New Roman" w:cs="Times New Roman"/>
                <w:color w:val="000000"/>
                <w:sz w:val="20"/>
                <w:szCs w:val="20"/>
              </w:rPr>
            </w:pPr>
            <w:r w:rsidRPr="00787AAB">
              <w:rPr>
                <w:rFonts w:ascii="Times New Roman" w:eastAsia="Times New Roman" w:hAnsi="Times New Roman" w:cs="Times New Roman"/>
                <w:color w:val="000000"/>
                <w:sz w:val="20"/>
                <w:szCs w:val="20"/>
              </w:rPr>
              <w:t>0.8</w:t>
            </w:r>
          </w:p>
        </w:tc>
        <w:tc>
          <w:tcPr>
            <w:tcW w:w="1080"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A52ED1" w:rsidRPr="00787AAB" w:rsidRDefault="00A52ED1" w:rsidP="00FE704C">
            <w:pPr>
              <w:keepNext/>
              <w:spacing w:after="0" w:line="240" w:lineRule="auto"/>
              <w:jc w:val="center"/>
              <w:rPr>
                <w:rFonts w:ascii="Times New Roman" w:eastAsia="Times New Roman" w:hAnsi="Times New Roman" w:cs="Times New Roman"/>
                <w:color w:val="000000"/>
                <w:sz w:val="20"/>
                <w:szCs w:val="20"/>
              </w:rPr>
            </w:pPr>
            <w:r w:rsidRPr="00787AAB">
              <w:rPr>
                <w:rFonts w:ascii="Times New Roman" w:eastAsia="Times New Roman" w:hAnsi="Times New Roman" w:cs="Times New Roman"/>
                <w:color w:val="000000"/>
                <w:sz w:val="20"/>
                <w:szCs w:val="20"/>
              </w:rPr>
              <w:t>0.9</w:t>
            </w:r>
          </w:p>
        </w:tc>
        <w:tc>
          <w:tcPr>
            <w:tcW w:w="1127"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A52ED1" w:rsidRPr="00787AAB" w:rsidRDefault="00A52ED1" w:rsidP="00FE704C">
            <w:pPr>
              <w:keepNext/>
              <w:spacing w:after="0" w:line="240" w:lineRule="auto"/>
              <w:jc w:val="center"/>
              <w:rPr>
                <w:rFonts w:ascii="Times New Roman" w:eastAsia="Times New Roman" w:hAnsi="Times New Roman" w:cs="Times New Roman"/>
                <w:color w:val="000000"/>
                <w:sz w:val="20"/>
                <w:szCs w:val="20"/>
              </w:rPr>
            </w:pPr>
            <w:r w:rsidRPr="00787AAB">
              <w:rPr>
                <w:rFonts w:ascii="Times New Roman" w:eastAsia="Times New Roman" w:hAnsi="Times New Roman" w:cs="Times New Roman"/>
                <w:color w:val="000000"/>
                <w:sz w:val="20"/>
                <w:szCs w:val="20"/>
              </w:rPr>
              <w:t>1.0</w:t>
            </w:r>
          </w:p>
        </w:tc>
      </w:tr>
      <w:tr w:rsidR="00A52ED1" w:rsidRPr="00C7477D" w:rsidTr="00FE704C">
        <w:trPr>
          <w:trHeight w:val="570"/>
        </w:trPr>
        <w:tc>
          <w:tcPr>
            <w:tcW w:w="2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52ED1" w:rsidRPr="00C7477D" w:rsidRDefault="00A52ED1" w:rsidP="00FE704C">
            <w:pPr>
              <w:keepNext/>
              <w:spacing w:after="0" w:line="240" w:lineRule="auto"/>
              <w:rPr>
                <w:rFonts w:ascii="Times New Roman" w:eastAsia="Times New Roman" w:hAnsi="Times New Roman" w:cs="Times New Roman"/>
                <w:color w:val="000000"/>
                <w:sz w:val="20"/>
                <w:szCs w:val="20"/>
              </w:rPr>
            </w:pPr>
            <w:r w:rsidRPr="00C7477D">
              <w:rPr>
                <w:rFonts w:ascii="Times New Roman" w:eastAsia="Times New Roman" w:hAnsi="Times New Roman" w:cs="Times New Roman"/>
                <w:color w:val="000000"/>
                <w:sz w:val="20"/>
                <w:szCs w:val="20"/>
              </w:rPr>
              <w:t>Minimum Required Moisture Retention Depth, inches</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0.9</w:t>
            </w:r>
          </w:p>
        </w:tc>
        <w:tc>
          <w:tcPr>
            <w:tcW w:w="990"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0.75</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0.65</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0.55</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0.5</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0.45</w:t>
            </w:r>
          </w:p>
        </w:tc>
      </w:tr>
      <w:tr w:rsidR="00A52ED1" w:rsidRPr="00C7477D" w:rsidTr="00FE704C">
        <w:trPr>
          <w:trHeight w:val="600"/>
        </w:trPr>
        <w:tc>
          <w:tcPr>
            <w:tcW w:w="2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52ED1" w:rsidRPr="00C7477D" w:rsidRDefault="00E92816" w:rsidP="00FE704C">
            <w:pPr>
              <w:spacing w:after="0" w:line="240" w:lineRule="auto"/>
              <w:rPr>
                <w:rFonts w:ascii="Times New Roman" w:eastAsia="Times New Roman" w:hAnsi="Times New Roman" w:cs="Times New Roman"/>
                <w:color w:val="000000"/>
                <w:sz w:val="20"/>
                <w:szCs w:val="20"/>
              </w:rPr>
            </w:pPr>
            <w:r w:rsidRPr="00C7477D">
              <w:rPr>
                <w:rFonts w:ascii="Times New Roman" w:eastAsia="Times New Roman" w:hAnsi="Times New Roman" w:cs="Times New Roman"/>
                <w:color w:val="000000"/>
                <w:sz w:val="20"/>
                <w:szCs w:val="20"/>
              </w:rPr>
              <w:t xml:space="preserve">Typical Soil Depth </w:t>
            </w:r>
            <w:r>
              <w:rPr>
                <w:rFonts w:ascii="Times New Roman" w:eastAsia="Times New Roman" w:hAnsi="Times New Roman" w:cs="Times New Roman"/>
                <w:color w:val="000000"/>
                <w:sz w:val="20"/>
                <w:szCs w:val="20"/>
              </w:rPr>
              <w:t>Required to Provide Minimum Moisture Retention Depth</w:t>
            </w:r>
            <w:r w:rsidR="00A52ED1" w:rsidRPr="00C7477D">
              <w:rPr>
                <w:rFonts w:ascii="Times New Roman" w:eastAsia="Times New Roman" w:hAnsi="Times New Roman" w:cs="Times New Roman"/>
                <w:color w:val="000000"/>
                <w:sz w:val="20"/>
                <w:szCs w:val="20"/>
              </w:rPr>
              <w:t>(FC - WP = 0.15)</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6.0</w:t>
            </w:r>
          </w:p>
        </w:tc>
        <w:tc>
          <w:tcPr>
            <w:tcW w:w="990"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5.0</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4.3</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3.7</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3.3</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rsidR="00A52ED1" w:rsidRPr="00787AAB" w:rsidRDefault="00A52ED1" w:rsidP="00FE704C">
            <w:pPr>
              <w:keepNext/>
              <w:spacing w:after="0"/>
              <w:jc w:val="center"/>
              <w:rPr>
                <w:rFonts w:ascii="Times New Roman" w:hAnsi="Times New Roman" w:cs="Times New Roman"/>
                <w:color w:val="000000"/>
                <w:sz w:val="20"/>
                <w:szCs w:val="20"/>
              </w:rPr>
            </w:pPr>
            <w:r w:rsidRPr="00787AAB">
              <w:rPr>
                <w:rFonts w:ascii="Times New Roman" w:hAnsi="Times New Roman" w:cs="Times New Roman"/>
                <w:color w:val="000000"/>
                <w:sz w:val="20"/>
                <w:szCs w:val="20"/>
              </w:rPr>
              <w:t>3.0</w:t>
            </w:r>
          </w:p>
        </w:tc>
      </w:tr>
    </w:tbl>
    <w:p w:rsidR="00E92699" w:rsidRDefault="00E92816" w:rsidP="00E92816">
      <w:pPr>
        <w:rPr>
          <w:rFonts w:ascii="Times New Roman" w:hAnsi="Times New Roman" w:cs="Times New Roman"/>
        </w:rPr>
      </w:pPr>
      <w:r>
        <w:rPr>
          <w:rFonts w:ascii="Times New Roman" w:hAnsi="Times New Roman" w:cs="Times New Roman"/>
        </w:rPr>
        <w:t>K</w:t>
      </w:r>
      <w:r w:rsidRPr="00E92816">
        <w:rPr>
          <w:rFonts w:ascii="Times New Roman" w:hAnsi="Times New Roman" w:cs="Times New Roman"/>
          <w:vertAlign w:val="subscript"/>
        </w:rPr>
        <w:t>L</w:t>
      </w:r>
      <w:r>
        <w:rPr>
          <w:rFonts w:ascii="Times New Roman" w:hAnsi="Times New Roman" w:cs="Times New Roman"/>
        </w:rPr>
        <w:t xml:space="preserve"> = Landscape Coefficient; WP = </w:t>
      </w:r>
      <w:r w:rsidR="00B9693A">
        <w:rPr>
          <w:rFonts w:ascii="Times New Roman" w:hAnsi="Times New Roman" w:cs="Times New Roman"/>
        </w:rPr>
        <w:t xml:space="preserve">soil </w:t>
      </w:r>
      <w:r>
        <w:rPr>
          <w:rFonts w:ascii="Times New Roman" w:hAnsi="Times New Roman" w:cs="Times New Roman"/>
        </w:rPr>
        <w:t xml:space="preserve">wilting point; FC = </w:t>
      </w:r>
      <w:r w:rsidR="00B9693A">
        <w:rPr>
          <w:rFonts w:ascii="Times New Roman" w:hAnsi="Times New Roman" w:cs="Times New Roman"/>
        </w:rPr>
        <w:t xml:space="preserve">soil </w:t>
      </w:r>
      <w:r>
        <w:rPr>
          <w:rFonts w:ascii="Times New Roman" w:hAnsi="Times New Roman" w:cs="Times New Roman"/>
        </w:rPr>
        <w:t>field capacity</w:t>
      </w:r>
    </w:p>
    <w:p w:rsidR="00430D51" w:rsidRPr="00524D76" w:rsidRDefault="00430D51" w:rsidP="00647B99">
      <w:pPr>
        <w:pStyle w:val="Caption"/>
      </w:pPr>
      <w:bookmarkStart w:id="594" w:name="_Ref285177769"/>
      <w:bookmarkStart w:id="595" w:name="_Toc288555063"/>
      <w:r w:rsidRPr="00524D76">
        <w:t xml:space="preserve">Figure </w:t>
      </w:r>
      <w:fldSimple w:instr=" STYLEREF 1 \s ">
        <w:r w:rsidR="00524D76">
          <w:rPr>
            <w:noProof/>
          </w:rPr>
          <w:t>IX</w:t>
        </w:r>
      </w:fldSimple>
      <w:r w:rsidR="00524D76">
        <w:t>.</w:t>
      </w:r>
      <w:fldSimple w:instr=" SEQ Figure \* ARABIC \s 1 ">
        <w:r w:rsidR="00524D76">
          <w:rPr>
            <w:noProof/>
          </w:rPr>
          <w:t>1</w:t>
        </w:r>
      </w:fldSimple>
      <w:bookmarkEnd w:id="594"/>
      <w:r w:rsidRPr="00524D76">
        <w:t xml:space="preserve">: Green </w:t>
      </w:r>
      <w:r w:rsidR="005E57C9" w:rsidRPr="00524D76">
        <w:t>Roof Performance R</w:t>
      </w:r>
      <w:r w:rsidRPr="00524D76">
        <w:t>elationships for Los Angeles and Orange County, Landscape Coefficient (</w:t>
      </w:r>
      <w:proofErr w:type="gramStart"/>
      <w:r w:rsidRPr="00524D76">
        <w:t>KL )</w:t>
      </w:r>
      <w:proofErr w:type="gramEnd"/>
      <w:r w:rsidRPr="00524D76">
        <w:t xml:space="preserve"> = 0.5 (Low water use plant palette)</w:t>
      </w:r>
      <w:bookmarkEnd w:id="595"/>
    </w:p>
    <w:p w:rsidR="00A52ED1" w:rsidRPr="00524D76" w:rsidRDefault="006E3E48" w:rsidP="00647B99">
      <w:pPr>
        <w:pStyle w:val="Caption"/>
      </w:pPr>
      <w:r w:rsidRPr="00524D76">
        <w:rPr>
          <w:noProof/>
          <w:lang w:bidi="ar-SA"/>
        </w:rPr>
        <w:drawing>
          <wp:inline distT="0" distB="0" distL="0" distR="0">
            <wp:extent cx="5934075" cy="5245402"/>
            <wp:effectExtent l="19050" t="0" r="9525" b="0"/>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email"/>
                    <a:srcRect/>
                    <a:stretch>
                      <a:fillRect/>
                    </a:stretch>
                  </pic:blipFill>
                  <pic:spPr bwMode="auto">
                    <a:xfrm>
                      <a:off x="0" y="0"/>
                      <a:ext cx="5937323" cy="5248273"/>
                    </a:xfrm>
                    <a:prstGeom prst="rect">
                      <a:avLst/>
                    </a:prstGeom>
                    <a:noFill/>
                  </pic:spPr>
                </pic:pic>
              </a:graphicData>
            </a:graphic>
          </wp:inline>
        </w:drawing>
      </w:r>
    </w:p>
    <w:p w:rsidR="00430D51" w:rsidRPr="00430D51" w:rsidRDefault="00430D51" w:rsidP="00430D51">
      <w:pPr>
        <w:rPr>
          <w:lang w:bidi="en-US"/>
        </w:rPr>
      </w:pPr>
    </w:p>
    <w:p w:rsidR="00A52ED1" w:rsidRPr="00524D76" w:rsidRDefault="00430D51" w:rsidP="00647B99">
      <w:pPr>
        <w:pStyle w:val="Caption"/>
      </w:pPr>
      <w:bookmarkStart w:id="596" w:name="_Ref285177776"/>
      <w:bookmarkStart w:id="597" w:name="_Toc288555064"/>
      <w:r w:rsidRPr="00524D76">
        <w:t xml:space="preserve">Figure </w:t>
      </w:r>
      <w:fldSimple w:instr=" STYLEREF 1 \s ">
        <w:r w:rsidR="00524D76">
          <w:rPr>
            <w:noProof/>
          </w:rPr>
          <w:t>IX</w:t>
        </w:r>
      </w:fldSimple>
      <w:r w:rsidR="00524D76">
        <w:t>.</w:t>
      </w:r>
      <w:fldSimple w:instr=" SEQ Figure \* ARABIC \s 1 ">
        <w:r w:rsidR="00524D76">
          <w:rPr>
            <w:noProof/>
          </w:rPr>
          <w:t>2</w:t>
        </w:r>
      </w:fldSimple>
      <w:bookmarkEnd w:id="596"/>
      <w:r w:rsidRPr="00524D76">
        <w:t xml:space="preserve">: Green </w:t>
      </w:r>
      <w:r w:rsidR="005E57C9" w:rsidRPr="00524D76">
        <w:t>Roof Performance R</w:t>
      </w:r>
      <w:r w:rsidRPr="00524D76">
        <w:t>elationships for Los Angeles and Orange County, Landscape Coefficient (</w:t>
      </w:r>
      <w:proofErr w:type="gramStart"/>
      <w:r w:rsidRPr="00524D76">
        <w:t>K</w:t>
      </w:r>
      <w:r w:rsidRPr="00524D76">
        <w:rPr>
          <w:vertAlign w:val="subscript"/>
        </w:rPr>
        <w:t>L</w:t>
      </w:r>
      <w:r w:rsidRPr="00524D76">
        <w:t xml:space="preserve"> )</w:t>
      </w:r>
      <w:proofErr w:type="gramEnd"/>
      <w:r w:rsidRPr="00524D76">
        <w:t xml:space="preserve"> = 0.75 (Moderate water use plant palette)</w:t>
      </w:r>
      <w:bookmarkEnd w:id="597"/>
    </w:p>
    <w:p w:rsidR="00A52ED1" w:rsidRPr="00524D76" w:rsidRDefault="006E3E48" w:rsidP="00647B99">
      <w:pPr>
        <w:pStyle w:val="Caption"/>
      </w:pPr>
      <w:r w:rsidRPr="00524D76">
        <w:rPr>
          <w:noProof/>
          <w:lang w:bidi="ar-SA"/>
        </w:rPr>
        <w:drawing>
          <wp:inline distT="0" distB="0" distL="0" distR="0">
            <wp:extent cx="6565900" cy="5803900"/>
            <wp:effectExtent l="19050" t="0" r="6350" b="0"/>
            <wp:docPr id="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email"/>
                    <a:srcRect/>
                    <a:stretch>
                      <a:fillRect/>
                    </a:stretch>
                  </pic:blipFill>
                  <pic:spPr bwMode="auto">
                    <a:xfrm>
                      <a:off x="0" y="0"/>
                      <a:ext cx="6565900" cy="5803900"/>
                    </a:xfrm>
                    <a:prstGeom prst="rect">
                      <a:avLst/>
                    </a:prstGeom>
                    <a:noFill/>
                  </pic:spPr>
                </pic:pic>
              </a:graphicData>
            </a:graphic>
          </wp:inline>
        </w:drawing>
      </w:r>
    </w:p>
    <w:p w:rsidR="00A52ED1" w:rsidRDefault="00A52ED1" w:rsidP="00CD3E5E">
      <w:pPr>
        <w:pStyle w:val="CDMBTEXT"/>
      </w:pPr>
    </w:p>
    <w:p w:rsidR="00CD3E5E" w:rsidRPr="00CD3E5E" w:rsidRDefault="00CD3E5E" w:rsidP="00CD3E5E">
      <w:pPr>
        <w:sectPr w:rsidR="00CD3E5E" w:rsidRPr="00CD3E5E" w:rsidSect="00BF43BB">
          <w:headerReference w:type="first" r:id="rId85"/>
          <w:pgSz w:w="12240" w:h="15840" w:code="1"/>
          <w:pgMar w:top="1440" w:right="1440" w:bottom="1440" w:left="1440" w:header="720" w:footer="432" w:gutter="0"/>
          <w:pgNumType w:start="1" w:chapStyle="1"/>
          <w:cols w:space="720"/>
          <w:docGrid w:linePitch="360"/>
        </w:sectPr>
      </w:pPr>
    </w:p>
    <w:p w:rsidR="00A52ED1" w:rsidRDefault="004C6431" w:rsidP="00A52883">
      <w:pPr>
        <w:pStyle w:val="Heading1"/>
      </w:pPr>
      <w:bookmarkStart w:id="598" w:name="_Toc285308176"/>
      <w:bookmarkStart w:id="599" w:name="_Toc285315760"/>
      <w:bookmarkStart w:id="600" w:name="_Toc285315899"/>
      <w:bookmarkStart w:id="601" w:name="_Ref285357522"/>
      <w:bookmarkStart w:id="602" w:name="_Toc285492479"/>
      <w:bookmarkStart w:id="603" w:name="_Ref287706761"/>
      <w:bookmarkStart w:id="604" w:name="_Ref287784765"/>
      <w:bookmarkStart w:id="605" w:name="_Ref287982656"/>
      <w:bookmarkStart w:id="606" w:name="_Toc288541100"/>
      <w:bookmarkStart w:id="607" w:name="_Toc293937156"/>
      <w:bookmarkEnd w:id="570"/>
      <w:r>
        <w:rPr>
          <w:caps w:val="0"/>
        </w:rPr>
        <w:t>HARVEST AND USE DEMAND CALCULATIONS AND FEASIBILITY SCREENING</w:t>
      </w:r>
      <w:bookmarkEnd w:id="598"/>
      <w:bookmarkEnd w:id="599"/>
      <w:bookmarkEnd w:id="600"/>
      <w:bookmarkEnd w:id="601"/>
      <w:bookmarkEnd w:id="602"/>
      <w:bookmarkEnd w:id="603"/>
      <w:bookmarkEnd w:id="604"/>
      <w:bookmarkEnd w:id="605"/>
      <w:bookmarkEnd w:id="606"/>
      <w:bookmarkEnd w:id="607"/>
    </w:p>
    <w:p w:rsidR="00A52ED1" w:rsidRDefault="00A52ED1" w:rsidP="00A52883">
      <w:pPr>
        <w:pStyle w:val="Heading2"/>
      </w:pPr>
      <w:bookmarkStart w:id="608" w:name="_Toc285308177"/>
      <w:bookmarkStart w:id="609" w:name="_Toc285315761"/>
      <w:bookmarkStart w:id="610" w:name="_Toc285492480"/>
      <w:bookmarkStart w:id="611" w:name="_Toc288541101"/>
      <w:bookmarkStart w:id="612" w:name="_Toc293937157"/>
      <w:r>
        <w:t>Introduction</w:t>
      </w:r>
      <w:bookmarkEnd w:id="608"/>
      <w:bookmarkEnd w:id="609"/>
      <w:bookmarkEnd w:id="610"/>
      <w:bookmarkEnd w:id="611"/>
      <w:bookmarkEnd w:id="612"/>
    </w:p>
    <w:p w:rsidR="00A52ED1" w:rsidRDefault="00A52ED1" w:rsidP="00A52ED1">
      <w:r>
        <w:t>The purpose of this appendix is to provide guidance for calculating harvested water demand and provide the technical basis for the harvest and use feasibility screening thresholds. This appendix contains the following:</w:t>
      </w:r>
    </w:p>
    <w:p w:rsidR="00A52ED1" w:rsidRDefault="00A52ED1" w:rsidP="009531AF">
      <w:pPr>
        <w:pStyle w:val="ListParagraph"/>
        <w:numPr>
          <w:ilvl w:val="0"/>
          <w:numId w:val="39"/>
        </w:numPr>
        <w:spacing w:line="264" w:lineRule="auto"/>
      </w:pPr>
      <w:r>
        <w:t>References for harvested water demand and guidance for preparing project</w:t>
      </w:r>
      <w:r w:rsidR="00512C9C">
        <w:t>-specific</w:t>
      </w:r>
      <w:r>
        <w:t xml:space="preserve"> harvested water demand calculations</w:t>
      </w:r>
    </w:p>
    <w:p w:rsidR="00A52ED1" w:rsidRDefault="00A52ED1" w:rsidP="009531AF">
      <w:pPr>
        <w:pStyle w:val="ListParagraph"/>
        <w:numPr>
          <w:ilvl w:val="0"/>
          <w:numId w:val="39"/>
        </w:numPr>
        <w:spacing w:line="264" w:lineRule="auto"/>
      </w:pPr>
      <w:r>
        <w:t>Evaluation of required harvested water demand for minimum partial feasibility of harvest and use systems</w:t>
      </w:r>
    </w:p>
    <w:p w:rsidR="0014047B" w:rsidRDefault="00622320">
      <w:pPr>
        <w:spacing w:line="264" w:lineRule="auto"/>
      </w:pPr>
      <w:r>
        <w:t>Harvested water demand should be evaluated at the scale of the project, and not limited to single drainage areas. It is assumed that harvested water collected from one drainage area could be used within another.</w:t>
      </w:r>
    </w:p>
    <w:p w:rsidR="00A52ED1" w:rsidRDefault="00A52ED1" w:rsidP="00A52883">
      <w:pPr>
        <w:pStyle w:val="Heading2"/>
      </w:pPr>
      <w:bookmarkStart w:id="613" w:name="_Toc285308178"/>
      <w:bookmarkStart w:id="614" w:name="_Toc285315762"/>
      <w:bookmarkStart w:id="615" w:name="_Toc285492481"/>
      <w:bookmarkStart w:id="616" w:name="_Toc288541102"/>
      <w:bookmarkStart w:id="617" w:name="_Toc293937158"/>
      <w:r>
        <w:t>Harvested Water Demand Calculation</w:t>
      </w:r>
      <w:bookmarkEnd w:id="613"/>
      <w:bookmarkEnd w:id="614"/>
      <w:bookmarkEnd w:id="615"/>
      <w:bookmarkEnd w:id="616"/>
      <w:bookmarkEnd w:id="617"/>
    </w:p>
    <w:p w:rsidR="00A52ED1" w:rsidRDefault="00A52ED1" w:rsidP="00A52ED1">
      <w:r>
        <w:t xml:space="preserve">The following sections provide technical references and guidance for estimating the harvested water demand of a project. These references are intended to be used </w:t>
      </w:r>
      <w:r w:rsidR="00512C9C">
        <w:t>for the</w:t>
      </w:r>
      <w:r>
        <w:t xml:space="preserve"> planning phase of a project and for feasibility screening purposes. </w:t>
      </w:r>
    </w:p>
    <w:p w:rsidR="00A52ED1" w:rsidRDefault="00A52ED1" w:rsidP="00A52883">
      <w:pPr>
        <w:pStyle w:val="Heading3"/>
      </w:pPr>
      <w:r>
        <w:t>Key Differences in Demand Calculations for Harvest and Use Feasibility versus Water Supply Planning</w:t>
      </w:r>
    </w:p>
    <w:p w:rsidR="00A52ED1" w:rsidRDefault="00A52ED1" w:rsidP="00A52ED1">
      <w:r>
        <w:t>It is very important to note that harvested water demand calculations differ in purpose and methods from water demand calculations done for wate</w:t>
      </w:r>
      <w:r w:rsidR="000E4DAD">
        <w:t>r supply planning. When designing</w:t>
      </w:r>
      <w:r>
        <w:t xml:space="preserve"> harvest and use systems for stormwater management, a reliable method of </w:t>
      </w:r>
      <w:r w:rsidR="000E4DAD">
        <w:t xml:space="preserve">relatively quickly </w:t>
      </w:r>
      <w:r>
        <w:t xml:space="preserve">regenerating storage capacity (i.e., using water) must exist to provide storage capacity for subsequent storms. Therefore, demand calculations for harvest and use BMPs should attempt to estimate the </w:t>
      </w:r>
      <w:r w:rsidRPr="000F68CC">
        <w:rPr>
          <w:b/>
          <w:i/>
        </w:rPr>
        <w:t>actual demand that is reliably present</w:t>
      </w:r>
      <w:r w:rsidRPr="000F68CC">
        <w:rPr>
          <w:i/>
        </w:rPr>
        <w:t xml:space="preserve"> </w:t>
      </w:r>
      <w:r w:rsidRPr="000F68CC">
        <w:rPr>
          <w:b/>
          <w:i/>
        </w:rPr>
        <w:t>to drain stormwater cisterns during the wet season</w:t>
      </w:r>
      <w:r w:rsidR="000E4DAD" w:rsidRPr="000E4DAD">
        <w:rPr>
          <w:b/>
          <w:i/>
        </w:rPr>
        <w:t xml:space="preserve"> </w:t>
      </w:r>
      <w:r w:rsidR="000E4DAD">
        <w:rPr>
          <w:b/>
          <w:i/>
        </w:rPr>
        <w:t>and especially within short-term (week to a couple of weeks) series of storms that are typical</w:t>
      </w:r>
      <w:r>
        <w:t xml:space="preserve">. This objective is fundamentally different from the objectives of water demand forecasting calculations done for water supply planning, which may err toward higher estimates of demand to provide conservatism to account for uncertainty. Harvested water demand calculations used to determine the feasibility of harvest and use BMPs must be based on estimates of actual </w:t>
      </w:r>
      <w:r w:rsidR="000E4DAD">
        <w:t xml:space="preserve">expected </w:t>
      </w:r>
      <w:r>
        <w:t>demand that are reliably present to drain the cistern during the wet season.</w:t>
      </w:r>
    </w:p>
    <w:p w:rsidR="00A52ED1" w:rsidRDefault="00A52ED1" w:rsidP="00A52883">
      <w:pPr>
        <w:pStyle w:val="Heading3"/>
      </w:pPr>
      <w:r>
        <w:t>Types of Harvested Water Demand</w:t>
      </w:r>
    </w:p>
    <w:p w:rsidR="00A52ED1" w:rsidRDefault="00A52ED1" w:rsidP="00A52ED1">
      <w:r>
        <w:t>Types of non-potable water demand anticipated to be applicable in the foreseeable future include:</w:t>
      </w:r>
    </w:p>
    <w:p w:rsidR="00A52ED1" w:rsidRDefault="00A52ED1" w:rsidP="009531AF">
      <w:pPr>
        <w:pStyle w:val="ListParagraph"/>
        <w:numPr>
          <w:ilvl w:val="0"/>
          <w:numId w:val="40"/>
        </w:numPr>
        <w:spacing w:line="264" w:lineRule="auto"/>
      </w:pPr>
      <w:r>
        <w:t>Toilet and urinal flushing</w:t>
      </w:r>
    </w:p>
    <w:p w:rsidR="00A52ED1" w:rsidRDefault="00A52ED1" w:rsidP="009531AF">
      <w:pPr>
        <w:pStyle w:val="ListParagraph"/>
        <w:numPr>
          <w:ilvl w:val="0"/>
          <w:numId w:val="40"/>
        </w:numPr>
        <w:spacing w:line="264" w:lineRule="auto"/>
      </w:pPr>
      <w:r>
        <w:t>Irrigation</w:t>
      </w:r>
    </w:p>
    <w:p w:rsidR="00A52ED1" w:rsidRDefault="00A52ED1" w:rsidP="009531AF">
      <w:pPr>
        <w:pStyle w:val="ListParagraph"/>
        <w:numPr>
          <w:ilvl w:val="0"/>
          <w:numId w:val="40"/>
        </w:numPr>
        <w:spacing w:line="264" w:lineRule="auto"/>
      </w:pPr>
      <w:r>
        <w:t>Vehicle washing</w:t>
      </w:r>
    </w:p>
    <w:p w:rsidR="00A52ED1" w:rsidRDefault="00A52ED1" w:rsidP="009531AF">
      <w:pPr>
        <w:pStyle w:val="ListParagraph"/>
        <w:numPr>
          <w:ilvl w:val="0"/>
          <w:numId w:val="40"/>
        </w:numPr>
        <w:spacing w:line="264" w:lineRule="auto"/>
      </w:pPr>
      <w:r>
        <w:t xml:space="preserve">Evaporative cooling </w:t>
      </w:r>
    </w:p>
    <w:p w:rsidR="00A52ED1" w:rsidRDefault="00A52ED1" w:rsidP="009531AF">
      <w:pPr>
        <w:pStyle w:val="ListParagraph"/>
        <w:numPr>
          <w:ilvl w:val="0"/>
          <w:numId w:val="40"/>
        </w:numPr>
        <w:spacing w:line="264" w:lineRule="auto"/>
      </w:pPr>
      <w:r>
        <w:t>Dilution water for recycled water systems</w:t>
      </w:r>
    </w:p>
    <w:p w:rsidR="00A52ED1" w:rsidRDefault="00A52ED1" w:rsidP="009531AF">
      <w:pPr>
        <w:pStyle w:val="ListParagraph"/>
        <w:numPr>
          <w:ilvl w:val="0"/>
          <w:numId w:val="40"/>
        </w:numPr>
        <w:spacing w:line="264" w:lineRule="auto"/>
      </w:pPr>
      <w:r>
        <w:t xml:space="preserve">Industrial processes </w:t>
      </w:r>
    </w:p>
    <w:p w:rsidR="00A52ED1" w:rsidRDefault="00A52ED1" w:rsidP="009531AF">
      <w:pPr>
        <w:pStyle w:val="ListParagraph"/>
        <w:numPr>
          <w:ilvl w:val="0"/>
          <w:numId w:val="40"/>
        </w:numPr>
        <w:spacing w:line="264" w:lineRule="auto"/>
      </w:pPr>
      <w:r>
        <w:t>Other non-potable uses</w:t>
      </w:r>
    </w:p>
    <w:p w:rsidR="00A52ED1" w:rsidRDefault="00A52ED1" w:rsidP="00A52ED1">
      <w:r>
        <w:t>The following sections are divided between toilet flushing, outdoor irrigation demand, and other non-potable demands. The primary distinction between toilet/urinal flushing and irrigation demand is the level of treatment and disinfection that is required to use the water and the seasonal pattern of the demand.</w:t>
      </w:r>
      <w:r w:rsidRPr="00936C39">
        <w:t xml:space="preserve"> </w:t>
      </w:r>
      <w:r>
        <w:t xml:space="preserve">Other non-potable demands </w:t>
      </w:r>
      <w:r w:rsidR="000E4DAD">
        <w:t>(e.g. ind</w:t>
      </w:r>
      <w:r w:rsidR="00430D51">
        <w:t xml:space="preserve">ustrial processes for example) </w:t>
      </w:r>
      <w:r>
        <w:t>are anticipated to be highly project specific and should be calculated using project-specific information.</w:t>
      </w:r>
    </w:p>
    <w:p w:rsidR="00A52ED1" w:rsidRDefault="00A52ED1" w:rsidP="00A52883">
      <w:pPr>
        <w:pStyle w:val="Heading3"/>
      </w:pPr>
      <w:r>
        <w:t>Toilet and Urinal Flushing Demand Calculations</w:t>
      </w:r>
    </w:p>
    <w:p w:rsidR="00A52ED1" w:rsidRPr="00270227" w:rsidRDefault="00A52ED1" w:rsidP="00A52ED1">
      <w:r w:rsidRPr="00270227">
        <w:t>The following guidelines should be followed for computing harvested water demand from toilet and urinal flushing:</w:t>
      </w:r>
    </w:p>
    <w:p w:rsidR="000E4DAD" w:rsidRDefault="000E4DAD" w:rsidP="009531AF">
      <w:pPr>
        <w:pStyle w:val="ListParagraph"/>
        <w:numPr>
          <w:ilvl w:val="0"/>
          <w:numId w:val="41"/>
        </w:numPr>
        <w:spacing w:line="264" w:lineRule="auto"/>
      </w:pPr>
      <w:r>
        <w:t>If reclaimed water is planned for use for toilet and urinal flushing, then the demand for harvested stormwater</w:t>
      </w:r>
      <w:r w:rsidR="001504F4">
        <w:t xml:space="preserve"> is equivalent to the total demand minus the reclaimed water supplied, and</w:t>
      </w:r>
      <w:r>
        <w:t xml:space="preserve"> should be reduced by the amount of reclaimed water that is available during the wet season.</w:t>
      </w:r>
      <w:r w:rsidR="00B400E8">
        <w:t xml:space="preserve"> The basis for this priority is provided in Section </w:t>
      </w:r>
      <w:r w:rsidR="00126F3D" w:rsidRPr="00126DE5">
        <w:rPr>
          <w:b/>
          <w:color w:val="0070C0"/>
          <w:sz w:val="20"/>
        </w:rPr>
        <w:fldChar w:fldCharType="begin"/>
      </w:r>
      <w:r w:rsidR="00B400E8" w:rsidRPr="00126DE5">
        <w:rPr>
          <w:b/>
          <w:color w:val="0070C0"/>
          <w:sz w:val="20"/>
        </w:rPr>
        <w:instrText xml:space="preserve"> REF _Ref287978815 \r \h </w:instrText>
      </w:r>
      <w:r w:rsidR="00126F3D" w:rsidRPr="00126DE5">
        <w:rPr>
          <w:b/>
          <w:color w:val="0070C0"/>
          <w:sz w:val="20"/>
        </w:rPr>
      </w:r>
      <w:r w:rsidR="00126F3D" w:rsidRPr="00126DE5">
        <w:rPr>
          <w:b/>
          <w:color w:val="0070C0"/>
          <w:sz w:val="20"/>
        </w:rPr>
        <w:fldChar w:fldCharType="separate"/>
      </w:r>
      <w:r w:rsidR="00126DE5" w:rsidRPr="00126DE5">
        <w:rPr>
          <w:b/>
          <w:color w:val="0070C0"/>
          <w:sz w:val="20"/>
        </w:rPr>
        <w:t>X.2.8</w:t>
      </w:r>
      <w:r w:rsidR="00126F3D" w:rsidRPr="00126DE5">
        <w:rPr>
          <w:b/>
          <w:color w:val="0070C0"/>
          <w:sz w:val="20"/>
        </w:rPr>
        <w:fldChar w:fldCharType="end"/>
      </w:r>
      <w:r w:rsidR="00B400E8">
        <w:t>.</w:t>
      </w:r>
    </w:p>
    <w:p w:rsidR="00A52ED1" w:rsidRPr="00270227" w:rsidRDefault="00A52ED1" w:rsidP="009531AF">
      <w:pPr>
        <w:pStyle w:val="ListParagraph"/>
        <w:numPr>
          <w:ilvl w:val="0"/>
          <w:numId w:val="41"/>
        </w:numPr>
        <w:spacing w:line="264" w:lineRule="auto"/>
      </w:pPr>
      <w:r w:rsidRPr="00270227">
        <w:t xml:space="preserve">Demand calculations for toilet and urinal flushing </w:t>
      </w:r>
      <w:r>
        <w:t>should be based on the average</w:t>
      </w:r>
      <w:r w:rsidRPr="00270227">
        <w:t xml:space="preserve"> rate </w:t>
      </w:r>
      <w:r w:rsidR="000E4DAD">
        <w:t xml:space="preserve">during the wet season </w:t>
      </w:r>
      <w:r w:rsidRPr="00270227">
        <w:t xml:space="preserve">for a typical year. </w:t>
      </w:r>
    </w:p>
    <w:p w:rsidR="00A52ED1" w:rsidRPr="00270227" w:rsidRDefault="00A52ED1" w:rsidP="009531AF">
      <w:pPr>
        <w:pStyle w:val="ListParagraph"/>
        <w:numPr>
          <w:ilvl w:val="0"/>
          <w:numId w:val="41"/>
        </w:numPr>
        <w:spacing w:line="264" w:lineRule="auto"/>
      </w:pPr>
      <w:r w:rsidRPr="00270227">
        <w:t xml:space="preserve">Demand calculations should </w:t>
      </w:r>
      <w:r w:rsidR="000E4DAD">
        <w:t xml:space="preserve">include </w:t>
      </w:r>
      <w:r w:rsidRPr="00270227">
        <w:t xml:space="preserve">changes in occupancy over weekends and around holidays and changes in attendance/enrollment over school vacation periods. </w:t>
      </w:r>
    </w:p>
    <w:p w:rsidR="003C6758" w:rsidRDefault="00A52ED1" w:rsidP="009531AF">
      <w:pPr>
        <w:pStyle w:val="ListParagraph"/>
        <w:numPr>
          <w:ilvl w:val="0"/>
          <w:numId w:val="41"/>
        </w:numPr>
        <w:spacing w:line="264" w:lineRule="auto"/>
      </w:pPr>
      <w:r w:rsidRPr="00270227">
        <w:t>For facili</w:t>
      </w:r>
      <w:r>
        <w:t>ties with generally high demand</w:t>
      </w:r>
      <w:r w:rsidRPr="00270227">
        <w:t xml:space="preserve"> but periodic shut downs (e.g., for vacations, maintenance, or other reasons), a project specific analysis should be conducted to </w:t>
      </w:r>
      <w:r>
        <w:t xml:space="preserve">determine whether </w:t>
      </w:r>
      <w:r w:rsidRPr="00270227">
        <w:t xml:space="preserve">performance </w:t>
      </w:r>
      <w:r w:rsidR="000E4DAD">
        <w:t xml:space="preserve">stormwater management </w:t>
      </w:r>
      <w:r w:rsidRPr="00270227">
        <w:t xml:space="preserve">can be maintained despite shut downs. </w:t>
      </w:r>
    </w:p>
    <w:p w:rsidR="00A52ED1" w:rsidRPr="00270227" w:rsidRDefault="00A52ED1" w:rsidP="009531AF">
      <w:pPr>
        <w:pStyle w:val="ListParagraph"/>
        <w:numPr>
          <w:ilvl w:val="0"/>
          <w:numId w:val="41"/>
        </w:numPr>
        <w:spacing w:line="264" w:lineRule="auto"/>
      </w:pPr>
      <w:r>
        <w:t>Such an analysis</w:t>
      </w:r>
      <w:r w:rsidRPr="00270227">
        <w:t xml:space="preserve"> should consider the statistical distributi</w:t>
      </w:r>
      <w:r w:rsidR="003C6758">
        <w:t>ons of precipitation and demand, foremost the relationship of demand to the wet seasons of the year.</w:t>
      </w:r>
    </w:p>
    <w:p w:rsidR="00A52ED1" w:rsidRDefault="00126F3D" w:rsidP="00A52ED1">
      <w:r w:rsidRPr="00126DE5">
        <w:rPr>
          <w:rFonts w:cs="Arial"/>
          <w:b/>
          <w:color w:val="0070C0"/>
          <w:sz w:val="20"/>
          <w:szCs w:val="20"/>
        </w:rPr>
        <w:fldChar w:fldCharType="begin"/>
      </w:r>
      <w:r w:rsidR="00A52ED1" w:rsidRPr="00126DE5">
        <w:rPr>
          <w:rFonts w:cs="Arial"/>
          <w:b/>
          <w:color w:val="0070C0"/>
          <w:sz w:val="20"/>
          <w:szCs w:val="20"/>
        </w:rPr>
        <w:instrText xml:space="preserve"> REF _Ref285009717 \h </w:instrText>
      </w:r>
      <w:r w:rsidRPr="00126DE5">
        <w:rPr>
          <w:rFonts w:cs="Arial"/>
          <w:b/>
          <w:color w:val="0070C0"/>
          <w:sz w:val="20"/>
          <w:szCs w:val="20"/>
        </w:rPr>
      </w:r>
      <w:r w:rsidRPr="00126DE5">
        <w:rPr>
          <w:rFonts w:cs="Arial"/>
          <w:b/>
          <w:color w:val="0070C0"/>
          <w:sz w:val="20"/>
          <w:szCs w:val="20"/>
        </w:rPr>
        <w:fldChar w:fldCharType="separate"/>
      </w:r>
      <w:r w:rsidR="00126DE5" w:rsidRPr="00126DE5">
        <w:rPr>
          <w:b/>
          <w:color w:val="0070C0"/>
        </w:rPr>
        <w:t xml:space="preserve">Table </w:t>
      </w:r>
      <w:r w:rsidR="00126DE5" w:rsidRPr="00126DE5">
        <w:rPr>
          <w:b/>
          <w:noProof/>
          <w:color w:val="0070C0"/>
        </w:rPr>
        <w:t>X</w:t>
      </w:r>
      <w:r w:rsidR="00126DE5" w:rsidRPr="00126DE5">
        <w:rPr>
          <w:b/>
          <w:color w:val="0070C0"/>
        </w:rPr>
        <w:t>.</w:t>
      </w:r>
      <w:r w:rsidR="00126DE5" w:rsidRPr="00126DE5">
        <w:rPr>
          <w:b/>
          <w:noProof/>
          <w:color w:val="0070C0"/>
        </w:rPr>
        <w:t>1</w:t>
      </w:r>
      <w:r w:rsidRPr="00126DE5">
        <w:rPr>
          <w:rFonts w:cs="Arial"/>
          <w:b/>
          <w:color w:val="0070C0"/>
          <w:sz w:val="20"/>
          <w:szCs w:val="20"/>
        </w:rPr>
        <w:fldChar w:fldCharType="end"/>
      </w:r>
      <w:r w:rsidR="00A52ED1">
        <w:t xml:space="preserve"> provides </w:t>
      </w:r>
      <w:r w:rsidR="00DA4642">
        <w:t xml:space="preserve">planning level </w:t>
      </w:r>
      <w:r w:rsidR="00A52ED1">
        <w:t xml:space="preserve">estimated toilet and urinal flushing demand per resident or employee for a variety of project types.  The per capita use per day is based on daily employee or resident usage.  For non-residential types of development, the “visitor factor” and “student factor” (for schools) should be multiplied by the employee use to account for toilet and urinal usage for non-employees using facilities.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90"/>
        <w:gridCol w:w="1601"/>
        <w:gridCol w:w="1118"/>
        <w:gridCol w:w="1044"/>
        <w:gridCol w:w="1201"/>
        <w:gridCol w:w="1582"/>
        <w:gridCol w:w="1040"/>
      </w:tblGrid>
      <w:tr w:rsidR="00430D51" w:rsidRPr="005411C8" w:rsidTr="00430D51">
        <w:trPr>
          <w:cantSplit/>
          <w:trHeight w:val="300"/>
          <w:tblHeader/>
        </w:trPr>
        <w:tc>
          <w:tcPr>
            <w:tcW w:w="5000" w:type="pct"/>
            <w:gridSpan w:val="7"/>
            <w:tcBorders>
              <w:top w:val="nil"/>
              <w:left w:val="nil"/>
              <w:bottom w:val="single" w:sz="4" w:space="0" w:color="auto"/>
              <w:right w:val="nil"/>
            </w:tcBorders>
            <w:shd w:val="clear" w:color="auto" w:fill="auto"/>
          </w:tcPr>
          <w:p w:rsidR="00430D51" w:rsidRPr="00524D76" w:rsidRDefault="00430D51" w:rsidP="00647B99">
            <w:pPr>
              <w:pStyle w:val="Caption"/>
            </w:pPr>
            <w:bookmarkStart w:id="618" w:name="_Ref285009717"/>
            <w:bookmarkStart w:id="619" w:name="_Toc288554386"/>
            <w:r w:rsidRPr="00524D76">
              <w:t xml:space="preserve">Table </w:t>
            </w:r>
            <w:fldSimple w:instr=" STYLEREF 1 \s ">
              <w:r w:rsidR="00126DE5" w:rsidRPr="00524D76">
                <w:rPr>
                  <w:noProof/>
                </w:rPr>
                <w:t>X</w:t>
              </w:r>
            </w:fldSimple>
            <w:r w:rsidRPr="00524D76">
              <w:t>.</w:t>
            </w:r>
            <w:fldSimple w:instr=" SEQ Table \* ARABIC \s 1 ">
              <w:r w:rsidR="00126DE5" w:rsidRPr="00524D76">
                <w:rPr>
                  <w:noProof/>
                </w:rPr>
                <w:t>1</w:t>
              </w:r>
            </w:fldSimple>
            <w:bookmarkEnd w:id="618"/>
            <w:r w:rsidRPr="00524D76">
              <w:t>: Toilet and Urinal Water Usage per Resident or Employee</w:t>
            </w:r>
            <w:bookmarkEnd w:id="619"/>
          </w:p>
        </w:tc>
      </w:tr>
      <w:tr w:rsidR="003C6758" w:rsidRPr="005411C8" w:rsidTr="00430D51">
        <w:trPr>
          <w:cantSplit/>
          <w:trHeight w:val="300"/>
          <w:tblHeader/>
        </w:trPr>
        <w:tc>
          <w:tcPr>
            <w:tcW w:w="1039" w:type="pct"/>
            <w:vMerge w:val="restart"/>
            <w:tcBorders>
              <w:top w:val="single" w:sz="4" w:space="0" w:color="auto"/>
            </w:tcBorders>
            <w:shd w:val="clear" w:color="auto" w:fill="D9D9D9" w:themeFill="background1" w:themeFillShade="D9"/>
            <w:noWrap/>
            <w:vAlign w:val="center"/>
            <w:hideMark/>
          </w:tcPr>
          <w:p w:rsidR="003C6758" w:rsidRPr="005411C8" w:rsidRDefault="003C6758" w:rsidP="00FE704C">
            <w:pPr>
              <w:keepNext/>
              <w:spacing w:after="0"/>
              <w:rPr>
                <w:rFonts w:ascii="Arial" w:hAnsi="Arial" w:cs="Arial"/>
                <w:b/>
                <w:bCs/>
                <w:sz w:val="20"/>
              </w:rPr>
            </w:pPr>
            <w:r w:rsidRPr="005411C8">
              <w:rPr>
                <w:rFonts w:ascii="Arial" w:hAnsi="Arial" w:cs="Arial"/>
                <w:b/>
                <w:bCs/>
                <w:sz w:val="20"/>
              </w:rPr>
              <w:t>Land Use Type</w:t>
            </w:r>
          </w:p>
        </w:tc>
        <w:tc>
          <w:tcPr>
            <w:tcW w:w="836" w:type="pct"/>
            <w:vMerge w:val="restart"/>
            <w:tcBorders>
              <w:top w:val="single" w:sz="4" w:space="0" w:color="auto"/>
            </w:tcBorders>
            <w:shd w:val="clear" w:color="auto" w:fill="D9D9D9" w:themeFill="background1" w:themeFillShade="D9"/>
            <w:vAlign w:val="bottom"/>
          </w:tcPr>
          <w:p w:rsidR="003C6758" w:rsidRPr="005411C8" w:rsidRDefault="003C6758" w:rsidP="00FE704C">
            <w:pPr>
              <w:keepNext/>
              <w:spacing w:after="0"/>
              <w:jc w:val="center"/>
              <w:rPr>
                <w:rFonts w:ascii="Arial" w:hAnsi="Arial" w:cs="Arial"/>
                <w:b/>
                <w:bCs/>
                <w:sz w:val="20"/>
              </w:rPr>
            </w:pPr>
            <w:r w:rsidRPr="005411C8">
              <w:rPr>
                <w:rFonts w:ascii="Arial" w:hAnsi="Arial" w:cs="Arial"/>
                <w:b/>
                <w:sz w:val="20"/>
              </w:rPr>
              <w:t>Toilet User Unit of Normalization</w:t>
            </w:r>
          </w:p>
        </w:tc>
        <w:tc>
          <w:tcPr>
            <w:tcW w:w="1129" w:type="pct"/>
            <w:gridSpan w:val="2"/>
            <w:tcBorders>
              <w:top w:val="single" w:sz="4" w:space="0" w:color="auto"/>
            </w:tcBorders>
            <w:shd w:val="clear" w:color="auto" w:fill="D9D9D9" w:themeFill="background1" w:themeFillShade="D9"/>
            <w:noWrap/>
            <w:vAlign w:val="bottom"/>
            <w:hideMark/>
          </w:tcPr>
          <w:p w:rsidR="003C6758" w:rsidRPr="005411C8" w:rsidRDefault="003C6758" w:rsidP="00FE704C">
            <w:pPr>
              <w:keepNext/>
              <w:spacing w:after="0"/>
              <w:jc w:val="center"/>
              <w:rPr>
                <w:rFonts w:ascii="Arial" w:hAnsi="Arial" w:cs="Arial"/>
                <w:b/>
                <w:bCs/>
                <w:sz w:val="20"/>
              </w:rPr>
            </w:pPr>
            <w:r w:rsidRPr="005411C8">
              <w:rPr>
                <w:rFonts w:ascii="Arial" w:hAnsi="Arial" w:cs="Arial"/>
                <w:b/>
                <w:bCs/>
                <w:sz w:val="20"/>
              </w:rPr>
              <w:t>Per Capita Use per Day</w:t>
            </w:r>
          </w:p>
        </w:tc>
        <w:tc>
          <w:tcPr>
            <w:tcW w:w="627" w:type="pct"/>
            <w:vMerge w:val="restart"/>
            <w:tcBorders>
              <w:top w:val="single" w:sz="4" w:space="0" w:color="auto"/>
            </w:tcBorders>
            <w:shd w:val="clear" w:color="auto" w:fill="D9D9D9" w:themeFill="background1" w:themeFillShade="D9"/>
            <w:vAlign w:val="bottom"/>
          </w:tcPr>
          <w:p w:rsidR="003C6758" w:rsidRPr="005411C8" w:rsidRDefault="003C6758" w:rsidP="00FE704C">
            <w:pPr>
              <w:keepNext/>
              <w:spacing w:after="0"/>
              <w:jc w:val="center"/>
              <w:rPr>
                <w:rFonts w:ascii="Arial" w:hAnsi="Arial" w:cs="Arial"/>
                <w:b/>
                <w:bCs/>
                <w:sz w:val="20"/>
              </w:rPr>
            </w:pPr>
            <w:r w:rsidRPr="005411C8">
              <w:rPr>
                <w:rFonts w:ascii="Arial" w:hAnsi="Arial" w:cs="Arial"/>
                <w:b/>
                <w:bCs/>
                <w:sz w:val="20"/>
              </w:rPr>
              <w:t>Visitor Factor</w:t>
            </w:r>
            <w:r w:rsidRPr="005411C8">
              <w:rPr>
                <w:rFonts w:ascii="Arial" w:hAnsi="Arial" w:cs="Arial"/>
                <w:b/>
                <w:bCs/>
                <w:sz w:val="20"/>
                <w:vertAlign w:val="superscript"/>
              </w:rPr>
              <w:t>4</w:t>
            </w:r>
          </w:p>
        </w:tc>
        <w:tc>
          <w:tcPr>
            <w:tcW w:w="826" w:type="pct"/>
            <w:vMerge w:val="restart"/>
            <w:tcBorders>
              <w:top w:val="single" w:sz="4" w:space="0" w:color="auto"/>
            </w:tcBorders>
            <w:shd w:val="clear" w:color="auto" w:fill="D9D9D9" w:themeFill="background1" w:themeFillShade="D9"/>
            <w:vAlign w:val="bottom"/>
          </w:tcPr>
          <w:p w:rsidR="003C6758" w:rsidRPr="005411C8" w:rsidRDefault="003C6758" w:rsidP="003C6758">
            <w:pPr>
              <w:keepNext/>
              <w:spacing w:after="0"/>
              <w:jc w:val="center"/>
              <w:rPr>
                <w:rFonts w:ascii="Arial" w:hAnsi="Arial" w:cs="Arial"/>
                <w:b/>
                <w:bCs/>
                <w:sz w:val="20"/>
              </w:rPr>
            </w:pPr>
            <w:r>
              <w:rPr>
                <w:rFonts w:ascii="Arial" w:hAnsi="Arial" w:cs="Arial"/>
                <w:b/>
                <w:bCs/>
                <w:sz w:val="20"/>
              </w:rPr>
              <w:t>Water Efficiency Factor</w:t>
            </w:r>
          </w:p>
        </w:tc>
        <w:tc>
          <w:tcPr>
            <w:tcW w:w="543" w:type="pct"/>
            <w:vMerge w:val="restart"/>
            <w:tcBorders>
              <w:top w:val="single" w:sz="4" w:space="0" w:color="auto"/>
            </w:tcBorders>
            <w:shd w:val="clear" w:color="auto" w:fill="D9D9D9" w:themeFill="background1" w:themeFillShade="D9"/>
            <w:vAlign w:val="bottom"/>
          </w:tcPr>
          <w:p w:rsidR="003C6758" w:rsidRPr="005411C8" w:rsidRDefault="003C6758" w:rsidP="00FE704C">
            <w:pPr>
              <w:keepNext/>
              <w:spacing w:after="0"/>
              <w:jc w:val="center"/>
              <w:rPr>
                <w:rFonts w:ascii="Arial" w:hAnsi="Arial" w:cs="Arial"/>
                <w:b/>
                <w:bCs/>
                <w:sz w:val="20"/>
              </w:rPr>
            </w:pPr>
            <w:r w:rsidRPr="005411C8">
              <w:rPr>
                <w:rFonts w:ascii="Arial" w:hAnsi="Arial" w:cs="Arial"/>
                <w:b/>
                <w:bCs/>
                <w:sz w:val="20"/>
              </w:rPr>
              <w:t>Total Use</w:t>
            </w:r>
          </w:p>
        </w:tc>
      </w:tr>
      <w:tr w:rsidR="003C6758" w:rsidRPr="005411C8" w:rsidTr="003C6758">
        <w:trPr>
          <w:cantSplit/>
          <w:trHeight w:val="315"/>
          <w:tblHeader/>
        </w:trPr>
        <w:tc>
          <w:tcPr>
            <w:tcW w:w="1039" w:type="pct"/>
            <w:vMerge/>
            <w:shd w:val="clear" w:color="auto" w:fill="D9D9D9" w:themeFill="background1" w:themeFillShade="D9"/>
            <w:vAlign w:val="center"/>
            <w:hideMark/>
          </w:tcPr>
          <w:p w:rsidR="003C6758" w:rsidRPr="005411C8" w:rsidRDefault="003C6758" w:rsidP="00FE704C">
            <w:pPr>
              <w:keepNext/>
              <w:spacing w:after="0"/>
              <w:rPr>
                <w:rFonts w:ascii="Arial" w:hAnsi="Arial" w:cs="Arial"/>
                <w:b/>
                <w:bCs/>
                <w:sz w:val="20"/>
              </w:rPr>
            </w:pPr>
          </w:p>
        </w:tc>
        <w:tc>
          <w:tcPr>
            <w:tcW w:w="836" w:type="pct"/>
            <w:vMerge/>
            <w:shd w:val="clear" w:color="auto" w:fill="D9D9D9" w:themeFill="background1" w:themeFillShade="D9"/>
            <w:vAlign w:val="bottom"/>
          </w:tcPr>
          <w:p w:rsidR="003C6758" w:rsidRPr="005411C8" w:rsidRDefault="003C6758" w:rsidP="00FE704C">
            <w:pPr>
              <w:keepNext/>
              <w:spacing w:after="0"/>
              <w:jc w:val="center"/>
              <w:rPr>
                <w:rFonts w:ascii="Arial" w:hAnsi="Arial" w:cs="Arial"/>
                <w:b/>
                <w:bCs/>
                <w:sz w:val="20"/>
              </w:rPr>
            </w:pPr>
          </w:p>
        </w:tc>
        <w:tc>
          <w:tcPr>
            <w:tcW w:w="584" w:type="pct"/>
            <w:shd w:val="clear" w:color="auto" w:fill="D9D9D9" w:themeFill="background1" w:themeFillShade="D9"/>
            <w:noWrap/>
            <w:vAlign w:val="bottom"/>
            <w:hideMark/>
          </w:tcPr>
          <w:p w:rsidR="003C6758" w:rsidRPr="005411C8" w:rsidRDefault="003C6758" w:rsidP="00FE704C">
            <w:pPr>
              <w:keepNext/>
              <w:spacing w:after="0"/>
              <w:jc w:val="center"/>
              <w:rPr>
                <w:rFonts w:ascii="Arial" w:hAnsi="Arial" w:cs="Arial"/>
                <w:b/>
                <w:bCs/>
                <w:sz w:val="20"/>
              </w:rPr>
            </w:pPr>
            <w:r w:rsidRPr="005411C8">
              <w:rPr>
                <w:rFonts w:ascii="Arial" w:hAnsi="Arial" w:cs="Arial"/>
                <w:b/>
                <w:bCs/>
                <w:sz w:val="20"/>
              </w:rPr>
              <w:t>Toilet Flushing</w:t>
            </w:r>
            <w:r w:rsidRPr="005411C8">
              <w:rPr>
                <w:rFonts w:ascii="Arial" w:hAnsi="Arial" w:cs="Arial"/>
                <w:b/>
                <w:bCs/>
                <w:sz w:val="20"/>
                <w:vertAlign w:val="superscript"/>
              </w:rPr>
              <w:t>1,2</w:t>
            </w:r>
          </w:p>
        </w:tc>
        <w:tc>
          <w:tcPr>
            <w:tcW w:w="545" w:type="pct"/>
            <w:shd w:val="clear" w:color="auto" w:fill="D9D9D9" w:themeFill="background1" w:themeFillShade="D9"/>
            <w:noWrap/>
            <w:vAlign w:val="bottom"/>
            <w:hideMark/>
          </w:tcPr>
          <w:p w:rsidR="003C6758" w:rsidRPr="005411C8" w:rsidRDefault="003C6758" w:rsidP="00FE704C">
            <w:pPr>
              <w:keepNext/>
              <w:spacing w:after="0"/>
              <w:jc w:val="center"/>
              <w:rPr>
                <w:rFonts w:ascii="Arial" w:hAnsi="Arial" w:cs="Arial"/>
                <w:b/>
                <w:bCs/>
                <w:sz w:val="20"/>
              </w:rPr>
            </w:pPr>
            <w:r w:rsidRPr="005411C8">
              <w:rPr>
                <w:rFonts w:ascii="Arial" w:hAnsi="Arial" w:cs="Arial"/>
                <w:b/>
                <w:bCs/>
                <w:sz w:val="20"/>
              </w:rPr>
              <w:t>Urinals</w:t>
            </w:r>
            <w:r w:rsidRPr="005411C8">
              <w:rPr>
                <w:rFonts w:ascii="Arial" w:hAnsi="Arial" w:cs="Arial"/>
                <w:b/>
                <w:bCs/>
                <w:sz w:val="20"/>
                <w:vertAlign w:val="superscript"/>
              </w:rPr>
              <w:t>3</w:t>
            </w:r>
          </w:p>
        </w:tc>
        <w:tc>
          <w:tcPr>
            <w:tcW w:w="627" w:type="pct"/>
            <w:vMerge/>
            <w:shd w:val="clear" w:color="auto" w:fill="D9D9D9" w:themeFill="background1" w:themeFillShade="D9"/>
            <w:vAlign w:val="center"/>
            <w:hideMark/>
          </w:tcPr>
          <w:p w:rsidR="003C6758" w:rsidRPr="005411C8" w:rsidRDefault="003C6758" w:rsidP="00FE704C">
            <w:pPr>
              <w:keepNext/>
              <w:spacing w:after="0"/>
              <w:jc w:val="center"/>
              <w:rPr>
                <w:rFonts w:ascii="Arial" w:hAnsi="Arial" w:cs="Arial"/>
                <w:b/>
                <w:bCs/>
                <w:sz w:val="20"/>
              </w:rPr>
            </w:pPr>
          </w:p>
        </w:tc>
        <w:tc>
          <w:tcPr>
            <w:tcW w:w="826" w:type="pct"/>
            <w:vMerge/>
            <w:shd w:val="clear" w:color="auto" w:fill="D9D9D9" w:themeFill="background1" w:themeFillShade="D9"/>
          </w:tcPr>
          <w:p w:rsidR="003C6758" w:rsidRPr="005411C8" w:rsidRDefault="003C6758" w:rsidP="00FE704C">
            <w:pPr>
              <w:keepNext/>
              <w:spacing w:after="0"/>
              <w:jc w:val="center"/>
              <w:rPr>
                <w:rFonts w:ascii="Arial" w:hAnsi="Arial" w:cs="Arial"/>
                <w:b/>
                <w:bCs/>
                <w:sz w:val="20"/>
              </w:rPr>
            </w:pPr>
          </w:p>
        </w:tc>
        <w:tc>
          <w:tcPr>
            <w:tcW w:w="543" w:type="pct"/>
            <w:vMerge/>
            <w:shd w:val="clear" w:color="auto" w:fill="D9D9D9" w:themeFill="background1" w:themeFillShade="D9"/>
          </w:tcPr>
          <w:p w:rsidR="003C6758" w:rsidRPr="005411C8" w:rsidRDefault="003C6758" w:rsidP="00FE704C">
            <w:pPr>
              <w:keepNext/>
              <w:spacing w:after="0"/>
              <w:jc w:val="center"/>
              <w:rPr>
                <w:rFonts w:ascii="Arial" w:hAnsi="Arial" w:cs="Arial"/>
                <w:b/>
                <w:bCs/>
                <w:sz w:val="20"/>
              </w:rPr>
            </w:pPr>
          </w:p>
        </w:tc>
      </w:tr>
      <w:tr w:rsidR="003C6758" w:rsidRPr="00C93148" w:rsidTr="003C6758">
        <w:trPr>
          <w:trHeight w:val="548"/>
        </w:trPr>
        <w:tc>
          <w:tcPr>
            <w:tcW w:w="1039" w:type="pct"/>
            <w:shd w:val="clear" w:color="auto" w:fill="auto"/>
            <w:noWrap/>
            <w:vAlign w:val="center"/>
            <w:hideMark/>
          </w:tcPr>
          <w:p w:rsidR="003C6758" w:rsidRPr="005411C8" w:rsidRDefault="003C6758" w:rsidP="00FE704C">
            <w:pPr>
              <w:keepNext/>
              <w:spacing w:after="0"/>
              <w:rPr>
                <w:rFonts w:ascii="Arial" w:hAnsi="Arial" w:cs="Arial"/>
                <w:color w:val="000000"/>
                <w:sz w:val="20"/>
              </w:rPr>
            </w:pPr>
            <w:r w:rsidRPr="005411C8">
              <w:rPr>
                <w:rFonts w:ascii="Arial" w:hAnsi="Arial" w:cs="Arial"/>
                <w:color w:val="000000"/>
                <w:sz w:val="20"/>
              </w:rPr>
              <w:t>Residential</w:t>
            </w:r>
          </w:p>
        </w:tc>
        <w:tc>
          <w:tcPr>
            <w:tcW w:w="836" w:type="pct"/>
            <w:vAlign w:val="center"/>
          </w:tcPr>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Resident</w:t>
            </w:r>
          </w:p>
        </w:tc>
        <w:tc>
          <w:tcPr>
            <w:tcW w:w="584" w:type="pct"/>
            <w:shd w:val="clear" w:color="auto" w:fill="auto"/>
            <w:noWrap/>
            <w:vAlign w:val="center"/>
            <w:hideMark/>
          </w:tcPr>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18.5</w:t>
            </w:r>
          </w:p>
        </w:tc>
        <w:tc>
          <w:tcPr>
            <w:tcW w:w="545" w:type="pct"/>
            <w:shd w:val="clear" w:color="auto" w:fill="auto"/>
            <w:noWrap/>
            <w:vAlign w:val="center"/>
            <w:hideMark/>
          </w:tcPr>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NA</w:t>
            </w:r>
          </w:p>
        </w:tc>
        <w:tc>
          <w:tcPr>
            <w:tcW w:w="627" w:type="pct"/>
            <w:shd w:val="clear" w:color="auto" w:fill="auto"/>
            <w:noWrap/>
            <w:vAlign w:val="center"/>
            <w:hideMark/>
          </w:tcPr>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NA</w:t>
            </w:r>
          </w:p>
        </w:tc>
        <w:tc>
          <w:tcPr>
            <w:tcW w:w="826" w:type="pct"/>
            <w:vAlign w:val="center"/>
          </w:tcPr>
          <w:p w:rsidR="003C6758" w:rsidRPr="005411C8" w:rsidRDefault="003C6758" w:rsidP="003C6758">
            <w:pPr>
              <w:keepNext/>
              <w:spacing w:after="0"/>
              <w:jc w:val="center"/>
              <w:rPr>
                <w:rFonts w:ascii="Arial" w:hAnsi="Arial" w:cs="Arial"/>
                <w:color w:val="000000"/>
                <w:sz w:val="20"/>
              </w:rPr>
            </w:pPr>
            <w:r>
              <w:rPr>
                <w:rFonts w:ascii="Arial" w:hAnsi="Arial" w:cs="Arial"/>
                <w:color w:val="000000"/>
                <w:sz w:val="20"/>
              </w:rPr>
              <w:t>0.5</w:t>
            </w:r>
          </w:p>
        </w:tc>
        <w:tc>
          <w:tcPr>
            <w:tcW w:w="543" w:type="pct"/>
            <w:vAlign w:val="center"/>
          </w:tcPr>
          <w:p w:rsidR="003C6758" w:rsidRPr="005411C8" w:rsidRDefault="003C6758" w:rsidP="00FE704C">
            <w:pPr>
              <w:keepNext/>
              <w:spacing w:after="0"/>
              <w:jc w:val="center"/>
              <w:rPr>
                <w:rFonts w:ascii="Arial" w:hAnsi="Arial" w:cs="Arial"/>
                <w:color w:val="000000"/>
                <w:sz w:val="20"/>
              </w:rPr>
            </w:pPr>
            <w:r>
              <w:rPr>
                <w:rFonts w:ascii="Arial" w:hAnsi="Arial" w:cs="Arial"/>
                <w:color w:val="000000"/>
                <w:sz w:val="20"/>
              </w:rPr>
              <w:t>9.3</w:t>
            </w:r>
          </w:p>
        </w:tc>
      </w:tr>
      <w:tr w:rsidR="003C6758" w:rsidRPr="00C93148" w:rsidTr="003C6758">
        <w:trPr>
          <w:trHeight w:val="300"/>
        </w:trPr>
        <w:tc>
          <w:tcPr>
            <w:tcW w:w="1039" w:type="pct"/>
            <w:shd w:val="clear" w:color="auto" w:fill="auto"/>
            <w:noWrap/>
            <w:vAlign w:val="center"/>
            <w:hideMark/>
          </w:tcPr>
          <w:p w:rsidR="003C6758" w:rsidRPr="005411C8" w:rsidRDefault="003C6758" w:rsidP="00FE704C">
            <w:pPr>
              <w:keepNext/>
              <w:spacing w:after="0"/>
              <w:rPr>
                <w:rFonts w:ascii="Arial" w:hAnsi="Arial" w:cs="Arial"/>
                <w:color w:val="000000"/>
                <w:sz w:val="20"/>
              </w:rPr>
            </w:pPr>
            <w:r w:rsidRPr="005411C8">
              <w:rPr>
                <w:rFonts w:ascii="Arial" w:hAnsi="Arial" w:cs="Arial"/>
                <w:color w:val="000000"/>
                <w:sz w:val="20"/>
              </w:rPr>
              <w:t>Office</w:t>
            </w:r>
          </w:p>
        </w:tc>
        <w:tc>
          <w:tcPr>
            <w:tcW w:w="836" w:type="pct"/>
            <w:vAlign w:val="center"/>
          </w:tcPr>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 xml:space="preserve">Employee </w:t>
            </w:r>
          </w:p>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(non-visitor)</w:t>
            </w:r>
          </w:p>
        </w:tc>
        <w:tc>
          <w:tcPr>
            <w:tcW w:w="584" w:type="pct"/>
            <w:shd w:val="clear" w:color="auto" w:fill="auto"/>
            <w:noWrap/>
            <w:vAlign w:val="center"/>
            <w:hideMark/>
          </w:tcPr>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9.0</w:t>
            </w:r>
          </w:p>
        </w:tc>
        <w:tc>
          <w:tcPr>
            <w:tcW w:w="545" w:type="pct"/>
            <w:shd w:val="clear" w:color="auto" w:fill="auto"/>
            <w:noWrap/>
            <w:vAlign w:val="center"/>
            <w:hideMark/>
          </w:tcPr>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2.27</w:t>
            </w:r>
          </w:p>
        </w:tc>
        <w:tc>
          <w:tcPr>
            <w:tcW w:w="627" w:type="pct"/>
            <w:shd w:val="clear" w:color="auto" w:fill="auto"/>
            <w:noWrap/>
            <w:vAlign w:val="center"/>
            <w:hideMark/>
          </w:tcPr>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1.1</w:t>
            </w:r>
          </w:p>
        </w:tc>
        <w:tc>
          <w:tcPr>
            <w:tcW w:w="826" w:type="pct"/>
            <w:vAlign w:val="center"/>
          </w:tcPr>
          <w:p w:rsidR="003C6758" w:rsidRPr="005411C8" w:rsidRDefault="003C6758" w:rsidP="003C6758">
            <w:pPr>
              <w:keepNext/>
              <w:spacing w:after="0"/>
              <w:jc w:val="center"/>
              <w:rPr>
                <w:rFonts w:ascii="Arial" w:hAnsi="Arial" w:cs="Arial"/>
                <w:color w:val="000000"/>
                <w:sz w:val="20"/>
              </w:rPr>
            </w:pPr>
            <w:r>
              <w:rPr>
                <w:rFonts w:ascii="Arial" w:hAnsi="Arial" w:cs="Arial"/>
                <w:color w:val="000000"/>
                <w:sz w:val="20"/>
              </w:rPr>
              <w:t>0.5</w:t>
            </w:r>
          </w:p>
        </w:tc>
        <w:tc>
          <w:tcPr>
            <w:tcW w:w="543" w:type="pct"/>
            <w:vMerge w:val="restart"/>
            <w:vAlign w:val="center"/>
          </w:tcPr>
          <w:p w:rsidR="003C6758" w:rsidRPr="005411C8" w:rsidRDefault="003C6758" w:rsidP="00FE704C">
            <w:pPr>
              <w:keepNext/>
              <w:spacing w:after="0"/>
              <w:jc w:val="center"/>
              <w:rPr>
                <w:rFonts w:ascii="Arial" w:hAnsi="Arial" w:cs="Arial"/>
                <w:color w:val="000000"/>
                <w:sz w:val="20"/>
              </w:rPr>
            </w:pPr>
            <w:r>
              <w:rPr>
                <w:rFonts w:ascii="Arial" w:hAnsi="Arial" w:cs="Arial"/>
                <w:color w:val="000000"/>
                <w:sz w:val="20"/>
              </w:rPr>
              <w:t>7</w:t>
            </w:r>
          </w:p>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w:t>
            </w:r>
            <w:proofErr w:type="spellStart"/>
            <w:r w:rsidRPr="005411C8">
              <w:rPr>
                <w:rFonts w:ascii="Arial" w:hAnsi="Arial" w:cs="Arial"/>
                <w:color w:val="000000"/>
                <w:sz w:val="20"/>
              </w:rPr>
              <w:t>avg</w:t>
            </w:r>
            <w:proofErr w:type="spellEnd"/>
            <w:r w:rsidRPr="005411C8">
              <w:rPr>
                <w:rFonts w:ascii="Arial" w:hAnsi="Arial" w:cs="Arial"/>
                <w:color w:val="000000"/>
                <w:sz w:val="20"/>
              </w:rPr>
              <w:t>)</w:t>
            </w:r>
          </w:p>
        </w:tc>
      </w:tr>
      <w:tr w:rsidR="003C6758" w:rsidRPr="00C93148" w:rsidTr="003C6758">
        <w:trPr>
          <w:trHeight w:val="300"/>
        </w:trPr>
        <w:tc>
          <w:tcPr>
            <w:tcW w:w="1039" w:type="pct"/>
            <w:shd w:val="clear" w:color="auto" w:fill="auto"/>
            <w:noWrap/>
            <w:vAlign w:val="center"/>
            <w:hideMark/>
          </w:tcPr>
          <w:p w:rsidR="003C6758" w:rsidRPr="005411C8" w:rsidRDefault="003C6758" w:rsidP="00FE704C">
            <w:pPr>
              <w:keepNext/>
              <w:spacing w:after="0"/>
              <w:rPr>
                <w:rFonts w:ascii="Arial" w:hAnsi="Arial" w:cs="Arial"/>
                <w:color w:val="000000"/>
                <w:sz w:val="20"/>
              </w:rPr>
            </w:pPr>
            <w:r w:rsidRPr="005411C8">
              <w:rPr>
                <w:rFonts w:ascii="Arial" w:hAnsi="Arial" w:cs="Arial"/>
                <w:color w:val="000000"/>
                <w:sz w:val="20"/>
              </w:rPr>
              <w:t>Retail</w:t>
            </w:r>
          </w:p>
        </w:tc>
        <w:tc>
          <w:tcPr>
            <w:tcW w:w="836" w:type="pct"/>
            <w:vAlign w:val="center"/>
          </w:tcPr>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 xml:space="preserve">Employee </w:t>
            </w:r>
          </w:p>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(non-visitor)</w:t>
            </w:r>
          </w:p>
        </w:tc>
        <w:tc>
          <w:tcPr>
            <w:tcW w:w="584" w:type="pct"/>
            <w:shd w:val="clear" w:color="auto" w:fill="auto"/>
            <w:noWrap/>
            <w:vAlign w:val="center"/>
            <w:hideMark/>
          </w:tcPr>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9.0</w:t>
            </w:r>
          </w:p>
        </w:tc>
        <w:tc>
          <w:tcPr>
            <w:tcW w:w="545" w:type="pct"/>
            <w:shd w:val="clear" w:color="auto" w:fill="auto"/>
            <w:noWrap/>
            <w:vAlign w:val="center"/>
            <w:hideMark/>
          </w:tcPr>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2.11</w:t>
            </w:r>
          </w:p>
        </w:tc>
        <w:tc>
          <w:tcPr>
            <w:tcW w:w="627" w:type="pct"/>
            <w:shd w:val="clear" w:color="auto" w:fill="auto"/>
            <w:noWrap/>
            <w:vAlign w:val="center"/>
            <w:hideMark/>
          </w:tcPr>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1.4</w:t>
            </w:r>
          </w:p>
        </w:tc>
        <w:tc>
          <w:tcPr>
            <w:tcW w:w="826" w:type="pct"/>
            <w:vAlign w:val="center"/>
          </w:tcPr>
          <w:p w:rsidR="003C6758" w:rsidRPr="005411C8" w:rsidRDefault="003C6758" w:rsidP="003C6758">
            <w:pPr>
              <w:keepNext/>
              <w:spacing w:after="0"/>
              <w:jc w:val="center"/>
              <w:rPr>
                <w:rFonts w:ascii="Arial" w:hAnsi="Arial" w:cs="Arial"/>
                <w:color w:val="000000"/>
                <w:sz w:val="20"/>
              </w:rPr>
            </w:pPr>
            <w:r>
              <w:rPr>
                <w:rFonts w:ascii="Arial" w:hAnsi="Arial" w:cs="Arial"/>
                <w:color w:val="000000"/>
                <w:sz w:val="20"/>
              </w:rPr>
              <w:t>0.5</w:t>
            </w:r>
          </w:p>
        </w:tc>
        <w:tc>
          <w:tcPr>
            <w:tcW w:w="543" w:type="pct"/>
            <w:vMerge/>
            <w:vAlign w:val="center"/>
          </w:tcPr>
          <w:p w:rsidR="003C6758" w:rsidRPr="005411C8" w:rsidRDefault="003C6758" w:rsidP="00FE704C">
            <w:pPr>
              <w:keepNext/>
              <w:spacing w:after="0"/>
              <w:jc w:val="center"/>
              <w:rPr>
                <w:rFonts w:ascii="Arial" w:hAnsi="Arial" w:cs="Arial"/>
                <w:color w:val="000000"/>
                <w:sz w:val="20"/>
              </w:rPr>
            </w:pPr>
          </w:p>
        </w:tc>
      </w:tr>
      <w:tr w:rsidR="003C6758" w:rsidRPr="00C93148" w:rsidTr="003C6758">
        <w:trPr>
          <w:trHeight w:val="300"/>
        </w:trPr>
        <w:tc>
          <w:tcPr>
            <w:tcW w:w="1039" w:type="pct"/>
            <w:shd w:val="clear" w:color="auto" w:fill="auto"/>
            <w:noWrap/>
            <w:vAlign w:val="center"/>
            <w:hideMark/>
          </w:tcPr>
          <w:p w:rsidR="003C6758" w:rsidRPr="005411C8" w:rsidRDefault="003C6758" w:rsidP="00FE704C">
            <w:pPr>
              <w:keepNext/>
              <w:spacing w:after="0"/>
              <w:rPr>
                <w:rFonts w:ascii="Arial" w:hAnsi="Arial" w:cs="Arial"/>
                <w:color w:val="000000"/>
                <w:sz w:val="20"/>
              </w:rPr>
            </w:pPr>
            <w:r w:rsidRPr="005411C8">
              <w:rPr>
                <w:rFonts w:ascii="Arial" w:hAnsi="Arial" w:cs="Arial"/>
                <w:color w:val="000000"/>
                <w:sz w:val="20"/>
              </w:rPr>
              <w:t>Schools</w:t>
            </w:r>
          </w:p>
        </w:tc>
        <w:tc>
          <w:tcPr>
            <w:tcW w:w="836" w:type="pct"/>
            <w:vAlign w:val="center"/>
          </w:tcPr>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 xml:space="preserve">Employee </w:t>
            </w:r>
          </w:p>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(non-student)</w:t>
            </w:r>
          </w:p>
        </w:tc>
        <w:tc>
          <w:tcPr>
            <w:tcW w:w="584" w:type="pct"/>
            <w:shd w:val="clear" w:color="auto" w:fill="auto"/>
            <w:noWrap/>
            <w:vAlign w:val="center"/>
            <w:hideMark/>
          </w:tcPr>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6.7</w:t>
            </w:r>
          </w:p>
        </w:tc>
        <w:tc>
          <w:tcPr>
            <w:tcW w:w="545" w:type="pct"/>
            <w:shd w:val="clear" w:color="auto" w:fill="auto"/>
            <w:noWrap/>
            <w:vAlign w:val="center"/>
            <w:hideMark/>
          </w:tcPr>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3.5</w:t>
            </w:r>
          </w:p>
        </w:tc>
        <w:tc>
          <w:tcPr>
            <w:tcW w:w="627" w:type="pct"/>
            <w:shd w:val="clear" w:color="auto" w:fill="auto"/>
            <w:noWrap/>
            <w:vAlign w:val="center"/>
            <w:hideMark/>
          </w:tcPr>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6.4</w:t>
            </w:r>
          </w:p>
        </w:tc>
        <w:tc>
          <w:tcPr>
            <w:tcW w:w="826" w:type="pct"/>
            <w:vAlign w:val="center"/>
          </w:tcPr>
          <w:p w:rsidR="003C6758" w:rsidRPr="005411C8" w:rsidRDefault="003C6758" w:rsidP="003C6758">
            <w:pPr>
              <w:keepNext/>
              <w:spacing w:after="0"/>
              <w:jc w:val="center"/>
              <w:rPr>
                <w:rFonts w:ascii="Arial" w:hAnsi="Arial" w:cs="Arial"/>
                <w:color w:val="000000"/>
                <w:sz w:val="20"/>
              </w:rPr>
            </w:pPr>
            <w:r>
              <w:rPr>
                <w:rFonts w:ascii="Arial" w:hAnsi="Arial" w:cs="Arial"/>
                <w:color w:val="000000"/>
                <w:sz w:val="20"/>
              </w:rPr>
              <w:t>0.5</w:t>
            </w:r>
          </w:p>
        </w:tc>
        <w:tc>
          <w:tcPr>
            <w:tcW w:w="543" w:type="pct"/>
            <w:vAlign w:val="center"/>
          </w:tcPr>
          <w:p w:rsidR="003C6758" w:rsidRPr="005411C8" w:rsidRDefault="003C6758" w:rsidP="00FE704C">
            <w:pPr>
              <w:keepNext/>
              <w:spacing w:after="0"/>
              <w:jc w:val="center"/>
              <w:rPr>
                <w:rFonts w:ascii="Arial" w:hAnsi="Arial" w:cs="Arial"/>
                <w:color w:val="000000"/>
                <w:sz w:val="20"/>
              </w:rPr>
            </w:pPr>
            <w:r>
              <w:rPr>
                <w:rFonts w:ascii="Arial" w:hAnsi="Arial" w:cs="Arial"/>
                <w:color w:val="000000"/>
                <w:sz w:val="20"/>
              </w:rPr>
              <w:t>33</w:t>
            </w:r>
          </w:p>
        </w:tc>
      </w:tr>
      <w:tr w:rsidR="003C6758" w:rsidRPr="00C93148" w:rsidTr="003C6758">
        <w:trPr>
          <w:trHeight w:val="300"/>
        </w:trPr>
        <w:tc>
          <w:tcPr>
            <w:tcW w:w="1039" w:type="pct"/>
            <w:shd w:val="clear" w:color="auto" w:fill="auto"/>
            <w:noWrap/>
            <w:vAlign w:val="center"/>
            <w:hideMark/>
          </w:tcPr>
          <w:p w:rsidR="003C6758" w:rsidRPr="005411C8" w:rsidRDefault="003C6758" w:rsidP="00FE704C">
            <w:pPr>
              <w:keepNext/>
              <w:spacing w:after="0"/>
              <w:rPr>
                <w:rFonts w:ascii="Arial" w:hAnsi="Arial" w:cs="Arial"/>
                <w:color w:val="000000"/>
                <w:sz w:val="20"/>
              </w:rPr>
            </w:pPr>
            <w:r w:rsidRPr="005411C8">
              <w:rPr>
                <w:rFonts w:ascii="Arial" w:hAnsi="Arial" w:cs="Arial"/>
                <w:color w:val="000000"/>
                <w:sz w:val="20"/>
              </w:rPr>
              <w:t>Various Industrial Uses (excludes process water)</w:t>
            </w:r>
          </w:p>
        </w:tc>
        <w:tc>
          <w:tcPr>
            <w:tcW w:w="836" w:type="pct"/>
            <w:vAlign w:val="center"/>
          </w:tcPr>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 xml:space="preserve">Employee </w:t>
            </w:r>
          </w:p>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(non-visitor)</w:t>
            </w:r>
          </w:p>
        </w:tc>
        <w:tc>
          <w:tcPr>
            <w:tcW w:w="584" w:type="pct"/>
            <w:shd w:val="clear" w:color="auto" w:fill="auto"/>
            <w:noWrap/>
            <w:vAlign w:val="center"/>
            <w:hideMark/>
          </w:tcPr>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9.0</w:t>
            </w:r>
          </w:p>
        </w:tc>
        <w:tc>
          <w:tcPr>
            <w:tcW w:w="545" w:type="pct"/>
            <w:shd w:val="clear" w:color="auto" w:fill="auto"/>
            <w:noWrap/>
            <w:vAlign w:val="center"/>
            <w:hideMark/>
          </w:tcPr>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2</w:t>
            </w:r>
          </w:p>
        </w:tc>
        <w:tc>
          <w:tcPr>
            <w:tcW w:w="627" w:type="pct"/>
            <w:shd w:val="clear" w:color="auto" w:fill="auto"/>
            <w:noWrap/>
            <w:vAlign w:val="center"/>
            <w:hideMark/>
          </w:tcPr>
          <w:p w:rsidR="003C6758" w:rsidRPr="005411C8" w:rsidRDefault="003C6758" w:rsidP="00FE704C">
            <w:pPr>
              <w:keepNext/>
              <w:spacing w:after="0"/>
              <w:jc w:val="center"/>
              <w:rPr>
                <w:rFonts w:ascii="Arial" w:hAnsi="Arial" w:cs="Arial"/>
                <w:color w:val="000000"/>
                <w:sz w:val="20"/>
              </w:rPr>
            </w:pPr>
            <w:r w:rsidRPr="005411C8">
              <w:rPr>
                <w:rFonts w:ascii="Arial" w:hAnsi="Arial" w:cs="Arial"/>
                <w:color w:val="000000"/>
                <w:sz w:val="20"/>
              </w:rPr>
              <w:t>1</w:t>
            </w:r>
          </w:p>
        </w:tc>
        <w:tc>
          <w:tcPr>
            <w:tcW w:w="826" w:type="pct"/>
            <w:vAlign w:val="center"/>
          </w:tcPr>
          <w:p w:rsidR="003C6758" w:rsidRPr="005411C8" w:rsidRDefault="003C6758" w:rsidP="003C6758">
            <w:pPr>
              <w:keepNext/>
              <w:spacing w:after="0"/>
              <w:jc w:val="center"/>
              <w:rPr>
                <w:rFonts w:ascii="Arial" w:hAnsi="Arial" w:cs="Arial"/>
                <w:color w:val="000000"/>
                <w:sz w:val="20"/>
              </w:rPr>
            </w:pPr>
            <w:r>
              <w:rPr>
                <w:rFonts w:ascii="Arial" w:hAnsi="Arial" w:cs="Arial"/>
                <w:color w:val="000000"/>
                <w:sz w:val="20"/>
              </w:rPr>
              <w:t>0.5</w:t>
            </w:r>
          </w:p>
        </w:tc>
        <w:tc>
          <w:tcPr>
            <w:tcW w:w="543" w:type="pct"/>
            <w:vAlign w:val="center"/>
          </w:tcPr>
          <w:p w:rsidR="003C6758" w:rsidRPr="005411C8" w:rsidRDefault="003C6758" w:rsidP="00FE704C">
            <w:pPr>
              <w:keepNext/>
              <w:spacing w:after="0"/>
              <w:jc w:val="center"/>
              <w:rPr>
                <w:rFonts w:ascii="Arial" w:hAnsi="Arial" w:cs="Arial"/>
                <w:color w:val="000000"/>
                <w:sz w:val="20"/>
              </w:rPr>
            </w:pPr>
            <w:r>
              <w:rPr>
                <w:rFonts w:ascii="Arial" w:hAnsi="Arial" w:cs="Arial"/>
                <w:color w:val="000000"/>
                <w:sz w:val="20"/>
              </w:rPr>
              <w:t>5.5</w:t>
            </w:r>
          </w:p>
        </w:tc>
      </w:tr>
    </w:tbl>
    <w:p w:rsidR="00A52ED1" w:rsidRPr="003D3A70" w:rsidRDefault="00A52ED1" w:rsidP="00A52ED1">
      <w:pPr>
        <w:keepNext/>
        <w:spacing w:after="0"/>
        <w:rPr>
          <w:color w:val="000000"/>
          <w:sz w:val="18"/>
          <w:szCs w:val="18"/>
        </w:rPr>
      </w:pPr>
      <w:r w:rsidRPr="003D3A70">
        <w:rPr>
          <w:color w:val="000000"/>
          <w:sz w:val="18"/>
          <w:szCs w:val="18"/>
        </w:rPr>
        <w:t xml:space="preserve">1- Based on American </w:t>
      </w:r>
      <w:proofErr w:type="spellStart"/>
      <w:r w:rsidRPr="003D3A70">
        <w:rPr>
          <w:color w:val="000000"/>
          <w:sz w:val="18"/>
          <w:szCs w:val="18"/>
        </w:rPr>
        <w:t>Waterworks</w:t>
      </w:r>
      <w:proofErr w:type="spellEnd"/>
      <w:r w:rsidRPr="003D3A70">
        <w:rPr>
          <w:color w:val="000000"/>
          <w:sz w:val="18"/>
          <w:szCs w:val="18"/>
        </w:rPr>
        <w:t xml:space="preserve"> Association Research Foundation</w:t>
      </w:r>
      <w:proofErr w:type="gramStart"/>
      <w:r w:rsidRPr="003D3A70">
        <w:rPr>
          <w:color w:val="000000"/>
          <w:sz w:val="18"/>
          <w:szCs w:val="18"/>
        </w:rPr>
        <w:t>,1999</w:t>
      </w:r>
      <w:proofErr w:type="gramEnd"/>
      <w:r w:rsidRPr="003D3A70">
        <w:rPr>
          <w:color w:val="000000"/>
          <w:sz w:val="18"/>
          <w:szCs w:val="18"/>
        </w:rPr>
        <w:t xml:space="preserve">.  </w:t>
      </w:r>
      <w:proofErr w:type="gramStart"/>
      <w:r w:rsidRPr="003D3A70">
        <w:rPr>
          <w:color w:val="000000"/>
          <w:sz w:val="18"/>
          <w:szCs w:val="18"/>
        </w:rPr>
        <w:t>Residential End Uses of Water.</w:t>
      </w:r>
      <w:proofErr w:type="gramEnd"/>
      <w:r w:rsidRPr="003D3A70">
        <w:rPr>
          <w:color w:val="000000"/>
          <w:sz w:val="18"/>
          <w:szCs w:val="18"/>
        </w:rPr>
        <w:t xml:space="preserve">  Denver, CO: AWWARF</w:t>
      </w:r>
    </w:p>
    <w:p w:rsidR="00A52ED1" w:rsidRPr="003D3A70" w:rsidRDefault="00A52ED1" w:rsidP="00A52ED1">
      <w:pPr>
        <w:keepNext/>
        <w:spacing w:after="0"/>
        <w:rPr>
          <w:color w:val="000000"/>
          <w:sz w:val="18"/>
          <w:szCs w:val="18"/>
        </w:rPr>
      </w:pPr>
      <w:r w:rsidRPr="003D3A70">
        <w:rPr>
          <w:color w:val="000000"/>
          <w:sz w:val="18"/>
          <w:szCs w:val="18"/>
        </w:rPr>
        <w:t xml:space="preserve">2 - Based on use of 3.45 gallons per flush and average number of per employee flushes per subsector, Table D-1 for MWD (Pacific Institute, 2003) </w:t>
      </w:r>
    </w:p>
    <w:p w:rsidR="00A52ED1" w:rsidRPr="003D3A70" w:rsidRDefault="00A52ED1" w:rsidP="00A52ED1">
      <w:pPr>
        <w:keepNext/>
        <w:spacing w:after="0"/>
        <w:rPr>
          <w:color w:val="000000"/>
          <w:sz w:val="18"/>
          <w:szCs w:val="18"/>
        </w:rPr>
      </w:pPr>
      <w:r w:rsidRPr="003D3A70">
        <w:rPr>
          <w:color w:val="000000"/>
          <w:sz w:val="18"/>
          <w:szCs w:val="18"/>
        </w:rPr>
        <w:t>3 - Based on use of 1.6 gallons per flush, Table D-4 and average number of per employee flushes per subsector, Appendix D (Pacific Institute, 2003)</w:t>
      </w:r>
      <w:r w:rsidR="000E4DAD">
        <w:rPr>
          <w:color w:val="000000"/>
          <w:sz w:val="18"/>
          <w:szCs w:val="18"/>
        </w:rPr>
        <w:t xml:space="preserve"> </w:t>
      </w:r>
    </w:p>
    <w:p w:rsidR="00A52ED1" w:rsidRDefault="00A52ED1" w:rsidP="003C6758">
      <w:pPr>
        <w:spacing w:after="0"/>
        <w:rPr>
          <w:color w:val="000000"/>
          <w:sz w:val="18"/>
          <w:szCs w:val="18"/>
        </w:rPr>
      </w:pPr>
      <w:r w:rsidRPr="003D3A70">
        <w:rPr>
          <w:color w:val="000000"/>
          <w:sz w:val="18"/>
          <w:szCs w:val="18"/>
        </w:rPr>
        <w:t xml:space="preserve">4 - </w:t>
      </w:r>
      <w:r>
        <w:rPr>
          <w:color w:val="000000"/>
          <w:sz w:val="18"/>
          <w:szCs w:val="18"/>
        </w:rPr>
        <w:t>M</w:t>
      </w:r>
      <w:r w:rsidRPr="003D3A70">
        <w:rPr>
          <w:color w:val="000000"/>
          <w:sz w:val="18"/>
          <w:szCs w:val="18"/>
        </w:rPr>
        <w:t>ultiplied by the demand for toilet and urinal flushing for the project to account for visitors. Based on proportion of annual use allocated to visitors and others (includes students for schools</w:t>
      </w:r>
      <w:r>
        <w:rPr>
          <w:color w:val="000000"/>
          <w:sz w:val="18"/>
          <w:szCs w:val="18"/>
        </w:rPr>
        <w:t>; about 5 students per employee</w:t>
      </w:r>
      <w:r w:rsidRPr="003D3A70">
        <w:rPr>
          <w:color w:val="000000"/>
          <w:sz w:val="18"/>
          <w:szCs w:val="18"/>
        </w:rPr>
        <w:t>) for each subsector in Table D-1 and D-4 (Pacific Institute, 2003)</w:t>
      </w:r>
    </w:p>
    <w:p w:rsidR="003C6758" w:rsidRPr="003C6758" w:rsidRDefault="003C6758" w:rsidP="00A52ED1">
      <w:pPr>
        <w:rPr>
          <w:sz w:val="18"/>
          <w:szCs w:val="18"/>
        </w:rPr>
      </w:pPr>
      <w:r>
        <w:rPr>
          <w:sz w:val="18"/>
          <w:szCs w:val="18"/>
        </w:rPr>
        <w:t xml:space="preserve">5 – Accounts for requirements to use ultra low flush toilets in new development projects; assumed that requirements will reduce toilet and urinal flushing demand by half on average compared to literature estimates. </w:t>
      </w:r>
      <w:r w:rsidRPr="003C6758">
        <w:rPr>
          <w:sz w:val="18"/>
          <w:szCs w:val="18"/>
        </w:rPr>
        <w:t>U</w:t>
      </w:r>
      <w:r w:rsidR="00213BFF">
        <w:rPr>
          <w:sz w:val="18"/>
          <w:szCs w:val="18"/>
        </w:rPr>
        <w:t>ltra low flush (ULF)</w:t>
      </w:r>
      <w:r w:rsidRPr="003C6758">
        <w:rPr>
          <w:sz w:val="18"/>
          <w:szCs w:val="18"/>
        </w:rPr>
        <w:t xml:space="preserve"> toilets are required in all new construction in California as of January 1, 1992.</w:t>
      </w:r>
      <w:r w:rsidR="00213BFF">
        <w:rPr>
          <w:sz w:val="18"/>
          <w:szCs w:val="18"/>
        </w:rPr>
        <w:t xml:space="preserve"> ULF toilets</w:t>
      </w:r>
      <w:r w:rsidRPr="003C6758">
        <w:rPr>
          <w:sz w:val="18"/>
          <w:szCs w:val="18"/>
        </w:rPr>
        <w:t xml:space="preserve"> </w:t>
      </w:r>
      <w:r w:rsidR="00213BFF" w:rsidRPr="003C6758">
        <w:rPr>
          <w:sz w:val="18"/>
          <w:szCs w:val="18"/>
        </w:rPr>
        <w:t>must use no more th</w:t>
      </w:r>
      <w:r w:rsidR="00213BFF">
        <w:rPr>
          <w:sz w:val="18"/>
          <w:szCs w:val="18"/>
        </w:rPr>
        <w:t>an 1.6 gallons per flush (</w:t>
      </w:r>
      <w:proofErr w:type="spellStart"/>
      <w:r w:rsidR="00213BFF">
        <w:rPr>
          <w:sz w:val="18"/>
          <w:szCs w:val="18"/>
        </w:rPr>
        <w:t>gpf</w:t>
      </w:r>
      <w:proofErr w:type="spellEnd"/>
      <w:r w:rsidR="00213BFF">
        <w:rPr>
          <w:sz w:val="18"/>
          <w:szCs w:val="18"/>
        </w:rPr>
        <w:t xml:space="preserve">) and ULF </w:t>
      </w:r>
      <w:r w:rsidR="00213BFF" w:rsidRPr="003C6758">
        <w:rPr>
          <w:sz w:val="18"/>
          <w:szCs w:val="18"/>
        </w:rPr>
        <w:t xml:space="preserve">urinals must use no more than 1 </w:t>
      </w:r>
      <w:proofErr w:type="spellStart"/>
      <w:r w:rsidR="00213BFF" w:rsidRPr="003C6758">
        <w:rPr>
          <w:sz w:val="18"/>
          <w:szCs w:val="18"/>
        </w:rPr>
        <w:t>gpf</w:t>
      </w:r>
      <w:proofErr w:type="spellEnd"/>
      <w:r w:rsidR="00213BFF" w:rsidRPr="003C6758">
        <w:rPr>
          <w:sz w:val="18"/>
          <w:szCs w:val="18"/>
        </w:rPr>
        <w:t xml:space="preserve">. </w:t>
      </w:r>
      <w:r w:rsidRPr="003C6758">
        <w:rPr>
          <w:sz w:val="18"/>
          <w:szCs w:val="18"/>
        </w:rPr>
        <w:t>(http://www.fypower.org/com/tools/products_results.html?id=100139)</w:t>
      </w:r>
      <w:r w:rsidR="000E4DAD" w:rsidRPr="000E4DAD">
        <w:rPr>
          <w:color w:val="000000"/>
          <w:sz w:val="18"/>
          <w:szCs w:val="18"/>
        </w:rPr>
        <w:t xml:space="preserve"> </w:t>
      </w:r>
      <w:r w:rsidR="000E4DAD">
        <w:rPr>
          <w:color w:val="000000"/>
          <w:sz w:val="18"/>
          <w:szCs w:val="18"/>
        </w:rPr>
        <w:t xml:space="preserve"> Note:  If zero flush urinals are being used, adjust accordingly.</w:t>
      </w:r>
    </w:p>
    <w:p w:rsidR="00A52ED1" w:rsidRDefault="00A52ED1" w:rsidP="00A52883">
      <w:pPr>
        <w:pStyle w:val="Heading3"/>
      </w:pPr>
      <w:r>
        <w:t>General Requirements for Irrigation Demand Calculations</w:t>
      </w:r>
    </w:p>
    <w:p w:rsidR="00A52ED1" w:rsidRPr="00270227" w:rsidRDefault="00A52ED1" w:rsidP="00A52ED1">
      <w:r w:rsidRPr="00270227">
        <w:t xml:space="preserve">The following guidelines should be followed for computing harvested water demand from </w:t>
      </w:r>
      <w:r>
        <w:t>landscape</w:t>
      </w:r>
      <w:r w:rsidRPr="00270227">
        <w:t>:</w:t>
      </w:r>
    </w:p>
    <w:p w:rsidR="000E4DAD" w:rsidRDefault="000E4DAD" w:rsidP="009531AF">
      <w:pPr>
        <w:pStyle w:val="ListParagraph"/>
        <w:numPr>
          <w:ilvl w:val="0"/>
          <w:numId w:val="41"/>
        </w:numPr>
        <w:spacing w:line="264" w:lineRule="auto"/>
      </w:pPr>
      <w:r>
        <w:t>If reclaimed water is planned for use for landscape irrigation, then the demand for harvested stormwater should be reduced by the amount of reclaimed water that is available during the wet season.</w:t>
      </w:r>
      <w:r w:rsidR="00DA4642">
        <w:t xml:space="preserve"> </w:t>
      </w:r>
      <w:r w:rsidR="00B400E8">
        <w:t xml:space="preserve">The basis for this priority is provided in Section </w:t>
      </w:r>
      <w:r w:rsidR="00126F3D" w:rsidRPr="00126DE5">
        <w:rPr>
          <w:b/>
          <w:color w:val="0070C0"/>
          <w:sz w:val="20"/>
        </w:rPr>
        <w:fldChar w:fldCharType="begin"/>
      </w:r>
      <w:r w:rsidR="00B400E8" w:rsidRPr="00126DE5">
        <w:rPr>
          <w:b/>
          <w:color w:val="0070C0"/>
          <w:sz w:val="20"/>
        </w:rPr>
        <w:instrText xml:space="preserve"> REF _Ref287978815 \r \h </w:instrText>
      </w:r>
      <w:r w:rsidR="00126F3D" w:rsidRPr="00126DE5">
        <w:rPr>
          <w:b/>
          <w:color w:val="0070C0"/>
          <w:sz w:val="20"/>
        </w:rPr>
      </w:r>
      <w:r w:rsidR="00126F3D" w:rsidRPr="00126DE5">
        <w:rPr>
          <w:b/>
          <w:color w:val="0070C0"/>
          <w:sz w:val="20"/>
        </w:rPr>
        <w:fldChar w:fldCharType="separate"/>
      </w:r>
      <w:r w:rsidR="00126DE5" w:rsidRPr="00126DE5">
        <w:rPr>
          <w:b/>
          <w:color w:val="0070C0"/>
          <w:sz w:val="20"/>
        </w:rPr>
        <w:t>X.2.8</w:t>
      </w:r>
      <w:r w:rsidR="00126F3D" w:rsidRPr="00126DE5">
        <w:rPr>
          <w:b/>
          <w:color w:val="0070C0"/>
          <w:sz w:val="20"/>
        </w:rPr>
        <w:fldChar w:fldCharType="end"/>
      </w:r>
      <w:r w:rsidR="00B400E8">
        <w:t>.</w:t>
      </w:r>
    </w:p>
    <w:p w:rsidR="00A52ED1" w:rsidRDefault="00A52ED1" w:rsidP="009531AF">
      <w:pPr>
        <w:pStyle w:val="ListParagraph"/>
        <w:numPr>
          <w:ilvl w:val="0"/>
          <w:numId w:val="42"/>
        </w:numPr>
        <w:spacing w:line="264" w:lineRule="auto"/>
      </w:pPr>
      <w:r>
        <w:t xml:space="preserve">Irrigation rates should be based on the irrigation demand exerted by the types of landscaping that are proposed for the project, with consideration for water conservation requirements. </w:t>
      </w:r>
    </w:p>
    <w:p w:rsidR="00A52ED1" w:rsidRDefault="00A52ED1" w:rsidP="009531AF">
      <w:pPr>
        <w:pStyle w:val="ListParagraph"/>
        <w:numPr>
          <w:ilvl w:val="0"/>
          <w:numId w:val="42"/>
        </w:numPr>
        <w:spacing w:line="264" w:lineRule="auto"/>
      </w:pPr>
      <w:r>
        <w:t xml:space="preserve">Irrigation rates should be estimated to reflect the average </w:t>
      </w:r>
      <w:r w:rsidR="00622320">
        <w:t>wet season rates (defined as November through April) accounting for the</w:t>
      </w:r>
      <w:r w:rsidR="00DA4642">
        <w:t xml:space="preserve"> effect of storm events in offsetting harvested water demand.  In the absence of a detailed demand study, it should be assumed that irrigation demand is not present during days with greater than 0.1 inches of rain and the subsequent 3 day period. This irrigation shutdown period is consistent with standard practice in land application</w:t>
      </w:r>
      <w:r w:rsidR="00622320">
        <w:t xml:space="preserve"> of wastewater</w:t>
      </w:r>
      <w:r w:rsidR="00DA4642">
        <w:t xml:space="preserve"> </w:t>
      </w:r>
      <w:r w:rsidR="00622320">
        <w:t xml:space="preserve">and is applicable to stormwater </w:t>
      </w:r>
      <w:r w:rsidR="00DA4642">
        <w:t>to prevent irrigation from resulting in dry weather runoff.</w:t>
      </w:r>
      <w:r w:rsidR="00622320">
        <w:t xml:space="preserve"> Based on a statistical analysis of Orange County rainfall patterns, approximately 30 percent of wet season days would not have a demand for irrigation.</w:t>
      </w:r>
    </w:p>
    <w:p w:rsidR="00A52ED1" w:rsidRDefault="007E2C0E" w:rsidP="009531AF">
      <w:pPr>
        <w:pStyle w:val="ListParagraph"/>
        <w:numPr>
          <w:ilvl w:val="0"/>
          <w:numId w:val="42"/>
        </w:numPr>
        <w:spacing w:line="264" w:lineRule="auto"/>
      </w:pPr>
      <w:r>
        <w:t xml:space="preserve">If </w:t>
      </w:r>
      <w:r w:rsidR="00A52ED1">
        <w:t>land application of stormwater</w:t>
      </w:r>
      <w:r>
        <w:t xml:space="preserve"> is proposed (irrigation in excess of agronomic demand), then this BMP must be considered to be an infiltration BMP and feasibility screening for infiltration must be conducted.  In addition, it must be demonstrated that land application would not result in greater quantities of runoff as a result of saturated soils at the beginning of storm events.  </w:t>
      </w:r>
      <w:r w:rsidR="00A52ED1">
        <w:t>Agronomic demand refers to the rate at which plants use water.</w:t>
      </w:r>
      <w:r w:rsidR="003C6758">
        <w:t xml:space="preserve"> </w:t>
      </w:r>
    </w:p>
    <w:p w:rsidR="00A52ED1" w:rsidRDefault="00A52ED1" w:rsidP="00A52ED1">
      <w:r>
        <w:t>The following sections describe methods that should be used to calculate harvested water irrigation demand. While these methods are simplified, they provide a reasonable estimate of potential harvested water demand that is appropriate for feasibility analysis and project planning.  These methods may be replaced by a more rigorous project-specific analysis that meets the intent of the criteria above.</w:t>
      </w:r>
    </w:p>
    <w:p w:rsidR="00A52ED1" w:rsidRDefault="00A52ED1" w:rsidP="00A52883">
      <w:pPr>
        <w:pStyle w:val="Heading3"/>
      </w:pPr>
      <w:r>
        <w:t>OC Irrigation Code Demand Calculation Method</w:t>
      </w:r>
    </w:p>
    <w:p w:rsidR="00A52ED1" w:rsidRDefault="00A52ED1" w:rsidP="00A52ED1">
      <w:r>
        <w:t xml:space="preserve">This method is based on the </w:t>
      </w:r>
      <w:hyperlink r:id="rId86" w:history="1">
        <w:r w:rsidRPr="00126DE5">
          <w:rPr>
            <w:rStyle w:val="Hyperlink"/>
            <w:rFonts w:cs="Arial"/>
            <w:b/>
            <w:color w:val="0070C0"/>
            <w:sz w:val="20"/>
            <w:szCs w:val="20"/>
          </w:rPr>
          <w:t>County of Orange Landscape and Irrigation Code and Implementation Guidelines</w:t>
        </w:r>
      </w:hyperlink>
      <w:r>
        <w:t xml:space="preserve"> Ordinance No. 09-010 (</w:t>
      </w:r>
      <w:r w:rsidRPr="00414A54">
        <w:t>OC Irrigation Code</w:t>
      </w:r>
      <w:r>
        <w:t xml:space="preserve">).  The OC Irrigation Code includes a formula for estimating a project’s annual Estimated Applied Water Use (EAWU) based on the reference evaporation, landscape coefficient, and irrigation efficiency. </w:t>
      </w:r>
    </w:p>
    <w:p w:rsidR="00A52ED1" w:rsidRDefault="00A52ED1" w:rsidP="00A52ED1">
      <w:r>
        <w:t>For the purpose of calculating harvested water irrigation demand applicable to the sizing of harvest and use systems, the EAWU has been modified to reflect typical wet-season irrigation demand. This method assumes that the wet season is defined as November through April.  This method further assumes that no irrigation water will be applied during days with precipitation totals greater than 0.1 inches or within the</w:t>
      </w:r>
      <w:r w:rsidR="00810FA8">
        <w:t xml:space="preserve"> 3</w:t>
      </w:r>
      <w:r>
        <w:t xml:space="preserve"> days following such an event. Based on these assumptions and an analysis of Irvine precipitation patterns, irrigation would not be applied during approximately </w:t>
      </w:r>
      <w:r w:rsidR="00810FA8">
        <w:t>30</w:t>
      </w:r>
      <w:r>
        <w:t xml:space="preserve"> percent of days from November through April.  </w:t>
      </w:r>
    </w:p>
    <w:p w:rsidR="00A52ED1" w:rsidRDefault="00A52ED1" w:rsidP="00A52ED1">
      <w:r>
        <w:t xml:space="preserve"> The following equation is used to calculate the Modified EAWU:</w:t>
      </w:r>
    </w:p>
    <w:p w:rsidR="00A52ED1" w:rsidRDefault="00A52ED1" w:rsidP="00A52ED1">
      <w:r>
        <w:tab/>
        <w:t>Modified EAWU = (</w:t>
      </w:r>
      <w:proofErr w:type="spellStart"/>
      <w:r>
        <w:t>ETo</w:t>
      </w:r>
      <w:r w:rsidRPr="005F76AD">
        <w:rPr>
          <w:vertAlign w:val="subscript"/>
        </w:rPr>
        <w:t>W</w:t>
      </w:r>
      <w:r>
        <w:rPr>
          <w:vertAlign w:val="subscript"/>
        </w:rPr>
        <w:t>et</w:t>
      </w:r>
      <w:proofErr w:type="spellEnd"/>
      <w:r>
        <w:t xml:space="preserve"> × K</w:t>
      </w:r>
      <w:r>
        <w:rPr>
          <w:vertAlign w:val="subscript"/>
        </w:rPr>
        <w:t xml:space="preserve">L </w:t>
      </w:r>
      <w:r w:rsidR="000501BB">
        <w:t>× LA× 0.015</w:t>
      </w:r>
      <w:r>
        <w:t xml:space="preserve">) / IE </w:t>
      </w:r>
    </w:p>
    <w:p w:rsidR="00A52ED1" w:rsidRDefault="00A52ED1" w:rsidP="00A52ED1">
      <w:r>
        <w:t>Where:</w:t>
      </w:r>
    </w:p>
    <w:p w:rsidR="00A52ED1" w:rsidRDefault="00A52ED1" w:rsidP="009E1CFF">
      <w:pPr>
        <w:pStyle w:val="ListParagraph"/>
        <w:spacing w:after="0"/>
        <w:contextualSpacing w:val="0"/>
      </w:pPr>
      <w:r>
        <w:t>Modified EAWU = estimated daily average water usage during wet season</w:t>
      </w:r>
    </w:p>
    <w:p w:rsidR="00A52ED1" w:rsidRDefault="00A52ED1" w:rsidP="009E1CFF">
      <w:pPr>
        <w:pStyle w:val="ListParagraph"/>
        <w:spacing w:after="0"/>
        <w:contextualSpacing w:val="0"/>
      </w:pPr>
      <w:proofErr w:type="spellStart"/>
      <w:r>
        <w:t>ETo</w:t>
      </w:r>
      <w:r w:rsidRPr="00414A54">
        <w:rPr>
          <w:vertAlign w:val="subscript"/>
        </w:rPr>
        <w:t>W</w:t>
      </w:r>
      <w:r>
        <w:rPr>
          <w:vertAlign w:val="subscript"/>
        </w:rPr>
        <w:t>et</w:t>
      </w:r>
      <w:proofErr w:type="spellEnd"/>
      <w:r>
        <w:t xml:space="preserve"> = Average Reference </w:t>
      </w:r>
      <w:r w:rsidR="00FD5274">
        <w:t>ET</w:t>
      </w:r>
      <w:r>
        <w:t xml:space="preserve"> from November through </w:t>
      </w:r>
      <w:r w:rsidR="000501BB">
        <w:t>April</w:t>
      </w:r>
      <w:r w:rsidR="000E4DAD">
        <w:t xml:space="preserve"> (inches per month, See Section </w:t>
      </w:r>
      <w:r w:rsidR="00126F3D" w:rsidRPr="00126DE5">
        <w:rPr>
          <w:rFonts w:cs="Arial"/>
          <w:b/>
          <w:color w:val="0070C0"/>
          <w:sz w:val="20"/>
          <w:szCs w:val="20"/>
        </w:rPr>
        <w:fldChar w:fldCharType="begin"/>
      </w:r>
      <w:r w:rsidR="000E4DAD" w:rsidRPr="00126DE5">
        <w:rPr>
          <w:rFonts w:cs="Arial"/>
          <w:b/>
          <w:color w:val="0070C0"/>
          <w:sz w:val="20"/>
          <w:szCs w:val="20"/>
        </w:rPr>
        <w:instrText xml:space="preserve"> REF _Ref285530437 \r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rFonts w:cs="Arial"/>
          <w:b/>
          <w:color w:val="0070C0"/>
          <w:sz w:val="20"/>
          <w:szCs w:val="20"/>
        </w:rPr>
        <w:t>X.2.5.1</w:t>
      </w:r>
      <w:r w:rsidR="00126F3D" w:rsidRPr="00126DE5">
        <w:rPr>
          <w:rFonts w:cs="Arial"/>
          <w:b/>
          <w:color w:val="0070C0"/>
          <w:sz w:val="20"/>
          <w:szCs w:val="20"/>
        </w:rPr>
        <w:fldChar w:fldCharType="end"/>
      </w:r>
      <w:r w:rsidR="000E4DAD">
        <w:t>)</w:t>
      </w:r>
    </w:p>
    <w:p w:rsidR="00A52ED1" w:rsidRDefault="00A52ED1" w:rsidP="009E1CFF">
      <w:pPr>
        <w:pStyle w:val="ListParagraph"/>
        <w:spacing w:after="0"/>
        <w:contextualSpacing w:val="0"/>
        <w:rPr>
          <w:vertAlign w:val="subscript"/>
        </w:rPr>
      </w:pPr>
      <w:r>
        <w:t>K</w:t>
      </w:r>
      <w:r>
        <w:rPr>
          <w:vertAlign w:val="subscript"/>
        </w:rPr>
        <w:t>L</w:t>
      </w:r>
      <w:r>
        <w:t xml:space="preserve"> = Landscape Coefficient, </w:t>
      </w:r>
      <w:proofErr w:type="gramStart"/>
      <w:r>
        <w:t>K</w:t>
      </w:r>
      <w:r>
        <w:rPr>
          <w:vertAlign w:val="subscript"/>
        </w:rPr>
        <w:t xml:space="preserve">L </w:t>
      </w:r>
      <w:r>
        <w:t xml:space="preserve"> =</w:t>
      </w:r>
      <w:proofErr w:type="gramEnd"/>
      <w:r>
        <w:t xml:space="preserve"> K</w:t>
      </w:r>
      <w:r>
        <w:rPr>
          <w:vertAlign w:val="subscript"/>
        </w:rPr>
        <w:t>s</w:t>
      </w:r>
      <w:r>
        <w:t xml:space="preserve"> × </w:t>
      </w:r>
      <w:proofErr w:type="spellStart"/>
      <w:r>
        <w:t>K</w:t>
      </w:r>
      <w:r>
        <w:rPr>
          <w:vertAlign w:val="subscript"/>
        </w:rPr>
        <w:t>d</w:t>
      </w:r>
      <w:proofErr w:type="spellEnd"/>
      <w:r>
        <w:t xml:space="preserve"> × </w:t>
      </w:r>
      <w:proofErr w:type="spellStart"/>
      <w:r>
        <w:t>K</w:t>
      </w:r>
      <w:r>
        <w:rPr>
          <w:vertAlign w:val="subscript"/>
        </w:rPr>
        <w:t>mc</w:t>
      </w:r>
      <w:proofErr w:type="spellEnd"/>
      <w:r w:rsidR="000E4DAD">
        <w:rPr>
          <w:vertAlign w:val="subscript"/>
        </w:rPr>
        <w:t xml:space="preserve">  </w:t>
      </w:r>
      <w:r w:rsidR="000E4DAD" w:rsidRPr="000E4DAD">
        <w:t>(S</w:t>
      </w:r>
      <w:r w:rsidR="000E4DAD">
        <w:t>ee</w:t>
      </w:r>
      <w:r w:rsidR="000E4DAD" w:rsidRPr="000E4DAD">
        <w:t xml:space="preserve"> Section </w:t>
      </w:r>
      <w:fldSimple w:instr=" REF _Ref285530460 \r \h  \* MERGEFORMAT ">
        <w:r w:rsidR="00126DE5" w:rsidRPr="00126DE5">
          <w:rPr>
            <w:rFonts w:cs="Arial"/>
            <w:b/>
            <w:color w:val="0070C0"/>
            <w:sz w:val="20"/>
            <w:szCs w:val="20"/>
          </w:rPr>
          <w:t>X.2.5.2</w:t>
        </w:r>
      </w:fldSimple>
      <w:r w:rsidR="000E4DAD" w:rsidRPr="000E4DAD">
        <w:t>)</w:t>
      </w:r>
    </w:p>
    <w:p w:rsidR="00A52ED1" w:rsidRDefault="00A52ED1" w:rsidP="009E1CFF">
      <w:pPr>
        <w:pStyle w:val="ListParagraph"/>
        <w:spacing w:after="0"/>
        <w:ind w:left="1440"/>
        <w:contextualSpacing w:val="0"/>
      </w:pPr>
      <w:r>
        <w:t>K</w:t>
      </w:r>
      <w:r>
        <w:rPr>
          <w:vertAlign w:val="subscript"/>
        </w:rPr>
        <w:t>s</w:t>
      </w:r>
      <w:r>
        <w:t xml:space="preserve"> = species factor</w:t>
      </w:r>
    </w:p>
    <w:p w:rsidR="00A52ED1" w:rsidRDefault="00A52ED1" w:rsidP="009E1CFF">
      <w:pPr>
        <w:pStyle w:val="ListParagraph"/>
        <w:spacing w:after="0"/>
        <w:ind w:left="1440"/>
        <w:contextualSpacing w:val="0"/>
      </w:pPr>
      <w:proofErr w:type="spellStart"/>
      <w:proofErr w:type="gramStart"/>
      <w:r>
        <w:t>K</w:t>
      </w:r>
      <w:r>
        <w:rPr>
          <w:vertAlign w:val="subscript"/>
        </w:rPr>
        <w:t>d</w:t>
      </w:r>
      <w:proofErr w:type="spellEnd"/>
      <w:proofErr w:type="gramEnd"/>
      <w:r>
        <w:t xml:space="preserve"> = density factor</w:t>
      </w:r>
    </w:p>
    <w:p w:rsidR="00A52ED1" w:rsidRDefault="00A52ED1" w:rsidP="009E1CFF">
      <w:pPr>
        <w:pStyle w:val="ListParagraph"/>
        <w:spacing w:after="0"/>
        <w:ind w:left="1440"/>
        <w:contextualSpacing w:val="0"/>
      </w:pPr>
      <w:proofErr w:type="spellStart"/>
      <w:r>
        <w:t>K</w:t>
      </w:r>
      <w:r>
        <w:rPr>
          <w:vertAlign w:val="subscript"/>
        </w:rPr>
        <w:t>mc</w:t>
      </w:r>
      <w:proofErr w:type="spellEnd"/>
      <w:r>
        <w:t xml:space="preserve"> = microclimate factor</w:t>
      </w:r>
    </w:p>
    <w:p w:rsidR="00A52ED1" w:rsidRDefault="00E92699" w:rsidP="009E1CFF">
      <w:pPr>
        <w:pStyle w:val="ListParagraph"/>
        <w:spacing w:after="0"/>
        <w:contextualSpacing w:val="0"/>
      </w:pPr>
      <w:r>
        <w:t xml:space="preserve">LA = </w:t>
      </w:r>
      <w:r w:rsidR="00A52ED1">
        <w:t>Landscape Area (sq-ft)</w:t>
      </w:r>
    </w:p>
    <w:p w:rsidR="00A52ED1" w:rsidRDefault="00A52ED1" w:rsidP="009E1CFF">
      <w:pPr>
        <w:pStyle w:val="ListParagraph"/>
        <w:spacing w:after="0"/>
        <w:contextualSpacing w:val="0"/>
      </w:pPr>
      <w:r>
        <w:t>IE = Irrigation Efficiency (assume 90 percent for demand calculations)</w:t>
      </w:r>
    </w:p>
    <w:p w:rsidR="009E1CFF" w:rsidRDefault="009E1CFF" w:rsidP="009E1CFF">
      <w:pPr>
        <w:pStyle w:val="ListParagraph"/>
        <w:spacing w:after="0"/>
        <w:contextualSpacing w:val="0"/>
      </w:pPr>
    </w:p>
    <w:p w:rsidR="00A52ED1" w:rsidRDefault="00A52ED1" w:rsidP="00A52ED1">
      <w:r>
        <w:t>In this equation, the coefficient (0.01</w:t>
      </w:r>
      <w:r w:rsidR="000501BB">
        <w:t>5</w:t>
      </w:r>
      <w:r>
        <w:t>) accounts for unit conversions and shut down of irrigation during and for the t</w:t>
      </w:r>
      <w:r w:rsidR="000501BB">
        <w:t>hree</w:t>
      </w:r>
      <w:r>
        <w:t xml:space="preserve"> days following a significant precipitation event:</w:t>
      </w:r>
    </w:p>
    <w:p w:rsidR="00A52ED1" w:rsidRDefault="00A52ED1" w:rsidP="00A52ED1">
      <w:pPr>
        <w:ind w:left="720"/>
      </w:pPr>
      <w:r>
        <w:t>0.01</w:t>
      </w:r>
      <w:r w:rsidR="000501BB">
        <w:t>5</w:t>
      </w:r>
      <w:r>
        <w:t xml:space="preserve"> = (1 mo/30 days</w:t>
      </w:r>
      <w:proofErr w:type="gramStart"/>
      <w:r>
        <w:t>)×</w:t>
      </w:r>
      <w:proofErr w:type="gramEnd"/>
      <w:r>
        <w:t>(1 ft/12 in)×(7.48 gal/cu-ft)×</w:t>
      </w:r>
      <w:r w:rsidRPr="00620C0A">
        <w:t xml:space="preserve">(approximately </w:t>
      </w:r>
      <w:r w:rsidR="000501BB">
        <w:t xml:space="preserve">7 </w:t>
      </w:r>
      <w:r w:rsidRPr="00620C0A">
        <w:t>out of 10 days with irrigation demand from November through April)</w:t>
      </w:r>
    </w:p>
    <w:p w:rsidR="00A52ED1" w:rsidRDefault="00A52ED1" w:rsidP="00A52ED1">
      <w:r>
        <w:t xml:space="preserve">When using this method, the worksheets contained within the OC Irrigation Code may be useful to determine the irrigation use for a project site, with the appropriate modifications to reflect the Modified EAWU calculations.  These worksheets allow the user to area-weight the inputs for irrigation.  </w:t>
      </w:r>
    </w:p>
    <w:p w:rsidR="00A52ED1" w:rsidRPr="00057881" w:rsidRDefault="00A52ED1" w:rsidP="00EA1EA6">
      <w:pPr>
        <w:pStyle w:val="Heading4"/>
      </w:pPr>
      <w:bookmarkStart w:id="620" w:name="_Ref285530437"/>
      <w:r>
        <w:t>Reference ET Data</w:t>
      </w:r>
      <w:bookmarkEnd w:id="620"/>
    </w:p>
    <w:p w:rsidR="00A52ED1" w:rsidRDefault="00126F3D" w:rsidP="00A52ED1">
      <w:r w:rsidRPr="00126DE5">
        <w:rPr>
          <w:rFonts w:cs="Arial"/>
          <w:b/>
          <w:color w:val="0070C0"/>
          <w:sz w:val="20"/>
          <w:szCs w:val="20"/>
        </w:rPr>
        <w:fldChar w:fldCharType="begin"/>
      </w:r>
      <w:r w:rsidR="00A52ED1" w:rsidRPr="00126DE5">
        <w:rPr>
          <w:rFonts w:cs="Arial"/>
          <w:b/>
          <w:color w:val="0070C0"/>
          <w:sz w:val="20"/>
          <w:szCs w:val="20"/>
        </w:rPr>
        <w:instrText xml:space="preserve"> REF _Ref285033623 \h </w:instrText>
      </w:r>
      <w:r w:rsidRPr="00126DE5">
        <w:rPr>
          <w:rFonts w:cs="Arial"/>
          <w:b/>
          <w:color w:val="0070C0"/>
          <w:sz w:val="20"/>
          <w:szCs w:val="20"/>
        </w:rPr>
      </w:r>
      <w:r w:rsidRPr="00126DE5">
        <w:rPr>
          <w:rFonts w:cs="Arial"/>
          <w:b/>
          <w:color w:val="0070C0"/>
          <w:sz w:val="20"/>
          <w:szCs w:val="20"/>
        </w:rPr>
        <w:fldChar w:fldCharType="separate"/>
      </w:r>
      <w:r w:rsidR="00126DE5" w:rsidRPr="00126DE5">
        <w:rPr>
          <w:b/>
          <w:color w:val="0070C0"/>
        </w:rPr>
        <w:t xml:space="preserve">Table </w:t>
      </w:r>
      <w:r w:rsidR="00126DE5" w:rsidRPr="00126DE5">
        <w:rPr>
          <w:b/>
          <w:noProof/>
          <w:color w:val="0070C0"/>
        </w:rPr>
        <w:t>X</w:t>
      </w:r>
      <w:r w:rsidR="00126DE5" w:rsidRPr="00126DE5">
        <w:rPr>
          <w:b/>
          <w:color w:val="0070C0"/>
        </w:rPr>
        <w:t>.</w:t>
      </w:r>
      <w:r w:rsidR="00126DE5" w:rsidRPr="00126DE5">
        <w:rPr>
          <w:b/>
          <w:noProof/>
          <w:color w:val="0070C0"/>
        </w:rPr>
        <w:t>2</w:t>
      </w:r>
      <w:r w:rsidRPr="00126DE5">
        <w:rPr>
          <w:rFonts w:cs="Arial"/>
          <w:b/>
          <w:color w:val="0070C0"/>
          <w:sz w:val="20"/>
          <w:szCs w:val="20"/>
        </w:rPr>
        <w:fldChar w:fldCharType="end"/>
      </w:r>
      <w:r w:rsidR="00A52ED1">
        <w:t>contains data derived from CIMIS for the cities of Irvine,</w:t>
      </w:r>
      <w:r w:rsidR="000E4DAD">
        <w:t xml:space="preserve"> Santa Ana, and Laguna Beach</w:t>
      </w:r>
      <w:r w:rsidR="00A52ED1">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07"/>
        <w:gridCol w:w="495"/>
        <w:gridCol w:w="495"/>
        <w:gridCol w:w="495"/>
        <w:gridCol w:w="495"/>
        <w:gridCol w:w="495"/>
        <w:gridCol w:w="495"/>
        <w:gridCol w:w="495"/>
        <w:gridCol w:w="495"/>
        <w:gridCol w:w="495"/>
        <w:gridCol w:w="495"/>
        <w:gridCol w:w="495"/>
        <w:gridCol w:w="495"/>
        <w:gridCol w:w="894"/>
        <w:gridCol w:w="1235"/>
      </w:tblGrid>
      <w:tr w:rsidR="005411C8" w:rsidRPr="005032D5" w:rsidTr="009E1CFF">
        <w:trPr>
          <w:trHeight w:val="300"/>
        </w:trPr>
        <w:tc>
          <w:tcPr>
            <w:tcW w:w="0" w:type="auto"/>
            <w:gridSpan w:val="15"/>
            <w:tcBorders>
              <w:top w:val="nil"/>
              <w:left w:val="nil"/>
              <w:bottom w:val="single" w:sz="4" w:space="0" w:color="auto"/>
              <w:right w:val="nil"/>
            </w:tcBorders>
            <w:shd w:val="clear" w:color="auto" w:fill="auto"/>
            <w:noWrap/>
            <w:vAlign w:val="bottom"/>
            <w:hideMark/>
          </w:tcPr>
          <w:p w:rsidR="005411C8" w:rsidRPr="00524D76" w:rsidRDefault="005411C8" w:rsidP="00647B99">
            <w:pPr>
              <w:pStyle w:val="Caption"/>
            </w:pPr>
            <w:bookmarkStart w:id="621" w:name="_Ref285033623"/>
            <w:bookmarkStart w:id="622" w:name="_Toc288554387"/>
            <w:r w:rsidRPr="00524D76">
              <w:t xml:space="preserve">Table </w:t>
            </w:r>
            <w:fldSimple w:instr=" STYLEREF 1 \s ">
              <w:r w:rsidR="00126DE5" w:rsidRPr="00524D76">
                <w:rPr>
                  <w:noProof/>
                </w:rPr>
                <w:t>X</w:t>
              </w:r>
            </w:fldSimple>
            <w:r w:rsidR="000B5480" w:rsidRPr="00524D76">
              <w:t>.</w:t>
            </w:r>
            <w:fldSimple w:instr=" SEQ Table \* ARABIC \s 1 ">
              <w:r w:rsidR="00126DE5" w:rsidRPr="00524D76">
                <w:rPr>
                  <w:noProof/>
                </w:rPr>
                <w:t>2</w:t>
              </w:r>
            </w:fldSimple>
            <w:bookmarkEnd w:id="621"/>
            <w:r w:rsidRPr="00524D76">
              <w:t xml:space="preserve">: Monthly Reference </w:t>
            </w:r>
            <w:r w:rsidR="00FD5274" w:rsidRPr="00524D76">
              <w:t>ET</w:t>
            </w:r>
            <w:r w:rsidRPr="00524D76">
              <w:t xml:space="preserve"> Rates for Orange County (Inches)</w:t>
            </w:r>
            <w:bookmarkEnd w:id="622"/>
          </w:p>
        </w:tc>
      </w:tr>
      <w:tr w:rsidR="00A52ED1" w:rsidRPr="005032D5" w:rsidTr="009E1CFF">
        <w:trPr>
          <w:trHeight w:val="300"/>
        </w:trPr>
        <w:tc>
          <w:tcPr>
            <w:tcW w:w="0" w:type="auto"/>
            <w:tcBorders>
              <w:top w:val="single" w:sz="4" w:space="0" w:color="auto"/>
            </w:tcBorders>
            <w:shd w:val="clear" w:color="auto" w:fill="D9D9D9" w:themeFill="background1" w:themeFillShade="D9"/>
            <w:noWrap/>
            <w:vAlign w:val="bottom"/>
            <w:hideMark/>
          </w:tcPr>
          <w:p w:rsidR="00A52ED1" w:rsidRPr="00B96ACD" w:rsidRDefault="00B96ACD" w:rsidP="008D5A30">
            <w:pPr>
              <w:keepNext/>
              <w:spacing w:after="0" w:line="240" w:lineRule="auto"/>
              <w:rPr>
                <w:rFonts w:ascii="Arial" w:hAnsi="Arial" w:cs="Arial"/>
                <w:b/>
                <w:color w:val="000000"/>
                <w:sz w:val="20"/>
              </w:rPr>
            </w:pPr>
            <w:r w:rsidRPr="00B96ACD">
              <w:rPr>
                <w:rFonts w:ascii="Arial" w:hAnsi="Arial" w:cs="Arial"/>
                <w:b/>
                <w:color w:val="000000"/>
                <w:sz w:val="20"/>
              </w:rPr>
              <w:t>Station</w:t>
            </w:r>
          </w:p>
        </w:tc>
        <w:tc>
          <w:tcPr>
            <w:tcW w:w="0" w:type="auto"/>
            <w:tcBorders>
              <w:top w:val="single" w:sz="4" w:space="0" w:color="auto"/>
            </w:tcBorders>
            <w:shd w:val="clear" w:color="auto" w:fill="D9D9D9" w:themeFill="background1" w:themeFillShade="D9"/>
            <w:noWrap/>
            <w:vAlign w:val="center"/>
            <w:hideMark/>
          </w:tcPr>
          <w:p w:rsidR="00A52ED1" w:rsidRPr="005411C8" w:rsidRDefault="00A52ED1" w:rsidP="008D5A30">
            <w:pPr>
              <w:keepNext/>
              <w:spacing w:after="0" w:line="240" w:lineRule="auto"/>
              <w:jc w:val="center"/>
              <w:rPr>
                <w:rFonts w:ascii="Arial" w:hAnsi="Arial" w:cs="Arial"/>
                <w:b/>
                <w:color w:val="000000"/>
                <w:sz w:val="20"/>
              </w:rPr>
            </w:pPr>
            <w:r w:rsidRPr="005411C8">
              <w:rPr>
                <w:rFonts w:ascii="Arial" w:hAnsi="Arial" w:cs="Arial"/>
                <w:b/>
                <w:color w:val="000000"/>
                <w:sz w:val="20"/>
              </w:rPr>
              <w:t>J</w:t>
            </w:r>
          </w:p>
        </w:tc>
        <w:tc>
          <w:tcPr>
            <w:tcW w:w="0" w:type="auto"/>
            <w:tcBorders>
              <w:top w:val="single" w:sz="4" w:space="0" w:color="auto"/>
            </w:tcBorders>
            <w:shd w:val="clear" w:color="auto" w:fill="D9D9D9" w:themeFill="background1" w:themeFillShade="D9"/>
            <w:noWrap/>
            <w:vAlign w:val="center"/>
            <w:hideMark/>
          </w:tcPr>
          <w:p w:rsidR="00A52ED1" w:rsidRPr="005411C8" w:rsidRDefault="00A52ED1" w:rsidP="008D5A30">
            <w:pPr>
              <w:keepNext/>
              <w:spacing w:after="0" w:line="240" w:lineRule="auto"/>
              <w:jc w:val="center"/>
              <w:rPr>
                <w:rFonts w:ascii="Arial" w:hAnsi="Arial" w:cs="Arial"/>
                <w:b/>
                <w:color w:val="000000"/>
                <w:sz w:val="20"/>
              </w:rPr>
            </w:pPr>
            <w:r w:rsidRPr="005411C8">
              <w:rPr>
                <w:rFonts w:ascii="Arial" w:hAnsi="Arial" w:cs="Arial"/>
                <w:b/>
                <w:color w:val="000000"/>
                <w:sz w:val="20"/>
              </w:rPr>
              <w:t>F</w:t>
            </w:r>
          </w:p>
        </w:tc>
        <w:tc>
          <w:tcPr>
            <w:tcW w:w="0" w:type="auto"/>
            <w:tcBorders>
              <w:top w:val="single" w:sz="4" w:space="0" w:color="auto"/>
            </w:tcBorders>
            <w:shd w:val="clear" w:color="auto" w:fill="D9D9D9" w:themeFill="background1" w:themeFillShade="D9"/>
            <w:noWrap/>
            <w:vAlign w:val="center"/>
            <w:hideMark/>
          </w:tcPr>
          <w:p w:rsidR="00A52ED1" w:rsidRPr="005411C8" w:rsidRDefault="00A52ED1" w:rsidP="008D5A30">
            <w:pPr>
              <w:keepNext/>
              <w:spacing w:after="0" w:line="240" w:lineRule="auto"/>
              <w:jc w:val="center"/>
              <w:rPr>
                <w:rFonts w:ascii="Arial" w:hAnsi="Arial" w:cs="Arial"/>
                <w:b/>
                <w:color w:val="000000"/>
                <w:sz w:val="20"/>
              </w:rPr>
            </w:pPr>
            <w:r w:rsidRPr="005411C8">
              <w:rPr>
                <w:rFonts w:ascii="Arial" w:hAnsi="Arial" w:cs="Arial"/>
                <w:b/>
                <w:color w:val="000000"/>
                <w:sz w:val="20"/>
              </w:rPr>
              <w:t>M</w:t>
            </w:r>
          </w:p>
        </w:tc>
        <w:tc>
          <w:tcPr>
            <w:tcW w:w="0" w:type="auto"/>
            <w:tcBorders>
              <w:top w:val="single" w:sz="4" w:space="0" w:color="auto"/>
            </w:tcBorders>
            <w:shd w:val="clear" w:color="auto" w:fill="D9D9D9" w:themeFill="background1" w:themeFillShade="D9"/>
            <w:noWrap/>
            <w:vAlign w:val="center"/>
            <w:hideMark/>
          </w:tcPr>
          <w:p w:rsidR="00A52ED1" w:rsidRPr="005411C8" w:rsidRDefault="00A52ED1" w:rsidP="008D5A30">
            <w:pPr>
              <w:keepNext/>
              <w:spacing w:after="0" w:line="240" w:lineRule="auto"/>
              <w:jc w:val="center"/>
              <w:rPr>
                <w:rFonts w:ascii="Arial" w:hAnsi="Arial" w:cs="Arial"/>
                <w:b/>
                <w:color w:val="000000"/>
                <w:sz w:val="20"/>
              </w:rPr>
            </w:pPr>
            <w:r w:rsidRPr="005411C8">
              <w:rPr>
                <w:rFonts w:ascii="Arial" w:hAnsi="Arial" w:cs="Arial"/>
                <w:b/>
                <w:color w:val="000000"/>
                <w:sz w:val="20"/>
              </w:rPr>
              <w:t>A</w:t>
            </w:r>
          </w:p>
        </w:tc>
        <w:tc>
          <w:tcPr>
            <w:tcW w:w="0" w:type="auto"/>
            <w:tcBorders>
              <w:top w:val="single" w:sz="4" w:space="0" w:color="auto"/>
            </w:tcBorders>
            <w:shd w:val="clear" w:color="auto" w:fill="D9D9D9" w:themeFill="background1" w:themeFillShade="D9"/>
            <w:noWrap/>
            <w:vAlign w:val="center"/>
            <w:hideMark/>
          </w:tcPr>
          <w:p w:rsidR="00A52ED1" w:rsidRPr="005411C8" w:rsidRDefault="00A52ED1" w:rsidP="008D5A30">
            <w:pPr>
              <w:keepNext/>
              <w:spacing w:after="0" w:line="240" w:lineRule="auto"/>
              <w:jc w:val="center"/>
              <w:rPr>
                <w:rFonts w:ascii="Arial" w:hAnsi="Arial" w:cs="Arial"/>
                <w:b/>
                <w:color w:val="000000"/>
                <w:sz w:val="20"/>
              </w:rPr>
            </w:pPr>
            <w:r w:rsidRPr="005411C8">
              <w:rPr>
                <w:rFonts w:ascii="Arial" w:hAnsi="Arial" w:cs="Arial"/>
                <w:b/>
                <w:color w:val="000000"/>
                <w:sz w:val="20"/>
              </w:rPr>
              <w:t>M</w:t>
            </w:r>
          </w:p>
        </w:tc>
        <w:tc>
          <w:tcPr>
            <w:tcW w:w="0" w:type="auto"/>
            <w:tcBorders>
              <w:top w:val="single" w:sz="4" w:space="0" w:color="auto"/>
            </w:tcBorders>
            <w:shd w:val="clear" w:color="auto" w:fill="D9D9D9" w:themeFill="background1" w:themeFillShade="D9"/>
            <w:noWrap/>
            <w:vAlign w:val="center"/>
            <w:hideMark/>
          </w:tcPr>
          <w:p w:rsidR="00A52ED1" w:rsidRPr="005411C8" w:rsidRDefault="00A52ED1" w:rsidP="008D5A30">
            <w:pPr>
              <w:keepNext/>
              <w:spacing w:after="0" w:line="240" w:lineRule="auto"/>
              <w:jc w:val="center"/>
              <w:rPr>
                <w:rFonts w:ascii="Arial" w:hAnsi="Arial" w:cs="Arial"/>
                <w:b/>
                <w:color w:val="000000"/>
                <w:sz w:val="20"/>
              </w:rPr>
            </w:pPr>
            <w:r w:rsidRPr="005411C8">
              <w:rPr>
                <w:rFonts w:ascii="Arial" w:hAnsi="Arial" w:cs="Arial"/>
                <w:b/>
                <w:color w:val="000000"/>
                <w:sz w:val="20"/>
              </w:rPr>
              <w:t>J</w:t>
            </w:r>
          </w:p>
        </w:tc>
        <w:tc>
          <w:tcPr>
            <w:tcW w:w="0" w:type="auto"/>
            <w:tcBorders>
              <w:top w:val="single" w:sz="4" w:space="0" w:color="auto"/>
            </w:tcBorders>
            <w:shd w:val="clear" w:color="auto" w:fill="D9D9D9" w:themeFill="background1" w:themeFillShade="D9"/>
            <w:noWrap/>
            <w:vAlign w:val="center"/>
            <w:hideMark/>
          </w:tcPr>
          <w:p w:rsidR="00A52ED1" w:rsidRPr="005411C8" w:rsidRDefault="00A52ED1" w:rsidP="008D5A30">
            <w:pPr>
              <w:keepNext/>
              <w:spacing w:after="0" w:line="240" w:lineRule="auto"/>
              <w:jc w:val="center"/>
              <w:rPr>
                <w:rFonts w:ascii="Arial" w:hAnsi="Arial" w:cs="Arial"/>
                <w:b/>
                <w:color w:val="000000"/>
                <w:sz w:val="20"/>
              </w:rPr>
            </w:pPr>
            <w:r w:rsidRPr="005411C8">
              <w:rPr>
                <w:rFonts w:ascii="Arial" w:hAnsi="Arial" w:cs="Arial"/>
                <w:b/>
                <w:color w:val="000000"/>
                <w:sz w:val="20"/>
              </w:rPr>
              <w:t>J</w:t>
            </w:r>
          </w:p>
        </w:tc>
        <w:tc>
          <w:tcPr>
            <w:tcW w:w="0" w:type="auto"/>
            <w:tcBorders>
              <w:top w:val="single" w:sz="4" w:space="0" w:color="auto"/>
            </w:tcBorders>
            <w:shd w:val="clear" w:color="auto" w:fill="D9D9D9" w:themeFill="background1" w:themeFillShade="D9"/>
            <w:noWrap/>
            <w:vAlign w:val="center"/>
            <w:hideMark/>
          </w:tcPr>
          <w:p w:rsidR="00A52ED1" w:rsidRPr="005411C8" w:rsidRDefault="00A52ED1" w:rsidP="008D5A30">
            <w:pPr>
              <w:keepNext/>
              <w:spacing w:after="0" w:line="240" w:lineRule="auto"/>
              <w:jc w:val="center"/>
              <w:rPr>
                <w:rFonts w:ascii="Arial" w:hAnsi="Arial" w:cs="Arial"/>
                <w:b/>
                <w:color w:val="000000"/>
                <w:sz w:val="20"/>
              </w:rPr>
            </w:pPr>
            <w:r w:rsidRPr="005411C8">
              <w:rPr>
                <w:rFonts w:ascii="Arial" w:hAnsi="Arial" w:cs="Arial"/>
                <w:b/>
                <w:color w:val="000000"/>
                <w:sz w:val="20"/>
              </w:rPr>
              <w:t>A</w:t>
            </w:r>
          </w:p>
        </w:tc>
        <w:tc>
          <w:tcPr>
            <w:tcW w:w="0" w:type="auto"/>
            <w:tcBorders>
              <w:top w:val="single" w:sz="4" w:space="0" w:color="auto"/>
            </w:tcBorders>
            <w:shd w:val="clear" w:color="auto" w:fill="D9D9D9" w:themeFill="background1" w:themeFillShade="D9"/>
            <w:noWrap/>
            <w:vAlign w:val="center"/>
            <w:hideMark/>
          </w:tcPr>
          <w:p w:rsidR="00A52ED1" w:rsidRPr="005411C8" w:rsidRDefault="00A52ED1" w:rsidP="008D5A30">
            <w:pPr>
              <w:keepNext/>
              <w:spacing w:after="0" w:line="240" w:lineRule="auto"/>
              <w:jc w:val="center"/>
              <w:rPr>
                <w:rFonts w:ascii="Arial" w:hAnsi="Arial" w:cs="Arial"/>
                <w:b/>
                <w:color w:val="000000"/>
                <w:sz w:val="20"/>
              </w:rPr>
            </w:pPr>
            <w:r w:rsidRPr="005411C8">
              <w:rPr>
                <w:rFonts w:ascii="Arial" w:hAnsi="Arial" w:cs="Arial"/>
                <w:b/>
                <w:color w:val="000000"/>
                <w:sz w:val="20"/>
              </w:rPr>
              <w:t>S</w:t>
            </w:r>
          </w:p>
        </w:tc>
        <w:tc>
          <w:tcPr>
            <w:tcW w:w="0" w:type="auto"/>
            <w:tcBorders>
              <w:top w:val="single" w:sz="4" w:space="0" w:color="auto"/>
            </w:tcBorders>
            <w:shd w:val="clear" w:color="auto" w:fill="D9D9D9" w:themeFill="background1" w:themeFillShade="D9"/>
            <w:noWrap/>
            <w:vAlign w:val="center"/>
            <w:hideMark/>
          </w:tcPr>
          <w:p w:rsidR="00A52ED1" w:rsidRPr="005411C8" w:rsidRDefault="00A52ED1" w:rsidP="008D5A30">
            <w:pPr>
              <w:keepNext/>
              <w:spacing w:after="0" w:line="240" w:lineRule="auto"/>
              <w:jc w:val="center"/>
              <w:rPr>
                <w:rFonts w:ascii="Arial" w:hAnsi="Arial" w:cs="Arial"/>
                <w:b/>
                <w:color w:val="000000"/>
                <w:sz w:val="20"/>
              </w:rPr>
            </w:pPr>
            <w:r w:rsidRPr="005411C8">
              <w:rPr>
                <w:rFonts w:ascii="Arial" w:hAnsi="Arial" w:cs="Arial"/>
                <w:b/>
                <w:color w:val="000000"/>
                <w:sz w:val="20"/>
              </w:rPr>
              <w:t>O</w:t>
            </w:r>
          </w:p>
        </w:tc>
        <w:tc>
          <w:tcPr>
            <w:tcW w:w="0" w:type="auto"/>
            <w:tcBorders>
              <w:top w:val="single" w:sz="4" w:space="0" w:color="auto"/>
            </w:tcBorders>
            <w:shd w:val="clear" w:color="auto" w:fill="D9D9D9" w:themeFill="background1" w:themeFillShade="D9"/>
            <w:noWrap/>
            <w:vAlign w:val="center"/>
            <w:hideMark/>
          </w:tcPr>
          <w:p w:rsidR="00A52ED1" w:rsidRPr="005411C8" w:rsidRDefault="00A52ED1" w:rsidP="008D5A30">
            <w:pPr>
              <w:keepNext/>
              <w:spacing w:after="0" w:line="240" w:lineRule="auto"/>
              <w:jc w:val="center"/>
              <w:rPr>
                <w:rFonts w:ascii="Arial" w:hAnsi="Arial" w:cs="Arial"/>
                <w:b/>
                <w:color w:val="000000"/>
                <w:sz w:val="20"/>
              </w:rPr>
            </w:pPr>
            <w:r w:rsidRPr="005411C8">
              <w:rPr>
                <w:rFonts w:ascii="Arial" w:hAnsi="Arial" w:cs="Arial"/>
                <w:b/>
                <w:color w:val="000000"/>
                <w:sz w:val="20"/>
              </w:rPr>
              <w:t>N</w:t>
            </w:r>
          </w:p>
        </w:tc>
        <w:tc>
          <w:tcPr>
            <w:tcW w:w="0" w:type="auto"/>
            <w:tcBorders>
              <w:top w:val="single" w:sz="4" w:space="0" w:color="auto"/>
            </w:tcBorders>
            <w:shd w:val="clear" w:color="auto" w:fill="D9D9D9" w:themeFill="background1" w:themeFillShade="D9"/>
            <w:noWrap/>
            <w:vAlign w:val="center"/>
            <w:hideMark/>
          </w:tcPr>
          <w:p w:rsidR="00A52ED1" w:rsidRPr="005411C8" w:rsidRDefault="00A52ED1" w:rsidP="008D5A30">
            <w:pPr>
              <w:keepNext/>
              <w:spacing w:after="0" w:line="240" w:lineRule="auto"/>
              <w:jc w:val="center"/>
              <w:rPr>
                <w:rFonts w:ascii="Arial" w:hAnsi="Arial" w:cs="Arial"/>
                <w:b/>
                <w:color w:val="000000"/>
                <w:sz w:val="20"/>
              </w:rPr>
            </w:pPr>
            <w:r w:rsidRPr="005411C8">
              <w:rPr>
                <w:rFonts w:ascii="Arial" w:hAnsi="Arial" w:cs="Arial"/>
                <w:b/>
                <w:color w:val="000000"/>
                <w:sz w:val="20"/>
              </w:rPr>
              <w:t>D</w:t>
            </w:r>
          </w:p>
        </w:tc>
        <w:tc>
          <w:tcPr>
            <w:tcW w:w="0" w:type="auto"/>
            <w:tcBorders>
              <w:top w:val="single" w:sz="4" w:space="0" w:color="auto"/>
            </w:tcBorders>
            <w:shd w:val="clear" w:color="auto" w:fill="D9D9D9" w:themeFill="background1" w:themeFillShade="D9"/>
            <w:noWrap/>
            <w:vAlign w:val="center"/>
            <w:hideMark/>
          </w:tcPr>
          <w:p w:rsidR="00A52ED1" w:rsidRPr="005411C8" w:rsidRDefault="00A52ED1" w:rsidP="008D5A30">
            <w:pPr>
              <w:keepNext/>
              <w:spacing w:after="0" w:line="240" w:lineRule="auto"/>
              <w:jc w:val="center"/>
              <w:rPr>
                <w:rFonts w:ascii="Arial" w:hAnsi="Arial" w:cs="Arial"/>
                <w:b/>
                <w:color w:val="000000"/>
                <w:sz w:val="20"/>
              </w:rPr>
            </w:pPr>
            <w:r w:rsidRPr="005411C8">
              <w:rPr>
                <w:rFonts w:ascii="Arial" w:hAnsi="Arial" w:cs="Arial"/>
                <w:b/>
                <w:color w:val="000000"/>
                <w:sz w:val="20"/>
              </w:rPr>
              <w:t>Annual</w:t>
            </w:r>
          </w:p>
        </w:tc>
        <w:tc>
          <w:tcPr>
            <w:tcW w:w="0" w:type="auto"/>
            <w:tcBorders>
              <w:top w:val="single" w:sz="4" w:space="0" w:color="auto"/>
            </w:tcBorders>
            <w:shd w:val="clear" w:color="auto" w:fill="D9D9D9" w:themeFill="background1" w:themeFillShade="D9"/>
          </w:tcPr>
          <w:p w:rsidR="00A52ED1" w:rsidRPr="005411C8" w:rsidRDefault="00A52ED1" w:rsidP="008D5A30">
            <w:pPr>
              <w:keepNext/>
              <w:spacing w:after="0" w:line="240" w:lineRule="auto"/>
              <w:jc w:val="center"/>
              <w:rPr>
                <w:rFonts w:ascii="Arial" w:hAnsi="Arial" w:cs="Arial"/>
                <w:b/>
                <w:color w:val="000000"/>
                <w:sz w:val="20"/>
              </w:rPr>
            </w:pPr>
            <w:r w:rsidRPr="005411C8">
              <w:rPr>
                <w:rFonts w:ascii="Arial" w:hAnsi="Arial" w:cs="Arial"/>
                <w:b/>
                <w:color w:val="000000"/>
                <w:sz w:val="20"/>
              </w:rPr>
              <w:t xml:space="preserve">Wet Season Average  </w:t>
            </w:r>
          </w:p>
          <w:p w:rsidR="00A52ED1" w:rsidRPr="005411C8" w:rsidRDefault="00A52ED1" w:rsidP="008D5A30">
            <w:pPr>
              <w:keepNext/>
              <w:spacing w:after="0" w:line="240" w:lineRule="auto"/>
              <w:jc w:val="center"/>
              <w:rPr>
                <w:rFonts w:ascii="Arial" w:hAnsi="Arial" w:cs="Arial"/>
                <w:b/>
                <w:color w:val="000000"/>
                <w:sz w:val="20"/>
              </w:rPr>
            </w:pPr>
            <w:r w:rsidRPr="005411C8">
              <w:rPr>
                <w:rFonts w:ascii="Arial" w:hAnsi="Arial" w:cs="Arial"/>
                <w:b/>
                <w:color w:val="000000"/>
                <w:sz w:val="20"/>
              </w:rPr>
              <w:t>(in</w:t>
            </w:r>
            <w:r w:rsidR="009E1CFF">
              <w:rPr>
                <w:rFonts w:ascii="Arial" w:hAnsi="Arial" w:cs="Arial"/>
                <w:b/>
                <w:color w:val="000000"/>
                <w:sz w:val="20"/>
              </w:rPr>
              <w:t>/mo</w:t>
            </w:r>
            <w:r w:rsidRPr="005411C8">
              <w:rPr>
                <w:rFonts w:ascii="Arial" w:hAnsi="Arial" w:cs="Arial"/>
                <w:b/>
                <w:color w:val="000000"/>
                <w:sz w:val="20"/>
              </w:rPr>
              <w:t>)</w:t>
            </w:r>
          </w:p>
          <w:p w:rsidR="00A52ED1" w:rsidRPr="005411C8" w:rsidRDefault="00A52ED1" w:rsidP="008D5A30">
            <w:pPr>
              <w:keepNext/>
              <w:spacing w:after="0" w:line="240" w:lineRule="auto"/>
              <w:jc w:val="center"/>
              <w:rPr>
                <w:rFonts w:ascii="Arial" w:hAnsi="Arial" w:cs="Arial"/>
                <w:b/>
                <w:color w:val="000000"/>
                <w:sz w:val="20"/>
              </w:rPr>
            </w:pPr>
            <w:r w:rsidRPr="005411C8">
              <w:rPr>
                <w:rFonts w:ascii="Arial" w:hAnsi="Arial" w:cs="Arial"/>
                <w:b/>
                <w:color w:val="000000"/>
                <w:sz w:val="20"/>
              </w:rPr>
              <w:t>(Nov to Apr)</w:t>
            </w:r>
          </w:p>
        </w:tc>
      </w:tr>
      <w:tr w:rsidR="00A52ED1" w:rsidRPr="005032D5" w:rsidTr="00FE704C">
        <w:trPr>
          <w:trHeight w:val="300"/>
        </w:trPr>
        <w:tc>
          <w:tcPr>
            <w:tcW w:w="0" w:type="auto"/>
            <w:shd w:val="clear" w:color="auto" w:fill="auto"/>
            <w:noWrap/>
            <w:vAlign w:val="bottom"/>
            <w:hideMark/>
          </w:tcPr>
          <w:p w:rsidR="00A52ED1" w:rsidRPr="005411C8" w:rsidRDefault="00A52ED1" w:rsidP="008D5A30">
            <w:pPr>
              <w:keepNext/>
              <w:spacing w:after="0" w:line="240" w:lineRule="auto"/>
              <w:rPr>
                <w:rFonts w:ascii="Arial" w:hAnsi="Arial" w:cs="Arial"/>
                <w:color w:val="000000"/>
                <w:sz w:val="20"/>
              </w:rPr>
            </w:pPr>
            <w:r w:rsidRPr="005411C8">
              <w:rPr>
                <w:rFonts w:ascii="Arial" w:hAnsi="Arial" w:cs="Arial"/>
                <w:color w:val="000000"/>
                <w:sz w:val="20"/>
              </w:rPr>
              <w:t>Irvine</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2.2</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2.5</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3.7</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4.7</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5.2</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5.9</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6.3</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6.2</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4.6</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3.7</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2.6</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2.3</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49.9</w:t>
            </w:r>
          </w:p>
        </w:tc>
        <w:tc>
          <w:tcPr>
            <w:tcW w:w="0" w:type="auto"/>
          </w:tcPr>
          <w:p w:rsidR="00A52ED1" w:rsidRPr="005411C8" w:rsidRDefault="00A52ED1" w:rsidP="008D5A30">
            <w:pPr>
              <w:keepNext/>
              <w:spacing w:after="0"/>
              <w:jc w:val="center"/>
              <w:rPr>
                <w:rFonts w:ascii="Arial" w:hAnsi="Arial" w:cs="Arial"/>
                <w:color w:val="000000"/>
                <w:sz w:val="20"/>
                <w:szCs w:val="20"/>
              </w:rPr>
            </w:pPr>
            <w:r w:rsidRPr="005411C8">
              <w:rPr>
                <w:rFonts w:ascii="Arial" w:hAnsi="Arial" w:cs="Arial"/>
                <w:color w:val="000000"/>
                <w:sz w:val="20"/>
                <w:szCs w:val="20"/>
              </w:rPr>
              <w:t>3.00</w:t>
            </w:r>
          </w:p>
        </w:tc>
      </w:tr>
      <w:tr w:rsidR="00A52ED1" w:rsidRPr="005032D5" w:rsidTr="00FE704C">
        <w:trPr>
          <w:trHeight w:val="300"/>
        </w:trPr>
        <w:tc>
          <w:tcPr>
            <w:tcW w:w="0" w:type="auto"/>
            <w:shd w:val="clear" w:color="auto" w:fill="auto"/>
            <w:noWrap/>
            <w:vAlign w:val="bottom"/>
            <w:hideMark/>
          </w:tcPr>
          <w:p w:rsidR="00A52ED1" w:rsidRPr="005411C8" w:rsidRDefault="00A52ED1" w:rsidP="008D5A30">
            <w:pPr>
              <w:keepNext/>
              <w:spacing w:after="0" w:line="240" w:lineRule="auto"/>
              <w:rPr>
                <w:rFonts w:ascii="Arial" w:hAnsi="Arial" w:cs="Arial"/>
                <w:color w:val="000000"/>
                <w:sz w:val="20"/>
              </w:rPr>
            </w:pPr>
            <w:r w:rsidRPr="005411C8">
              <w:rPr>
                <w:rFonts w:ascii="Arial" w:hAnsi="Arial" w:cs="Arial"/>
                <w:color w:val="000000"/>
                <w:sz w:val="20"/>
              </w:rPr>
              <w:t>Laguna Beach</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2.2</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2.7</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3.4</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3.8</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4.6</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4.6</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4.9</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4.9</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4.4</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3.4</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2.4</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2.0</w:t>
            </w:r>
          </w:p>
        </w:tc>
        <w:tc>
          <w:tcPr>
            <w:tcW w:w="0" w:type="auto"/>
            <w:shd w:val="clear" w:color="auto" w:fill="auto"/>
            <w:noWrap/>
            <w:vAlign w:val="center"/>
            <w:hideMark/>
          </w:tcPr>
          <w:p w:rsidR="00A52ED1" w:rsidRPr="005411C8" w:rsidRDefault="00A52ED1" w:rsidP="008D5A30">
            <w:pPr>
              <w:keepNext/>
              <w:spacing w:after="0" w:line="240" w:lineRule="auto"/>
              <w:jc w:val="center"/>
              <w:rPr>
                <w:rFonts w:ascii="Arial" w:hAnsi="Arial" w:cs="Arial"/>
                <w:color w:val="000000"/>
                <w:sz w:val="20"/>
              </w:rPr>
            </w:pPr>
            <w:r w:rsidRPr="005411C8">
              <w:rPr>
                <w:rFonts w:ascii="Arial" w:hAnsi="Arial" w:cs="Arial"/>
                <w:color w:val="000000"/>
                <w:sz w:val="20"/>
              </w:rPr>
              <w:t>43.3</w:t>
            </w:r>
          </w:p>
        </w:tc>
        <w:tc>
          <w:tcPr>
            <w:tcW w:w="0" w:type="auto"/>
          </w:tcPr>
          <w:p w:rsidR="00A52ED1" w:rsidRPr="005411C8" w:rsidRDefault="000501BB" w:rsidP="008D5A30">
            <w:pPr>
              <w:keepNext/>
              <w:spacing w:after="0"/>
              <w:jc w:val="center"/>
              <w:rPr>
                <w:rFonts w:ascii="Arial" w:hAnsi="Arial" w:cs="Arial"/>
                <w:color w:val="000000"/>
                <w:sz w:val="20"/>
                <w:szCs w:val="20"/>
              </w:rPr>
            </w:pPr>
            <w:r w:rsidRPr="005411C8">
              <w:rPr>
                <w:rFonts w:ascii="Arial" w:hAnsi="Arial" w:cs="Arial"/>
                <w:color w:val="000000"/>
                <w:sz w:val="20"/>
                <w:szCs w:val="20"/>
              </w:rPr>
              <w:t>2.75</w:t>
            </w:r>
          </w:p>
        </w:tc>
      </w:tr>
      <w:tr w:rsidR="00A52ED1" w:rsidRPr="005032D5" w:rsidTr="00FE704C">
        <w:trPr>
          <w:trHeight w:val="300"/>
        </w:trPr>
        <w:tc>
          <w:tcPr>
            <w:tcW w:w="0" w:type="auto"/>
            <w:shd w:val="clear" w:color="auto" w:fill="auto"/>
            <w:noWrap/>
            <w:vAlign w:val="bottom"/>
            <w:hideMark/>
          </w:tcPr>
          <w:p w:rsidR="00A52ED1" w:rsidRPr="005411C8" w:rsidRDefault="00A52ED1" w:rsidP="00FE704C">
            <w:pPr>
              <w:spacing w:after="0" w:line="240" w:lineRule="auto"/>
              <w:rPr>
                <w:rFonts w:ascii="Arial" w:hAnsi="Arial" w:cs="Arial"/>
                <w:color w:val="000000"/>
                <w:sz w:val="20"/>
              </w:rPr>
            </w:pPr>
            <w:r w:rsidRPr="005411C8">
              <w:rPr>
                <w:rFonts w:ascii="Arial" w:hAnsi="Arial" w:cs="Arial"/>
                <w:color w:val="000000"/>
                <w:sz w:val="20"/>
              </w:rPr>
              <w:t>Santa Ana</w:t>
            </w:r>
          </w:p>
        </w:tc>
        <w:tc>
          <w:tcPr>
            <w:tcW w:w="0" w:type="auto"/>
            <w:shd w:val="clear" w:color="auto" w:fill="auto"/>
            <w:noWrap/>
            <w:vAlign w:val="center"/>
            <w:hideMark/>
          </w:tcPr>
          <w:p w:rsidR="00A52ED1" w:rsidRPr="005411C8" w:rsidRDefault="00A52ED1" w:rsidP="00FE704C">
            <w:pPr>
              <w:spacing w:after="0" w:line="240" w:lineRule="auto"/>
              <w:jc w:val="center"/>
              <w:rPr>
                <w:rFonts w:ascii="Arial" w:hAnsi="Arial" w:cs="Arial"/>
                <w:color w:val="000000"/>
                <w:sz w:val="20"/>
              </w:rPr>
            </w:pPr>
            <w:r w:rsidRPr="005411C8">
              <w:rPr>
                <w:rFonts w:ascii="Arial" w:hAnsi="Arial" w:cs="Arial"/>
                <w:color w:val="000000"/>
                <w:sz w:val="20"/>
              </w:rPr>
              <w:t>2.2</w:t>
            </w:r>
          </w:p>
        </w:tc>
        <w:tc>
          <w:tcPr>
            <w:tcW w:w="0" w:type="auto"/>
            <w:shd w:val="clear" w:color="auto" w:fill="auto"/>
            <w:noWrap/>
            <w:vAlign w:val="center"/>
            <w:hideMark/>
          </w:tcPr>
          <w:p w:rsidR="00A52ED1" w:rsidRPr="005411C8" w:rsidRDefault="00A52ED1" w:rsidP="00FE704C">
            <w:pPr>
              <w:spacing w:after="0" w:line="240" w:lineRule="auto"/>
              <w:jc w:val="center"/>
              <w:rPr>
                <w:rFonts w:ascii="Arial" w:hAnsi="Arial" w:cs="Arial"/>
                <w:color w:val="000000"/>
                <w:sz w:val="20"/>
              </w:rPr>
            </w:pPr>
            <w:r w:rsidRPr="005411C8">
              <w:rPr>
                <w:rFonts w:ascii="Arial" w:hAnsi="Arial" w:cs="Arial"/>
                <w:color w:val="000000"/>
                <w:sz w:val="20"/>
              </w:rPr>
              <w:t>2.7</w:t>
            </w:r>
          </w:p>
        </w:tc>
        <w:tc>
          <w:tcPr>
            <w:tcW w:w="0" w:type="auto"/>
            <w:shd w:val="clear" w:color="auto" w:fill="auto"/>
            <w:noWrap/>
            <w:vAlign w:val="center"/>
            <w:hideMark/>
          </w:tcPr>
          <w:p w:rsidR="00A52ED1" w:rsidRPr="005411C8" w:rsidRDefault="00A52ED1" w:rsidP="00FE704C">
            <w:pPr>
              <w:spacing w:after="0" w:line="240" w:lineRule="auto"/>
              <w:jc w:val="center"/>
              <w:rPr>
                <w:rFonts w:ascii="Arial" w:hAnsi="Arial" w:cs="Arial"/>
                <w:color w:val="000000"/>
                <w:sz w:val="20"/>
              </w:rPr>
            </w:pPr>
            <w:r w:rsidRPr="005411C8">
              <w:rPr>
                <w:rFonts w:ascii="Arial" w:hAnsi="Arial" w:cs="Arial"/>
                <w:color w:val="000000"/>
                <w:sz w:val="20"/>
              </w:rPr>
              <w:t>3.7</w:t>
            </w:r>
          </w:p>
        </w:tc>
        <w:tc>
          <w:tcPr>
            <w:tcW w:w="0" w:type="auto"/>
            <w:shd w:val="clear" w:color="auto" w:fill="auto"/>
            <w:noWrap/>
            <w:vAlign w:val="center"/>
            <w:hideMark/>
          </w:tcPr>
          <w:p w:rsidR="00A52ED1" w:rsidRPr="005411C8" w:rsidRDefault="00A52ED1" w:rsidP="00FE704C">
            <w:pPr>
              <w:spacing w:after="0" w:line="240" w:lineRule="auto"/>
              <w:jc w:val="center"/>
              <w:rPr>
                <w:rFonts w:ascii="Arial" w:hAnsi="Arial" w:cs="Arial"/>
                <w:color w:val="000000"/>
                <w:sz w:val="20"/>
              </w:rPr>
            </w:pPr>
            <w:r w:rsidRPr="005411C8">
              <w:rPr>
                <w:rFonts w:ascii="Arial" w:hAnsi="Arial" w:cs="Arial"/>
                <w:color w:val="000000"/>
                <w:sz w:val="20"/>
              </w:rPr>
              <w:t>4.5</w:t>
            </w:r>
          </w:p>
        </w:tc>
        <w:tc>
          <w:tcPr>
            <w:tcW w:w="0" w:type="auto"/>
            <w:shd w:val="clear" w:color="auto" w:fill="auto"/>
            <w:noWrap/>
            <w:vAlign w:val="center"/>
            <w:hideMark/>
          </w:tcPr>
          <w:p w:rsidR="00A52ED1" w:rsidRPr="005411C8" w:rsidRDefault="00A52ED1" w:rsidP="00FE704C">
            <w:pPr>
              <w:spacing w:after="0" w:line="240" w:lineRule="auto"/>
              <w:jc w:val="center"/>
              <w:rPr>
                <w:rFonts w:ascii="Arial" w:hAnsi="Arial" w:cs="Arial"/>
                <w:color w:val="000000"/>
                <w:sz w:val="20"/>
              </w:rPr>
            </w:pPr>
            <w:r w:rsidRPr="005411C8">
              <w:rPr>
                <w:rFonts w:ascii="Arial" w:hAnsi="Arial" w:cs="Arial"/>
                <w:color w:val="000000"/>
                <w:sz w:val="20"/>
              </w:rPr>
              <w:t>4.6</w:t>
            </w:r>
          </w:p>
        </w:tc>
        <w:tc>
          <w:tcPr>
            <w:tcW w:w="0" w:type="auto"/>
            <w:shd w:val="clear" w:color="auto" w:fill="auto"/>
            <w:noWrap/>
            <w:vAlign w:val="center"/>
            <w:hideMark/>
          </w:tcPr>
          <w:p w:rsidR="00A52ED1" w:rsidRPr="005411C8" w:rsidRDefault="00A52ED1" w:rsidP="00FE704C">
            <w:pPr>
              <w:spacing w:after="0" w:line="240" w:lineRule="auto"/>
              <w:jc w:val="center"/>
              <w:rPr>
                <w:rFonts w:ascii="Arial" w:hAnsi="Arial" w:cs="Arial"/>
                <w:color w:val="000000"/>
                <w:sz w:val="20"/>
              </w:rPr>
            </w:pPr>
            <w:r w:rsidRPr="005411C8">
              <w:rPr>
                <w:rFonts w:ascii="Arial" w:hAnsi="Arial" w:cs="Arial"/>
                <w:color w:val="000000"/>
                <w:sz w:val="20"/>
              </w:rPr>
              <w:t>5.4</w:t>
            </w:r>
          </w:p>
        </w:tc>
        <w:tc>
          <w:tcPr>
            <w:tcW w:w="0" w:type="auto"/>
            <w:shd w:val="clear" w:color="auto" w:fill="auto"/>
            <w:noWrap/>
            <w:vAlign w:val="center"/>
            <w:hideMark/>
          </w:tcPr>
          <w:p w:rsidR="00A52ED1" w:rsidRPr="005411C8" w:rsidRDefault="00A52ED1" w:rsidP="00FE704C">
            <w:pPr>
              <w:spacing w:after="0" w:line="240" w:lineRule="auto"/>
              <w:jc w:val="center"/>
              <w:rPr>
                <w:rFonts w:ascii="Arial" w:hAnsi="Arial" w:cs="Arial"/>
                <w:color w:val="000000"/>
                <w:sz w:val="20"/>
              </w:rPr>
            </w:pPr>
            <w:r w:rsidRPr="005411C8">
              <w:rPr>
                <w:rFonts w:ascii="Arial" w:hAnsi="Arial" w:cs="Arial"/>
                <w:color w:val="000000"/>
                <w:sz w:val="20"/>
              </w:rPr>
              <w:t>6.2</w:t>
            </w:r>
          </w:p>
        </w:tc>
        <w:tc>
          <w:tcPr>
            <w:tcW w:w="0" w:type="auto"/>
            <w:shd w:val="clear" w:color="auto" w:fill="auto"/>
            <w:noWrap/>
            <w:vAlign w:val="center"/>
            <w:hideMark/>
          </w:tcPr>
          <w:p w:rsidR="00A52ED1" w:rsidRPr="005411C8" w:rsidRDefault="00A52ED1" w:rsidP="00FE704C">
            <w:pPr>
              <w:spacing w:after="0" w:line="240" w:lineRule="auto"/>
              <w:jc w:val="center"/>
              <w:rPr>
                <w:rFonts w:ascii="Arial" w:hAnsi="Arial" w:cs="Arial"/>
                <w:color w:val="000000"/>
                <w:sz w:val="20"/>
              </w:rPr>
            </w:pPr>
            <w:r w:rsidRPr="005411C8">
              <w:rPr>
                <w:rFonts w:ascii="Arial" w:hAnsi="Arial" w:cs="Arial"/>
                <w:color w:val="000000"/>
                <w:sz w:val="20"/>
              </w:rPr>
              <w:t>6.1</w:t>
            </w:r>
          </w:p>
        </w:tc>
        <w:tc>
          <w:tcPr>
            <w:tcW w:w="0" w:type="auto"/>
            <w:shd w:val="clear" w:color="auto" w:fill="auto"/>
            <w:noWrap/>
            <w:vAlign w:val="center"/>
            <w:hideMark/>
          </w:tcPr>
          <w:p w:rsidR="00A52ED1" w:rsidRPr="005411C8" w:rsidRDefault="00A52ED1" w:rsidP="00FE704C">
            <w:pPr>
              <w:spacing w:after="0" w:line="240" w:lineRule="auto"/>
              <w:jc w:val="center"/>
              <w:rPr>
                <w:rFonts w:ascii="Arial" w:hAnsi="Arial" w:cs="Arial"/>
                <w:color w:val="000000"/>
                <w:sz w:val="20"/>
              </w:rPr>
            </w:pPr>
            <w:r w:rsidRPr="005411C8">
              <w:rPr>
                <w:rFonts w:ascii="Arial" w:hAnsi="Arial" w:cs="Arial"/>
                <w:color w:val="000000"/>
                <w:sz w:val="20"/>
              </w:rPr>
              <w:t>4.7</w:t>
            </w:r>
          </w:p>
        </w:tc>
        <w:tc>
          <w:tcPr>
            <w:tcW w:w="0" w:type="auto"/>
            <w:shd w:val="clear" w:color="auto" w:fill="auto"/>
            <w:noWrap/>
            <w:vAlign w:val="center"/>
            <w:hideMark/>
          </w:tcPr>
          <w:p w:rsidR="00A52ED1" w:rsidRPr="005411C8" w:rsidRDefault="00A52ED1" w:rsidP="00FE704C">
            <w:pPr>
              <w:spacing w:after="0" w:line="240" w:lineRule="auto"/>
              <w:jc w:val="center"/>
              <w:rPr>
                <w:rFonts w:ascii="Arial" w:hAnsi="Arial" w:cs="Arial"/>
                <w:color w:val="000000"/>
                <w:sz w:val="20"/>
              </w:rPr>
            </w:pPr>
            <w:r w:rsidRPr="005411C8">
              <w:rPr>
                <w:rFonts w:ascii="Arial" w:hAnsi="Arial" w:cs="Arial"/>
                <w:color w:val="000000"/>
                <w:sz w:val="20"/>
              </w:rPr>
              <w:t>3.7</w:t>
            </w:r>
          </w:p>
        </w:tc>
        <w:tc>
          <w:tcPr>
            <w:tcW w:w="0" w:type="auto"/>
            <w:shd w:val="clear" w:color="auto" w:fill="auto"/>
            <w:noWrap/>
            <w:vAlign w:val="center"/>
            <w:hideMark/>
          </w:tcPr>
          <w:p w:rsidR="00A52ED1" w:rsidRPr="005411C8" w:rsidRDefault="00A52ED1" w:rsidP="00FE704C">
            <w:pPr>
              <w:spacing w:after="0" w:line="240" w:lineRule="auto"/>
              <w:jc w:val="center"/>
              <w:rPr>
                <w:rFonts w:ascii="Arial" w:hAnsi="Arial" w:cs="Arial"/>
                <w:color w:val="000000"/>
                <w:sz w:val="20"/>
              </w:rPr>
            </w:pPr>
            <w:r w:rsidRPr="005411C8">
              <w:rPr>
                <w:rFonts w:ascii="Arial" w:hAnsi="Arial" w:cs="Arial"/>
                <w:color w:val="000000"/>
                <w:sz w:val="20"/>
              </w:rPr>
              <w:t>2.5</w:t>
            </w:r>
          </w:p>
        </w:tc>
        <w:tc>
          <w:tcPr>
            <w:tcW w:w="0" w:type="auto"/>
            <w:shd w:val="clear" w:color="auto" w:fill="auto"/>
            <w:noWrap/>
            <w:vAlign w:val="center"/>
            <w:hideMark/>
          </w:tcPr>
          <w:p w:rsidR="00A52ED1" w:rsidRPr="005411C8" w:rsidRDefault="00A52ED1" w:rsidP="00FE704C">
            <w:pPr>
              <w:spacing w:after="0" w:line="240" w:lineRule="auto"/>
              <w:jc w:val="center"/>
              <w:rPr>
                <w:rFonts w:ascii="Arial" w:hAnsi="Arial" w:cs="Arial"/>
                <w:color w:val="000000"/>
                <w:sz w:val="20"/>
              </w:rPr>
            </w:pPr>
            <w:r w:rsidRPr="005411C8">
              <w:rPr>
                <w:rFonts w:ascii="Arial" w:hAnsi="Arial" w:cs="Arial"/>
                <w:color w:val="000000"/>
                <w:sz w:val="20"/>
              </w:rPr>
              <w:t>2.0</w:t>
            </w:r>
          </w:p>
        </w:tc>
        <w:tc>
          <w:tcPr>
            <w:tcW w:w="0" w:type="auto"/>
            <w:shd w:val="clear" w:color="auto" w:fill="auto"/>
            <w:noWrap/>
            <w:vAlign w:val="center"/>
            <w:hideMark/>
          </w:tcPr>
          <w:p w:rsidR="00A52ED1" w:rsidRPr="005411C8" w:rsidRDefault="00A52ED1" w:rsidP="00FE704C">
            <w:pPr>
              <w:spacing w:after="0" w:line="240" w:lineRule="auto"/>
              <w:jc w:val="center"/>
              <w:rPr>
                <w:rFonts w:ascii="Arial" w:hAnsi="Arial" w:cs="Arial"/>
                <w:color w:val="000000"/>
                <w:sz w:val="20"/>
              </w:rPr>
            </w:pPr>
            <w:r w:rsidRPr="005411C8">
              <w:rPr>
                <w:rFonts w:ascii="Arial" w:hAnsi="Arial" w:cs="Arial"/>
                <w:color w:val="000000"/>
                <w:sz w:val="20"/>
              </w:rPr>
              <w:t>48.3</w:t>
            </w:r>
          </w:p>
        </w:tc>
        <w:tc>
          <w:tcPr>
            <w:tcW w:w="0" w:type="auto"/>
          </w:tcPr>
          <w:p w:rsidR="00A52ED1" w:rsidRPr="005411C8" w:rsidRDefault="000501BB" w:rsidP="00FE704C">
            <w:pPr>
              <w:spacing w:after="0"/>
              <w:jc w:val="center"/>
              <w:rPr>
                <w:rFonts w:ascii="Arial" w:hAnsi="Arial" w:cs="Arial"/>
                <w:color w:val="000000"/>
                <w:sz w:val="20"/>
                <w:szCs w:val="20"/>
              </w:rPr>
            </w:pPr>
            <w:r w:rsidRPr="005411C8">
              <w:rPr>
                <w:rFonts w:ascii="Arial" w:hAnsi="Arial" w:cs="Arial"/>
                <w:color w:val="000000"/>
                <w:sz w:val="20"/>
                <w:szCs w:val="20"/>
              </w:rPr>
              <w:t>2.93</w:t>
            </w:r>
          </w:p>
        </w:tc>
      </w:tr>
    </w:tbl>
    <w:p w:rsidR="00A52ED1" w:rsidRDefault="00A52ED1" w:rsidP="00A52ED1">
      <w:r>
        <w:t xml:space="preserve">Source: </w:t>
      </w:r>
      <w:hyperlink r:id="rId87" w:history="1">
        <w:r w:rsidRPr="00126DE5">
          <w:rPr>
            <w:rStyle w:val="Hyperlink"/>
            <w:rFonts w:cs="Arial"/>
            <w:b/>
            <w:color w:val="0070C0"/>
            <w:sz w:val="20"/>
            <w:szCs w:val="20"/>
          </w:rPr>
          <w:t>County of Orange Landscape and Irrigation Code and Implementation Guidelines</w:t>
        </w:r>
      </w:hyperlink>
    </w:p>
    <w:p w:rsidR="009E1CFF" w:rsidRDefault="009E1CFF" w:rsidP="00A52ED1"/>
    <w:p w:rsidR="00A52ED1" w:rsidRDefault="00A52ED1" w:rsidP="00EA1EA6">
      <w:pPr>
        <w:pStyle w:val="Heading4"/>
      </w:pPr>
      <w:bookmarkStart w:id="623" w:name="_Ref285530460"/>
      <w:r>
        <w:t>Landscape Coefficient (K</w:t>
      </w:r>
      <w:r w:rsidRPr="00D37440">
        <w:rPr>
          <w:vertAlign w:val="subscript"/>
        </w:rPr>
        <w:t>L</w:t>
      </w:r>
      <w:r>
        <w:t>)</w:t>
      </w:r>
      <w:bookmarkEnd w:id="623"/>
    </w:p>
    <w:p w:rsidR="00A52ED1" w:rsidRDefault="00A52ED1" w:rsidP="00A52ED1">
      <w:pPr>
        <w:spacing w:before="240"/>
      </w:pPr>
      <w:r>
        <w:t xml:space="preserve">The </w:t>
      </w:r>
      <w:hyperlink r:id="rId88" w:history="1">
        <w:r w:rsidRPr="00126DE5">
          <w:rPr>
            <w:rStyle w:val="Hyperlink"/>
            <w:rFonts w:cs="Arial"/>
            <w:b/>
            <w:color w:val="0070C0"/>
            <w:sz w:val="20"/>
            <w:szCs w:val="20"/>
          </w:rPr>
          <w:t>Water Use Classifications of Landscape Species</w:t>
        </w:r>
      </w:hyperlink>
      <w:r>
        <w:t xml:space="preserve"> (WUCOLS, University of California and Department of Water Resources, 2000) should be used to determine the landscape coefficient that is applicable to each landscape irrigation zone.  The landscape coefficient, K</w:t>
      </w:r>
      <w:r>
        <w:rPr>
          <w:vertAlign w:val="subscript"/>
        </w:rPr>
        <w:t>L</w:t>
      </w:r>
      <w:r>
        <w:t>, is based on the product of the species factor (K</w:t>
      </w:r>
      <w:r>
        <w:rPr>
          <w:vertAlign w:val="subscript"/>
        </w:rPr>
        <w:t>s</w:t>
      </w:r>
      <w:r>
        <w:t>), the density (</w:t>
      </w:r>
      <w:proofErr w:type="spellStart"/>
      <w:proofErr w:type="gramStart"/>
      <w:r>
        <w:t>K</w:t>
      </w:r>
      <w:r>
        <w:rPr>
          <w:vertAlign w:val="subscript"/>
        </w:rPr>
        <w:t>d</w:t>
      </w:r>
      <w:proofErr w:type="spellEnd"/>
      <w:proofErr w:type="gramEnd"/>
      <w:r>
        <w:t>), and the microclimate (</w:t>
      </w:r>
      <w:proofErr w:type="spellStart"/>
      <w:r>
        <w:t>K</w:t>
      </w:r>
      <w:r>
        <w:rPr>
          <w:vertAlign w:val="subscript"/>
        </w:rPr>
        <w:t>mc</w:t>
      </w:r>
      <w:proofErr w:type="spellEnd"/>
      <w:r>
        <w:t xml:space="preserve">).  </w:t>
      </w:r>
    </w:p>
    <w:p w:rsidR="00A52ED1" w:rsidRDefault="00A52ED1" w:rsidP="009531AF">
      <w:pPr>
        <w:pStyle w:val="ListParagraph"/>
        <w:numPr>
          <w:ilvl w:val="0"/>
          <w:numId w:val="43"/>
        </w:numPr>
        <w:spacing w:before="240" w:line="264" w:lineRule="auto"/>
      </w:pPr>
      <w:r>
        <w:t xml:space="preserve">The species factor is based on plant water needs derived from available data.  At the time of the 2000 WUCOLs, 1,800 plant species had been evaluated for relative water needs.  Specific species factors for these plant species are available in WUCOLs. </w:t>
      </w:r>
    </w:p>
    <w:p w:rsidR="00A52ED1" w:rsidRDefault="00A52ED1" w:rsidP="009531AF">
      <w:pPr>
        <w:pStyle w:val="ListParagraph"/>
        <w:numPr>
          <w:ilvl w:val="0"/>
          <w:numId w:val="43"/>
        </w:numPr>
        <w:spacing w:before="240" w:line="264" w:lineRule="auto"/>
      </w:pPr>
      <w:r>
        <w:t>The density factor is related to the vegetative or leaf cover for different plantings. Thinner or thicker than average density conditions are assigned density coefficients less than or greater than 1.0, respectively.</w:t>
      </w:r>
    </w:p>
    <w:p w:rsidR="00A52ED1" w:rsidRDefault="00A52ED1" w:rsidP="009531AF">
      <w:pPr>
        <w:pStyle w:val="ListParagraph"/>
        <w:numPr>
          <w:ilvl w:val="0"/>
          <w:numId w:val="43"/>
        </w:numPr>
        <w:spacing w:before="240" w:line="264" w:lineRule="auto"/>
      </w:pPr>
      <w:r>
        <w:t xml:space="preserve">The microclimate factor is related to features present in the urban landscape that influence temperature, wind, shading, and other climatic factors.  An ‘average’ microclimate is equivalent to reference </w:t>
      </w:r>
      <w:r w:rsidR="00FD5274">
        <w:t>ET</w:t>
      </w:r>
      <w:r>
        <w:t xml:space="preserve"> conditions (1.0), which is relatively uninfluenced by nearby buildings, structures, etc.  </w:t>
      </w:r>
    </w:p>
    <w:p w:rsidR="00A52ED1" w:rsidRDefault="00126F3D" w:rsidP="00A52ED1">
      <w:pPr>
        <w:spacing w:before="240"/>
      </w:pPr>
      <w:r w:rsidRPr="00126DE5">
        <w:rPr>
          <w:rFonts w:cs="Arial"/>
          <w:b/>
          <w:color w:val="0070C0"/>
          <w:sz w:val="20"/>
          <w:szCs w:val="20"/>
        </w:rPr>
        <w:fldChar w:fldCharType="begin"/>
      </w:r>
      <w:r w:rsidR="00A52ED1" w:rsidRPr="00126DE5">
        <w:rPr>
          <w:rFonts w:cs="Arial"/>
          <w:b/>
          <w:color w:val="0070C0"/>
          <w:sz w:val="20"/>
          <w:szCs w:val="20"/>
        </w:rPr>
        <w:instrText xml:space="preserve"> REF _Ref285034194 \h </w:instrText>
      </w:r>
      <w:r w:rsidRPr="00126DE5">
        <w:rPr>
          <w:rFonts w:cs="Arial"/>
          <w:b/>
          <w:color w:val="0070C0"/>
          <w:sz w:val="20"/>
          <w:szCs w:val="20"/>
        </w:rPr>
      </w:r>
      <w:r w:rsidRPr="00126DE5">
        <w:rPr>
          <w:rFonts w:cs="Arial"/>
          <w:b/>
          <w:color w:val="0070C0"/>
          <w:sz w:val="20"/>
          <w:szCs w:val="20"/>
        </w:rPr>
        <w:fldChar w:fldCharType="separate"/>
      </w:r>
      <w:r w:rsidR="00126DE5" w:rsidRPr="00126DE5">
        <w:rPr>
          <w:b/>
          <w:color w:val="0070C0"/>
        </w:rPr>
        <w:t xml:space="preserve">Table </w:t>
      </w:r>
      <w:r w:rsidR="00126DE5" w:rsidRPr="00126DE5">
        <w:rPr>
          <w:rFonts w:cs="Arial"/>
          <w:b/>
          <w:noProof/>
          <w:color w:val="0070C0"/>
        </w:rPr>
        <w:t>X</w:t>
      </w:r>
      <w:r w:rsidR="00126DE5" w:rsidRPr="00126DE5">
        <w:rPr>
          <w:b/>
          <w:color w:val="0070C0"/>
        </w:rPr>
        <w:t>.</w:t>
      </w:r>
      <w:r w:rsidR="00126DE5" w:rsidRPr="00126DE5">
        <w:rPr>
          <w:rFonts w:cs="Arial"/>
          <w:b/>
          <w:noProof/>
          <w:color w:val="0070C0"/>
        </w:rPr>
        <w:t>3</w:t>
      </w:r>
      <w:r w:rsidRPr="00126DE5">
        <w:rPr>
          <w:rFonts w:cs="Arial"/>
          <w:b/>
          <w:color w:val="0070C0"/>
          <w:sz w:val="20"/>
          <w:szCs w:val="20"/>
        </w:rPr>
        <w:fldChar w:fldCharType="end"/>
      </w:r>
      <w:r w:rsidR="00A52ED1">
        <w:t xml:space="preserve"> provides a general overview of these factors, ranging from low to high water use plant palettes. </w:t>
      </w:r>
    </w:p>
    <w:p w:rsidR="00A52ED1" w:rsidRPr="00524D76" w:rsidRDefault="00A52ED1" w:rsidP="00647B99">
      <w:pPr>
        <w:pStyle w:val="Caption"/>
      </w:pPr>
      <w:bookmarkStart w:id="624" w:name="_Ref285034194"/>
      <w:bookmarkStart w:id="625" w:name="_Toc288554388"/>
      <w:r w:rsidRPr="00524D76">
        <w:t xml:space="preserve">Table </w:t>
      </w:r>
      <w:r w:rsidR="00126F3D" w:rsidRPr="00524D76">
        <w:rPr>
          <w:rFonts w:cs="Arial"/>
        </w:rPr>
        <w:fldChar w:fldCharType="begin"/>
      </w:r>
      <w:r w:rsidR="00F83E79" w:rsidRPr="00524D76">
        <w:rPr>
          <w:rFonts w:cs="Arial"/>
        </w:rPr>
        <w:instrText xml:space="preserve"> STYLEREF 1 \s </w:instrText>
      </w:r>
      <w:r w:rsidR="00126F3D" w:rsidRPr="00524D76">
        <w:rPr>
          <w:rFonts w:cs="Arial"/>
        </w:rPr>
        <w:fldChar w:fldCharType="separate"/>
      </w:r>
      <w:r w:rsidR="00126DE5" w:rsidRPr="00524D76">
        <w:rPr>
          <w:rFonts w:cs="Arial"/>
          <w:noProof/>
        </w:rPr>
        <w:t>X</w:t>
      </w:r>
      <w:r w:rsidR="00126F3D" w:rsidRPr="00524D76">
        <w:rPr>
          <w:rFonts w:cs="Arial"/>
        </w:rPr>
        <w:fldChar w:fldCharType="end"/>
      </w:r>
      <w:r w:rsidR="000B5480" w:rsidRPr="00524D76">
        <w:t>.</w:t>
      </w:r>
      <w:r w:rsidR="00126F3D" w:rsidRPr="00524D76">
        <w:rPr>
          <w:rFonts w:cs="Arial"/>
        </w:rPr>
        <w:fldChar w:fldCharType="begin"/>
      </w:r>
      <w:r w:rsidR="00F83E79" w:rsidRPr="00524D76">
        <w:rPr>
          <w:rFonts w:cs="Arial"/>
        </w:rPr>
        <w:instrText xml:space="preserve"> SEQ Table \* ARABIC \s 1 </w:instrText>
      </w:r>
      <w:r w:rsidR="00126F3D" w:rsidRPr="00524D76">
        <w:rPr>
          <w:rFonts w:cs="Arial"/>
        </w:rPr>
        <w:fldChar w:fldCharType="separate"/>
      </w:r>
      <w:r w:rsidR="00126DE5" w:rsidRPr="00524D76">
        <w:rPr>
          <w:rFonts w:cs="Arial"/>
          <w:noProof/>
        </w:rPr>
        <w:t>3</w:t>
      </w:r>
      <w:r w:rsidR="00126F3D" w:rsidRPr="00524D76">
        <w:rPr>
          <w:rFonts w:cs="Arial"/>
        </w:rPr>
        <w:fldChar w:fldCharType="end"/>
      </w:r>
      <w:bookmarkEnd w:id="624"/>
      <w:r w:rsidRPr="00524D76">
        <w:t>: Species, Density, and Microclimate Factors from WUCOLs</w:t>
      </w:r>
      <w:r w:rsidR="000E4DAD" w:rsidRPr="00524D76">
        <w:t xml:space="preserve"> for High, Moderate, Low and Very Low Water Use Plant Palettes</w:t>
      </w:r>
      <w:bookmarkEnd w:id="625"/>
    </w:p>
    <w:p w:rsidR="00A52ED1" w:rsidRDefault="00A52ED1" w:rsidP="00B84790">
      <w:pPr>
        <w:keepNext/>
        <w:spacing w:before="240" w:after="0"/>
        <w:jc w:val="center"/>
      </w:pPr>
      <w:r>
        <w:rPr>
          <w:noProof/>
        </w:rPr>
        <w:drawing>
          <wp:inline distT="0" distB="0" distL="0" distR="0">
            <wp:extent cx="3971793" cy="1310140"/>
            <wp:effectExtent l="1905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email"/>
                    <a:srcRect t="22835" b="27559"/>
                    <a:stretch>
                      <a:fillRect/>
                    </a:stretch>
                  </pic:blipFill>
                  <pic:spPr bwMode="auto">
                    <a:xfrm>
                      <a:off x="0" y="0"/>
                      <a:ext cx="3979409" cy="1312652"/>
                    </a:xfrm>
                    <a:prstGeom prst="rect">
                      <a:avLst/>
                    </a:prstGeom>
                    <a:noFill/>
                    <a:ln w="9525">
                      <a:noFill/>
                      <a:miter lim="800000"/>
                      <a:headEnd/>
                      <a:tailEnd/>
                    </a:ln>
                  </pic:spPr>
                </pic:pic>
              </a:graphicData>
            </a:graphic>
          </wp:inline>
        </w:drawing>
      </w:r>
    </w:p>
    <w:p w:rsidR="00A52ED1" w:rsidRPr="003A1BFB" w:rsidRDefault="00A52ED1" w:rsidP="00A52ED1">
      <w:pPr>
        <w:ind w:left="1980" w:right="1890"/>
        <w:rPr>
          <w:sz w:val="18"/>
        </w:rPr>
      </w:pPr>
      <w:r w:rsidRPr="003A1BFB">
        <w:rPr>
          <w:sz w:val="18"/>
        </w:rPr>
        <w:t xml:space="preserve">Source:  </w:t>
      </w:r>
      <w:hyperlink r:id="rId90" w:history="1">
        <w:r w:rsidRPr="00126DE5">
          <w:rPr>
            <w:rStyle w:val="Hyperlink"/>
            <w:rFonts w:cs="Arial"/>
            <w:b/>
            <w:color w:val="0070C0"/>
            <w:sz w:val="20"/>
            <w:szCs w:val="20"/>
          </w:rPr>
          <w:t>Water Use Classifications of Landscape Species</w:t>
        </w:r>
      </w:hyperlink>
      <w:r w:rsidRPr="003A1BFB">
        <w:rPr>
          <w:sz w:val="18"/>
        </w:rPr>
        <w:t xml:space="preserve"> (WUCOLS, University of California and Department of Water Resources, 2000)</w:t>
      </w:r>
    </w:p>
    <w:p w:rsidR="00A52ED1" w:rsidRDefault="00126F3D" w:rsidP="00A52ED1">
      <w:pPr>
        <w:spacing w:before="240"/>
      </w:pPr>
      <w:r w:rsidRPr="00126DE5">
        <w:rPr>
          <w:rFonts w:cs="Arial"/>
          <w:b/>
          <w:color w:val="0070C0"/>
          <w:sz w:val="20"/>
          <w:szCs w:val="20"/>
        </w:rPr>
        <w:fldChar w:fldCharType="begin"/>
      </w:r>
      <w:r w:rsidR="00A52ED1" w:rsidRPr="00126DE5">
        <w:rPr>
          <w:rFonts w:cs="Arial"/>
          <w:b/>
          <w:color w:val="0070C0"/>
          <w:sz w:val="20"/>
          <w:szCs w:val="20"/>
        </w:rPr>
        <w:instrText xml:space="preserve"> REF _Ref285055845 \h </w:instrText>
      </w:r>
      <w:r w:rsidRPr="00126DE5">
        <w:rPr>
          <w:rFonts w:cs="Arial"/>
          <w:b/>
          <w:color w:val="0070C0"/>
          <w:sz w:val="20"/>
          <w:szCs w:val="20"/>
        </w:rPr>
      </w:r>
      <w:r w:rsidRPr="00126DE5">
        <w:rPr>
          <w:rFonts w:cs="Arial"/>
          <w:b/>
          <w:color w:val="0070C0"/>
          <w:sz w:val="20"/>
          <w:szCs w:val="20"/>
        </w:rPr>
        <w:fldChar w:fldCharType="separate"/>
      </w:r>
      <w:r w:rsidR="00126DE5" w:rsidRPr="00126DE5">
        <w:rPr>
          <w:b/>
          <w:color w:val="0070C0"/>
        </w:rPr>
        <w:t xml:space="preserve">Table </w:t>
      </w:r>
      <w:r w:rsidR="00126DE5" w:rsidRPr="00126DE5">
        <w:rPr>
          <w:rFonts w:cs="Arial"/>
          <w:b/>
          <w:noProof/>
          <w:color w:val="0070C0"/>
        </w:rPr>
        <w:t>X</w:t>
      </w:r>
      <w:r w:rsidR="00126DE5" w:rsidRPr="00126DE5">
        <w:rPr>
          <w:b/>
          <w:color w:val="0070C0"/>
        </w:rPr>
        <w:t>.</w:t>
      </w:r>
      <w:r w:rsidR="00126DE5" w:rsidRPr="00126DE5">
        <w:rPr>
          <w:rFonts w:cs="Arial"/>
          <w:b/>
          <w:noProof/>
          <w:color w:val="0070C0"/>
        </w:rPr>
        <w:t>4</w:t>
      </w:r>
      <w:r w:rsidRPr="00126DE5">
        <w:rPr>
          <w:rFonts w:cs="Arial"/>
          <w:b/>
          <w:color w:val="0070C0"/>
          <w:sz w:val="20"/>
          <w:szCs w:val="20"/>
        </w:rPr>
        <w:fldChar w:fldCharType="end"/>
      </w:r>
      <w:r w:rsidR="00A52ED1">
        <w:t xml:space="preserve"> provides recommended composite landscape coefficients that are appropriate for planning purpos</w:t>
      </w:r>
      <w:r w:rsidR="000E4DAD">
        <w:t xml:space="preserve">es and feasibility screening. </w:t>
      </w:r>
    </w:p>
    <w:tbl>
      <w:tblPr>
        <w:tblStyle w:val="TableGrid"/>
        <w:tblW w:w="0" w:type="auto"/>
        <w:tblInd w:w="108" w:type="dxa"/>
        <w:tblLook w:val="04A0"/>
      </w:tblPr>
      <w:tblGrid>
        <w:gridCol w:w="5091"/>
        <w:gridCol w:w="3765"/>
      </w:tblGrid>
      <w:tr w:rsidR="00B96ACD" w:rsidRPr="00E107F9" w:rsidTr="009E1CFF">
        <w:tc>
          <w:tcPr>
            <w:tcW w:w="8856" w:type="dxa"/>
            <w:gridSpan w:val="2"/>
            <w:tcBorders>
              <w:top w:val="nil"/>
              <w:left w:val="nil"/>
              <w:bottom w:val="single" w:sz="4" w:space="0" w:color="auto"/>
              <w:right w:val="nil"/>
            </w:tcBorders>
            <w:shd w:val="clear" w:color="auto" w:fill="auto"/>
            <w:vAlign w:val="bottom"/>
          </w:tcPr>
          <w:p w:rsidR="00B96ACD" w:rsidRPr="00524D76" w:rsidRDefault="00B96ACD" w:rsidP="00647B99">
            <w:pPr>
              <w:pStyle w:val="Caption"/>
            </w:pPr>
            <w:bookmarkStart w:id="626" w:name="_Ref285055845"/>
            <w:bookmarkStart w:id="627" w:name="_Toc288554389"/>
            <w:r w:rsidRPr="00524D76">
              <w:t xml:space="preserve">Table </w:t>
            </w:r>
            <w:r w:rsidR="00126F3D" w:rsidRPr="00524D76">
              <w:rPr>
                <w:rFonts w:cs="Arial"/>
              </w:rPr>
              <w:fldChar w:fldCharType="begin"/>
            </w:r>
            <w:r w:rsidR="00F83E79" w:rsidRPr="00524D76">
              <w:rPr>
                <w:rFonts w:cs="Arial"/>
              </w:rPr>
              <w:instrText xml:space="preserve"> STYLEREF 1 \s </w:instrText>
            </w:r>
            <w:r w:rsidR="00126F3D" w:rsidRPr="00524D76">
              <w:rPr>
                <w:rFonts w:cs="Arial"/>
              </w:rPr>
              <w:fldChar w:fldCharType="separate"/>
            </w:r>
            <w:r w:rsidR="00126DE5" w:rsidRPr="00524D76">
              <w:rPr>
                <w:rFonts w:cs="Arial"/>
                <w:noProof/>
              </w:rPr>
              <w:t>X</w:t>
            </w:r>
            <w:r w:rsidR="00126F3D" w:rsidRPr="00524D76">
              <w:rPr>
                <w:rFonts w:cs="Arial"/>
              </w:rPr>
              <w:fldChar w:fldCharType="end"/>
            </w:r>
            <w:r w:rsidR="000B5480" w:rsidRPr="00524D76">
              <w:t>.</w:t>
            </w:r>
            <w:r w:rsidR="00126F3D" w:rsidRPr="00524D76">
              <w:rPr>
                <w:rFonts w:cs="Arial"/>
              </w:rPr>
              <w:fldChar w:fldCharType="begin"/>
            </w:r>
            <w:r w:rsidR="00F83E79" w:rsidRPr="00524D76">
              <w:rPr>
                <w:rFonts w:cs="Arial"/>
              </w:rPr>
              <w:instrText xml:space="preserve"> SEQ Table \* ARABIC \s 1 </w:instrText>
            </w:r>
            <w:r w:rsidR="00126F3D" w:rsidRPr="00524D76">
              <w:rPr>
                <w:rFonts w:cs="Arial"/>
              </w:rPr>
              <w:fldChar w:fldCharType="separate"/>
            </w:r>
            <w:r w:rsidR="00126DE5" w:rsidRPr="00524D76">
              <w:rPr>
                <w:rFonts w:cs="Arial"/>
                <w:noProof/>
              </w:rPr>
              <w:t>4</w:t>
            </w:r>
            <w:r w:rsidR="00126F3D" w:rsidRPr="00524D76">
              <w:rPr>
                <w:rFonts w:cs="Arial"/>
              </w:rPr>
              <w:fldChar w:fldCharType="end"/>
            </w:r>
            <w:bookmarkEnd w:id="626"/>
            <w:r w:rsidRPr="00524D76">
              <w:t>: Planning Level Recommendations for Landscape Coefficient (KL)</w:t>
            </w:r>
            <w:bookmarkEnd w:id="627"/>
          </w:p>
        </w:tc>
      </w:tr>
      <w:tr w:rsidR="00A52ED1" w:rsidRPr="00E107F9" w:rsidTr="009E1CFF">
        <w:tc>
          <w:tcPr>
            <w:tcW w:w="5091" w:type="dxa"/>
            <w:tcBorders>
              <w:top w:val="single" w:sz="4" w:space="0" w:color="auto"/>
            </w:tcBorders>
            <w:shd w:val="clear" w:color="auto" w:fill="D9D9D9" w:themeFill="background1" w:themeFillShade="D9"/>
            <w:vAlign w:val="bottom"/>
          </w:tcPr>
          <w:p w:rsidR="00A52ED1" w:rsidRPr="000E4DAD" w:rsidRDefault="00A52ED1" w:rsidP="00FE704C">
            <w:pPr>
              <w:keepNext/>
              <w:spacing w:after="0"/>
              <w:jc w:val="center"/>
              <w:rPr>
                <w:rFonts w:ascii="Arial" w:hAnsi="Arial" w:cs="Arial"/>
                <w:b/>
              </w:rPr>
            </w:pPr>
            <w:r w:rsidRPr="000E4DAD">
              <w:rPr>
                <w:rFonts w:ascii="Arial" w:hAnsi="Arial" w:cs="Arial"/>
                <w:b/>
              </w:rPr>
              <w:t>General Landscape Type</w:t>
            </w:r>
          </w:p>
        </w:tc>
        <w:tc>
          <w:tcPr>
            <w:tcW w:w="3765" w:type="dxa"/>
            <w:tcBorders>
              <w:top w:val="single" w:sz="4" w:space="0" w:color="auto"/>
            </w:tcBorders>
            <w:shd w:val="clear" w:color="auto" w:fill="D9D9D9" w:themeFill="background1" w:themeFillShade="D9"/>
            <w:vAlign w:val="bottom"/>
          </w:tcPr>
          <w:p w:rsidR="00A52ED1" w:rsidRPr="000E4DAD" w:rsidRDefault="00A52ED1" w:rsidP="00FE704C">
            <w:pPr>
              <w:keepNext/>
              <w:spacing w:after="0"/>
              <w:jc w:val="center"/>
              <w:rPr>
                <w:rFonts w:ascii="Arial" w:hAnsi="Arial" w:cs="Arial"/>
                <w:b/>
              </w:rPr>
            </w:pPr>
            <w:r w:rsidRPr="000E4DAD">
              <w:rPr>
                <w:rFonts w:ascii="Arial" w:hAnsi="Arial" w:cs="Arial"/>
                <w:b/>
              </w:rPr>
              <w:t>Recommended Planning Level Landscape Coefficient (K</w:t>
            </w:r>
            <w:r w:rsidRPr="000E4DAD">
              <w:rPr>
                <w:rFonts w:ascii="Arial" w:hAnsi="Arial" w:cs="Arial"/>
                <w:b/>
                <w:vertAlign w:val="subscript"/>
              </w:rPr>
              <w:t>L</w:t>
            </w:r>
            <w:r w:rsidRPr="000E4DAD">
              <w:rPr>
                <w:rFonts w:ascii="Arial" w:hAnsi="Arial" w:cs="Arial"/>
                <w:b/>
              </w:rPr>
              <w:t>)</w:t>
            </w:r>
          </w:p>
        </w:tc>
      </w:tr>
      <w:tr w:rsidR="00A52ED1" w:rsidRPr="00E107F9" w:rsidTr="00FE704C">
        <w:trPr>
          <w:trHeight w:val="440"/>
        </w:trPr>
        <w:tc>
          <w:tcPr>
            <w:tcW w:w="5091" w:type="dxa"/>
            <w:vAlign w:val="center"/>
          </w:tcPr>
          <w:p w:rsidR="00A52ED1" w:rsidRPr="000E4DAD" w:rsidRDefault="00A52ED1" w:rsidP="00FE704C">
            <w:pPr>
              <w:keepNext/>
              <w:spacing w:after="0"/>
              <w:rPr>
                <w:rFonts w:ascii="Arial" w:hAnsi="Arial" w:cs="Arial"/>
              </w:rPr>
            </w:pPr>
            <w:r w:rsidRPr="000E4DAD">
              <w:rPr>
                <w:rFonts w:ascii="Arial" w:hAnsi="Arial" w:cs="Arial"/>
              </w:rPr>
              <w:t xml:space="preserve">Conservation Landscape Design (non-active turf) </w:t>
            </w:r>
          </w:p>
        </w:tc>
        <w:tc>
          <w:tcPr>
            <w:tcW w:w="3765" w:type="dxa"/>
            <w:vAlign w:val="center"/>
          </w:tcPr>
          <w:p w:rsidR="00A52ED1" w:rsidRPr="000E4DAD" w:rsidRDefault="00A52ED1" w:rsidP="00FE704C">
            <w:pPr>
              <w:keepNext/>
              <w:spacing w:after="0"/>
              <w:jc w:val="center"/>
              <w:rPr>
                <w:rFonts w:ascii="Arial" w:hAnsi="Arial" w:cs="Arial"/>
              </w:rPr>
            </w:pPr>
            <w:r w:rsidRPr="000E4DAD">
              <w:rPr>
                <w:rFonts w:ascii="Arial" w:hAnsi="Arial" w:cs="Arial"/>
              </w:rPr>
              <w:t>K</w:t>
            </w:r>
            <w:r w:rsidRPr="000E4DAD">
              <w:rPr>
                <w:rFonts w:ascii="Arial" w:hAnsi="Arial" w:cs="Arial"/>
                <w:vertAlign w:val="subscript"/>
              </w:rPr>
              <w:t>L</w:t>
            </w:r>
            <w:r w:rsidRPr="000E4DAD">
              <w:rPr>
                <w:rFonts w:ascii="Arial" w:hAnsi="Arial" w:cs="Arial"/>
              </w:rPr>
              <w:t xml:space="preserve"> = 0.35</w:t>
            </w:r>
          </w:p>
        </w:tc>
      </w:tr>
      <w:tr w:rsidR="00A52ED1" w:rsidRPr="00E107F9" w:rsidTr="00FE704C">
        <w:trPr>
          <w:trHeight w:val="449"/>
        </w:trPr>
        <w:tc>
          <w:tcPr>
            <w:tcW w:w="5091" w:type="dxa"/>
            <w:vAlign w:val="center"/>
          </w:tcPr>
          <w:p w:rsidR="00A52ED1" w:rsidRPr="000E4DAD" w:rsidRDefault="00A52ED1" w:rsidP="00FE704C">
            <w:pPr>
              <w:keepNext/>
              <w:spacing w:after="0"/>
              <w:rPr>
                <w:rFonts w:ascii="Arial" w:hAnsi="Arial" w:cs="Arial"/>
              </w:rPr>
            </w:pPr>
            <w:r w:rsidRPr="000E4DAD">
              <w:rPr>
                <w:rFonts w:ascii="Arial" w:hAnsi="Arial" w:cs="Arial"/>
              </w:rPr>
              <w:t>Active Turf Areas</w:t>
            </w:r>
          </w:p>
        </w:tc>
        <w:tc>
          <w:tcPr>
            <w:tcW w:w="3765" w:type="dxa"/>
            <w:vAlign w:val="center"/>
          </w:tcPr>
          <w:p w:rsidR="00A52ED1" w:rsidRPr="000E4DAD" w:rsidRDefault="00A52ED1" w:rsidP="00FE704C">
            <w:pPr>
              <w:keepNext/>
              <w:spacing w:after="0"/>
              <w:jc w:val="center"/>
              <w:rPr>
                <w:rFonts w:ascii="Arial" w:hAnsi="Arial" w:cs="Arial"/>
              </w:rPr>
            </w:pPr>
            <w:r w:rsidRPr="000E4DAD">
              <w:rPr>
                <w:rFonts w:ascii="Arial" w:hAnsi="Arial" w:cs="Arial"/>
              </w:rPr>
              <w:t>K</w:t>
            </w:r>
            <w:r w:rsidRPr="000E4DAD">
              <w:rPr>
                <w:rFonts w:ascii="Arial" w:hAnsi="Arial" w:cs="Arial"/>
                <w:vertAlign w:val="subscript"/>
              </w:rPr>
              <w:t>L</w:t>
            </w:r>
            <w:r w:rsidRPr="000E4DAD">
              <w:rPr>
                <w:rFonts w:ascii="Arial" w:hAnsi="Arial" w:cs="Arial"/>
              </w:rPr>
              <w:t xml:space="preserve"> = 0.7</w:t>
            </w:r>
          </w:p>
        </w:tc>
      </w:tr>
    </w:tbl>
    <w:p w:rsidR="00A52ED1" w:rsidRDefault="00A52ED1" w:rsidP="00A52ED1"/>
    <w:p w:rsidR="00A52ED1" w:rsidRDefault="00A52ED1" w:rsidP="00EA1EA6">
      <w:pPr>
        <w:pStyle w:val="Heading4"/>
      </w:pPr>
      <w:r>
        <w:t>Planning Level Irrigation Demands</w:t>
      </w:r>
    </w:p>
    <w:p w:rsidR="00A52ED1" w:rsidRDefault="00A52ED1" w:rsidP="00A52ED1">
      <w:r>
        <w:t xml:space="preserve">Using the inputs above, daily average wet season demands were developed for an acre of irrigated area based on location and landscape </w:t>
      </w:r>
      <w:r w:rsidR="000501BB">
        <w:t>type</w:t>
      </w:r>
      <w:r>
        <w:t xml:space="preserve"> (</w:t>
      </w:r>
      <w:r w:rsidR="00126F3D" w:rsidRPr="00126DE5">
        <w:rPr>
          <w:rFonts w:cs="Arial"/>
          <w:b/>
          <w:color w:val="0070C0"/>
          <w:sz w:val="20"/>
          <w:szCs w:val="20"/>
        </w:rPr>
        <w:fldChar w:fldCharType="begin"/>
      </w:r>
      <w:r w:rsidRPr="00126DE5">
        <w:rPr>
          <w:rFonts w:cs="Arial"/>
          <w:b/>
          <w:color w:val="0070C0"/>
          <w:sz w:val="20"/>
          <w:szCs w:val="20"/>
        </w:rPr>
        <w:instrText xml:space="preserve"> REF _Ref285035028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b/>
          <w:color w:val="0070C0"/>
        </w:rPr>
        <w:t xml:space="preserve">Table </w:t>
      </w:r>
      <w:r w:rsidR="00126DE5" w:rsidRPr="00126DE5">
        <w:rPr>
          <w:b/>
          <w:noProof/>
          <w:color w:val="0070C0"/>
        </w:rPr>
        <w:t>X</w:t>
      </w:r>
      <w:r w:rsidR="00126DE5" w:rsidRPr="00126DE5">
        <w:rPr>
          <w:b/>
          <w:color w:val="0070C0"/>
        </w:rPr>
        <w:t>.</w:t>
      </w:r>
      <w:r w:rsidR="00126DE5" w:rsidRPr="00126DE5">
        <w:rPr>
          <w:b/>
          <w:noProof/>
          <w:color w:val="0070C0"/>
        </w:rPr>
        <w:t>5</w:t>
      </w:r>
      <w:r w:rsidR="00126F3D" w:rsidRPr="00126DE5">
        <w:rPr>
          <w:rFonts w:cs="Arial"/>
          <w:b/>
          <w:color w:val="0070C0"/>
          <w:sz w:val="20"/>
          <w:szCs w:val="20"/>
        </w:rPr>
        <w:fldChar w:fldCharType="end"/>
      </w:r>
      <w:r>
        <w:t>).</w:t>
      </w:r>
      <w:r w:rsidRPr="00270987">
        <w:t xml:space="preserve"> </w:t>
      </w:r>
      <w:r>
        <w:t xml:space="preserve">These demand </w:t>
      </w:r>
      <w:r w:rsidR="000501BB">
        <w:t>estimates can</w:t>
      </w:r>
      <w:r>
        <w:t xml:space="preserve"> be used to calculate the drawdown of harvest and use systems for the purpose of LID BMP sizing calculations (</w:t>
      </w:r>
      <w:fldSimple w:instr=" REF _Ref285356870 \r \h  \* MERGEFORMAT ">
        <w:r w:rsidR="00126DE5" w:rsidRPr="00126DE5">
          <w:rPr>
            <w:rFonts w:cs="Arial"/>
            <w:b/>
            <w:color w:val="0070C0"/>
            <w:sz w:val="20"/>
            <w:szCs w:val="20"/>
          </w:rPr>
          <w:t>Appendix I</w:t>
        </w:r>
      </w:fldSimple>
      <w:r>
        <w:t xml:space="preserve">). </w:t>
      </w:r>
    </w:p>
    <w:tbl>
      <w:tblPr>
        <w:tblW w:w="9195" w:type="dxa"/>
        <w:tblInd w:w="93" w:type="dxa"/>
        <w:tblLook w:val="04A0"/>
      </w:tblPr>
      <w:tblGrid>
        <w:gridCol w:w="3615"/>
        <w:gridCol w:w="1715"/>
        <w:gridCol w:w="1934"/>
        <w:gridCol w:w="1931"/>
      </w:tblGrid>
      <w:tr w:rsidR="005411C8" w:rsidRPr="005411C8" w:rsidTr="009E1CFF">
        <w:trPr>
          <w:trHeight w:val="476"/>
        </w:trPr>
        <w:tc>
          <w:tcPr>
            <w:tcW w:w="9195" w:type="dxa"/>
            <w:gridSpan w:val="4"/>
            <w:tcBorders>
              <w:bottom w:val="single" w:sz="4" w:space="0" w:color="auto"/>
            </w:tcBorders>
            <w:shd w:val="clear" w:color="auto" w:fill="auto"/>
            <w:vAlign w:val="bottom"/>
            <w:hideMark/>
          </w:tcPr>
          <w:p w:rsidR="005411C8" w:rsidRPr="00524D76" w:rsidRDefault="005411C8" w:rsidP="00647B99">
            <w:pPr>
              <w:pStyle w:val="Caption"/>
            </w:pPr>
            <w:bookmarkStart w:id="628" w:name="_Ref285035028"/>
            <w:bookmarkStart w:id="629" w:name="_Toc288554390"/>
            <w:r w:rsidRPr="00524D76">
              <w:t xml:space="preserve">Table </w:t>
            </w:r>
            <w:fldSimple w:instr=" STYLEREF 1 \s ">
              <w:r w:rsidR="00126DE5" w:rsidRPr="00524D76">
                <w:rPr>
                  <w:noProof/>
                </w:rPr>
                <w:t>X</w:t>
              </w:r>
            </w:fldSimple>
            <w:r w:rsidR="000B5480" w:rsidRPr="00524D76">
              <w:t>.</w:t>
            </w:r>
            <w:fldSimple w:instr=" SEQ Table \* ARABIC \s 1 ">
              <w:r w:rsidR="00126DE5" w:rsidRPr="00524D76">
                <w:rPr>
                  <w:noProof/>
                </w:rPr>
                <w:t>5</w:t>
              </w:r>
            </w:fldSimple>
            <w:bookmarkEnd w:id="628"/>
            <w:r w:rsidRPr="00524D76">
              <w:t>: Modified EWUA Daily Average Irrigation Demand by Location and Landscape Coefficient</w:t>
            </w:r>
            <w:bookmarkEnd w:id="629"/>
          </w:p>
        </w:tc>
      </w:tr>
      <w:tr w:rsidR="00A52ED1" w:rsidRPr="005411C8" w:rsidTr="009E1CFF">
        <w:trPr>
          <w:trHeight w:val="476"/>
        </w:trPr>
        <w:tc>
          <w:tcPr>
            <w:tcW w:w="361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A52ED1" w:rsidRPr="000E4DAD" w:rsidRDefault="00A52ED1" w:rsidP="000501BB">
            <w:pPr>
              <w:keepNext/>
              <w:spacing w:after="0" w:line="240" w:lineRule="auto"/>
              <w:rPr>
                <w:rFonts w:ascii="Arial" w:eastAsia="Times New Roman" w:hAnsi="Arial" w:cs="Arial"/>
                <w:b/>
                <w:bCs/>
                <w:color w:val="000000"/>
                <w:sz w:val="20"/>
                <w:szCs w:val="24"/>
              </w:rPr>
            </w:pPr>
            <w:r w:rsidRPr="000E4DAD">
              <w:rPr>
                <w:rFonts w:ascii="Arial" w:eastAsia="Times New Roman" w:hAnsi="Arial" w:cs="Arial"/>
                <w:b/>
                <w:bCs/>
                <w:color w:val="000000"/>
                <w:sz w:val="20"/>
                <w:szCs w:val="24"/>
              </w:rPr>
              <w:t>General Landscape Type</w:t>
            </w:r>
          </w:p>
        </w:tc>
        <w:tc>
          <w:tcPr>
            <w:tcW w:w="5580" w:type="dxa"/>
            <w:gridSpan w:val="3"/>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A52ED1" w:rsidRPr="000E4DAD" w:rsidRDefault="00A52ED1" w:rsidP="000501BB">
            <w:pPr>
              <w:keepNext/>
              <w:spacing w:after="0" w:line="240" w:lineRule="auto"/>
              <w:jc w:val="center"/>
              <w:rPr>
                <w:rFonts w:ascii="Arial" w:eastAsia="Times New Roman" w:hAnsi="Arial" w:cs="Arial"/>
                <w:b/>
                <w:bCs/>
                <w:color w:val="000000"/>
                <w:sz w:val="20"/>
                <w:szCs w:val="24"/>
              </w:rPr>
            </w:pPr>
            <w:r w:rsidRPr="000E4DAD">
              <w:rPr>
                <w:rFonts w:ascii="Arial" w:eastAsia="Times New Roman" w:hAnsi="Arial" w:cs="Arial"/>
                <w:b/>
                <w:bCs/>
                <w:color w:val="000000"/>
                <w:sz w:val="20"/>
                <w:szCs w:val="24"/>
              </w:rPr>
              <w:t xml:space="preserve">Daily Average Modified EWUA </w:t>
            </w:r>
          </w:p>
          <w:p w:rsidR="00A52ED1" w:rsidRPr="000E4DAD" w:rsidRDefault="00A52ED1" w:rsidP="000501BB">
            <w:pPr>
              <w:keepNext/>
              <w:spacing w:after="0" w:line="240" w:lineRule="auto"/>
              <w:jc w:val="center"/>
              <w:rPr>
                <w:rFonts w:ascii="Arial" w:eastAsia="Times New Roman" w:hAnsi="Arial" w:cs="Arial"/>
                <w:b/>
                <w:bCs/>
                <w:color w:val="000000"/>
                <w:sz w:val="20"/>
                <w:szCs w:val="24"/>
              </w:rPr>
            </w:pPr>
            <w:r w:rsidRPr="000E4DAD">
              <w:rPr>
                <w:rFonts w:ascii="Arial" w:eastAsia="Times New Roman" w:hAnsi="Arial" w:cs="Arial"/>
                <w:b/>
                <w:bCs/>
                <w:color w:val="000000"/>
                <w:sz w:val="20"/>
                <w:szCs w:val="24"/>
              </w:rPr>
              <w:t>(gpd per irrigated acre)</w:t>
            </w:r>
          </w:p>
        </w:tc>
      </w:tr>
      <w:tr w:rsidR="00A52ED1" w:rsidRPr="005411C8" w:rsidTr="005411C8">
        <w:trPr>
          <w:trHeight w:val="300"/>
        </w:trPr>
        <w:tc>
          <w:tcPr>
            <w:tcW w:w="3615"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52ED1" w:rsidRPr="000E4DAD" w:rsidRDefault="00A52ED1" w:rsidP="000501BB">
            <w:pPr>
              <w:keepNext/>
              <w:spacing w:after="0" w:line="240" w:lineRule="auto"/>
              <w:rPr>
                <w:rFonts w:ascii="Arial" w:eastAsia="Times New Roman" w:hAnsi="Arial" w:cs="Arial"/>
                <w:b/>
                <w:bCs/>
                <w:color w:val="000000"/>
                <w:sz w:val="20"/>
                <w:szCs w:val="24"/>
              </w:rPr>
            </w:pPr>
          </w:p>
        </w:tc>
        <w:tc>
          <w:tcPr>
            <w:tcW w:w="1715" w:type="dxa"/>
            <w:tcBorders>
              <w:top w:val="nil"/>
              <w:left w:val="nil"/>
              <w:bottom w:val="single" w:sz="4" w:space="0" w:color="auto"/>
              <w:right w:val="single" w:sz="4" w:space="0" w:color="auto"/>
            </w:tcBorders>
            <w:shd w:val="clear" w:color="auto" w:fill="D9D9D9" w:themeFill="background1" w:themeFillShade="D9"/>
            <w:noWrap/>
            <w:vAlign w:val="bottom"/>
            <w:hideMark/>
          </w:tcPr>
          <w:p w:rsidR="00A52ED1" w:rsidRPr="000E4DAD" w:rsidRDefault="00A52ED1" w:rsidP="000501BB">
            <w:pPr>
              <w:keepNext/>
              <w:spacing w:after="0" w:line="240" w:lineRule="auto"/>
              <w:jc w:val="center"/>
              <w:rPr>
                <w:rFonts w:ascii="Arial" w:eastAsia="Times New Roman" w:hAnsi="Arial" w:cs="Arial"/>
                <w:b/>
                <w:bCs/>
                <w:color w:val="000000"/>
                <w:sz w:val="20"/>
                <w:szCs w:val="24"/>
              </w:rPr>
            </w:pPr>
            <w:r w:rsidRPr="000E4DAD">
              <w:rPr>
                <w:rFonts w:ascii="Arial" w:eastAsia="Times New Roman" w:hAnsi="Arial" w:cs="Arial"/>
                <w:b/>
                <w:bCs/>
                <w:color w:val="000000"/>
                <w:sz w:val="20"/>
                <w:szCs w:val="24"/>
              </w:rPr>
              <w:t>Irvine</w:t>
            </w:r>
          </w:p>
        </w:tc>
        <w:tc>
          <w:tcPr>
            <w:tcW w:w="1934" w:type="dxa"/>
            <w:tcBorders>
              <w:top w:val="nil"/>
              <w:left w:val="nil"/>
              <w:bottom w:val="single" w:sz="4" w:space="0" w:color="auto"/>
              <w:right w:val="single" w:sz="4" w:space="0" w:color="auto"/>
            </w:tcBorders>
            <w:shd w:val="clear" w:color="auto" w:fill="D9D9D9" w:themeFill="background1" w:themeFillShade="D9"/>
            <w:noWrap/>
            <w:vAlign w:val="bottom"/>
            <w:hideMark/>
          </w:tcPr>
          <w:p w:rsidR="00A52ED1" w:rsidRPr="000E4DAD" w:rsidRDefault="00A52ED1" w:rsidP="000501BB">
            <w:pPr>
              <w:keepNext/>
              <w:spacing w:after="0" w:line="240" w:lineRule="auto"/>
              <w:jc w:val="center"/>
              <w:rPr>
                <w:rFonts w:ascii="Arial" w:eastAsia="Times New Roman" w:hAnsi="Arial" w:cs="Arial"/>
                <w:b/>
                <w:bCs/>
                <w:color w:val="000000"/>
                <w:sz w:val="20"/>
                <w:szCs w:val="24"/>
              </w:rPr>
            </w:pPr>
            <w:r w:rsidRPr="000E4DAD">
              <w:rPr>
                <w:rFonts w:ascii="Arial" w:eastAsia="Times New Roman" w:hAnsi="Arial" w:cs="Arial"/>
                <w:b/>
                <w:bCs/>
                <w:color w:val="000000"/>
                <w:sz w:val="20"/>
                <w:szCs w:val="24"/>
              </w:rPr>
              <w:t>Santa Ana</w:t>
            </w:r>
          </w:p>
        </w:tc>
        <w:tc>
          <w:tcPr>
            <w:tcW w:w="1931" w:type="dxa"/>
            <w:tcBorders>
              <w:top w:val="nil"/>
              <w:left w:val="nil"/>
              <w:bottom w:val="single" w:sz="4" w:space="0" w:color="auto"/>
              <w:right w:val="single" w:sz="4" w:space="0" w:color="auto"/>
            </w:tcBorders>
            <w:shd w:val="clear" w:color="auto" w:fill="D9D9D9" w:themeFill="background1" w:themeFillShade="D9"/>
            <w:noWrap/>
            <w:vAlign w:val="bottom"/>
            <w:hideMark/>
          </w:tcPr>
          <w:p w:rsidR="00A52ED1" w:rsidRPr="000E4DAD" w:rsidRDefault="00A52ED1" w:rsidP="000501BB">
            <w:pPr>
              <w:keepNext/>
              <w:spacing w:after="0" w:line="240" w:lineRule="auto"/>
              <w:jc w:val="center"/>
              <w:rPr>
                <w:rFonts w:ascii="Arial" w:eastAsia="Times New Roman" w:hAnsi="Arial" w:cs="Arial"/>
                <w:b/>
                <w:bCs/>
                <w:color w:val="000000"/>
                <w:sz w:val="20"/>
                <w:szCs w:val="24"/>
              </w:rPr>
            </w:pPr>
            <w:r w:rsidRPr="000E4DAD">
              <w:rPr>
                <w:rFonts w:ascii="Arial" w:eastAsia="Times New Roman" w:hAnsi="Arial" w:cs="Arial"/>
                <w:b/>
                <w:bCs/>
                <w:color w:val="000000"/>
                <w:sz w:val="20"/>
                <w:szCs w:val="24"/>
              </w:rPr>
              <w:t>Laguna</w:t>
            </w:r>
          </w:p>
        </w:tc>
      </w:tr>
      <w:tr w:rsidR="000501BB" w:rsidRPr="005411C8" w:rsidTr="000E4DAD">
        <w:trPr>
          <w:trHeight w:val="584"/>
        </w:trPr>
        <w:tc>
          <w:tcPr>
            <w:tcW w:w="3615" w:type="dxa"/>
            <w:tcBorders>
              <w:top w:val="nil"/>
              <w:left w:val="single" w:sz="4" w:space="0" w:color="auto"/>
              <w:bottom w:val="single" w:sz="4" w:space="0" w:color="auto"/>
              <w:right w:val="single" w:sz="4" w:space="0" w:color="auto"/>
            </w:tcBorders>
            <w:shd w:val="clear" w:color="auto" w:fill="auto"/>
            <w:vAlign w:val="center"/>
            <w:hideMark/>
          </w:tcPr>
          <w:p w:rsidR="000501BB" w:rsidRPr="000E4DAD" w:rsidRDefault="000501BB" w:rsidP="000501BB">
            <w:pPr>
              <w:keepNext/>
              <w:spacing w:after="0" w:line="240" w:lineRule="auto"/>
              <w:rPr>
                <w:rFonts w:ascii="Arial" w:eastAsia="Times New Roman" w:hAnsi="Arial" w:cs="Arial"/>
                <w:color w:val="000000"/>
                <w:sz w:val="20"/>
                <w:szCs w:val="24"/>
              </w:rPr>
            </w:pPr>
            <w:r w:rsidRPr="000E4DAD">
              <w:rPr>
                <w:rFonts w:ascii="Arial" w:eastAsia="Times New Roman" w:hAnsi="Arial" w:cs="Arial"/>
                <w:color w:val="000000"/>
                <w:sz w:val="20"/>
                <w:szCs w:val="24"/>
              </w:rPr>
              <w:t>Conservation Landscape Design (non-active turf): K</w:t>
            </w:r>
            <w:r w:rsidRPr="000E4DAD">
              <w:rPr>
                <w:rFonts w:ascii="Arial" w:eastAsia="Times New Roman" w:hAnsi="Arial" w:cs="Arial"/>
                <w:color w:val="000000"/>
                <w:sz w:val="20"/>
                <w:szCs w:val="24"/>
                <w:vertAlign w:val="subscript"/>
              </w:rPr>
              <w:t>L</w:t>
            </w:r>
            <w:r w:rsidRPr="000E4DAD">
              <w:rPr>
                <w:rFonts w:ascii="Arial" w:eastAsia="Times New Roman" w:hAnsi="Arial" w:cs="Arial"/>
                <w:color w:val="000000"/>
                <w:sz w:val="20"/>
                <w:szCs w:val="24"/>
              </w:rPr>
              <w:t xml:space="preserve"> = 0.35</w:t>
            </w:r>
          </w:p>
        </w:tc>
        <w:tc>
          <w:tcPr>
            <w:tcW w:w="1715" w:type="dxa"/>
            <w:tcBorders>
              <w:top w:val="nil"/>
              <w:left w:val="nil"/>
              <w:bottom w:val="single" w:sz="4" w:space="0" w:color="auto"/>
              <w:right w:val="single" w:sz="4" w:space="0" w:color="auto"/>
            </w:tcBorders>
            <w:shd w:val="clear" w:color="auto" w:fill="auto"/>
            <w:noWrap/>
            <w:vAlign w:val="center"/>
            <w:hideMark/>
          </w:tcPr>
          <w:p w:rsidR="000501BB" w:rsidRPr="000E4DAD" w:rsidRDefault="000501BB" w:rsidP="000E4DAD">
            <w:pPr>
              <w:spacing w:after="0"/>
              <w:jc w:val="center"/>
              <w:rPr>
                <w:rFonts w:ascii="Arial" w:hAnsi="Arial" w:cs="Arial"/>
                <w:color w:val="000000"/>
              </w:rPr>
            </w:pPr>
            <w:r w:rsidRPr="000E4DAD">
              <w:rPr>
                <w:rFonts w:ascii="Arial" w:hAnsi="Arial" w:cs="Arial"/>
                <w:color w:val="000000"/>
              </w:rPr>
              <w:t>740</w:t>
            </w:r>
          </w:p>
        </w:tc>
        <w:tc>
          <w:tcPr>
            <w:tcW w:w="1934" w:type="dxa"/>
            <w:tcBorders>
              <w:top w:val="nil"/>
              <w:left w:val="nil"/>
              <w:bottom w:val="single" w:sz="4" w:space="0" w:color="auto"/>
              <w:right w:val="single" w:sz="4" w:space="0" w:color="auto"/>
            </w:tcBorders>
            <w:shd w:val="clear" w:color="auto" w:fill="auto"/>
            <w:noWrap/>
            <w:vAlign w:val="center"/>
            <w:hideMark/>
          </w:tcPr>
          <w:p w:rsidR="000501BB" w:rsidRPr="000E4DAD" w:rsidRDefault="000501BB" w:rsidP="000E4DAD">
            <w:pPr>
              <w:spacing w:after="0"/>
              <w:jc w:val="center"/>
              <w:rPr>
                <w:rFonts w:ascii="Arial" w:hAnsi="Arial" w:cs="Arial"/>
                <w:color w:val="000000"/>
              </w:rPr>
            </w:pPr>
            <w:r w:rsidRPr="000E4DAD">
              <w:rPr>
                <w:rFonts w:ascii="Arial" w:hAnsi="Arial" w:cs="Arial"/>
                <w:color w:val="000000"/>
              </w:rPr>
              <w:t>720</w:t>
            </w:r>
          </w:p>
        </w:tc>
        <w:tc>
          <w:tcPr>
            <w:tcW w:w="1931" w:type="dxa"/>
            <w:tcBorders>
              <w:top w:val="nil"/>
              <w:left w:val="nil"/>
              <w:bottom w:val="single" w:sz="4" w:space="0" w:color="auto"/>
              <w:right w:val="single" w:sz="4" w:space="0" w:color="auto"/>
            </w:tcBorders>
            <w:shd w:val="clear" w:color="auto" w:fill="auto"/>
            <w:noWrap/>
            <w:vAlign w:val="center"/>
            <w:hideMark/>
          </w:tcPr>
          <w:p w:rsidR="000501BB" w:rsidRPr="000E4DAD" w:rsidRDefault="000501BB" w:rsidP="000E4DAD">
            <w:pPr>
              <w:spacing w:after="0"/>
              <w:jc w:val="center"/>
              <w:rPr>
                <w:rFonts w:ascii="Arial" w:hAnsi="Arial" w:cs="Arial"/>
                <w:color w:val="000000"/>
              </w:rPr>
            </w:pPr>
            <w:r w:rsidRPr="000E4DAD">
              <w:rPr>
                <w:rFonts w:ascii="Arial" w:hAnsi="Arial" w:cs="Arial"/>
                <w:color w:val="000000"/>
              </w:rPr>
              <w:t>680</w:t>
            </w:r>
          </w:p>
        </w:tc>
      </w:tr>
      <w:tr w:rsidR="000501BB" w:rsidRPr="005411C8" w:rsidTr="000E4DAD">
        <w:trPr>
          <w:trHeight w:val="449"/>
        </w:trPr>
        <w:tc>
          <w:tcPr>
            <w:tcW w:w="3615" w:type="dxa"/>
            <w:tcBorders>
              <w:top w:val="nil"/>
              <w:left w:val="single" w:sz="4" w:space="0" w:color="auto"/>
              <w:bottom w:val="single" w:sz="4" w:space="0" w:color="auto"/>
              <w:right w:val="single" w:sz="4" w:space="0" w:color="auto"/>
            </w:tcBorders>
            <w:shd w:val="clear" w:color="auto" w:fill="auto"/>
            <w:vAlign w:val="center"/>
            <w:hideMark/>
          </w:tcPr>
          <w:p w:rsidR="000501BB" w:rsidRPr="000E4DAD" w:rsidRDefault="000501BB" w:rsidP="00FE704C">
            <w:pPr>
              <w:spacing w:after="0" w:line="240" w:lineRule="auto"/>
              <w:rPr>
                <w:rFonts w:ascii="Arial" w:eastAsia="Times New Roman" w:hAnsi="Arial" w:cs="Arial"/>
                <w:color w:val="000000"/>
                <w:sz w:val="20"/>
                <w:szCs w:val="24"/>
              </w:rPr>
            </w:pPr>
            <w:r w:rsidRPr="000E4DAD">
              <w:rPr>
                <w:rFonts w:ascii="Arial" w:eastAsia="Times New Roman" w:hAnsi="Arial" w:cs="Arial"/>
                <w:color w:val="000000"/>
                <w:sz w:val="20"/>
                <w:szCs w:val="24"/>
              </w:rPr>
              <w:t>Active Turf Areas: K</w:t>
            </w:r>
            <w:r w:rsidRPr="000E4DAD">
              <w:rPr>
                <w:rFonts w:ascii="Arial" w:eastAsia="Times New Roman" w:hAnsi="Arial" w:cs="Arial"/>
                <w:color w:val="000000"/>
                <w:sz w:val="20"/>
                <w:szCs w:val="24"/>
                <w:vertAlign w:val="subscript"/>
              </w:rPr>
              <w:t>L</w:t>
            </w:r>
            <w:r w:rsidRPr="000E4DAD">
              <w:rPr>
                <w:rFonts w:ascii="Arial" w:eastAsia="Times New Roman" w:hAnsi="Arial" w:cs="Arial"/>
                <w:color w:val="000000"/>
                <w:sz w:val="20"/>
                <w:szCs w:val="24"/>
              </w:rPr>
              <w:t xml:space="preserve"> = 0.7</w:t>
            </w:r>
          </w:p>
        </w:tc>
        <w:tc>
          <w:tcPr>
            <w:tcW w:w="1715" w:type="dxa"/>
            <w:tcBorders>
              <w:top w:val="nil"/>
              <w:left w:val="nil"/>
              <w:bottom w:val="single" w:sz="4" w:space="0" w:color="auto"/>
              <w:right w:val="single" w:sz="4" w:space="0" w:color="auto"/>
            </w:tcBorders>
            <w:shd w:val="clear" w:color="auto" w:fill="auto"/>
            <w:noWrap/>
            <w:vAlign w:val="center"/>
            <w:hideMark/>
          </w:tcPr>
          <w:p w:rsidR="000501BB" w:rsidRPr="000E4DAD" w:rsidRDefault="000501BB" w:rsidP="000E4DAD">
            <w:pPr>
              <w:spacing w:after="0"/>
              <w:jc w:val="center"/>
              <w:rPr>
                <w:rFonts w:ascii="Arial" w:hAnsi="Arial" w:cs="Arial"/>
                <w:color w:val="000000"/>
              </w:rPr>
            </w:pPr>
            <w:r w:rsidRPr="000E4DAD">
              <w:rPr>
                <w:rFonts w:ascii="Arial" w:hAnsi="Arial" w:cs="Arial"/>
                <w:color w:val="000000"/>
              </w:rPr>
              <w:t>1,480</w:t>
            </w:r>
          </w:p>
        </w:tc>
        <w:tc>
          <w:tcPr>
            <w:tcW w:w="1934" w:type="dxa"/>
            <w:tcBorders>
              <w:top w:val="nil"/>
              <w:left w:val="nil"/>
              <w:bottom w:val="single" w:sz="4" w:space="0" w:color="auto"/>
              <w:right w:val="single" w:sz="4" w:space="0" w:color="auto"/>
            </w:tcBorders>
            <w:shd w:val="clear" w:color="auto" w:fill="auto"/>
            <w:noWrap/>
            <w:vAlign w:val="center"/>
            <w:hideMark/>
          </w:tcPr>
          <w:p w:rsidR="000501BB" w:rsidRPr="000E4DAD" w:rsidRDefault="000501BB" w:rsidP="000E4DAD">
            <w:pPr>
              <w:spacing w:after="0"/>
              <w:jc w:val="center"/>
              <w:rPr>
                <w:rFonts w:ascii="Arial" w:hAnsi="Arial" w:cs="Arial"/>
                <w:color w:val="000000"/>
              </w:rPr>
            </w:pPr>
            <w:r w:rsidRPr="000E4DAD">
              <w:rPr>
                <w:rFonts w:ascii="Arial" w:hAnsi="Arial" w:cs="Arial"/>
                <w:color w:val="000000"/>
              </w:rPr>
              <w:t>1,450</w:t>
            </w:r>
          </w:p>
        </w:tc>
        <w:tc>
          <w:tcPr>
            <w:tcW w:w="1931" w:type="dxa"/>
            <w:tcBorders>
              <w:top w:val="nil"/>
              <w:left w:val="nil"/>
              <w:bottom w:val="single" w:sz="4" w:space="0" w:color="auto"/>
              <w:right w:val="single" w:sz="4" w:space="0" w:color="auto"/>
            </w:tcBorders>
            <w:shd w:val="clear" w:color="auto" w:fill="auto"/>
            <w:noWrap/>
            <w:vAlign w:val="center"/>
            <w:hideMark/>
          </w:tcPr>
          <w:p w:rsidR="000501BB" w:rsidRPr="000E4DAD" w:rsidRDefault="000501BB" w:rsidP="000E4DAD">
            <w:pPr>
              <w:spacing w:after="0"/>
              <w:jc w:val="center"/>
              <w:rPr>
                <w:rFonts w:ascii="Arial" w:hAnsi="Arial" w:cs="Arial"/>
                <w:color w:val="000000"/>
              </w:rPr>
            </w:pPr>
            <w:r w:rsidRPr="000E4DAD">
              <w:rPr>
                <w:rFonts w:ascii="Arial" w:hAnsi="Arial" w:cs="Arial"/>
                <w:color w:val="000000"/>
              </w:rPr>
              <w:t>1,360</w:t>
            </w:r>
          </w:p>
        </w:tc>
      </w:tr>
    </w:tbl>
    <w:p w:rsidR="00A52ED1" w:rsidRDefault="00A52ED1" w:rsidP="00A52ED1"/>
    <w:p w:rsidR="00A52ED1" w:rsidRDefault="00A52ED1" w:rsidP="00A52883">
      <w:pPr>
        <w:pStyle w:val="Heading3"/>
      </w:pPr>
      <w:r>
        <w:t>EIATA Demand Calculation and Sizing Method</w:t>
      </w:r>
    </w:p>
    <w:p w:rsidR="00A52ED1" w:rsidRDefault="00A52ED1" w:rsidP="00A52ED1">
      <w:r>
        <w:t xml:space="preserve">The TGD also supports an alternative approach for quantifying harvested water demand that relies on the Effective Irrigated Area to Tributary Area (EIATA) ratio as a tool for sizing stormwater harvest </w:t>
      </w:r>
      <w:r w:rsidR="000E4DAD">
        <w:t xml:space="preserve">and use systems.  This ratio was developed </w:t>
      </w:r>
      <w:r>
        <w:t>to be a primary indicator of the ability of a harvest and use system</w:t>
      </w:r>
      <w:r w:rsidR="00F65443">
        <w:t xml:space="preserve"> to</w:t>
      </w:r>
      <w:r>
        <w:t xml:space="preserve"> </w:t>
      </w:r>
      <w:r w:rsidR="00F65443">
        <w:t>effectively capture and manage stormwater.</w:t>
      </w:r>
    </w:p>
    <w:p w:rsidR="00A52ED1" w:rsidRPr="00B53524" w:rsidRDefault="00A52ED1" w:rsidP="00A52ED1">
      <w:pPr>
        <w:spacing w:after="120"/>
      </w:pPr>
      <w:r>
        <w:t xml:space="preserve">The EIATA ratio </w:t>
      </w:r>
      <w:r w:rsidRPr="00311A64">
        <w:t xml:space="preserve">is calculated as follows: </w:t>
      </w:r>
    </w:p>
    <w:p w:rsidR="00A52ED1" w:rsidRPr="00B53524" w:rsidRDefault="00A52ED1" w:rsidP="00A52ED1">
      <w:pPr>
        <w:spacing w:after="120"/>
        <w:ind w:left="720"/>
      </w:pPr>
      <w:r>
        <w:t>EIATA = L</w:t>
      </w:r>
      <w:r w:rsidRPr="00311A64">
        <w:t>A × K</w:t>
      </w:r>
      <w:r w:rsidRPr="00270987">
        <w:rPr>
          <w:vertAlign w:val="subscript"/>
        </w:rPr>
        <w:t>L</w:t>
      </w:r>
      <w:proofErr w:type="gramStart"/>
      <w:r w:rsidRPr="00311A64">
        <w:t>/[</w:t>
      </w:r>
      <w:proofErr w:type="gramEnd"/>
      <w:r w:rsidRPr="00311A64">
        <w:t>IE × Tributary Impervious Area]</w:t>
      </w:r>
    </w:p>
    <w:p w:rsidR="00A52ED1" w:rsidRPr="00B53524" w:rsidRDefault="00A52ED1" w:rsidP="00A52ED1">
      <w:pPr>
        <w:spacing w:after="120"/>
      </w:pPr>
      <w:r w:rsidRPr="00311A64">
        <w:t>Where:</w:t>
      </w:r>
    </w:p>
    <w:p w:rsidR="00A52ED1" w:rsidRPr="00B53524" w:rsidRDefault="00A52ED1" w:rsidP="009E1CFF">
      <w:pPr>
        <w:spacing w:after="0"/>
        <w:ind w:left="720"/>
      </w:pPr>
      <w:r>
        <w:t>EIATA</w:t>
      </w:r>
      <w:r w:rsidRPr="00311A64">
        <w:t xml:space="preserve"> = effective irrigated area </w:t>
      </w:r>
      <w:r>
        <w:t xml:space="preserve">to tributary area </w:t>
      </w:r>
      <w:r w:rsidRPr="00311A64">
        <w:t>ratio (ac/ac)</w:t>
      </w:r>
    </w:p>
    <w:p w:rsidR="00A52ED1" w:rsidRPr="00B53524" w:rsidRDefault="00A52ED1" w:rsidP="009E1CFF">
      <w:pPr>
        <w:spacing w:after="0"/>
        <w:ind w:left="720"/>
      </w:pPr>
      <w:r>
        <w:t>L</w:t>
      </w:r>
      <w:r w:rsidRPr="00311A64">
        <w:t xml:space="preserve">A = </w:t>
      </w:r>
      <w:r>
        <w:t xml:space="preserve">landscape </w:t>
      </w:r>
      <w:r w:rsidRPr="00311A64">
        <w:t xml:space="preserve">area irrigated with harvested water, </w:t>
      </w:r>
      <w:r>
        <w:t>sq-ft</w:t>
      </w:r>
    </w:p>
    <w:p w:rsidR="00A52ED1" w:rsidRPr="00B53524" w:rsidRDefault="00A52ED1" w:rsidP="009E1CFF">
      <w:pPr>
        <w:spacing w:after="0"/>
        <w:ind w:left="720"/>
      </w:pPr>
      <w:r w:rsidRPr="00311A64">
        <w:t>K</w:t>
      </w:r>
      <w:r w:rsidRPr="00270987">
        <w:rPr>
          <w:vertAlign w:val="subscript"/>
        </w:rPr>
        <w:t>L</w:t>
      </w:r>
      <w:r w:rsidRPr="00311A64">
        <w:t xml:space="preserve"> = </w:t>
      </w:r>
      <w:r>
        <w:t xml:space="preserve">Area-weighted landscape </w:t>
      </w:r>
      <w:r w:rsidRPr="00311A64">
        <w:t xml:space="preserve">coefficient </w:t>
      </w:r>
      <w:r>
        <w:t>(per guidance above)</w:t>
      </w:r>
    </w:p>
    <w:p w:rsidR="00A52ED1" w:rsidRDefault="00A52ED1" w:rsidP="009E1CFF">
      <w:pPr>
        <w:spacing w:after="0"/>
        <w:ind w:left="720"/>
      </w:pPr>
      <w:r>
        <w:t>IE = irrigation efficiency (assume 0.90)</w:t>
      </w:r>
    </w:p>
    <w:p w:rsidR="009E1CFF" w:rsidRDefault="009E1CFF" w:rsidP="009E1CFF">
      <w:pPr>
        <w:spacing w:after="0"/>
        <w:ind w:left="720"/>
      </w:pPr>
    </w:p>
    <w:p w:rsidR="00126DE5" w:rsidRPr="00126DE5" w:rsidRDefault="00A52ED1" w:rsidP="009E1CFF">
      <w:pPr>
        <w:rPr>
          <w:b/>
          <w:color w:val="0070C0"/>
        </w:rPr>
      </w:pPr>
      <w:r>
        <w:t xml:space="preserve">The calculated EIATA ratio can be used in </w:t>
      </w:r>
      <w:r w:rsidR="00126F3D" w:rsidRPr="00126DE5">
        <w:rPr>
          <w:rFonts w:cs="Arial"/>
          <w:b/>
          <w:color w:val="0070C0"/>
          <w:sz w:val="20"/>
          <w:szCs w:val="20"/>
        </w:rPr>
        <w:fldChar w:fldCharType="begin"/>
      </w:r>
      <w:r w:rsidRPr="00126DE5">
        <w:rPr>
          <w:rFonts w:cs="Arial"/>
          <w:b/>
          <w:color w:val="0070C0"/>
          <w:sz w:val="20"/>
          <w:szCs w:val="20"/>
        </w:rPr>
        <w:instrText xml:space="preserve"> REF _Ref285037085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b/>
          <w:color w:val="0070C0"/>
        </w:rPr>
        <w:t xml:space="preserve"> </w:t>
      </w:r>
    </w:p>
    <w:p w:rsidR="00A52ED1" w:rsidRDefault="00126DE5" w:rsidP="00A52ED1">
      <w:pPr>
        <w:tabs>
          <w:tab w:val="left" w:pos="0"/>
        </w:tabs>
      </w:pPr>
      <w:r w:rsidRPr="00126DE5">
        <w:rPr>
          <w:b/>
          <w:color w:val="0070C0"/>
        </w:rPr>
        <w:t xml:space="preserve">Figure </w:t>
      </w:r>
      <w:r w:rsidRPr="00126DE5">
        <w:rPr>
          <w:b/>
          <w:noProof/>
          <w:color w:val="0070C0"/>
        </w:rPr>
        <w:t>X</w:t>
      </w:r>
      <w:r w:rsidRPr="00126DE5">
        <w:rPr>
          <w:b/>
          <w:color w:val="0070C0"/>
        </w:rPr>
        <w:t>.</w:t>
      </w:r>
      <w:r w:rsidRPr="00126DE5">
        <w:rPr>
          <w:b/>
          <w:noProof/>
          <w:color w:val="0070C0"/>
        </w:rPr>
        <w:t>1</w:t>
      </w:r>
      <w:r w:rsidR="00126F3D" w:rsidRPr="00126DE5">
        <w:rPr>
          <w:rFonts w:cs="Arial"/>
          <w:b/>
          <w:color w:val="0070C0"/>
          <w:sz w:val="20"/>
          <w:szCs w:val="20"/>
        </w:rPr>
        <w:fldChar w:fldCharType="end"/>
      </w:r>
      <w:r w:rsidR="00A52ED1">
        <w:t xml:space="preserve"> to relate </w:t>
      </w:r>
      <w:r w:rsidR="003C7091">
        <w:t>DCV</w:t>
      </w:r>
      <w:r w:rsidR="00A52ED1">
        <w:t xml:space="preserve"> to system performance.  </w:t>
      </w:r>
    </w:p>
    <w:p w:rsidR="00126DE5" w:rsidRPr="00126DE5" w:rsidRDefault="00126F3D" w:rsidP="009E1CFF">
      <w:pPr>
        <w:rPr>
          <w:b/>
          <w:color w:val="0070C0"/>
        </w:rPr>
      </w:pPr>
      <w:r w:rsidRPr="00126DE5">
        <w:rPr>
          <w:rFonts w:cs="Arial"/>
          <w:b/>
          <w:color w:val="0070C0"/>
          <w:sz w:val="20"/>
          <w:szCs w:val="20"/>
        </w:rPr>
        <w:fldChar w:fldCharType="begin"/>
      </w:r>
      <w:r w:rsidR="00A52ED1" w:rsidRPr="00126DE5">
        <w:rPr>
          <w:rFonts w:cs="Arial"/>
          <w:b/>
          <w:color w:val="0070C0"/>
          <w:sz w:val="20"/>
          <w:szCs w:val="20"/>
        </w:rPr>
        <w:instrText xml:space="preserve"> REF _Ref285037085 \h </w:instrText>
      </w:r>
      <w:r w:rsidRPr="00126DE5">
        <w:rPr>
          <w:rFonts w:cs="Arial"/>
          <w:b/>
          <w:color w:val="0070C0"/>
          <w:sz w:val="20"/>
          <w:szCs w:val="20"/>
        </w:rPr>
      </w:r>
      <w:r w:rsidRPr="00126DE5">
        <w:rPr>
          <w:rFonts w:cs="Arial"/>
          <w:b/>
          <w:color w:val="0070C0"/>
          <w:sz w:val="20"/>
          <w:szCs w:val="20"/>
        </w:rPr>
        <w:fldChar w:fldCharType="separate"/>
      </w:r>
      <w:r w:rsidR="00126DE5" w:rsidRPr="00126DE5">
        <w:rPr>
          <w:b/>
          <w:color w:val="0070C0"/>
        </w:rPr>
        <w:t xml:space="preserve"> </w:t>
      </w:r>
    </w:p>
    <w:p w:rsidR="00A52ED1" w:rsidRDefault="00126DE5" w:rsidP="00A52ED1">
      <w:pPr>
        <w:tabs>
          <w:tab w:val="left" w:pos="0"/>
        </w:tabs>
      </w:pPr>
      <w:r w:rsidRPr="00126DE5">
        <w:rPr>
          <w:b/>
          <w:color w:val="0070C0"/>
        </w:rPr>
        <w:t xml:space="preserve">Figure </w:t>
      </w:r>
      <w:r w:rsidRPr="00126DE5">
        <w:rPr>
          <w:b/>
          <w:noProof/>
          <w:color w:val="0070C0"/>
        </w:rPr>
        <w:t>X</w:t>
      </w:r>
      <w:r w:rsidRPr="00126DE5">
        <w:rPr>
          <w:b/>
          <w:color w:val="0070C0"/>
        </w:rPr>
        <w:t>.</w:t>
      </w:r>
      <w:r w:rsidRPr="00126DE5">
        <w:rPr>
          <w:b/>
          <w:noProof/>
          <w:color w:val="0070C0"/>
        </w:rPr>
        <w:t>1</w:t>
      </w:r>
      <w:r w:rsidR="00126F3D" w:rsidRPr="00126DE5">
        <w:rPr>
          <w:rFonts w:cs="Arial"/>
          <w:b/>
          <w:color w:val="0070C0"/>
          <w:sz w:val="20"/>
          <w:szCs w:val="20"/>
        </w:rPr>
        <w:fldChar w:fldCharType="end"/>
      </w:r>
      <w:r w:rsidR="00A52ED1">
        <w:t xml:space="preserve"> was developed in USEPA SWMM5.0 with 22 years of hourly precipitation and reference ET data from the Irvine CIMIS gage. The model accounts for short term suspension of irrigation demand following storm events by applying irrigation only after 0.25 inches of reference ET had occurred since the end of rainfall. This nomograph is applicable across Orange County.</w:t>
      </w:r>
    </w:p>
    <w:p w:rsidR="009E1CFF" w:rsidRDefault="00A52ED1" w:rsidP="009E1CFF">
      <w:r>
        <w:t>Instructions for using this nomograph are contained in (</w:t>
      </w:r>
      <w:fldSimple w:instr=" REF _Ref285356870 \r \h  \* MERGEFORMAT ">
        <w:r w:rsidR="00126DE5" w:rsidRPr="00126DE5">
          <w:rPr>
            <w:rFonts w:cs="Arial"/>
            <w:b/>
            <w:color w:val="0070C0"/>
            <w:sz w:val="20"/>
            <w:szCs w:val="20"/>
          </w:rPr>
          <w:t>Appendix I</w:t>
        </w:r>
      </w:fldSimple>
      <w:r>
        <w:t>).</w:t>
      </w:r>
      <w:bookmarkStart w:id="630" w:name="_Ref285037085"/>
      <w:r w:rsidR="009E1CFF" w:rsidRPr="009E1CFF">
        <w:t xml:space="preserve"> </w:t>
      </w:r>
    </w:p>
    <w:p w:rsidR="00A52ED1" w:rsidRPr="00524D76" w:rsidRDefault="009E1CFF" w:rsidP="00647B99">
      <w:pPr>
        <w:pStyle w:val="Caption"/>
      </w:pPr>
      <w:bookmarkStart w:id="631" w:name="_Toc288555065"/>
      <w:r w:rsidRPr="00524D76">
        <w:t xml:space="preserve">Figure </w:t>
      </w:r>
      <w:fldSimple w:instr=" STYLEREF 1 \s ">
        <w:r w:rsidR="00524D76">
          <w:rPr>
            <w:noProof/>
          </w:rPr>
          <w:t>X</w:t>
        </w:r>
      </w:fldSimple>
      <w:r w:rsidR="00524D76">
        <w:t>.</w:t>
      </w:r>
      <w:fldSimple w:instr=" SEQ Figure \* ARABIC \s 1 ">
        <w:r w:rsidR="00524D76">
          <w:rPr>
            <w:noProof/>
          </w:rPr>
          <w:t>1</w:t>
        </w:r>
      </w:fldSimple>
      <w:bookmarkEnd w:id="630"/>
      <w:r w:rsidRPr="00524D76">
        <w:t>: Harvest and Use Sizing Nomograph</w:t>
      </w:r>
      <w:bookmarkEnd w:id="631"/>
    </w:p>
    <w:p w:rsidR="00B40134" w:rsidRDefault="00A52ED1" w:rsidP="00B40134">
      <w:r w:rsidRPr="00095335">
        <w:rPr>
          <w:noProof/>
        </w:rPr>
        <w:drawing>
          <wp:inline distT="0" distB="0" distL="0" distR="0">
            <wp:extent cx="5930265" cy="3832225"/>
            <wp:effectExtent l="1905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email"/>
                    <a:srcRect/>
                    <a:stretch>
                      <a:fillRect/>
                    </a:stretch>
                  </pic:blipFill>
                  <pic:spPr bwMode="auto">
                    <a:xfrm>
                      <a:off x="0" y="0"/>
                      <a:ext cx="5930265" cy="3832225"/>
                    </a:xfrm>
                    <a:prstGeom prst="rect">
                      <a:avLst/>
                    </a:prstGeom>
                    <a:noFill/>
                    <a:ln w="9525">
                      <a:noFill/>
                      <a:miter lim="800000"/>
                      <a:headEnd/>
                      <a:tailEnd/>
                    </a:ln>
                  </pic:spPr>
                </pic:pic>
              </a:graphicData>
            </a:graphic>
          </wp:inline>
        </w:drawing>
      </w:r>
    </w:p>
    <w:p w:rsidR="009E1CFF" w:rsidRPr="00B40134" w:rsidRDefault="009E1CFF" w:rsidP="009E1CFF">
      <w:pPr>
        <w:spacing w:after="0"/>
      </w:pPr>
    </w:p>
    <w:p w:rsidR="00A52ED1" w:rsidRPr="002E1D95" w:rsidRDefault="00A52ED1" w:rsidP="00A52883">
      <w:pPr>
        <w:pStyle w:val="Heading3"/>
      </w:pPr>
      <w:bookmarkStart w:id="632" w:name="_Toc285308179"/>
      <w:bookmarkStart w:id="633" w:name="_Toc285315763"/>
      <w:r w:rsidRPr="002E1D95">
        <w:t>Calculating Other Harvested Water Demands</w:t>
      </w:r>
      <w:bookmarkEnd w:id="632"/>
      <w:bookmarkEnd w:id="633"/>
    </w:p>
    <w:p w:rsidR="00A52ED1" w:rsidRDefault="00A52ED1" w:rsidP="00A52ED1">
      <w:r>
        <w:t>Calculations of other harvested water demands should be based on the knowledge of land uses, industrial processes, and other factors that are project-specific.  Demand should be calculated based on the following guidelines:</w:t>
      </w:r>
    </w:p>
    <w:p w:rsidR="00A52ED1" w:rsidRDefault="00A52ED1" w:rsidP="009531AF">
      <w:pPr>
        <w:pStyle w:val="ListParagraph"/>
        <w:numPr>
          <w:ilvl w:val="0"/>
          <w:numId w:val="46"/>
        </w:numPr>
        <w:spacing w:line="264" w:lineRule="auto"/>
      </w:pPr>
      <w:r>
        <w:t xml:space="preserve">Demand calculations should represent </w:t>
      </w:r>
      <w:r w:rsidRPr="000F68CC">
        <w:t>actual demand</w:t>
      </w:r>
      <w:r>
        <w:t xml:space="preserve"> that is anticipated during the wet season (November through April).</w:t>
      </w:r>
    </w:p>
    <w:p w:rsidR="00A52ED1" w:rsidRDefault="00A52ED1" w:rsidP="009531AF">
      <w:pPr>
        <w:pStyle w:val="ListParagraph"/>
        <w:numPr>
          <w:ilvl w:val="0"/>
          <w:numId w:val="46"/>
        </w:numPr>
        <w:spacing w:line="264" w:lineRule="auto"/>
      </w:pPr>
      <w:r>
        <w:t xml:space="preserve">Sources of demand should only be included if they are </w:t>
      </w:r>
      <w:r w:rsidRPr="000F68CC">
        <w:t>reliably</w:t>
      </w:r>
      <w:r>
        <w:t xml:space="preserve"> and consistently present during the wet season.  </w:t>
      </w:r>
    </w:p>
    <w:p w:rsidR="00A52ED1" w:rsidRDefault="00A52ED1" w:rsidP="009531AF">
      <w:pPr>
        <w:pStyle w:val="ListParagraph"/>
        <w:numPr>
          <w:ilvl w:val="0"/>
          <w:numId w:val="46"/>
        </w:numPr>
        <w:spacing w:line="264" w:lineRule="auto"/>
      </w:pPr>
      <w:r>
        <w:t>Where demands are substantial but irregular, a more detailed analysis should be conducted based on a statistical analysis of anticipated demand and precipitation patterns.</w:t>
      </w:r>
    </w:p>
    <w:p w:rsidR="00622320" w:rsidRDefault="00AA51FA" w:rsidP="00A52883">
      <w:pPr>
        <w:pStyle w:val="Heading3"/>
      </w:pPr>
      <w:bookmarkStart w:id="634" w:name="_Ref287978815"/>
      <w:r>
        <w:t>Reclaimed Water Priority in Demand Calculations</w:t>
      </w:r>
      <w:bookmarkEnd w:id="634"/>
    </w:p>
    <w:p w:rsidR="007E29EF" w:rsidRDefault="007E29EF" w:rsidP="007E29EF">
      <w:r>
        <w:t xml:space="preserve">If reclaimed water is available to meet or partially meet project non-potable water demands, the decision to use reclaimed water or harvested runoff water rests with the project proponent.  If the project proponent elects to use reclaimed water or is required to use reclaimed water based on conditions placed on the project, then the demand for harvested water should be reduced by the amount of reclaimed water available. This criterion effectively allows the project proponent to consider harvest and use to be infeasible if sufficient reclaimed water supply is available to meet the project demand for harvested water. </w:t>
      </w:r>
    </w:p>
    <w:p w:rsidR="007E29EF" w:rsidRDefault="007E29EF" w:rsidP="007E29EF">
      <w:r>
        <w:t>This criterion intentionally prioritizes the use of reclaimed water over harvested water in cases where demand overlaps. The use of reclaimed water is being prioritized based upon the following considerations:</w:t>
      </w:r>
    </w:p>
    <w:p w:rsidR="007E29EF" w:rsidRDefault="007E29EF" w:rsidP="009531AF">
      <w:pPr>
        <w:pStyle w:val="ListParagraph"/>
        <w:numPr>
          <w:ilvl w:val="0"/>
          <w:numId w:val="64"/>
        </w:numPr>
      </w:pPr>
      <w:r>
        <w:t xml:space="preserve">In Order 2009-06, the </w:t>
      </w:r>
      <w:r w:rsidRPr="007377D8">
        <w:t xml:space="preserve">State Water Board finds that </w:t>
      </w:r>
      <w:r>
        <w:t>“…</w:t>
      </w:r>
      <w:r w:rsidRPr="007377D8">
        <w:t>recycled water is safe for approved uses, and strongly supports recycled water as a safe alternative to potable water for such approved uses.</w:t>
      </w:r>
      <w:r>
        <w:t xml:space="preserve"> “ There are several other state mandates for reduction of potable water demand.</w:t>
      </w:r>
    </w:p>
    <w:p w:rsidR="007E29EF" w:rsidRDefault="007E29EF" w:rsidP="009531AF">
      <w:pPr>
        <w:pStyle w:val="ListParagraph"/>
        <w:numPr>
          <w:ilvl w:val="0"/>
          <w:numId w:val="64"/>
        </w:numPr>
      </w:pPr>
      <w:r>
        <w:t xml:space="preserve">A substantial investment has been made in the production and distribution of reclaimed water by local agencies to reduce potable water demand to meet state mandates.  </w:t>
      </w:r>
    </w:p>
    <w:p w:rsidR="007E29EF" w:rsidRDefault="007E29EF" w:rsidP="009531AF">
      <w:pPr>
        <w:pStyle w:val="ListParagraph"/>
        <w:numPr>
          <w:ilvl w:val="0"/>
          <w:numId w:val="64"/>
        </w:numPr>
      </w:pPr>
      <w:r>
        <w:t>Utilizing reclaimed water where available inherently reduces the amount of treated municipal effluent discharged to the ocean.  For those entities that rely primarily on use of reclaimed water for disposal of treated wastewaters, such as the Irvine Ranch Water District, prioritizing use of runoff over reclaimed water could increase wastewater discharges significantly during wet weather periods.</w:t>
      </w:r>
    </w:p>
    <w:p w:rsidR="007E29EF" w:rsidRDefault="007E29EF" w:rsidP="009531AF">
      <w:pPr>
        <w:pStyle w:val="ListParagraph"/>
        <w:numPr>
          <w:ilvl w:val="0"/>
          <w:numId w:val="64"/>
        </w:numPr>
      </w:pPr>
      <w:r>
        <w:t xml:space="preserve">Utilizing the capacity of the reclaimed water system, where available, has a significantly larger benefit for offsetting potable water supply than stormwater harvest and use systems.  Reclaimed water is available year round therefore can effectively fulfill all project non-potable water demands. In contrast, a harvested water system designed for stormwater management would tend to make water available for a relatively minor fraction of the year (during storm events and for a relatively short period after), thereby meeting a substantially lower fraction of the project non-potable water demand. </w:t>
      </w:r>
    </w:p>
    <w:p w:rsidR="007E29EF" w:rsidRDefault="007E29EF" w:rsidP="009531AF">
      <w:pPr>
        <w:pStyle w:val="ListParagraph"/>
        <w:numPr>
          <w:ilvl w:val="0"/>
          <w:numId w:val="64"/>
        </w:numPr>
      </w:pPr>
      <w:r w:rsidRPr="00123CDB">
        <w:t xml:space="preserve">It is possible to engineer and deploy a combined reclaimed water/harvested stormwater non-potable use system.  However, the costs of including both options would be much higher than employing one or the other.  In addition, the most difficult time for reclaimed water disposal is during extended wet periods (irrigation reduced and more wastewater from inflow and infiltration).  </w:t>
      </w:r>
    </w:p>
    <w:p w:rsidR="007E29EF" w:rsidRDefault="007E29EF" w:rsidP="009531AF">
      <w:pPr>
        <w:pStyle w:val="ListParagraph"/>
        <w:numPr>
          <w:ilvl w:val="0"/>
          <w:numId w:val="64"/>
        </w:numPr>
      </w:pPr>
    </w:p>
    <w:p w:rsidR="00DA3704" w:rsidRPr="00DA3704" w:rsidRDefault="00DA3704" w:rsidP="00DA3704">
      <w:pPr>
        <w:pStyle w:val="ListParagraph"/>
        <w:numPr>
          <w:ilvl w:val="0"/>
          <w:numId w:val="64"/>
        </w:numPr>
      </w:pPr>
      <w:r>
        <w:t xml:space="preserve">The </w:t>
      </w:r>
      <w:r w:rsidRPr="00DA3704">
        <w:t>use of reclaimed water to supplant the use of harvested water for irrigation could contribute to groundwater quality impacts. This depends on the quality of harvested runoff that might alternatively be used compared to the quality of the reclaimed water.  However, the maximum potential fraction of the total inflow to the groundwater basin influenced by the priority for reclaimed water versus harvested water is believed to be very minor based on the applicability of the New Development and Significant Redevelopment LID requirements in the foreseeable future and will therefore not have a significant impact on groundwater quality.</w:t>
      </w:r>
    </w:p>
    <w:p w:rsidR="00DA3704" w:rsidRDefault="00DA3704" w:rsidP="009531AF">
      <w:pPr>
        <w:pStyle w:val="ListParagraph"/>
        <w:numPr>
          <w:ilvl w:val="0"/>
          <w:numId w:val="64"/>
        </w:numPr>
      </w:pPr>
      <w:r>
        <w:t xml:space="preserve">In addition, </w:t>
      </w:r>
      <w:r w:rsidR="007E29EF">
        <w:t xml:space="preserve">potential </w:t>
      </w:r>
      <w:r>
        <w:t xml:space="preserve">impacts </w:t>
      </w:r>
      <w:r w:rsidR="007E29EF">
        <w:t>to groundwater quality</w:t>
      </w:r>
      <w:r>
        <w:t xml:space="preserve"> related to use of reclaimed water,</w:t>
      </w:r>
      <w:r w:rsidR="007E29EF">
        <w:t xml:space="preserve"> particularly salt and nutrient accumulation, must be </w:t>
      </w:r>
      <w:r>
        <w:t xml:space="preserve">evaluated and </w:t>
      </w:r>
      <w:r w:rsidR="007E29EF">
        <w:t>managed by providers of reclaimed water</w:t>
      </w:r>
      <w:r w:rsidR="007E29EF">
        <w:rPr>
          <w:rStyle w:val="FootnoteReference"/>
        </w:rPr>
        <w:footnoteReference w:id="17"/>
      </w:r>
      <w:r w:rsidR="007E29EF">
        <w:t>. The priority for use of reclaimed water expressed in this TGD does not conflict or interfere with the obligation of reclaimed water providers to manage the application of reclaimed water. If, as a groundwater quality management action, a reclaimed water provider must limit the application of reclaimed water, it would be the responsibility of the reclaimed water provider to limit the amount of reclaimed water that is made available to a proposed project and/or limit its allowable uses on a project. This would limit the amount of project demand that can be offset by reclaimed water and would thereby require harvested water to be considered in applicable scenarios.</w:t>
      </w:r>
    </w:p>
    <w:p w:rsidR="00DA3704" w:rsidRDefault="00DA3704" w:rsidP="00DA3704">
      <w:pPr>
        <w:pStyle w:val="ListParagraph"/>
        <w:numPr>
          <w:ilvl w:val="0"/>
          <w:numId w:val="64"/>
        </w:numPr>
      </w:pPr>
      <w:r>
        <w:t>Finally, it is noted that the State Board has evaluated, in general, the potential negative environmental consequences of reclaimed water on groundwater quality as part of developing its policy on reclaimed water, and the State Board supports the use of reclaimed water for landscape irrigation.</w:t>
      </w:r>
    </w:p>
    <w:p w:rsidR="00A52ED1" w:rsidRDefault="00A52ED1" w:rsidP="00A52883">
      <w:pPr>
        <w:pStyle w:val="Heading2"/>
      </w:pPr>
      <w:bookmarkStart w:id="635" w:name="_Toc287709734"/>
      <w:bookmarkStart w:id="636" w:name="_Toc287791039"/>
      <w:bookmarkStart w:id="637" w:name="_Toc285308180"/>
      <w:bookmarkStart w:id="638" w:name="_Toc285315764"/>
      <w:bookmarkStart w:id="639" w:name="_Toc285492482"/>
      <w:bookmarkStart w:id="640" w:name="_Toc288541103"/>
      <w:bookmarkStart w:id="641" w:name="_Toc293937159"/>
      <w:bookmarkEnd w:id="635"/>
      <w:bookmarkEnd w:id="636"/>
      <w:r>
        <w:t>Planning Level Harvest and Use Feasibility Thresholds</w:t>
      </w:r>
      <w:bookmarkEnd w:id="637"/>
      <w:bookmarkEnd w:id="638"/>
      <w:bookmarkEnd w:id="639"/>
      <w:bookmarkEnd w:id="640"/>
      <w:bookmarkEnd w:id="641"/>
    </w:p>
    <w:p w:rsidR="00A52ED1" w:rsidRDefault="00A52ED1" w:rsidP="00A52ED1">
      <w:r>
        <w:t>This section describes the technical analysis and assumptions that were used to develop planning level feasibility thresholds for harvest and use systems. The intent of these thresholds is to identify projects with low potential for</w:t>
      </w:r>
      <w:r w:rsidR="00F65443">
        <w:t xml:space="preserve"> successful</w:t>
      </w:r>
      <w:r>
        <w:t xml:space="preserve"> harvest and use and provide a means for applicants to </w:t>
      </w:r>
      <w:r w:rsidR="00E35B49">
        <w:t xml:space="preserve">readily </w:t>
      </w:r>
      <w:r>
        <w:t>demonstrate infeasibility of harvest and use, where clearly infeasible, without</w:t>
      </w:r>
      <w:r w:rsidR="00E35B49">
        <w:t xml:space="preserve"> the need for</w:t>
      </w:r>
      <w:r>
        <w:t xml:space="preserve"> a detailed project specific analysis. </w:t>
      </w:r>
    </w:p>
    <w:p w:rsidR="00A52ED1" w:rsidRDefault="00A52ED1" w:rsidP="00A52883">
      <w:pPr>
        <w:pStyle w:val="Heading3"/>
      </w:pPr>
      <w:r>
        <w:t>Minimum Partial Capture Threshold</w:t>
      </w:r>
    </w:p>
    <w:p w:rsidR="00A52ED1" w:rsidRDefault="00A52ED1" w:rsidP="00A52ED1">
      <w:r>
        <w:t xml:space="preserve">If a harvest and use system is designed with storage volume equal to the </w:t>
      </w:r>
      <w:r w:rsidR="003C7091">
        <w:t>DCV</w:t>
      </w:r>
      <w:r w:rsidR="001504F4">
        <w:t xml:space="preserve"> from the tributary area</w:t>
      </w:r>
      <w:r>
        <w:t xml:space="preserve"> but still achieves less than 40</w:t>
      </w:r>
      <w:r w:rsidR="000501BB">
        <w:t xml:space="preserve"> percent capture, the system does </w:t>
      </w:r>
      <w:r>
        <w:t>not meet the minimum incremental benefit required to mandate its use (</w:t>
      </w:r>
      <w:r w:rsidRPr="00652664">
        <w:t xml:space="preserve">See discussion of </w:t>
      </w:r>
      <w:r>
        <w:t xml:space="preserve">threshold </w:t>
      </w:r>
      <w:r w:rsidRPr="00652664">
        <w:t xml:space="preserve">incremental benefit </w:t>
      </w:r>
      <w:r>
        <w:t xml:space="preserve">in </w:t>
      </w:r>
      <w:r w:rsidR="00126F3D" w:rsidRPr="00126DE5">
        <w:rPr>
          <w:rFonts w:cs="Arial"/>
          <w:b/>
          <w:color w:val="0070C0"/>
          <w:sz w:val="20"/>
          <w:szCs w:val="20"/>
          <w:highlight w:val="yellow"/>
        </w:rPr>
        <w:fldChar w:fldCharType="begin"/>
      </w:r>
      <w:r w:rsidR="00433D7E" w:rsidRPr="00126DE5">
        <w:rPr>
          <w:rFonts w:cs="Arial"/>
          <w:b/>
          <w:color w:val="0070C0"/>
          <w:sz w:val="20"/>
          <w:szCs w:val="20"/>
        </w:rPr>
        <w:instrText xml:space="preserve"> REF _Ref285280185 \r \h </w:instrText>
      </w:r>
      <w:r w:rsidR="00126F3D" w:rsidRPr="00126DE5">
        <w:rPr>
          <w:rFonts w:cs="Arial"/>
          <w:b/>
          <w:color w:val="0070C0"/>
          <w:sz w:val="20"/>
          <w:szCs w:val="20"/>
          <w:highlight w:val="yellow"/>
        </w:rPr>
      </w:r>
      <w:r w:rsidR="00126F3D" w:rsidRPr="00126DE5">
        <w:rPr>
          <w:rFonts w:cs="Arial"/>
          <w:b/>
          <w:color w:val="0070C0"/>
          <w:sz w:val="20"/>
          <w:szCs w:val="20"/>
          <w:highlight w:val="yellow"/>
        </w:rPr>
        <w:fldChar w:fldCharType="separate"/>
      </w:r>
      <w:r w:rsidR="00126DE5" w:rsidRPr="00126DE5">
        <w:rPr>
          <w:rFonts w:cs="Arial"/>
          <w:b/>
          <w:color w:val="0070C0"/>
          <w:sz w:val="20"/>
          <w:szCs w:val="20"/>
        </w:rPr>
        <w:t>Appendix XIII</w:t>
      </w:r>
      <w:r w:rsidR="00126F3D" w:rsidRPr="00126DE5">
        <w:rPr>
          <w:rFonts w:cs="Arial"/>
          <w:b/>
          <w:color w:val="0070C0"/>
          <w:sz w:val="20"/>
          <w:szCs w:val="20"/>
          <w:highlight w:val="yellow"/>
        </w:rPr>
        <w:fldChar w:fldCharType="end"/>
      </w:r>
      <w:r>
        <w:t>)</w:t>
      </w:r>
      <w:r w:rsidRPr="00652664">
        <w:t>.</w:t>
      </w:r>
      <w:r>
        <w:t xml:space="preserve">  This level of performance is termed the “minimum partial capture.” A harvest and use system would be considered to achieve less than “minimum partial capture” if:</w:t>
      </w:r>
    </w:p>
    <w:p w:rsidR="00A52ED1" w:rsidRDefault="00A52ED1" w:rsidP="009531AF">
      <w:pPr>
        <w:pStyle w:val="ListParagraph"/>
        <w:numPr>
          <w:ilvl w:val="0"/>
          <w:numId w:val="45"/>
        </w:numPr>
        <w:spacing w:line="264" w:lineRule="auto"/>
      </w:pPr>
      <w:r>
        <w:t>Based on a system sized for the full</w:t>
      </w:r>
      <w:r w:rsidR="003C7091">
        <w:t xml:space="preserve"> DCV</w:t>
      </w:r>
      <w:r>
        <w:t xml:space="preserve"> from the tributary area, and</w:t>
      </w:r>
    </w:p>
    <w:p w:rsidR="00A52ED1" w:rsidRDefault="00A52ED1" w:rsidP="009531AF">
      <w:pPr>
        <w:pStyle w:val="ListParagraph"/>
        <w:numPr>
          <w:ilvl w:val="0"/>
          <w:numId w:val="44"/>
        </w:numPr>
        <w:spacing w:line="264" w:lineRule="auto"/>
      </w:pPr>
      <w:r>
        <w:t xml:space="preserve">Based on the combined project demand for harvested water, </w:t>
      </w:r>
    </w:p>
    <w:p w:rsidR="00A52ED1" w:rsidRDefault="00A52ED1" w:rsidP="009531AF">
      <w:pPr>
        <w:pStyle w:val="ListParagraph"/>
        <w:numPr>
          <w:ilvl w:val="0"/>
          <w:numId w:val="44"/>
        </w:numPr>
        <w:spacing w:line="264" w:lineRule="auto"/>
      </w:pPr>
      <w:r>
        <w:t xml:space="preserve">The system draws down in greater than </w:t>
      </w:r>
      <w:r w:rsidR="00F65443">
        <w:t>3</w:t>
      </w:r>
      <w:r>
        <w:t>0 days (</w:t>
      </w:r>
      <w:r w:rsidR="00F65443">
        <w:t>720</w:t>
      </w:r>
      <w:r>
        <w:t xml:space="preserve"> hours), therefore captures less than 40 percent of average annual runoff (</w:t>
      </w:r>
      <w:r w:rsidRPr="00B40134">
        <w:t>See</w:t>
      </w:r>
      <w:r w:rsidR="00B40134">
        <w:t xml:space="preserve"> </w:t>
      </w:r>
      <w:r w:rsidR="00126F3D" w:rsidRPr="00126DE5">
        <w:rPr>
          <w:rFonts w:cs="Arial"/>
          <w:b/>
          <w:color w:val="0070C0"/>
          <w:sz w:val="20"/>
          <w:szCs w:val="20"/>
          <w:highlight w:val="yellow"/>
        </w:rPr>
        <w:fldChar w:fldCharType="begin"/>
      </w:r>
      <w:r w:rsidR="00B40134" w:rsidRPr="00126DE5">
        <w:rPr>
          <w:rFonts w:cs="Arial"/>
          <w:b/>
          <w:color w:val="0070C0"/>
          <w:sz w:val="20"/>
          <w:szCs w:val="20"/>
        </w:rPr>
        <w:instrText xml:space="preserve"> REF _Ref257795285 \h </w:instrText>
      </w:r>
      <w:r w:rsidR="00126F3D" w:rsidRPr="00126DE5">
        <w:rPr>
          <w:rFonts w:cs="Arial"/>
          <w:b/>
          <w:color w:val="0070C0"/>
          <w:sz w:val="20"/>
          <w:szCs w:val="20"/>
          <w:highlight w:val="yellow"/>
        </w:rPr>
      </w:r>
      <w:r w:rsidR="00126F3D" w:rsidRPr="00126DE5">
        <w:rPr>
          <w:rFonts w:cs="Arial"/>
          <w:b/>
          <w:color w:val="0070C0"/>
          <w:sz w:val="20"/>
          <w:szCs w:val="20"/>
          <w:highlight w:val="yellow"/>
        </w:rPr>
        <w:fldChar w:fldCharType="separate"/>
      </w:r>
      <w:r w:rsidR="00126DE5" w:rsidRPr="00126DE5">
        <w:rPr>
          <w:b/>
          <w:color w:val="0070C0"/>
        </w:rPr>
        <w:t>Figure </w:t>
      </w:r>
      <w:r w:rsidR="00126DE5" w:rsidRPr="00126DE5">
        <w:rPr>
          <w:b/>
          <w:noProof/>
          <w:color w:val="0070C0"/>
        </w:rPr>
        <w:t>III</w:t>
      </w:r>
      <w:r w:rsidR="00126DE5" w:rsidRPr="00126DE5">
        <w:rPr>
          <w:b/>
          <w:color w:val="0070C0"/>
        </w:rPr>
        <w:t>.</w:t>
      </w:r>
      <w:r w:rsidR="00126DE5" w:rsidRPr="00126DE5">
        <w:rPr>
          <w:b/>
          <w:noProof/>
          <w:color w:val="0070C0"/>
        </w:rPr>
        <w:t>2</w:t>
      </w:r>
      <w:r w:rsidR="00126F3D" w:rsidRPr="00126DE5">
        <w:rPr>
          <w:rFonts w:cs="Arial"/>
          <w:b/>
          <w:color w:val="0070C0"/>
          <w:sz w:val="20"/>
          <w:szCs w:val="20"/>
          <w:highlight w:val="yellow"/>
        </w:rPr>
        <w:fldChar w:fldCharType="end"/>
      </w:r>
      <w:r>
        <w:t>).</w:t>
      </w:r>
    </w:p>
    <w:p w:rsidR="00A52ED1" w:rsidRDefault="00A52ED1" w:rsidP="00A52ED1">
      <w:r w:rsidRPr="00652664">
        <w:t xml:space="preserve">Harvest and use systems with demand lower than </w:t>
      </w:r>
      <w:r>
        <w:t xml:space="preserve">required to achieve minimum partial capture are not </w:t>
      </w:r>
      <w:r w:rsidRPr="00652664">
        <w:t xml:space="preserve">required to be </w:t>
      </w:r>
      <w:r>
        <w:t>considered</w:t>
      </w:r>
      <w:r w:rsidRPr="00652664">
        <w:t xml:space="preserve"> </w:t>
      </w:r>
      <w:r>
        <w:t xml:space="preserve">to </w:t>
      </w:r>
      <w:r w:rsidRPr="00652664">
        <w:t>demonstrate rete</w:t>
      </w:r>
      <w:r>
        <w:t>ntion of stormwater to the MEP.</w:t>
      </w:r>
      <w:r w:rsidR="001504F4">
        <w:t xml:space="preserve">  If this is the case, other LID BMPs must be evaluated for retention and/or </w:t>
      </w:r>
      <w:r w:rsidR="00B84790">
        <w:t>bio</w:t>
      </w:r>
      <w:r w:rsidR="001504F4">
        <w:t xml:space="preserve">treatment of the Project </w:t>
      </w:r>
      <w:r w:rsidR="003C7091">
        <w:t>DCV</w:t>
      </w:r>
      <w:r w:rsidR="001504F4">
        <w:t xml:space="preserve">. </w:t>
      </w:r>
    </w:p>
    <w:p w:rsidR="00A52ED1" w:rsidRPr="002E1D95" w:rsidRDefault="00A52ED1" w:rsidP="00A52883">
      <w:pPr>
        <w:pStyle w:val="Heading3"/>
      </w:pPr>
      <w:r w:rsidRPr="002E1D95">
        <w:t>Demand Thresholds for Minimum Partial Capture</w:t>
      </w:r>
    </w:p>
    <w:p w:rsidR="00A52ED1" w:rsidRDefault="00126F3D" w:rsidP="00A52ED1">
      <w:r w:rsidRPr="00126DE5">
        <w:rPr>
          <w:rFonts w:cs="Arial"/>
          <w:b/>
          <w:color w:val="0070C0"/>
          <w:sz w:val="20"/>
          <w:szCs w:val="20"/>
        </w:rPr>
        <w:fldChar w:fldCharType="begin"/>
      </w:r>
      <w:r w:rsidR="00A52ED1" w:rsidRPr="00126DE5">
        <w:rPr>
          <w:rFonts w:cs="Arial"/>
          <w:b/>
          <w:color w:val="0070C0"/>
          <w:sz w:val="20"/>
          <w:szCs w:val="20"/>
        </w:rPr>
        <w:instrText xml:space="preserve"> REF _Ref285039196 \h </w:instrText>
      </w:r>
      <w:r w:rsidRPr="00126DE5">
        <w:rPr>
          <w:rFonts w:cs="Arial"/>
          <w:b/>
          <w:color w:val="0070C0"/>
          <w:sz w:val="20"/>
          <w:szCs w:val="20"/>
        </w:rPr>
      </w:r>
      <w:r w:rsidRPr="00126DE5">
        <w:rPr>
          <w:rFonts w:cs="Arial"/>
          <w:b/>
          <w:color w:val="0070C0"/>
          <w:sz w:val="20"/>
          <w:szCs w:val="20"/>
        </w:rPr>
        <w:fldChar w:fldCharType="separate"/>
      </w:r>
      <w:r w:rsidR="00126DE5" w:rsidRPr="00126DE5">
        <w:rPr>
          <w:b/>
          <w:color w:val="0070C0"/>
        </w:rPr>
        <w:t xml:space="preserve">Table </w:t>
      </w:r>
      <w:r w:rsidR="00126DE5" w:rsidRPr="00126DE5">
        <w:rPr>
          <w:rFonts w:cs="Arial"/>
          <w:b/>
          <w:noProof/>
          <w:color w:val="0070C0"/>
        </w:rPr>
        <w:t>X</w:t>
      </w:r>
      <w:r w:rsidR="00126DE5" w:rsidRPr="00126DE5">
        <w:rPr>
          <w:b/>
          <w:color w:val="0070C0"/>
        </w:rPr>
        <w:t>.</w:t>
      </w:r>
      <w:r w:rsidR="00126DE5" w:rsidRPr="00126DE5">
        <w:rPr>
          <w:rFonts w:cs="Arial"/>
          <w:b/>
          <w:noProof/>
          <w:color w:val="0070C0"/>
        </w:rPr>
        <w:t>6</w:t>
      </w:r>
      <w:r w:rsidRPr="00126DE5">
        <w:rPr>
          <w:rFonts w:cs="Arial"/>
          <w:b/>
          <w:color w:val="0070C0"/>
          <w:sz w:val="20"/>
          <w:szCs w:val="20"/>
        </w:rPr>
        <w:fldChar w:fldCharType="end"/>
      </w:r>
      <w:r w:rsidR="00A52ED1">
        <w:t xml:space="preserve"> provides the minimum combined project demand to meet the minimum partial capture for the range of precipitation zones found in Orange County.  Projects with a total demand below this value not required to prepare a project specific evaluation of harvest and use feasibility.</w:t>
      </w:r>
    </w:p>
    <w:tbl>
      <w:tblPr>
        <w:tblW w:w="9105" w:type="dxa"/>
        <w:tblInd w:w="93" w:type="dxa"/>
        <w:tblLook w:val="04A0"/>
      </w:tblPr>
      <w:tblGrid>
        <w:gridCol w:w="3340"/>
        <w:gridCol w:w="5765"/>
      </w:tblGrid>
      <w:tr w:rsidR="005411C8" w:rsidRPr="00217601" w:rsidTr="009E1CFF">
        <w:trPr>
          <w:trHeight w:val="340"/>
        </w:trPr>
        <w:tc>
          <w:tcPr>
            <w:tcW w:w="9105" w:type="dxa"/>
            <w:gridSpan w:val="2"/>
            <w:tcBorders>
              <w:bottom w:val="single" w:sz="4" w:space="0" w:color="auto"/>
            </w:tcBorders>
            <w:shd w:val="clear" w:color="auto" w:fill="auto"/>
            <w:vAlign w:val="bottom"/>
            <w:hideMark/>
          </w:tcPr>
          <w:p w:rsidR="005411C8" w:rsidRPr="00524D76" w:rsidRDefault="005411C8" w:rsidP="00647B99">
            <w:pPr>
              <w:pStyle w:val="Caption"/>
            </w:pPr>
            <w:bookmarkStart w:id="642" w:name="_Ref285039196"/>
            <w:bookmarkStart w:id="643" w:name="_Toc288554391"/>
            <w:r w:rsidRPr="00524D76">
              <w:t xml:space="preserve">Table </w:t>
            </w:r>
            <w:r w:rsidR="00126F3D" w:rsidRPr="00524D76">
              <w:rPr>
                <w:rFonts w:cs="Arial"/>
              </w:rPr>
              <w:fldChar w:fldCharType="begin"/>
            </w:r>
            <w:r w:rsidR="00F83E79" w:rsidRPr="00524D76">
              <w:rPr>
                <w:rFonts w:cs="Arial"/>
              </w:rPr>
              <w:instrText xml:space="preserve"> STYLEREF 1 \s </w:instrText>
            </w:r>
            <w:r w:rsidR="00126F3D" w:rsidRPr="00524D76">
              <w:rPr>
                <w:rFonts w:cs="Arial"/>
              </w:rPr>
              <w:fldChar w:fldCharType="separate"/>
            </w:r>
            <w:r w:rsidR="00126DE5" w:rsidRPr="00524D76">
              <w:rPr>
                <w:rFonts w:cs="Arial"/>
                <w:noProof/>
              </w:rPr>
              <w:t>X</w:t>
            </w:r>
            <w:r w:rsidR="00126F3D" w:rsidRPr="00524D76">
              <w:rPr>
                <w:rFonts w:cs="Arial"/>
              </w:rPr>
              <w:fldChar w:fldCharType="end"/>
            </w:r>
            <w:r w:rsidR="000B5480" w:rsidRPr="00524D76">
              <w:t>.</w:t>
            </w:r>
            <w:r w:rsidR="00126F3D" w:rsidRPr="00524D76">
              <w:rPr>
                <w:rFonts w:cs="Arial"/>
              </w:rPr>
              <w:fldChar w:fldCharType="begin"/>
            </w:r>
            <w:r w:rsidR="00F83E79" w:rsidRPr="00524D76">
              <w:rPr>
                <w:rFonts w:cs="Arial"/>
              </w:rPr>
              <w:instrText xml:space="preserve"> SEQ Table \* ARABIC \s 1 </w:instrText>
            </w:r>
            <w:r w:rsidR="00126F3D" w:rsidRPr="00524D76">
              <w:rPr>
                <w:rFonts w:cs="Arial"/>
              </w:rPr>
              <w:fldChar w:fldCharType="separate"/>
            </w:r>
            <w:r w:rsidR="00126DE5" w:rsidRPr="00524D76">
              <w:rPr>
                <w:rFonts w:cs="Arial"/>
                <w:noProof/>
              </w:rPr>
              <w:t>6</w:t>
            </w:r>
            <w:r w:rsidR="00126F3D" w:rsidRPr="00524D76">
              <w:rPr>
                <w:rFonts w:cs="Arial"/>
              </w:rPr>
              <w:fldChar w:fldCharType="end"/>
            </w:r>
            <w:bookmarkEnd w:id="642"/>
            <w:r w:rsidRPr="00524D76">
              <w:t>: Harvested Water Demand Thresholds for Minimum Partial Capture</w:t>
            </w:r>
            <w:bookmarkEnd w:id="643"/>
            <w:r w:rsidRPr="00524D76">
              <w:t xml:space="preserve"> </w:t>
            </w:r>
          </w:p>
        </w:tc>
      </w:tr>
      <w:tr w:rsidR="00A52ED1" w:rsidRPr="00217601" w:rsidTr="009E1CFF">
        <w:trPr>
          <w:trHeight w:val="664"/>
        </w:trPr>
        <w:tc>
          <w:tcPr>
            <w:tcW w:w="3340" w:type="dxa"/>
            <w:tcBorders>
              <w:top w:val="single" w:sz="4" w:space="0" w:color="auto"/>
              <w:left w:val="single" w:sz="8" w:space="0" w:color="auto"/>
              <w:bottom w:val="single" w:sz="8" w:space="0" w:color="auto"/>
              <w:right w:val="single" w:sz="8" w:space="0" w:color="auto"/>
            </w:tcBorders>
            <w:shd w:val="clear" w:color="auto" w:fill="D9D9D9" w:themeFill="background1" w:themeFillShade="D9"/>
            <w:vAlign w:val="bottom"/>
            <w:hideMark/>
          </w:tcPr>
          <w:p w:rsidR="00A52ED1" w:rsidRPr="005411C8" w:rsidRDefault="00A52ED1" w:rsidP="00FE704C">
            <w:pPr>
              <w:keepNext/>
              <w:spacing w:after="0" w:line="240" w:lineRule="auto"/>
              <w:rPr>
                <w:rFonts w:ascii="Arial" w:eastAsia="Times New Roman" w:hAnsi="Arial" w:cs="Arial"/>
                <w:b/>
                <w:bCs/>
                <w:color w:val="000000"/>
                <w:szCs w:val="24"/>
              </w:rPr>
            </w:pPr>
            <w:r w:rsidRPr="005411C8">
              <w:rPr>
                <w:rFonts w:ascii="Arial" w:eastAsia="Times New Roman" w:hAnsi="Arial" w:cs="Arial"/>
                <w:b/>
                <w:bCs/>
                <w:color w:val="000000"/>
              </w:rPr>
              <w:t>Design Capture Storm Depth</w:t>
            </w:r>
            <w:r w:rsidRPr="005411C8">
              <w:rPr>
                <w:rFonts w:ascii="Arial" w:eastAsia="Times New Roman" w:hAnsi="Arial" w:cs="Arial"/>
                <w:b/>
                <w:bCs/>
                <w:color w:val="000000"/>
                <w:vertAlign w:val="superscript"/>
              </w:rPr>
              <w:t>1</w:t>
            </w:r>
            <w:r w:rsidRPr="005411C8">
              <w:rPr>
                <w:rFonts w:ascii="Arial" w:eastAsia="Times New Roman" w:hAnsi="Arial" w:cs="Arial"/>
                <w:b/>
                <w:bCs/>
                <w:color w:val="000000"/>
              </w:rPr>
              <w:t>, inches</w:t>
            </w:r>
          </w:p>
        </w:tc>
        <w:tc>
          <w:tcPr>
            <w:tcW w:w="5765" w:type="dxa"/>
            <w:tcBorders>
              <w:top w:val="single" w:sz="4" w:space="0" w:color="auto"/>
              <w:left w:val="nil"/>
              <w:bottom w:val="single" w:sz="8" w:space="0" w:color="auto"/>
              <w:right w:val="single" w:sz="8" w:space="0" w:color="auto"/>
            </w:tcBorders>
            <w:shd w:val="clear" w:color="auto" w:fill="D9D9D9" w:themeFill="background1" w:themeFillShade="D9"/>
            <w:vAlign w:val="bottom"/>
            <w:hideMark/>
          </w:tcPr>
          <w:p w:rsidR="00A52ED1" w:rsidRPr="005411C8" w:rsidRDefault="00A52ED1" w:rsidP="00FE704C">
            <w:pPr>
              <w:keepNext/>
              <w:spacing w:after="0" w:line="240" w:lineRule="auto"/>
              <w:jc w:val="center"/>
              <w:rPr>
                <w:rFonts w:ascii="Arial" w:eastAsia="Times New Roman" w:hAnsi="Arial" w:cs="Arial"/>
                <w:b/>
                <w:bCs/>
                <w:color w:val="000000"/>
                <w:szCs w:val="24"/>
              </w:rPr>
            </w:pPr>
            <w:r w:rsidRPr="005411C8">
              <w:rPr>
                <w:rFonts w:ascii="Arial" w:eastAsia="Times New Roman" w:hAnsi="Arial" w:cs="Arial"/>
                <w:b/>
                <w:bCs/>
                <w:color w:val="000000"/>
              </w:rPr>
              <w:t>Wet Season Demand Required for Minimum Partial Capture</w:t>
            </w:r>
            <w:r w:rsidRPr="005411C8">
              <w:rPr>
                <w:rFonts w:ascii="Arial" w:eastAsia="Times New Roman" w:hAnsi="Arial" w:cs="Arial"/>
                <w:b/>
                <w:bCs/>
                <w:color w:val="000000"/>
                <w:vertAlign w:val="superscript"/>
              </w:rPr>
              <w:t>2</w:t>
            </w:r>
            <w:r w:rsidRPr="005411C8">
              <w:rPr>
                <w:rFonts w:ascii="Arial" w:eastAsia="Times New Roman" w:hAnsi="Arial" w:cs="Arial"/>
                <w:b/>
                <w:bCs/>
                <w:color w:val="000000"/>
              </w:rPr>
              <w:t>, gpd per impervious acre</w:t>
            </w:r>
          </w:p>
        </w:tc>
      </w:tr>
      <w:tr w:rsidR="000501BB" w:rsidRPr="00217601" w:rsidTr="00FE704C">
        <w:trPr>
          <w:trHeight w:val="330"/>
        </w:trPr>
        <w:tc>
          <w:tcPr>
            <w:tcW w:w="3340" w:type="dxa"/>
            <w:tcBorders>
              <w:top w:val="nil"/>
              <w:left w:val="single" w:sz="8" w:space="0" w:color="auto"/>
              <w:bottom w:val="single" w:sz="8" w:space="0" w:color="auto"/>
              <w:right w:val="single" w:sz="8" w:space="0" w:color="auto"/>
            </w:tcBorders>
            <w:shd w:val="clear" w:color="auto" w:fill="auto"/>
            <w:vAlign w:val="center"/>
            <w:hideMark/>
          </w:tcPr>
          <w:p w:rsidR="000501BB" w:rsidRPr="005411C8" w:rsidRDefault="000501BB" w:rsidP="00FE704C">
            <w:pPr>
              <w:keepNext/>
              <w:spacing w:after="0" w:line="240" w:lineRule="auto"/>
              <w:jc w:val="center"/>
              <w:rPr>
                <w:rFonts w:ascii="Arial" w:eastAsia="Times New Roman" w:hAnsi="Arial" w:cs="Arial"/>
                <w:b/>
                <w:bCs/>
                <w:color w:val="000000"/>
                <w:szCs w:val="24"/>
              </w:rPr>
            </w:pPr>
            <w:r w:rsidRPr="005411C8">
              <w:rPr>
                <w:rFonts w:ascii="Arial" w:eastAsia="Times New Roman" w:hAnsi="Arial" w:cs="Arial"/>
                <w:b/>
                <w:bCs/>
                <w:color w:val="000000"/>
              </w:rPr>
              <w:t>0.60</w:t>
            </w:r>
          </w:p>
        </w:tc>
        <w:tc>
          <w:tcPr>
            <w:tcW w:w="5765" w:type="dxa"/>
            <w:tcBorders>
              <w:top w:val="nil"/>
              <w:left w:val="nil"/>
              <w:bottom w:val="single" w:sz="8" w:space="0" w:color="auto"/>
              <w:right w:val="single" w:sz="8" w:space="0" w:color="auto"/>
            </w:tcBorders>
            <w:shd w:val="clear" w:color="auto" w:fill="auto"/>
            <w:noWrap/>
            <w:vAlign w:val="center"/>
            <w:hideMark/>
          </w:tcPr>
          <w:p w:rsidR="000501BB" w:rsidRDefault="000501BB" w:rsidP="000501BB">
            <w:pPr>
              <w:keepNext/>
              <w:spacing w:after="0"/>
              <w:jc w:val="center"/>
              <w:rPr>
                <w:color w:val="000000"/>
                <w:sz w:val="24"/>
                <w:szCs w:val="24"/>
              </w:rPr>
            </w:pPr>
            <w:r>
              <w:rPr>
                <w:color w:val="000000"/>
              </w:rPr>
              <w:t>490</w:t>
            </w:r>
          </w:p>
        </w:tc>
      </w:tr>
      <w:tr w:rsidR="000501BB" w:rsidRPr="00217601" w:rsidTr="00FE704C">
        <w:trPr>
          <w:trHeight w:val="330"/>
        </w:trPr>
        <w:tc>
          <w:tcPr>
            <w:tcW w:w="3340" w:type="dxa"/>
            <w:tcBorders>
              <w:top w:val="nil"/>
              <w:left w:val="single" w:sz="8" w:space="0" w:color="auto"/>
              <w:bottom w:val="single" w:sz="8" w:space="0" w:color="auto"/>
              <w:right w:val="single" w:sz="8" w:space="0" w:color="auto"/>
            </w:tcBorders>
            <w:shd w:val="clear" w:color="auto" w:fill="auto"/>
            <w:vAlign w:val="center"/>
            <w:hideMark/>
          </w:tcPr>
          <w:p w:rsidR="000501BB" w:rsidRPr="005411C8" w:rsidRDefault="000501BB" w:rsidP="00FE704C">
            <w:pPr>
              <w:keepNext/>
              <w:spacing w:after="0" w:line="240" w:lineRule="auto"/>
              <w:jc w:val="center"/>
              <w:rPr>
                <w:rFonts w:ascii="Arial" w:eastAsia="Times New Roman" w:hAnsi="Arial" w:cs="Arial"/>
                <w:b/>
                <w:bCs/>
                <w:color w:val="000000"/>
                <w:szCs w:val="24"/>
              </w:rPr>
            </w:pPr>
            <w:r w:rsidRPr="005411C8">
              <w:rPr>
                <w:rFonts w:ascii="Arial" w:eastAsia="Times New Roman" w:hAnsi="Arial" w:cs="Arial"/>
                <w:b/>
                <w:bCs/>
                <w:color w:val="000000"/>
              </w:rPr>
              <w:t>0.65</w:t>
            </w:r>
          </w:p>
        </w:tc>
        <w:tc>
          <w:tcPr>
            <w:tcW w:w="5765" w:type="dxa"/>
            <w:tcBorders>
              <w:top w:val="nil"/>
              <w:left w:val="nil"/>
              <w:bottom w:val="single" w:sz="8" w:space="0" w:color="auto"/>
              <w:right w:val="single" w:sz="8" w:space="0" w:color="auto"/>
            </w:tcBorders>
            <w:shd w:val="clear" w:color="auto" w:fill="auto"/>
            <w:noWrap/>
            <w:vAlign w:val="center"/>
            <w:hideMark/>
          </w:tcPr>
          <w:p w:rsidR="000501BB" w:rsidRDefault="000501BB" w:rsidP="000501BB">
            <w:pPr>
              <w:keepNext/>
              <w:spacing w:after="0"/>
              <w:jc w:val="center"/>
              <w:rPr>
                <w:color w:val="000000"/>
                <w:sz w:val="24"/>
                <w:szCs w:val="24"/>
              </w:rPr>
            </w:pPr>
            <w:r>
              <w:rPr>
                <w:color w:val="000000"/>
              </w:rPr>
              <w:t>530</w:t>
            </w:r>
          </w:p>
        </w:tc>
      </w:tr>
      <w:tr w:rsidR="000501BB" w:rsidRPr="00217601" w:rsidTr="00FE704C">
        <w:trPr>
          <w:trHeight w:val="330"/>
        </w:trPr>
        <w:tc>
          <w:tcPr>
            <w:tcW w:w="3340" w:type="dxa"/>
            <w:tcBorders>
              <w:top w:val="nil"/>
              <w:left w:val="single" w:sz="8" w:space="0" w:color="auto"/>
              <w:bottom w:val="single" w:sz="8" w:space="0" w:color="auto"/>
              <w:right w:val="single" w:sz="8" w:space="0" w:color="auto"/>
            </w:tcBorders>
            <w:shd w:val="clear" w:color="auto" w:fill="auto"/>
            <w:vAlign w:val="center"/>
            <w:hideMark/>
          </w:tcPr>
          <w:p w:rsidR="000501BB" w:rsidRPr="005411C8" w:rsidRDefault="000501BB" w:rsidP="00FE704C">
            <w:pPr>
              <w:keepNext/>
              <w:spacing w:after="0" w:line="240" w:lineRule="auto"/>
              <w:jc w:val="center"/>
              <w:rPr>
                <w:rFonts w:ascii="Arial" w:eastAsia="Times New Roman" w:hAnsi="Arial" w:cs="Arial"/>
                <w:b/>
                <w:bCs/>
                <w:color w:val="000000"/>
                <w:szCs w:val="24"/>
              </w:rPr>
            </w:pPr>
            <w:r w:rsidRPr="005411C8">
              <w:rPr>
                <w:rFonts w:ascii="Arial" w:eastAsia="Times New Roman" w:hAnsi="Arial" w:cs="Arial"/>
                <w:b/>
                <w:bCs/>
                <w:color w:val="000000"/>
              </w:rPr>
              <w:t>0.70</w:t>
            </w:r>
          </w:p>
        </w:tc>
        <w:tc>
          <w:tcPr>
            <w:tcW w:w="5765" w:type="dxa"/>
            <w:tcBorders>
              <w:top w:val="nil"/>
              <w:left w:val="nil"/>
              <w:bottom w:val="single" w:sz="8" w:space="0" w:color="auto"/>
              <w:right w:val="single" w:sz="8" w:space="0" w:color="auto"/>
            </w:tcBorders>
            <w:shd w:val="clear" w:color="auto" w:fill="auto"/>
            <w:noWrap/>
            <w:vAlign w:val="center"/>
            <w:hideMark/>
          </w:tcPr>
          <w:p w:rsidR="000501BB" w:rsidRDefault="000501BB" w:rsidP="000501BB">
            <w:pPr>
              <w:keepNext/>
              <w:spacing w:after="0"/>
              <w:jc w:val="center"/>
              <w:rPr>
                <w:color w:val="000000"/>
                <w:sz w:val="24"/>
                <w:szCs w:val="24"/>
              </w:rPr>
            </w:pPr>
            <w:r>
              <w:rPr>
                <w:color w:val="000000"/>
              </w:rPr>
              <w:t>570</w:t>
            </w:r>
          </w:p>
        </w:tc>
      </w:tr>
      <w:tr w:rsidR="000501BB" w:rsidRPr="00217601" w:rsidTr="00FE704C">
        <w:trPr>
          <w:trHeight w:val="330"/>
        </w:trPr>
        <w:tc>
          <w:tcPr>
            <w:tcW w:w="3340" w:type="dxa"/>
            <w:tcBorders>
              <w:top w:val="nil"/>
              <w:left w:val="single" w:sz="8" w:space="0" w:color="auto"/>
              <w:bottom w:val="single" w:sz="8" w:space="0" w:color="auto"/>
              <w:right w:val="single" w:sz="8" w:space="0" w:color="auto"/>
            </w:tcBorders>
            <w:shd w:val="clear" w:color="auto" w:fill="auto"/>
            <w:vAlign w:val="center"/>
            <w:hideMark/>
          </w:tcPr>
          <w:p w:rsidR="000501BB" w:rsidRPr="005411C8" w:rsidRDefault="000501BB" w:rsidP="00FE704C">
            <w:pPr>
              <w:keepNext/>
              <w:spacing w:after="0" w:line="240" w:lineRule="auto"/>
              <w:jc w:val="center"/>
              <w:rPr>
                <w:rFonts w:ascii="Arial" w:eastAsia="Times New Roman" w:hAnsi="Arial" w:cs="Arial"/>
                <w:b/>
                <w:bCs/>
                <w:color w:val="000000"/>
                <w:szCs w:val="24"/>
              </w:rPr>
            </w:pPr>
            <w:r w:rsidRPr="005411C8">
              <w:rPr>
                <w:rFonts w:ascii="Arial" w:eastAsia="Times New Roman" w:hAnsi="Arial" w:cs="Arial"/>
                <w:b/>
                <w:bCs/>
                <w:color w:val="000000"/>
              </w:rPr>
              <w:t>0.75</w:t>
            </w:r>
          </w:p>
        </w:tc>
        <w:tc>
          <w:tcPr>
            <w:tcW w:w="5765" w:type="dxa"/>
            <w:tcBorders>
              <w:top w:val="nil"/>
              <w:left w:val="nil"/>
              <w:bottom w:val="single" w:sz="8" w:space="0" w:color="auto"/>
              <w:right w:val="single" w:sz="8" w:space="0" w:color="auto"/>
            </w:tcBorders>
            <w:shd w:val="clear" w:color="auto" w:fill="auto"/>
            <w:noWrap/>
            <w:vAlign w:val="center"/>
            <w:hideMark/>
          </w:tcPr>
          <w:p w:rsidR="000501BB" w:rsidRDefault="000501BB" w:rsidP="000501BB">
            <w:pPr>
              <w:keepNext/>
              <w:spacing w:after="0"/>
              <w:jc w:val="center"/>
              <w:rPr>
                <w:color w:val="000000"/>
                <w:sz w:val="24"/>
                <w:szCs w:val="24"/>
              </w:rPr>
            </w:pPr>
            <w:r>
              <w:rPr>
                <w:color w:val="000000"/>
              </w:rPr>
              <w:t>610</w:t>
            </w:r>
          </w:p>
        </w:tc>
      </w:tr>
      <w:tr w:rsidR="000501BB" w:rsidRPr="00217601" w:rsidTr="00FE704C">
        <w:trPr>
          <w:trHeight w:val="330"/>
        </w:trPr>
        <w:tc>
          <w:tcPr>
            <w:tcW w:w="3340" w:type="dxa"/>
            <w:tcBorders>
              <w:top w:val="nil"/>
              <w:left w:val="single" w:sz="8" w:space="0" w:color="auto"/>
              <w:bottom w:val="single" w:sz="8" w:space="0" w:color="auto"/>
              <w:right w:val="single" w:sz="8" w:space="0" w:color="auto"/>
            </w:tcBorders>
            <w:shd w:val="clear" w:color="auto" w:fill="auto"/>
            <w:vAlign w:val="center"/>
            <w:hideMark/>
          </w:tcPr>
          <w:p w:rsidR="000501BB" w:rsidRPr="005411C8" w:rsidRDefault="000501BB" w:rsidP="00FE704C">
            <w:pPr>
              <w:keepNext/>
              <w:spacing w:after="0" w:line="240" w:lineRule="auto"/>
              <w:jc w:val="center"/>
              <w:rPr>
                <w:rFonts w:ascii="Arial" w:eastAsia="Times New Roman" w:hAnsi="Arial" w:cs="Arial"/>
                <w:b/>
                <w:bCs/>
                <w:color w:val="000000"/>
                <w:szCs w:val="24"/>
              </w:rPr>
            </w:pPr>
            <w:r w:rsidRPr="005411C8">
              <w:rPr>
                <w:rFonts w:ascii="Arial" w:eastAsia="Times New Roman" w:hAnsi="Arial" w:cs="Arial"/>
                <w:b/>
                <w:bCs/>
                <w:color w:val="000000"/>
              </w:rPr>
              <w:t>0.80</w:t>
            </w:r>
          </w:p>
        </w:tc>
        <w:tc>
          <w:tcPr>
            <w:tcW w:w="5765" w:type="dxa"/>
            <w:tcBorders>
              <w:top w:val="nil"/>
              <w:left w:val="nil"/>
              <w:bottom w:val="single" w:sz="8" w:space="0" w:color="auto"/>
              <w:right w:val="single" w:sz="8" w:space="0" w:color="auto"/>
            </w:tcBorders>
            <w:shd w:val="clear" w:color="auto" w:fill="auto"/>
            <w:noWrap/>
            <w:vAlign w:val="center"/>
            <w:hideMark/>
          </w:tcPr>
          <w:p w:rsidR="000501BB" w:rsidRDefault="000501BB" w:rsidP="000501BB">
            <w:pPr>
              <w:keepNext/>
              <w:spacing w:after="0"/>
              <w:jc w:val="center"/>
              <w:rPr>
                <w:color w:val="000000"/>
                <w:sz w:val="24"/>
                <w:szCs w:val="24"/>
              </w:rPr>
            </w:pPr>
            <w:r>
              <w:rPr>
                <w:color w:val="000000"/>
              </w:rPr>
              <w:t>650</w:t>
            </w:r>
          </w:p>
        </w:tc>
      </w:tr>
      <w:tr w:rsidR="000501BB" w:rsidRPr="00217601" w:rsidTr="00FE704C">
        <w:trPr>
          <w:trHeight w:val="330"/>
        </w:trPr>
        <w:tc>
          <w:tcPr>
            <w:tcW w:w="3340" w:type="dxa"/>
            <w:tcBorders>
              <w:top w:val="nil"/>
              <w:left w:val="single" w:sz="8" w:space="0" w:color="auto"/>
              <w:bottom w:val="single" w:sz="8" w:space="0" w:color="auto"/>
              <w:right w:val="single" w:sz="8" w:space="0" w:color="auto"/>
            </w:tcBorders>
            <w:shd w:val="clear" w:color="auto" w:fill="auto"/>
            <w:vAlign w:val="center"/>
            <w:hideMark/>
          </w:tcPr>
          <w:p w:rsidR="000501BB" w:rsidRPr="005411C8" w:rsidRDefault="000501BB" w:rsidP="00FE704C">
            <w:pPr>
              <w:keepNext/>
              <w:spacing w:after="0" w:line="240" w:lineRule="auto"/>
              <w:jc w:val="center"/>
              <w:rPr>
                <w:rFonts w:ascii="Arial" w:eastAsia="Times New Roman" w:hAnsi="Arial" w:cs="Arial"/>
                <w:b/>
                <w:bCs/>
                <w:color w:val="000000"/>
                <w:szCs w:val="24"/>
              </w:rPr>
            </w:pPr>
            <w:r w:rsidRPr="005411C8">
              <w:rPr>
                <w:rFonts w:ascii="Arial" w:eastAsia="Times New Roman" w:hAnsi="Arial" w:cs="Arial"/>
                <w:b/>
                <w:bCs/>
                <w:color w:val="000000"/>
                <w:szCs w:val="24"/>
              </w:rPr>
              <w:t>0.85</w:t>
            </w:r>
          </w:p>
        </w:tc>
        <w:tc>
          <w:tcPr>
            <w:tcW w:w="5765" w:type="dxa"/>
            <w:tcBorders>
              <w:top w:val="nil"/>
              <w:left w:val="nil"/>
              <w:bottom w:val="single" w:sz="8" w:space="0" w:color="auto"/>
              <w:right w:val="single" w:sz="8" w:space="0" w:color="auto"/>
            </w:tcBorders>
            <w:shd w:val="clear" w:color="auto" w:fill="auto"/>
            <w:noWrap/>
            <w:vAlign w:val="center"/>
            <w:hideMark/>
          </w:tcPr>
          <w:p w:rsidR="000501BB" w:rsidRDefault="000501BB" w:rsidP="000501BB">
            <w:pPr>
              <w:keepNext/>
              <w:spacing w:after="0"/>
              <w:jc w:val="center"/>
              <w:rPr>
                <w:color w:val="000000"/>
                <w:sz w:val="24"/>
                <w:szCs w:val="24"/>
              </w:rPr>
            </w:pPr>
            <w:r>
              <w:rPr>
                <w:color w:val="000000"/>
              </w:rPr>
              <w:t>690</w:t>
            </w:r>
          </w:p>
        </w:tc>
      </w:tr>
      <w:tr w:rsidR="000501BB" w:rsidRPr="00217601" w:rsidTr="00FE704C">
        <w:trPr>
          <w:trHeight w:val="330"/>
        </w:trPr>
        <w:tc>
          <w:tcPr>
            <w:tcW w:w="3340" w:type="dxa"/>
            <w:tcBorders>
              <w:top w:val="nil"/>
              <w:left w:val="single" w:sz="8" w:space="0" w:color="auto"/>
              <w:bottom w:val="single" w:sz="8" w:space="0" w:color="auto"/>
              <w:right w:val="single" w:sz="8" w:space="0" w:color="auto"/>
            </w:tcBorders>
            <w:shd w:val="clear" w:color="auto" w:fill="auto"/>
            <w:vAlign w:val="center"/>
            <w:hideMark/>
          </w:tcPr>
          <w:p w:rsidR="000501BB" w:rsidRPr="005411C8" w:rsidRDefault="000501BB" w:rsidP="00FE704C">
            <w:pPr>
              <w:keepNext/>
              <w:spacing w:after="0" w:line="240" w:lineRule="auto"/>
              <w:jc w:val="center"/>
              <w:rPr>
                <w:rFonts w:ascii="Arial" w:eastAsia="Times New Roman" w:hAnsi="Arial" w:cs="Arial"/>
                <w:b/>
                <w:bCs/>
                <w:color w:val="000000"/>
                <w:szCs w:val="24"/>
              </w:rPr>
            </w:pPr>
            <w:r w:rsidRPr="005411C8">
              <w:rPr>
                <w:rFonts w:ascii="Arial" w:eastAsia="Times New Roman" w:hAnsi="Arial" w:cs="Arial"/>
                <w:b/>
                <w:bCs/>
                <w:color w:val="000000"/>
                <w:szCs w:val="24"/>
              </w:rPr>
              <w:t>0.90</w:t>
            </w:r>
          </w:p>
        </w:tc>
        <w:tc>
          <w:tcPr>
            <w:tcW w:w="5765" w:type="dxa"/>
            <w:tcBorders>
              <w:top w:val="nil"/>
              <w:left w:val="nil"/>
              <w:bottom w:val="single" w:sz="8" w:space="0" w:color="auto"/>
              <w:right w:val="single" w:sz="8" w:space="0" w:color="auto"/>
            </w:tcBorders>
            <w:shd w:val="clear" w:color="auto" w:fill="auto"/>
            <w:noWrap/>
            <w:vAlign w:val="center"/>
            <w:hideMark/>
          </w:tcPr>
          <w:p w:rsidR="000501BB" w:rsidRDefault="000501BB" w:rsidP="000501BB">
            <w:pPr>
              <w:keepNext/>
              <w:spacing w:after="0"/>
              <w:jc w:val="center"/>
              <w:rPr>
                <w:color w:val="000000"/>
                <w:sz w:val="24"/>
                <w:szCs w:val="24"/>
              </w:rPr>
            </w:pPr>
            <w:r>
              <w:rPr>
                <w:color w:val="000000"/>
              </w:rPr>
              <w:t>730</w:t>
            </w:r>
          </w:p>
        </w:tc>
      </w:tr>
      <w:tr w:rsidR="000501BB" w:rsidRPr="00217601" w:rsidTr="00FE704C">
        <w:trPr>
          <w:trHeight w:val="330"/>
        </w:trPr>
        <w:tc>
          <w:tcPr>
            <w:tcW w:w="3340" w:type="dxa"/>
            <w:tcBorders>
              <w:top w:val="nil"/>
              <w:left w:val="single" w:sz="8" w:space="0" w:color="auto"/>
              <w:bottom w:val="single" w:sz="8" w:space="0" w:color="auto"/>
              <w:right w:val="single" w:sz="8" w:space="0" w:color="auto"/>
            </w:tcBorders>
            <w:shd w:val="clear" w:color="auto" w:fill="auto"/>
            <w:vAlign w:val="center"/>
            <w:hideMark/>
          </w:tcPr>
          <w:p w:rsidR="000501BB" w:rsidRPr="005411C8" w:rsidRDefault="000501BB" w:rsidP="00FE704C">
            <w:pPr>
              <w:keepNext/>
              <w:spacing w:after="0" w:line="240" w:lineRule="auto"/>
              <w:jc w:val="center"/>
              <w:rPr>
                <w:rFonts w:ascii="Arial" w:eastAsia="Times New Roman" w:hAnsi="Arial" w:cs="Arial"/>
                <w:b/>
                <w:bCs/>
                <w:color w:val="000000"/>
                <w:szCs w:val="24"/>
              </w:rPr>
            </w:pPr>
            <w:r w:rsidRPr="005411C8">
              <w:rPr>
                <w:rFonts w:ascii="Arial" w:eastAsia="Times New Roman" w:hAnsi="Arial" w:cs="Arial"/>
                <w:b/>
                <w:bCs/>
                <w:color w:val="000000"/>
                <w:szCs w:val="24"/>
              </w:rPr>
              <w:t>0.95</w:t>
            </w:r>
          </w:p>
        </w:tc>
        <w:tc>
          <w:tcPr>
            <w:tcW w:w="5765" w:type="dxa"/>
            <w:tcBorders>
              <w:top w:val="nil"/>
              <w:left w:val="nil"/>
              <w:bottom w:val="single" w:sz="8" w:space="0" w:color="auto"/>
              <w:right w:val="single" w:sz="8" w:space="0" w:color="auto"/>
            </w:tcBorders>
            <w:shd w:val="clear" w:color="auto" w:fill="auto"/>
            <w:noWrap/>
            <w:vAlign w:val="center"/>
            <w:hideMark/>
          </w:tcPr>
          <w:p w:rsidR="000501BB" w:rsidRDefault="000501BB" w:rsidP="000501BB">
            <w:pPr>
              <w:keepNext/>
              <w:spacing w:after="0"/>
              <w:jc w:val="center"/>
              <w:rPr>
                <w:color w:val="000000"/>
                <w:sz w:val="24"/>
                <w:szCs w:val="24"/>
              </w:rPr>
            </w:pPr>
            <w:r>
              <w:rPr>
                <w:color w:val="000000"/>
              </w:rPr>
              <w:t>770</w:t>
            </w:r>
          </w:p>
        </w:tc>
      </w:tr>
      <w:tr w:rsidR="000501BB" w:rsidRPr="00217601" w:rsidTr="00FE704C">
        <w:trPr>
          <w:trHeight w:val="330"/>
        </w:trPr>
        <w:tc>
          <w:tcPr>
            <w:tcW w:w="3340" w:type="dxa"/>
            <w:tcBorders>
              <w:top w:val="nil"/>
              <w:left w:val="single" w:sz="8" w:space="0" w:color="auto"/>
              <w:bottom w:val="single" w:sz="8" w:space="0" w:color="auto"/>
              <w:right w:val="single" w:sz="8" w:space="0" w:color="auto"/>
            </w:tcBorders>
            <w:shd w:val="clear" w:color="auto" w:fill="auto"/>
            <w:vAlign w:val="center"/>
            <w:hideMark/>
          </w:tcPr>
          <w:p w:rsidR="000501BB" w:rsidRPr="005411C8" w:rsidRDefault="000501BB" w:rsidP="00FE704C">
            <w:pPr>
              <w:spacing w:after="0" w:line="240" w:lineRule="auto"/>
              <w:jc w:val="center"/>
              <w:rPr>
                <w:rFonts w:ascii="Arial" w:eastAsia="Times New Roman" w:hAnsi="Arial" w:cs="Arial"/>
                <w:b/>
                <w:bCs/>
                <w:color w:val="000000"/>
                <w:szCs w:val="24"/>
              </w:rPr>
            </w:pPr>
            <w:r w:rsidRPr="005411C8">
              <w:rPr>
                <w:rFonts w:ascii="Arial" w:eastAsia="Times New Roman" w:hAnsi="Arial" w:cs="Arial"/>
                <w:b/>
                <w:bCs/>
                <w:color w:val="000000"/>
                <w:szCs w:val="24"/>
              </w:rPr>
              <w:t>1.00</w:t>
            </w:r>
          </w:p>
        </w:tc>
        <w:tc>
          <w:tcPr>
            <w:tcW w:w="5765" w:type="dxa"/>
            <w:tcBorders>
              <w:top w:val="nil"/>
              <w:left w:val="nil"/>
              <w:bottom w:val="single" w:sz="8" w:space="0" w:color="auto"/>
              <w:right w:val="single" w:sz="8" w:space="0" w:color="auto"/>
            </w:tcBorders>
            <w:shd w:val="clear" w:color="auto" w:fill="auto"/>
            <w:noWrap/>
            <w:vAlign w:val="center"/>
            <w:hideMark/>
          </w:tcPr>
          <w:p w:rsidR="000501BB" w:rsidRDefault="000501BB" w:rsidP="000501BB">
            <w:pPr>
              <w:keepNext/>
              <w:spacing w:after="0"/>
              <w:jc w:val="center"/>
              <w:rPr>
                <w:color w:val="000000"/>
                <w:sz w:val="24"/>
                <w:szCs w:val="24"/>
              </w:rPr>
            </w:pPr>
            <w:r>
              <w:rPr>
                <w:color w:val="000000"/>
              </w:rPr>
              <w:t>810</w:t>
            </w:r>
          </w:p>
        </w:tc>
      </w:tr>
    </w:tbl>
    <w:p w:rsidR="00A52ED1" w:rsidRPr="001C09B9" w:rsidRDefault="00A52ED1" w:rsidP="00A52ED1">
      <w:pPr>
        <w:spacing w:after="0"/>
        <w:rPr>
          <w:sz w:val="20"/>
        </w:rPr>
      </w:pPr>
      <w:r w:rsidRPr="001C09B9">
        <w:rPr>
          <w:sz w:val="20"/>
        </w:rPr>
        <w:t>1 - Based on isopluvial map (</w:t>
      </w:r>
      <w:r w:rsidR="00C26BC5">
        <w:rPr>
          <w:sz w:val="20"/>
        </w:rPr>
        <w:t xml:space="preserve">See </w:t>
      </w:r>
      <w:r w:rsidR="00126F3D" w:rsidRPr="00126DE5">
        <w:rPr>
          <w:rFonts w:cs="Arial"/>
          <w:b/>
          <w:color w:val="0070C0"/>
          <w:sz w:val="20"/>
          <w:szCs w:val="20"/>
          <w:highlight w:val="yellow"/>
        </w:rPr>
        <w:fldChar w:fldCharType="begin"/>
      </w:r>
      <w:r w:rsidR="00C26BC5" w:rsidRPr="00126DE5">
        <w:rPr>
          <w:rFonts w:cs="Arial"/>
          <w:b/>
          <w:color w:val="0070C0"/>
          <w:sz w:val="20"/>
          <w:szCs w:val="20"/>
        </w:rPr>
        <w:instrText xml:space="preserve"> REF _Ref285378878 \r \h </w:instrText>
      </w:r>
      <w:r w:rsidR="00126F3D" w:rsidRPr="00126DE5">
        <w:rPr>
          <w:rFonts w:cs="Arial"/>
          <w:b/>
          <w:color w:val="0070C0"/>
          <w:sz w:val="20"/>
          <w:szCs w:val="20"/>
          <w:highlight w:val="yellow"/>
        </w:rPr>
      </w:r>
      <w:r w:rsidR="00126F3D" w:rsidRPr="00126DE5">
        <w:rPr>
          <w:rFonts w:cs="Arial"/>
          <w:b/>
          <w:color w:val="0070C0"/>
          <w:sz w:val="20"/>
          <w:szCs w:val="20"/>
          <w:highlight w:val="yellow"/>
        </w:rPr>
        <w:fldChar w:fldCharType="separate"/>
      </w:r>
      <w:r w:rsidR="00126DE5" w:rsidRPr="00126DE5">
        <w:rPr>
          <w:rFonts w:cs="Arial"/>
          <w:b/>
          <w:color w:val="0070C0"/>
          <w:sz w:val="20"/>
          <w:szCs w:val="20"/>
        </w:rPr>
        <w:t>XVI.1</w:t>
      </w:r>
      <w:r w:rsidR="00126F3D" w:rsidRPr="00126DE5">
        <w:rPr>
          <w:rFonts w:cs="Arial"/>
          <w:b/>
          <w:color w:val="0070C0"/>
          <w:sz w:val="20"/>
          <w:szCs w:val="20"/>
          <w:highlight w:val="yellow"/>
        </w:rPr>
        <w:fldChar w:fldCharType="end"/>
      </w:r>
      <w:r w:rsidRPr="001C09B9">
        <w:rPr>
          <w:sz w:val="20"/>
        </w:rPr>
        <w:t xml:space="preserve">) </w:t>
      </w:r>
    </w:p>
    <w:p w:rsidR="00A52ED1" w:rsidRPr="001C09B9" w:rsidRDefault="00A52ED1" w:rsidP="00A52ED1">
      <w:pPr>
        <w:rPr>
          <w:sz w:val="20"/>
        </w:rPr>
      </w:pPr>
      <w:r w:rsidRPr="001C09B9">
        <w:rPr>
          <w:sz w:val="20"/>
        </w:rPr>
        <w:t>2 –</w:t>
      </w:r>
      <w:r>
        <w:rPr>
          <w:sz w:val="20"/>
        </w:rPr>
        <w:t xml:space="preserve">Minimum </w:t>
      </w:r>
      <w:r w:rsidRPr="001C09B9">
        <w:rPr>
          <w:sz w:val="20"/>
        </w:rPr>
        <w:t xml:space="preserve">Partial Capture is </w:t>
      </w:r>
      <w:r w:rsidR="00E35B49">
        <w:rPr>
          <w:sz w:val="20"/>
        </w:rPr>
        <w:t>a performance standard whereby</w:t>
      </w:r>
      <w:r w:rsidRPr="001C09B9">
        <w:rPr>
          <w:sz w:val="20"/>
        </w:rPr>
        <w:t xml:space="preserve"> system performance </w:t>
      </w:r>
      <w:r w:rsidR="006D28B3" w:rsidRPr="001C09B9">
        <w:rPr>
          <w:sz w:val="20"/>
        </w:rPr>
        <w:t>exceed</w:t>
      </w:r>
      <w:r w:rsidR="006D28B3">
        <w:rPr>
          <w:sz w:val="20"/>
        </w:rPr>
        <w:t>s</w:t>
      </w:r>
      <w:r w:rsidR="006D28B3" w:rsidRPr="001C09B9">
        <w:rPr>
          <w:sz w:val="20"/>
        </w:rPr>
        <w:t xml:space="preserve"> </w:t>
      </w:r>
      <w:r w:rsidR="00B84790">
        <w:rPr>
          <w:sz w:val="20"/>
        </w:rPr>
        <w:t xml:space="preserve">40 percent capture (See </w:t>
      </w:r>
      <w:r w:rsidR="00524D76" w:rsidRPr="00524D76">
        <w:rPr>
          <w:b/>
          <w:sz w:val="20"/>
        </w:rPr>
        <w:t>Appendix</w:t>
      </w:r>
      <w:r w:rsidR="00B84790">
        <w:rPr>
          <w:sz w:val="20"/>
        </w:rPr>
        <w:t xml:space="preserve"> XIII</w:t>
      </w:r>
      <w:proofErr w:type="gramStart"/>
      <w:r w:rsidR="00B84790">
        <w:rPr>
          <w:sz w:val="20"/>
        </w:rPr>
        <w:t xml:space="preserve">) </w:t>
      </w:r>
      <w:r w:rsidRPr="001C09B9">
        <w:rPr>
          <w:sz w:val="20"/>
        </w:rPr>
        <w:t>,</w:t>
      </w:r>
      <w:proofErr w:type="gramEnd"/>
      <w:r w:rsidRPr="001C09B9">
        <w:rPr>
          <w:sz w:val="20"/>
        </w:rPr>
        <w:t xml:space="preserve"> such that the system must be considered for use even if it cannot achieve the full </w:t>
      </w:r>
      <w:r w:rsidR="003C7091">
        <w:rPr>
          <w:sz w:val="20"/>
        </w:rPr>
        <w:t>DCV</w:t>
      </w:r>
      <w:r w:rsidRPr="001C09B9">
        <w:rPr>
          <w:sz w:val="20"/>
        </w:rPr>
        <w:t>.</w:t>
      </w:r>
    </w:p>
    <w:p w:rsidR="00A52ED1" w:rsidRDefault="00A52ED1" w:rsidP="00A52883">
      <w:pPr>
        <w:pStyle w:val="Heading3"/>
      </w:pPr>
      <w:r>
        <w:t xml:space="preserve">TUTIA </w:t>
      </w:r>
      <w:r w:rsidR="00E35B49">
        <w:t xml:space="preserve">Ratio </w:t>
      </w:r>
      <w:r>
        <w:t>Thresholds for Minimum Partial Capture</w:t>
      </w:r>
    </w:p>
    <w:p w:rsidR="00A52ED1" w:rsidRPr="00E50714" w:rsidRDefault="00126F3D" w:rsidP="00A52ED1">
      <w:r w:rsidRPr="00126DE5">
        <w:rPr>
          <w:rFonts w:cs="Arial"/>
          <w:b/>
          <w:color w:val="0070C0"/>
          <w:sz w:val="20"/>
          <w:szCs w:val="20"/>
        </w:rPr>
        <w:fldChar w:fldCharType="begin"/>
      </w:r>
      <w:r w:rsidR="00A52ED1" w:rsidRPr="00126DE5">
        <w:rPr>
          <w:rFonts w:cs="Arial"/>
          <w:b/>
          <w:color w:val="0070C0"/>
          <w:sz w:val="20"/>
          <w:szCs w:val="20"/>
        </w:rPr>
        <w:instrText xml:space="preserve"> REF _Ref285041522 \h </w:instrText>
      </w:r>
      <w:r w:rsidRPr="00126DE5">
        <w:rPr>
          <w:rFonts w:cs="Arial"/>
          <w:b/>
          <w:color w:val="0070C0"/>
          <w:sz w:val="20"/>
          <w:szCs w:val="20"/>
        </w:rPr>
      </w:r>
      <w:r w:rsidRPr="00126DE5">
        <w:rPr>
          <w:rFonts w:cs="Arial"/>
          <w:b/>
          <w:color w:val="0070C0"/>
          <w:sz w:val="20"/>
          <w:szCs w:val="20"/>
        </w:rPr>
        <w:fldChar w:fldCharType="separate"/>
      </w:r>
      <w:r w:rsidR="00126DE5" w:rsidRPr="00126DE5">
        <w:rPr>
          <w:b/>
          <w:color w:val="0070C0"/>
        </w:rPr>
        <w:t xml:space="preserve">Table </w:t>
      </w:r>
      <w:r w:rsidR="00126DE5" w:rsidRPr="00126DE5">
        <w:rPr>
          <w:rFonts w:cs="Arial"/>
          <w:b/>
          <w:noProof/>
          <w:color w:val="0070C0"/>
        </w:rPr>
        <w:t>X</w:t>
      </w:r>
      <w:r w:rsidR="00126DE5" w:rsidRPr="00126DE5">
        <w:rPr>
          <w:b/>
          <w:color w:val="0070C0"/>
        </w:rPr>
        <w:t>.</w:t>
      </w:r>
      <w:r w:rsidR="00126DE5" w:rsidRPr="00126DE5">
        <w:rPr>
          <w:rFonts w:cs="Arial"/>
          <w:b/>
          <w:noProof/>
          <w:color w:val="0070C0"/>
        </w:rPr>
        <w:t>7</w:t>
      </w:r>
      <w:r w:rsidRPr="00126DE5">
        <w:rPr>
          <w:rFonts w:cs="Arial"/>
          <w:b/>
          <w:color w:val="0070C0"/>
          <w:sz w:val="20"/>
          <w:szCs w:val="20"/>
        </w:rPr>
        <w:fldChar w:fldCharType="end"/>
      </w:r>
      <w:r w:rsidR="00A52ED1">
        <w:t xml:space="preserve"> provides thresholds for TUTIA</w:t>
      </w:r>
      <w:r w:rsidR="00F65443">
        <w:t xml:space="preserve"> (Toilet Users </w:t>
      </w:r>
      <w:r w:rsidR="00E92699">
        <w:t>t</w:t>
      </w:r>
      <w:r w:rsidR="00F65443">
        <w:t>o Impervious Area)</w:t>
      </w:r>
      <w:r w:rsidR="00A52ED1">
        <w:t xml:space="preserve"> </w:t>
      </w:r>
      <w:r w:rsidR="00E35B49">
        <w:t xml:space="preserve">ratio </w:t>
      </w:r>
      <w:r w:rsidR="00A52ED1">
        <w:t>required to achieve minimum partial capture of the sto</w:t>
      </w:r>
      <w:r w:rsidR="000501BB">
        <w:t xml:space="preserve">rmwater </w:t>
      </w:r>
      <w:r w:rsidR="003C7091">
        <w:t>DCV</w:t>
      </w:r>
      <w:r w:rsidR="006D28B3">
        <w:t xml:space="preserve"> (i.e. </w:t>
      </w:r>
      <w:r w:rsidR="006D28B3" w:rsidRPr="00F65443">
        <w:rPr>
          <w:rStyle w:val="CDMBTEXTChar"/>
          <w:rFonts w:eastAsiaTheme="minorHAnsi"/>
        </w:rPr>
        <w:t xml:space="preserve">at least 40 percent average annual capture efficiency with a system sized for the </w:t>
      </w:r>
      <w:r w:rsidR="003C7091">
        <w:rPr>
          <w:rStyle w:val="CDMBTEXTChar"/>
          <w:rFonts w:eastAsiaTheme="minorHAnsi"/>
        </w:rPr>
        <w:t>DCV</w:t>
      </w:r>
      <w:r w:rsidR="006D28B3">
        <w:rPr>
          <w:rStyle w:val="CDMBTEXTChar"/>
          <w:rFonts w:eastAsiaTheme="minorHAnsi"/>
        </w:rPr>
        <w:t>)</w:t>
      </w:r>
      <w:r w:rsidR="000501BB">
        <w:t xml:space="preserve">. </w:t>
      </w:r>
      <w:r w:rsidR="00A52ED1">
        <w:t xml:space="preserve">Projects with TUTIA </w:t>
      </w:r>
      <w:r w:rsidR="00E35B49">
        <w:t xml:space="preserve">ratios </w:t>
      </w:r>
      <w:r w:rsidR="00A52ED1">
        <w:t xml:space="preserve">below this value and without other </w:t>
      </w:r>
      <w:r w:rsidR="00B84790">
        <w:t>significant demands for harvested water</w:t>
      </w:r>
      <w:r w:rsidR="00A52ED1">
        <w:t xml:space="preserve"> are not required to prepare a project specific evaluation of harvest and use feasibility.</w:t>
      </w:r>
      <w:r w:rsidR="00F65443">
        <w:t xml:space="preserve">  The values in </w:t>
      </w:r>
      <w:r w:rsidRPr="00126DE5">
        <w:rPr>
          <w:rFonts w:cs="Arial"/>
          <w:b/>
          <w:color w:val="0070C0"/>
          <w:sz w:val="20"/>
          <w:szCs w:val="20"/>
        </w:rPr>
        <w:fldChar w:fldCharType="begin"/>
      </w:r>
      <w:r w:rsidR="00F65443" w:rsidRPr="00126DE5">
        <w:rPr>
          <w:rFonts w:cs="Arial"/>
          <w:b/>
          <w:color w:val="0070C0"/>
          <w:sz w:val="20"/>
          <w:szCs w:val="20"/>
        </w:rPr>
        <w:instrText xml:space="preserve"> REF _Ref285041522 \h </w:instrText>
      </w:r>
      <w:r w:rsidRPr="00126DE5">
        <w:rPr>
          <w:rFonts w:cs="Arial"/>
          <w:b/>
          <w:color w:val="0070C0"/>
          <w:sz w:val="20"/>
          <w:szCs w:val="20"/>
        </w:rPr>
      </w:r>
      <w:r w:rsidRPr="00126DE5">
        <w:rPr>
          <w:rFonts w:cs="Arial"/>
          <w:b/>
          <w:color w:val="0070C0"/>
          <w:sz w:val="20"/>
          <w:szCs w:val="20"/>
        </w:rPr>
        <w:fldChar w:fldCharType="separate"/>
      </w:r>
      <w:r w:rsidR="00126DE5" w:rsidRPr="00126DE5">
        <w:rPr>
          <w:b/>
          <w:color w:val="0070C0"/>
        </w:rPr>
        <w:t xml:space="preserve">Table </w:t>
      </w:r>
      <w:r w:rsidR="00126DE5" w:rsidRPr="00126DE5">
        <w:rPr>
          <w:rFonts w:cs="Arial"/>
          <w:b/>
          <w:noProof/>
          <w:color w:val="0070C0"/>
        </w:rPr>
        <w:t>X</w:t>
      </w:r>
      <w:r w:rsidR="00126DE5" w:rsidRPr="00126DE5">
        <w:rPr>
          <w:b/>
          <w:color w:val="0070C0"/>
        </w:rPr>
        <w:t>.</w:t>
      </w:r>
      <w:r w:rsidR="00126DE5" w:rsidRPr="00126DE5">
        <w:rPr>
          <w:rFonts w:cs="Arial"/>
          <w:b/>
          <w:noProof/>
          <w:color w:val="0070C0"/>
        </w:rPr>
        <w:t>7</w:t>
      </w:r>
      <w:r w:rsidRPr="00126DE5">
        <w:rPr>
          <w:rFonts w:cs="Arial"/>
          <w:b/>
          <w:color w:val="0070C0"/>
          <w:sz w:val="20"/>
          <w:szCs w:val="20"/>
        </w:rPr>
        <w:fldChar w:fldCharType="end"/>
      </w:r>
      <w:r w:rsidR="00F65443">
        <w:rPr>
          <w:rFonts w:ascii="Arial" w:hAnsi="Arial" w:cs="Arial"/>
          <w:b/>
          <w:color w:val="0070C0"/>
        </w:rPr>
        <w:t xml:space="preserve"> </w:t>
      </w:r>
      <w:r w:rsidR="00F65443" w:rsidRPr="00F65443">
        <w:rPr>
          <w:rStyle w:val="CDMBTEXTChar"/>
          <w:rFonts w:eastAsiaTheme="minorHAnsi"/>
        </w:rPr>
        <w:t xml:space="preserve">reflect the minimum TUTIA </w:t>
      </w:r>
      <w:r w:rsidR="00E35B49">
        <w:rPr>
          <w:rStyle w:val="CDMBTEXTChar"/>
          <w:rFonts w:eastAsiaTheme="minorHAnsi"/>
        </w:rPr>
        <w:t xml:space="preserve">ratio </w:t>
      </w:r>
      <w:r w:rsidR="00F65443" w:rsidRPr="00F65443">
        <w:rPr>
          <w:rStyle w:val="CDMBTEXTChar"/>
          <w:rFonts w:eastAsiaTheme="minorHAnsi"/>
        </w:rPr>
        <w:t xml:space="preserve">required to achieve at least 40 percent average annual capture efficiency with a system sized for the </w:t>
      </w:r>
      <w:r w:rsidR="003C7091">
        <w:rPr>
          <w:rStyle w:val="CDMBTEXTChar"/>
          <w:rFonts w:eastAsiaTheme="minorHAnsi"/>
        </w:rPr>
        <w:t>DCV</w:t>
      </w:r>
      <w:r w:rsidR="00F65443" w:rsidRPr="00F65443">
        <w:rPr>
          <w:rStyle w:val="CDMBTEXTChar"/>
          <w:rFonts w:eastAsiaTheme="minorHAnsi"/>
        </w:rPr>
        <w:t>.</w:t>
      </w:r>
    </w:p>
    <w:tbl>
      <w:tblPr>
        <w:tblW w:w="9147" w:type="dxa"/>
        <w:tblInd w:w="93" w:type="dxa"/>
        <w:tblLook w:val="04A0"/>
      </w:tblPr>
      <w:tblGrid>
        <w:gridCol w:w="3255"/>
        <w:gridCol w:w="1440"/>
        <w:gridCol w:w="1572"/>
        <w:gridCol w:w="1440"/>
        <w:gridCol w:w="1440"/>
      </w:tblGrid>
      <w:tr w:rsidR="005411C8" w:rsidRPr="00E50714" w:rsidTr="009E1CFF">
        <w:trPr>
          <w:trHeight w:val="300"/>
        </w:trPr>
        <w:tc>
          <w:tcPr>
            <w:tcW w:w="9147" w:type="dxa"/>
            <w:gridSpan w:val="5"/>
            <w:tcBorders>
              <w:bottom w:val="single" w:sz="4" w:space="0" w:color="auto"/>
            </w:tcBorders>
            <w:shd w:val="clear" w:color="auto" w:fill="auto"/>
            <w:vAlign w:val="center"/>
            <w:hideMark/>
          </w:tcPr>
          <w:p w:rsidR="005411C8" w:rsidRPr="00524D76" w:rsidRDefault="005411C8" w:rsidP="00647B99">
            <w:pPr>
              <w:pStyle w:val="Caption"/>
            </w:pPr>
            <w:bookmarkStart w:id="644" w:name="_Ref285041522"/>
            <w:bookmarkStart w:id="645" w:name="_Toc288554392"/>
            <w:r w:rsidRPr="00524D76">
              <w:t xml:space="preserve">Table </w:t>
            </w:r>
            <w:r w:rsidR="00126F3D" w:rsidRPr="00524D76">
              <w:rPr>
                <w:rFonts w:cs="Arial"/>
              </w:rPr>
              <w:fldChar w:fldCharType="begin"/>
            </w:r>
            <w:r w:rsidR="00F83E79" w:rsidRPr="00524D76">
              <w:rPr>
                <w:rFonts w:cs="Arial"/>
              </w:rPr>
              <w:instrText xml:space="preserve"> STYLEREF 1 \s </w:instrText>
            </w:r>
            <w:r w:rsidR="00126F3D" w:rsidRPr="00524D76">
              <w:rPr>
                <w:rFonts w:cs="Arial"/>
              </w:rPr>
              <w:fldChar w:fldCharType="separate"/>
            </w:r>
            <w:r w:rsidR="00126DE5" w:rsidRPr="00524D76">
              <w:rPr>
                <w:rFonts w:cs="Arial"/>
                <w:noProof/>
              </w:rPr>
              <w:t>X</w:t>
            </w:r>
            <w:r w:rsidR="00126F3D" w:rsidRPr="00524D76">
              <w:rPr>
                <w:rFonts w:cs="Arial"/>
              </w:rPr>
              <w:fldChar w:fldCharType="end"/>
            </w:r>
            <w:r w:rsidR="000B5480" w:rsidRPr="00524D76">
              <w:t>.</w:t>
            </w:r>
            <w:r w:rsidR="00126F3D" w:rsidRPr="00524D76">
              <w:rPr>
                <w:rFonts w:cs="Arial"/>
              </w:rPr>
              <w:fldChar w:fldCharType="begin"/>
            </w:r>
            <w:r w:rsidR="00F83E79" w:rsidRPr="00524D76">
              <w:rPr>
                <w:rFonts w:cs="Arial"/>
              </w:rPr>
              <w:instrText xml:space="preserve"> SEQ Table \* ARABIC \s 1 </w:instrText>
            </w:r>
            <w:r w:rsidR="00126F3D" w:rsidRPr="00524D76">
              <w:rPr>
                <w:rFonts w:cs="Arial"/>
              </w:rPr>
              <w:fldChar w:fldCharType="separate"/>
            </w:r>
            <w:r w:rsidR="00126DE5" w:rsidRPr="00524D76">
              <w:rPr>
                <w:rFonts w:cs="Arial"/>
                <w:noProof/>
              </w:rPr>
              <w:t>7</w:t>
            </w:r>
            <w:r w:rsidR="00126F3D" w:rsidRPr="00524D76">
              <w:rPr>
                <w:rFonts w:cs="Arial"/>
              </w:rPr>
              <w:fldChar w:fldCharType="end"/>
            </w:r>
            <w:bookmarkEnd w:id="644"/>
            <w:r w:rsidRPr="00524D76">
              <w:t xml:space="preserve">: Minimum TUTIA for </w:t>
            </w:r>
            <w:r w:rsidR="009E1CFF" w:rsidRPr="00524D76">
              <w:t>Mi</w:t>
            </w:r>
            <w:r w:rsidR="005B7E16" w:rsidRPr="00524D76">
              <w:t>nimum Partial Capture</w:t>
            </w:r>
            <w:bookmarkEnd w:id="645"/>
          </w:p>
        </w:tc>
      </w:tr>
      <w:tr w:rsidR="00A52ED1" w:rsidRPr="00E50714" w:rsidTr="009E1CFF">
        <w:trPr>
          <w:trHeight w:val="300"/>
        </w:trPr>
        <w:tc>
          <w:tcPr>
            <w:tcW w:w="3255" w:type="dxa"/>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A52ED1" w:rsidRPr="00E50714" w:rsidRDefault="00A52ED1" w:rsidP="00FE704C">
            <w:pPr>
              <w:keepNext/>
              <w:spacing w:after="0" w:line="240" w:lineRule="auto"/>
              <w:jc w:val="right"/>
              <w:rPr>
                <w:rFonts w:eastAsia="Times New Roman" w:cs="Times New Roman"/>
                <w:b/>
                <w:bCs/>
                <w:color w:val="000000"/>
                <w:sz w:val="20"/>
                <w:szCs w:val="20"/>
              </w:rPr>
            </w:pPr>
            <w:r w:rsidRPr="00E50714">
              <w:rPr>
                <w:rFonts w:eastAsia="Times New Roman" w:cs="Times New Roman"/>
                <w:b/>
                <w:bCs/>
                <w:color w:val="000000"/>
                <w:sz w:val="20"/>
                <w:szCs w:val="20"/>
              </w:rPr>
              <w:t>Project Type</w:t>
            </w:r>
          </w:p>
        </w:tc>
        <w:tc>
          <w:tcPr>
            <w:tcW w:w="1440" w:type="dxa"/>
            <w:tcBorders>
              <w:top w:val="single" w:sz="4" w:space="0" w:color="auto"/>
              <w:left w:val="nil"/>
              <w:bottom w:val="single" w:sz="4" w:space="0" w:color="auto"/>
              <w:right w:val="single" w:sz="4" w:space="0" w:color="000000"/>
            </w:tcBorders>
            <w:shd w:val="clear" w:color="auto" w:fill="FFFFFF" w:themeFill="background1"/>
            <w:vAlign w:val="center"/>
            <w:hideMark/>
          </w:tcPr>
          <w:p w:rsidR="00A52ED1" w:rsidRPr="00E50714" w:rsidRDefault="00A52ED1" w:rsidP="00FE704C">
            <w:pPr>
              <w:keepNext/>
              <w:spacing w:after="0" w:line="240" w:lineRule="auto"/>
              <w:jc w:val="center"/>
              <w:rPr>
                <w:rFonts w:eastAsia="Times New Roman" w:cs="Times New Roman"/>
                <w:b/>
                <w:bCs/>
                <w:color w:val="000000"/>
                <w:sz w:val="20"/>
                <w:szCs w:val="20"/>
              </w:rPr>
            </w:pPr>
            <w:r w:rsidRPr="00E50714">
              <w:rPr>
                <w:rFonts w:eastAsia="Times New Roman" w:cs="Times New Roman"/>
                <w:b/>
                <w:bCs/>
                <w:color w:val="000000"/>
                <w:sz w:val="20"/>
              </w:rPr>
              <w:t>Residential</w:t>
            </w:r>
          </w:p>
        </w:tc>
        <w:tc>
          <w:tcPr>
            <w:tcW w:w="1572" w:type="dxa"/>
            <w:tcBorders>
              <w:top w:val="single" w:sz="4" w:space="0" w:color="auto"/>
              <w:left w:val="nil"/>
              <w:bottom w:val="single" w:sz="4" w:space="0" w:color="auto"/>
              <w:right w:val="single" w:sz="4" w:space="0" w:color="000000"/>
            </w:tcBorders>
            <w:shd w:val="clear" w:color="auto" w:fill="FFFFFF" w:themeFill="background1"/>
            <w:vAlign w:val="center"/>
          </w:tcPr>
          <w:p w:rsidR="00A52ED1" w:rsidRPr="00E50714" w:rsidRDefault="00A52ED1" w:rsidP="00FE704C">
            <w:pPr>
              <w:keepNext/>
              <w:spacing w:after="0" w:line="240" w:lineRule="auto"/>
              <w:jc w:val="center"/>
              <w:rPr>
                <w:rFonts w:eastAsia="Times New Roman" w:cs="Times New Roman"/>
                <w:b/>
                <w:bCs/>
                <w:color w:val="000000"/>
                <w:sz w:val="20"/>
                <w:szCs w:val="20"/>
              </w:rPr>
            </w:pPr>
            <w:r>
              <w:rPr>
                <w:rFonts w:eastAsia="Times New Roman" w:cs="Times New Roman"/>
                <w:b/>
                <w:bCs/>
                <w:color w:val="000000"/>
                <w:sz w:val="20"/>
              </w:rPr>
              <w:t>Retail and Office Commercial</w:t>
            </w:r>
          </w:p>
        </w:tc>
        <w:tc>
          <w:tcPr>
            <w:tcW w:w="1440" w:type="dxa"/>
            <w:tcBorders>
              <w:top w:val="single" w:sz="4" w:space="0" w:color="auto"/>
              <w:left w:val="nil"/>
              <w:bottom w:val="single" w:sz="4" w:space="0" w:color="auto"/>
              <w:right w:val="single" w:sz="4" w:space="0" w:color="000000"/>
            </w:tcBorders>
            <w:shd w:val="clear" w:color="auto" w:fill="FFFFFF" w:themeFill="background1"/>
            <w:vAlign w:val="center"/>
          </w:tcPr>
          <w:p w:rsidR="00A52ED1" w:rsidRPr="00E50714" w:rsidRDefault="00A52ED1" w:rsidP="00FE704C">
            <w:pPr>
              <w:keepNext/>
              <w:spacing w:after="0" w:line="240" w:lineRule="auto"/>
              <w:jc w:val="center"/>
              <w:rPr>
                <w:rFonts w:eastAsia="Times New Roman" w:cs="Times New Roman"/>
                <w:b/>
                <w:bCs/>
                <w:color w:val="000000"/>
                <w:sz w:val="20"/>
                <w:szCs w:val="20"/>
              </w:rPr>
            </w:pPr>
            <w:r w:rsidRPr="00E50714">
              <w:rPr>
                <w:rFonts w:eastAsia="Times New Roman" w:cs="Times New Roman"/>
                <w:b/>
                <w:bCs/>
                <w:color w:val="000000"/>
                <w:sz w:val="20"/>
              </w:rPr>
              <w:t>Industrial</w:t>
            </w:r>
          </w:p>
        </w:tc>
        <w:tc>
          <w:tcPr>
            <w:tcW w:w="1440" w:type="dxa"/>
            <w:tcBorders>
              <w:top w:val="single" w:sz="4" w:space="0" w:color="auto"/>
              <w:left w:val="nil"/>
              <w:bottom w:val="single" w:sz="4" w:space="0" w:color="auto"/>
              <w:right w:val="single" w:sz="4" w:space="0" w:color="000000"/>
            </w:tcBorders>
            <w:shd w:val="clear" w:color="auto" w:fill="FFFFFF" w:themeFill="background1"/>
            <w:vAlign w:val="center"/>
          </w:tcPr>
          <w:p w:rsidR="00A52ED1" w:rsidRPr="00E50714" w:rsidRDefault="00A52ED1" w:rsidP="00BD0237">
            <w:pPr>
              <w:keepNext/>
              <w:spacing w:after="0" w:line="240" w:lineRule="auto"/>
              <w:jc w:val="center"/>
              <w:rPr>
                <w:rFonts w:eastAsia="Times New Roman" w:cs="Times New Roman"/>
                <w:b/>
                <w:bCs/>
                <w:color w:val="000000"/>
                <w:sz w:val="20"/>
                <w:szCs w:val="20"/>
              </w:rPr>
            </w:pPr>
            <w:r w:rsidRPr="00E50714">
              <w:rPr>
                <w:rFonts w:eastAsia="Times New Roman" w:cs="Times New Roman"/>
                <w:b/>
                <w:bCs/>
                <w:color w:val="000000"/>
                <w:sz w:val="20"/>
              </w:rPr>
              <w:t>Schools</w:t>
            </w:r>
            <w:r w:rsidR="00BD0237">
              <w:rPr>
                <w:rFonts w:eastAsia="Times New Roman" w:cs="Times New Roman"/>
                <w:b/>
                <w:bCs/>
                <w:color w:val="000000"/>
                <w:sz w:val="20"/>
                <w:szCs w:val="20"/>
                <w:vertAlign w:val="superscript"/>
              </w:rPr>
              <w:t>1</w:t>
            </w:r>
          </w:p>
        </w:tc>
      </w:tr>
      <w:tr w:rsidR="00A52ED1" w:rsidRPr="00E50714" w:rsidTr="005411C8">
        <w:trPr>
          <w:trHeight w:val="525"/>
        </w:trPr>
        <w:tc>
          <w:tcPr>
            <w:tcW w:w="3255" w:type="dxa"/>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A52ED1" w:rsidRPr="00E50714" w:rsidRDefault="00A52ED1" w:rsidP="00FE704C">
            <w:pPr>
              <w:keepNext/>
              <w:spacing w:after="0" w:line="240" w:lineRule="auto"/>
              <w:jc w:val="right"/>
              <w:rPr>
                <w:rFonts w:eastAsia="Times New Roman" w:cs="Times New Roman"/>
                <w:bCs/>
                <w:i/>
                <w:color w:val="000000"/>
                <w:sz w:val="20"/>
                <w:szCs w:val="20"/>
              </w:rPr>
            </w:pPr>
            <w:r w:rsidRPr="00E50714">
              <w:rPr>
                <w:rFonts w:eastAsia="Times New Roman" w:cs="Times New Roman"/>
                <w:bCs/>
                <w:i/>
                <w:color w:val="000000"/>
                <w:sz w:val="20"/>
                <w:szCs w:val="20"/>
              </w:rPr>
              <w:t>Basis of Toilet User Calculation</w:t>
            </w:r>
          </w:p>
        </w:tc>
        <w:tc>
          <w:tcPr>
            <w:tcW w:w="1440" w:type="dxa"/>
            <w:tcBorders>
              <w:top w:val="nil"/>
              <w:left w:val="nil"/>
              <w:bottom w:val="single" w:sz="4" w:space="0" w:color="auto"/>
              <w:right w:val="single" w:sz="4" w:space="0" w:color="auto"/>
            </w:tcBorders>
            <w:shd w:val="clear" w:color="auto" w:fill="FFFFFF" w:themeFill="background1"/>
            <w:vAlign w:val="center"/>
            <w:hideMark/>
          </w:tcPr>
          <w:p w:rsidR="00A52ED1" w:rsidRPr="00E50714" w:rsidRDefault="00A52ED1" w:rsidP="00FE704C">
            <w:pPr>
              <w:keepNext/>
              <w:spacing w:after="0" w:line="240" w:lineRule="auto"/>
              <w:jc w:val="center"/>
              <w:rPr>
                <w:rFonts w:eastAsia="Times New Roman" w:cs="Times New Roman"/>
                <w:bCs/>
                <w:i/>
                <w:color w:val="000000"/>
                <w:sz w:val="20"/>
                <w:szCs w:val="20"/>
              </w:rPr>
            </w:pPr>
            <w:r w:rsidRPr="00E50714">
              <w:rPr>
                <w:rFonts w:eastAsia="Times New Roman" w:cs="Times New Roman"/>
                <w:bCs/>
                <w:i/>
                <w:color w:val="000000"/>
                <w:sz w:val="20"/>
              </w:rPr>
              <w:t>Resident</w:t>
            </w:r>
          </w:p>
        </w:tc>
        <w:tc>
          <w:tcPr>
            <w:tcW w:w="1572" w:type="dxa"/>
            <w:tcBorders>
              <w:top w:val="nil"/>
              <w:left w:val="nil"/>
              <w:bottom w:val="single" w:sz="4" w:space="0" w:color="auto"/>
              <w:right w:val="single" w:sz="4" w:space="0" w:color="auto"/>
            </w:tcBorders>
            <w:shd w:val="clear" w:color="auto" w:fill="FFFFFF" w:themeFill="background1"/>
            <w:vAlign w:val="center"/>
            <w:hideMark/>
          </w:tcPr>
          <w:p w:rsidR="00A52ED1" w:rsidRDefault="00A52ED1" w:rsidP="00FE704C">
            <w:pPr>
              <w:keepNext/>
              <w:spacing w:after="0" w:line="240" w:lineRule="auto"/>
              <w:jc w:val="center"/>
              <w:rPr>
                <w:rFonts w:eastAsia="Times New Roman" w:cs="Times New Roman"/>
                <w:bCs/>
                <w:i/>
                <w:color w:val="000000"/>
                <w:sz w:val="20"/>
              </w:rPr>
            </w:pPr>
            <w:r w:rsidRPr="00E50714">
              <w:rPr>
                <w:rFonts w:eastAsia="Times New Roman" w:cs="Times New Roman"/>
                <w:bCs/>
                <w:i/>
                <w:color w:val="000000"/>
                <w:sz w:val="20"/>
              </w:rPr>
              <w:t xml:space="preserve">Employee </w:t>
            </w:r>
          </w:p>
          <w:p w:rsidR="00A52ED1" w:rsidRPr="00E50714" w:rsidRDefault="00A52ED1" w:rsidP="00FE704C">
            <w:pPr>
              <w:keepNext/>
              <w:spacing w:after="0" w:line="240" w:lineRule="auto"/>
              <w:jc w:val="center"/>
              <w:rPr>
                <w:rFonts w:eastAsia="Times New Roman" w:cs="Times New Roman"/>
                <w:bCs/>
                <w:i/>
                <w:color w:val="000000"/>
                <w:sz w:val="20"/>
                <w:szCs w:val="20"/>
              </w:rPr>
            </w:pPr>
            <w:r w:rsidRPr="00E50714">
              <w:rPr>
                <w:rFonts w:eastAsia="Times New Roman" w:cs="Times New Roman"/>
                <w:bCs/>
                <w:i/>
                <w:color w:val="000000"/>
                <w:sz w:val="20"/>
              </w:rPr>
              <w:t>(non-visitor)</w:t>
            </w:r>
          </w:p>
        </w:tc>
        <w:tc>
          <w:tcPr>
            <w:tcW w:w="1440" w:type="dxa"/>
            <w:tcBorders>
              <w:top w:val="nil"/>
              <w:left w:val="nil"/>
              <w:bottom w:val="single" w:sz="4" w:space="0" w:color="auto"/>
              <w:right w:val="single" w:sz="4" w:space="0" w:color="auto"/>
            </w:tcBorders>
            <w:shd w:val="clear" w:color="auto" w:fill="FFFFFF" w:themeFill="background1"/>
            <w:vAlign w:val="center"/>
            <w:hideMark/>
          </w:tcPr>
          <w:p w:rsidR="00A52ED1" w:rsidRDefault="00A52ED1" w:rsidP="00FE704C">
            <w:pPr>
              <w:keepNext/>
              <w:spacing w:after="0" w:line="240" w:lineRule="auto"/>
              <w:jc w:val="center"/>
              <w:rPr>
                <w:rFonts w:eastAsia="Times New Roman" w:cs="Times New Roman"/>
                <w:bCs/>
                <w:i/>
                <w:color w:val="000000"/>
                <w:sz w:val="20"/>
              </w:rPr>
            </w:pPr>
            <w:r w:rsidRPr="00E50714">
              <w:rPr>
                <w:rFonts w:eastAsia="Times New Roman" w:cs="Times New Roman"/>
                <w:bCs/>
                <w:i/>
                <w:color w:val="000000"/>
                <w:sz w:val="20"/>
              </w:rPr>
              <w:t xml:space="preserve">Employee </w:t>
            </w:r>
          </w:p>
          <w:p w:rsidR="00A52ED1" w:rsidRPr="00E50714" w:rsidRDefault="00A52ED1" w:rsidP="00FE704C">
            <w:pPr>
              <w:keepNext/>
              <w:spacing w:after="0" w:line="240" w:lineRule="auto"/>
              <w:jc w:val="center"/>
              <w:rPr>
                <w:rFonts w:eastAsia="Times New Roman" w:cs="Times New Roman"/>
                <w:bCs/>
                <w:i/>
                <w:color w:val="000000"/>
                <w:sz w:val="20"/>
                <w:szCs w:val="20"/>
              </w:rPr>
            </w:pPr>
            <w:r w:rsidRPr="00E50714">
              <w:rPr>
                <w:rFonts w:eastAsia="Times New Roman" w:cs="Times New Roman"/>
                <w:bCs/>
                <w:i/>
                <w:color w:val="000000"/>
                <w:sz w:val="20"/>
              </w:rPr>
              <w:t>(non-visitor)</w:t>
            </w:r>
          </w:p>
        </w:tc>
        <w:tc>
          <w:tcPr>
            <w:tcW w:w="1440" w:type="dxa"/>
            <w:tcBorders>
              <w:top w:val="nil"/>
              <w:left w:val="nil"/>
              <w:bottom w:val="single" w:sz="4" w:space="0" w:color="auto"/>
              <w:right w:val="single" w:sz="4" w:space="0" w:color="auto"/>
            </w:tcBorders>
            <w:shd w:val="clear" w:color="auto" w:fill="FFFFFF" w:themeFill="background1"/>
            <w:vAlign w:val="center"/>
            <w:hideMark/>
          </w:tcPr>
          <w:p w:rsidR="00A52ED1" w:rsidRPr="00E50714" w:rsidRDefault="00A52ED1" w:rsidP="00FE704C">
            <w:pPr>
              <w:keepNext/>
              <w:spacing w:after="0" w:line="240" w:lineRule="auto"/>
              <w:jc w:val="center"/>
              <w:rPr>
                <w:rFonts w:eastAsia="Times New Roman" w:cs="Times New Roman"/>
                <w:bCs/>
                <w:i/>
                <w:color w:val="000000"/>
                <w:sz w:val="20"/>
                <w:szCs w:val="20"/>
              </w:rPr>
            </w:pPr>
            <w:r w:rsidRPr="00E50714">
              <w:rPr>
                <w:rFonts w:eastAsia="Times New Roman" w:cs="Times New Roman"/>
                <w:bCs/>
                <w:i/>
                <w:color w:val="000000"/>
                <w:sz w:val="20"/>
              </w:rPr>
              <w:t>Employee (non-student)</w:t>
            </w:r>
          </w:p>
        </w:tc>
      </w:tr>
      <w:tr w:rsidR="00A52ED1" w:rsidRPr="00E50714" w:rsidTr="00FE704C">
        <w:trPr>
          <w:trHeight w:val="548"/>
        </w:trPr>
        <w:tc>
          <w:tcPr>
            <w:tcW w:w="3255" w:type="dxa"/>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bottom"/>
            <w:hideMark/>
          </w:tcPr>
          <w:p w:rsidR="00A52ED1" w:rsidRPr="00E50714" w:rsidRDefault="00A52ED1" w:rsidP="00FE704C">
            <w:pPr>
              <w:keepNext/>
              <w:spacing w:after="0" w:line="240" w:lineRule="auto"/>
              <w:jc w:val="center"/>
              <w:rPr>
                <w:rFonts w:eastAsia="Times New Roman" w:cs="Times New Roman"/>
                <w:b/>
                <w:bCs/>
                <w:color w:val="000000"/>
                <w:sz w:val="20"/>
                <w:szCs w:val="20"/>
              </w:rPr>
            </w:pPr>
            <w:r w:rsidRPr="00E50714">
              <w:rPr>
                <w:rFonts w:eastAsia="Times New Roman" w:cs="Times New Roman"/>
                <w:b/>
                <w:bCs/>
                <w:color w:val="000000"/>
                <w:sz w:val="20"/>
                <w:szCs w:val="20"/>
              </w:rPr>
              <w:t>Design Capture Storm Depth, inches</w:t>
            </w:r>
          </w:p>
        </w:tc>
        <w:tc>
          <w:tcPr>
            <w:tcW w:w="5892" w:type="dxa"/>
            <w:gridSpan w:val="4"/>
            <w:tcBorders>
              <w:top w:val="single" w:sz="4" w:space="0" w:color="auto"/>
              <w:left w:val="nil"/>
              <w:bottom w:val="single" w:sz="4" w:space="0" w:color="auto"/>
              <w:right w:val="single" w:sz="4" w:space="0" w:color="auto"/>
            </w:tcBorders>
            <w:shd w:val="clear" w:color="auto" w:fill="BFBFBF" w:themeFill="background1" w:themeFillShade="BF"/>
            <w:vAlign w:val="bottom"/>
            <w:hideMark/>
          </w:tcPr>
          <w:p w:rsidR="00A52ED1" w:rsidRDefault="005B7E16" w:rsidP="00FE704C">
            <w:pPr>
              <w:keepNext/>
              <w:spacing w:after="0" w:line="240" w:lineRule="auto"/>
              <w:jc w:val="center"/>
              <w:rPr>
                <w:b/>
                <w:sz w:val="20"/>
                <w:szCs w:val="20"/>
              </w:rPr>
            </w:pPr>
            <w:r>
              <w:rPr>
                <w:rFonts w:eastAsia="Times New Roman" w:cs="Times New Roman"/>
                <w:b/>
                <w:bCs/>
                <w:color w:val="000000"/>
                <w:sz w:val="20"/>
                <w:szCs w:val="20"/>
              </w:rPr>
              <w:t xml:space="preserve">Minimum </w:t>
            </w:r>
            <w:r w:rsidR="00A52ED1" w:rsidRPr="00E50714">
              <w:rPr>
                <w:rFonts w:eastAsia="Times New Roman" w:cs="Times New Roman"/>
                <w:b/>
                <w:bCs/>
                <w:color w:val="000000"/>
                <w:sz w:val="20"/>
                <w:szCs w:val="20"/>
              </w:rPr>
              <w:t>TUTIA</w:t>
            </w:r>
            <w:r w:rsidR="00A52ED1">
              <w:rPr>
                <w:rFonts w:eastAsia="Times New Roman" w:cs="Times New Roman"/>
                <w:b/>
                <w:bCs/>
                <w:color w:val="000000"/>
                <w:sz w:val="20"/>
                <w:szCs w:val="20"/>
              </w:rPr>
              <w:t xml:space="preserve"> </w:t>
            </w:r>
            <w:r>
              <w:rPr>
                <w:rFonts w:eastAsia="Times New Roman" w:cs="Times New Roman"/>
                <w:b/>
                <w:bCs/>
                <w:color w:val="000000"/>
                <w:sz w:val="20"/>
                <w:szCs w:val="20"/>
              </w:rPr>
              <w:t xml:space="preserve">Ratio </w:t>
            </w:r>
            <w:r w:rsidR="00A52ED1">
              <w:rPr>
                <w:rFonts w:eastAsia="Times New Roman" w:cs="Times New Roman"/>
                <w:b/>
                <w:bCs/>
                <w:color w:val="000000"/>
                <w:sz w:val="20"/>
                <w:szCs w:val="20"/>
              </w:rPr>
              <w:t>Required</w:t>
            </w:r>
            <w:r w:rsidR="00A52ED1" w:rsidRPr="00E50714">
              <w:rPr>
                <w:rFonts w:eastAsia="Times New Roman" w:cs="Times New Roman"/>
                <w:b/>
                <w:bCs/>
                <w:color w:val="000000"/>
                <w:sz w:val="20"/>
                <w:szCs w:val="20"/>
              </w:rPr>
              <w:t xml:space="preserve"> </w:t>
            </w:r>
            <w:r w:rsidR="00A52ED1" w:rsidRPr="00E50714">
              <w:rPr>
                <w:b/>
                <w:sz w:val="20"/>
                <w:szCs w:val="20"/>
              </w:rPr>
              <w:t xml:space="preserve">for </w:t>
            </w:r>
            <w:r w:rsidR="00A52ED1">
              <w:rPr>
                <w:b/>
                <w:sz w:val="20"/>
                <w:szCs w:val="20"/>
              </w:rPr>
              <w:t>Minimum Partial</w:t>
            </w:r>
            <w:r w:rsidR="00A52ED1" w:rsidRPr="00E50714">
              <w:rPr>
                <w:b/>
                <w:sz w:val="20"/>
                <w:szCs w:val="20"/>
              </w:rPr>
              <w:t xml:space="preserve"> Capture </w:t>
            </w:r>
          </w:p>
          <w:p w:rsidR="00A52ED1" w:rsidRPr="00E50714" w:rsidRDefault="00A52ED1" w:rsidP="00FE704C">
            <w:pPr>
              <w:keepNext/>
              <w:spacing w:after="0" w:line="240" w:lineRule="auto"/>
              <w:jc w:val="center"/>
              <w:rPr>
                <w:rFonts w:eastAsia="Times New Roman" w:cs="Times New Roman"/>
                <w:b/>
                <w:bCs/>
                <w:color w:val="000000"/>
                <w:sz w:val="20"/>
                <w:szCs w:val="20"/>
              </w:rPr>
            </w:pPr>
            <w:r>
              <w:rPr>
                <w:b/>
                <w:sz w:val="20"/>
                <w:szCs w:val="20"/>
              </w:rPr>
              <w:t>(toilet users/impervious acre)</w:t>
            </w:r>
          </w:p>
        </w:tc>
      </w:tr>
      <w:tr w:rsidR="00213BFF" w:rsidRPr="00E50714" w:rsidTr="00FE704C">
        <w:trPr>
          <w:trHeight w:val="300"/>
        </w:trPr>
        <w:tc>
          <w:tcPr>
            <w:tcW w:w="3255"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213BFF" w:rsidRPr="00257E94" w:rsidRDefault="00213BFF" w:rsidP="00FE704C">
            <w:pPr>
              <w:keepNext/>
              <w:spacing w:after="0" w:line="240" w:lineRule="auto"/>
              <w:jc w:val="center"/>
              <w:rPr>
                <w:rFonts w:eastAsia="Times New Roman" w:cs="Times New Roman"/>
                <w:b/>
                <w:color w:val="000000"/>
                <w:sz w:val="20"/>
                <w:szCs w:val="20"/>
              </w:rPr>
            </w:pPr>
            <w:r w:rsidRPr="00257E94">
              <w:rPr>
                <w:rFonts w:eastAsia="Times New Roman" w:cs="Times New Roman"/>
                <w:b/>
                <w:color w:val="000000"/>
                <w:sz w:val="20"/>
                <w:szCs w:val="20"/>
              </w:rPr>
              <w:t>0.6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74</w:t>
            </w:r>
          </w:p>
        </w:tc>
        <w:tc>
          <w:tcPr>
            <w:tcW w:w="1572"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98</w:t>
            </w:r>
          </w:p>
        </w:tc>
        <w:tc>
          <w:tcPr>
            <w:tcW w:w="1440"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125</w:t>
            </w:r>
          </w:p>
        </w:tc>
        <w:tc>
          <w:tcPr>
            <w:tcW w:w="1440"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21</w:t>
            </w:r>
          </w:p>
        </w:tc>
      </w:tr>
      <w:tr w:rsidR="00213BFF" w:rsidRPr="00E50714" w:rsidTr="00FE704C">
        <w:trPr>
          <w:trHeight w:val="300"/>
        </w:trPr>
        <w:tc>
          <w:tcPr>
            <w:tcW w:w="3255"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213BFF" w:rsidRPr="00257E94" w:rsidRDefault="00213BFF" w:rsidP="00FE704C">
            <w:pPr>
              <w:keepNext/>
              <w:spacing w:after="0" w:line="240" w:lineRule="auto"/>
              <w:jc w:val="center"/>
              <w:rPr>
                <w:rFonts w:eastAsia="Times New Roman" w:cs="Times New Roman"/>
                <w:b/>
                <w:color w:val="000000"/>
                <w:sz w:val="20"/>
                <w:szCs w:val="20"/>
              </w:rPr>
            </w:pPr>
            <w:r w:rsidRPr="00257E94">
              <w:rPr>
                <w:rFonts w:eastAsia="Times New Roman" w:cs="Times New Roman"/>
                <w:b/>
                <w:color w:val="000000"/>
                <w:sz w:val="20"/>
                <w:szCs w:val="20"/>
              </w:rPr>
              <w:t>0.65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80</w:t>
            </w:r>
          </w:p>
        </w:tc>
        <w:tc>
          <w:tcPr>
            <w:tcW w:w="1572"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106</w:t>
            </w:r>
          </w:p>
        </w:tc>
        <w:tc>
          <w:tcPr>
            <w:tcW w:w="1440"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135</w:t>
            </w:r>
          </w:p>
        </w:tc>
        <w:tc>
          <w:tcPr>
            <w:tcW w:w="1440"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23</w:t>
            </w:r>
          </w:p>
        </w:tc>
      </w:tr>
      <w:tr w:rsidR="00213BFF" w:rsidRPr="00E50714" w:rsidTr="00FE704C">
        <w:trPr>
          <w:trHeight w:val="300"/>
        </w:trPr>
        <w:tc>
          <w:tcPr>
            <w:tcW w:w="3255"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213BFF" w:rsidRPr="00257E94" w:rsidRDefault="00213BFF" w:rsidP="00FE704C">
            <w:pPr>
              <w:keepNext/>
              <w:spacing w:after="0" w:line="240" w:lineRule="auto"/>
              <w:jc w:val="center"/>
              <w:rPr>
                <w:rFonts w:eastAsia="Times New Roman" w:cs="Times New Roman"/>
                <w:b/>
                <w:color w:val="000000"/>
                <w:sz w:val="20"/>
                <w:szCs w:val="20"/>
              </w:rPr>
            </w:pPr>
            <w:r w:rsidRPr="00257E94">
              <w:rPr>
                <w:rFonts w:eastAsia="Times New Roman" w:cs="Times New Roman"/>
                <w:b/>
                <w:color w:val="000000"/>
                <w:sz w:val="20"/>
                <w:szCs w:val="20"/>
              </w:rPr>
              <w:t>0.7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86</w:t>
            </w:r>
          </w:p>
        </w:tc>
        <w:tc>
          <w:tcPr>
            <w:tcW w:w="1572"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114</w:t>
            </w:r>
          </w:p>
        </w:tc>
        <w:tc>
          <w:tcPr>
            <w:tcW w:w="1440"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145</w:t>
            </w:r>
          </w:p>
        </w:tc>
        <w:tc>
          <w:tcPr>
            <w:tcW w:w="1440"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24</w:t>
            </w:r>
          </w:p>
        </w:tc>
      </w:tr>
      <w:tr w:rsidR="00213BFF" w:rsidRPr="00E50714" w:rsidTr="00FE704C">
        <w:trPr>
          <w:trHeight w:val="300"/>
        </w:trPr>
        <w:tc>
          <w:tcPr>
            <w:tcW w:w="3255"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213BFF" w:rsidRPr="00257E94" w:rsidRDefault="00213BFF" w:rsidP="00FE704C">
            <w:pPr>
              <w:keepNext/>
              <w:spacing w:after="0" w:line="240" w:lineRule="auto"/>
              <w:jc w:val="center"/>
              <w:rPr>
                <w:rFonts w:eastAsia="Times New Roman" w:cs="Times New Roman"/>
                <w:b/>
                <w:color w:val="000000"/>
                <w:sz w:val="20"/>
                <w:szCs w:val="20"/>
              </w:rPr>
            </w:pPr>
            <w:r w:rsidRPr="00257E94">
              <w:rPr>
                <w:rFonts w:eastAsia="Times New Roman" w:cs="Times New Roman"/>
                <w:b/>
                <w:color w:val="000000"/>
                <w:sz w:val="20"/>
                <w:szCs w:val="20"/>
              </w:rPr>
              <w:t>0.75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92</w:t>
            </w:r>
          </w:p>
        </w:tc>
        <w:tc>
          <w:tcPr>
            <w:tcW w:w="1572"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122</w:t>
            </w:r>
          </w:p>
        </w:tc>
        <w:tc>
          <w:tcPr>
            <w:tcW w:w="1440"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155</w:t>
            </w:r>
          </w:p>
        </w:tc>
        <w:tc>
          <w:tcPr>
            <w:tcW w:w="1440"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26</w:t>
            </w:r>
          </w:p>
        </w:tc>
      </w:tr>
      <w:tr w:rsidR="00213BFF" w:rsidRPr="00E50714" w:rsidTr="00FE704C">
        <w:trPr>
          <w:trHeight w:val="300"/>
        </w:trPr>
        <w:tc>
          <w:tcPr>
            <w:tcW w:w="3255"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213BFF" w:rsidRPr="00257E94" w:rsidRDefault="00213BFF" w:rsidP="00FE704C">
            <w:pPr>
              <w:keepNext/>
              <w:spacing w:after="0" w:line="240" w:lineRule="auto"/>
              <w:jc w:val="center"/>
              <w:rPr>
                <w:rFonts w:eastAsia="Times New Roman" w:cs="Times New Roman"/>
                <w:b/>
                <w:color w:val="000000"/>
                <w:sz w:val="20"/>
                <w:szCs w:val="20"/>
              </w:rPr>
            </w:pPr>
            <w:r w:rsidRPr="00257E94">
              <w:rPr>
                <w:rFonts w:eastAsia="Times New Roman" w:cs="Times New Roman"/>
                <w:b/>
                <w:color w:val="000000"/>
                <w:sz w:val="20"/>
                <w:szCs w:val="20"/>
              </w:rPr>
              <w:t>0.8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98</w:t>
            </w:r>
          </w:p>
        </w:tc>
        <w:tc>
          <w:tcPr>
            <w:tcW w:w="1572"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130</w:t>
            </w:r>
          </w:p>
        </w:tc>
        <w:tc>
          <w:tcPr>
            <w:tcW w:w="1440"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165</w:t>
            </w:r>
          </w:p>
        </w:tc>
        <w:tc>
          <w:tcPr>
            <w:tcW w:w="1440"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28</w:t>
            </w:r>
          </w:p>
        </w:tc>
      </w:tr>
      <w:tr w:rsidR="00213BFF" w:rsidRPr="00E50714" w:rsidTr="00FE704C">
        <w:trPr>
          <w:trHeight w:val="300"/>
        </w:trPr>
        <w:tc>
          <w:tcPr>
            <w:tcW w:w="3255"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213BFF" w:rsidRPr="00257E94" w:rsidRDefault="00213BFF" w:rsidP="00FE704C">
            <w:pPr>
              <w:keepNext/>
              <w:spacing w:after="0" w:line="240" w:lineRule="auto"/>
              <w:jc w:val="center"/>
              <w:rPr>
                <w:rFonts w:eastAsia="Times New Roman" w:cs="Times New Roman"/>
                <w:b/>
                <w:color w:val="000000"/>
                <w:sz w:val="20"/>
                <w:szCs w:val="20"/>
              </w:rPr>
            </w:pPr>
            <w:r w:rsidRPr="00257E94">
              <w:rPr>
                <w:rFonts w:eastAsia="Times New Roman" w:cs="Times New Roman"/>
                <w:b/>
                <w:color w:val="000000"/>
                <w:sz w:val="20"/>
                <w:szCs w:val="20"/>
              </w:rPr>
              <w:t>0.85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104</w:t>
            </w:r>
          </w:p>
        </w:tc>
        <w:tc>
          <w:tcPr>
            <w:tcW w:w="1572"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138</w:t>
            </w:r>
          </w:p>
        </w:tc>
        <w:tc>
          <w:tcPr>
            <w:tcW w:w="1440"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176</w:t>
            </w:r>
          </w:p>
        </w:tc>
        <w:tc>
          <w:tcPr>
            <w:tcW w:w="1440"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30</w:t>
            </w:r>
          </w:p>
        </w:tc>
      </w:tr>
      <w:tr w:rsidR="00213BFF" w:rsidRPr="00E50714" w:rsidTr="00FE704C">
        <w:trPr>
          <w:trHeight w:val="300"/>
        </w:trPr>
        <w:tc>
          <w:tcPr>
            <w:tcW w:w="3255"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213BFF" w:rsidRPr="00257E94" w:rsidRDefault="00213BFF" w:rsidP="00FE704C">
            <w:pPr>
              <w:keepNext/>
              <w:spacing w:after="0" w:line="240" w:lineRule="auto"/>
              <w:jc w:val="center"/>
              <w:rPr>
                <w:rFonts w:eastAsia="Times New Roman" w:cs="Times New Roman"/>
                <w:b/>
                <w:color w:val="000000"/>
                <w:sz w:val="20"/>
                <w:szCs w:val="20"/>
              </w:rPr>
            </w:pPr>
            <w:r w:rsidRPr="00257E94">
              <w:rPr>
                <w:rFonts w:eastAsia="Times New Roman" w:cs="Times New Roman"/>
                <w:b/>
                <w:color w:val="000000"/>
                <w:sz w:val="20"/>
                <w:szCs w:val="20"/>
              </w:rPr>
              <w:t>0.9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110</w:t>
            </w:r>
          </w:p>
        </w:tc>
        <w:tc>
          <w:tcPr>
            <w:tcW w:w="1572"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146</w:t>
            </w:r>
          </w:p>
        </w:tc>
        <w:tc>
          <w:tcPr>
            <w:tcW w:w="1440"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186</w:t>
            </w:r>
          </w:p>
        </w:tc>
        <w:tc>
          <w:tcPr>
            <w:tcW w:w="1440"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31</w:t>
            </w:r>
          </w:p>
        </w:tc>
      </w:tr>
      <w:tr w:rsidR="00213BFF" w:rsidRPr="00E50714" w:rsidTr="00FE704C">
        <w:trPr>
          <w:trHeight w:val="300"/>
        </w:trPr>
        <w:tc>
          <w:tcPr>
            <w:tcW w:w="3255"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213BFF" w:rsidRPr="00257E94" w:rsidRDefault="00213BFF" w:rsidP="00FE704C">
            <w:pPr>
              <w:keepNext/>
              <w:spacing w:after="0" w:line="240" w:lineRule="auto"/>
              <w:jc w:val="center"/>
              <w:rPr>
                <w:rFonts w:eastAsia="Times New Roman" w:cs="Times New Roman"/>
                <w:b/>
                <w:color w:val="000000"/>
                <w:sz w:val="20"/>
                <w:szCs w:val="20"/>
              </w:rPr>
            </w:pPr>
            <w:r w:rsidRPr="00257E94">
              <w:rPr>
                <w:rFonts w:eastAsia="Times New Roman" w:cs="Times New Roman"/>
                <w:b/>
                <w:color w:val="000000"/>
                <w:sz w:val="20"/>
                <w:szCs w:val="20"/>
              </w:rPr>
              <w:t>0.95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117</w:t>
            </w:r>
          </w:p>
        </w:tc>
        <w:tc>
          <w:tcPr>
            <w:tcW w:w="1572"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154</w:t>
            </w:r>
          </w:p>
        </w:tc>
        <w:tc>
          <w:tcPr>
            <w:tcW w:w="1440"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196</w:t>
            </w:r>
          </w:p>
        </w:tc>
        <w:tc>
          <w:tcPr>
            <w:tcW w:w="1440"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33</w:t>
            </w:r>
          </w:p>
        </w:tc>
      </w:tr>
      <w:tr w:rsidR="00213BFF" w:rsidRPr="00E50714" w:rsidTr="00FE704C">
        <w:trPr>
          <w:trHeight w:val="300"/>
        </w:trPr>
        <w:tc>
          <w:tcPr>
            <w:tcW w:w="3255"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213BFF" w:rsidRPr="00257E94" w:rsidRDefault="00213BFF" w:rsidP="00FE704C">
            <w:pPr>
              <w:spacing w:after="0" w:line="240" w:lineRule="auto"/>
              <w:jc w:val="center"/>
              <w:rPr>
                <w:rFonts w:eastAsia="Times New Roman" w:cs="Times New Roman"/>
                <w:b/>
                <w:color w:val="000000"/>
                <w:sz w:val="20"/>
                <w:szCs w:val="20"/>
              </w:rPr>
            </w:pPr>
            <w:r w:rsidRPr="00257E94">
              <w:rPr>
                <w:rFonts w:eastAsia="Times New Roman" w:cs="Times New Roman"/>
                <w:b/>
                <w:color w:val="000000"/>
                <w:sz w:val="20"/>
                <w:szCs w:val="20"/>
              </w:rPr>
              <w:t>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123</w:t>
            </w:r>
          </w:p>
        </w:tc>
        <w:tc>
          <w:tcPr>
            <w:tcW w:w="1572"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162</w:t>
            </w:r>
          </w:p>
        </w:tc>
        <w:tc>
          <w:tcPr>
            <w:tcW w:w="1440"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206</w:t>
            </w:r>
          </w:p>
        </w:tc>
        <w:tc>
          <w:tcPr>
            <w:tcW w:w="1440" w:type="dxa"/>
            <w:tcBorders>
              <w:top w:val="nil"/>
              <w:left w:val="nil"/>
              <w:bottom w:val="single" w:sz="4" w:space="0" w:color="auto"/>
              <w:right w:val="single" w:sz="4" w:space="0" w:color="auto"/>
            </w:tcBorders>
            <w:shd w:val="clear" w:color="auto" w:fill="auto"/>
            <w:noWrap/>
            <w:vAlign w:val="bottom"/>
            <w:hideMark/>
          </w:tcPr>
          <w:p w:rsidR="00213BFF" w:rsidRDefault="00213BFF" w:rsidP="00213BFF">
            <w:pPr>
              <w:spacing w:after="0"/>
              <w:jc w:val="center"/>
              <w:rPr>
                <w:color w:val="000000"/>
                <w:sz w:val="20"/>
                <w:szCs w:val="20"/>
              </w:rPr>
            </w:pPr>
            <w:r>
              <w:rPr>
                <w:color w:val="000000"/>
                <w:sz w:val="20"/>
                <w:szCs w:val="20"/>
              </w:rPr>
              <w:t>35</w:t>
            </w:r>
          </w:p>
        </w:tc>
      </w:tr>
    </w:tbl>
    <w:p w:rsidR="00A52ED1" w:rsidRPr="002E5C9E" w:rsidRDefault="00BD0237" w:rsidP="00D4020F">
      <w:pPr>
        <w:pStyle w:val="CDMBTEXT"/>
      </w:pPr>
      <w:r>
        <w:t xml:space="preserve">1 – </w:t>
      </w:r>
      <w:proofErr w:type="gramStart"/>
      <w:r>
        <w:t>based</w:t>
      </w:r>
      <w:proofErr w:type="gramEnd"/>
      <w:r>
        <w:t xml:space="preserve"> on employees only; assumes approximately 5 students per employee.</w:t>
      </w:r>
    </w:p>
    <w:p w:rsidR="00A52ED1" w:rsidRDefault="00A52ED1" w:rsidP="00A52883">
      <w:pPr>
        <w:pStyle w:val="Heading3"/>
      </w:pPr>
      <w:r>
        <w:t>Irrigated Area Thresholds for Minimum Partial Capture</w:t>
      </w:r>
    </w:p>
    <w:p w:rsidR="00A52ED1" w:rsidRDefault="00126F3D" w:rsidP="00A52ED1">
      <w:r w:rsidRPr="00126DE5">
        <w:rPr>
          <w:rFonts w:cs="Arial"/>
          <w:b/>
          <w:color w:val="0070C0"/>
          <w:sz w:val="20"/>
          <w:szCs w:val="20"/>
        </w:rPr>
        <w:fldChar w:fldCharType="begin"/>
      </w:r>
      <w:r w:rsidR="00F65443" w:rsidRPr="00126DE5">
        <w:rPr>
          <w:rFonts w:cs="Arial"/>
          <w:b/>
          <w:color w:val="0070C0"/>
          <w:sz w:val="20"/>
          <w:szCs w:val="20"/>
        </w:rPr>
        <w:instrText xml:space="preserve"> REF _Ref285530916 \h </w:instrText>
      </w:r>
      <w:r w:rsidRPr="00126DE5">
        <w:rPr>
          <w:rFonts w:cs="Arial"/>
          <w:b/>
          <w:color w:val="0070C0"/>
          <w:sz w:val="20"/>
          <w:szCs w:val="20"/>
        </w:rPr>
      </w:r>
      <w:r w:rsidRPr="00126DE5">
        <w:rPr>
          <w:rFonts w:cs="Arial"/>
          <w:b/>
          <w:color w:val="0070C0"/>
          <w:sz w:val="20"/>
          <w:szCs w:val="20"/>
        </w:rPr>
        <w:fldChar w:fldCharType="separate"/>
      </w:r>
      <w:r w:rsidR="00126DE5" w:rsidRPr="00126DE5">
        <w:rPr>
          <w:b/>
          <w:color w:val="0070C0"/>
        </w:rPr>
        <w:t xml:space="preserve">Table </w:t>
      </w:r>
      <w:r w:rsidR="00126DE5" w:rsidRPr="00126DE5">
        <w:rPr>
          <w:rFonts w:cs="Arial"/>
          <w:b/>
          <w:noProof/>
          <w:color w:val="0070C0"/>
        </w:rPr>
        <w:t>X</w:t>
      </w:r>
      <w:r w:rsidR="00126DE5" w:rsidRPr="00126DE5">
        <w:rPr>
          <w:b/>
          <w:color w:val="0070C0"/>
        </w:rPr>
        <w:t>.</w:t>
      </w:r>
      <w:r w:rsidR="00126DE5" w:rsidRPr="00126DE5">
        <w:rPr>
          <w:rFonts w:cs="Arial"/>
          <w:b/>
          <w:noProof/>
          <w:color w:val="0070C0"/>
        </w:rPr>
        <w:t>8</w:t>
      </w:r>
      <w:r w:rsidRPr="00126DE5">
        <w:rPr>
          <w:rFonts w:cs="Arial"/>
          <w:b/>
          <w:color w:val="0070C0"/>
          <w:sz w:val="20"/>
          <w:szCs w:val="20"/>
        </w:rPr>
        <w:fldChar w:fldCharType="end"/>
      </w:r>
      <w:r w:rsidR="00F65443">
        <w:rPr>
          <w:rFonts w:ascii="Arial" w:hAnsi="Arial" w:cs="Arial"/>
          <w:b/>
          <w:color w:val="0070C0"/>
        </w:rPr>
        <w:t xml:space="preserve"> </w:t>
      </w:r>
      <w:r w:rsidR="00A52ED1">
        <w:t xml:space="preserve">provides thresholds for irrigated area per impervious acre for minimum partial capture of the stormwater </w:t>
      </w:r>
      <w:r w:rsidR="003C7091">
        <w:t>DCV</w:t>
      </w:r>
      <w:r w:rsidR="00A52ED1">
        <w:t>.  Projects with irrigation area below this value and without other sources of significant demand</w:t>
      </w:r>
      <w:r w:rsidR="005B7E16">
        <w:t xml:space="preserve"> will generally</w:t>
      </w:r>
      <w:r w:rsidR="00A52ED1">
        <w:t xml:space="preserve"> not </w:t>
      </w:r>
      <w:r w:rsidR="005B7E16">
        <w:t xml:space="preserve">be </w:t>
      </w:r>
      <w:r w:rsidR="00A52ED1">
        <w:t>required to prepare a project specific evaluation of harvest and use feasibility.</w:t>
      </w:r>
      <w:r w:rsidR="00F65443">
        <w:t xml:space="preserve"> The values in </w:t>
      </w:r>
      <w:r w:rsidRPr="00126DE5">
        <w:rPr>
          <w:rFonts w:cs="Arial"/>
          <w:b/>
          <w:color w:val="0070C0"/>
          <w:sz w:val="20"/>
          <w:szCs w:val="20"/>
        </w:rPr>
        <w:fldChar w:fldCharType="begin"/>
      </w:r>
      <w:r w:rsidR="00F65443" w:rsidRPr="00126DE5">
        <w:rPr>
          <w:rFonts w:cs="Arial"/>
          <w:b/>
          <w:color w:val="0070C0"/>
          <w:sz w:val="20"/>
          <w:szCs w:val="20"/>
        </w:rPr>
        <w:instrText xml:space="preserve"> REF _Ref285530916 \h </w:instrText>
      </w:r>
      <w:r w:rsidRPr="00126DE5">
        <w:rPr>
          <w:rFonts w:cs="Arial"/>
          <w:b/>
          <w:color w:val="0070C0"/>
          <w:sz w:val="20"/>
          <w:szCs w:val="20"/>
        </w:rPr>
      </w:r>
      <w:r w:rsidRPr="00126DE5">
        <w:rPr>
          <w:rFonts w:cs="Arial"/>
          <w:b/>
          <w:color w:val="0070C0"/>
          <w:sz w:val="20"/>
          <w:szCs w:val="20"/>
        </w:rPr>
        <w:fldChar w:fldCharType="separate"/>
      </w:r>
      <w:r w:rsidR="00126DE5" w:rsidRPr="00126DE5">
        <w:rPr>
          <w:b/>
          <w:color w:val="0070C0"/>
        </w:rPr>
        <w:t xml:space="preserve">Table </w:t>
      </w:r>
      <w:r w:rsidR="00126DE5" w:rsidRPr="00126DE5">
        <w:rPr>
          <w:rFonts w:cs="Arial"/>
          <w:b/>
          <w:noProof/>
          <w:color w:val="0070C0"/>
        </w:rPr>
        <w:t>X</w:t>
      </w:r>
      <w:r w:rsidR="00126DE5" w:rsidRPr="00126DE5">
        <w:rPr>
          <w:b/>
          <w:color w:val="0070C0"/>
        </w:rPr>
        <w:t>.</w:t>
      </w:r>
      <w:r w:rsidR="00126DE5" w:rsidRPr="00126DE5">
        <w:rPr>
          <w:rFonts w:cs="Arial"/>
          <w:b/>
          <w:noProof/>
          <w:color w:val="0070C0"/>
        </w:rPr>
        <w:t>8</w:t>
      </w:r>
      <w:r w:rsidRPr="00126DE5">
        <w:rPr>
          <w:rFonts w:cs="Arial"/>
          <w:b/>
          <w:color w:val="0070C0"/>
          <w:sz w:val="20"/>
          <w:szCs w:val="20"/>
        </w:rPr>
        <w:fldChar w:fldCharType="end"/>
      </w:r>
      <w:r w:rsidR="00F65443">
        <w:rPr>
          <w:rFonts w:ascii="Arial" w:hAnsi="Arial" w:cs="Arial"/>
          <w:b/>
          <w:color w:val="0070C0"/>
        </w:rPr>
        <w:t xml:space="preserve"> </w:t>
      </w:r>
      <w:r w:rsidR="00F65443" w:rsidRPr="00F65443">
        <w:rPr>
          <w:rStyle w:val="CDMBTEXTChar"/>
          <w:rFonts w:eastAsiaTheme="minorHAnsi"/>
        </w:rPr>
        <w:t xml:space="preserve">reflect the minimum </w:t>
      </w:r>
      <w:r w:rsidR="00F65443">
        <w:rPr>
          <w:rStyle w:val="CDMBTEXTChar"/>
          <w:rFonts w:eastAsiaTheme="minorHAnsi"/>
        </w:rPr>
        <w:t>irrigated area per impervious area</w:t>
      </w:r>
      <w:r w:rsidR="00F65443" w:rsidRPr="00F65443">
        <w:rPr>
          <w:rStyle w:val="CDMBTEXTChar"/>
          <w:rFonts w:eastAsiaTheme="minorHAnsi"/>
        </w:rPr>
        <w:t xml:space="preserve"> required to achieve at least 40 percent average annual capture efficiency with a system sized for the </w:t>
      </w:r>
      <w:r w:rsidR="003C7091">
        <w:rPr>
          <w:rStyle w:val="CDMBTEXTChar"/>
          <w:rFonts w:eastAsiaTheme="minorHAnsi"/>
        </w:rPr>
        <w:t>DCV</w:t>
      </w:r>
      <w:r w:rsidR="00F65443" w:rsidRPr="00F65443">
        <w:rPr>
          <w:rStyle w:val="CDMBTEXTChar"/>
          <w:rFonts w:eastAsiaTheme="minorHAnsi"/>
        </w:rPr>
        <w:t>.</w:t>
      </w:r>
    </w:p>
    <w:tbl>
      <w:tblPr>
        <w:tblW w:w="9195" w:type="dxa"/>
        <w:tblInd w:w="93" w:type="dxa"/>
        <w:tblLayout w:type="fixed"/>
        <w:tblLook w:val="04A0"/>
      </w:tblPr>
      <w:tblGrid>
        <w:gridCol w:w="2445"/>
        <w:gridCol w:w="1159"/>
        <w:gridCol w:w="1181"/>
        <w:gridCol w:w="1170"/>
        <w:gridCol w:w="990"/>
        <w:gridCol w:w="1170"/>
        <w:gridCol w:w="1080"/>
      </w:tblGrid>
      <w:tr w:rsidR="005411C8" w:rsidRPr="00354D02" w:rsidTr="009E1CFF">
        <w:trPr>
          <w:cantSplit/>
          <w:trHeight w:val="300"/>
          <w:tblHeader/>
        </w:trPr>
        <w:tc>
          <w:tcPr>
            <w:tcW w:w="9195" w:type="dxa"/>
            <w:gridSpan w:val="7"/>
            <w:tcBorders>
              <w:bottom w:val="single" w:sz="4" w:space="0" w:color="auto"/>
            </w:tcBorders>
            <w:shd w:val="clear" w:color="auto" w:fill="auto"/>
            <w:vAlign w:val="center"/>
            <w:hideMark/>
          </w:tcPr>
          <w:p w:rsidR="005411C8" w:rsidRPr="00524D76" w:rsidRDefault="005411C8" w:rsidP="00647B99">
            <w:pPr>
              <w:pStyle w:val="Caption"/>
            </w:pPr>
            <w:bookmarkStart w:id="646" w:name="_Ref285530916"/>
            <w:bookmarkStart w:id="647" w:name="_Toc288554393"/>
            <w:r w:rsidRPr="00524D76">
              <w:t xml:space="preserve">Table </w:t>
            </w:r>
            <w:r w:rsidR="00126F3D" w:rsidRPr="00524D76">
              <w:rPr>
                <w:rFonts w:cs="Arial"/>
              </w:rPr>
              <w:fldChar w:fldCharType="begin"/>
            </w:r>
            <w:r w:rsidR="00F83E79" w:rsidRPr="00524D76">
              <w:rPr>
                <w:rFonts w:cs="Arial"/>
              </w:rPr>
              <w:instrText xml:space="preserve"> STYLEREF 1 \s </w:instrText>
            </w:r>
            <w:r w:rsidR="00126F3D" w:rsidRPr="00524D76">
              <w:rPr>
                <w:rFonts w:cs="Arial"/>
              </w:rPr>
              <w:fldChar w:fldCharType="separate"/>
            </w:r>
            <w:r w:rsidR="00126DE5" w:rsidRPr="00524D76">
              <w:rPr>
                <w:rFonts w:cs="Arial"/>
                <w:noProof/>
              </w:rPr>
              <w:t>X</w:t>
            </w:r>
            <w:r w:rsidR="00126F3D" w:rsidRPr="00524D76">
              <w:rPr>
                <w:rFonts w:cs="Arial"/>
              </w:rPr>
              <w:fldChar w:fldCharType="end"/>
            </w:r>
            <w:r w:rsidR="000B5480" w:rsidRPr="00524D76">
              <w:t>.</w:t>
            </w:r>
            <w:r w:rsidR="00126F3D" w:rsidRPr="00524D76">
              <w:rPr>
                <w:rFonts w:cs="Arial"/>
              </w:rPr>
              <w:fldChar w:fldCharType="begin"/>
            </w:r>
            <w:r w:rsidR="00F83E79" w:rsidRPr="00524D76">
              <w:rPr>
                <w:rFonts w:cs="Arial"/>
              </w:rPr>
              <w:instrText xml:space="preserve"> SEQ Table \* ARABIC \s 1 </w:instrText>
            </w:r>
            <w:r w:rsidR="00126F3D" w:rsidRPr="00524D76">
              <w:rPr>
                <w:rFonts w:cs="Arial"/>
              </w:rPr>
              <w:fldChar w:fldCharType="separate"/>
            </w:r>
            <w:r w:rsidR="00126DE5" w:rsidRPr="00524D76">
              <w:rPr>
                <w:rFonts w:cs="Arial"/>
                <w:noProof/>
              </w:rPr>
              <w:t>8</w:t>
            </w:r>
            <w:r w:rsidR="00126F3D" w:rsidRPr="00524D76">
              <w:rPr>
                <w:rFonts w:cs="Arial"/>
              </w:rPr>
              <w:fldChar w:fldCharType="end"/>
            </w:r>
            <w:bookmarkEnd w:id="646"/>
            <w:r w:rsidRPr="00524D76">
              <w:t>: Minimum Irrigated Area for Potential Partial Capture Feasibility</w:t>
            </w:r>
            <w:bookmarkEnd w:id="647"/>
          </w:p>
        </w:tc>
      </w:tr>
      <w:tr w:rsidR="00A52ED1" w:rsidRPr="00354D02" w:rsidTr="009E1CFF">
        <w:trPr>
          <w:cantSplit/>
          <w:trHeight w:val="300"/>
          <w:tblHead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52ED1" w:rsidRPr="00354D02" w:rsidRDefault="00A52ED1" w:rsidP="00FE704C">
            <w:pPr>
              <w:keepNext/>
              <w:spacing w:after="0" w:line="240" w:lineRule="auto"/>
              <w:jc w:val="right"/>
              <w:rPr>
                <w:rFonts w:eastAsia="Times New Roman" w:cs="Times New Roman"/>
                <w:b/>
                <w:iCs/>
                <w:color w:val="000000"/>
                <w:sz w:val="20"/>
                <w:szCs w:val="20"/>
              </w:rPr>
            </w:pPr>
            <w:r w:rsidRPr="00354D02">
              <w:rPr>
                <w:rFonts w:eastAsia="Times New Roman" w:cs="Times New Roman"/>
                <w:b/>
                <w:iCs/>
                <w:color w:val="000000"/>
                <w:sz w:val="20"/>
                <w:szCs w:val="20"/>
              </w:rPr>
              <w:t>General Landscape Type</w:t>
            </w:r>
          </w:p>
        </w:tc>
        <w:tc>
          <w:tcPr>
            <w:tcW w:w="3510" w:type="dxa"/>
            <w:gridSpan w:val="3"/>
            <w:tcBorders>
              <w:top w:val="single" w:sz="4" w:space="0" w:color="auto"/>
              <w:left w:val="nil"/>
              <w:bottom w:val="single" w:sz="4" w:space="0" w:color="auto"/>
              <w:right w:val="single" w:sz="4" w:space="0" w:color="auto"/>
            </w:tcBorders>
            <w:shd w:val="clear" w:color="auto" w:fill="auto"/>
            <w:vAlign w:val="center"/>
            <w:hideMark/>
          </w:tcPr>
          <w:p w:rsidR="00A52ED1" w:rsidRPr="00354D02" w:rsidRDefault="00A52ED1" w:rsidP="00FE704C">
            <w:pPr>
              <w:keepNext/>
              <w:spacing w:after="0" w:line="240" w:lineRule="auto"/>
              <w:jc w:val="center"/>
              <w:rPr>
                <w:rFonts w:eastAsia="Times New Roman" w:cs="Times New Roman"/>
                <w:b/>
                <w:color w:val="000000"/>
                <w:sz w:val="20"/>
                <w:szCs w:val="20"/>
              </w:rPr>
            </w:pPr>
            <w:r w:rsidRPr="00354D02">
              <w:rPr>
                <w:rFonts w:eastAsia="Times New Roman" w:cs="Times New Roman"/>
                <w:b/>
                <w:color w:val="000000"/>
                <w:sz w:val="20"/>
                <w:szCs w:val="20"/>
              </w:rPr>
              <w:t>Conservation Design: K</w:t>
            </w:r>
            <w:r w:rsidRPr="00354D02">
              <w:rPr>
                <w:rFonts w:eastAsia="Times New Roman" w:cs="Times New Roman"/>
                <w:b/>
                <w:color w:val="000000"/>
                <w:sz w:val="20"/>
                <w:szCs w:val="20"/>
                <w:vertAlign w:val="subscript"/>
              </w:rPr>
              <w:t>L</w:t>
            </w:r>
            <w:r w:rsidRPr="00354D02">
              <w:rPr>
                <w:rFonts w:eastAsia="Times New Roman" w:cs="Times New Roman"/>
                <w:b/>
                <w:color w:val="000000"/>
                <w:sz w:val="20"/>
                <w:szCs w:val="20"/>
              </w:rPr>
              <w:t xml:space="preserve"> = 0.35</w:t>
            </w:r>
          </w:p>
        </w:tc>
        <w:tc>
          <w:tcPr>
            <w:tcW w:w="3240" w:type="dxa"/>
            <w:gridSpan w:val="3"/>
            <w:tcBorders>
              <w:top w:val="single" w:sz="4" w:space="0" w:color="auto"/>
              <w:left w:val="nil"/>
              <w:bottom w:val="single" w:sz="4" w:space="0" w:color="auto"/>
              <w:right w:val="single" w:sz="4" w:space="0" w:color="auto"/>
            </w:tcBorders>
            <w:shd w:val="clear" w:color="auto" w:fill="auto"/>
            <w:vAlign w:val="center"/>
            <w:hideMark/>
          </w:tcPr>
          <w:p w:rsidR="00A52ED1" w:rsidRPr="00354D02" w:rsidRDefault="00A52ED1" w:rsidP="00FE704C">
            <w:pPr>
              <w:keepNext/>
              <w:spacing w:after="0" w:line="240" w:lineRule="auto"/>
              <w:jc w:val="center"/>
              <w:rPr>
                <w:rFonts w:eastAsia="Times New Roman" w:cs="Times New Roman"/>
                <w:b/>
                <w:color w:val="000000"/>
                <w:sz w:val="20"/>
                <w:szCs w:val="20"/>
              </w:rPr>
            </w:pPr>
            <w:r w:rsidRPr="00354D02">
              <w:rPr>
                <w:rFonts w:eastAsia="Times New Roman" w:cs="Times New Roman"/>
                <w:b/>
                <w:color w:val="000000"/>
                <w:sz w:val="20"/>
                <w:szCs w:val="20"/>
              </w:rPr>
              <w:t>Active Turf Areas: K</w:t>
            </w:r>
            <w:r w:rsidRPr="00354D02">
              <w:rPr>
                <w:rFonts w:eastAsia="Times New Roman" w:cs="Times New Roman"/>
                <w:b/>
                <w:color w:val="000000"/>
                <w:sz w:val="20"/>
                <w:szCs w:val="20"/>
                <w:vertAlign w:val="subscript"/>
              </w:rPr>
              <w:t>L</w:t>
            </w:r>
            <w:r w:rsidRPr="00354D02">
              <w:rPr>
                <w:rFonts w:eastAsia="Times New Roman" w:cs="Times New Roman"/>
                <w:b/>
                <w:color w:val="000000"/>
                <w:sz w:val="20"/>
                <w:szCs w:val="20"/>
              </w:rPr>
              <w:t xml:space="preserve"> = 0.7</w:t>
            </w:r>
          </w:p>
        </w:tc>
      </w:tr>
      <w:tr w:rsidR="00A52ED1" w:rsidRPr="00354D02" w:rsidTr="00FE704C">
        <w:trPr>
          <w:cantSplit/>
          <w:trHeight w:val="300"/>
          <w:tblHeader/>
        </w:trPr>
        <w:tc>
          <w:tcPr>
            <w:tcW w:w="2445" w:type="dxa"/>
            <w:tcBorders>
              <w:top w:val="nil"/>
              <w:left w:val="single" w:sz="4" w:space="0" w:color="auto"/>
              <w:bottom w:val="single" w:sz="4" w:space="0" w:color="auto"/>
              <w:right w:val="single" w:sz="4" w:space="0" w:color="auto"/>
            </w:tcBorders>
            <w:shd w:val="clear" w:color="auto" w:fill="auto"/>
            <w:vAlign w:val="center"/>
            <w:hideMark/>
          </w:tcPr>
          <w:p w:rsidR="00A52ED1" w:rsidRPr="00354D02" w:rsidRDefault="00A52ED1" w:rsidP="00FE704C">
            <w:pPr>
              <w:keepNext/>
              <w:spacing w:after="0" w:line="240" w:lineRule="auto"/>
              <w:jc w:val="right"/>
              <w:rPr>
                <w:rFonts w:eastAsia="Times New Roman" w:cs="Times New Roman"/>
                <w:i/>
                <w:iCs/>
                <w:color w:val="000000"/>
                <w:sz w:val="20"/>
                <w:szCs w:val="20"/>
              </w:rPr>
            </w:pPr>
            <w:r w:rsidRPr="00354D02">
              <w:rPr>
                <w:rFonts w:eastAsia="Times New Roman" w:cs="Times New Roman"/>
                <w:i/>
                <w:iCs/>
                <w:color w:val="000000"/>
                <w:sz w:val="20"/>
                <w:szCs w:val="20"/>
              </w:rPr>
              <w:t>Closest ET Station</w:t>
            </w:r>
          </w:p>
        </w:tc>
        <w:tc>
          <w:tcPr>
            <w:tcW w:w="1159" w:type="dxa"/>
            <w:tcBorders>
              <w:top w:val="nil"/>
              <w:left w:val="nil"/>
              <w:bottom w:val="single" w:sz="4" w:space="0" w:color="auto"/>
              <w:right w:val="single" w:sz="4" w:space="0" w:color="auto"/>
            </w:tcBorders>
            <w:shd w:val="clear" w:color="auto" w:fill="auto"/>
            <w:noWrap/>
            <w:vAlign w:val="bottom"/>
            <w:hideMark/>
          </w:tcPr>
          <w:p w:rsidR="00A52ED1" w:rsidRPr="00354D02" w:rsidRDefault="00A52ED1" w:rsidP="00FE704C">
            <w:pPr>
              <w:keepNext/>
              <w:spacing w:after="0" w:line="240" w:lineRule="auto"/>
              <w:jc w:val="center"/>
              <w:rPr>
                <w:rFonts w:eastAsia="Times New Roman" w:cs="Times New Roman"/>
                <w:i/>
                <w:color w:val="000000"/>
                <w:sz w:val="20"/>
                <w:szCs w:val="20"/>
              </w:rPr>
            </w:pPr>
            <w:r w:rsidRPr="00354D02">
              <w:rPr>
                <w:rFonts w:eastAsia="Times New Roman" w:cs="Times New Roman"/>
                <w:i/>
                <w:color w:val="000000"/>
                <w:sz w:val="20"/>
                <w:szCs w:val="20"/>
              </w:rPr>
              <w:t>Irvine</w:t>
            </w:r>
          </w:p>
        </w:tc>
        <w:tc>
          <w:tcPr>
            <w:tcW w:w="1181" w:type="dxa"/>
            <w:tcBorders>
              <w:top w:val="nil"/>
              <w:left w:val="nil"/>
              <w:bottom w:val="single" w:sz="4" w:space="0" w:color="auto"/>
              <w:right w:val="single" w:sz="4" w:space="0" w:color="auto"/>
            </w:tcBorders>
            <w:shd w:val="clear" w:color="auto" w:fill="auto"/>
            <w:noWrap/>
            <w:vAlign w:val="bottom"/>
            <w:hideMark/>
          </w:tcPr>
          <w:p w:rsidR="00A52ED1" w:rsidRPr="00354D02" w:rsidRDefault="00A52ED1" w:rsidP="00FE704C">
            <w:pPr>
              <w:keepNext/>
              <w:spacing w:after="0" w:line="240" w:lineRule="auto"/>
              <w:jc w:val="center"/>
              <w:rPr>
                <w:rFonts w:eastAsia="Times New Roman" w:cs="Times New Roman"/>
                <w:i/>
                <w:color w:val="000000"/>
                <w:sz w:val="20"/>
                <w:szCs w:val="20"/>
              </w:rPr>
            </w:pPr>
            <w:r w:rsidRPr="00354D02">
              <w:rPr>
                <w:rFonts w:eastAsia="Times New Roman" w:cs="Times New Roman"/>
                <w:i/>
                <w:color w:val="000000"/>
                <w:sz w:val="20"/>
                <w:szCs w:val="20"/>
              </w:rPr>
              <w:t>Santa Ana</w:t>
            </w:r>
          </w:p>
        </w:tc>
        <w:tc>
          <w:tcPr>
            <w:tcW w:w="1170" w:type="dxa"/>
            <w:tcBorders>
              <w:top w:val="nil"/>
              <w:left w:val="nil"/>
              <w:bottom w:val="single" w:sz="4" w:space="0" w:color="auto"/>
              <w:right w:val="single" w:sz="4" w:space="0" w:color="auto"/>
            </w:tcBorders>
            <w:shd w:val="clear" w:color="auto" w:fill="auto"/>
            <w:noWrap/>
            <w:vAlign w:val="bottom"/>
            <w:hideMark/>
          </w:tcPr>
          <w:p w:rsidR="00A52ED1" w:rsidRPr="00354D02" w:rsidRDefault="00A52ED1" w:rsidP="00FE704C">
            <w:pPr>
              <w:keepNext/>
              <w:spacing w:after="0" w:line="240" w:lineRule="auto"/>
              <w:jc w:val="center"/>
              <w:rPr>
                <w:rFonts w:eastAsia="Times New Roman" w:cs="Times New Roman"/>
                <w:i/>
                <w:color w:val="000000"/>
                <w:sz w:val="20"/>
                <w:szCs w:val="20"/>
              </w:rPr>
            </w:pPr>
            <w:r w:rsidRPr="00354D02">
              <w:rPr>
                <w:rFonts w:eastAsia="Times New Roman" w:cs="Times New Roman"/>
                <w:i/>
                <w:color w:val="000000"/>
                <w:sz w:val="20"/>
                <w:szCs w:val="20"/>
              </w:rPr>
              <w:t>Laguna</w:t>
            </w:r>
          </w:p>
        </w:tc>
        <w:tc>
          <w:tcPr>
            <w:tcW w:w="990" w:type="dxa"/>
            <w:tcBorders>
              <w:top w:val="nil"/>
              <w:left w:val="nil"/>
              <w:bottom w:val="single" w:sz="4" w:space="0" w:color="auto"/>
              <w:right w:val="single" w:sz="4" w:space="0" w:color="auto"/>
            </w:tcBorders>
            <w:shd w:val="clear" w:color="auto" w:fill="auto"/>
            <w:noWrap/>
            <w:vAlign w:val="bottom"/>
            <w:hideMark/>
          </w:tcPr>
          <w:p w:rsidR="00A52ED1" w:rsidRPr="00354D02" w:rsidRDefault="00A52ED1" w:rsidP="00FE704C">
            <w:pPr>
              <w:keepNext/>
              <w:spacing w:after="0" w:line="240" w:lineRule="auto"/>
              <w:jc w:val="center"/>
              <w:rPr>
                <w:rFonts w:eastAsia="Times New Roman" w:cs="Times New Roman"/>
                <w:i/>
                <w:color w:val="000000"/>
                <w:sz w:val="20"/>
                <w:szCs w:val="20"/>
              </w:rPr>
            </w:pPr>
            <w:r w:rsidRPr="00354D02">
              <w:rPr>
                <w:rFonts w:eastAsia="Times New Roman" w:cs="Times New Roman"/>
                <w:i/>
                <w:color w:val="000000"/>
                <w:sz w:val="20"/>
                <w:szCs w:val="20"/>
              </w:rPr>
              <w:t>Irvine</w:t>
            </w:r>
          </w:p>
        </w:tc>
        <w:tc>
          <w:tcPr>
            <w:tcW w:w="1170" w:type="dxa"/>
            <w:tcBorders>
              <w:top w:val="nil"/>
              <w:left w:val="nil"/>
              <w:bottom w:val="single" w:sz="4" w:space="0" w:color="auto"/>
              <w:right w:val="single" w:sz="4" w:space="0" w:color="auto"/>
            </w:tcBorders>
            <w:shd w:val="clear" w:color="auto" w:fill="auto"/>
            <w:noWrap/>
            <w:vAlign w:val="bottom"/>
            <w:hideMark/>
          </w:tcPr>
          <w:p w:rsidR="00A52ED1" w:rsidRPr="00354D02" w:rsidRDefault="00A52ED1" w:rsidP="00FE704C">
            <w:pPr>
              <w:keepNext/>
              <w:spacing w:after="0" w:line="240" w:lineRule="auto"/>
              <w:jc w:val="center"/>
              <w:rPr>
                <w:rFonts w:eastAsia="Times New Roman" w:cs="Times New Roman"/>
                <w:i/>
                <w:color w:val="000000"/>
                <w:sz w:val="20"/>
                <w:szCs w:val="20"/>
              </w:rPr>
            </w:pPr>
            <w:r w:rsidRPr="00354D02">
              <w:rPr>
                <w:rFonts w:eastAsia="Times New Roman" w:cs="Times New Roman"/>
                <w:i/>
                <w:color w:val="000000"/>
                <w:sz w:val="20"/>
                <w:szCs w:val="20"/>
              </w:rPr>
              <w:t>Santa Ana</w:t>
            </w:r>
          </w:p>
        </w:tc>
        <w:tc>
          <w:tcPr>
            <w:tcW w:w="1080" w:type="dxa"/>
            <w:tcBorders>
              <w:top w:val="nil"/>
              <w:left w:val="nil"/>
              <w:bottom w:val="single" w:sz="4" w:space="0" w:color="auto"/>
              <w:right w:val="single" w:sz="4" w:space="0" w:color="auto"/>
            </w:tcBorders>
            <w:shd w:val="clear" w:color="auto" w:fill="auto"/>
            <w:noWrap/>
            <w:vAlign w:val="bottom"/>
            <w:hideMark/>
          </w:tcPr>
          <w:p w:rsidR="00A52ED1" w:rsidRPr="00354D02" w:rsidRDefault="00A52ED1" w:rsidP="00FE704C">
            <w:pPr>
              <w:keepNext/>
              <w:spacing w:after="0" w:line="240" w:lineRule="auto"/>
              <w:jc w:val="center"/>
              <w:rPr>
                <w:rFonts w:eastAsia="Times New Roman" w:cs="Times New Roman"/>
                <w:i/>
                <w:color w:val="000000"/>
                <w:sz w:val="20"/>
                <w:szCs w:val="20"/>
              </w:rPr>
            </w:pPr>
            <w:r w:rsidRPr="00354D02">
              <w:rPr>
                <w:rFonts w:eastAsia="Times New Roman" w:cs="Times New Roman"/>
                <w:i/>
                <w:color w:val="000000"/>
                <w:sz w:val="20"/>
                <w:szCs w:val="20"/>
              </w:rPr>
              <w:t>Laguna</w:t>
            </w:r>
          </w:p>
        </w:tc>
      </w:tr>
      <w:tr w:rsidR="00A52ED1" w:rsidRPr="00354D02" w:rsidTr="00FE704C">
        <w:trPr>
          <w:cantSplit/>
          <w:trHeight w:val="360"/>
          <w:tblHeader/>
        </w:trPr>
        <w:tc>
          <w:tcPr>
            <w:tcW w:w="2445"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A52ED1" w:rsidRPr="00354D02" w:rsidRDefault="00A52ED1" w:rsidP="00FE704C">
            <w:pPr>
              <w:keepNext/>
              <w:spacing w:after="0" w:line="240" w:lineRule="auto"/>
              <w:jc w:val="center"/>
              <w:rPr>
                <w:rFonts w:eastAsia="Times New Roman" w:cs="Times New Roman"/>
                <w:b/>
                <w:color w:val="000000"/>
                <w:sz w:val="20"/>
                <w:szCs w:val="20"/>
              </w:rPr>
            </w:pPr>
            <w:r w:rsidRPr="00354D02">
              <w:rPr>
                <w:rFonts w:eastAsia="Times New Roman" w:cs="Times New Roman"/>
                <w:b/>
                <w:color w:val="000000"/>
                <w:sz w:val="20"/>
                <w:szCs w:val="20"/>
              </w:rPr>
              <w:t>Design Capture Storm Depth, inches</w:t>
            </w:r>
          </w:p>
        </w:tc>
        <w:tc>
          <w:tcPr>
            <w:tcW w:w="6750" w:type="dxa"/>
            <w:gridSpan w:val="6"/>
            <w:tcBorders>
              <w:top w:val="single" w:sz="4" w:space="0" w:color="auto"/>
              <w:left w:val="nil"/>
              <w:bottom w:val="single" w:sz="4" w:space="0" w:color="auto"/>
              <w:right w:val="single" w:sz="4" w:space="0" w:color="auto"/>
            </w:tcBorders>
            <w:shd w:val="clear" w:color="auto" w:fill="BFBFBF" w:themeFill="background1" w:themeFillShade="BF"/>
            <w:vAlign w:val="bottom"/>
            <w:hideMark/>
          </w:tcPr>
          <w:p w:rsidR="00A52ED1" w:rsidRPr="00354D02" w:rsidRDefault="00A52ED1" w:rsidP="00FE704C">
            <w:pPr>
              <w:keepNext/>
              <w:spacing w:after="0" w:line="240" w:lineRule="auto"/>
              <w:jc w:val="center"/>
              <w:rPr>
                <w:rFonts w:eastAsia="Times New Roman" w:cs="Times New Roman"/>
                <w:b/>
                <w:color w:val="000000"/>
                <w:sz w:val="20"/>
                <w:szCs w:val="20"/>
              </w:rPr>
            </w:pPr>
            <w:r w:rsidRPr="00354D02">
              <w:rPr>
                <w:rFonts w:eastAsia="Times New Roman" w:cs="Times New Roman"/>
                <w:b/>
                <w:color w:val="000000"/>
                <w:sz w:val="20"/>
                <w:szCs w:val="20"/>
              </w:rPr>
              <w:t xml:space="preserve">Minimum </w:t>
            </w:r>
            <w:r w:rsidRPr="00354D02">
              <w:rPr>
                <w:rFonts w:eastAsia="Times New Roman" w:cs="Times New Roman"/>
                <w:b/>
                <w:bCs/>
                <w:color w:val="000000"/>
                <w:sz w:val="20"/>
                <w:szCs w:val="20"/>
              </w:rPr>
              <w:t>Required Irrigated Area per Tributary Impervious Acre for Potential Partial Capture, ac/ac</w:t>
            </w:r>
          </w:p>
        </w:tc>
      </w:tr>
      <w:tr w:rsidR="00213BFF" w:rsidRPr="00354D02" w:rsidTr="00FE704C">
        <w:trPr>
          <w:trHeight w:val="278"/>
        </w:trPr>
        <w:tc>
          <w:tcPr>
            <w:tcW w:w="2445"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213BFF" w:rsidRPr="00354D02" w:rsidRDefault="00213BFF" w:rsidP="00FE704C">
            <w:pPr>
              <w:keepNext/>
              <w:spacing w:after="0" w:line="240" w:lineRule="auto"/>
              <w:jc w:val="center"/>
              <w:rPr>
                <w:rFonts w:eastAsia="Times New Roman" w:cs="Times New Roman"/>
                <w:color w:val="000000"/>
                <w:sz w:val="20"/>
                <w:szCs w:val="20"/>
              </w:rPr>
            </w:pPr>
            <w:r w:rsidRPr="00354D02">
              <w:rPr>
                <w:rFonts w:eastAsia="Times New Roman" w:cs="Times New Roman"/>
                <w:color w:val="000000"/>
                <w:sz w:val="20"/>
                <w:szCs w:val="20"/>
              </w:rPr>
              <w:t>0.60</w:t>
            </w:r>
          </w:p>
        </w:tc>
        <w:tc>
          <w:tcPr>
            <w:tcW w:w="1159"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0.66</w:t>
            </w:r>
          </w:p>
        </w:tc>
        <w:tc>
          <w:tcPr>
            <w:tcW w:w="1181"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0.68</w:t>
            </w:r>
          </w:p>
        </w:tc>
        <w:tc>
          <w:tcPr>
            <w:tcW w:w="117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0.72</w:t>
            </w:r>
          </w:p>
        </w:tc>
        <w:tc>
          <w:tcPr>
            <w:tcW w:w="99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0.33</w:t>
            </w:r>
          </w:p>
        </w:tc>
        <w:tc>
          <w:tcPr>
            <w:tcW w:w="117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0.34</w:t>
            </w:r>
          </w:p>
        </w:tc>
        <w:tc>
          <w:tcPr>
            <w:tcW w:w="108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0.36</w:t>
            </w:r>
          </w:p>
        </w:tc>
      </w:tr>
      <w:tr w:rsidR="00213BFF" w:rsidRPr="00354D02" w:rsidTr="00FE704C">
        <w:trPr>
          <w:trHeight w:val="251"/>
        </w:trPr>
        <w:tc>
          <w:tcPr>
            <w:tcW w:w="2445"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213BFF" w:rsidRPr="00354D02" w:rsidRDefault="00213BFF" w:rsidP="00FE704C">
            <w:pPr>
              <w:keepNext/>
              <w:spacing w:after="0" w:line="240" w:lineRule="auto"/>
              <w:jc w:val="center"/>
              <w:rPr>
                <w:rFonts w:eastAsia="Times New Roman" w:cs="Times New Roman"/>
                <w:color w:val="000000"/>
                <w:sz w:val="20"/>
                <w:szCs w:val="20"/>
              </w:rPr>
            </w:pPr>
            <w:r w:rsidRPr="00354D02">
              <w:rPr>
                <w:rFonts w:eastAsia="Times New Roman" w:cs="Times New Roman"/>
                <w:color w:val="000000"/>
                <w:sz w:val="20"/>
                <w:szCs w:val="20"/>
              </w:rPr>
              <w:t>0.65</w:t>
            </w:r>
          </w:p>
        </w:tc>
        <w:tc>
          <w:tcPr>
            <w:tcW w:w="1159"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0.72</w:t>
            </w:r>
          </w:p>
        </w:tc>
        <w:tc>
          <w:tcPr>
            <w:tcW w:w="1181"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0.73</w:t>
            </w:r>
          </w:p>
        </w:tc>
        <w:tc>
          <w:tcPr>
            <w:tcW w:w="117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0.78</w:t>
            </w:r>
          </w:p>
        </w:tc>
        <w:tc>
          <w:tcPr>
            <w:tcW w:w="99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0.36</w:t>
            </w:r>
          </w:p>
        </w:tc>
        <w:tc>
          <w:tcPr>
            <w:tcW w:w="117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0.37</w:t>
            </w:r>
          </w:p>
        </w:tc>
        <w:tc>
          <w:tcPr>
            <w:tcW w:w="108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0.39</w:t>
            </w:r>
          </w:p>
        </w:tc>
      </w:tr>
      <w:tr w:rsidR="00213BFF" w:rsidRPr="00354D02" w:rsidTr="00FE704C">
        <w:trPr>
          <w:trHeight w:val="278"/>
        </w:trPr>
        <w:tc>
          <w:tcPr>
            <w:tcW w:w="2445"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213BFF" w:rsidRPr="00354D02" w:rsidRDefault="00213BFF" w:rsidP="00FE704C">
            <w:pPr>
              <w:keepNext/>
              <w:spacing w:after="0" w:line="240" w:lineRule="auto"/>
              <w:jc w:val="center"/>
              <w:rPr>
                <w:rFonts w:eastAsia="Times New Roman" w:cs="Times New Roman"/>
                <w:color w:val="000000"/>
                <w:sz w:val="20"/>
                <w:szCs w:val="20"/>
              </w:rPr>
            </w:pPr>
            <w:r w:rsidRPr="00354D02">
              <w:rPr>
                <w:rFonts w:eastAsia="Times New Roman" w:cs="Times New Roman"/>
                <w:color w:val="000000"/>
                <w:sz w:val="20"/>
                <w:szCs w:val="20"/>
              </w:rPr>
              <w:t>0.70</w:t>
            </w:r>
          </w:p>
        </w:tc>
        <w:tc>
          <w:tcPr>
            <w:tcW w:w="1159"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0.77</w:t>
            </w:r>
          </w:p>
        </w:tc>
        <w:tc>
          <w:tcPr>
            <w:tcW w:w="1181"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0.79</w:t>
            </w:r>
          </w:p>
        </w:tc>
        <w:tc>
          <w:tcPr>
            <w:tcW w:w="117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0.84</w:t>
            </w:r>
          </w:p>
        </w:tc>
        <w:tc>
          <w:tcPr>
            <w:tcW w:w="99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0.39</w:t>
            </w:r>
          </w:p>
        </w:tc>
        <w:tc>
          <w:tcPr>
            <w:tcW w:w="117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0.39</w:t>
            </w:r>
          </w:p>
        </w:tc>
        <w:tc>
          <w:tcPr>
            <w:tcW w:w="108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0.42</w:t>
            </w:r>
          </w:p>
        </w:tc>
      </w:tr>
      <w:tr w:rsidR="00213BFF" w:rsidRPr="00354D02" w:rsidTr="00FE704C">
        <w:trPr>
          <w:trHeight w:val="300"/>
        </w:trPr>
        <w:tc>
          <w:tcPr>
            <w:tcW w:w="2445"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213BFF" w:rsidRPr="00354D02" w:rsidRDefault="00213BFF" w:rsidP="00FE704C">
            <w:pPr>
              <w:keepNext/>
              <w:spacing w:after="0" w:line="240" w:lineRule="auto"/>
              <w:jc w:val="center"/>
              <w:rPr>
                <w:rFonts w:eastAsia="Times New Roman" w:cs="Times New Roman"/>
                <w:color w:val="000000"/>
                <w:sz w:val="20"/>
                <w:szCs w:val="20"/>
              </w:rPr>
            </w:pPr>
            <w:r w:rsidRPr="00354D02">
              <w:rPr>
                <w:rFonts w:eastAsia="Times New Roman" w:cs="Times New Roman"/>
                <w:color w:val="000000"/>
                <w:sz w:val="20"/>
                <w:szCs w:val="20"/>
              </w:rPr>
              <w:t>0.75</w:t>
            </w:r>
          </w:p>
        </w:tc>
        <w:tc>
          <w:tcPr>
            <w:tcW w:w="1159"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0.83</w:t>
            </w:r>
          </w:p>
        </w:tc>
        <w:tc>
          <w:tcPr>
            <w:tcW w:w="1181"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0.84</w:t>
            </w:r>
          </w:p>
        </w:tc>
        <w:tc>
          <w:tcPr>
            <w:tcW w:w="117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0.90</w:t>
            </w:r>
          </w:p>
        </w:tc>
        <w:tc>
          <w:tcPr>
            <w:tcW w:w="99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0.41</w:t>
            </w:r>
          </w:p>
        </w:tc>
        <w:tc>
          <w:tcPr>
            <w:tcW w:w="117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0.42</w:t>
            </w:r>
          </w:p>
        </w:tc>
        <w:tc>
          <w:tcPr>
            <w:tcW w:w="108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0.45</w:t>
            </w:r>
          </w:p>
        </w:tc>
      </w:tr>
      <w:tr w:rsidR="00213BFF" w:rsidRPr="00354D02" w:rsidTr="00FE704C">
        <w:trPr>
          <w:trHeight w:val="300"/>
        </w:trPr>
        <w:tc>
          <w:tcPr>
            <w:tcW w:w="2445"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213BFF" w:rsidRPr="00354D02" w:rsidRDefault="00213BFF" w:rsidP="00FE704C">
            <w:pPr>
              <w:keepNext/>
              <w:spacing w:after="0" w:line="240" w:lineRule="auto"/>
              <w:jc w:val="center"/>
              <w:rPr>
                <w:rFonts w:eastAsia="Times New Roman" w:cs="Times New Roman"/>
                <w:color w:val="000000"/>
                <w:sz w:val="20"/>
                <w:szCs w:val="20"/>
              </w:rPr>
            </w:pPr>
            <w:r w:rsidRPr="00354D02">
              <w:rPr>
                <w:rFonts w:eastAsia="Times New Roman" w:cs="Times New Roman"/>
                <w:color w:val="000000"/>
                <w:sz w:val="20"/>
                <w:szCs w:val="20"/>
              </w:rPr>
              <w:t>0.80</w:t>
            </w:r>
          </w:p>
        </w:tc>
        <w:tc>
          <w:tcPr>
            <w:tcW w:w="1159"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0.88</w:t>
            </w:r>
          </w:p>
        </w:tc>
        <w:tc>
          <w:tcPr>
            <w:tcW w:w="1181"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0.90</w:t>
            </w:r>
          </w:p>
        </w:tc>
        <w:tc>
          <w:tcPr>
            <w:tcW w:w="117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0.96</w:t>
            </w:r>
          </w:p>
        </w:tc>
        <w:tc>
          <w:tcPr>
            <w:tcW w:w="99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0.44</w:t>
            </w:r>
          </w:p>
        </w:tc>
        <w:tc>
          <w:tcPr>
            <w:tcW w:w="117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0.45</w:t>
            </w:r>
          </w:p>
        </w:tc>
        <w:tc>
          <w:tcPr>
            <w:tcW w:w="108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0.48</w:t>
            </w:r>
          </w:p>
        </w:tc>
      </w:tr>
      <w:tr w:rsidR="00213BFF" w:rsidRPr="00354D02" w:rsidTr="00FE704C">
        <w:trPr>
          <w:trHeight w:val="300"/>
        </w:trPr>
        <w:tc>
          <w:tcPr>
            <w:tcW w:w="2445"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213BFF" w:rsidRPr="00354D02" w:rsidRDefault="00213BFF" w:rsidP="00FE704C">
            <w:pPr>
              <w:keepNext/>
              <w:spacing w:after="0" w:line="240" w:lineRule="auto"/>
              <w:jc w:val="center"/>
              <w:rPr>
                <w:rFonts w:eastAsia="Times New Roman" w:cs="Times New Roman"/>
                <w:color w:val="000000"/>
                <w:sz w:val="20"/>
                <w:szCs w:val="20"/>
              </w:rPr>
            </w:pPr>
            <w:r w:rsidRPr="00354D02">
              <w:rPr>
                <w:rFonts w:eastAsia="Times New Roman" w:cs="Times New Roman"/>
                <w:color w:val="000000"/>
                <w:sz w:val="20"/>
                <w:szCs w:val="20"/>
              </w:rPr>
              <w:t>0.85</w:t>
            </w:r>
          </w:p>
        </w:tc>
        <w:tc>
          <w:tcPr>
            <w:tcW w:w="1159"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0.93</w:t>
            </w:r>
          </w:p>
        </w:tc>
        <w:tc>
          <w:tcPr>
            <w:tcW w:w="1181"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0.95</w:t>
            </w:r>
          </w:p>
        </w:tc>
        <w:tc>
          <w:tcPr>
            <w:tcW w:w="117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1.02</w:t>
            </w:r>
          </w:p>
        </w:tc>
        <w:tc>
          <w:tcPr>
            <w:tcW w:w="99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0.47</w:t>
            </w:r>
          </w:p>
        </w:tc>
        <w:tc>
          <w:tcPr>
            <w:tcW w:w="117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0.48</w:t>
            </w:r>
          </w:p>
        </w:tc>
        <w:tc>
          <w:tcPr>
            <w:tcW w:w="108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0.51</w:t>
            </w:r>
          </w:p>
        </w:tc>
      </w:tr>
      <w:tr w:rsidR="00213BFF" w:rsidRPr="00354D02" w:rsidTr="00FE704C">
        <w:trPr>
          <w:trHeight w:val="300"/>
        </w:trPr>
        <w:tc>
          <w:tcPr>
            <w:tcW w:w="2445"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213BFF" w:rsidRPr="00354D02" w:rsidRDefault="00213BFF" w:rsidP="00FE704C">
            <w:pPr>
              <w:keepNext/>
              <w:spacing w:after="0" w:line="240" w:lineRule="auto"/>
              <w:jc w:val="center"/>
              <w:rPr>
                <w:rFonts w:eastAsia="Times New Roman" w:cs="Times New Roman"/>
                <w:color w:val="000000"/>
                <w:sz w:val="20"/>
                <w:szCs w:val="20"/>
              </w:rPr>
            </w:pPr>
            <w:r w:rsidRPr="00354D02">
              <w:rPr>
                <w:rFonts w:eastAsia="Times New Roman" w:cs="Times New Roman"/>
                <w:color w:val="000000"/>
                <w:sz w:val="20"/>
                <w:szCs w:val="20"/>
              </w:rPr>
              <w:t>0.90</w:t>
            </w:r>
          </w:p>
        </w:tc>
        <w:tc>
          <w:tcPr>
            <w:tcW w:w="1159"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0.99</w:t>
            </w:r>
          </w:p>
        </w:tc>
        <w:tc>
          <w:tcPr>
            <w:tcW w:w="1181"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1.01</w:t>
            </w:r>
          </w:p>
        </w:tc>
        <w:tc>
          <w:tcPr>
            <w:tcW w:w="117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1.08</w:t>
            </w:r>
          </w:p>
        </w:tc>
        <w:tc>
          <w:tcPr>
            <w:tcW w:w="99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0.49</w:t>
            </w:r>
          </w:p>
        </w:tc>
        <w:tc>
          <w:tcPr>
            <w:tcW w:w="117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0.51</w:t>
            </w:r>
          </w:p>
        </w:tc>
        <w:tc>
          <w:tcPr>
            <w:tcW w:w="108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0.54</w:t>
            </w:r>
          </w:p>
        </w:tc>
      </w:tr>
      <w:tr w:rsidR="00213BFF" w:rsidRPr="00354D02" w:rsidTr="00FE704C">
        <w:trPr>
          <w:trHeight w:val="300"/>
        </w:trPr>
        <w:tc>
          <w:tcPr>
            <w:tcW w:w="2445"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213BFF" w:rsidRPr="00354D02" w:rsidRDefault="00213BFF" w:rsidP="00FE704C">
            <w:pPr>
              <w:keepNext/>
              <w:spacing w:after="0" w:line="240" w:lineRule="auto"/>
              <w:jc w:val="center"/>
              <w:rPr>
                <w:rFonts w:eastAsia="Times New Roman" w:cs="Times New Roman"/>
                <w:color w:val="000000"/>
                <w:sz w:val="20"/>
                <w:szCs w:val="20"/>
              </w:rPr>
            </w:pPr>
            <w:r w:rsidRPr="00354D02">
              <w:rPr>
                <w:rFonts w:eastAsia="Times New Roman" w:cs="Times New Roman"/>
                <w:color w:val="000000"/>
                <w:sz w:val="20"/>
                <w:szCs w:val="20"/>
              </w:rPr>
              <w:t>0.95</w:t>
            </w:r>
          </w:p>
        </w:tc>
        <w:tc>
          <w:tcPr>
            <w:tcW w:w="1159"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1.04</w:t>
            </w:r>
          </w:p>
        </w:tc>
        <w:tc>
          <w:tcPr>
            <w:tcW w:w="1181"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1.07</w:t>
            </w:r>
          </w:p>
        </w:tc>
        <w:tc>
          <w:tcPr>
            <w:tcW w:w="117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1.14</w:t>
            </w:r>
          </w:p>
        </w:tc>
        <w:tc>
          <w:tcPr>
            <w:tcW w:w="99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0.52</w:t>
            </w:r>
          </w:p>
        </w:tc>
        <w:tc>
          <w:tcPr>
            <w:tcW w:w="117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0.53</w:t>
            </w:r>
          </w:p>
        </w:tc>
        <w:tc>
          <w:tcPr>
            <w:tcW w:w="108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0.57</w:t>
            </w:r>
          </w:p>
        </w:tc>
      </w:tr>
      <w:tr w:rsidR="00213BFF" w:rsidRPr="00354D02" w:rsidTr="00FE704C">
        <w:trPr>
          <w:trHeight w:val="315"/>
        </w:trPr>
        <w:tc>
          <w:tcPr>
            <w:tcW w:w="2445"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213BFF" w:rsidRPr="00354D02" w:rsidRDefault="00213BFF" w:rsidP="00FE704C">
            <w:pPr>
              <w:spacing w:after="0" w:line="240" w:lineRule="auto"/>
              <w:jc w:val="center"/>
              <w:rPr>
                <w:rFonts w:eastAsia="Times New Roman" w:cs="Times New Roman"/>
                <w:color w:val="000000"/>
                <w:sz w:val="20"/>
                <w:szCs w:val="20"/>
              </w:rPr>
            </w:pPr>
            <w:r w:rsidRPr="00354D02">
              <w:rPr>
                <w:rFonts w:eastAsia="Times New Roman" w:cs="Times New Roman"/>
                <w:color w:val="000000"/>
                <w:sz w:val="20"/>
                <w:szCs w:val="20"/>
              </w:rPr>
              <w:t>1.00</w:t>
            </w:r>
          </w:p>
        </w:tc>
        <w:tc>
          <w:tcPr>
            <w:tcW w:w="1159"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1.10</w:t>
            </w:r>
          </w:p>
        </w:tc>
        <w:tc>
          <w:tcPr>
            <w:tcW w:w="1181"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1.12</w:t>
            </w:r>
          </w:p>
        </w:tc>
        <w:tc>
          <w:tcPr>
            <w:tcW w:w="117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1.20</w:t>
            </w:r>
          </w:p>
        </w:tc>
        <w:tc>
          <w:tcPr>
            <w:tcW w:w="99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0.55</w:t>
            </w:r>
          </w:p>
        </w:tc>
        <w:tc>
          <w:tcPr>
            <w:tcW w:w="117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0.56</w:t>
            </w:r>
          </w:p>
        </w:tc>
        <w:tc>
          <w:tcPr>
            <w:tcW w:w="1080" w:type="dxa"/>
            <w:tcBorders>
              <w:top w:val="nil"/>
              <w:left w:val="nil"/>
              <w:bottom w:val="single" w:sz="4" w:space="0" w:color="auto"/>
              <w:right w:val="single" w:sz="4" w:space="0" w:color="auto"/>
            </w:tcBorders>
            <w:shd w:val="clear" w:color="auto" w:fill="auto"/>
            <w:noWrap/>
            <w:vAlign w:val="center"/>
            <w:hideMark/>
          </w:tcPr>
          <w:p w:rsidR="00213BFF" w:rsidRDefault="00213BFF" w:rsidP="00213BFF">
            <w:pPr>
              <w:spacing w:after="0"/>
              <w:jc w:val="center"/>
              <w:rPr>
                <w:color w:val="000000"/>
              </w:rPr>
            </w:pPr>
            <w:r>
              <w:rPr>
                <w:color w:val="000000"/>
              </w:rPr>
              <w:t>0.60</w:t>
            </w:r>
          </w:p>
        </w:tc>
      </w:tr>
    </w:tbl>
    <w:p w:rsidR="00BD2C32" w:rsidRDefault="00BD2C32">
      <w:pPr>
        <w:spacing w:after="200"/>
        <w:rPr>
          <w:b/>
          <w:sz w:val="28"/>
          <w:szCs w:val="26"/>
        </w:rPr>
      </w:pPr>
      <w:bookmarkStart w:id="648" w:name="_Toc285308181"/>
      <w:bookmarkStart w:id="649" w:name="_Toc285315765"/>
      <w:bookmarkStart w:id="650" w:name="_Toc2854924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0"/>
        <w:gridCol w:w="5832"/>
        <w:gridCol w:w="1095"/>
        <w:gridCol w:w="13"/>
        <w:gridCol w:w="1082"/>
        <w:gridCol w:w="1094"/>
      </w:tblGrid>
      <w:tr w:rsidR="00BD2C32" w:rsidRPr="00373BF7" w:rsidTr="009E1CFF">
        <w:trPr>
          <w:trHeight w:val="300"/>
          <w:tblHeader/>
        </w:trPr>
        <w:tc>
          <w:tcPr>
            <w:tcW w:w="5000" w:type="pct"/>
            <w:gridSpan w:val="6"/>
            <w:tcBorders>
              <w:top w:val="nil"/>
              <w:left w:val="nil"/>
              <w:bottom w:val="single" w:sz="4" w:space="0" w:color="auto"/>
              <w:right w:val="nil"/>
            </w:tcBorders>
            <w:shd w:val="clear" w:color="auto" w:fill="auto"/>
            <w:noWrap/>
            <w:tcMar>
              <w:top w:w="36" w:type="dxa"/>
              <w:bottom w:w="36" w:type="dxa"/>
            </w:tcMar>
            <w:vAlign w:val="center"/>
            <w:hideMark/>
          </w:tcPr>
          <w:p w:rsidR="00BD2C32" w:rsidRPr="00524D76" w:rsidRDefault="00BD2C32" w:rsidP="00647B99">
            <w:pPr>
              <w:pStyle w:val="Caption"/>
            </w:pPr>
            <w:bookmarkStart w:id="651" w:name="_Ref285574582"/>
            <w:bookmarkStart w:id="652" w:name="_Toc288554465"/>
            <w:bookmarkEnd w:id="648"/>
            <w:bookmarkEnd w:id="649"/>
            <w:bookmarkEnd w:id="650"/>
            <w:r w:rsidRPr="00524D76">
              <w:t xml:space="preserve">Worksheet </w:t>
            </w:r>
            <w:fldSimple w:instr=" SEQ Worksheet \* ALPHABETIC ">
              <w:r w:rsidR="00126DE5" w:rsidRPr="00524D76">
                <w:rPr>
                  <w:noProof/>
                </w:rPr>
                <w:t>J</w:t>
              </w:r>
            </w:fldSimple>
            <w:r w:rsidRPr="00524D76">
              <w:t>: Summary of Harvested Water Demand and Feasibility</w:t>
            </w:r>
            <w:bookmarkEnd w:id="651"/>
            <w:bookmarkEnd w:id="652"/>
          </w:p>
        </w:tc>
      </w:tr>
      <w:tr w:rsidR="00BD2C32" w:rsidRPr="00373BF7" w:rsidTr="009E1CFF">
        <w:trPr>
          <w:trHeight w:val="296"/>
        </w:trPr>
        <w:tc>
          <w:tcPr>
            <w:tcW w:w="240" w:type="pct"/>
            <w:tcBorders>
              <w:top w:val="single" w:sz="4" w:space="0" w:color="auto"/>
            </w:tcBorders>
            <w:shd w:val="clear" w:color="auto" w:fill="auto"/>
            <w:noWrap/>
            <w:tcMar>
              <w:top w:w="36" w:type="dxa"/>
              <w:bottom w:w="36" w:type="dxa"/>
            </w:tcMar>
            <w:vAlign w:val="center"/>
            <w:hideMark/>
          </w:tcPr>
          <w:p w:rsidR="00BD2C32" w:rsidRPr="00373BF7" w:rsidRDefault="00373BF7" w:rsidP="00B75BA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w:t>
            </w:r>
          </w:p>
        </w:tc>
        <w:tc>
          <w:tcPr>
            <w:tcW w:w="4760" w:type="pct"/>
            <w:gridSpan w:val="5"/>
            <w:tcBorders>
              <w:top w:val="single" w:sz="4" w:space="0" w:color="auto"/>
            </w:tcBorders>
            <w:shd w:val="clear" w:color="auto" w:fill="auto"/>
            <w:tcMar>
              <w:top w:w="36" w:type="dxa"/>
              <w:bottom w:w="36" w:type="dxa"/>
            </w:tcMar>
            <w:hideMark/>
          </w:tcPr>
          <w:p w:rsidR="00BD2C32" w:rsidRPr="00373BF7" w:rsidRDefault="00BD2C32" w:rsidP="00B75BA5">
            <w:pPr>
              <w:spacing w:after="0" w:line="240" w:lineRule="auto"/>
              <w:rPr>
                <w:rFonts w:ascii="Arial" w:eastAsia="Times New Roman" w:hAnsi="Arial" w:cs="Arial"/>
                <w:sz w:val="20"/>
                <w:szCs w:val="20"/>
              </w:rPr>
            </w:pPr>
            <w:r w:rsidRPr="00373BF7">
              <w:rPr>
                <w:rFonts w:ascii="Arial" w:eastAsia="Times New Roman" w:hAnsi="Arial" w:cs="Arial"/>
                <w:sz w:val="20"/>
                <w:szCs w:val="20"/>
              </w:rPr>
              <w:t>What demands for harvested water exist in the tributary area (</w:t>
            </w:r>
            <w:r w:rsidR="00B75BA5" w:rsidRPr="00373BF7">
              <w:rPr>
                <w:rFonts w:ascii="Arial" w:eastAsia="Times New Roman" w:hAnsi="Arial" w:cs="Arial"/>
                <w:sz w:val="20"/>
                <w:szCs w:val="20"/>
              </w:rPr>
              <w:t>check all that apply</w:t>
            </w:r>
            <w:r w:rsidRPr="00373BF7">
              <w:rPr>
                <w:rFonts w:ascii="Arial" w:eastAsia="Times New Roman" w:hAnsi="Arial" w:cs="Arial"/>
                <w:sz w:val="20"/>
                <w:szCs w:val="20"/>
              </w:rPr>
              <w:t>):</w:t>
            </w:r>
          </w:p>
        </w:tc>
      </w:tr>
      <w:tr w:rsidR="00B75BA5" w:rsidRPr="00373BF7" w:rsidTr="00B75BA5">
        <w:trPr>
          <w:trHeight w:val="458"/>
        </w:trPr>
        <w:tc>
          <w:tcPr>
            <w:tcW w:w="240" w:type="pct"/>
            <w:shd w:val="clear" w:color="auto" w:fill="auto"/>
            <w:noWrap/>
            <w:tcMar>
              <w:top w:w="36" w:type="dxa"/>
              <w:bottom w:w="36" w:type="dxa"/>
            </w:tcMar>
            <w:vAlign w:val="center"/>
            <w:hideMark/>
          </w:tcPr>
          <w:p w:rsidR="00B75BA5" w:rsidRPr="00373BF7" w:rsidRDefault="00373BF7" w:rsidP="00B75BA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2</w:t>
            </w:r>
          </w:p>
        </w:tc>
        <w:tc>
          <w:tcPr>
            <w:tcW w:w="3624" w:type="pct"/>
            <w:gridSpan w:val="3"/>
            <w:shd w:val="clear" w:color="auto" w:fill="auto"/>
            <w:tcMar>
              <w:top w:w="36" w:type="dxa"/>
              <w:bottom w:w="36" w:type="dxa"/>
            </w:tcMar>
            <w:vAlign w:val="center"/>
            <w:hideMark/>
          </w:tcPr>
          <w:p w:rsidR="00B75BA5" w:rsidRPr="00373BF7" w:rsidRDefault="00B75BA5" w:rsidP="00B75BA5">
            <w:pPr>
              <w:spacing w:after="0" w:line="240" w:lineRule="auto"/>
              <w:rPr>
                <w:rFonts w:ascii="Arial" w:eastAsia="Times New Roman" w:hAnsi="Arial" w:cs="Arial"/>
                <w:sz w:val="20"/>
                <w:szCs w:val="20"/>
              </w:rPr>
            </w:pPr>
            <w:r w:rsidRPr="00373BF7">
              <w:rPr>
                <w:rFonts w:ascii="Arial" w:hAnsi="Arial" w:cs="Arial"/>
                <w:sz w:val="20"/>
                <w:szCs w:val="20"/>
              </w:rPr>
              <w:t>Toilet and urinal flushing</w:t>
            </w:r>
          </w:p>
        </w:tc>
        <w:tc>
          <w:tcPr>
            <w:tcW w:w="1136" w:type="pct"/>
            <w:gridSpan w:val="2"/>
            <w:shd w:val="clear" w:color="auto" w:fill="auto"/>
            <w:vAlign w:val="center"/>
          </w:tcPr>
          <w:p w:rsidR="00B75BA5" w:rsidRPr="00373BF7" w:rsidRDefault="00B75BA5" w:rsidP="00B75BA5">
            <w:pPr>
              <w:spacing w:after="0" w:line="240" w:lineRule="auto"/>
              <w:jc w:val="center"/>
              <w:rPr>
                <w:rFonts w:ascii="Arial" w:eastAsia="Times New Roman" w:hAnsi="Arial" w:cs="Arial"/>
                <w:sz w:val="20"/>
                <w:szCs w:val="20"/>
              </w:rPr>
            </w:pPr>
            <w:r w:rsidRPr="00373BF7">
              <w:rPr>
                <w:rFonts w:ascii="Arial" w:eastAsia="Times New Roman" w:hAnsi="Arial" w:cs="Arial"/>
                <w:sz w:val="20"/>
                <w:szCs w:val="20"/>
              </w:rPr>
              <w:t>□</w:t>
            </w:r>
          </w:p>
        </w:tc>
      </w:tr>
      <w:tr w:rsidR="00B75BA5" w:rsidRPr="00373BF7" w:rsidTr="00B75BA5">
        <w:trPr>
          <w:trHeight w:val="458"/>
        </w:trPr>
        <w:tc>
          <w:tcPr>
            <w:tcW w:w="240" w:type="pct"/>
            <w:shd w:val="clear" w:color="auto" w:fill="auto"/>
            <w:noWrap/>
            <w:tcMar>
              <w:top w:w="36" w:type="dxa"/>
              <w:bottom w:w="36" w:type="dxa"/>
            </w:tcMar>
            <w:vAlign w:val="center"/>
            <w:hideMark/>
          </w:tcPr>
          <w:p w:rsidR="00B75BA5" w:rsidRPr="00373BF7" w:rsidRDefault="00373BF7" w:rsidP="00B75BA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w:t>
            </w:r>
          </w:p>
        </w:tc>
        <w:tc>
          <w:tcPr>
            <w:tcW w:w="3624" w:type="pct"/>
            <w:gridSpan w:val="3"/>
            <w:shd w:val="clear" w:color="auto" w:fill="auto"/>
            <w:tcMar>
              <w:top w:w="36" w:type="dxa"/>
              <w:bottom w:w="36" w:type="dxa"/>
            </w:tcMar>
            <w:vAlign w:val="center"/>
            <w:hideMark/>
          </w:tcPr>
          <w:p w:rsidR="00B75BA5" w:rsidRPr="00373BF7" w:rsidRDefault="00B75BA5" w:rsidP="00B75BA5">
            <w:pPr>
              <w:spacing w:after="0" w:line="240" w:lineRule="auto"/>
              <w:rPr>
                <w:rFonts w:ascii="Arial" w:eastAsia="Times New Roman" w:hAnsi="Arial" w:cs="Arial"/>
                <w:sz w:val="20"/>
                <w:szCs w:val="20"/>
              </w:rPr>
            </w:pPr>
            <w:r w:rsidRPr="00373BF7">
              <w:rPr>
                <w:rFonts w:ascii="Arial" w:eastAsia="Times New Roman" w:hAnsi="Arial" w:cs="Arial"/>
                <w:sz w:val="20"/>
                <w:szCs w:val="20"/>
              </w:rPr>
              <w:t>Landscape irrigation</w:t>
            </w:r>
          </w:p>
        </w:tc>
        <w:tc>
          <w:tcPr>
            <w:tcW w:w="1136" w:type="pct"/>
            <w:gridSpan w:val="2"/>
            <w:shd w:val="clear" w:color="auto" w:fill="auto"/>
            <w:vAlign w:val="center"/>
          </w:tcPr>
          <w:p w:rsidR="00B75BA5" w:rsidRPr="00373BF7" w:rsidRDefault="00B75BA5" w:rsidP="00B75BA5">
            <w:pPr>
              <w:spacing w:after="0" w:line="240" w:lineRule="auto"/>
              <w:jc w:val="center"/>
              <w:rPr>
                <w:rFonts w:ascii="Arial" w:eastAsia="Times New Roman" w:hAnsi="Arial" w:cs="Arial"/>
                <w:sz w:val="20"/>
                <w:szCs w:val="20"/>
              </w:rPr>
            </w:pPr>
            <w:r w:rsidRPr="00373BF7">
              <w:rPr>
                <w:rFonts w:ascii="Arial" w:eastAsia="Times New Roman" w:hAnsi="Arial" w:cs="Arial"/>
                <w:sz w:val="20"/>
                <w:szCs w:val="20"/>
              </w:rPr>
              <w:t>□</w:t>
            </w:r>
          </w:p>
        </w:tc>
      </w:tr>
      <w:tr w:rsidR="00B75BA5" w:rsidRPr="00373BF7" w:rsidTr="00373BF7">
        <w:trPr>
          <w:trHeight w:val="467"/>
        </w:trPr>
        <w:tc>
          <w:tcPr>
            <w:tcW w:w="240" w:type="pct"/>
            <w:shd w:val="clear" w:color="auto" w:fill="auto"/>
            <w:noWrap/>
            <w:tcMar>
              <w:top w:w="36" w:type="dxa"/>
              <w:bottom w:w="36" w:type="dxa"/>
            </w:tcMar>
            <w:vAlign w:val="center"/>
            <w:hideMark/>
          </w:tcPr>
          <w:p w:rsidR="00B75BA5" w:rsidRPr="00373BF7" w:rsidRDefault="00373BF7" w:rsidP="00B75BA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4</w:t>
            </w:r>
          </w:p>
        </w:tc>
        <w:tc>
          <w:tcPr>
            <w:tcW w:w="3624" w:type="pct"/>
            <w:gridSpan w:val="3"/>
            <w:shd w:val="clear" w:color="auto" w:fill="auto"/>
            <w:tcMar>
              <w:top w:w="36" w:type="dxa"/>
              <w:bottom w:w="36" w:type="dxa"/>
            </w:tcMar>
            <w:vAlign w:val="center"/>
            <w:hideMark/>
          </w:tcPr>
          <w:p w:rsidR="00B75BA5" w:rsidRPr="00373BF7" w:rsidRDefault="00B75BA5" w:rsidP="00B75BA5">
            <w:pPr>
              <w:spacing w:after="0" w:line="240" w:lineRule="auto"/>
              <w:rPr>
                <w:rFonts w:ascii="Arial" w:eastAsia="Times New Roman" w:hAnsi="Arial" w:cs="Arial"/>
                <w:sz w:val="20"/>
                <w:szCs w:val="20"/>
              </w:rPr>
            </w:pPr>
            <w:r w:rsidRPr="00373BF7">
              <w:rPr>
                <w:rFonts w:ascii="Arial" w:eastAsia="Times New Roman" w:hAnsi="Arial" w:cs="Arial"/>
                <w:sz w:val="20"/>
                <w:szCs w:val="20"/>
              </w:rPr>
              <w:t>Other:_______________________________________________________</w:t>
            </w:r>
          </w:p>
        </w:tc>
        <w:tc>
          <w:tcPr>
            <w:tcW w:w="1136" w:type="pct"/>
            <w:gridSpan w:val="2"/>
            <w:shd w:val="clear" w:color="auto" w:fill="auto"/>
            <w:vAlign w:val="center"/>
          </w:tcPr>
          <w:p w:rsidR="00B75BA5" w:rsidRPr="00373BF7" w:rsidRDefault="00B75BA5" w:rsidP="00B75BA5">
            <w:pPr>
              <w:spacing w:after="0" w:line="240" w:lineRule="auto"/>
              <w:jc w:val="center"/>
              <w:rPr>
                <w:rFonts w:ascii="Arial" w:eastAsia="Times New Roman" w:hAnsi="Arial" w:cs="Arial"/>
                <w:sz w:val="20"/>
                <w:szCs w:val="20"/>
              </w:rPr>
            </w:pPr>
            <w:r w:rsidRPr="00373BF7">
              <w:rPr>
                <w:rFonts w:ascii="Arial" w:eastAsia="Times New Roman" w:hAnsi="Arial" w:cs="Arial"/>
                <w:sz w:val="20"/>
                <w:szCs w:val="20"/>
              </w:rPr>
              <w:t>□</w:t>
            </w:r>
          </w:p>
        </w:tc>
      </w:tr>
      <w:tr w:rsidR="00BD2C32" w:rsidRPr="00373BF7" w:rsidTr="00373BF7">
        <w:trPr>
          <w:trHeight w:val="476"/>
        </w:trPr>
        <w:tc>
          <w:tcPr>
            <w:tcW w:w="240" w:type="pct"/>
            <w:shd w:val="clear" w:color="auto" w:fill="auto"/>
            <w:noWrap/>
            <w:tcMar>
              <w:top w:w="36" w:type="dxa"/>
              <w:bottom w:w="36" w:type="dxa"/>
            </w:tcMar>
            <w:vAlign w:val="center"/>
            <w:hideMark/>
          </w:tcPr>
          <w:p w:rsidR="00BD2C32" w:rsidRPr="00373BF7" w:rsidRDefault="00373BF7" w:rsidP="00B75BA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w:t>
            </w:r>
          </w:p>
        </w:tc>
        <w:tc>
          <w:tcPr>
            <w:tcW w:w="3045" w:type="pct"/>
            <w:shd w:val="clear" w:color="auto" w:fill="auto"/>
            <w:tcMar>
              <w:top w:w="36" w:type="dxa"/>
              <w:bottom w:w="36" w:type="dxa"/>
            </w:tcMar>
            <w:vAlign w:val="center"/>
            <w:hideMark/>
          </w:tcPr>
          <w:p w:rsidR="00BD2C32" w:rsidRPr="00373BF7" w:rsidRDefault="00B75BA5" w:rsidP="00B75BA5">
            <w:pPr>
              <w:spacing w:after="0" w:line="240" w:lineRule="auto"/>
              <w:rPr>
                <w:rFonts w:ascii="Arial" w:eastAsia="Times New Roman" w:hAnsi="Arial" w:cs="Arial"/>
                <w:sz w:val="20"/>
                <w:szCs w:val="20"/>
              </w:rPr>
            </w:pPr>
            <w:r w:rsidRPr="00373BF7">
              <w:rPr>
                <w:rFonts w:ascii="Arial" w:eastAsia="Times New Roman" w:hAnsi="Arial" w:cs="Arial"/>
                <w:sz w:val="20"/>
                <w:szCs w:val="20"/>
              </w:rPr>
              <w:t>What is the design capture storm depth? (</w:t>
            </w:r>
            <w:fldSimple w:instr=" REF _Ref285354586 \h  \* MERGEFORMAT ">
              <w:r w:rsidR="00126DE5" w:rsidRPr="00126DE5">
                <w:rPr>
                  <w:rFonts w:cs="Arial"/>
                  <w:b/>
                  <w:color w:val="0070C0"/>
                  <w:sz w:val="20"/>
                  <w:szCs w:val="20"/>
                </w:rPr>
                <w:t>Figure III.1</w:t>
              </w:r>
            </w:fldSimple>
            <w:r w:rsidRPr="00373BF7">
              <w:rPr>
                <w:rFonts w:ascii="Arial" w:eastAsia="Times New Roman" w:hAnsi="Arial" w:cs="Arial"/>
                <w:sz w:val="20"/>
                <w:szCs w:val="20"/>
              </w:rPr>
              <w:t>)</w:t>
            </w:r>
          </w:p>
        </w:tc>
        <w:tc>
          <w:tcPr>
            <w:tcW w:w="572" w:type="pct"/>
            <w:tcMar>
              <w:top w:w="36" w:type="dxa"/>
              <w:bottom w:w="36" w:type="dxa"/>
            </w:tcMar>
            <w:vAlign w:val="center"/>
          </w:tcPr>
          <w:p w:rsidR="00BD2C32" w:rsidRPr="00373BF7" w:rsidRDefault="00B75BA5" w:rsidP="00B75BA5">
            <w:pPr>
              <w:spacing w:after="0" w:line="240" w:lineRule="auto"/>
              <w:jc w:val="right"/>
              <w:rPr>
                <w:rFonts w:ascii="Arial" w:eastAsia="Times New Roman" w:hAnsi="Arial" w:cs="Arial"/>
                <w:sz w:val="20"/>
                <w:szCs w:val="20"/>
              </w:rPr>
            </w:pPr>
            <w:r w:rsidRPr="00373BF7">
              <w:rPr>
                <w:rFonts w:ascii="Arial" w:eastAsia="Times New Roman" w:hAnsi="Arial" w:cs="Arial"/>
                <w:sz w:val="20"/>
                <w:szCs w:val="20"/>
              </w:rPr>
              <w:t>d</w:t>
            </w:r>
          </w:p>
        </w:tc>
        <w:tc>
          <w:tcPr>
            <w:tcW w:w="572" w:type="pct"/>
            <w:gridSpan w:val="2"/>
            <w:vAlign w:val="center"/>
          </w:tcPr>
          <w:p w:rsidR="00BD2C32" w:rsidRPr="00373BF7" w:rsidRDefault="00BD2C32" w:rsidP="00B75BA5">
            <w:pPr>
              <w:spacing w:after="0" w:line="240" w:lineRule="auto"/>
              <w:rPr>
                <w:rFonts w:ascii="Arial" w:eastAsia="Times New Roman" w:hAnsi="Arial" w:cs="Arial"/>
                <w:sz w:val="20"/>
                <w:szCs w:val="20"/>
              </w:rPr>
            </w:pPr>
          </w:p>
        </w:tc>
        <w:tc>
          <w:tcPr>
            <w:tcW w:w="571" w:type="pct"/>
            <w:vAlign w:val="center"/>
          </w:tcPr>
          <w:p w:rsidR="00BD2C32" w:rsidRPr="00373BF7" w:rsidRDefault="00B75BA5" w:rsidP="00B75BA5">
            <w:pPr>
              <w:spacing w:after="0" w:line="240" w:lineRule="auto"/>
              <w:rPr>
                <w:rFonts w:ascii="Arial" w:eastAsia="Times New Roman" w:hAnsi="Arial" w:cs="Arial"/>
                <w:sz w:val="20"/>
                <w:szCs w:val="20"/>
              </w:rPr>
            </w:pPr>
            <w:r w:rsidRPr="00373BF7">
              <w:rPr>
                <w:rFonts w:ascii="Arial" w:eastAsia="Times New Roman" w:hAnsi="Arial" w:cs="Arial"/>
                <w:sz w:val="20"/>
                <w:szCs w:val="20"/>
              </w:rPr>
              <w:t>inches</w:t>
            </w:r>
          </w:p>
        </w:tc>
      </w:tr>
      <w:tr w:rsidR="00B75BA5" w:rsidRPr="00373BF7" w:rsidTr="00373BF7">
        <w:trPr>
          <w:trHeight w:val="503"/>
        </w:trPr>
        <w:tc>
          <w:tcPr>
            <w:tcW w:w="240" w:type="pct"/>
            <w:shd w:val="clear" w:color="auto" w:fill="auto"/>
            <w:noWrap/>
            <w:tcMar>
              <w:top w:w="36" w:type="dxa"/>
              <w:bottom w:w="36" w:type="dxa"/>
            </w:tcMar>
            <w:vAlign w:val="center"/>
            <w:hideMark/>
          </w:tcPr>
          <w:p w:rsidR="00B75BA5" w:rsidRPr="00373BF7" w:rsidRDefault="00373BF7" w:rsidP="00B75BA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6</w:t>
            </w:r>
          </w:p>
        </w:tc>
        <w:tc>
          <w:tcPr>
            <w:tcW w:w="3045" w:type="pct"/>
            <w:shd w:val="clear" w:color="auto" w:fill="auto"/>
            <w:tcMar>
              <w:top w:w="36" w:type="dxa"/>
              <w:bottom w:w="36" w:type="dxa"/>
            </w:tcMar>
            <w:vAlign w:val="center"/>
            <w:hideMark/>
          </w:tcPr>
          <w:p w:rsidR="00B75BA5" w:rsidRPr="00373BF7" w:rsidRDefault="00B75BA5" w:rsidP="00B75BA5">
            <w:pPr>
              <w:spacing w:after="0" w:line="240" w:lineRule="auto"/>
              <w:rPr>
                <w:rFonts w:ascii="Arial" w:eastAsia="Times New Roman" w:hAnsi="Arial" w:cs="Arial"/>
                <w:sz w:val="20"/>
                <w:szCs w:val="20"/>
              </w:rPr>
            </w:pPr>
            <w:r w:rsidRPr="00373BF7">
              <w:rPr>
                <w:rFonts w:ascii="Arial" w:eastAsia="Times New Roman" w:hAnsi="Arial" w:cs="Arial"/>
                <w:sz w:val="20"/>
                <w:szCs w:val="20"/>
              </w:rPr>
              <w:t>What is the project size?</w:t>
            </w:r>
          </w:p>
        </w:tc>
        <w:tc>
          <w:tcPr>
            <w:tcW w:w="572" w:type="pct"/>
            <w:tcMar>
              <w:top w:w="36" w:type="dxa"/>
              <w:bottom w:w="36" w:type="dxa"/>
            </w:tcMar>
            <w:vAlign w:val="center"/>
          </w:tcPr>
          <w:p w:rsidR="00B75BA5" w:rsidRPr="00373BF7" w:rsidRDefault="00B75BA5" w:rsidP="00B75BA5">
            <w:pPr>
              <w:spacing w:after="0" w:line="240" w:lineRule="auto"/>
              <w:jc w:val="right"/>
              <w:rPr>
                <w:rFonts w:ascii="Arial" w:eastAsia="Times New Roman" w:hAnsi="Arial" w:cs="Arial"/>
                <w:sz w:val="20"/>
                <w:szCs w:val="20"/>
              </w:rPr>
            </w:pPr>
            <w:r w:rsidRPr="00373BF7">
              <w:rPr>
                <w:rFonts w:ascii="Arial" w:eastAsia="Times New Roman" w:hAnsi="Arial" w:cs="Arial"/>
                <w:sz w:val="20"/>
                <w:szCs w:val="20"/>
              </w:rPr>
              <w:t>A</w:t>
            </w:r>
          </w:p>
        </w:tc>
        <w:tc>
          <w:tcPr>
            <w:tcW w:w="572" w:type="pct"/>
            <w:gridSpan w:val="2"/>
            <w:vAlign w:val="center"/>
          </w:tcPr>
          <w:p w:rsidR="00B75BA5" w:rsidRPr="00373BF7" w:rsidRDefault="00B75BA5" w:rsidP="00B75BA5">
            <w:pPr>
              <w:spacing w:after="0" w:line="240" w:lineRule="auto"/>
              <w:rPr>
                <w:rFonts w:ascii="Arial" w:eastAsia="Times New Roman" w:hAnsi="Arial" w:cs="Arial"/>
                <w:sz w:val="20"/>
                <w:szCs w:val="20"/>
              </w:rPr>
            </w:pPr>
          </w:p>
        </w:tc>
        <w:tc>
          <w:tcPr>
            <w:tcW w:w="571" w:type="pct"/>
            <w:vAlign w:val="center"/>
          </w:tcPr>
          <w:p w:rsidR="00B75BA5" w:rsidRPr="00373BF7" w:rsidRDefault="00B75BA5" w:rsidP="00B75BA5">
            <w:pPr>
              <w:spacing w:after="0" w:line="240" w:lineRule="auto"/>
              <w:rPr>
                <w:rFonts w:ascii="Arial" w:eastAsia="Times New Roman" w:hAnsi="Arial" w:cs="Arial"/>
                <w:sz w:val="20"/>
                <w:szCs w:val="20"/>
              </w:rPr>
            </w:pPr>
            <w:r w:rsidRPr="00373BF7">
              <w:rPr>
                <w:rFonts w:ascii="Arial" w:eastAsia="Times New Roman" w:hAnsi="Arial" w:cs="Arial"/>
                <w:sz w:val="20"/>
                <w:szCs w:val="20"/>
              </w:rPr>
              <w:t>ac</w:t>
            </w:r>
          </w:p>
        </w:tc>
      </w:tr>
      <w:tr w:rsidR="00B75BA5" w:rsidRPr="00373BF7" w:rsidTr="00373BF7">
        <w:trPr>
          <w:trHeight w:val="458"/>
        </w:trPr>
        <w:tc>
          <w:tcPr>
            <w:tcW w:w="240" w:type="pct"/>
            <w:shd w:val="clear" w:color="auto" w:fill="auto"/>
            <w:noWrap/>
            <w:tcMar>
              <w:top w:w="36" w:type="dxa"/>
              <w:bottom w:w="36" w:type="dxa"/>
            </w:tcMar>
            <w:vAlign w:val="center"/>
            <w:hideMark/>
          </w:tcPr>
          <w:p w:rsidR="00B75BA5" w:rsidRPr="00373BF7" w:rsidRDefault="00373BF7" w:rsidP="00B75BA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7</w:t>
            </w:r>
          </w:p>
        </w:tc>
        <w:tc>
          <w:tcPr>
            <w:tcW w:w="3045" w:type="pct"/>
            <w:shd w:val="clear" w:color="auto" w:fill="auto"/>
            <w:tcMar>
              <w:top w:w="36" w:type="dxa"/>
              <w:bottom w:w="36" w:type="dxa"/>
            </w:tcMar>
            <w:vAlign w:val="center"/>
            <w:hideMark/>
          </w:tcPr>
          <w:p w:rsidR="00B75BA5" w:rsidRPr="00373BF7" w:rsidRDefault="00B75BA5" w:rsidP="00B75BA5">
            <w:pPr>
              <w:spacing w:after="0" w:line="240" w:lineRule="auto"/>
              <w:rPr>
                <w:rFonts w:ascii="Arial" w:eastAsia="Times New Roman" w:hAnsi="Arial" w:cs="Arial"/>
                <w:sz w:val="20"/>
                <w:szCs w:val="20"/>
              </w:rPr>
            </w:pPr>
            <w:r w:rsidRPr="00373BF7">
              <w:rPr>
                <w:rFonts w:ascii="Arial" w:eastAsia="Times New Roman" w:hAnsi="Arial" w:cs="Arial"/>
                <w:sz w:val="20"/>
                <w:szCs w:val="20"/>
              </w:rPr>
              <w:t>What is the acreage of impervious area?</w:t>
            </w:r>
          </w:p>
        </w:tc>
        <w:tc>
          <w:tcPr>
            <w:tcW w:w="572" w:type="pct"/>
            <w:tcMar>
              <w:top w:w="36" w:type="dxa"/>
              <w:bottom w:w="36" w:type="dxa"/>
            </w:tcMar>
            <w:vAlign w:val="center"/>
          </w:tcPr>
          <w:p w:rsidR="00B75BA5" w:rsidRPr="00373BF7" w:rsidRDefault="00B75BA5" w:rsidP="00B75BA5">
            <w:pPr>
              <w:spacing w:after="0" w:line="240" w:lineRule="auto"/>
              <w:jc w:val="right"/>
              <w:rPr>
                <w:rFonts w:ascii="Arial" w:eastAsia="Times New Roman" w:hAnsi="Arial" w:cs="Arial"/>
                <w:sz w:val="20"/>
                <w:szCs w:val="20"/>
              </w:rPr>
            </w:pPr>
            <w:r w:rsidRPr="00373BF7">
              <w:rPr>
                <w:rFonts w:ascii="Arial" w:eastAsia="Times New Roman" w:hAnsi="Arial" w:cs="Arial"/>
                <w:sz w:val="20"/>
                <w:szCs w:val="20"/>
              </w:rPr>
              <w:t>IA</w:t>
            </w:r>
          </w:p>
        </w:tc>
        <w:tc>
          <w:tcPr>
            <w:tcW w:w="572" w:type="pct"/>
            <w:gridSpan w:val="2"/>
            <w:vAlign w:val="center"/>
          </w:tcPr>
          <w:p w:rsidR="00B75BA5" w:rsidRPr="00373BF7" w:rsidRDefault="00B75BA5" w:rsidP="00B75BA5">
            <w:pPr>
              <w:spacing w:after="0" w:line="240" w:lineRule="auto"/>
              <w:rPr>
                <w:rFonts w:ascii="Arial" w:eastAsia="Times New Roman" w:hAnsi="Arial" w:cs="Arial"/>
                <w:sz w:val="20"/>
                <w:szCs w:val="20"/>
              </w:rPr>
            </w:pPr>
          </w:p>
        </w:tc>
        <w:tc>
          <w:tcPr>
            <w:tcW w:w="571" w:type="pct"/>
            <w:vAlign w:val="center"/>
          </w:tcPr>
          <w:p w:rsidR="00B75BA5" w:rsidRPr="00373BF7" w:rsidRDefault="00B75BA5" w:rsidP="00B75BA5">
            <w:pPr>
              <w:spacing w:after="0" w:line="240" w:lineRule="auto"/>
              <w:rPr>
                <w:rFonts w:ascii="Arial" w:eastAsia="Times New Roman" w:hAnsi="Arial" w:cs="Arial"/>
                <w:sz w:val="20"/>
                <w:szCs w:val="20"/>
              </w:rPr>
            </w:pPr>
            <w:r w:rsidRPr="00373BF7">
              <w:rPr>
                <w:rFonts w:ascii="Arial" w:eastAsia="Times New Roman" w:hAnsi="Arial" w:cs="Arial"/>
                <w:sz w:val="20"/>
                <w:szCs w:val="20"/>
              </w:rPr>
              <w:t>ac</w:t>
            </w:r>
          </w:p>
        </w:tc>
      </w:tr>
      <w:tr w:rsidR="00B75BA5" w:rsidRPr="00373BF7" w:rsidTr="00373BF7">
        <w:trPr>
          <w:trHeight w:val="330"/>
        </w:trPr>
        <w:tc>
          <w:tcPr>
            <w:tcW w:w="240" w:type="pct"/>
            <w:shd w:val="clear" w:color="auto" w:fill="000000" w:themeFill="text1"/>
            <w:noWrap/>
            <w:tcMar>
              <w:top w:w="36" w:type="dxa"/>
              <w:bottom w:w="36" w:type="dxa"/>
            </w:tcMar>
            <w:vAlign w:val="center"/>
            <w:hideMark/>
          </w:tcPr>
          <w:p w:rsidR="00B75BA5" w:rsidRPr="00373BF7" w:rsidRDefault="00B75BA5" w:rsidP="00B75BA5">
            <w:pPr>
              <w:spacing w:after="0" w:line="240" w:lineRule="auto"/>
              <w:jc w:val="center"/>
              <w:rPr>
                <w:rFonts w:ascii="Arial" w:eastAsia="Times New Roman" w:hAnsi="Arial" w:cs="Arial"/>
                <w:color w:val="000000"/>
                <w:sz w:val="20"/>
                <w:szCs w:val="20"/>
              </w:rPr>
            </w:pPr>
          </w:p>
        </w:tc>
        <w:tc>
          <w:tcPr>
            <w:tcW w:w="3045" w:type="pct"/>
            <w:shd w:val="clear" w:color="auto" w:fill="000000" w:themeFill="text1"/>
            <w:tcMar>
              <w:top w:w="36" w:type="dxa"/>
              <w:bottom w:w="36" w:type="dxa"/>
            </w:tcMar>
            <w:vAlign w:val="center"/>
            <w:hideMark/>
          </w:tcPr>
          <w:p w:rsidR="00B75BA5" w:rsidRPr="00373BF7" w:rsidRDefault="00B75BA5" w:rsidP="00B75BA5">
            <w:pPr>
              <w:spacing w:after="0" w:line="240" w:lineRule="auto"/>
              <w:rPr>
                <w:rFonts w:ascii="Arial" w:eastAsia="Times New Roman" w:hAnsi="Arial" w:cs="Arial"/>
                <w:sz w:val="20"/>
                <w:szCs w:val="20"/>
              </w:rPr>
            </w:pPr>
            <w:r w:rsidRPr="00373BF7">
              <w:rPr>
                <w:rFonts w:ascii="Arial" w:eastAsia="Times New Roman" w:hAnsi="Arial" w:cs="Arial"/>
                <w:sz w:val="20"/>
                <w:szCs w:val="20"/>
              </w:rPr>
              <w:t>For projects with both toilet flushing and indoor demand</w:t>
            </w:r>
          </w:p>
        </w:tc>
        <w:tc>
          <w:tcPr>
            <w:tcW w:w="1143" w:type="pct"/>
            <w:gridSpan w:val="3"/>
            <w:shd w:val="clear" w:color="auto" w:fill="000000" w:themeFill="text1"/>
            <w:tcMar>
              <w:top w:w="36" w:type="dxa"/>
              <w:bottom w:w="36" w:type="dxa"/>
            </w:tcMar>
            <w:vAlign w:val="center"/>
          </w:tcPr>
          <w:p w:rsidR="00B75BA5" w:rsidRPr="00373BF7" w:rsidRDefault="00B75BA5" w:rsidP="00B75BA5">
            <w:pPr>
              <w:spacing w:after="0" w:line="240" w:lineRule="auto"/>
              <w:jc w:val="center"/>
              <w:rPr>
                <w:rFonts w:ascii="Arial" w:eastAsia="Times New Roman" w:hAnsi="Arial" w:cs="Arial"/>
                <w:sz w:val="20"/>
                <w:szCs w:val="20"/>
              </w:rPr>
            </w:pPr>
          </w:p>
        </w:tc>
        <w:tc>
          <w:tcPr>
            <w:tcW w:w="571" w:type="pct"/>
            <w:shd w:val="clear" w:color="auto" w:fill="000000" w:themeFill="text1"/>
            <w:vAlign w:val="center"/>
          </w:tcPr>
          <w:p w:rsidR="00B75BA5" w:rsidRPr="00373BF7" w:rsidRDefault="00B75BA5" w:rsidP="00B75BA5">
            <w:pPr>
              <w:spacing w:after="0" w:line="240" w:lineRule="auto"/>
              <w:jc w:val="center"/>
              <w:rPr>
                <w:rFonts w:ascii="Arial" w:eastAsia="Times New Roman" w:hAnsi="Arial" w:cs="Arial"/>
                <w:sz w:val="20"/>
                <w:szCs w:val="20"/>
              </w:rPr>
            </w:pPr>
          </w:p>
        </w:tc>
      </w:tr>
      <w:tr w:rsidR="00B75BA5" w:rsidRPr="00373BF7" w:rsidTr="00B75BA5">
        <w:trPr>
          <w:trHeight w:val="330"/>
        </w:trPr>
        <w:tc>
          <w:tcPr>
            <w:tcW w:w="240" w:type="pct"/>
            <w:shd w:val="clear" w:color="auto" w:fill="auto"/>
            <w:noWrap/>
            <w:tcMar>
              <w:top w:w="36" w:type="dxa"/>
              <w:bottom w:w="36" w:type="dxa"/>
            </w:tcMar>
            <w:vAlign w:val="center"/>
            <w:hideMark/>
          </w:tcPr>
          <w:p w:rsidR="00B75BA5" w:rsidRPr="00373BF7" w:rsidRDefault="00373BF7" w:rsidP="00B75BA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8</w:t>
            </w:r>
          </w:p>
        </w:tc>
        <w:tc>
          <w:tcPr>
            <w:tcW w:w="3045" w:type="pct"/>
            <w:shd w:val="clear" w:color="auto" w:fill="auto"/>
            <w:tcMar>
              <w:top w:w="36" w:type="dxa"/>
              <w:bottom w:w="36" w:type="dxa"/>
            </w:tcMar>
            <w:vAlign w:val="center"/>
            <w:hideMark/>
          </w:tcPr>
          <w:p w:rsidR="00B75BA5" w:rsidRPr="00373BF7" w:rsidRDefault="00B75BA5" w:rsidP="00B75BA5">
            <w:pPr>
              <w:spacing w:after="0" w:line="240" w:lineRule="auto"/>
              <w:rPr>
                <w:rFonts w:ascii="Arial" w:eastAsia="Times New Roman" w:hAnsi="Arial" w:cs="Arial"/>
                <w:sz w:val="20"/>
                <w:szCs w:val="20"/>
              </w:rPr>
            </w:pPr>
            <w:r w:rsidRPr="00373BF7">
              <w:rPr>
                <w:rFonts w:ascii="Arial" w:eastAsia="Times New Roman" w:hAnsi="Arial" w:cs="Arial"/>
                <w:sz w:val="20"/>
                <w:szCs w:val="20"/>
              </w:rPr>
              <w:t>What is the minimum use required for partial capture? (</w:t>
            </w:r>
            <w:fldSimple w:instr=" REF _Ref285039196 \h  \* MERGEFORMAT ">
              <w:r w:rsidR="00126DE5" w:rsidRPr="00126DE5">
                <w:rPr>
                  <w:rFonts w:cs="Arial"/>
                  <w:b/>
                  <w:color w:val="0070C0"/>
                  <w:sz w:val="20"/>
                  <w:szCs w:val="20"/>
                </w:rPr>
                <w:t xml:space="preserve">Table </w:t>
              </w:r>
              <w:r w:rsidR="00126DE5" w:rsidRPr="00126DE5">
                <w:rPr>
                  <w:rFonts w:cs="Arial"/>
                  <w:b/>
                  <w:noProof/>
                  <w:color w:val="0070C0"/>
                  <w:sz w:val="20"/>
                  <w:szCs w:val="20"/>
                </w:rPr>
                <w:t>X</w:t>
              </w:r>
              <w:r w:rsidR="00126DE5" w:rsidRPr="00126DE5">
                <w:rPr>
                  <w:rFonts w:cs="Arial"/>
                  <w:b/>
                  <w:color w:val="0070C0"/>
                  <w:sz w:val="20"/>
                  <w:szCs w:val="20"/>
                </w:rPr>
                <w:t>.6</w:t>
              </w:r>
            </w:fldSimple>
            <w:r w:rsidRPr="00373BF7">
              <w:rPr>
                <w:rFonts w:ascii="Arial" w:eastAsia="Times New Roman" w:hAnsi="Arial" w:cs="Arial"/>
                <w:sz w:val="20"/>
                <w:szCs w:val="20"/>
              </w:rPr>
              <w:t>)</w:t>
            </w:r>
          </w:p>
        </w:tc>
        <w:tc>
          <w:tcPr>
            <w:tcW w:w="1143" w:type="pct"/>
            <w:gridSpan w:val="3"/>
            <w:tcMar>
              <w:top w:w="36" w:type="dxa"/>
              <w:bottom w:w="36" w:type="dxa"/>
            </w:tcMar>
            <w:vAlign w:val="center"/>
          </w:tcPr>
          <w:p w:rsidR="00B75BA5" w:rsidRPr="00373BF7" w:rsidRDefault="00B75BA5" w:rsidP="00B75BA5">
            <w:pPr>
              <w:spacing w:after="0" w:line="240" w:lineRule="auto"/>
              <w:jc w:val="center"/>
              <w:rPr>
                <w:rFonts w:ascii="Arial" w:eastAsia="Times New Roman" w:hAnsi="Arial" w:cs="Arial"/>
                <w:sz w:val="20"/>
                <w:szCs w:val="20"/>
              </w:rPr>
            </w:pPr>
          </w:p>
        </w:tc>
        <w:tc>
          <w:tcPr>
            <w:tcW w:w="571" w:type="pct"/>
            <w:vAlign w:val="center"/>
          </w:tcPr>
          <w:p w:rsidR="00B75BA5" w:rsidRPr="00373BF7" w:rsidRDefault="00B75BA5" w:rsidP="00B75BA5">
            <w:pPr>
              <w:spacing w:after="0" w:line="240" w:lineRule="auto"/>
              <w:jc w:val="center"/>
              <w:rPr>
                <w:rFonts w:ascii="Arial" w:eastAsia="Times New Roman" w:hAnsi="Arial" w:cs="Arial"/>
                <w:sz w:val="20"/>
                <w:szCs w:val="20"/>
              </w:rPr>
            </w:pPr>
            <w:r w:rsidRPr="00373BF7">
              <w:rPr>
                <w:rFonts w:ascii="Arial" w:eastAsia="Times New Roman" w:hAnsi="Arial" w:cs="Arial"/>
                <w:sz w:val="20"/>
                <w:szCs w:val="20"/>
              </w:rPr>
              <w:t>gpd</w:t>
            </w:r>
          </w:p>
        </w:tc>
      </w:tr>
      <w:tr w:rsidR="00B75BA5" w:rsidRPr="00373BF7" w:rsidTr="00B75BA5">
        <w:trPr>
          <w:trHeight w:val="330"/>
        </w:trPr>
        <w:tc>
          <w:tcPr>
            <w:tcW w:w="240" w:type="pct"/>
            <w:shd w:val="clear" w:color="auto" w:fill="auto"/>
            <w:noWrap/>
            <w:tcMar>
              <w:top w:w="36" w:type="dxa"/>
              <w:bottom w:w="36" w:type="dxa"/>
            </w:tcMar>
            <w:vAlign w:val="center"/>
            <w:hideMark/>
          </w:tcPr>
          <w:p w:rsidR="00B75BA5" w:rsidRPr="00373BF7" w:rsidRDefault="00373BF7" w:rsidP="00B75BA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9</w:t>
            </w:r>
          </w:p>
        </w:tc>
        <w:tc>
          <w:tcPr>
            <w:tcW w:w="3045" w:type="pct"/>
            <w:shd w:val="clear" w:color="auto" w:fill="auto"/>
            <w:tcMar>
              <w:top w:w="36" w:type="dxa"/>
              <w:bottom w:w="36" w:type="dxa"/>
            </w:tcMar>
            <w:vAlign w:val="center"/>
            <w:hideMark/>
          </w:tcPr>
          <w:p w:rsidR="00B75BA5" w:rsidRPr="00373BF7" w:rsidRDefault="00B75BA5" w:rsidP="00B75BA5">
            <w:pPr>
              <w:spacing w:after="0" w:line="240" w:lineRule="auto"/>
              <w:rPr>
                <w:rFonts w:ascii="Arial" w:eastAsia="Times New Roman" w:hAnsi="Arial" w:cs="Arial"/>
                <w:sz w:val="20"/>
                <w:szCs w:val="20"/>
              </w:rPr>
            </w:pPr>
            <w:r w:rsidRPr="00373BF7">
              <w:rPr>
                <w:rFonts w:ascii="Arial" w:eastAsia="Times New Roman" w:hAnsi="Arial" w:cs="Arial"/>
                <w:sz w:val="20"/>
                <w:szCs w:val="20"/>
              </w:rPr>
              <w:t>What is the project estimated minimum wet season total daily use?</w:t>
            </w:r>
          </w:p>
        </w:tc>
        <w:tc>
          <w:tcPr>
            <w:tcW w:w="1143" w:type="pct"/>
            <w:gridSpan w:val="3"/>
            <w:tcMar>
              <w:top w:w="36" w:type="dxa"/>
              <w:bottom w:w="36" w:type="dxa"/>
            </w:tcMar>
            <w:vAlign w:val="center"/>
          </w:tcPr>
          <w:p w:rsidR="00B75BA5" w:rsidRPr="00373BF7" w:rsidRDefault="00B75BA5" w:rsidP="00B75BA5">
            <w:pPr>
              <w:spacing w:after="0" w:line="240" w:lineRule="auto"/>
              <w:jc w:val="center"/>
              <w:rPr>
                <w:rFonts w:ascii="Arial" w:eastAsia="Times New Roman" w:hAnsi="Arial" w:cs="Arial"/>
                <w:sz w:val="20"/>
                <w:szCs w:val="20"/>
              </w:rPr>
            </w:pPr>
          </w:p>
        </w:tc>
        <w:tc>
          <w:tcPr>
            <w:tcW w:w="571" w:type="pct"/>
            <w:vAlign w:val="center"/>
          </w:tcPr>
          <w:p w:rsidR="00B75BA5" w:rsidRPr="00373BF7" w:rsidRDefault="00B75BA5" w:rsidP="00B75BA5">
            <w:pPr>
              <w:spacing w:after="0" w:line="240" w:lineRule="auto"/>
              <w:jc w:val="center"/>
              <w:rPr>
                <w:rFonts w:ascii="Arial" w:eastAsia="Times New Roman" w:hAnsi="Arial" w:cs="Arial"/>
                <w:sz w:val="20"/>
                <w:szCs w:val="20"/>
              </w:rPr>
            </w:pPr>
            <w:r w:rsidRPr="00373BF7">
              <w:rPr>
                <w:rFonts w:ascii="Arial" w:eastAsia="Times New Roman" w:hAnsi="Arial" w:cs="Arial"/>
                <w:sz w:val="20"/>
                <w:szCs w:val="20"/>
              </w:rPr>
              <w:t>gpd</w:t>
            </w:r>
          </w:p>
        </w:tc>
      </w:tr>
      <w:tr w:rsidR="00B75BA5" w:rsidRPr="00373BF7" w:rsidTr="00B75BA5">
        <w:trPr>
          <w:trHeight w:val="330"/>
        </w:trPr>
        <w:tc>
          <w:tcPr>
            <w:tcW w:w="240" w:type="pct"/>
            <w:shd w:val="clear" w:color="auto" w:fill="auto"/>
            <w:noWrap/>
            <w:tcMar>
              <w:top w:w="36" w:type="dxa"/>
              <w:bottom w:w="36" w:type="dxa"/>
            </w:tcMar>
            <w:vAlign w:val="center"/>
            <w:hideMark/>
          </w:tcPr>
          <w:p w:rsidR="00B75BA5" w:rsidRPr="00373BF7" w:rsidRDefault="00373BF7" w:rsidP="00B75BA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10</w:t>
            </w:r>
          </w:p>
        </w:tc>
        <w:tc>
          <w:tcPr>
            <w:tcW w:w="3045" w:type="pct"/>
            <w:shd w:val="clear" w:color="auto" w:fill="auto"/>
            <w:tcMar>
              <w:top w:w="36" w:type="dxa"/>
              <w:bottom w:w="36" w:type="dxa"/>
            </w:tcMar>
            <w:vAlign w:val="center"/>
            <w:hideMark/>
          </w:tcPr>
          <w:p w:rsidR="00B75BA5" w:rsidRPr="00373BF7" w:rsidRDefault="00B75BA5" w:rsidP="00373BF7">
            <w:pPr>
              <w:spacing w:after="0" w:line="240" w:lineRule="auto"/>
              <w:rPr>
                <w:rFonts w:ascii="Arial" w:eastAsia="Times New Roman" w:hAnsi="Arial" w:cs="Arial"/>
                <w:sz w:val="20"/>
                <w:szCs w:val="20"/>
              </w:rPr>
            </w:pPr>
            <w:r w:rsidRPr="00373BF7">
              <w:rPr>
                <w:rFonts w:ascii="Arial" w:eastAsia="Times New Roman" w:hAnsi="Arial" w:cs="Arial"/>
                <w:sz w:val="20"/>
                <w:szCs w:val="20"/>
              </w:rPr>
              <w:t xml:space="preserve">Is partial capture potentially feasible? </w:t>
            </w:r>
            <w:r w:rsidR="00373BF7">
              <w:rPr>
                <w:rFonts w:ascii="Arial" w:eastAsia="Times New Roman" w:hAnsi="Arial" w:cs="Arial"/>
                <w:sz w:val="20"/>
                <w:szCs w:val="20"/>
              </w:rPr>
              <w:t>(Line 9 &gt; Line 8?)</w:t>
            </w:r>
          </w:p>
        </w:tc>
        <w:tc>
          <w:tcPr>
            <w:tcW w:w="1143" w:type="pct"/>
            <w:gridSpan w:val="3"/>
            <w:tcMar>
              <w:top w:w="36" w:type="dxa"/>
              <w:bottom w:w="36" w:type="dxa"/>
            </w:tcMar>
            <w:vAlign w:val="center"/>
          </w:tcPr>
          <w:p w:rsidR="00B75BA5" w:rsidRPr="00373BF7" w:rsidRDefault="00B75BA5" w:rsidP="00B75BA5">
            <w:pPr>
              <w:spacing w:after="0" w:line="240" w:lineRule="auto"/>
              <w:jc w:val="center"/>
              <w:rPr>
                <w:rFonts w:ascii="Arial" w:eastAsia="Times New Roman" w:hAnsi="Arial" w:cs="Arial"/>
                <w:sz w:val="20"/>
                <w:szCs w:val="20"/>
              </w:rPr>
            </w:pPr>
          </w:p>
        </w:tc>
        <w:tc>
          <w:tcPr>
            <w:tcW w:w="571" w:type="pct"/>
            <w:vAlign w:val="center"/>
          </w:tcPr>
          <w:p w:rsidR="00B75BA5" w:rsidRPr="00373BF7" w:rsidRDefault="00B75BA5" w:rsidP="00B75BA5">
            <w:pPr>
              <w:spacing w:after="0" w:line="240" w:lineRule="auto"/>
              <w:jc w:val="center"/>
              <w:rPr>
                <w:rFonts w:ascii="Arial" w:eastAsia="Times New Roman" w:hAnsi="Arial" w:cs="Arial"/>
                <w:sz w:val="20"/>
                <w:szCs w:val="20"/>
              </w:rPr>
            </w:pPr>
          </w:p>
        </w:tc>
      </w:tr>
      <w:tr w:rsidR="00B75BA5" w:rsidRPr="00373BF7" w:rsidTr="00373BF7">
        <w:trPr>
          <w:trHeight w:val="330"/>
        </w:trPr>
        <w:tc>
          <w:tcPr>
            <w:tcW w:w="240" w:type="pct"/>
            <w:shd w:val="clear" w:color="auto" w:fill="000000" w:themeFill="text1"/>
            <w:noWrap/>
            <w:tcMar>
              <w:top w:w="36" w:type="dxa"/>
              <w:bottom w:w="36" w:type="dxa"/>
            </w:tcMar>
            <w:vAlign w:val="center"/>
            <w:hideMark/>
          </w:tcPr>
          <w:p w:rsidR="00B75BA5" w:rsidRPr="00373BF7" w:rsidRDefault="00B75BA5" w:rsidP="00B75BA5">
            <w:pPr>
              <w:spacing w:after="0" w:line="240" w:lineRule="auto"/>
              <w:jc w:val="center"/>
              <w:rPr>
                <w:rFonts w:ascii="Arial" w:eastAsia="Times New Roman" w:hAnsi="Arial" w:cs="Arial"/>
                <w:color w:val="000000"/>
                <w:sz w:val="20"/>
                <w:szCs w:val="20"/>
              </w:rPr>
            </w:pPr>
          </w:p>
        </w:tc>
        <w:tc>
          <w:tcPr>
            <w:tcW w:w="3045" w:type="pct"/>
            <w:shd w:val="clear" w:color="auto" w:fill="000000" w:themeFill="text1"/>
            <w:tcMar>
              <w:top w:w="36" w:type="dxa"/>
              <w:bottom w:w="36" w:type="dxa"/>
            </w:tcMar>
            <w:vAlign w:val="center"/>
            <w:hideMark/>
          </w:tcPr>
          <w:p w:rsidR="00B75BA5" w:rsidRPr="00373BF7" w:rsidRDefault="00B75BA5" w:rsidP="00B75BA5">
            <w:pPr>
              <w:spacing w:after="0" w:line="240" w:lineRule="auto"/>
              <w:rPr>
                <w:rFonts w:ascii="Arial" w:eastAsia="Times New Roman" w:hAnsi="Arial" w:cs="Arial"/>
                <w:sz w:val="20"/>
                <w:szCs w:val="20"/>
              </w:rPr>
            </w:pPr>
            <w:r w:rsidRPr="00373BF7">
              <w:rPr>
                <w:rFonts w:ascii="Arial" w:eastAsia="Times New Roman" w:hAnsi="Arial" w:cs="Arial"/>
                <w:sz w:val="20"/>
                <w:szCs w:val="20"/>
              </w:rPr>
              <w:t>For projects with only toilet flushing demand</w:t>
            </w:r>
          </w:p>
        </w:tc>
        <w:tc>
          <w:tcPr>
            <w:tcW w:w="1143" w:type="pct"/>
            <w:gridSpan w:val="3"/>
            <w:shd w:val="clear" w:color="auto" w:fill="000000" w:themeFill="text1"/>
            <w:tcMar>
              <w:top w:w="36" w:type="dxa"/>
              <w:bottom w:w="36" w:type="dxa"/>
            </w:tcMar>
            <w:vAlign w:val="center"/>
          </w:tcPr>
          <w:p w:rsidR="00B75BA5" w:rsidRPr="00373BF7" w:rsidRDefault="00B75BA5" w:rsidP="00B75BA5">
            <w:pPr>
              <w:spacing w:after="0" w:line="240" w:lineRule="auto"/>
              <w:jc w:val="center"/>
              <w:rPr>
                <w:rFonts w:ascii="Arial" w:eastAsia="Times New Roman" w:hAnsi="Arial" w:cs="Arial"/>
                <w:sz w:val="20"/>
                <w:szCs w:val="20"/>
              </w:rPr>
            </w:pPr>
          </w:p>
        </w:tc>
        <w:tc>
          <w:tcPr>
            <w:tcW w:w="571" w:type="pct"/>
            <w:shd w:val="clear" w:color="auto" w:fill="000000" w:themeFill="text1"/>
            <w:vAlign w:val="center"/>
          </w:tcPr>
          <w:p w:rsidR="00B75BA5" w:rsidRPr="00373BF7" w:rsidRDefault="00B75BA5" w:rsidP="00B75BA5">
            <w:pPr>
              <w:spacing w:after="0" w:line="240" w:lineRule="auto"/>
              <w:jc w:val="center"/>
              <w:rPr>
                <w:rFonts w:ascii="Arial" w:eastAsia="Times New Roman" w:hAnsi="Arial" w:cs="Arial"/>
                <w:sz w:val="20"/>
                <w:szCs w:val="20"/>
              </w:rPr>
            </w:pPr>
          </w:p>
        </w:tc>
      </w:tr>
      <w:tr w:rsidR="00B75BA5" w:rsidRPr="00373BF7" w:rsidTr="00B75BA5">
        <w:trPr>
          <w:trHeight w:val="330"/>
        </w:trPr>
        <w:tc>
          <w:tcPr>
            <w:tcW w:w="240" w:type="pct"/>
            <w:shd w:val="clear" w:color="auto" w:fill="auto"/>
            <w:noWrap/>
            <w:tcMar>
              <w:top w:w="36" w:type="dxa"/>
              <w:bottom w:w="36" w:type="dxa"/>
            </w:tcMar>
            <w:vAlign w:val="center"/>
            <w:hideMark/>
          </w:tcPr>
          <w:p w:rsidR="00B75BA5" w:rsidRPr="00373BF7" w:rsidRDefault="00373BF7" w:rsidP="00B75BA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11</w:t>
            </w:r>
          </w:p>
        </w:tc>
        <w:tc>
          <w:tcPr>
            <w:tcW w:w="3045" w:type="pct"/>
            <w:shd w:val="clear" w:color="auto" w:fill="auto"/>
            <w:tcMar>
              <w:top w:w="36" w:type="dxa"/>
              <w:bottom w:w="36" w:type="dxa"/>
            </w:tcMar>
            <w:vAlign w:val="center"/>
            <w:hideMark/>
          </w:tcPr>
          <w:p w:rsidR="00B75BA5" w:rsidRPr="00373BF7" w:rsidRDefault="00B75BA5" w:rsidP="00B75BA5">
            <w:pPr>
              <w:spacing w:after="0" w:line="240" w:lineRule="auto"/>
              <w:rPr>
                <w:rFonts w:ascii="Arial" w:eastAsia="Times New Roman" w:hAnsi="Arial" w:cs="Arial"/>
                <w:sz w:val="20"/>
                <w:szCs w:val="20"/>
              </w:rPr>
            </w:pPr>
            <w:r w:rsidRPr="00373BF7">
              <w:rPr>
                <w:rFonts w:ascii="Arial" w:eastAsia="Times New Roman" w:hAnsi="Arial" w:cs="Arial"/>
                <w:sz w:val="20"/>
                <w:szCs w:val="20"/>
              </w:rPr>
              <w:t>What is the minimum TUTIA for partial capture? (</w:t>
            </w:r>
            <w:fldSimple w:instr=" REF _Ref285041522 \h  \* MERGEFORMAT ">
              <w:r w:rsidR="00126DE5" w:rsidRPr="00126DE5">
                <w:rPr>
                  <w:rFonts w:cs="Arial"/>
                  <w:b/>
                  <w:color w:val="0070C0"/>
                  <w:sz w:val="20"/>
                  <w:szCs w:val="20"/>
                </w:rPr>
                <w:t xml:space="preserve">Table </w:t>
              </w:r>
              <w:r w:rsidR="00126DE5" w:rsidRPr="00126DE5">
                <w:rPr>
                  <w:rFonts w:cs="Arial"/>
                  <w:b/>
                  <w:noProof/>
                  <w:color w:val="0070C0"/>
                  <w:sz w:val="20"/>
                  <w:szCs w:val="20"/>
                </w:rPr>
                <w:t>X</w:t>
              </w:r>
              <w:r w:rsidR="00126DE5" w:rsidRPr="00126DE5">
                <w:rPr>
                  <w:rFonts w:cs="Arial"/>
                  <w:b/>
                  <w:color w:val="0070C0"/>
                  <w:sz w:val="20"/>
                  <w:szCs w:val="20"/>
                </w:rPr>
                <w:t>.7</w:t>
              </w:r>
            </w:fldSimple>
            <w:r w:rsidRPr="00373BF7">
              <w:rPr>
                <w:rFonts w:ascii="Arial" w:eastAsia="Times New Roman" w:hAnsi="Arial" w:cs="Arial"/>
                <w:sz w:val="20"/>
                <w:szCs w:val="20"/>
              </w:rPr>
              <w:t>)</w:t>
            </w:r>
          </w:p>
        </w:tc>
        <w:tc>
          <w:tcPr>
            <w:tcW w:w="1143" w:type="pct"/>
            <w:gridSpan w:val="3"/>
            <w:tcMar>
              <w:top w:w="36" w:type="dxa"/>
              <w:bottom w:w="36" w:type="dxa"/>
            </w:tcMar>
            <w:vAlign w:val="center"/>
          </w:tcPr>
          <w:p w:rsidR="00B75BA5" w:rsidRPr="00373BF7" w:rsidRDefault="00B75BA5" w:rsidP="00B75BA5">
            <w:pPr>
              <w:spacing w:after="0" w:line="240" w:lineRule="auto"/>
              <w:jc w:val="center"/>
              <w:rPr>
                <w:rFonts w:ascii="Arial" w:eastAsia="Times New Roman" w:hAnsi="Arial" w:cs="Arial"/>
                <w:sz w:val="20"/>
                <w:szCs w:val="20"/>
              </w:rPr>
            </w:pPr>
          </w:p>
        </w:tc>
        <w:tc>
          <w:tcPr>
            <w:tcW w:w="571" w:type="pct"/>
            <w:vAlign w:val="center"/>
          </w:tcPr>
          <w:p w:rsidR="00B75BA5" w:rsidRPr="00373BF7" w:rsidRDefault="00B75BA5" w:rsidP="00B75BA5">
            <w:pPr>
              <w:spacing w:after="0" w:line="240" w:lineRule="auto"/>
              <w:jc w:val="center"/>
              <w:rPr>
                <w:rFonts w:ascii="Arial" w:eastAsia="Times New Roman" w:hAnsi="Arial" w:cs="Arial"/>
                <w:sz w:val="20"/>
                <w:szCs w:val="20"/>
              </w:rPr>
            </w:pPr>
          </w:p>
        </w:tc>
      </w:tr>
      <w:tr w:rsidR="00B75BA5" w:rsidRPr="00373BF7" w:rsidTr="00B75BA5">
        <w:trPr>
          <w:trHeight w:val="330"/>
        </w:trPr>
        <w:tc>
          <w:tcPr>
            <w:tcW w:w="240" w:type="pct"/>
            <w:shd w:val="clear" w:color="auto" w:fill="auto"/>
            <w:noWrap/>
            <w:tcMar>
              <w:top w:w="36" w:type="dxa"/>
              <w:bottom w:w="36" w:type="dxa"/>
            </w:tcMar>
            <w:vAlign w:val="center"/>
            <w:hideMark/>
          </w:tcPr>
          <w:p w:rsidR="00B75BA5" w:rsidRPr="00373BF7" w:rsidRDefault="00373BF7" w:rsidP="00B75BA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12</w:t>
            </w:r>
          </w:p>
        </w:tc>
        <w:tc>
          <w:tcPr>
            <w:tcW w:w="3045" w:type="pct"/>
            <w:shd w:val="clear" w:color="auto" w:fill="auto"/>
            <w:tcMar>
              <w:top w:w="36" w:type="dxa"/>
              <w:bottom w:w="36" w:type="dxa"/>
            </w:tcMar>
            <w:vAlign w:val="center"/>
            <w:hideMark/>
          </w:tcPr>
          <w:p w:rsidR="00B75BA5" w:rsidRPr="00373BF7" w:rsidRDefault="00B75BA5" w:rsidP="00B75BA5">
            <w:pPr>
              <w:spacing w:after="0" w:line="240" w:lineRule="auto"/>
              <w:rPr>
                <w:rFonts w:ascii="Arial" w:eastAsia="Times New Roman" w:hAnsi="Arial" w:cs="Arial"/>
                <w:sz w:val="20"/>
                <w:szCs w:val="20"/>
              </w:rPr>
            </w:pPr>
            <w:r w:rsidRPr="00373BF7">
              <w:rPr>
                <w:rFonts w:ascii="Arial" w:eastAsia="Times New Roman" w:hAnsi="Arial" w:cs="Arial"/>
                <w:sz w:val="20"/>
                <w:szCs w:val="20"/>
              </w:rPr>
              <w:t>What is the project estimated TUTIA?</w:t>
            </w:r>
          </w:p>
        </w:tc>
        <w:tc>
          <w:tcPr>
            <w:tcW w:w="1143" w:type="pct"/>
            <w:gridSpan w:val="3"/>
            <w:tcMar>
              <w:top w:w="36" w:type="dxa"/>
              <w:bottom w:w="36" w:type="dxa"/>
            </w:tcMar>
            <w:vAlign w:val="center"/>
          </w:tcPr>
          <w:p w:rsidR="00B75BA5" w:rsidRPr="00373BF7" w:rsidRDefault="00B75BA5" w:rsidP="00B75BA5">
            <w:pPr>
              <w:spacing w:after="0" w:line="240" w:lineRule="auto"/>
              <w:jc w:val="center"/>
              <w:rPr>
                <w:rFonts w:ascii="Arial" w:eastAsia="Times New Roman" w:hAnsi="Arial" w:cs="Arial"/>
                <w:sz w:val="20"/>
                <w:szCs w:val="20"/>
              </w:rPr>
            </w:pPr>
          </w:p>
        </w:tc>
        <w:tc>
          <w:tcPr>
            <w:tcW w:w="571" w:type="pct"/>
            <w:vAlign w:val="center"/>
          </w:tcPr>
          <w:p w:rsidR="00B75BA5" w:rsidRPr="00373BF7" w:rsidRDefault="00B75BA5" w:rsidP="00B75BA5">
            <w:pPr>
              <w:spacing w:after="0" w:line="240" w:lineRule="auto"/>
              <w:jc w:val="center"/>
              <w:rPr>
                <w:rFonts w:ascii="Arial" w:eastAsia="Times New Roman" w:hAnsi="Arial" w:cs="Arial"/>
                <w:sz w:val="20"/>
                <w:szCs w:val="20"/>
              </w:rPr>
            </w:pPr>
          </w:p>
        </w:tc>
      </w:tr>
      <w:tr w:rsidR="00373BF7" w:rsidRPr="00373BF7" w:rsidTr="00B75BA5">
        <w:trPr>
          <w:trHeight w:val="330"/>
        </w:trPr>
        <w:tc>
          <w:tcPr>
            <w:tcW w:w="240" w:type="pct"/>
            <w:shd w:val="clear" w:color="auto" w:fill="auto"/>
            <w:noWrap/>
            <w:tcMar>
              <w:top w:w="36" w:type="dxa"/>
              <w:bottom w:w="36" w:type="dxa"/>
            </w:tcMar>
            <w:vAlign w:val="center"/>
            <w:hideMark/>
          </w:tcPr>
          <w:p w:rsidR="00373BF7" w:rsidRPr="00373BF7" w:rsidRDefault="00373BF7" w:rsidP="00B75BA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13</w:t>
            </w:r>
          </w:p>
        </w:tc>
        <w:tc>
          <w:tcPr>
            <w:tcW w:w="3045" w:type="pct"/>
            <w:shd w:val="clear" w:color="auto" w:fill="auto"/>
            <w:tcMar>
              <w:top w:w="36" w:type="dxa"/>
              <w:bottom w:w="36" w:type="dxa"/>
            </w:tcMar>
            <w:vAlign w:val="center"/>
            <w:hideMark/>
          </w:tcPr>
          <w:p w:rsidR="00373BF7" w:rsidRPr="00373BF7" w:rsidRDefault="00373BF7" w:rsidP="00B75BA5">
            <w:pPr>
              <w:spacing w:after="0" w:line="240" w:lineRule="auto"/>
              <w:rPr>
                <w:rFonts w:ascii="Arial" w:eastAsia="Times New Roman" w:hAnsi="Arial" w:cs="Arial"/>
                <w:sz w:val="20"/>
                <w:szCs w:val="20"/>
              </w:rPr>
            </w:pPr>
            <w:r w:rsidRPr="00373BF7">
              <w:rPr>
                <w:rFonts w:ascii="Arial" w:eastAsia="Times New Roman" w:hAnsi="Arial" w:cs="Arial"/>
                <w:sz w:val="20"/>
                <w:szCs w:val="20"/>
              </w:rPr>
              <w:t>Is partial capture potentially feasible?</w:t>
            </w:r>
            <w:r>
              <w:rPr>
                <w:rFonts w:ascii="Arial" w:eastAsia="Times New Roman" w:hAnsi="Arial" w:cs="Arial"/>
                <w:sz w:val="20"/>
                <w:szCs w:val="20"/>
              </w:rPr>
              <w:t xml:space="preserve"> (Line 12 &gt; Line 11?)</w:t>
            </w:r>
          </w:p>
        </w:tc>
        <w:tc>
          <w:tcPr>
            <w:tcW w:w="1143" w:type="pct"/>
            <w:gridSpan w:val="3"/>
            <w:tcMar>
              <w:top w:w="36" w:type="dxa"/>
              <w:bottom w:w="36" w:type="dxa"/>
            </w:tcMar>
            <w:vAlign w:val="center"/>
          </w:tcPr>
          <w:p w:rsidR="00373BF7" w:rsidRPr="00373BF7" w:rsidRDefault="00373BF7" w:rsidP="00B75BA5">
            <w:pPr>
              <w:spacing w:after="0" w:line="240" w:lineRule="auto"/>
              <w:jc w:val="center"/>
              <w:rPr>
                <w:rFonts w:ascii="Arial" w:eastAsia="Times New Roman" w:hAnsi="Arial" w:cs="Arial"/>
                <w:sz w:val="20"/>
                <w:szCs w:val="20"/>
              </w:rPr>
            </w:pPr>
          </w:p>
        </w:tc>
        <w:tc>
          <w:tcPr>
            <w:tcW w:w="571" w:type="pct"/>
            <w:vAlign w:val="center"/>
          </w:tcPr>
          <w:p w:rsidR="00373BF7" w:rsidRPr="00373BF7" w:rsidRDefault="00373BF7" w:rsidP="00B75BA5">
            <w:pPr>
              <w:spacing w:after="0" w:line="240" w:lineRule="auto"/>
              <w:jc w:val="center"/>
              <w:rPr>
                <w:rFonts w:ascii="Arial" w:eastAsia="Times New Roman" w:hAnsi="Arial" w:cs="Arial"/>
                <w:sz w:val="20"/>
                <w:szCs w:val="20"/>
              </w:rPr>
            </w:pPr>
          </w:p>
        </w:tc>
      </w:tr>
      <w:tr w:rsidR="00B75BA5" w:rsidRPr="00373BF7" w:rsidTr="00B75BA5">
        <w:trPr>
          <w:trHeight w:val="330"/>
        </w:trPr>
        <w:tc>
          <w:tcPr>
            <w:tcW w:w="240" w:type="pct"/>
            <w:shd w:val="clear" w:color="auto" w:fill="000000" w:themeFill="text1"/>
            <w:noWrap/>
            <w:tcMar>
              <w:top w:w="36" w:type="dxa"/>
              <w:bottom w:w="36" w:type="dxa"/>
            </w:tcMar>
            <w:vAlign w:val="center"/>
            <w:hideMark/>
          </w:tcPr>
          <w:p w:rsidR="00B75BA5" w:rsidRPr="00373BF7" w:rsidRDefault="00B75BA5" w:rsidP="00B75BA5">
            <w:pPr>
              <w:spacing w:after="0" w:line="240" w:lineRule="auto"/>
              <w:jc w:val="center"/>
              <w:rPr>
                <w:rFonts w:ascii="Arial" w:eastAsia="Times New Roman" w:hAnsi="Arial" w:cs="Arial"/>
                <w:color w:val="000000"/>
                <w:sz w:val="20"/>
                <w:szCs w:val="20"/>
              </w:rPr>
            </w:pPr>
          </w:p>
        </w:tc>
        <w:tc>
          <w:tcPr>
            <w:tcW w:w="3045" w:type="pct"/>
            <w:shd w:val="clear" w:color="auto" w:fill="000000" w:themeFill="text1"/>
            <w:tcMar>
              <w:top w:w="36" w:type="dxa"/>
              <w:bottom w:w="36" w:type="dxa"/>
            </w:tcMar>
            <w:vAlign w:val="center"/>
            <w:hideMark/>
          </w:tcPr>
          <w:p w:rsidR="00B75BA5" w:rsidRPr="00373BF7" w:rsidRDefault="00B75BA5" w:rsidP="00B75BA5">
            <w:pPr>
              <w:spacing w:after="0" w:line="240" w:lineRule="auto"/>
              <w:rPr>
                <w:rFonts w:ascii="Arial" w:eastAsia="Times New Roman" w:hAnsi="Arial" w:cs="Arial"/>
                <w:sz w:val="20"/>
                <w:szCs w:val="20"/>
              </w:rPr>
            </w:pPr>
            <w:r w:rsidRPr="00373BF7">
              <w:rPr>
                <w:rFonts w:ascii="Arial" w:eastAsia="Times New Roman" w:hAnsi="Arial" w:cs="Arial"/>
                <w:sz w:val="20"/>
                <w:szCs w:val="20"/>
              </w:rPr>
              <w:t>For projects with only irrigation demand</w:t>
            </w:r>
          </w:p>
        </w:tc>
        <w:tc>
          <w:tcPr>
            <w:tcW w:w="1143" w:type="pct"/>
            <w:gridSpan w:val="3"/>
            <w:shd w:val="clear" w:color="auto" w:fill="000000" w:themeFill="text1"/>
            <w:tcMar>
              <w:top w:w="36" w:type="dxa"/>
              <w:bottom w:w="36" w:type="dxa"/>
            </w:tcMar>
            <w:vAlign w:val="center"/>
          </w:tcPr>
          <w:p w:rsidR="00B75BA5" w:rsidRPr="00373BF7" w:rsidRDefault="00B75BA5" w:rsidP="00B75BA5">
            <w:pPr>
              <w:spacing w:after="0" w:line="240" w:lineRule="auto"/>
              <w:jc w:val="center"/>
              <w:rPr>
                <w:rFonts w:ascii="Arial" w:eastAsia="Times New Roman" w:hAnsi="Arial" w:cs="Arial"/>
                <w:sz w:val="20"/>
                <w:szCs w:val="20"/>
              </w:rPr>
            </w:pPr>
          </w:p>
        </w:tc>
        <w:tc>
          <w:tcPr>
            <w:tcW w:w="571" w:type="pct"/>
            <w:shd w:val="clear" w:color="auto" w:fill="000000" w:themeFill="text1"/>
            <w:vAlign w:val="center"/>
          </w:tcPr>
          <w:p w:rsidR="00B75BA5" w:rsidRPr="00373BF7" w:rsidRDefault="00B75BA5" w:rsidP="00B75BA5">
            <w:pPr>
              <w:spacing w:after="0" w:line="240" w:lineRule="auto"/>
              <w:jc w:val="center"/>
              <w:rPr>
                <w:rFonts w:ascii="Arial" w:eastAsia="Times New Roman" w:hAnsi="Arial" w:cs="Arial"/>
                <w:sz w:val="20"/>
                <w:szCs w:val="20"/>
              </w:rPr>
            </w:pPr>
          </w:p>
        </w:tc>
      </w:tr>
      <w:tr w:rsidR="00373BF7" w:rsidRPr="00373BF7" w:rsidTr="00B75BA5">
        <w:trPr>
          <w:trHeight w:val="330"/>
        </w:trPr>
        <w:tc>
          <w:tcPr>
            <w:tcW w:w="240" w:type="pct"/>
            <w:shd w:val="clear" w:color="auto" w:fill="auto"/>
            <w:noWrap/>
            <w:tcMar>
              <w:top w:w="36" w:type="dxa"/>
              <w:bottom w:w="36" w:type="dxa"/>
            </w:tcMar>
            <w:vAlign w:val="center"/>
            <w:hideMark/>
          </w:tcPr>
          <w:p w:rsidR="00373BF7" w:rsidRPr="00373BF7" w:rsidRDefault="00373BF7" w:rsidP="00B75BA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14</w:t>
            </w:r>
          </w:p>
        </w:tc>
        <w:tc>
          <w:tcPr>
            <w:tcW w:w="3045" w:type="pct"/>
            <w:shd w:val="clear" w:color="auto" w:fill="auto"/>
            <w:tcMar>
              <w:top w:w="36" w:type="dxa"/>
              <w:bottom w:w="36" w:type="dxa"/>
            </w:tcMar>
            <w:vAlign w:val="center"/>
            <w:hideMark/>
          </w:tcPr>
          <w:p w:rsidR="00373BF7" w:rsidRPr="00373BF7" w:rsidRDefault="00373BF7" w:rsidP="00B75BA5">
            <w:pPr>
              <w:spacing w:after="0" w:line="240" w:lineRule="auto"/>
              <w:rPr>
                <w:rFonts w:ascii="Arial" w:eastAsia="Times New Roman" w:hAnsi="Arial" w:cs="Arial"/>
                <w:sz w:val="20"/>
                <w:szCs w:val="20"/>
              </w:rPr>
            </w:pPr>
            <w:r w:rsidRPr="00373BF7">
              <w:rPr>
                <w:rFonts w:ascii="Arial" w:eastAsia="Times New Roman" w:hAnsi="Arial" w:cs="Arial"/>
                <w:sz w:val="20"/>
                <w:szCs w:val="20"/>
              </w:rPr>
              <w:t xml:space="preserve">What is the minimum irrigation area required based on conservation landscape design? ( </w:t>
            </w:r>
            <w:fldSimple w:instr=" REF _Ref285530916 \h  \* MERGEFORMAT ">
              <w:r w:rsidR="00126DE5" w:rsidRPr="00126DE5">
                <w:rPr>
                  <w:rFonts w:cs="Arial"/>
                  <w:b/>
                  <w:color w:val="0070C0"/>
                  <w:sz w:val="20"/>
                  <w:szCs w:val="20"/>
                </w:rPr>
                <w:t xml:space="preserve">Table </w:t>
              </w:r>
              <w:r w:rsidR="00126DE5" w:rsidRPr="00126DE5">
                <w:rPr>
                  <w:rFonts w:cs="Arial"/>
                  <w:b/>
                  <w:noProof/>
                  <w:color w:val="0070C0"/>
                  <w:sz w:val="20"/>
                  <w:szCs w:val="20"/>
                </w:rPr>
                <w:t>X</w:t>
              </w:r>
              <w:r w:rsidR="00126DE5" w:rsidRPr="00126DE5">
                <w:rPr>
                  <w:rFonts w:cs="Arial"/>
                  <w:b/>
                  <w:color w:val="0070C0"/>
                  <w:sz w:val="20"/>
                  <w:szCs w:val="20"/>
                </w:rPr>
                <w:t>.8</w:t>
              </w:r>
            </w:fldSimple>
            <w:r w:rsidRPr="00373BF7">
              <w:rPr>
                <w:rFonts w:ascii="Arial" w:eastAsia="Times New Roman" w:hAnsi="Arial" w:cs="Arial"/>
                <w:sz w:val="20"/>
                <w:szCs w:val="20"/>
              </w:rPr>
              <w:t>)</w:t>
            </w:r>
          </w:p>
        </w:tc>
        <w:tc>
          <w:tcPr>
            <w:tcW w:w="1143" w:type="pct"/>
            <w:gridSpan w:val="3"/>
            <w:tcMar>
              <w:top w:w="36" w:type="dxa"/>
              <w:bottom w:w="36" w:type="dxa"/>
            </w:tcMar>
            <w:vAlign w:val="center"/>
          </w:tcPr>
          <w:p w:rsidR="00373BF7" w:rsidRPr="00373BF7" w:rsidRDefault="00373BF7" w:rsidP="00B75BA5">
            <w:pPr>
              <w:spacing w:after="0" w:line="240" w:lineRule="auto"/>
              <w:jc w:val="center"/>
              <w:rPr>
                <w:rFonts w:ascii="Arial" w:eastAsia="Times New Roman" w:hAnsi="Arial" w:cs="Arial"/>
                <w:sz w:val="20"/>
                <w:szCs w:val="20"/>
              </w:rPr>
            </w:pPr>
          </w:p>
        </w:tc>
        <w:tc>
          <w:tcPr>
            <w:tcW w:w="571" w:type="pct"/>
            <w:vAlign w:val="center"/>
          </w:tcPr>
          <w:p w:rsidR="00373BF7" w:rsidRPr="00373BF7" w:rsidRDefault="00373BF7" w:rsidP="00B75BA5">
            <w:pPr>
              <w:spacing w:after="0" w:line="240" w:lineRule="auto"/>
              <w:jc w:val="center"/>
              <w:rPr>
                <w:rFonts w:ascii="Arial" w:eastAsia="Times New Roman" w:hAnsi="Arial" w:cs="Arial"/>
                <w:sz w:val="20"/>
                <w:szCs w:val="20"/>
              </w:rPr>
            </w:pPr>
            <w:r w:rsidRPr="00373BF7">
              <w:rPr>
                <w:rFonts w:ascii="Arial" w:eastAsia="Times New Roman" w:hAnsi="Arial" w:cs="Arial"/>
                <w:sz w:val="20"/>
                <w:szCs w:val="20"/>
              </w:rPr>
              <w:t>ac</w:t>
            </w:r>
          </w:p>
        </w:tc>
      </w:tr>
      <w:tr w:rsidR="00373BF7" w:rsidRPr="00373BF7" w:rsidTr="00B75BA5">
        <w:trPr>
          <w:trHeight w:val="330"/>
        </w:trPr>
        <w:tc>
          <w:tcPr>
            <w:tcW w:w="240" w:type="pct"/>
            <w:shd w:val="clear" w:color="auto" w:fill="auto"/>
            <w:noWrap/>
            <w:tcMar>
              <w:top w:w="36" w:type="dxa"/>
              <w:bottom w:w="36" w:type="dxa"/>
            </w:tcMar>
            <w:vAlign w:val="center"/>
            <w:hideMark/>
          </w:tcPr>
          <w:p w:rsidR="00373BF7" w:rsidRPr="00373BF7" w:rsidRDefault="00373BF7" w:rsidP="00B75BA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15</w:t>
            </w:r>
          </w:p>
        </w:tc>
        <w:tc>
          <w:tcPr>
            <w:tcW w:w="3045" w:type="pct"/>
            <w:shd w:val="clear" w:color="auto" w:fill="auto"/>
            <w:tcMar>
              <w:top w:w="36" w:type="dxa"/>
              <w:bottom w:w="36" w:type="dxa"/>
            </w:tcMar>
            <w:vAlign w:val="center"/>
            <w:hideMark/>
          </w:tcPr>
          <w:p w:rsidR="00373BF7" w:rsidRPr="00373BF7" w:rsidRDefault="00373BF7" w:rsidP="00B75BA5">
            <w:pPr>
              <w:spacing w:after="0" w:line="240" w:lineRule="auto"/>
              <w:rPr>
                <w:rFonts w:ascii="Arial" w:eastAsia="Times New Roman" w:hAnsi="Arial" w:cs="Arial"/>
                <w:sz w:val="20"/>
                <w:szCs w:val="20"/>
              </w:rPr>
            </w:pPr>
            <w:r w:rsidRPr="00373BF7">
              <w:rPr>
                <w:rFonts w:ascii="Arial" w:eastAsia="Times New Roman" w:hAnsi="Arial" w:cs="Arial"/>
                <w:sz w:val="20"/>
                <w:szCs w:val="20"/>
              </w:rPr>
              <w:t>What is the proposed project irrigated area? (multiply conservation landscaping by 1; multiply active turf by 2)</w:t>
            </w:r>
          </w:p>
        </w:tc>
        <w:tc>
          <w:tcPr>
            <w:tcW w:w="1143" w:type="pct"/>
            <w:gridSpan w:val="3"/>
            <w:tcMar>
              <w:top w:w="36" w:type="dxa"/>
              <w:bottom w:w="36" w:type="dxa"/>
            </w:tcMar>
            <w:vAlign w:val="center"/>
          </w:tcPr>
          <w:p w:rsidR="00373BF7" w:rsidRPr="00373BF7" w:rsidRDefault="00373BF7" w:rsidP="00B75BA5">
            <w:pPr>
              <w:spacing w:after="0" w:line="240" w:lineRule="auto"/>
              <w:jc w:val="center"/>
              <w:rPr>
                <w:rFonts w:ascii="Arial" w:eastAsia="Times New Roman" w:hAnsi="Arial" w:cs="Arial"/>
                <w:sz w:val="20"/>
                <w:szCs w:val="20"/>
              </w:rPr>
            </w:pPr>
          </w:p>
        </w:tc>
        <w:tc>
          <w:tcPr>
            <w:tcW w:w="571" w:type="pct"/>
            <w:vAlign w:val="center"/>
          </w:tcPr>
          <w:p w:rsidR="00373BF7" w:rsidRPr="00373BF7" w:rsidRDefault="00373BF7" w:rsidP="00B75BA5">
            <w:pPr>
              <w:spacing w:after="0" w:line="240" w:lineRule="auto"/>
              <w:jc w:val="center"/>
              <w:rPr>
                <w:rFonts w:ascii="Arial" w:eastAsia="Times New Roman" w:hAnsi="Arial" w:cs="Arial"/>
                <w:sz w:val="20"/>
                <w:szCs w:val="20"/>
              </w:rPr>
            </w:pPr>
            <w:r w:rsidRPr="00373BF7">
              <w:rPr>
                <w:rFonts w:ascii="Arial" w:eastAsia="Times New Roman" w:hAnsi="Arial" w:cs="Arial"/>
                <w:sz w:val="20"/>
                <w:szCs w:val="20"/>
              </w:rPr>
              <w:t>ac</w:t>
            </w:r>
          </w:p>
        </w:tc>
      </w:tr>
      <w:tr w:rsidR="00373BF7" w:rsidRPr="00373BF7" w:rsidTr="00373BF7">
        <w:trPr>
          <w:trHeight w:val="431"/>
        </w:trPr>
        <w:tc>
          <w:tcPr>
            <w:tcW w:w="240" w:type="pct"/>
            <w:shd w:val="clear" w:color="auto" w:fill="auto"/>
            <w:noWrap/>
            <w:tcMar>
              <w:top w:w="36" w:type="dxa"/>
              <w:bottom w:w="36" w:type="dxa"/>
            </w:tcMar>
            <w:vAlign w:val="center"/>
            <w:hideMark/>
          </w:tcPr>
          <w:p w:rsidR="00373BF7" w:rsidRPr="00373BF7" w:rsidRDefault="00373BF7" w:rsidP="00B75BA5">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16</w:t>
            </w:r>
          </w:p>
        </w:tc>
        <w:tc>
          <w:tcPr>
            <w:tcW w:w="3045" w:type="pct"/>
            <w:shd w:val="clear" w:color="auto" w:fill="auto"/>
            <w:tcMar>
              <w:top w:w="36" w:type="dxa"/>
              <w:bottom w:w="36" w:type="dxa"/>
            </w:tcMar>
            <w:vAlign w:val="center"/>
            <w:hideMark/>
          </w:tcPr>
          <w:p w:rsidR="00373BF7" w:rsidRPr="00373BF7" w:rsidRDefault="00373BF7" w:rsidP="00373BF7">
            <w:pPr>
              <w:spacing w:after="0" w:line="240" w:lineRule="auto"/>
              <w:rPr>
                <w:rFonts w:ascii="Arial" w:eastAsia="Times New Roman" w:hAnsi="Arial" w:cs="Arial"/>
                <w:b/>
                <w:sz w:val="20"/>
                <w:szCs w:val="20"/>
              </w:rPr>
            </w:pPr>
            <w:r w:rsidRPr="00373BF7">
              <w:rPr>
                <w:rFonts w:ascii="Arial" w:eastAsia="Times New Roman" w:hAnsi="Arial" w:cs="Arial"/>
                <w:sz w:val="20"/>
                <w:szCs w:val="20"/>
              </w:rPr>
              <w:t>Is partial capture potentially feasible?</w:t>
            </w:r>
            <w:r>
              <w:rPr>
                <w:rFonts w:ascii="Arial" w:eastAsia="Times New Roman" w:hAnsi="Arial" w:cs="Arial"/>
                <w:sz w:val="20"/>
                <w:szCs w:val="20"/>
              </w:rPr>
              <w:t xml:space="preserve"> (Line 15 &gt; Line 14?)</w:t>
            </w:r>
          </w:p>
        </w:tc>
        <w:tc>
          <w:tcPr>
            <w:tcW w:w="1143" w:type="pct"/>
            <w:gridSpan w:val="3"/>
            <w:tcMar>
              <w:top w:w="36" w:type="dxa"/>
              <w:bottom w:w="36" w:type="dxa"/>
            </w:tcMar>
            <w:vAlign w:val="center"/>
          </w:tcPr>
          <w:p w:rsidR="00373BF7" w:rsidRPr="00373BF7" w:rsidRDefault="00373BF7" w:rsidP="00B75BA5">
            <w:pPr>
              <w:spacing w:after="0" w:line="240" w:lineRule="auto"/>
              <w:jc w:val="center"/>
              <w:rPr>
                <w:rFonts w:ascii="Arial" w:eastAsia="Times New Roman" w:hAnsi="Arial" w:cs="Arial"/>
                <w:sz w:val="20"/>
                <w:szCs w:val="20"/>
              </w:rPr>
            </w:pPr>
          </w:p>
        </w:tc>
        <w:tc>
          <w:tcPr>
            <w:tcW w:w="571" w:type="pct"/>
            <w:vAlign w:val="center"/>
          </w:tcPr>
          <w:p w:rsidR="00373BF7" w:rsidRPr="00373BF7" w:rsidRDefault="00373BF7" w:rsidP="00B75BA5">
            <w:pPr>
              <w:spacing w:after="0" w:line="240" w:lineRule="auto"/>
              <w:jc w:val="center"/>
              <w:rPr>
                <w:rFonts w:ascii="Arial" w:eastAsia="Times New Roman" w:hAnsi="Arial" w:cs="Arial"/>
                <w:sz w:val="20"/>
                <w:szCs w:val="20"/>
              </w:rPr>
            </w:pPr>
          </w:p>
        </w:tc>
      </w:tr>
      <w:tr w:rsidR="00373BF7" w:rsidRPr="00373BF7" w:rsidTr="00373BF7">
        <w:trPr>
          <w:trHeight w:val="1997"/>
        </w:trPr>
        <w:tc>
          <w:tcPr>
            <w:tcW w:w="5000" w:type="pct"/>
            <w:gridSpan w:val="6"/>
            <w:shd w:val="clear" w:color="auto" w:fill="auto"/>
            <w:noWrap/>
            <w:tcMar>
              <w:top w:w="36" w:type="dxa"/>
              <w:bottom w:w="36" w:type="dxa"/>
            </w:tcMar>
            <w:hideMark/>
          </w:tcPr>
          <w:p w:rsidR="00373BF7" w:rsidRPr="00373BF7" w:rsidRDefault="00373BF7" w:rsidP="00373BF7">
            <w:pPr>
              <w:spacing w:after="0" w:line="240" w:lineRule="auto"/>
              <w:rPr>
                <w:rFonts w:ascii="Arial" w:eastAsia="Times New Roman" w:hAnsi="Arial" w:cs="Arial"/>
                <w:sz w:val="20"/>
                <w:szCs w:val="20"/>
              </w:rPr>
            </w:pPr>
            <w:r>
              <w:rPr>
                <w:rFonts w:ascii="Arial" w:eastAsia="Times New Roman" w:hAnsi="Arial" w:cs="Arial"/>
                <w:color w:val="000000"/>
                <w:sz w:val="20"/>
                <w:szCs w:val="20"/>
              </w:rPr>
              <w:t>Provide supporting assumptions and citations for controlling demand calculation:</w:t>
            </w:r>
          </w:p>
        </w:tc>
      </w:tr>
    </w:tbl>
    <w:p w:rsidR="009565DB" w:rsidRDefault="009565DB" w:rsidP="00F65443">
      <w:pPr>
        <w:pStyle w:val="CDMBTEXT"/>
      </w:pPr>
    </w:p>
    <w:p w:rsidR="00F65443" w:rsidRPr="00F65443" w:rsidRDefault="00F65443" w:rsidP="00F65443">
      <w:pPr>
        <w:sectPr w:rsidR="00F65443" w:rsidRPr="00F65443" w:rsidSect="00BF43BB">
          <w:pgSz w:w="12240" w:h="15840" w:code="1"/>
          <w:pgMar w:top="1440" w:right="1440" w:bottom="1440" w:left="1440" w:header="720" w:footer="432" w:gutter="0"/>
          <w:pgNumType w:start="1" w:chapStyle="1"/>
          <w:cols w:space="720"/>
          <w:docGrid w:linePitch="360"/>
        </w:sectPr>
      </w:pPr>
    </w:p>
    <w:p w:rsidR="0013104B" w:rsidRDefault="004C6431" w:rsidP="00A52883">
      <w:pPr>
        <w:pStyle w:val="Heading1"/>
      </w:pPr>
      <w:bookmarkStart w:id="653" w:name="_Criteria_for_determining"/>
      <w:bookmarkStart w:id="654" w:name="_Toc285308183"/>
      <w:bookmarkStart w:id="655" w:name="_Toc285315767"/>
      <w:bookmarkStart w:id="656" w:name="_Toc285315900"/>
      <w:bookmarkStart w:id="657" w:name="_Ref285390233"/>
      <w:bookmarkStart w:id="658" w:name="_Ref285390578"/>
      <w:bookmarkStart w:id="659" w:name="_Ref285488925"/>
      <w:bookmarkStart w:id="660" w:name="_Toc285492484"/>
      <w:bookmarkStart w:id="661" w:name="_Ref287631311"/>
      <w:bookmarkStart w:id="662" w:name="_Ref287641893"/>
      <w:bookmarkStart w:id="663" w:name="_Ref287643538"/>
      <w:bookmarkStart w:id="664" w:name="_Ref287646132"/>
      <w:bookmarkStart w:id="665" w:name="_Ref287699255"/>
      <w:bookmarkStart w:id="666" w:name="_Ref287705622"/>
      <w:bookmarkStart w:id="667" w:name="_Toc288541104"/>
      <w:bookmarkStart w:id="668" w:name="_Toc293937160"/>
      <w:bookmarkEnd w:id="653"/>
      <w:r>
        <w:rPr>
          <w:caps w:val="0"/>
        </w:rPr>
        <w:t>CRITERIA FOR DESIGNING BMPS TO ACHIEVE MAXIMUM FEASIBLE RETENTION AND BIOTREATMENT</w:t>
      </w:r>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p>
    <w:p w:rsidR="00EF6288" w:rsidRDefault="00EF6288" w:rsidP="00A52883">
      <w:pPr>
        <w:pStyle w:val="Heading2"/>
      </w:pPr>
      <w:bookmarkStart w:id="669" w:name="_Toc285308184"/>
      <w:bookmarkStart w:id="670" w:name="_Toc285315768"/>
      <w:bookmarkStart w:id="671" w:name="_Toc285492485"/>
      <w:bookmarkStart w:id="672" w:name="_Toc288541105"/>
      <w:bookmarkStart w:id="673" w:name="_Toc293937161"/>
      <w:r>
        <w:t>Purpose and Intended Use</w:t>
      </w:r>
      <w:bookmarkEnd w:id="669"/>
      <w:bookmarkEnd w:id="670"/>
      <w:bookmarkEnd w:id="671"/>
      <w:bookmarkEnd w:id="672"/>
      <w:bookmarkEnd w:id="673"/>
    </w:p>
    <w:p w:rsidR="00123940" w:rsidRDefault="006C0B30" w:rsidP="001D5BDE">
      <w:pPr>
        <w:pStyle w:val="CDMBTEXT"/>
      </w:pPr>
      <w:r>
        <w:t>The purpose</w:t>
      </w:r>
      <w:r w:rsidR="00123940">
        <w:t>s</w:t>
      </w:r>
      <w:r>
        <w:t xml:space="preserve"> of this </w:t>
      </w:r>
      <w:r w:rsidR="00DB3AA5">
        <w:t>appendix</w:t>
      </w:r>
      <w:r>
        <w:t xml:space="preserve"> </w:t>
      </w:r>
      <w:r w:rsidR="00123940">
        <w:t>are two-fold:</w:t>
      </w:r>
    </w:p>
    <w:p w:rsidR="0014047B" w:rsidRDefault="00123940" w:rsidP="009531AF">
      <w:pPr>
        <w:pStyle w:val="CDMBTEXT"/>
        <w:numPr>
          <w:ilvl w:val="0"/>
          <w:numId w:val="65"/>
        </w:numPr>
        <w:contextualSpacing/>
      </w:pPr>
      <w:r>
        <w:t>To provide guidance for designing biotreatment BMPs to achieve the maximum feasible Infiltration and ET.  Where biotreatment BMPs are used, they must be designed to achieve this objective.</w:t>
      </w:r>
    </w:p>
    <w:p w:rsidR="0014047B" w:rsidRDefault="00123940" w:rsidP="009531AF">
      <w:pPr>
        <w:pStyle w:val="CDMBTEXT"/>
        <w:numPr>
          <w:ilvl w:val="0"/>
          <w:numId w:val="65"/>
        </w:numPr>
        <w:contextualSpacing/>
      </w:pPr>
      <w:r>
        <w:t>T</w:t>
      </w:r>
      <w:r w:rsidR="006C0B30">
        <w:t xml:space="preserve">o provide guidance for </w:t>
      </w:r>
      <w:r w:rsidR="001D5BDE">
        <w:t>designing BMPs to retain</w:t>
      </w:r>
      <w:r w:rsidR="00DB3AA5">
        <w:t xml:space="preserve"> and</w:t>
      </w:r>
      <w:r w:rsidR="006C0B30">
        <w:t xml:space="preserve"> biotreat stormwater to the maximum extent practicable (MEP) for sites </w:t>
      </w:r>
      <w:r w:rsidR="00DB3AA5">
        <w:t>that cannot fully retain</w:t>
      </w:r>
      <w:r w:rsidR="00EF6288">
        <w:t xml:space="preserve"> or biotreat</w:t>
      </w:r>
      <w:r w:rsidR="00DB3AA5">
        <w:t xml:space="preserve"> the </w:t>
      </w:r>
      <w:r w:rsidR="003C7091">
        <w:t>DCV</w:t>
      </w:r>
      <w:r w:rsidR="00DB3AA5">
        <w:t>.</w:t>
      </w:r>
      <w:r w:rsidR="00EF6288">
        <w:t xml:space="preserve"> Retention must be used to the MEP before biotreatment is used.</w:t>
      </w:r>
    </w:p>
    <w:p w:rsidR="009E1CFF" w:rsidRDefault="009E1CFF" w:rsidP="009E1CFF">
      <w:pPr>
        <w:pStyle w:val="CDMBTEXT"/>
        <w:ind w:left="720"/>
        <w:contextualSpacing/>
      </w:pPr>
    </w:p>
    <w:p w:rsidR="00DB3AA5" w:rsidRDefault="00DB3AA5" w:rsidP="001D5BDE">
      <w:pPr>
        <w:pStyle w:val="CDMBTEXT"/>
      </w:pPr>
      <w:r>
        <w:t xml:space="preserve">This section </w:t>
      </w:r>
      <w:r w:rsidR="00EF6288">
        <w:t>includes</w:t>
      </w:r>
      <w:r>
        <w:t>:</w:t>
      </w:r>
    </w:p>
    <w:p w:rsidR="00EF6288" w:rsidRDefault="003E241D" w:rsidP="009E1CFF">
      <w:pPr>
        <w:pStyle w:val="ListBullet"/>
      </w:pPr>
      <w:r>
        <w:t>C</w:t>
      </w:r>
      <w:r w:rsidRPr="003E241D">
        <w:t>riteri</w:t>
      </w:r>
      <w:r>
        <w:t>a for designing biotreatment BMP</w:t>
      </w:r>
      <w:r w:rsidRPr="003E241D">
        <w:t>s to achieve maximum feasibl</w:t>
      </w:r>
      <w:r>
        <w:t>e infiltration and ET</w:t>
      </w:r>
    </w:p>
    <w:p w:rsidR="003E241D" w:rsidRDefault="003E241D" w:rsidP="009E1CFF">
      <w:pPr>
        <w:pStyle w:val="ListBullet"/>
      </w:pPr>
      <w:r w:rsidRPr="003E241D">
        <w:t xml:space="preserve">Criteria for </w:t>
      </w:r>
      <w:r>
        <w:t>d</w:t>
      </w:r>
      <w:r w:rsidRPr="003E241D">
        <w:t xml:space="preserve">esigning </w:t>
      </w:r>
      <w:r>
        <w:t>BMPs</w:t>
      </w:r>
      <w:r w:rsidRPr="003E241D">
        <w:t xml:space="preserve"> to </w:t>
      </w:r>
      <w:r>
        <w:t>a</w:t>
      </w:r>
      <w:r w:rsidRPr="003E241D">
        <w:t xml:space="preserve">chieve </w:t>
      </w:r>
      <w:r>
        <w:t>m</w:t>
      </w:r>
      <w:r w:rsidRPr="003E241D">
        <w:t>aximum feasible retention of the stormwater design volume</w:t>
      </w:r>
    </w:p>
    <w:p w:rsidR="003E241D" w:rsidRDefault="003E241D" w:rsidP="009E1CFF">
      <w:pPr>
        <w:pStyle w:val="ListBullet"/>
      </w:pPr>
      <w:r w:rsidRPr="003E241D">
        <w:t xml:space="preserve">Criteria for </w:t>
      </w:r>
      <w:r>
        <w:t>d</w:t>
      </w:r>
      <w:r w:rsidRPr="003E241D">
        <w:t xml:space="preserve">esigning </w:t>
      </w:r>
      <w:r>
        <w:t>BMPs</w:t>
      </w:r>
      <w:r w:rsidRPr="003E241D">
        <w:t xml:space="preserve"> to </w:t>
      </w:r>
      <w:r>
        <w:t>a</w:t>
      </w:r>
      <w:r w:rsidRPr="003E241D">
        <w:t xml:space="preserve">chieve </w:t>
      </w:r>
      <w:r>
        <w:t>m</w:t>
      </w:r>
      <w:r w:rsidRPr="003E241D">
        <w:t xml:space="preserve">aximum feasible retention </w:t>
      </w:r>
      <w:r>
        <w:t xml:space="preserve">plus biotreatment </w:t>
      </w:r>
      <w:r w:rsidRPr="003E241D">
        <w:t>of the stormwater design volume</w:t>
      </w:r>
    </w:p>
    <w:p w:rsidR="003E241D" w:rsidRDefault="003E241D" w:rsidP="009E1CFF">
      <w:pPr>
        <w:pStyle w:val="ListBullet"/>
      </w:pPr>
      <w:r>
        <w:t>Supporting criteria for designing BMPs to achieved m</w:t>
      </w:r>
      <w:r w:rsidRPr="003E241D">
        <w:t xml:space="preserve">aximum feasible retention </w:t>
      </w:r>
      <w:r>
        <w:t xml:space="preserve">plus biotreatment </w:t>
      </w:r>
      <w:r w:rsidRPr="003E241D">
        <w:t>of the stormwater design volume</w:t>
      </w:r>
    </w:p>
    <w:p w:rsidR="00DF5FD3" w:rsidRDefault="00D4020F" w:rsidP="00DF5FD3">
      <w:pPr>
        <w:pStyle w:val="CDMBTEXT"/>
      </w:pPr>
      <w:r>
        <w:t xml:space="preserve">This Appendix is intended to be applied as referenced from the BMP selection and design process described in </w:t>
      </w:r>
      <w:r w:rsidRPr="00A214BC">
        <w:rPr>
          <w:b/>
          <w:color w:val="00B050"/>
        </w:rPr>
        <w:t>TGD Section 2.4</w:t>
      </w:r>
      <w:r>
        <w:t>.</w:t>
      </w:r>
    </w:p>
    <w:p w:rsidR="004C3BE8" w:rsidRDefault="008840A1" w:rsidP="00A52883">
      <w:pPr>
        <w:pStyle w:val="Heading2"/>
      </w:pPr>
      <w:bookmarkStart w:id="674" w:name="_Ref285291708"/>
      <w:bookmarkStart w:id="675" w:name="_Toc285308185"/>
      <w:bookmarkStart w:id="676" w:name="_Toc285315769"/>
      <w:bookmarkStart w:id="677" w:name="_Toc285492486"/>
      <w:bookmarkStart w:id="678" w:name="_Toc288541106"/>
      <w:bookmarkStart w:id="679" w:name="_Toc293937162"/>
      <w:r>
        <w:t xml:space="preserve">Criteria for Designing Biotreatment BMPs to </w:t>
      </w:r>
      <w:r w:rsidR="003E241D">
        <w:t>Achieve</w:t>
      </w:r>
      <w:r>
        <w:t xml:space="preserve"> Maximum Feasible </w:t>
      </w:r>
      <w:r w:rsidR="00024DE1">
        <w:t>Infiltration and ET</w:t>
      </w:r>
      <w:bookmarkEnd w:id="674"/>
      <w:bookmarkEnd w:id="675"/>
      <w:bookmarkEnd w:id="676"/>
      <w:bookmarkEnd w:id="677"/>
      <w:bookmarkEnd w:id="678"/>
      <w:bookmarkEnd w:id="679"/>
    </w:p>
    <w:p w:rsidR="00673329" w:rsidRDefault="00616820" w:rsidP="002D2784">
      <w:pPr>
        <w:pStyle w:val="CDMBTEXT"/>
      </w:pPr>
      <w:r w:rsidRPr="00616820">
        <w:t xml:space="preserve">Infiltration and </w:t>
      </w:r>
      <w:r w:rsidR="00FD5274">
        <w:t>ET</w:t>
      </w:r>
      <w:r w:rsidRPr="00616820">
        <w:t xml:space="preserve"> are </w:t>
      </w:r>
      <w:r w:rsidR="006D28B3">
        <w:t>volume reduction</w:t>
      </w:r>
      <w:r w:rsidRPr="00616820">
        <w:t xml:space="preserve"> processes </w:t>
      </w:r>
      <w:r w:rsidR="006D28B3">
        <w:t>that occur</w:t>
      </w:r>
      <w:r w:rsidRPr="00616820">
        <w:t xml:space="preserve"> in biotreatment BMPs, but they are not the principal treatment mechanism.  </w:t>
      </w:r>
      <w:r w:rsidR="00731441" w:rsidRPr="00731441">
        <w:t>However, these incidental processes must be promoted whenever biotreatment BMPs are designed for a project.</w:t>
      </w:r>
      <w:r w:rsidR="005B7E16">
        <w:rPr>
          <w:rFonts w:ascii="Tahoma" w:hAnsi="Tahoma" w:cs="Tahoma"/>
          <w:color w:val="000000"/>
          <w:sz w:val="20"/>
        </w:rPr>
        <w:t xml:space="preserve"> </w:t>
      </w:r>
      <w:r w:rsidR="00123940">
        <w:t xml:space="preserve"> </w:t>
      </w:r>
      <w:r w:rsidR="008840A1">
        <w:t xml:space="preserve">This section is intended to be used </w:t>
      </w:r>
      <w:r w:rsidR="002D2784">
        <w:t xml:space="preserve">design biotreatment to BMPs to result in maximum feasible infiltration and ET in cases where neither infiltration </w:t>
      </w:r>
      <w:r w:rsidR="000C23C0">
        <w:t>n</w:t>
      </w:r>
      <w:r w:rsidR="002D2784">
        <w:t xml:space="preserve">or harvest and use are feasible based on infiltration feasibility criteria contained in </w:t>
      </w:r>
      <w:r w:rsidR="002D2784" w:rsidRPr="00A214BC">
        <w:rPr>
          <w:b/>
          <w:color w:val="00B050"/>
        </w:rPr>
        <w:t>TGD Section 2.4</w:t>
      </w:r>
      <w:r w:rsidR="00240F43" w:rsidRPr="0029208C">
        <w:rPr>
          <w:color w:val="FF0000"/>
        </w:rPr>
        <w:t>,</w:t>
      </w:r>
      <w:r w:rsidR="00240F43" w:rsidRPr="00C26BC5">
        <w:rPr>
          <w:color w:val="FF0000"/>
        </w:rPr>
        <w:t xml:space="preserve"> </w:t>
      </w:r>
      <w:r w:rsidR="00240F43" w:rsidRPr="00C26BC5">
        <w:t>or</w:t>
      </w:r>
      <w:r w:rsidR="00240F43" w:rsidRPr="003E241D">
        <w:t xml:space="preserve"> where infiltration BMPs and/or harvest and use BMPs are partially feasible and biotreatment BMPs must be used for the remaining design volume</w:t>
      </w:r>
      <w:r w:rsidR="002D2784" w:rsidRPr="003E241D">
        <w:t>.</w:t>
      </w:r>
      <w:r w:rsidR="002D2784">
        <w:t xml:space="preserve"> </w:t>
      </w:r>
    </w:p>
    <w:p w:rsidR="001A784C" w:rsidRDefault="000C23C0" w:rsidP="00024DE1">
      <w:pPr>
        <w:pStyle w:val="CDMBTEXT"/>
      </w:pPr>
      <w:proofErr w:type="gramStart"/>
      <w:r w:rsidRPr="000C23C0">
        <w:rPr>
          <w:b/>
          <w:i/>
        </w:rPr>
        <w:t>Evapotranspiration.</w:t>
      </w:r>
      <w:proofErr w:type="gramEnd"/>
      <w:r>
        <w:t xml:space="preserve"> </w:t>
      </w:r>
      <w:r w:rsidR="001A784C">
        <w:t xml:space="preserve">To design biotreatment BMPs to achieve maximum feasible ET, </w:t>
      </w:r>
      <w:r w:rsidR="00240F43">
        <w:t xml:space="preserve">BMPs shall be designed with </w:t>
      </w:r>
      <w:r w:rsidR="001A784C">
        <w:t xml:space="preserve">amended soils consistent with </w:t>
      </w:r>
      <w:r w:rsidR="001A784C" w:rsidRPr="00D4020F">
        <w:t xml:space="preserve">Biotreatment Selection, Design, and Maintenance Requirements </w:t>
      </w:r>
      <w:r w:rsidR="00D4020F">
        <w:t>contained</w:t>
      </w:r>
      <w:r w:rsidR="001A784C" w:rsidRPr="00D4020F">
        <w:t xml:space="preserve"> in</w:t>
      </w:r>
      <w:r w:rsidR="00094961" w:rsidRPr="00D4020F">
        <w:t xml:space="preserve"> </w:t>
      </w:r>
      <w:fldSimple w:instr=" REF _Ref285288960 \r \h  \* MERGEFORMAT ">
        <w:r w:rsidR="00126DE5" w:rsidRPr="00126DE5">
          <w:rPr>
            <w:rFonts w:cs="Arial"/>
            <w:b/>
            <w:color w:val="0070C0"/>
            <w:sz w:val="20"/>
          </w:rPr>
          <w:t>Appendix XII</w:t>
        </w:r>
      </w:fldSimple>
      <w:r w:rsidR="001A784C">
        <w:t>.</w:t>
      </w:r>
    </w:p>
    <w:p w:rsidR="00240F43" w:rsidRDefault="000C23C0" w:rsidP="00024DE1">
      <w:pPr>
        <w:pStyle w:val="CDMBTEXT"/>
      </w:pPr>
      <w:proofErr w:type="gramStart"/>
      <w:r w:rsidRPr="000C23C0">
        <w:rPr>
          <w:b/>
          <w:i/>
        </w:rPr>
        <w:t>Infiltration</w:t>
      </w:r>
      <w:r>
        <w:rPr>
          <w:b/>
          <w:i/>
        </w:rPr>
        <w:t>.</w:t>
      </w:r>
      <w:proofErr w:type="gramEnd"/>
      <w:r w:rsidRPr="000C23C0">
        <w:rPr>
          <w:b/>
          <w:i/>
        </w:rPr>
        <w:t xml:space="preserve"> </w:t>
      </w:r>
      <w:r>
        <w:t>To</w:t>
      </w:r>
      <w:r w:rsidR="002D2784">
        <w:t xml:space="preserve"> design biotreatment BMPs to achieve the maximum feasible infiltration</w:t>
      </w:r>
      <w:r w:rsidR="00673329">
        <w:t>, r</w:t>
      </w:r>
      <w:r w:rsidR="00024DE1">
        <w:t xml:space="preserve">etention </w:t>
      </w:r>
      <w:r w:rsidR="00123940">
        <w:t xml:space="preserve">volume </w:t>
      </w:r>
      <w:r w:rsidR="001A784C">
        <w:t>shall</w:t>
      </w:r>
      <w:r w:rsidR="00024DE1">
        <w:t xml:space="preserve"> be provided below the l</w:t>
      </w:r>
      <w:r w:rsidR="001A784C">
        <w:t>owest surface discharge point</w:t>
      </w:r>
      <w:r w:rsidR="00673329">
        <w:t>.</w:t>
      </w:r>
      <w:r w:rsidR="00123940">
        <w:t xml:space="preserve"> The amount of retention volume that shall be provided depends on the infiltration rate of the soil.</w:t>
      </w:r>
      <w:r w:rsidR="00673329">
        <w:t xml:space="preserve"> </w:t>
      </w:r>
      <w:r w:rsidR="00240F43">
        <w:t xml:space="preserve">This practice shall not be used where </w:t>
      </w:r>
      <w:r w:rsidR="00616820" w:rsidRPr="00616820">
        <w:t xml:space="preserve">there is substantial evidence that </w:t>
      </w:r>
      <w:r w:rsidR="00240F43">
        <w:t xml:space="preserve">infiltration would </w:t>
      </w:r>
      <w:r w:rsidR="005B7E16">
        <w:t>pose an unmitigated</w:t>
      </w:r>
      <w:r w:rsidR="00240F43">
        <w:t xml:space="preserve"> risk per the infiltration feasibility criteria contained in </w:t>
      </w:r>
      <w:r w:rsidR="00240F43" w:rsidRPr="00A214BC">
        <w:rPr>
          <w:b/>
          <w:color w:val="00B050"/>
        </w:rPr>
        <w:t>TGD Secti</w:t>
      </w:r>
      <w:r w:rsidRPr="00A214BC">
        <w:rPr>
          <w:b/>
          <w:color w:val="00B050"/>
        </w:rPr>
        <w:t>on 2.4</w:t>
      </w:r>
      <w:r>
        <w:t>.</w:t>
      </w:r>
    </w:p>
    <w:p w:rsidR="00024DE1" w:rsidRDefault="00616820" w:rsidP="00024DE1">
      <w:pPr>
        <w:pStyle w:val="CDMBTEXT"/>
      </w:pPr>
      <w:r w:rsidRPr="00616820">
        <w:t xml:space="preserve">In cases where incidental infiltration passes the feasibility criteria in </w:t>
      </w:r>
      <w:r w:rsidRPr="00A214BC">
        <w:rPr>
          <w:b/>
          <w:color w:val="00B050"/>
        </w:rPr>
        <w:t>TGD Section 2.4</w:t>
      </w:r>
      <w:r w:rsidRPr="00616820">
        <w:t>, the c</w:t>
      </w:r>
      <w:r w:rsidR="00240F43">
        <w:t>riteria for designing biotreatment BMPs to achieve the maximum feasible infiltration are as follows.</w:t>
      </w:r>
    </w:p>
    <w:p w:rsidR="00673329" w:rsidRDefault="00240F43" w:rsidP="00A52883">
      <w:pPr>
        <w:pStyle w:val="Heading3"/>
      </w:pPr>
      <w:r>
        <w:t>BMPs with U</w:t>
      </w:r>
      <w:r w:rsidR="00024DE1" w:rsidRPr="001A784C">
        <w:t>nderdrains</w:t>
      </w:r>
    </w:p>
    <w:p w:rsidR="003E241D" w:rsidRPr="003E241D" w:rsidRDefault="003E241D" w:rsidP="003E241D">
      <w:pPr>
        <w:pStyle w:val="CDMBTEXT"/>
      </w:pPr>
      <w:r>
        <w:t>Retention volume shall be provided below the underdrains of the BMP per the following criteria:</w:t>
      </w:r>
    </w:p>
    <w:p w:rsidR="00673329" w:rsidRDefault="00673329" w:rsidP="009E1CFF">
      <w:pPr>
        <w:pStyle w:val="ListBullet"/>
      </w:pPr>
      <w:r>
        <w:t>A</w:t>
      </w:r>
      <w:r w:rsidR="00024DE1">
        <w:t xml:space="preserve"> gravel storage layer </w:t>
      </w:r>
      <w:r w:rsidR="003E241D">
        <w:t xml:space="preserve">shall </w:t>
      </w:r>
      <w:r w:rsidR="00024DE1">
        <w:t>be installed below the invert elevation of the underdrains</w:t>
      </w:r>
      <w:r>
        <w:t>, as applicable</w:t>
      </w:r>
      <w:r w:rsidR="00024DE1">
        <w:t xml:space="preserve">.  </w:t>
      </w:r>
    </w:p>
    <w:p w:rsidR="00673329" w:rsidRDefault="00024DE1" w:rsidP="009E1CFF">
      <w:pPr>
        <w:pStyle w:val="ListBullet"/>
      </w:pPr>
      <w:r>
        <w:t xml:space="preserve">Rock should be assumed to have a porosity of 0.4 unless otherwise supported, and </w:t>
      </w:r>
    </w:p>
    <w:p w:rsidR="006D28B3" w:rsidRDefault="00673329" w:rsidP="009E1CFF">
      <w:pPr>
        <w:pStyle w:val="ListBullet"/>
      </w:pPr>
      <w:r>
        <w:t>T</w:t>
      </w:r>
      <w:r w:rsidR="00024DE1">
        <w:t xml:space="preserve">he depth of rock should be selected so that the underdrain layer empties in 48 </w:t>
      </w:r>
      <w:r>
        <w:t xml:space="preserve">hours.  </w:t>
      </w:r>
    </w:p>
    <w:p w:rsidR="00673329" w:rsidRDefault="00673329" w:rsidP="009E1CFF">
      <w:pPr>
        <w:pStyle w:val="ListBullet"/>
      </w:pPr>
      <w:r>
        <w:t>Where the infiltration rate of the underlying soil is not known, a rate of 0.1 in/hr shall be assumed, resulting in a gravel depth of 12 inches.</w:t>
      </w:r>
    </w:p>
    <w:p w:rsidR="00731441" w:rsidRPr="00731441" w:rsidRDefault="00731441" w:rsidP="00731441">
      <w:pPr>
        <w:pStyle w:val="CDMBTEXT"/>
        <w:rPr>
          <w:i/>
        </w:rPr>
      </w:pPr>
      <w:r w:rsidRPr="00731441">
        <w:rPr>
          <w:i/>
        </w:rPr>
        <w:t xml:space="preserve">Example: </w:t>
      </w:r>
    </w:p>
    <w:p w:rsidR="00731441" w:rsidRDefault="00731441" w:rsidP="009E1CFF">
      <w:pPr>
        <w:pStyle w:val="ListBullet"/>
      </w:pPr>
      <w:r>
        <w:t xml:space="preserve">Soil has a </w:t>
      </w:r>
      <w:r w:rsidRPr="00616820">
        <w:rPr>
          <w:i/>
        </w:rPr>
        <w:t>measured infiltration rate</w:t>
      </w:r>
      <w:r>
        <w:t xml:space="preserve"> of 0.15 inches per hour and risk-based factors do not apply.  </w:t>
      </w:r>
    </w:p>
    <w:p w:rsidR="00731441" w:rsidRDefault="00731441" w:rsidP="009E1CFF">
      <w:pPr>
        <w:pStyle w:val="ListBullet"/>
      </w:pPr>
      <w:r>
        <w:t>Depth that can be infiltrated in 48 hours = 0.15 in/hr × 48 hours = 7.2 inches</w:t>
      </w:r>
    </w:p>
    <w:p w:rsidR="00731441" w:rsidRDefault="00731441" w:rsidP="009E1CFF">
      <w:pPr>
        <w:pStyle w:val="ListBullet"/>
      </w:pPr>
      <w:r>
        <w:t xml:space="preserve">Depth of gravel to provide this depth of water = 7.2 inches / 0.4 = 18 inches. </w:t>
      </w:r>
    </w:p>
    <w:p w:rsidR="00673329" w:rsidRDefault="00240F43" w:rsidP="00A52883">
      <w:pPr>
        <w:pStyle w:val="Heading3"/>
      </w:pPr>
      <w:r>
        <w:t>Swales and Filter Strips without Underdrains</w:t>
      </w:r>
    </w:p>
    <w:p w:rsidR="003E241D" w:rsidRPr="003E241D" w:rsidRDefault="003E241D" w:rsidP="003E241D">
      <w:pPr>
        <w:pStyle w:val="CDMBTEXT"/>
      </w:pPr>
      <w:r>
        <w:t>Retention volume shall be provided below the lowest surface discharge of the BMP per the following criteria:</w:t>
      </w:r>
    </w:p>
    <w:p w:rsidR="001A784C" w:rsidRPr="001A784C" w:rsidRDefault="001A784C" w:rsidP="009E1CFF">
      <w:pPr>
        <w:pStyle w:val="ListBullet"/>
        <w:rPr>
          <w:b/>
        </w:rPr>
      </w:pPr>
      <w:r>
        <w:t>Check dams and outlet controls shall be installed</w:t>
      </w:r>
      <w:r w:rsidR="00240F43">
        <w:t>, as applicable,</w:t>
      </w:r>
      <w:r>
        <w:t xml:space="preserve"> to retain water on the surface and </w:t>
      </w:r>
      <w:r w:rsidR="00240F43">
        <w:t>amended soil.</w:t>
      </w:r>
    </w:p>
    <w:p w:rsidR="001A784C" w:rsidRDefault="001A784C" w:rsidP="009E1CFF">
      <w:pPr>
        <w:pStyle w:val="ListBullet"/>
      </w:pPr>
      <w:r>
        <w:t xml:space="preserve">The storage depth shall be selected to drain in 24 hours.  </w:t>
      </w:r>
    </w:p>
    <w:p w:rsidR="001A784C" w:rsidRDefault="001A784C" w:rsidP="009E1CFF">
      <w:pPr>
        <w:pStyle w:val="ListBullet"/>
      </w:pPr>
      <w:r>
        <w:t xml:space="preserve">Where the infiltration rate of the underlying soil is not known, a surface ponding depth of 2 inches shall be used. </w:t>
      </w:r>
    </w:p>
    <w:p w:rsidR="00240F43" w:rsidRDefault="00240F43" w:rsidP="009E1CFF">
      <w:pPr>
        <w:pStyle w:val="ListBullet"/>
      </w:pPr>
      <w:r>
        <w:t xml:space="preserve">Soils shall be amended to promote infiltration consistent with </w:t>
      </w:r>
      <w:r w:rsidR="00D4020F" w:rsidRPr="00D4020F">
        <w:t xml:space="preserve">Biotreatment Selection, Design, and Maintenance Requirements </w:t>
      </w:r>
      <w:r w:rsidR="00D4020F">
        <w:t>contained</w:t>
      </w:r>
      <w:r w:rsidR="00D4020F" w:rsidRPr="00D4020F">
        <w:t xml:space="preserve"> in </w:t>
      </w:r>
      <w:fldSimple w:instr=" REF _Ref285288960 \r \h  \* MERGEFORMAT ">
        <w:r w:rsidR="00126DE5" w:rsidRPr="00126DE5">
          <w:rPr>
            <w:rFonts w:cs="Arial"/>
            <w:b/>
            <w:color w:val="0070C0"/>
            <w:sz w:val="20"/>
          </w:rPr>
          <w:t>Appendix XII</w:t>
        </w:r>
      </w:fldSimple>
      <w:r>
        <w:t>.</w:t>
      </w:r>
    </w:p>
    <w:p w:rsidR="00731441" w:rsidRPr="00731441" w:rsidRDefault="00731441" w:rsidP="00731441">
      <w:pPr>
        <w:pStyle w:val="CDMBTEXT"/>
        <w:rPr>
          <w:b/>
          <w:i/>
        </w:rPr>
      </w:pPr>
      <w:r w:rsidRPr="00731441">
        <w:rPr>
          <w:i/>
        </w:rPr>
        <w:t>Example:</w:t>
      </w:r>
    </w:p>
    <w:p w:rsidR="00731441" w:rsidRPr="001A784C" w:rsidRDefault="00731441" w:rsidP="009E1CFF">
      <w:pPr>
        <w:pStyle w:val="ListBullet"/>
        <w:rPr>
          <w:b/>
        </w:rPr>
      </w:pPr>
      <w:r>
        <w:t xml:space="preserve">Underlying has an estimated infiltration rate of 0.1 inches per hour (with soil amendments considered) and risk-based factors do not apply. </w:t>
      </w:r>
    </w:p>
    <w:p w:rsidR="00731441" w:rsidRDefault="00731441" w:rsidP="009E1CFF">
      <w:pPr>
        <w:pStyle w:val="ListBullet"/>
      </w:pPr>
      <w:r>
        <w:t xml:space="preserve">Depth that can be infiltrated in 24 hours = 0.1 in/hr × 24 hours = 2.4 inches.  </w:t>
      </w:r>
    </w:p>
    <w:p w:rsidR="00240F43" w:rsidRPr="00240F43" w:rsidRDefault="00240F43" w:rsidP="00A52883">
      <w:pPr>
        <w:pStyle w:val="Heading3"/>
      </w:pPr>
      <w:r w:rsidRPr="00240F43">
        <w:t>D</w:t>
      </w:r>
      <w:r>
        <w:t>ry Extended D</w:t>
      </w:r>
      <w:r w:rsidRPr="00240F43">
        <w:t xml:space="preserve">etention </w:t>
      </w:r>
      <w:r>
        <w:t>B</w:t>
      </w:r>
      <w:r w:rsidRPr="00240F43">
        <w:t xml:space="preserve">asins  </w:t>
      </w:r>
    </w:p>
    <w:p w:rsidR="00240F43" w:rsidRDefault="00240F43" w:rsidP="003E241D">
      <w:pPr>
        <w:pStyle w:val="CDMBTEXT"/>
      </w:pPr>
      <w:r>
        <w:t>Soils shall be amended to promote</w:t>
      </w:r>
      <w:r w:rsidR="00616820" w:rsidRPr="00616820">
        <w:t xml:space="preserve"> subsurface storage and </w:t>
      </w:r>
      <w:r>
        <w:t xml:space="preserve">infiltration consistent with </w:t>
      </w:r>
      <w:r w:rsidR="00D4020F" w:rsidRPr="00D4020F">
        <w:t xml:space="preserve">Biotreatment Selection, Design, and Maintenance Requirements </w:t>
      </w:r>
      <w:r w:rsidR="00D4020F">
        <w:t>contained</w:t>
      </w:r>
      <w:r w:rsidR="00D4020F" w:rsidRPr="00D4020F">
        <w:t xml:space="preserve"> in </w:t>
      </w:r>
      <w:fldSimple w:instr=" REF _Ref285288960 \r \h  \* MERGEFORMAT ">
        <w:r w:rsidR="00126DE5" w:rsidRPr="00126DE5">
          <w:rPr>
            <w:rFonts w:cs="Arial"/>
            <w:b/>
            <w:color w:val="0070C0"/>
            <w:sz w:val="20"/>
          </w:rPr>
          <w:t>Appendix XII</w:t>
        </w:r>
      </w:fldSimple>
      <w:r>
        <w:t>.</w:t>
      </w:r>
    </w:p>
    <w:p w:rsidR="00240F43" w:rsidRPr="00D4020F" w:rsidRDefault="00240F43" w:rsidP="00A52883">
      <w:pPr>
        <w:pStyle w:val="Heading3"/>
      </w:pPr>
      <w:r w:rsidRPr="00D4020F">
        <w:t>Wet Ponds and Constructed Wetlands</w:t>
      </w:r>
    </w:p>
    <w:p w:rsidR="00240F43" w:rsidRPr="001A784C" w:rsidRDefault="00240F43" w:rsidP="003E241D">
      <w:pPr>
        <w:pStyle w:val="CDMBTEXT"/>
      </w:pPr>
      <w:r>
        <w:t xml:space="preserve">Wet ponds and constructed wetlands achieve high pollutant removal efficiency, in part, by maintaining a permanent pool.  These BMPs should not be designed to achieve volume reduction as a primary </w:t>
      </w:r>
      <w:r w:rsidR="00213BFF">
        <w:t>goal;</w:t>
      </w:r>
      <w:r>
        <w:t xml:space="preserve"> however some incidental volume reduction is expected to occur.</w:t>
      </w:r>
    </w:p>
    <w:p w:rsidR="00F706E7" w:rsidRDefault="00F706E7" w:rsidP="00A52883">
      <w:pPr>
        <w:pStyle w:val="Heading2"/>
      </w:pPr>
      <w:bookmarkStart w:id="680" w:name="_Ref285286088"/>
      <w:bookmarkStart w:id="681" w:name="_Toc285308186"/>
      <w:bookmarkStart w:id="682" w:name="_Toc285315770"/>
      <w:bookmarkStart w:id="683" w:name="_Toc285492487"/>
      <w:bookmarkStart w:id="684" w:name="_Toc288541107"/>
      <w:bookmarkStart w:id="685" w:name="_Toc293937163"/>
      <w:r>
        <w:t xml:space="preserve">Criteria for Designing BMPs to </w:t>
      </w:r>
      <w:r w:rsidR="003E241D">
        <w:t>Achieve</w:t>
      </w:r>
      <w:r>
        <w:t xml:space="preserve"> Maximum Feasible Retention of the Stormwater Design Volume</w:t>
      </w:r>
      <w:bookmarkEnd w:id="680"/>
      <w:bookmarkEnd w:id="681"/>
      <w:bookmarkEnd w:id="682"/>
      <w:bookmarkEnd w:id="683"/>
      <w:bookmarkEnd w:id="684"/>
      <w:bookmarkEnd w:id="685"/>
    </w:p>
    <w:p w:rsidR="00F706E7" w:rsidRDefault="006A252C" w:rsidP="00F706E7">
      <w:pPr>
        <w:pStyle w:val="CDMBTEXT"/>
      </w:pPr>
      <w:r>
        <w:t>The requirements of this</w:t>
      </w:r>
      <w:r w:rsidR="00F706E7">
        <w:t xml:space="preserve"> section </w:t>
      </w:r>
      <w:r>
        <w:t>are</w:t>
      </w:r>
      <w:r w:rsidR="00F706E7">
        <w:t xml:space="preserve"> intended to</w:t>
      </w:r>
      <w:r w:rsidR="00B94788">
        <w:t xml:space="preserve"> apply</w:t>
      </w:r>
      <w:r w:rsidR="00F706E7">
        <w:t xml:space="preserve"> when the entire </w:t>
      </w:r>
      <w:r w:rsidR="003C7091">
        <w:t>DCV</w:t>
      </w:r>
      <w:r w:rsidR="00F706E7">
        <w:t xml:space="preserve"> cannot be feasibly </w:t>
      </w:r>
      <w:r>
        <w:t xml:space="preserve">retained, but </w:t>
      </w:r>
      <w:r w:rsidR="00467258">
        <w:t>retention of the stormwater design volume is potentially feasible per</w:t>
      </w:r>
      <w:r>
        <w:t xml:space="preserve"> the</w:t>
      </w:r>
      <w:r w:rsidR="00467258">
        <w:t xml:space="preserve"> infeasibility criteria contained in </w:t>
      </w:r>
      <w:r w:rsidR="00467258" w:rsidRPr="00A214BC">
        <w:rPr>
          <w:b/>
          <w:color w:val="00B050"/>
        </w:rPr>
        <w:t>TGD Section 2.4</w:t>
      </w:r>
      <w:r w:rsidR="00467258" w:rsidRPr="00C26BC5">
        <w:rPr>
          <w:b/>
          <w:color w:val="00B050"/>
        </w:rPr>
        <w:t>.</w:t>
      </w:r>
      <w:r w:rsidR="00B03553">
        <w:t xml:space="preserve"> </w:t>
      </w:r>
      <w:r>
        <w:t xml:space="preserve"> </w:t>
      </w:r>
      <w:r w:rsidR="00B03553">
        <w:t xml:space="preserve">BMPs shall be designed to retain the stormwater design volume to the MEP by demonstrating that the applicable criteria in the following </w:t>
      </w:r>
      <w:r w:rsidR="00467258">
        <w:t>sub</w:t>
      </w:r>
      <w:r w:rsidR="00B03553">
        <w:t xml:space="preserve">sections are met. </w:t>
      </w:r>
    </w:p>
    <w:p w:rsidR="00731441" w:rsidRDefault="00731441" w:rsidP="00A52883">
      <w:pPr>
        <w:pStyle w:val="Heading3"/>
      </w:pPr>
      <w:r>
        <w:t>General Criteria</w:t>
      </w:r>
    </w:p>
    <w:p w:rsidR="006A252C" w:rsidRDefault="006A252C" w:rsidP="006A252C">
      <w:pPr>
        <w:pStyle w:val="CDMBTEXT"/>
        <w:spacing w:line="280" w:lineRule="exact"/>
      </w:pPr>
      <w:r w:rsidRPr="00311A64">
        <w:t xml:space="preserve">If at any time in this process, the </w:t>
      </w:r>
      <w:r>
        <w:t>stormwater design</w:t>
      </w:r>
      <w:r w:rsidRPr="00311A64">
        <w:t xml:space="preserve"> volume can be </w:t>
      </w:r>
      <w:r w:rsidRPr="006F0E4F">
        <w:t>retained</w:t>
      </w:r>
      <w:r w:rsidRPr="00311A64">
        <w:t xml:space="preserve"> and drawn down in less than or equal to 48 hours, or </w:t>
      </w:r>
      <w:r>
        <w:t xml:space="preserve">the BMP is demonstrated to retain </w:t>
      </w:r>
      <w:r w:rsidRPr="00311A64">
        <w:t>80 percent</w:t>
      </w:r>
      <w:r>
        <w:t xml:space="preserve"> of average annual stormwater runoff (per methods contained in </w:t>
      </w:r>
      <w:r w:rsidR="00524D76" w:rsidRPr="00524D76">
        <w:rPr>
          <w:b/>
        </w:rPr>
        <w:t>Appendix</w:t>
      </w:r>
      <w:r w:rsidR="00B40134">
        <w:t xml:space="preserve"> </w:t>
      </w:r>
      <w:r w:rsidR="00126F3D" w:rsidRPr="00126DE5">
        <w:rPr>
          <w:rFonts w:cs="Arial"/>
          <w:b/>
          <w:color w:val="0070C0"/>
          <w:sz w:val="20"/>
        </w:rPr>
        <w:fldChar w:fldCharType="begin"/>
      </w:r>
      <w:r w:rsidR="00B40134" w:rsidRPr="00126DE5">
        <w:rPr>
          <w:rFonts w:cs="Arial"/>
          <w:b/>
          <w:color w:val="0070C0"/>
          <w:sz w:val="20"/>
        </w:rPr>
        <w:instrText xml:space="preserve"> REF _Ref285384680 \r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rFonts w:cs="Arial"/>
          <w:b/>
          <w:color w:val="0070C0"/>
          <w:sz w:val="20"/>
        </w:rPr>
        <w:t>III.3.2</w:t>
      </w:r>
      <w:r w:rsidR="00126F3D" w:rsidRPr="00126DE5">
        <w:rPr>
          <w:rFonts w:cs="Arial"/>
          <w:b/>
          <w:color w:val="0070C0"/>
          <w:sz w:val="20"/>
        </w:rPr>
        <w:fldChar w:fldCharType="end"/>
      </w:r>
      <w:r>
        <w:t>) and HCOCs are addressed (per methods contained in</w:t>
      </w:r>
      <w:r w:rsidR="00B40134">
        <w:t xml:space="preserve"> </w:t>
      </w:r>
      <w:fldSimple w:instr=" REF _Ref285384708 \r \h  \* MERGEFORMAT ">
        <w:r w:rsidR="00126DE5" w:rsidRPr="00126DE5">
          <w:rPr>
            <w:rFonts w:cs="Arial"/>
            <w:b/>
            <w:color w:val="0070C0"/>
            <w:sz w:val="20"/>
          </w:rPr>
          <w:t>Appendix IV</w:t>
        </w:r>
      </w:fldSimple>
      <w:r w:rsidR="00B40134" w:rsidRPr="00B40134">
        <w:t xml:space="preserve"> (North Orange County</w:t>
      </w:r>
      <w:r w:rsidR="00344DD2">
        <w:t xml:space="preserve"> permit area</w:t>
      </w:r>
      <w:r w:rsidR="00B40134" w:rsidRPr="00B40134">
        <w:t xml:space="preserve">) or </w:t>
      </w:r>
      <w:fldSimple w:instr=" REF _Ref285384719 \r \h  \* MERGEFORMAT ">
        <w:r w:rsidR="00126DE5" w:rsidRPr="00126DE5">
          <w:rPr>
            <w:rFonts w:cs="Arial"/>
            <w:b/>
            <w:color w:val="0070C0"/>
            <w:sz w:val="20"/>
          </w:rPr>
          <w:t>Appendix V</w:t>
        </w:r>
      </w:fldSimple>
      <w:r w:rsidR="00B40134" w:rsidRPr="00B40134">
        <w:t xml:space="preserve"> (South Orange County</w:t>
      </w:r>
      <w:r w:rsidR="00344DD2">
        <w:t xml:space="preserve"> permit area</w:t>
      </w:r>
      <w:r w:rsidR="00B40134" w:rsidRPr="00B40134">
        <w:t>)</w:t>
      </w:r>
      <w:r w:rsidRPr="00B40134">
        <w:t>),</w:t>
      </w:r>
      <w:r w:rsidRPr="00311A64">
        <w:t xml:space="preserve"> the system </w:t>
      </w:r>
      <w:r>
        <w:t>does not need to be sized to manage any additional stormwater volume</w:t>
      </w:r>
      <w:r w:rsidRPr="00311A64">
        <w:t xml:space="preserve">. </w:t>
      </w:r>
    </w:p>
    <w:p w:rsidR="006A252C" w:rsidRDefault="006A252C" w:rsidP="006A252C">
      <w:pPr>
        <w:pStyle w:val="CDMBTEXT"/>
        <w:spacing w:line="280" w:lineRule="exact"/>
      </w:pPr>
      <w:r>
        <w:t>If after meeting the criteria contained in the following subsections, it is demonstrated that the resulting design would retain less 40 percent of average annual runoff volume</w:t>
      </w:r>
      <w:r w:rsidR="00731441">
        <w:t xml:space="preserve"> on a drainage area basis</w:t>
      </w:r>
      <w:r>
        <w:t xml:space="preserve">, the BMP is not required to be used to demonstrate that BMPs have been designed to retain the design volume to the MEP. Instead, a biotreatment BMP must be used to the MEP and must be designed to provide maximum feasible infiltration and ET.  See </w:t>
      </w:r>
      <w:r w:rsidR="00126F3D" w:rsidRPr="00126DE5">
        <w:rPr>
          <w:rFonts w:cs="Arial"/>
          <w:b/>
          <w:color w:val="0070C0"/>
          <w:sz w:val="20"/>
        </w:rPr>
        <w:fldChar w:fldCharType="begin"/>
      </w:r>
      <w:r w:rsidRPr="00126DE5">
        <w:rPr>
          <w:rFonts w:cs="Arial"/>
          <w:b/>
          <w:color w:val="0070C0"/>
          <w:sz w:val="20"/>
        </w:rPr>
        <w:instrText xml:space="preserve"> REF _Ref285280185 \r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rFonts w:cs="Arial"/>
          <w:b/>
          <w:color w:val="0070C0"/>
          <w:sz w:val="20"/>
        </w:rPr>
        <w:t>Appendix XIII</w:t>
      </w:r>
      <w:r w:rsidR="00126F3D" w:rsidRPr="00126DE5">
        <w:rPr>
          <w:rFonts w:cs="Arial"/>
          <w:b/>
          <w:color w:val="0070C0"/>
          <w:sz w:val="20"/>
        </w:rPr>
        <w:fldChar w:fldCharType="end"/>
      </w:r>
      <w:r>
        <w:t xml:space="preserve"> for the technical basis of t</w:t>
      </w:r>
      <w:r w:rsidR="00731441">
        <w:t xml:space="preserve">he 40 percent capture threshold </w:t>
      </w:r>
      <w:r>
        <w:t xml:space="preserve">criterion. </w:t>
      </w:r>
    </w:p>
    <w:p w:rsidR="008840A1" w:rsidRDefault="00240F43" w:rsidP="00A52883">
      <w:pPr>
        <w:pStyle w:val="Heading3"/>
      </w:pPr>
      <w:r>
        <w:t>Infiltration BMPs</w:t>
      </w:r>
    </w:p>
    <w:p w:rsidR="006F36EC" w:rsidRPr="006F36EC" w:rsidRDefault="006F36EC" w:rsidP="006F36EC">
      <w:pPr>
        <w:pStyle w:val="CDMBTEXT"/>
      </w:pPr>
      <w:r>
        <w:t>This section provides criteria that shall be met to demonstrate that infiltration BMPs have been designed to retain stormwater design volume to the MEP.</w:t>
      </w:r>
    </w:p>
    <w:p w:rsidR="008840A1" w:rsidRPr="00B53524" w:rsidRDefault="006F36EC" w:rsidP="009E1CFF">
      <w:pPr>
        <w:pStyle w:val="ListBullet"/>
      </w:pPr>
      <w:r>
        <w:t xml:space="preserve">All applicable </w:t>
      </w:r>
      <w:r w:rsidR="003C7091">
        <w:t>HSCs</w:t>
      </w:r>
      <w:r>
        <w:t xml:space="preserve"> shall be</w:t>
      </w:r>
      <w:r w:rsidR="008840A1">
        <w:t xml:space="preserve"> provided except where they are mutually exclusive</w:t>
      </w:r>
      <w:r w:rsidR="006A252C">
        <w:t xml:space="preserve"> with each other or with LID BMPs</w:t>
      </w:r>
      <w:r w:rsidR="008840A1">
        <w:t>. Mutual exclusivity may result from overlapping BMP footprints such that either would be potentially feasible by itself, bu</w:t>
      </w:r>
      <w:r w:rsidR="00B94788">
        <w:t>t both could not be implemented; and</w:t>
      </w:r>
    </w:p>
    <w:p w:rsidR="008840A1" w:rsidRPr="00B53524" w:rsidRDefault="008840A1" w:rsidP="009E1CFF">
      <w:pPr>
        <w:pStyle w:val="ListBullet"/>
      </w:pPr>
      <w:r w:rsidRPr="00311A64">
        <w:t xml:space="preserve">Site design allowances for infiltration BMPs </w:t>
      </w:r>
      <w:r w:rsidR="006F36EC">
        <w:t>shall meet or exceed</w:t>
      </w:r>
      <w:r w:rsidRPr="00311A64">
        <w:t xml:space="preserve"> minimum </w:t>
      </w:r>
      <w:r w:rsidR="006A252C">
        <w:t xml:space="preserve">site design </w:t>
      </w:r>
      <w:r w:rsidRPr="00311A64">
        <w:t xml:space="preserve">criteria (See Section </w:t>
      </w:r>
      <w:fldSimple w:instr=" REF _Ref257730869 \r \h  \* MERGEFORMAT ">
        <w:r w:rsidR="00126DE5" w:rsidRPr="00126DE5">
          <w:rPr>
            <w:rFonts w:cs="Arial"/>
            <w:b/>
            <w:color w:val="0070C0"/>
            <w:sz w:val="20"/>
          </w:rPr>
          <w:t>XI.5.1</w:t>
        </w:r>
      </w:fldSimple>
      <w:r w:rsidRPr="00311A64">
        <w:t xml:space="preserve"> for criteria) , and</w:t>
      </w:r>
    </w:p>
    <w:p w:rsidR="009E1CFF" w:rsidRPr="00B53524" w:rsidRDefault="008840A1" w:rsidP="009E1CFF">
      <w:pPr>
        <w:pStyle w:val="ListBullet"/>
      </w:pPr>
      <w:r w:rsidRPr="00311A64">
        <w:t>Using the infiltration area that meets the minimum site design criteria</w:t>
      </w:r>
      <w:r w:rsidR="00467258">
        <w:t xml:space="preserve"> (Section </w:t>
      </w:r>
      <w:fldSimple w:instr=" REF _Ref257730869 \r \h  \* MERGEFORMAT ">
        <w:r w:rsidR="00126DE5" w:rsidRPr="00126DE5">
          <w:rPr>
            <w:rFonts w:cs="Arial"/>
            <w:b/>
            <w:color w:val="0070C0"/>
            <w:sz w:val="20"/>
          </w:rPr>
          <w:t>XI.5.1</w:t>
        </w:r>
      </w:fldSimple>
      <w:r w:rsidR="00467258">
        <w:t xml:space="preserve">), and using a design infiltration that meets the minimum criteria for feasibility evaluation (See Section </w:t>
      </w:r>
      <w:fldSimple w:instr=" REF _Ref285279325 \r \h  \* MERGEFORMAT ">
        <w:r w:rsidR="00126DE5" w:rsidRPr="00126DE5">
          <w:rPr>
            <w:rFonts w:cs="Arial"/>
            <w:b/>
            <w:color w:val="0070C0"/>
            <w:sz w:val="20"/>
          </w:rPr>
          <w:t>XI.5.2</w:t>
        </w:r>
      </w:fldSimple>
      <w:r w:rsidR="00467258">
        <w:t>)</w:t>
      </w:r>
      <w:r w:rsidRPr="00311A64">
        <w:t>, BMP retention depth has been selected such that:</w:t>
      </w:r>
    </w:p>
    <w:p w:rsidR="008840A1" w:rsidRPr="00B53524" w:rsidRDefault="008840A1" w:rsidP="009E1CFF">
      <w:pPr>
        <w:pStyle w:val="ListBullet"/>
        <w:tabs>
          <w:tab w:val="clear" w:pos="810"/>
          <w:tab w:val="num" w:pos="1530"/>
        </w:tabs>
        <w:ind w:left="1526"/>
      </w:pPr>
      <w:r>
        <w:t>The c</w:t>
      </w:r>
      <w:r w:rsidRPr="006F0E4F">
        <w:t xml:space="preserve">ombined storage volume provided by HSCs and retention BMPs equals or exceeds the </w:t>
      </w:r>
      <w:r w:rsidR="00B94788">
        <w:t>stormwater design volume, or</w:t>
      </w:r>
      <w:r w:rsidR="006F36EC">
        <w:t xml:space="preserve"> </w:t>
      </w:r>
    </w:p>
    <w:p w:rsidR="00B94788" w:rsidRDefault="008840A1" w:rsidP="009E1CFF">
      <w:pPr>
        <w:pStyle w:val="ListBullet"/>
        <w:tabs>
          <w:tab w:val="clear" w:pos="810"/>
          <w:tab w:val="num" w:pos="1530"/>
        </w:tabs>
        <w:ind w:left="1526"/>
      </w:pPr>
      <w:r w:rsidRPr="00311A64">
        <w:t xml:space="preserve">Retention depth </w:t>
      </w:r>
      <w:r>
        <w:t>provided</w:t>
      </w:r>
      <w:r w:rsidR="006F36EC">
        <w:t xml:space="preserve"> in BMPs (volume contained below lowest design discharge elevation)</w:t>
      </w:r>
      <w:r>
        <w:t xml:space="preserve"> equals or exceeds </w:t>
      </w:r>
      <w:r w:rsidRPr="00311A64">
        <w:t>the depth that would draw down in 48 hours based on the design infiltration rate.</w:t>
      </w:r>
      <w:r>
        <w:t xml:space="preserve">  </w:t>
      </w:r>
      <w:r w:rsidRPr="00311A64">
        <w:t>(For example: if the design infiltration</w:t>
      </w:r>
      <w:r>
        <w:t xml:space="preserve"> rate is 0.25 inches per hour,</w:t>
      </w:r>
      <w:r w:rsidRPr="00311A64">
        <w:t xml:space="preserve"> </w:t>
      </w:r>
      <w:r>
        <w:t>this criterion would be met</w:t>
      </w:r>
      <w:r w:rsidRPr="00311A64">
        <w:t xml:space="preserve"> </w:t>
      </w:r>
      <w:r>
        <w:t xml:space="preserve">by providing at least </w:t>
      </w:r>
      <w:r w:rsidRPr="00311A64">
        <w:t>12 inches</w:t>
      </w:r>
      <w:r>
        <w:t xml:space="preserve"> of retention storage [0.5 in/hr × 48 hr]</w:t>
      </w:r>
      <w:r w:rsidRPr="00311A64">
        <w:t>)</w:t>
      </w:r>
      <w:r>
        <w:t>. Intent: The depth corresponding to 48-hr drawdown represents the point of diminishing returns with respect to additional volume for additional capture efficiency</w:t>
      </w:r>
      <w:r w:rsidR="00B94788">
        <w:t>, or</w:t>
      </w:r>
    </w:p>
    <w:p w:rsidR="00B94788" w:rsidRPr="00B53524" w:rsidRDefault="008840A1" w:rsidP="009E1CFF">
      <w:pPr>
        <w:pStyle w:val="ListBullet"/>
        <w:tabs>
          <w:tab w:val="clear" w:pos="810"/>
          <w:tab w:val="num" w:pos="1530"/>
        </w:tabs>
        <w:ind w:left="1526"/>
      </w:pPr>
      <w:r>
        <w:t>Deeper depth may be provided, however additional volume would be required to compensate for longer drawdown time (</w:t>
      </w:r>
      <w:r w:rsidR="00524D76" w:rsidRPr="00524D76">
        <w:rPr>
          <w:b/>
        </w:rPr>
        <w:t>Appendix</w:t>
      </w:r>
      <w:r w:rsidR="00B40134">
        <w:t xml:space="preserve"> </w:t>
      </w:r>
      <w:fldSimple w:instr=" REF _Ref285384680 \r \h  \* MERGEFORMAT ">
        <w:r w:rsidR="00126DE5" w:rsidRPr="00126DE5">
          <w:rPr>
            <w:rFonts w:cs="Arial"/>
            <w:b/>
            <w:color w:val="0070C0"/>
            <w:sz w:val="20"/>
          </w:rPr>
          <w:t>III.3.2</w:t>
        </w:r>
      </w:fldSimple>
      <w:r>
        <w:t xml:space="preserve">). Surface drawdown </w:t>
      </w:r>
      <w:r w:rsidR="002B1599">
        <w:t>shall</w:t>
      </w:r>
      <w:r>
        <w:t xml:space="preserve"> not exceed 96 hours</w:t>
      </w:r>
      <w:r w:rsidR="002B1599">
        <w:t xml:space="preserve"> because of vector issues</w:t>
      </w:r>
      <w:r>
        <w:t>.</w:t>
      </w:r>
      <w:r w:rsidR="00731441">
        <w:t xml:space="preserve"> Drawdown time of subsurface storage may exceed 96 </w:t>
      </w:r>
      <w:proofErr w:type="gramStart"/>
      <w:r w:rsidR="00731441">
        <w:t>hours,</w:t>
      </w:r>
      <w:proofErr w:type="gramEnd"/>
      <w:r w:rsidR="00731441">
        <w:t xml:space="preserve"> however consideration should be given to maintenance activities and plant survival, as applicable, in selecting a maximum subsurface drawdown time. </w:t>
      </w:r>
    </w:p>
    <w:p w:rsidR="008840A1" w:rsidRDefault="006F36EC" w:rsidP="00A52883">
      <w:pPr>
        <w:pStyle w:val="Heading3"/>
      </w:pPr>
      <w:r>
        <w:t>Harvest and Use BMPs</w:t>
      </w:r>
    </w:p>
    <w:p w:rsidR="006F36EC" w:rsidRPr="006F36EC" w:rsidRDefault="006F36EC" w:rsidP="006F36EC">
      <w:pPr>
        <w:pStyle w:val="CDMBTEXT"/>
      </w:pPr>
      <w:r>
        <w:t>This section provides criteria that shall be met to demonstrate that harvest and use BMPs have been designed to retain stormwater design volume to the MEP.</w:t>
      </w:r>
    </w:p>
    <w:p w:rsidR="00B94788" w:rsidRPr="00B53524" w:rsidRDefault="00B94788" w:rsidP="009E1CFF">
      <w:pPr>
        <w:pStyle w:val="ListBullet"/>
      </w:pPr>
      <w:r>
        <w:t xml:space="preserve">All applicable </w:t>
      </w:r>
      <w:r w:rsidR="003C7091">
        <w:t>HSCs</w:t>
      </w:r>
      <w:r w:rsidR="00731441">
        <w:t xml:space="preserve"> (</w:t>
      </w:r>
      <w:r w:rsidR="00524D76" w:rsidRPr="00524D76">
        <w:rPr>
          <w:b/>
        </w:rPr>
        <w:t>Appendix</w:t>
      </w:r>
      <w:r w:rsidR="00731441">
        <w:t xml:space="preserve"> </w:t>
      </w:r>
      <w:fldSimple w:instr=" REF _Ref287698664 \r \h  \* MERGEFORMAT ">
        <w:r w:rsidR="00126DE5" w:rsidRPr="00126DE5">
          <w:rPr>
            <w:b/>
            <w:color w:val="0070C0"/>
            <w:sz w:val="20"/>
          </w:rPr>
          <w:t>XIV.1</w:t>
        </w:r>
      </w:fldSimple>
      <w:r w:rsidR="00731441">
        <w:t>)</w:t>
      </w:r>
      <w:r>
        <w:t xml:space="preserve"> shall be provided except where they are mutually exclusive. Mutual exclusivity may result from overlapping BMP footprints such that either would be potentially feasible by itself, but both could not be implemented, and</w:t>
      </w:r>
    </w:p>
    <w:p w:rsidR="008840A1" w:rsidRPr="00B53524" w:rsidRDefault="008840A1" w:rsidP="009E1CFF">
      <w:pPr>
        <w:pStyle w:val="ListBullet"/>
      </w:pPr>
      <w:r w:rsidRPr="006F0E4F">
        <w:t>The combined storage volume</w:t>
      </w:r>
      <w:r w:rsidRPr="00311A64">
        <w:t xml:space="preserve"> provided in HSCs and harvest and use BMP(s) </w:t>
      </w:r>
      <w:r w:rsidRPr="006F0E4F">
        <w:t>equal</w:t>
      </w:r>
      <w:r>
        <w:t>s</w:t>
      </w:r>
      <w:r w:rsidRPr="006F0E4F">
        <w:t xml:space="preserve"> or exceed</w:t>
      </w:r>
      <w:r>
        <w:t>s</w:t>
      </w:r>
      <w:r w:rsidRPr="006F0E4F">
        <w:t xml:space="preserve"> the</w:t>
      </w:r>
      <w:r w:rsidRPr="00311A64">
        <w:t xml:space="preserve"> </w:t>
      </w:r>
      <w:r w:rsidR="003C7091">
        <w:t>DCV</w:t>
      </w:r>
      <w:r w:rsidRPr="00311A64">
        <w:t xml:space="preserve">, and </w:t>
      </w:r>
    </w:p>
    <w:p w:rsidR="008840A1" w:rsidRPr="00B53524" w:rsidRDefault="00B94788" w:rsidP="009E1CFF">
      <w:pPr>
        <w:pStyle w:val="ListBullet"/>
      </w:pPr>
      <w:r>
        <w:t>All applicable d</w:t>
      </w:r>
      <w:r w:rsidR="008840A1">
        <w:t>emand for harvested water</w:t>
      </w:r>
      <w:r w:rsidR="008840A1" w:rsidRPr="00311A64">
        <w:t xml:space="preserve"> has been </w:t>
      </w:r>
      <w:r>
        <w:t>considered per criteria contained in</w:t>
      </w:r>
      <w:r w:rsidR="00D4020F">
        <w:t xml:space="preserve"> </w:t>
      </w:r>
      <w:fldSimple w:instr=" REF _Ref285357522 \r \h  \* MERGEFORMAT ">
        <w:r w:rsidR="00126DE5" w:rsidRPr="00126DE5">
          <w:rPr>
            <w:rFonts w:cs="Arial"/>
            <w:b/>
            <w:color w:val="0070C0"/>
            <w:sz w:val="20"/>
          </w:rPr>
          <w:t>Appendix X</w:t>
        </w:r>
      </w:fldSimple>
      <w:r w:rsidR="008840A1" w:rsidRPr="00311A64">
        <w:t>).</w:t>
      </w:r>
    </w:p>
    <w:p w:rsidR="00F706E7" w:rsidRDefault="00F706E7" w:rsidP="00A52883">
      <w:pPr>
        <w:pStyle w:val="Heading2"/>
      </w:pPr>
      <w:bookmarkStart w:id="686" w:name="_Ref285286243"/>
      <w:bookmarkStart w:id="687" w:name="_Toc285308187"/>
      <w:bookmarkStart w:id="688" w:name="_Toc285315771"/>
      <w:bookmarkStart w:id="689" w:name="_Toc285492488"/>
      <w:bookmarkStart w:id="690" w:name="_Toc288541108"/>
      <w:bookmarkStart w:id="691" w:name="_Toc293937164"/>
      <w:r>
        <w:t>Criteria for Designing BMPs to Result in Maximum Feasible Retention plus Biotreatment of the Stormwater Design Volume</w:t>
      </w:r>
      <w:bookmarkEnd w:id="686"/>
      <w:bookmarkEnd w:id="687"/>
      <w:bookmarkEnd w:id="688"/>
      <w:bookmarkEnd w:id="689"/>
      <w:bookmarkEnd w:id="690"/>
      <w:bookmarkEnd w:id="691"/>
    </w:p>
    <w:p w:rsidR="006E18DD" w:rsidRDefault="006E18DD" w:rsidP="008840A1">
      <w:pPr>
        <w:pStyle w:val="CDMBTEXT"/>
      </w:pPr>
      <w:r>
        <w:t>The requirements of this section are intended to apply when the entire stormwater design volume cannot be feasibly retained</w:t>
      </w:r>
      <w:r w:rsidR="003E241D">
        <w:t>,</w:t>
      </w:r>
      <w:r>
        <w:t xml:space="preserve"> and </w:t>
      </w:r>
      <w:r w:rsidR="003E241D">
        <w:t xml:space="preserve">therefore </w:t>
      </w:r>
      <w:r>
        <w:t xml:space="preserve">biotreatment BMPs must be added to the system to </w:t>
      </w:r>
      <w:r w:rsidR="003E241D">
        <w:t>manage the remaining stormwater design volume to the MEP. Adding biotreatment BMPs to a system that has already been designed for the maximum feasible retention may necessarily require some retention volume to be converted to biotreatment volume to result in a design that achieves the highest c</w:t>
      </w:r>
      <w:r w:rsidR="00B57186">
        <w:t>ombined pollutant load reduction</w:t>
      </w:r>
      <w:r w:rsidR="003E241D">
        <w:t>.</w:t>
      </w:r>
      <w:r w:rsidR="00B57186">
        <w:t xml:space="preserve"> </w:t>
      </w:r>
      <w:r w:rsidR="003E241D">
        <w:t>This section is intended to be used after the maximum feasible retention volume has been calculated.</w:t>
      </w:r>
    </w:p>
    <w:p w:rsidR="003E241D" w:rsidRPr="006F36EC" w:rsidRDefault="00B57186" w:rsidP="003E241D">
      <w:pPr>
        <w:pStyle w:val="CDMBTEXT"/>
      </w:pPr>
      <w:r>
        <w:t xml:space="preserve">The following </w:t>
      </w:r>
      <w:r w:rsidR="003E241D">
        <w:t xml:space="preserve">criteria that shall be met to demonstrate that biotreatment BMPs have been designed to retain stormwater design volume to the MEP </w:t>
      </w:r>
    </w:p>
    <w:p w:rsidR="00B57186" w:rsidRDefault="008840A1" w:rsidP="009531AF">
      <w:pPr>
        <w:pStyle w:val="CDMBTEXT"/>
        <w:numPr>
          <w:ilvl w:val="0"/>
          <w:numId w:val="30"/>
        </w:numPr>
        <w:spacing w:after="160" w:line="240" w:lineRule="auto"/>
      </w:pPr>
      <w:r>
        <w:t xml:space="preserve">Biotreatment components </w:t>
      </w:r>
      <w:r w:rsidR="003E241D">
        <w:t>shall be</w:t>
      </w:r>
      <w:r>
        <w:t xml:space="preserve"> added to </w:t>
      </w:r>
      <w:r w:rsidR="00616820" w:rsidRPr="00616820">
        <w:t>treat runoff from a project's drainage area</w:t>
      </w:r>
      <w:r w:rsidR="00F25A41">
        <w:t xml:space="preserve"> </w:t>
      </w:r>
      <w:r w:rsidR="00962FBC">
        <w:t>without reducing retention</w:t>
      </w:r>
      <w:r>
        <w:t xml:space="preserve"> such that </w:t>
      </w:r>
      <w:r w:rsidR="00616820" w:rsidRPr="00616820">
        <w:t>combined, biotreatment and retention BMPs</w:t>
      </w:r>
      <w:r w:rsidR="00731441">
        <w:t xml:space="preserve"> </w:t>
      </w:r>
      <w:r w:rsidR="00B57186">
        <w:t>capture and manage</w:t>
      </w:r>
      <w:r>
        <w:t xml:space="preserve"> </w:t>
      </w:r>
      <w:r w:rsidRPr="00311A64">
        <w:t>80 percent</w:t>
      </w:r>
      <w:r w:rsidR="00B57186">
        <w:t xml:space="preserve"> of average annual runoff</w:t>
      </w:r>
      <w:r w:rsidRPr="00311A64">
        <w:t xml:space="preserve"> </w:t>
      </w:r>
      <w:r>
        <w:t>(</w:t>
      </w:r>
      <w:r w:rsidRPr="00B40134">
        <w:t>See</w:t>
      </w:r>
      <w:r w:rsidR="00B57186" w:rsidRPr="00B40134">
        <w:t xml:space="preserve"> </w:t>
      </w:r>
      <w:r w:rsidR="00B40134" w:rsidRPr="00B40134">
        <w:t xml:space="preserve">approaches </w:t>
      </w:r>
      <w:r w:rsidR="00E92699">
        <w:t xml:space="preserve">for </w:t>
      </w:r>
      <w:r w:rsidR="00B57186" w:rsidRPr="00B40134">
        <w:t>sizing of</w:t>
      </w:r>
      <w:r w:rsidR="00B40134" w:rsidRPr="00B40134">
        <w:t xml:space="preserve"> treatment trains and</w:t>
      </w:r>
      <w:r w:rsidR="00B57186" w:rsidRPr="00B40134">
        <w:t xml:space="preserve"> multi-part systems in</w:t>
      </w:r>
      <w:r w:rsidRPr="00B40134">
        <w:t xml:space="preserve"> </w:t>
      </w:r>
      <w:r w:rsidR="00524D76" w:rsidRPr="00524D76">
        <w:rPr>
          <w:b/>
        </w:rPr>
        <w:t>Appendix</w:t>
      </w:r>
      <w:r w:rsidR="00E92699">
        <w:t xml:space="preserve"> </w:t>
      </w:r>
      <w:r w:rsidR="00126F3D" w:rsidRPr="00126DE5">
        <w:rPr>
          <w:b/>
          <w:color w:val="0070C0"/>
        </w:rPr>
        <w:fldChar w:fldCharType="begin"/>
      </w:r>
      <w:r w:rsidR="00E92699" w:rsidRPr="00126DE5">
        <w:rPr>
          <w:b/>
          <w:color w:val="0070C0"/>
        </w:rPr>
        <w:instrText xml:space="preserve"> REF _Ref287705759 \r \h </w:instrText>
      </w:r>
      <w:r w:rsidR="00126F3D" w:rsidRPr="00126DE5">
        <w:rPr>
          <w:b/>
          <w:color w:val="0070C0"/>
        </w:rPr>
      </w:r>
      <w:r w:rsidR="00126F3D" w:rsidRPr="00126DE5">
        <w:rPr>
          <w:b/>
          <w:color w:val="0070C0"/>
        </w:rPr>
        <w:fldChar w:fldCharType="separate"/>
      </w:r>
      <w:r w:rsidR="00126DE5" w:rsidRPr="00126DE5">
        <w:rPr>
          <w:b/>
          <w:color w:val="0070C0"/>
        </w:rPr>
        <w:t>III.5</w:t>
      </w:r>
      <w:r w:rsidR="00126F3D" w:rsidRPr="00126DE5">
        <w:rPr>
          <w:b/>
          <w:color w:val="0070C0"/>
        </w:rPr>
        <w:fldChar w:fldCharType="end"/>
      </w:r>
      <w:r w:rsidRPr="00B40134">
        <w:t>),</w:t>
      </w:r>
      <w:r w:rsidR="00962FBC">
        <w:t xml:space="preserve"> </w:t>
      </w:r>
    </w:p>
    <w:p w:rsidR="008840A1" w:rsidRPr="00B53524" w:rsidRDefault="00B57186" w:rsidP="00EA1EA6">
      <w:pPr>
        <w:pStyle w:val="CDMBTEXT"/>
        <w:spacing w:after="160" w:line="240" w:lineRule="auto"/>
        <w:ind w:left="720"/>
        <w:outlineLvl w:val="0"/>
      </w:pPr>
      <w:r>
        <w:t>OR</w:t>
      </w:r>
    </w:p>
    <w:p w:rsidR="004C3BE8" w:rsidRDefault="008840A1" w:rsidP="009531AF">
      <w:pPr>
        <w:pStyle w:val="CDMBTEXT"/>
        <w:numPr>
          <w:ilvl w:val="0"/>
          <w:numId w:val="29"/>
        </w:numPr>
        <w:spacing w:after="160" w:line="240" w:lineRule="auto"/>
      </w:pPr>
      <w:r>
        <w:t xml:space="preserve">A combination BMP or multi-part BMP incorporating both retention and biotreatment volume </w:t>
      </w:r>
      <w:r w:rsidR="005F3AA9">
        <w:t>shall be</w:t>
      </w:r>
      <w:r>
        <w:t xml:space="preserve"> provided</w:t>
      </w:r>
      <w:r w:rsidR="00B57186">
        <w:t xml:space="preserve"> that capture and manages</w:t>
      </w:r>
      <w:r w:rsidR="00731441">
        <w:t xml:space="preserve"> (retains plus </w:t>
      </w:r>
      <w:proofErr w:type="spellStart"/>
      <w:r w:rsidR="00731441">
        <w:t>biotreats</w:t>
      </w:r>
      <w:proofErr w:type="spellEnd"/>
      <w:r w:rsidR="00731441">
        <w:t>)</w:t>
      </w:r>
      <w:r w:rsidR="00B57186">
        <w:t xml:space="preserve"> at least </w:t>
      </w:r>
      <w:r w:rsidR="00B57186" w:rsidRPr="00311A64">
        <w:t>80 percent</w:t>
      </w:r>
      <w:r w:rsidR="00B57186">
        <w:t xml:space="preserve"> of average annual runoff</w:t>
      </w:r>
      <w:r>
        <w:t xml:space="preserve">, and no more than half of the </w:t>
      </w:r>
      <w:r w:rsidR="00B57186">
        <w:t xml:space="preserve">maximum feasible retention volume computed in </w:t>
      </w:r>
      <w:r>
        <w:t xml:space="preserve">Section </w:t>
      </w:r>
      <w:fldSimple w:instr=" REF _Ref285286088 \r \h  \* MERGEFORMAT ">
        <w:r w:rsidR="00126DE5" w:rsidRPr="00126DE5">
          <w:rPr>
            <w:rFonts w:cs="Arial"/>
            <w:b/>
            <w:color w:val="0070C0"/>
            <w:sz w:val="20"/>
          </w:rPr>
          <w:t>XI.3</w:t>
        </w:r>
      </w:fldSimple>
      <w:r w:rsidR="005F3AA9">
        <w:t xml:space="preserve"> </w:t>
      </w:r>
      <w:r>
        <w:t xml:space="preserve">has been shifted to biotreatment. </w:t>
      </w:r>
    </w:p>
    <w:p w:rsidR="005F3AA9" w:rsidRDefault="005F3AA9" w:rsidP="005F3AA9">
      <w:pPr>
        <w:pStyle w:val="CDMBTEXT"/>
        <w:spacing w:after="160" w:line="240" w:lineRule="auto"/>
      </w:pPr>
      <w:r>
        <w:t xml:space="preserve">Any stormwater design volume that remains after meeting these criteria shall be considered infeasible to retain or biotreat on-site and </w:t>
      </w:r>
      <w:r w:rsidR="00B40134">
        <w:t>alternative compliance obligations shall be computed as described in</w:t>
      </w:r>
      <w:r>
        <w:t xml:space="preserve"> </w:t>
      </w:r>
      <w:r w:rsidR="00126F3D" w:rsidRPr="00126DE5">
        <w:rPr>
          <w:rFonts w:cs="Arial"/>
          <w:b/>
          <w:color w:val="0070C0"/>
          <w:sz w:val="20"/>
          <w:highlight w:val="yellow"/>
        </w:rPr>
        <w:fldChar w:fldCharType="begin"/>
      </w:r>
      <w:r w:rsidR="00B40134" w:rsidRPr="00126DE5">
        <w:rPr>
          <w:rFonts w:cs="Arial"/>
          <w:b/>
          <w:color w:val="0070C0"/>
          <w:sz w:val="20"/>
        </w:rPr>
        <w:instrText xml:space="preserve"> REF _Ref285384931 \r \h </w:instrText>
      </w:r>
      <w:r w:rsidR="00126F3D" w:rsidRPr="00126DE5">
        <w:rPr>
          <w:rFonts w:cs="Arial"/>
          <w:b/>
          <w:color w:val="0070C0"/>
          <w:sz w:val="20"/>
          <w:highlight w:val="yellow"/>
        </w:rPr>
      </w:r>
      <w:r w:rsidR="00126F3D" w:rsidRPr="00126DE5">
        <w:rPr>
          <w:rFonts w:cs="Arial"/>
          <w:b/>
          <w:color w:val="0070C0"/>
          <w:sz w:val="20"/>
          <w:highlight w:val="yellow"/>
        </w:rPr>
        <w:fldChar w:fldCharType="separate"/>
      </w:r>
      <w:r w:rsidR="00126DE5" w:rsidRPr="00126DE5">
        <w:rPr>
          <w:rFonts w:cs="Arial"/>
          <w:b/>
          <w:color w:val="0070C0"/>
          <w:sz w:val="20"/>
        </w:rPr>
        <w:t>Appendix VI</w:t>
      </w:r>
      <w:r w:rsidR="00126F3D" w:rsidRPr="00126DE5">
        <w:rPr>
          <w:rFonts w:cs="Arial"/>
          <w:b/>
          <w:color w:val="0070C0"/>
          <w:sz w:val="20"/>
          <w:highlight w:val="yellow"/>
        </w:rPr>
        <w:fldChar w:fldCharType="end"/>
      </w:r>
      <w:r>
        <w:t xml:space="preserve">. </w:t>
      </w:r>
    </w:p>
    <w:p w:rsidR="00467258" w:rsidRDefault="00467258" w:rsidP="00A52883">
      <w:pPr>
        <w:pStyle w:val="Heading2"/>
      </w:pPr>
      <w:bookmarkStart w:id="692" w:name="_Toc285308188"/>
      <w:bookmarkStart w:id="693" w:name="_Toc285315772"/>
      <w:bookmarkStart w:id="694" w:name="_Toc285492489"/>
      <w:bookmarkStart w:id="695" w:name="_Toc288541109"/>
      <w:bookmarkStart w:id="696" w:name="_Toc293937165"/>
      <w:r>
        <w:t>Supporting Criteria for Designing BMPs to Achieve Maximum Feas</w:t>
      </w:r>
      <w:r w:rsidR="006E18DD">
        <w:t>ible Retention and Biotreatment</w:t>
      </w:r>
      <w:bookmarkEnd w:id="692"/>
      <w:bookmarkEnd w:id="693"/>
      <w:bookmarkEnd w:id="694"/>
      <w:bookmarkEnd w:id="695"/>
      <w:bookmarkEnd w:id="696"/>
    </w:p>
    <w:p w:rsidR="005F3AA9" w:rsidRPr="005F3AA9" w:rsidRDefault="005F3AA9" w:rsidP="005F3AA9">
      <w:pPr>
        <w:pStyle w:val="CDMBTEXT"/>
      </w:pPr>
      <w:r>
        <w:t xml:space="preserve">This section provides criteria to support the design of BMPs to retain and biotreat the stormwater design volume to the MEP. The requirements of this section are intended to apply only to projects demonstrating that BMPs have been designed to achieve the maximum retention and biotreatment per Sections </w:t>
      </w:r>
      <w:r w:rsidR="00126F3D" w:rsidRPr="00126DE5">
        <w:rPr>
          <w:rFonts w:cs="Arial"/>
          <w:b/>
          <w:color w:val="0070C0"/>
          <w:sz w:val="20"/>
        </w:rPr>
        <w:fldChar w:fldCharType="begin"/>
      </w:r>
      <w:r w:rsidRPr="00126DE5">
        <w:rPr>
          <w:rFonts w:cs="Arial"/>
          <w:b/>
          <w:color w:val="0070C0"/>
          <w:sz w:val="20"/>
        </w:rPr>
        <w:instrText xml:space="preserve"> REF _Ref285286088 \r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rFonts w:cs="Arial"/>
          <w:b/>
          <w:color w:val="0070C0"/>
          <w:sz w:val="20"/>
        </w:rPr>
        <w:t>XI.3</w:t>
      </w:r>
      <w:r w:rsidR="00126F3D" w:rsidRPr="00126DE5">
        <w:rPr>
          <w:rFonts w:cs="Arial"/>
          <w:b/>
          <w:color w:val="0070C0"/>
          <w:sz w:val="20"/>
        </w:rPr>
        <w:fldChar w:fldCharType="end"/>
      </w:r>
      <w:r>
        <w:t xml:space="preserve"> and </w:t>
      </w:r>
      <w:r w:rsidR="00126F3D" w:rsidRPr="00126DE5">
        <w:rPr>
          <w:rFonts w:cs="Arial"/>
          <w:b/>
          <w:color w:val="0070C0"/>
          <w:sz w:val="20"/>
        </w:rPr>
        <w:fldChar w:fldCharType="begin"/>
      </w:r>
      <w:r w:rsidRPr="00126DE5">
        <w:rPr>
          <w:rFonts w:cs="Arial"/>
          <w:b/>
          <w:color w:val="0070C0"/>
          <w:sz w:val="20"/>
        </w:rPr>
        <w:instrText xml:space="preserve"> REF _Ref285286243 \r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rFonts w:cs="Arial"/>
          <w:b/>
          <w:color w:val="0070C0"/>
          <w:sz w:val="20"/>
        </w:rPr>
        <w:t>XI.4</w:t>
      </w:r>
      <w:r w:rsidR="00126F3D" w:rsidRPr="00126DE5">
        <w:rPr>
          <w:rFonts w:cs="Arial"/>
          <w:b/>
          <w:color w:val="0070C0"/>
          <w:sz w:val="20"/>
        </w:rPr>
        <w:fldChar w:fldCharType="end"/>
      </w:r>
      <w:r>
        <w:t>, respectively, as referenced from these sections.</w:t>
      </w:r>
    </w:p>
    <w:p w:rsidR="00467258" w:rsidRPr="00B53524" w:rsidRDefault="00467258" w:rsidP="00A52883">
      <w:pPr>
        <w:pStyle w:val="Heading3"/>
      </w:pPr>
      <w:bookmarkStart w:id="697" w:name="_Ref257730869"/>
      <w:bookmarkStart w:id="698" w:name="_Toc262462868"/>
      <w:r w:rsidRPr="00311A64">
        <w:t>Criteria for Site Design</w:t>
      </w:r>
      <w:bookmarkEnd w:id="697"/>
      <w:r w:rsidRPr="00311A64">
        <w:t xml:space="preserve"> to Allow BMPs</w:t>
      </w:r>
      <w:bookmarkEnd w:id="698"/>
    </w:p>
    <w:p w:rsidR="00467258" w:rsidRPr="00B53524" w:rsidRDefault="005F3AA9" w:rsidP="00467258">
      <w:pPr>
        <w:pStyle w:val="CDMBTEXT"/>
      </w:pPr>
      <w:r>
        <w:t xml:space="preserve">Project site designs shall be developed to allow BMPs to the MEP per the criteria contained in this section. This section is applicable as referenced from Sections </w:t>
      </w:r>
      <w:r w:rsidR="00126F3D" w:rsidRPr="00126DE5">
        <w:rPr>
          <w:rFonts w:cs="Arial"/>
          <w:b/>
          <w:color w:val="0070C0"/>
          <w:sz w:val="20"/>
        </w:rPr>
        <w:fldChar w:fldCharType="begin"/>
      </w:r>
      <w:r w:rsidRPr="00126DE5">
        <w:rPr>
          <w:rFonts w:cs="Arial"/>
          <w:b/>
          <w:color w:val="0070C0"/>
          <w:sz w:val="20"/>
        </w:rPr>
        <w:instrText xml:space="preserve"> REF _Ref285286088 \r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rFonts w:cs="Arial"/>
          <w:b/>
          <w:color w:val="0070C0"/>
          <w:sz w:val="20"/>
        </w:rPr>
        <w:t>XI.3</w:t>
      </w:r>
      <w:r w:rsidR="00126F3D" w:rsidRPr="00126DE5">
        <w:rPr>
          <w:rFonts w:cs="Arial"/>
          <w:b/>
          <w:color w:val="0070C0"/>
          <w:sz w:val="20"/>
        </w:rPr>
        <w:fldChar w:fldCharType="end"/>
      </w:r>
      <w:r>
        <w:t xml:space="preserve"> and </w:t>
      </w:r>
      <w:r w:rsidR="00126F3D" w:rsidRPr="00126DE5">
        <w:rPr>
          <w:rFonts w:cs="Arial"/>
          <w:b/>
          <w:color w:val="0070C0"/>
          <w:sz w:val="20"/>
        </w:rPr>
        <w:fldChar w:fldCharType="begin"/>
      </w:r>
      <w:r w:rsidRPr="00126DE5">
        <w:rPr>
          <w:rFonts w:cs="Arial"/>
          <w:b/>
          <w:color w:val="0070C0"/>
          <w:sz w:val="20"/>
        </w:rPr>
        <w:instrText xml:space="preserve"> REF _Ref285286243 \r \h </w:instrText>
      </w:r>
      <w:r w:rsidR="00126F3D" w:rsidRPr="00126DE5">
        <w:rPr>
          <w:rFonts w:cs="Arial"/>
          <w:b/>
          <w:color w:val="0070C0"/>
          <w:sz w:val="20"/>
        </w:rPr>
      </w:r>
      <w:r w:rsidR="00126F3D" w:rsidRPr="00126DE5">
        <w:rPr>
          <w:rFonts w:cs="Arial"/>
          <w:b/>
          <w:color w:val="0070C0"/>
          <w:sz w:val="20"/>
        </w:rPr>
        <w:fldChar w:fldCharType="separate"/>
      </w:r>
      <w:r w:rsidR="00126DE5" w:rsidRPr="00126DE5">
        <w:rPr>
          <w:rFonts w:cs="Arial"/>
          <w:b/>
          <w:color w:val="0070C0"/>
          <w:sz w:val="20"/>
        </w:rPr>
        <w:t>XI.4</w:t>
      </w:r>
      <w:r w:rsidR="00126F3D" w:rsidRPr="00126DE5">
        <w:rPr>
          <w:rFonts w:cs="Arial"/>
          <w:b/>
          <w:color w:val="0070C0"/>
          <w:sz w:val="20"/>
        </w:rPr>
        <w:fldChar w:fldCharType="end"/>
      </w:r>
      <w:r>
        <w:t>.</w:t>
      </w:r>
    </w:p>
    <w:p w:rsidR="00467258" w:rsidRPr="00B53524" w:rsidRDefault="00467258" w:rsidP="009E1CFF">
      <w:pPr>
        <w:pStyle w:val="ListBullet"/>
      </w:pPr>
      <w:r w:rsidRPr="00311A64">
        <w:t xml:space="preserve">At least the recommended portion of the site specified </w:t>
      </w:r>
      <w:fldSimple w:instr=" REF _Ref285286402 \h  \* MERGEFORMAT ">
        <w:r w:rsidR="00126DE5" w:rsidRPr="00126DE5">
          <w:rPr>
            <w:rStyle w:val="TableHeadingChar"/>
            <w:rFonts w:ascii="Book Antiqua" w:eastAsiaTheme="minorEastAsia" w:hAnsi="Book Antiqua" w:cstheme="minorBidi"/>
            <w:b w:val="0"/>
            <w:color w:val="0070C0"/>
            <w:sz w:val="22"/>
          </w:rPr>
          <w:t xml:space="preserve">Table </w:t>
        </w:r>
        <w:r w:rsidR="00126DE5" w:rsidRPr="00126DE5">
          <w:rPr>
            <w:rStyle w:val="TableHeadingChar"/>
            <w:rFonts w:ascii="Book Antiqua" w:eastAsiaTheme="minorEastAsia" w:hAnsi="Book Antiqua"/>
            <w:b w:val="0"/>
            <w:noProof/>
            <w:color w:val="0070C0"/>
          </w:rPr>
          <w:t>XI</w:t>
        </w:r>
        <w:r w:rsidR="00126DE5" w:rsidRPr="00126DE5">
          <w:rPr>
            <w:rStyle w:val="TableHeadingChar"/>
            <w:rFonts w:ascii="Book Antiqua" w:eastAsiaTheme="minorEastAsia" w:hAnsi="Book Antiqua" w:cstheme="minorBidi"/>
            <w:b w:val="0"/>
            <w:color w:val="0070C0"/>
            <w:sz w:val="22"/>
          </w:rPr>
          <w:t>.</w:t>
        </w:r>
        <w:r w:rsidR="00126DE5" w:rsidRPr="00126DE5">
          <w:rPr>
            <w:rStyle w:val="TableHeadingChar"/>
            <w:rFonts w:ascii="Book Antiqua" w:eastAsiaTheme="minorEastAsia" w:hAnsi="Book Antiqua"/>
            <w:b w:val="0"/>
            <w:noProof/>
            <w:color w:val="0070C0"/>
          </w:rPr>
          <w:t>1</w:t>
        </w:r>
      </w:fldSimple>
      <w:r w:rsidR="00B40134">
        <w:rPr>
          <w:b/>
          <w:color w:val="0070C0"/>
        </w:rPr>
        <w:t xml:space="preserve"> </w:t>
      </w:r>
      <w:r w:rsidRPr="00311A64">
        <w:t xml:space="preserve">(or </w:t>
      </w:r>
      <w:r>
        <w:t xml:space="preserve">a more stringent </w:t>
      </w:r>
      <w:r w:rsidRPr="00311A64">
        <w:t xml:space="preserve"> table developed by local jurisdictions) </w:t>
      </w:r>
      <w:r w:rsidR="008B6FE5">
        <w:t>shall be</w:t>
      </w:r>
      <w:r w:rsidRPr="00311A64">
        <w:t xml:space="preserve"> provided in the site plans f</w:t>
      </w:r>
      <w:r w:rsidR="00094961">
        <w:t xml:space="preserve">or surface plus subsurface BMPs. Local jurisdictions may develop a more stringent table (i.e., greater area required to be provided) at their discretion. In the absence of such a table, </w:t>
      </w:r>
      <w:fldSimple w:instr=" REF _Ref285286402 \h  \* MERGEFORMAT ">
        <w:r w:rsidR="00126DE5" w:rsidRPr="00126DE5">
          <w:rPr>
            <w:rStyle w:val="TableHeadingChar"/>
            <w:rFonts w:ascii="Book Antiqua" w:eastAsiaTheme="minorEastAsia" w:hAnsi="Book Antiqua" w:cstheme="minorBidi"/>
            <w:b w:val="0"/>
            <w:color w:val="0070C0"/>
            <w:sz w:val="22"/>
          </w:rPr>
          <w:t xml:space="preserve">Table </w:t>
        </w:r>
        <w:r w:rsidR="00126DE5" w:rsidRPr="00126DE5">
          <w:rPr>
            <w:rStyle w:val="TableHeadingChar"/>
            <w:rFonts w:ascii="Book Antiqua" w:eastAsiaTheme="minorEastAsia" w:hAnsi="Book Antiqua"/>
            <w:b w:val="0"/>
            <w:noProof/>
            <w:color w:val="0070C0"/>
          </w:rPr>
          <w:t>XI</w:t>
        </w:r>
        <w:r w:rsidR="00126DE5" w:rsidRPr="00126DE5">
          <w:rPr>
            <w:rStyle w:val="TableHeadingChar"/>
            <w:rFonts w:ascii="Book Antiqua" w:eastAsiaTheme="minorEastAsia" w:hAnsi="Book Antiqua" w:cstheme="minorBidi"/>
            <w:b w:val="0"/>
            <w:color w:val="0070C0"/>
            <w:sz w:val="22"/>
          </w:rPr>
          <w:t>.</w:t>
        </w:r>
        <w:r w:rsidR="00126DE5" w:rsidRPr="00126DE5">
          <w:rPr>
            <w:rStyle w:val="TableHeadingChar"/>
            <w:rFonts w:ascii="Book Antiqua" w:eastAsiaTheme="minorEastAsia" w:hAnsi="Book Antiqua"/>
            <w:b w:val="0"/>
            <w:noProof/>
            <w:color w:val="0070C0"/>
          </w:rPr>
          <w:t>1</w:t>
        </w:r>
      </w:fldSimple>
      <w:r w:rsidR="00094961">
        <w:t xml:space="preserve"> shall be the default; and </w:t>
      </w:r>
    </w:p>
    <w:p w:rsidR="00467258" w:rsidRPr="00B53524" w:rsidRDefault="00467258" w:rsidP="009E1CFF">
      <w:pPr>
        <w:pStyle w:val="ListBullet"/>
      </w:pPr>
      <w:r w:rsidRPr="00311A64">
        <w:t xml:space="preserve">The site </w:t>
      </w:r>
      <w:r w:rsidR="008B6FE5">
        <w:t>shall be</w:t>
      </w:r>
      <w:r w:rsidRPr="00311A64">
        <w:t xml:space="preserve"> configured such that runoff can be routed to </w:t>
      </w:r>
      <w:r>
        <w:t>BMPs located in the</w:t>
      </w:r>
      <w:r w:rsidRPr="00311A64">
        <w:t xml:space="preserve"> available area(s</w:t>
      </w:r>
      <w:r>
        <w:t>)</w:t>
      </w:r>
      <w:r w:rsidR="000127F3">
        <w:t xml:space="preserve"> of the site</w:t>
      </w:r>
      <w:r w:rsidR="00094961">
        <w:t>;</w:t>
      </w:r>
      <w:r w:rsidRPr="00311A64">
        <w:t xml:space="preserve"> and </w:t>
      </w:r>
    </w:p>
    <w:p w:rsidR="00467258" w:rsidRPr="00B53524" w:rsidRDefault="00467258" w:rsidP="009E1CFF">
      <w:pPr>
        <w:pStyle w:val="ListBullet"/>
      </w:pPr>
      <w:r w:rsidRPr="00311A64">
        <w:t xml:space="preserve">The site </w:t>
      </w:r>
      <w:r w:rsidR="008B6FE5">
        <w:t>shall be</w:t>
      </w:r>
      <w:r w:rsidRPr="00311A64">
        <w:t xml:space="preserve"> laid out such that BMPs are located over infiltrative soils as practicable given the constraints of the site</w:t>
      </w:r>
      <w:r w:rsidR="008B6FE5">
        <w:t xml:space="preserve">, unless infiltration is infeasible for risk-based reasons identified in </w:t>
      </w:r>
      <w:r w:rsidR="008B6FE5" w:rsidRPr="00A214BC">
        <w:rPr>
          <w:b/>
          <w:color w:val="00B050"/>
        </w:rPr>
        <w:t>TGD Section 2.4</w:t>
      </w:r>
      <w:r w:rsidRPr="00311A64">
        <w:t xml:space="preserve">, and </w:t>
      </w:r>
    </w:p>
    <w:p w:rsidR="00467258" w:rsidRPr="00B53524" w:rsidRDefault="00467258" w:rsidP="009E1CFF">
      <w:pPr>
        <w:pStyle w:val="ListBullet"/>
      </w:pPr>
      <w:r w:rsidRPr="00311A64">
        <w:t xml:space="preserve">Satisfaction of these criteria </w:t>
      </w:r>
      <w:r w:rsidR="00094961">
        <w:t>shall be</w:t>
      </w:r>
      <w:r w:rsidRPr="00311A64">
        <w:t xml:space="preserve"> documented in exhibits or narrative descriptions.</w:t>
      </w:r>
    </w:p>
    <w:p w:rsidR="00467258" w:rsidRPr="00B53524" w:rsidRDefault="00467258" w:rsidP="00EA1EA6">
      <w:pPr>
        <w:pStyle w:val="CDMBTEXT"/>
        <w:spacing w:after="120"/>
        <w:ind w:left="720" w:firstLine="720"/>
        <w:outlineLvl w:val="0"/>
      </w:pPr>
      <w:bookmarkStart w:id="699" w:name="_Toc285308189"/>
      <w:r w:rsidRPr="00311A64">
        <w:t>OR</w:t>
      </w:r>
      <w:bookmarkEnd w:id="699"/>
    </w:p>
    <w:p w:rsidR="00467258" w:rsidRPr="00B53524" w:rsidRDefault="00094961" w:rsidP="009E1CFF">
      <w:pPr>
        <w:pStyle w:val="ListBullet"/>
      </w:pPr>
      <w:r>
        <w:t xml:space="preserve">A site specific study shall be prepared as part of the Project WQMP that documents that the </w:t>
      </w:r>
      <w:r w:rsidR="00467258" w:rsidRPr="00311A64">
        <w:t>site cannot be designed to allow more area for BMPs. The study may consider:</w:t>
      </w:r>
    </w:p>
    <w:p w:rsidR="00467258" w:rsidRPr="00B53524" w:rsidRDefault="00467258" w:rsidP="009E1CFF">
      <w:pPr>
        <w:pStyle w:val="ListBullet"/>
        <w:tabs>
          <w:tab w:val="clear" w:pos="810"/>
          <w:tab w:val="num" w:pos="1530"/>
        </w:tabs>
        <w:ind w:left="1526"/>
      </w:pPr>
      <w:r w:rsidRPr="00311A64">
        <w:t>Site conditions/constraints (e.g., depth to groundwater, topography, existing utilities)</w:t>
      </w:r>
    </w:p>
    <w:p w:rsidR="00467258" w:rsidRPr="00B53524" w:rsidRDefault="00467258" w:rsidP="009E1CFF">
      <w:pPr>
        <w:pStyle w:val="ListBullet"/>
        <w:tabs>
          <w:tab w:val="clear" w:pos="810"/>
          <w:tab w:val="num" w:pos="1530"/>
        </w:tabs>
        <w:ind w:left="1526"/>
      </w:pPr>
      <w:r w:rsidRPr="00311A64">
        <w:t>Zoning/code requirements (e.g., target density, accessibility, traffic circulation, health and safety, setbacks, etc.)</w:t>
      </w:r>
    </w:p>
    <w:p w:rsidR="00467258" w:rsidRPr="00B53524" w:rsidRDefault="00467258" w:rsidP="009E1CFF">
      <w:pPr>
        <w:pStyle w:val="ListBullet"/>
        <w:tabs>
          <w:tab w:val="clear" w:pos="810"/>
          <w:tab w:val="num" w:pos="1530"/>
        </w:tabs>
        <w:ind w:left="1526"/>
      </w:pPr>
      <w:r w:rsidRPr="00311A64">
        <w:t>Economic feasibility</w:t>
      </w:r>
    </w:p>
    <w:p w:rsidR="00467258" w:rsidRDefault="00126F3D" w:rsidP="00467258">
      <w:pPr>
        <w:pStyle w:val="CDMBTEXT"/>
      </w:pPr>
      <w:r w:rsidRPr="00126DE5">
        <w:rPr>
          <w:rFonts w:cs="Arial"/>
          <w:b/>
          <w:color w:val="0070C0"/>
          <w:sz w:val="20"/>
        </w:rPr>
        <w:fldChar w:fldCharType="begin"/>
      </w:r>
      <w:r w:rsidR="000127F3" w:rsidRPr="00126DE5">
        <w:rPr>
          <w:rFonts w:cs="Arial"/>
          <w:b/>
          <w:color w:val="0070C0"/>
          <w:sz w:val="20"/>
        </w:rPr>
        <w:instrText xml:space="preserve"> REF _Ref285286402 \h </w:instrText>
      </w:r>
      <w:r w:rsidRPr="00126DE5">
        <w:rPr>
          <w:rFonts w:cs="Arial"/>
          <w:b/>
          <w:color w:val="0070C0"/>
          <w:sz w:val="20"/>
        </w:rPr>
      </w:r>
      <w:r w:rsidRPr="00126DE5">
        <w:rPr>
          <w:rFonts w:cs="Arial"/>
          <w:b/>
          <w:color w:val="0070C0"/>
          <w:sz w:val="20"/>
        </w:rPr>
        <w:fldChar w:fldCharType="separate"/>
      </w:r>
      <w:r w:rsidR="00126DE5" w:rsidRPr="00126DE5">
        <w:rPr>
          <w:rStyle w:val="TableHeadingChar"/>
          <w:rFonts w:ascii="Book Antiqua" w:eastAsiaTheme="minorEastAsia" w:hAnsi="Book Antiqua" w:cstheme="minorBidi"/>
          <w:b w:val="0"/>
          <w:color w:val="0070C0"/>
          <w:sz w:val="22"/>
        </w:rPr>
        <w:t xml:space="preserve">Table </w:t>
      </w:r>
      <w:r w:rsidR="00126DE5" w:rsidRPr="00126DE5">
        <w:rPr>
          <w:rStyle w:val="TableHeadingChar"/>
          <w:rFonts w:ascii="Book Antiqua" w:eastAsiaTheme="minorEastAsia" w:hAnsi="Book Antiqua" w:cstheme="minorBidi"/>
          <w:b w:val="0"/>
          <w:noProof/>
          <w:color w:val="0070C0"/>
          <w:sz w:val="22"/>
        </w:rPr>
        <w:t>XI</w:t>
      </w:r>
      <w:r w:rsidR="00126DE5" w:rsidRPr="00126DE5">
        <w:rPr>
          <w:rStyle w:val="TableHeadingChar"/>
          <w:rFonts w:ascii="Book Antiqua" w:eastAsiaTheme="minorEastAsia" w:hAnsi="Book Antiqua" w:cstheme="minorBidi"/>
          <w:b w:val="0"/>
          <w:color w:val="0070C0"/>
          <w:sz w:val="22"/>
        </w:rPr>
        <w:t>.</w:t>
      </w:r>
      <w:r w:rsidR="00126DE5" w:rsidRPr="00126DE5">
        <w:rPr>
          <w:rStyle w:val="TableHeadingChar"/>
          <w:rFonts w:ascii="Book Antiqua" w:eastAsiaTheme="minorEastAsia" w:hAnsi="Book Antiqua" w:cstheme="minorBidi"/>
          <w:b w:val="0"/>
          <w:noProof/>
          <w:color w:val="0070C0"/>
          <w:sz w:val="22"/>
        </w:rPr>
        <w:t>1</w:t>
      </w:r>
      <w:r w:rsidRPr="00126DE5">
        <w:rPr>
          <w:rFonts w:cs="Arial"/>
          <w:b/>
          <w:color w:val="0070C0"/>
          <w:sz w:val="20"/>
        </w:rPr>
        <w:fldChar w:fldCharType="end"/>
      </w:r>
      <w:r w:rsidR="000127F3">
        <w:t xml:space="preserve"> </w:t>
      </w:r>
      <w:r w:rsidR="00467258" w:rsidRPr="00311A64">
        <w:t xml:space="preserve">provides the recommended percentage of a project site that is required to be made available for </w:t>
      </w:r>
      <w:r w:rsidR="00467258">
        <w:t xml:space="preserve">LID BMPs </w:t>
      </w:r>
      <w:r w:rsidR="00467258" w:rsidRPr="00311A64">
        <w:t xml:space="preserve">in order to </w:t>
      </w:r>
      <w:r w:rsidR="000127F3">
        <w:t xml:space="preserve">meet minimum criteria for site design to allow BMPs. </w:t>
      </w: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60"/>
        <w:gridCol w:w="4378"/>
        <w:gridCol w:w="3240"/>
      </w:tblGrid>
      <w:tr w:rsidR="00467258" w:rsidRPr="00B53524" w:rsidTr="009E1CFF">
        <w:trPr>
          <w:trHeight w:val="288"/>
          <w:tblHeader/>
        </w:trPr>
        <w:tc>
          <w:tcPr>
            <w:tcW w:w="9378" w:type="dxa"/>
            <w:gridSpan w:val="3"/>
            <w:tcBorders>
              <w:top w:val="nil"/>
              <w:left w:val="nil"/>
              <w:bottom w:val="single" w:sz="4" w:space="0" w:color="auto"/>
              <w:right w:val="nil"/>
            </w:tcBorders>
            <w:shd w:val="clear" w:color="auto" w:fill="auto"/>
          </w:tcPr>
          <w:p w:rsidR="00467258" w:rsidRPr="00524D76" w:rsidRDefault="00467258" w:rsidP="00647B99">
            <w:pPr>
              <w:pStyle w:val="Caption"/>
              <w:rPr>
                <w:rStyle w:val="TableHeadingChar"/>
                <w:rFonts w:ascii="Book Antiqua" w:eastAsiaTheme="minorEastAsia" w:hAnsi="Book Antiqua" w:cstheme="minorBidi"/>
                <w:b/>
                <w:sz w:val="22"/>
              </w:rPr>
            </w:pPr>
            <w:bookmarkStart w:id="700" w:name="_Ref285286402"/>
            <w:bookmarkStart w:id="701" w:name="_Toc288554394"/>
            <w:r w:rsidRPr="00524D76">
              <w:rPr>
                <w:rStyle w:val="TableHeadingChar"/>
                <w:rFonts w:ascii="Book Antiqua" w:eastAsiaTheme="minorEastAsia" w:hAnsi="Book Antiqua" w:cstheme="minorBidi"/>
                <w:b/>
                <w:sz w:val="22"/>
              </w:rPr>
              <w:t xml:space="preserve">Table </w:t>
            </w:r>
            <w:r w:rsidR="00126F3D" w:rsidRPr="00524D76">
              <w:rPr>
                <w:rStyle w:val="TableHeadingChar"/>
                <w:rFonts w:ascii="Book Antiqua" w:eastAsiaTheme="minorEastAsia" w:hAnsi="Book Antiqua" w:cstheme="minorBidi"/>
                <w:b/>
                <w:sz w:val="22"/>
              </w:rPr>
              <w:fldChar w:fldCharType="begin"/>
            </w:r>
            <w:r w:rsidR="000B5480" w:rsidRPr="00524D76">
              <w:rPr>
                <w:rStyle w:val="TableHeadingChar"/>
                <w:rFonts w:ascii="Book Antiqua" w:eastAsiaTheme="minorEastAsia" w:hAnsi="Book Antiqua" w:cstheme="minorBidi"/>
                <w:b/>
                <w:sz w:val="22"/>
              </w:rPr>
              <w:instrText xml:space="preserve"> STYLEREF 1 \s </w:instrText>
            </w:r>
            <w:r w:rsidR="00126F3D" w:rsidRPr="00524D76">
              <w:rPr>
                <w:rStyle w:val="TableHeadingChar"/>
                <w:rFonts w:ascii="Book Antiqua" w:eastAsiaTheme="minorEastAsia" w:hAnsi="Book Antiqua" w:cstheme="minorBidi"/>
                <w:b/>
                <w:sz w:val="22"/>
              </w:rPr>
              <w:fldChar w:fldCharType="separate"/>
            </w:r>
            <w:r w:rsidR="00126DE5" w:rsidRPr="00524D76">
              <w:rPr>
                <w:rStyle w:val="TableHeadingChar"/>
                <w:rFonts w:ascii="Book Antiqua" w:eastAsiaTheme="minorEastAsia" w:hAnsi="Book Antiqua" w:cstheme="minorBidi"/>
                <w:b/>
                <w:noProof/>
                <w:sz w:val="22"/>
              </w:rPr>
              <w:t>XI</w:t>
            </w:r>
            <w:r w:rsidR="00126F3D" w:rsidRPr="00524D76">
              <w:rPr>
                <w:rStyle w:val="TableHeadingChar"/>
                <w:rFonts w:ascii="Book Antiqua" w:eastAsiaTheme="minorEastAsia" w:hAnsi="Book Antiqua" w:cstheme="minorBidi"/>
                <w:b/>
                <w:sz w:val="22"/>
              </w:rPr>
              <w:fldChar w:fldCharType="end"/>
            </w:r>
            <w:r w:rsidR="000B5480" w:rsidRPr="00524D76">
              <w:rPr>
                <w:rStyle w:val="TableHeadingChar"/>
                <w:rFonts w:ascii="Book Antiqua" w:eastAsiaTheme="minorEastAsia" w:hAnsi="Book Antiqua" w:cstheme="minorBidi"/>
                <w:b/>
                <w:sz w:val="22"/>
              </w:rPr>
              <w:t>.</w:t>
            </w:r>
            <w:r w:rsidR="00126F3D" w:rsidRPr="00524D76">
              <w:rPr>
                <w:rStyle w:val="TableHeadingChar"/>
                <w:rFonts w:ascii="Book Antiqua" w:eastAsiaTheme="minorEastAsia" w:hAnsi="Book Antiqua" w:cstheme="minorBidi"/>
                <w:b/>
                <w:sz w:val="22"/>
              </w:rPr>
              <w:fldChar w:fldCharType="begin"/>
            </w:r>
            <w:r w:rsidR="000B5480" w:rsidRPr="00524D76">
              <w:rPr>
                <w:rStyle w:val="TableHeadingChar"/>
                <w:rFonts w:ascii="Book Antiqua" w:eastAsiaTheme="minorEastAsia" w:hAnsi="Book Antiqua" w:cstheme="minorBidi"/>
                <w:b/>
                <w:sz w:val="22"/>
              </w:rPr>
              <w:instrText xml:space="preserve"> SEQ Table \* ARABIC \s 1 </w:instrText>
            </w:r>
            <w:r w:rsidR="00126F3D" w:rsidRPr="00524D76">
              <w:rPr>
                <w:rStyle w:val="TableHeadingChar"/>
                <w:rFonts w:ascii="Book Antiqua" w:eastAsiaTheme="minorEastAsia" w:hAnsi="Book Antiqua" w:cstheme="minorBidi"/>
                <w:b/>
                <w:sz w:val="22"/>
              </w:rPr>
              <w:fldChar w:fldCharType="separate"/>
            </w:r>
            <w:r w:rsidR="00126DE5" w:rsidRPr="00524D76">
              <w:rPr>
                <w:rStyle w:val="TableHeadingChar"/>
                <w:rFonts w:ascii="Book Antiqua" w:eastAsiaTheme="minorEastAsia" w:hAnsi="Book Antiqua" w:cstheme="minorBidi"/>
                <w:b/>
                <w:noProof/>
                <w:sz w:val="22"/>
              </w:rPr>
              <w:t>1</w:t>
            </w:r>
            <w:r w:rsidR="00126F3D" w:rsidRPr="00524D76">
              <w:rPr>
                <w:rStyle w:val="TableHeadingChar"/>
                <w:rFonts w:ascii="Book Antiqua" w:eastAsiaTheme="minorEastAsia" w:hAnsi="Book Antiqua" w:cstheme="minorBidi"/>
                <w:b/>
                <w:sz w:val="22"/>
              </w:rPr>
              <w:fldChar w:fldCharType="end"/>
            </w:r>
            <w:bookmarkEnd w:id="700"/>
            <w:r w:rsidR="00B96ACD" w:rsidRPr="00524D76">
              <w:rPr>
                <w:rStyle w:val="TableHeadingChar"/>
                <w:rFonts w:ascii="Book Antiqua" w:eastAsiaTheme="minorEastAsia" w:hAnsi="Book Antiqua" w:cstheme="minorBidi"/>
                <w:b/>
                <w:sz w:val="22"/>
              </w:rPr>
              <w:t xml:space="preserve">: </w:t>
            </w:r>
            <w:r w:rsidRPr="00524D76">
              <w:rPr>
                <w:rStyle w:val="TableHeadingChar"/>
                <w:rFonts w:ascii="Book Antiqua" w:eastAsiaTheme="minorEastAsia" w:hAnsi="Book Antiqua" w:cstheme="minorBidi"/>
                <w:b/>
                <w:sz w:val="22"/>
              </w:rPr>
              <w:t>Recommended Minimum Criteria for Site Design</w:t>
            </w:r>
            <w:bookmarkEnd w:id="701"/>
          </w:p>
        </w:tc>
      </w:tr>
      <w:tr w:rsidR="00467258" w:rsidRPr="00B53524" w:rsidTr="009E1CFF">
        <w:trPr>
          <w:trHeight w:val="1295"/>
          <w:tblHeader/>
        </w:trPr>
        <w:tc>
          <w:tcPr>
            <w:tcW w:w="6138" w:type="dxa"/>
            <w:gridSpan w:val="2"/>
            <w:tcBorders>
              <w:top w:val="single" w:sz="4" w:space="0" w:color="auto"/>
            </w:tcBorders>
            <w:vAlign w:val="bottom"/>
          </w:tcPr>
          <w:p w:rsidR="00467258" w:rsidRPr="00B53524" w:rsidRDefault="00467258" w:rsidP="00A52ED1">
            <w:pPr>
              <w:keepNext/>
              <w:spacing w:after="0"/>
              <w:jc w:val="center"/>
              <w:rPr>
                <w:rFonts w:ascii="Arial" w:hAnsi="Arial" w:cs="Arial"/>
                <w:color w:val="000000"/>
                <w:sz w:val="18"/>
              </w:rPr>
            </w:pPr>
            <w:r w:rsidRPr="00311A64">
              <w:rPr>
                <w:rFonts w:ascii="Arial" w:hAnsi="Arial" w:cs="Arial"/>
                <w:color w:val="000000"/>
                <w:sz w:val="18"/>
              </w:rPr>
              <w:t>Project Type</w:t>
            </w:r>
          </w:p>
        </w:tc>
        <w:tc>
          <w:tcPr>
            <w:tcW w:w="3240" w:type="dxa"/>
            <w:tcBorders>
              <w:top w:val="single" w:sz="4" w:space="0" w:color="auto"/>
            </w:tcBorders>
            <w:vAlign w:val="bottom"/>
          </w:tcPr>
          <w:p w:rsidR="00467258" w:rsidRPr="00B53524" w:rsidRDefault="00467258" w:rsidP="00A52ED1">
            <w:pPr>
              <w:keepNext/>
              <w:spacing w:after="0"/>
              <w:jc w:val="center"/>
              <w:rPr>
                <w:rFonts w:ascii="Arial" w:hAnsi="Arial" w:cs="Arial"/>
                <w:color w:val="000000"/>
                <w:sz w:val="18"/>
              </w:rPr>
            </w:pPr>
            <w:r>
              <w:rPr>
                <w:rFonts w:ascii="Arial" w:hAnsi="Arial" w:cs="Arial"/>
                <w:color w:val="000000"/>
                <w:sz w:val="18"/>
              </w:rPr>
              <w:t xml:space="preserve">Recommended </w:t>
            </w:r>
            <w:r w:rsidRPr="00311A64">
              <w:rPr>
                <w:rFonts w:ascii="Arial" w:hAnsi="Arial" w:cs="Arial"/>
                <w:color w:val="000000"/>
                <w:sz w:val="18"/>
              </w:rPr>
              <w:t>effective area</w:t>
            </w:r>
            <w:r w:rsidRPr="00311A64">
              <w:rPr>
                <w:rFonts w:ascii="Arial" w:hAnsi="Arial" w:cs="Arial"/>
                <w:color w:val="000000"/>
                <w:sz w:val="18"/>
                <w:vertAlign w:val="superscript"/>
              </w:rPr>
              <w:t>1</w:t>
            </w:r>
            <w:r w:rsidRPr="00311A64">
              <w:rPr>
                <w:rFonts w:ascii="Arial" w:hAnsi="Arial" w:cs="Arial"/>
                <w:color w:val="000000"/>
                <w:sz w:val="18"/>
              </w:rPr>
              <w:t xml:space="preserve"> required to be made available for LID BMPs (surface + subsurface facilities) to meet site design criteria</w:t>
            </w:r>
            <w:r w:rsidRPr="00311A64">
              <w:rPr>
                <w:rFonts w:ascii="Arial" w:hAnsi="Arial" w:cs="Arial"/>
                <w:color w:val="000000"/>
                <w:sz w:val="18"/>
                <w:vertAlign w:val="superscript"/>
              </w:rPr>
              <w:t>2</w:t>
            </w:r>
          </w:p>
          <w:p w:rsidR="00467258" w:rsidRPr="00B53524" w:rsidRDefault="00467258" w:rsidP="00A52ED1">
            <w:pPr>
              <w:keepNext/>
              <w:spacing w:after="0"/>
              <w:jc w:val="center"/>
              <w:rPr>
                <w:rFonts w:ascii="Arial" w:hAnsi="Arial" w:cs="Arial"/>
                <w:color w:val="000000"/>
                <w:sz w:val="18"/>
              </w:rPr>
            </w:pPr>
            <w:r w:rsidRPr="00311A64">
              <w:rPr>
                <w:rFonts w:ascii="Arial" w:hAnsi="Arial" w:cs="Arial"/>
                <w:color w:val="000000"/>
                <w:sz w:val="18"/>
              </w:rPr>
              <w:t>(percent of site)</w:t>
            </w:r>
          </w:p>
        </w:tc>
      </w:tr>
      <w:tr w:rsidR="00467258" w:rsidRPr="00B53524" w:rsidTr="00C26BC5">
        <w:trPr>
          <w:trHeight w:val="360"/>
        </w:trPr>
        <w:tc>
          <w:tcPr>
            <w:tcW w:w="1760" w:type="dxa"/>
            <w:vMerge w:val="restart"/>
            <w:vAlign w:val="center"/>
          </w:tcPr>
          <w:p w:rsidR="00467258" w:rsidRPr="00B53524" w:rsidRDefault="00467258" w:rsidP="00A52ED1">
            <w:pPr>
              <w:keepNext/>
              <w:spacing w:after="0"/>
              <w:jc w:val="center"/>
              <w:rPr>
                <w:rFonts w:ascii="Arial" w:hAnsi="Arial" w:cs="Arial"/>
                <w:color w:val="000000"/>
                <w:sz w:val="18"/>
              </w:rPr>
            </w:pPr>
            <w:r w:rsidRPr="00311A64">
              <w:rPr>
                <w:rFonts w:ascii="Arial" w:hAnsi="Arial" w:cs="Arial"/>
                <w:color w:val="000000"/>
                <w:sz w:val="18"/>
              </w:rPr>
              <w:t>New Development</w:t>
            </w:r>
          </w:p>
        </w:tc>
        <w:tc>
          <w:tcPr>
            <w:tcW w:w="4378" w:type="dxa"/>
            <w:vAlign w:val="center"/>
          </w:tcPr>
          <w:p w:rsidR="00467258" w:rsidRPr="00B53524" w:rsidRDefault="00467258" w:rsidP="00A52ED1">
            <w:pPr>
              <w:keepNext/>
              <w:spacing w:after="0"/>
              <w:jc w:val="center"/>
              <w:rPr>
                <w:rFonts w:ascii="Arial" w:hAnsi="Arial" w:cs="Arial"/>
                <w:color w:val="000000"/>
                <w:sz w:val="18"/>
              </w:rPr>
            </w:pPr>
            <w:r w:rsidRPr="00311A64">
              <w:rPr>
                <w:rFonts w:ascii="Arial" w:hAnsi="Arial" w:cs="Arial"/>
                <w:color w:val="000000"/>
                <w:sz w:val="18"/>
              </w:rPr>
              <w:t>SF/MF Residential &lt; 7 du/ac</w:t>
            </w:r>
          </w:p>
        </w:tc>
        <w:tc>
          <w:tcPr>
            <w:tcW w:w="3240" w:type="dxa"/>
            <w:vAlign w:val="center"/>
          </w:tcPr>
          <w:p w:rsidR="00467258" w:rsidRPr="00B53524" w:rsidRDefault="00467258" w:rsidP="00A52ED1">
            <w:pPr>
              <w:keepNext/>
              <w:spacing w:after="0"/>
              <w:jc w:val="center"/>
              <w:rPr>
                <w:rFonts w:ascii="Arial" w:hAnsi="Arial" w:cs="Arial"/>
                <w:color w:val="000000"/>
                <w:sz w:val="18"/>
              </w:rPr>
            </w:pPr>
            <w:r w:rsidRPr="00311A64">
              <w:rPr>
                <w:rFonts w:ascii="Arial" w:hAnsi="Arial" w:cs="Arial"/>
                <w:color w:val="000000"/>
                <w:sz w:val="18"/>
              </w:rPr>
              <w:t>10</w:t>
            </w:r>
          </w:p>
        </w:tc>
      </w:tr>
      <w:tr w:rsidR="00467258" w:rsidRPr="00B53524" w:rsidTr="00C26BC5">
        <w:trPr>
          <w:trHeight w:val="360"/>
        </w:trPr>
        <w:tc>
          <w:tcPr>
            <w:tcW w:w="1760" w:type="dxa"/>
            <w:vMerge/>
            <w:vAlign w:val="center"/>
          </w:tcPr>
          <w:p w:rsidR="00467258" w:rsidRPr="00B53524" w:rsidRDefault="00467258" w:rsidP="00A52ED1">
            <w:pPr>
              <w:keepNext/>
              <w:spacing w:after="0"/>
              <w:jc w:val="center"/>
              <w:rPr>
                <w:rFonts w:ascii="Arial" w:hAnsi="Arial" w:cs="Arial"/>
                <w:color w:val="000000"/>
                <w:sz w:val="18"/>
              </w:rPr>
            </w:pPr>
          </w:p>
        </w:tc>
        <w:tc>
          <w:tcPr>
            <w:tcW w:w="4378" w:type="dxa"/>
            <w:vAlign w:val="center"/>
          </w:tcPr>
          <w:p w:rsidR="00467258" w:rsidRPr="00B53524" w:rsidRDefault="00467258" w:rsidP="00A52ED1">
            <w:pPr>
              <w:keepNext/>
              <w:spacing w:after="0"/>
              <w:jc w:val="center"/>
              <w:rPr>
                <w:rFonts w:ascii="Arial" w:hAnsi="Arial" w:cs="Arial"/>
                <w:color w:val="000000"/>
                <w:sz w:val="18"/>
                <w:szCs w:val="18"/>
              </w:rPr>
            </w:pPr>
            <w:r w:rsidRPr="00311A64">
              <w:rPr>
                <w:rFonts w:ascii="Arial" w:hAnsi="Arial" w:cs="Arial"/>
                <w:color w:val="000000"/>
                <w:sz w:val="18"/>
              </w:rPr>
              <w:t>SF/MF Residential</w:t>
            </w:r>
            <w:r w:rsidRPr="00311A64">
              <w:rPr>
                <w:rFonts w:ascii="Arial" w:hAnsi="Arial" w:cs="Arial"/>
                <w:color w:val="000000"/>
                <w:sz w:val="18"/>
                <w:szCs w:val="18"/>
              </w:rPr>
              <w:t xml:space="preserve"> 7 – 18 du/ac</w:t>
            </w:r>
          </w:p>
        </w:tc>
        <w:tc>
          <w:tcPr>
            <w:tcW w:w="3240" w:type="dxa"/>
            <w:vAlign w:val="center"/>
          </w:tcPr>
          <w:p w:rsidR="00467258" w:rsidRPr="00B53524" w:rsidRDefault="00467258" w:rsidP="00A52ED1">
            <w:pPr>
              <w:keepNext/>
              <w:spacing w:after="0"/>
              <w:jc w:val="center"/>
              <w:rPr>
                <w:rFonts w:ascii="Arial" w:hAnsi="Arial" w:cs="Arial"/>
                <w:color w:val="000000"/>
                <w:sz w:val="18"/>
                <w:szCs w:val="18"/>
              </w:rPr>
            </w:pPr>
            <w:r w:rsidRPr="00311A64">
              <w:rPr>
                <w:rFonts w:ascii="Arial" w:hAnsi="Arial" w:cs="Arial"/>
                <w:color w:val="000000"/>
                <w:sz w:val="18"/>
              </w:rPr>
              <w:t>7</w:t>
            </w:r>
          </w:p>
        </w:tc>
      </w:tr>
      <w:tr w:rsidR="00467258" w:rsidRPr="00B53524" w:rsidTr="00C26BC5">
        <w:trPr>
          <w:trHeight w:val="360"/>
        </w:trPr>
        <w:tc>
          <w:tcPr>
            <w:tcW w:w="1760" w:type="dxa"/>
            <w:vMerge/>
            <w:vAlign w:val="center"/>
          </w:tcPr>
          <w:p w:rsidR="00467258" w:rsidRPr="00B53524" w:rsidRDefault="00467258" w:rsidP="00A52ED1">
            <w:pPr>
              <w:keepNext/>
              <w:spacing w:after="0"/>
              <w:jc w:val="center"/>
              <w:rPr>
                <w:rFonts w:ascii="Arial" w:hAnsi="Arial" w:cs="Arial"/>
                <w:color w:val="000000"/>
                <w:sz w:val="18"/>
              </w:rPr>
            </w:pPr>
          </w:p>
        </w:tc>
        <w:tc>
          <w:tcPr>
            <w:tcW w:w="4378" w:type="dxa"/>
            <w:vAlign w:val="center"/>
          </w:tcPr>
          <w:p w:rsidR="00467258" w:rsidRPr="00B53524" w:rsidRDefault="00467258" w:rsidP="00A52ED1">
            <w:pPr>
              <w:keepNext/>
              <w:spacing w:after="0"/>
              <w:jc w:val="center"/>
              <w:rPr>
                <w:rFonts w:ascii="Arial" w:hAnsi="Arial" w:cs="Arial"/>
                <w:color w:val="000000"/>
                <w:sz w:val="18"/>
                <w:szCs w:val="18"/>
              </w:rPr>
            </w:pPr>
            <w:r w:rsidRPr="00311A64">
              <w:rPr>
                <w:rFonts w:ascii="Arial" w:hAnsi="Arial" w:cs="Arial"/>
                <w:color w:val="000000"/>
                <w:sz w:val="18"/>
              </w:rPr>
              <w:t>SF/MF Residential</w:t>
            </w:r>
            <w:r w:rsidRPr="00311A64">
              <w:rPr>
                <w:rFonts w:ascii="Arial" w:hAnsi="Arial" w:cs="Arial"/>
                <w:color w:val="000000"/>
                <w:sz w:val="18"/>
                <w:szCs w:val="18"/>
              </w:rPr>
              <w:t xml:space="preserve"> &gt; 18 du/ac</w:t>
            </w:r>
          </w:p>
        </w:tc>
        <w:tc>
          <w:tcPr>
            <w:tcW w:w="3240" w:type="dxa"/>
            <w:vAlign w:val="center"/>
          </w:tcPr>
          <w:p w:rsidR="00467258" w:rsidRPr="00B53524" w:rsidRDefault="00467258" w:rsidP="00A52ED1">
            <w:pPr>
              <w:keepNext/>
              <w:spacing w:after="0"/>
              <w:jc w:val="center"/>
              <w:rPr>
                <w:rFonts w:ascii="Arial" w:hAnsi="Arial" w:cs="Arial"/>
                <w:color w:val="000000"/>
                <w:sz w:val="18"/>
                <w:szCs w:val="18"/>
              </w:rPr>
            </w:pPr>
            <w:r w:rsidRPr="00311A64">
              <w:rPr>
                <w:rFonts w:ascii="Arial" w:hAnsi="Arial" w:cs="Arial"/>
                <w:color w:val="000000"/>
                <w:sz w:val="18"/>
              </w:rPr>
              <w:t>5</w:t>
            </w:r>
          </w:p>
        </w:tc>
      </w:tr>
      <w:tr w:rsidR="00467258" w:rsidRPr="00B53524" w:rsidTr="00C26BC5">
        <w:trPr>
          <w:trHeight w:val="360"/>
        </w:trPr>
        <w:tc>
          <w:tcPr>
            <w:tcW w:w="1760" w:type="dxa"/>
            <w:vMerge/>
            <w:vAlign w:val="center"/>
          </w:tcPr>
          <w:p w:rsidR="00467258" w:rsidRPr="00B53524" w:rsidRDefault="00467258" w:rsidP="00A52ED1">
            <w:pPr>
              <w:keepNext/>
              <w:spacing w:after="0"/>
              <w:jc w:val="center"/>
              <w:rPr>
                <w:rFonts w:ascii="Arial" w:hAnsi="Arial" w:cs="Arial"/>
                <w:color w:val="000000"/>
                <w:sz w:val="18"/>
              </w:rPr>
            </w:pPr>
          </w:p>
        </w:tc>
        <w:tc>
          <w:tcPr>
            <w:tcW w:w="4378" w:type="dxa"/>
            <w:vAlign w:val="center"/>
          </w:tcPr>
          <w:p w:rsidR="00467258" w:rsidRPr="00B53524" w:rsidRDefault="00467258" w:rsidP="00A52ED1">
            <w:pPr>
              <w:keepNext/>
              <w:spacing w:after="0"/>
              <w:jc w:val="center"/>
              <w:rPr>
                <w:rFonts w:ascii="Arial" w:hAnsi="Arial" w:cs="Arial"/>
                <w:color w:val="000000"/>
                <w:sz w:val="18"/>
                <w:szCs w:val="18"/>
              </w:rPr>
            </w:pPr>
            <w:r w:rsidRPr="00311A64">
              <w:rPr>
                <w:rFonts w:ascii="Arial" w:hAnsi="Arial" w:cs="Arial"/>
                <w:color w:val="000000"/>
                <w:sz w:val="18"/>
                <w:szCs w:val="18"/>
              </w:rPr>
              <w:t>Mixed Use, Commercial, Institutional/Industrial w/ FAR &lt; 1.0</w:t>
            </w:r>
          </w:p>
        </w:tc>
        <w:tc>
          <w:tcPr>
            <w:tcW w:w="3240" w:type="dxa"/>
            <w:vAlign w:val="center"/>
          </w:tcPr>
          <w:p w:rsidR="00467258" w:rsidRPr="00B53524" w:rsidRDefault="00467258" w:rsidP="00A52ED1">
            <w:pPr>
              <w:keepNext/>
              <w:spacing w:after="0"/>
              <w:jc w:val="center"/>
              <w:rPr>
                <w:rFonts w:ascii="Arial" w:hAnsi="Arial" w:cs="Arial"/>
                <w:color w:val="000000"/>
                <w:sz w:val="18"/>
                <w:szCs w:val="18"/>
              </w:rPr>
            </w:pPr>
            <w:r w:rsidRPr="00311A64">
              <w:rPr>
                <w:rFonts w:ascii="Arial" w:hAnsi="Arial" w:cs="Arial"/>
                <w:color w:val="000000"/>
                <w:sz w:val="18"/>
              </w:rPr>
              <w:t>10</w:t>
            </w:r>
          </w:p>
        </w:tc>
      </w:tr>
      <w:tr w:rsidR="00467258" w:rsidRPr="00B53524" w:rsidTr="00C26BC5">
        <w:trPr>
          <w:trHeight w:val="360"/>
        </w:trPr>
        <w:tc>
          <w:tcPr>
            <w:tcW w:w="1760" w:type="dxa"/>
            <w:vMerge/>
            <w:vAlign w:val="center"/>
          </w:tcPr>
          <w:p w:rsidR="00467258" w:rsidRPr="00B53524" w:rsidRDefault="00467258" w:rsidP="00A52ED1">
            <w:pPr>
              <w:keepNext/>
              <w:spacing w:after="0"/>
              <w:jc w:val="center"/>
              <w:rPr>
                <w:rFonts w:ascii="Arial" w:hAnsi="Arial" w:cs="Arial"/>
                <w:color w:val="000000"/>
                <w:sz w:val="18"/>
              </w:rPr>
            </w:pPr>
          </w:p>
        </w:tc>
        <w:tc>
          <w:tcPr>
            <w:tcW w:w="4378" w:type="dxa"/>
            <w:vAlign w:val="center"/>
          </w:tcPr>
          <w:p w:rsidR="00467258" w:rsidRPr="00B53524" w:rsidRDefault="00467258" w:rsidP="00A52ED1">
            <w:pPr>
              <w:keepNext/>
              <w:spacing w:after="0"/>
              <w:jc w:val="center"/>
              <w:rPr>
                <w:rFonts w:ascii="Arial" w:hAnsi="Arial" w:cs="Arial"/>
                <w:color w:val="000000"/>
                <w:sz w:val="18"/>
                <w:szCs w:val="18"/>
              </w:rPr>
            </w:pPr>
            <w:r w:rsidRPr="00311A64">
              <w:rPr>
                <w:rFonts w:ascii="Arial" w:hAnsi="Arial" w:cs="Arial"/>
                <w:color w:val="000000"/>
                <w:sz w:val="18"/>
                <w:szCs w:val="18"/>
              </w:rPr>
              <w:t>Mixed Use, Commercial, Institutional/Industrial w/ FAR 1.0 – 2.0</w:t>
            </w:r>
          </w:p>
        </w:tc>
        <w:tc>
          <w:tcPr>
            <w:tcW w:w="3240" w:type="dxa"/>
            <w:vAlign w:val="center"/>
          </w:tcPr>
          <w:p w:rsidR="00467258" w:rsidRPr="00B53524" w:rsidRDefault="00467258" w:rsidP="00A52ED1">
            <w:pPr>
              <w:keepNext/>
              <w:spacing w:after="0"/>
              <w:jc w:val="center"/>
              <w:rPr>
                <w:rFonts w:ascii="Arial" w:hAnsi="Arial" w:cs="Arial"/>
                <w:color w:val="000000"/>
                <w:sz w:val="18"/>
                <w:szCs w:val="18"/>
              </w:rPr>
            </w:pPr>
            <w:r w:rsidRPr="00311A64">
              <w:rPr>
                <w:rFonts w:ascii="Arial" w:hAnsi="Arial" w:cs="Arial"/>
                <w:color w:val="000000"/>
                <w:sz w:val="18"/>
              </w:rPr>
              <w:t>7</w:t>
            </w:r>
          </w:p>
        </w:tc>
      </w:tr>
      <w:tr w:rsidR="00467258" w:rsidRPr="00B53524" w:rsidTr="00C26BC5">
        <w:trPr>
          <w:trHeight w:val="360"/>
        </w:trPr>
        <w:tc>
          <w:tcPr>
            <w:tcW w:w="1760" w:type="dxa"/>
            <w:vMerge/>
            <w:vAlign w:val="center"/>
          </w:tcPr>
          <w:p w:rsidR="00467258" w:rsidRPr="00B53524" w:rsidRDefault="00467258" w:rsidP="00A52ED1">
            <w:pPr>
              <w:keepNext/>
              <w:spacing w:after="0"/>
              <w:jc w:val="center"/>
              <w:rPr>
                <w:rFonts w:ascii="Arial" w:hAnsi="Arial" w:cs="Arial"/>
                <w:color w:val="000000"/>
                <w:sz w:val="18"/>
              </w:rPr>
            </w:pPr>
          </w:p>
        </w:tc>
        <w:tc>
          <w:tcPr>
            <w:tcW w:w="4378" w:type="dxa"/>
            <w:vAlign w:val="center"/>
          </w:tcPr>
          <w:p w:rsidR="00467258" w:rsidRPr="00B53524" w:rsidRDefault="00467258" w:rsidP="00A52ED1">
            <w:pPr>
              <w:keepNext/>
              <w:spacing w:after="0"/>
              <w:jc w:val="center"/>
              <w:rPr>
                <w:rFonts w:ascii="Arial" w:hAnsi="Arial" w:cs="Arial"/>
                <w:color w:val="000000"/>
                <w:sz w:val="18"/>
                <w:szCs w:val="18"/>
              </w:rPr>
            </w:pPr>
            <w:r w:rsidRPr="00311A64">
              <w:rPr>
                <w:rFonts w:ascii="Arial" w:hAnsi="Arial" w:cs="Arial"/>
                <w:color w:val="000000"/>
                <w:sz w:val="18"/>
                <w:szCs w:val="18"/>
              </w:rPr>
              <w:t>Mixed Use, Commercial, Institutional/Industrial w/ FAR &gt; 2.0</w:t>
            </w:r>
          </w:p>
        </w:tc>
        <w:tc>
          <w:tcPr>
            <w:tcW w:w="3240" w:type="dxa"/>
            <w:vAlign w:val="center"/>
          </w:tcPr>
          <w:p w:rsidR="00467258" w:rsidRPr="00B53524" w:rsidRDefault="00467258" w:rsidP="00A52ED1">
            <w:pPr>
              <w:keepNext/>
              <w:spacing w:after="0"/>
              <w:jc w:val="center"/>
              <w:rPr>
                <w:rFonts w:ascii="Arial" w:hAnsi="Arial" w:cs="Arial"/>
                <w:color w:val="000000"/>
                <w:sz w:val="18"/>
                <w:szCs w:val="18"/>
              </w:rPr>
            </w:pPr>
            <w:r w:rsidRPr="00311A64">
              <w:rPr>
                <w:rFonts w:ascii="Arial" w:hAnsi="Arial" w:cs="Arial"/>
                <w:color w:val="000000"/>
                <w:sz w:val="18"/>
                <w:szCs w:val="18"/>
              </w:rPr>
              <w:t>5</w:t>
            </w:r>
          </w:p>
        </w:tc>
      </w:tr>
      <w:tr w:rsidR="00467258" w:rsidRPr="00B53524" w:rsidTr="00C26BC5">
        <w:trPr>
          <w:trHeight w:val="360"/>
        </w:trPr>
        <w:tc>
          <w:tcPr>
            <w:tcW w:w="1760" w:type="dxa"/>
            <w:vMerge/>
            <w:vAlign w:val="center"/>
          </w:tcPr>
          <w:p w:rsidR="00467258" w:rsidRPr="00B53524" w:rsidRDefault="00467258" w:rsidP="00A52ED1">
            <w:pPr>
              <w:keepNext/>
              <w:spacing w:after="0"/>
              <w:jc w:val="center"/>
              <w:rPr>
                <w:rFonts w:ascii="Arial" w:hAnsi="Arial" w:cs="Arial"/>
                <w:color w:val="000000"/>
                <w:sz w:val="18"/>
              </w:rPr>
            </w:pPr>
          </w:p>
        </w:tc>
        <w:tc>
          <w:tcPr>
            <w:tcW w:w="4378" w:type="dxa"/>
            <w:vAlign w:val="center"/>
          </w:tcPr>
          <w:p w:rsidR="00467258" w:rsidRPr="00B53524" w:rsidRDefault="00467258" w:rsidP="00A52ED1">
            <w:pPr>
              <w:keepNext/>
              <w:spacing w:after="0"/>
              <w:jc w:val="center"/>
              <w:rPr>
                <w:rFonts w:ascii="Arial" w:hAnsi="Arial" w:cs="Arial"/>
                <w:color w:val="000000"/>
                <w:sz w:val="18"/>
              </w:rPr>
            </w:pPr>
            <w:r w:rsidRPr="00311A64">
              <w:rPr>
                <w:rFonts w:ascii="Arial" w:hAnsi="Arial" w:cs="Arial"/>
                <w:color w:val="000000"/>
                <w:sz w:val="18"/>
              </w:rPr>
              <w:t>Podium (parking under &gt; 75% of project)</w:t>
            </w:r>
          </w:p>
        </w:tc>
        <w:tc>
          <w:tcPr>
            <w:tcW w:w="3240" w:type="dxa"/>
            <w:vAlign w:val="center"/>
          </w:tcPr>
          <w:p w:rsidR="00467258" w:rsidRPr="00B53524" w:rsidRDefault="00467258" w:rsidP="00A52ED1">
            <w:pPr>
              <w:keepNext/>
              <w:spacing w:after="0"/>
              <w:jc w:val="center"/>
              <w:rPr>
                <w:rFonts w:ascii="Arial" w:hAnsi="Arial" w:cs="Arial"/>
                <w:color w:val="000000"/>
                <w:sz w:val="18"/>
                <w:szCs w:val="18"/>
              </w:rPr>
            </w:pPr>
            <w:r w:rsidRPr="00311A64">
              <w:rPr>
                <w:rFonts w:ascii="Arial" w:hAnsi="Arial" w:cs="Arial"/>
                <w:color w:val="000000"/>
                <w:sz w:val="18"/>
                <w:szCs w:val="18"/>
              </w:rPr>
              <w:t>3</w:t>
            </w:r>
          </w:p>
        </w:tc>
      </w:tr>
      <w:tr w:rsidR="00467258" w:rsidRPr="00B53524" w:rsidTr="00C26BC5">
        <w:trPr>
          <w:trHeight w:val="360"/>
        </w:trPr>
        <w:tc>
          <w:tcPr>
            <w:tcW w:w="1760" w:type="dxa"/>
            <w:vMerge/>
            <w:vAlign w:val="center"/>
          </w:tcPr>
          <w:p w:rsidR="00467258" w:rsidRPr="00B53524" w:rsidRDefault="00467258" w:rsidP="00A52ED1">
            <w:pPr>
              <w:keepNext/>
              <w:spacing w:after="0"/>
              <w:jc w:val="center"/>
              <w:rPr>
                <w:rFonts w:ascii="Arial" w:hAnsi="Arial" w:cs="Arial"/>
                <w:color w:val="000000"/>
                <w:sz w:val="18"/>
              </w:rPr>
            </w:pPr>
          </w:p>
        </w:tc>
        <w:tc>
          <w:tcPr>
            <w:tcW w:w="4378" w:type="dxa"/>
            <w:vAlign w:val="center"/>
          </w:tcPr>
          <w:p w:rsidR="00467258" w:rsidRPr="00B53524" w:rsidRDefault="00467258" w:rsidP="00A52ED1">
            <w:pPr>
              <w:keepNext/>
              <w:spacing w:after="0"/>
              <w:jc w:val="center"/>
              <w:rPr>
                <w:rFonts w:ascii="Arial" w:hAnsi="Arial" w:cs="Arial"/>
                <w:color w:val="000000"/>
                <w:sz w:val="18"/>
              </w:rPr>
            </w:pPr>
            <w:r w:rsidRPr="00311A64">
              <w:rPr>
                <w:rFonts w:ascii="Arial" w:hAnsi="Arial" w:cs="Arial"/>
                <w:color w:val="000000"/>
                <w:sz w:val="18"/>
              </w:rPr>
              <w:t xml:space="preserve">Projects with zoning allowing development to </w:t>
            </w:r>
            <w:proofErr w:type="spellStart"/>
            <w:r w:rsidRPr="00311A64">
              <w:rPr>
                <w:rFonts w:ascii="Arial" w:hAnsi="Arial" w:cs="Arial"/>
                <w:color w:val="000000"/>
                <w:sz w:val="18"/>
              </w:rPr>
              <w:t>lot</w:t>
            </w:r>
            <w:proofErr w:type="spellEnd"/>
            <w:r w:rsidRPr="00311A64">
              <w:rPr>
                <w:rFonts w:ascii="Arial" w:hAnsi="Arial" w:cs="Arial"/>
                <w:color w:val="000000"/>
                <w:sz w:val="18"/>
              </w:rPr>
              <w:t xml:space="preserve"> lines</w:t>
            </w:r>
          </w:p>
        </w:tc>
        <w:tc>
          <w:tcPr>
            <w:tcW w:w="3240" w:type="dxa"/>
            <w:vAlign w:val="center"/>
          </w:tcPr>
          <w:p w:rsidR="00467258" w:rsidRPr="00B53524" w:rsidRDefault="00467258" w:rsidP="00A52ED1">
            <w:pPr>
              <w:keepNext/>
              <w:spacing w:after="0"/>
              <w:jc w:val="center"/>
              <w:rPr>
                <w:rFonts w:ascii="Arial" w:hAnsi="Arial" w:cs="Arial"/>
                <w:color w:val="000000"/>
                <w:sz w:val="18"/>
                <w:szCs w:val="18"/>
              </w:rPr>
            </w:pPr>
            <w:r w:rsidRPr="00311A64">
              <w:rPr>
                <w:rFonts w:ascii="Arial" w:hAnsi="Arial" w:cs="Arial"/>
                <w:color w:val="000000"/>
                <w:sz w:val="18"/>
                <w:szCs w:val="18"/>
              </w:rPr>
              <w:t>2</w:t>
            </w:r>
          </w:p>
        </w:tc>
      </w:tr>
      <w:tr w:rsidR="00467258" w:rsidRPr="00B53524" w:rsidTr="00C26BC5">
        <w:trPr>
          <w:trHeight w:val="360"/>
        </w:trPr>
        <w:tc>
          <w:tcPr>
            <w:tcW w:w="1760" w:type="dxa"/>
            <w:vMerge/>
            <w:vAlign w:val="center"/>
          </w:tcPr>
          <w:p w:rsidR="00467258" w:rsidRPr="00B53524" w:rsidRDefault="00467258" w:rsidP="00A52ED1">
            <w:pPr>
              <w:keepNext/>
              <w:spacing w:after="0"/>
              <w:jc w:val="center"/>
              <w:rPr>
                <w:rFonts w:ascii="Arial" w:hAnsi="Arial" w:cs="Arial"/>
                <w:color w:val="000000"/>
                <w:sz w:val="18"/>
              </w:rPr>
            </w:pPr>
          </w:p>
        </w:tc>
        <w:tc>
          <w:tcPr>
            <w:tcW w:w="4378" w:type="dxa"/>
            <w:vAlign w:val="center"/>
          </w:tcPr>
          <w:p w:rsidR="00467258" w:rsidRPr="00B53524" w:rsidRDefault="00467258" w:rsidP="00A52ED1">
            <w:pPr>
              <w:keepNext/>
              <w:spacing w:after="0"/>
              <w:jc w:val="center"/>
              <w:rPr>
                <w:rFonts w:ascii="Arial" w:hAnsi="Arial" w:cs="Arial"/>
                <w:color w:val="000000"/>
                <w:sz w:val="18"/>
              </w:rPr>
            </w:pPr>
            <w:r w:rsidRPr="00311A64">
              <w:rPr>
                <w:rFonts w:ascii="Arial" w:hAnsi="Arial" w:cs="Arial"/>
                <w:color w:val="000000"/>
                <w:sz w:val="18"/>
              </w:rPr>
              <w:t>Transit Oriented Development</w:t>
            </w:r>
            <w:r w:rsidRPr="00311A64">
              <w:rPr>
                <w:rFonts w:ascii="Arial" w:hAnsi="Arial" w:cs="Arial"/>
                <w:color w:val="000000"/>
                <w:sz w:val="18"/>
                <w:vertAlign w:val="superscript"/>
              </w:rPr>
              <w:t>3</w:t>
            </w:r>
          </w:p>
        </w:tc>
        <w:tc>
          <w:tcPr>
            <w:tcW w:w="3240" w:type="dxa"/>
            <w:vAlign w:val="center"/>
          </w:tcPr>
          <w:p w:rsidR="00467258" w:rsidRPr="00B53524" w:rsidRDefault="00467258" w:rsidP="00A52ED1">
            <w:pPr>
              <w:keepNext/>
              <w:spacing w:after="0"/>
              <w:jc w:val="center"/>
              <w:rPr>
                <w:rFonts w:ascii="Arial" w:hAnsi="Arial" w:cs="Arial"/>
                <w:color w:val="000000"/>
                <w:sz w:val="18"/>
                <w:szCs w:val="18"/>
              </w:rPr>
            </w:pPr>
            <w:r w:rsidRPr="00311A64">
              <w:rPr>
                <w:rFonts w:ascii="Arial" w:hAnsi="Arial" w:cs="Arial"/>
                <w:color w:val="000000"/>
                <w:sz w:val="18"/>
                <w:szCs w:val="18"/>
              </w:rPr>
              <w:t>5</w:t>
            </w:r>
          </w:p>
        </w:tc>
      </w:tr>
      <w:tr w:rsidR="00467258" w:rsidRPr="00B53524" w:rsidTr="00C26BC5">
        <w:trPr>
          <w:trHeight w:val="360"/>
        </w:trPr>
        <w:tc>
          <w:tcPr>
            <w:tcW w:w="1760" w:type="dxa"/>
            <w:vMerge/>
            <w:vAlign w:val="center"/>
          </w:tcPr>
          <w:p w:rsidR="00467258" w:rsidRPr="00B53524" w:rsidRDefault="00467258" w:rsidP="000C23C0">
            <w:pPr>
              <w:spacing w:after="0"/>
              <w:jc w:val="center"/>
              <w:rPr>
                <w:rFonts w:ascii="Arial" w:hAnsi="Arial" w:cs="Arial"/>
                <w:color w:val="000000"/>
                <w:sz w:val="18"/>
              </w:rPr>
            </w:pPr>
          </w:p>
        </w:tc>
        <w:tc>
          <w:tcPr>
            <w:tcW w:w="4378" w:type="dxa"/>
            <w:vAlign w:val="center"/>
          </w:tcPr>
          <w:p w:rsidR="00467258" w:rsidRPr="00B53524" w:rsidRDefault="00467258" w:rsidP="000C23C0">
            <w:pPr>
              <w:spacing w:after="0"/>
              <w:jc w:val="center"/>
              <w:rPr>
                <w:rFonts w:ascii="Arial" w:hAnsi="Arial" w:cs="Arial"/>
                <w:color w:val="000000"/>
                <w:sz w:val="18"/>
              </w:rPr>
            </w:pPr>
            <w:r w:rsidRPr="00311A64">
              <w:rPr>
                <w:rFonts w:ascii="Arial" w:hAnsi="Arial" w:cs="Arial"/>
                <w:color w:val="000000"/>
                <w:sz w:val="18"/>
              </w:rPr>
              <w:t>Parking</w:t>
            </w:r>
          </w:p>
        </w:tc>
        <w:tc>
          <w:tcPr>
            <w:tcW w:w="3240" w:type="dxa"/>
            <w:vAlign w:val="center"/>
          </w:tcPr>
          <w:p w:rsidR="00467258" w:rsidRPr="00B53524" w:rsidRDefault="00467258" w:rsidP="000C23C0">
            <w:pPr>
              <w:spacing w:after="0"/>
              <w:jc w:val="center"/>
              <w:rPr>
                <w:rFonts w:ascii="Arial" w:hAnsi="Arial" w:cs="Arial"/>
                <w:color w:val="000000"/>
                <w:sz w:val="18"/>
                <w:szCs w:val="18"/>
              </w:rPr>
            </w:pPr>
            <w:r w:rsidRPr="00311A64">
              <w:rPr>
                <w:rFonts w:ascii="Arial" w:hAnsi="Arial" w:cs="Arial"/>
                <w:color w:val="000000"/>
                <w:sz w:val="18"/>
                <w:szCs w:val="18"/>
              </w:rPr>
              <w:t>5</w:t>
            </w:r>
          </w:p>
        </w:tc>
      </w:tr>
      <w:tr w:rsidR="00467258" w:rsidRPr="00B53524" w:rsidTr="00C26BC5">
        <w:trPr>
          <w:trHeight w:val="360"/>
        </w:trPr>
        <w:tc>
          <w:tcPr>
            <w:tcW w:w="1760" w:type="dxa"/>
            <w:vMerge w:val="restart"/>
            <w:vAlign w:val="center"/>
          </w:tcPr>
          <w:p w:rsidR="00467258" w:rsidRPr="00B53524" w:rsidRDefault="00467258" w:rsidP="000C23C0">
            <w:pPr>
              <w:keepNext/>
              <w:spacing w:after="0"/>
              <w:jc w:val="center"/>
              <w:rPr>
                <w:rFonts w:ascii="Arial" w:hAnsi="Arial" w:cs="Arial"/>
                <w:color w:val="000000"/>
                <w:sz w:val="18"/>
              </w:rPr>
            </w:pPr>
            <w:r w:rsidRPr="00311A64">
              <w:rPr>
                <w:rFonts w:ascii="Arial" w:hAnsi="Arial" w:cs="Arial"/>
                <w:color w:val="000000"/>
                <w:sz w:val="18"/>
              </w:rPr>
              <w:t>Redevelopment</w:t>
            </w:r>
          </w:p>
        </w:tc>
        <w:tc>
          <w:tcPr>
            <w:tcW w:w="4378" w:type="dxa"/>
            <w:vAlign w:val="center"/>
          </w:tcPr>
          <w:p w:rsidR="00467258" w:rsidRPr="00B53524" w:rsidRDefault="00467258" w:rsidP="000C23C0">
            <w:pPr>
              <w:keepNext/>
              <w:spacing w:after="0"/>
              <w:jc w:val="center"/>
              <w:rPr>
                <w:rFonts w:ascii="Arial" w:hAnsi="Arial" w:cs="Arial"/>
                <w:color w:val="000000"/>
                <w:sz w:val="18"/>
              </w:rPr>
            </w:pPr>
            <w:r w:rsidRPr="00311A64">
              <w:rPr>
                <w:rFonts w:ascii="Arial" w:hAnsi="Arial" w:cs="Arial"/>
                <w:color w:val="000000"/>
                <w:sz w:val="18"/>
              </w:rPr>
              <w:t>SF/MF Residential &lt; 7 du/ac</w:t>
            </w:r>
          </w:p>
        </w:tc>
        <w:tc>
          <w:tcPr>
            <w:tcW w:w="3240" w:type="dxa"/>
            <w:vAlign w:val="center"/>
          </w:tcPr>
          <w:p w:rsidR="00467258" w:rsidRPr="00B53524" w:rsidRDefault="00467258" w:rsidP="000C23C0">
            <w:pPr>
              <w:keepNext/>
              <w:spacing w:after="0"/>
              <w:jc w:val="center"/>
              <w:rPr>
                <w:rFonts w:ascii="Arial" w:hAnsi="Arial" w:cs="Arial"/>
                <w:color w:val="000000"/>
                <w:sz w:val="18"/>
                <w:szCs w:val="18"/>
              </w:rPr>
            </w:pPr>
            <w:r w:rsidRPr="00311A64">
              <w:rPr>
                <w:rFonts w:ascii="Arial" w:hAnsi="Arial" w:cs="Arial"/>
                <w:color w:val="000000"/>
                <w:sz w:val="18"/>
                <w:szCs w:val="18"/>
              </w:rPr>
              <w:t>5</w:t>
            </w:r>
          </w:p>
        </w:tc>
      </w:tr>
      <w:tr w:rsidR="00467258" w:rsidRPr="00B53524" w:rsidTr="00C26BC5">
        <w:trPr>
          <w:trHeight w:val="360"/>
        </w:trPr>
        <w:tc>
          <w:tcPr>
            <w:tcW w:w="1760" w:type="dxa"/>
            <w:vMerge/>
            <w:vAlign w:val="center"/>
          </w:tcPr>
          <w:p w:rsidR="00467258" w:rsidRPr="00B53524" w:rsidRDefault="00467258" w:rsidP="000C23C0">
            <w:pPr>
              <w:keepNext/>
              <w:spacing w:after="0"/>
              <w:jc w:val="center"/>
              <w:rPr>
                <w:rFonts w:ascii="Arial" w:hAnsi="Arial" w:cs="Arial"/>
                <w:color w:val="000000"/>
                <w:sz w:val="18"/>
              </w:rPr>
            </w:pPr>
          </w:p>
        </w:tc>
        <w:tc>
          <w:tcPr>
            <w:tcW w:w="4378" w:type="dxa"/>
            <w:vAlign w:val="center"/>
          </w:tcPr>
          <w:p w:rsidR="00467258" w:rsidRPr="00B53524" w:rsidRDefault="00467258" w:rsidP="000C23C0">
            <w:pPr>
              <w:keepNext/>
              <w:spacing w:after="0"/>
              <w:jc w:val="center"/>
              <w:rPr>
                <w:rFonts w:ascii="Arial" w:hAnsi="Arial" w:cs="Arial"/>
                <w:color w:val="000000"/>
                <w:sz w:val="18"/>
                <w:szCs w:val="18"/>
              </w:rPr>
            </w:pPr>
            <w:r w:rsidRPr="00311A64">
              <w:rPr>
                <w:rFonts w:ascii="Arial" w:hAnsi="Arial" w:cs="Arial"/>
                <w:color w:val="000000"/>
                <w:sz w:val="18"/>
              </w:rPr>
              <w:t>SF/MF Residential</w:t>
            </w:r>
            <w:r w:rsidRPr="00311A64">
              <w:rPr>
                <w:rFonts w:ascii="Arial" w:hAnsi="Arial" w:cs="Arial"/>
                <w:color w:val="000000"/>
                <w:sz w:val="18"/>
                <w:szCs w:val="18"/>
              </w:rPr>
              <w:t xml:space="preserve"> 7 – 18 du/ac</w:t>
            </w:r>
          </w:p>
        </w:tc>
        <w:tc>
          <w:tcPr>
            <w:tcW w:w="3240" w:type="dxa"/>
            <w:vAlign w:val="center"/>
          </w:tcPr>
          <w:p w:rsidR="00467258" w:rsidRPr="00B53524" w:rsidRDefault="00467258" w:rsidP="000C23C0">
            <w:pPr>
              <w:keepNext/>
              <w:spacing w:after="0"/>
              <w:jc w:val="center"/>
              <w:rPr>
                <w:rFonts w:ascii="Arial" w:hAnsi="Arial" w:cs="Arial"/>
                <w:color w:val="000000"/>
                <w:sz w:val="18"/>
                <w:szCs w:val="18"/>
              </w:rPr>
            </w:pPr>
            <w:r w:rsidRPr="00311A64">
              <w:rPr>
                <w:rFonts w:ascii="Arial" w:hAnsi="Arial" w:cs="Arial"/>
                <w:color w:val="000000"/>
                <w:sz w:val="18"/>
                <w:szCs w:val="18"/>
              </w:rPr>
              <w:t>4</w:t>
            </w:r>
          </w:p>
        </w:tc>
      </w:tr>
      <w:tr w:rsidR="00467258" w:rsidRPr="00B53524" w:rsidTr="00C26BC5">
        <w:trPr>
          <w:trHeight w:val="360"/>
        </w:trPr>
        <w:tc>
          <w:tcPr>
            <w:tcW w:w="1760" w:type="dxa"/>
            <w:vMerge/>
            <w:vAlign w:val="center"/>
          </w:tcPr>
          <w:p w:rsidR="00467258" w:rsidRPr="00B53524" w:rsidRDefault="00467258" w:rsidP="000C23C0">
            <w:pPr>
              <w:keepNext/>
              <w:spacing w:after="0"/>
              <w:jc w:val="center"/>
              <w:rPr>
                <w:rFonts w:ascii="Arial" w:hAnsi="Arial" w:cs="Arial"/>
                <w:color w:val="000000"/>
                <w:sz w:val="18"/>
              </w:rPr>
            </w:pPr>
          </w:p>
        </w:tc>
        <w:tc>
          <w:tcPr>
            <w:tcW w:w="4378" w:type="dxa"/>
            <w:vAlign w:val="center"/>
          </w:tcPr>
          <w:p w:rsidR="00467258" w:rsidRPr="00B53524" w:rsidRDefault="00467258" w:rsidP="000C23C0">
            <w:pPr>
              <w:keepNext/>
              <w:spacing w:after="0"/>
              <w:jc w:val="center"/>
              <w:rPr>
                <w:rFonts w:ascii="Arial" w:hAnsi="Arial" w:cs="Arial"/>
                <w:color w:val="000000"/>
                <w:sz w:val="18"/>
                <w:szCs w:val="18"/>
              </w:rPr>
            </w:pPr>
            <w:r w:rsidRPr="00311A64">
              <w:rPr>
                <w:rFonts w:ascii="Arial" w:hAnsi="Arial" w:cs="Arial"/>
                <w:color w:val="000000"/>
                <w:sz w:val="18"/>
              </w:rPr>
              <w:t>SF/MF Residential</w:t>
            </w:r>
            <w:r w:rsidRPr="00311A64">
              <w:rPr>
                <w:rFonts w:ascii="Arial" w:hAnsi="Arial" w:cs="Arial"/>
                <w:color w:val="000000"/>
                <w:sz w:val="18"/>
                <w:szCs w:val="18"/>
              </w:rPr>
              <w:t xml:space="preserve"> &gt; 18 du/ac</w:t>
            </w:r>
          </w:p>
        </w:tc>
        <w:tc>
          <w:tcPr>
            <w:tcW w:w="3240" w:type="dxa"/>
            <w:vAlign w:val="center"/>
          </w:tcPr>
          <w:p w:rsidR="00467258" w:rsidRPr="00B53524" w:rsidRDefault="00467258" w:rsidP="000C23C0">
            <w:pPr>
              <w:keepNext/>
              <w:spacing w:after="0"/>
              <w:jc w:val="center"/>
              <w:rPr>
                <w:rFonts w:ascii="Arial" w:hAnsi="Arial" w:cs="Arial"/>
                <w:color w:val="000000"/>
                <w:sz w:val="18"/>
                <w:szCs w:val="18"/>
              </w:rPr>
            </w:pPr>
            <w:r w:rsidRPr="00311A64">
              <w:rPr>
                <w:rFonts w:ascii="Arial" w:hAnsi="Arial" w:cs="Arial"/>
                <w:color w:val="000000"/>
                <w:sz w:val="18"/>
                <w:szCs w:val="18"/>
              </w:rPr>
              <w:t>3</w:t>
            </w:r>
          </w:p>
        </w:tc>
      </w:tr>
      <w:tr w:rsidR="00467258" w:rsidRPr="00B53524" w:rsidTr="00C26BC5">
        <w:trPr>
          <w:trHeight w:val="360"/>
        </w:trPr>
        <w:tc>
          <w:tcPr>
            <w:tcW w:w="1760" w:type="dxa"/>
            <w:vMerge/>
            <w:vAlign w:val="center"/>
          </w:tcPr>
          <w:p w:rsidR="00467258" w:rsidRPr="00B53524" w:rsidRDefault="00467258" w:rsidP="000C23C0">
            <w:pPr>
              <w:keepNext/>
              <w:spacing w:after="0"/>
              <w:jc w:val="center"/>
              <w:rPr>
                <w:rFonts w:ascii="Arial" w:hAnsi="Arial" w:cs="Arial"/>
                <w:color w:val="000000"/>
                <w:sz w:val="18"/>
              </w:rPr>
            </w:pPr>
          </w:p>
        </w:tc>
        <w:tc>
          <w:tcPr>
            <w:tcW w:w="4378" w:type="dxa"/>
            <w:vAlign w:val="center"/>
          </w:tcPr>
          <w:p w:rsidR="00467258" w:rsidRPr="00B53524" w:rsidRDefault="00467258" w:rsidP="000C23C0">
            <w:pPr>
              <w:keepNext/>
              <w:spacing w:after="0"/>
              <w:jc w:val="center"/>
              <w:rPr>
                <w:rFonts w:ascii="Arial" w:hAnsi="Arial" w:cs="Arial"/>
                <w:color w:val="000000"/>
                <w:sz w:val="18"/>
                <w:szCs w:val="18"/>
              </w:rPr>
            </w:pPr>
            <w:r w:rsidRPr="00311A64">
              <w:rPr>
                <w:rFonts w:ascii="Arial" w:hAnsi="Arial" w:cs="Arial"/>
                <w:color w:val="000000"/>
                <w:sz w:val="18"/>
                <w:szCs w:val="18"/>
              </w:rPr>
              <w:t>Mixed Use, Commercial, Institutional/Industrial w/ FAR &lt; 1.0</w:t>
            </w:r>
          </w:p>
        </w:tc>
        <w:tc>
          <w:tcPr>
            <w:tcW w:w="3240" w:type="dxa"/>
            <w:vAlign w:val="center"/>
          </w:tcPr>
          <w:p w:rsidR="00467258" w:rsidRPr="00B53524" w:rsidRDefault="00467258" w:rsidP="000C23C0">
            <w:pPr>
              <w:keepNext/>
              <w:spacing w:after="0"/>
              <w:jc w:val="center"/>
              <w:rPr>
                <w:rFonts w:ascii="Arial" w:hAnsi="Arial" w:cs="Arial"/>
                <w:color w:val="000000"/>
                <w:sz w:val="18"/>
                <w:szCs w:val="18"/>
              </w:rPr>
            </w:pPr>
            <w:r w:rsidRPr="00311A64">
              <w:rPr>
                <w:rFonts w:ascii="Arial" w:hAnsi="Arial" w:cs="Arial"/>
                <w:color w:val="000000"/>
                <w:sz w:val="18"/>
                <w:szCs w:val="18"/>
              </w:rPr>
              <w:t>5</w:t>
            </w:r>
          </w:p>
        </w:tc>
      </w:tr>
      <w:tr w:rsidR="00467258" w:rsidRPr="00B53524" w:rsidTr="00C26BC5">
        <w:trPr>
          <w:trHeight w:val="360"/>
        </w:trPr>
        <w:tc>
          <w:tcPr>
            <w:tcW w:w="1760" w:type="dxa"/>
            <w:vMerge/>
            <w:vAlign w:val="center"/>
          </w:tcPr>
          <w:p w:rsidR="00467258" w:rsidRPr="00B53524" w:rsidRDefault="00467258" w:rsidP="000C23C0">
            <w:pPr>
              <w:keepNext/>
              <w:spacing w:after="0"/>
              <w:jc w:val="center"/>
              <w:rPr>
                <w:rFonts w:ascii="Arial" w:hAnsi="Arial" w:cs="Arial"/>
                <w:color w:val="000000"/>
                <w:sz w:val="18"/>
              </w:rPr>
            </w:pPr>
          </w:p>
        </w:tc>
        <w:tc>
          <w:tcPr>
            <w:tcW w:w="4378" w:type="dxa"/>
            <w:vAlign w:val="center"/>
          </w:tcPr>
          <w:p w:rsidR="00467258" w:rsidRPr="00B53524" w:rsidRDefault="00467258" w:rsidP="000C23C0">
            <w:pPr>
              <w:keepNext/>
              <w:spacing w:after="0"/>
              <w:jc w:val="center"/>
              <w:rPr>
                <w:rFonts w:ascii="Arial" w:hAnsi="Arial" w:cs="Arial"/>
                <w:color w:val="000000"/>
                <w:sz w:val="18"/>
                <w:szCs w:val="18"/>
              </w:rPr>
            </w:pPr>
            <w:r w:rsidRPr="00311A64">
              <w:rPr>
                <w:rFonts w:ascii="Arial" w:hAnsi="Arial" w:cs="Arial"/>
                <w:color w:val="000000"/>
                <w:sz w:val="18"/>
                <w:szCs w:val="18"/>
              </w:rPr>
              <w:t>Mixed Use, Commercial, Institutional/Industrial w/ FAR 1.0 – 2.0</w:t>
            </w:r>
          </w:p>
        </w:tc>
        <w:tc>
          <w:tcPr>
            <w:tcW w:w="3240" w:type="dxa"/>
            <w:vAlign w:val="center"/>
          </w:tcPr>
          <w:p w:rsidR="00467258" w:rsidRPr="00B53524" w:rsidRDefault="00467258" w:rsidP="000C23C0">
            <w:pPr>
              <w:keepNext/>
              <w:spacing w:after="0"/>
              <w:jc w:val="center"/>
              <w:rPr>
                <w:rFonts w:ascii="Arial" w:hAnsi="Arial" w:cs="Arial"/>
                <w:color w:val="000000"/>
                <w:sz w:val="18"/>
                <w:szCs w:val="18"/>
              </w:rPr>
            </w:pPr>
            <w:r w:rsidRPr="00311A64">
              <w:rPr>
                <w:rFonts w:ascii="Arial" w:hAnsi="Arial" w:cs="Arial"/>
                <w:color w:val="000000"/>
                <w:sz w:val="18"/>
                <w:szCs w:val="18"/>
              </w:rPr>
              <w:t>4</w:t>
            </w:r>
          </w:p>
        </w:tc>
      </w:tr>
      <w:tr w:rsidR="00467258" w:rsidRPr="00B53524" w:rsidTr="00C26BC5">
        <w:trPr>
          <w:trHeight w:val="360"/>
        </w:trPr>
        <w:tc>
          <w:tcPr>
            <w:tcW w:w="1760" w:type="dxa"/>
            <w:vMerge/>
            <w:vAlign w:val="center"/>
          </w:tcPr>
          <w:p w:rsidR="00467258" w:rsidRPr="00B53524" w:rsidRDefault="00467258" w:rsidP="000C23C0">
            <w:pPr>
              <w:keepNext/>
              <w:spacing w:after="0"/>
              <w:jc w:val="center"/>
              <w:rPr>
                <w:rFonts w:ascii="Arial" w:hAnsi="Arial" w:cs="Arial"/>
                <w:color w:val="000000"/>
                <w:sz w:val="18"/>
              </w:rPr>
            </w:pPr>
          </w:p>
        </w:tc>
        <w:tc>
          <w:tcPr>
            <w:tcW w:w="4378" w:type="dxa"/>
            <w:vAlign w:val="center"/>
          </w:tcPr>
          <w:p w:rsidR="00467258" w:rsidRPr="00B53524" w:rsidRDefault="00467258" w:rsidP="000C23C0">
            <w:pPr>
              <w:keepNext/>
              <w:spacing w:after="0"/>
              <w:jc w:val="center"/>
              <w:rPr>
                <w:rFonts w:ascii="Arial" w:hAnsi="Arial" w:cs="Arial"/>
                <w:color w:val="000000"/>
                <w:sz w:val="18"/>
                <w:szCs w:val="18"/>
              </w:rPr>
            </w:pPr>
            <w:r w:rsidRPr="00311A64">
              <w:rPr>
                <w:rFonts w:ascii="Arial" w:hAnsi="Arial" w:cs="Arial"/>
                <w:color w:val="000000"/>
                <w:sz w:val="18"/>
                <w:szCs w:val="18"/>
              </w:rPr>
              <w:t>Mixed Use, Commercial, Institutional/Industrial w/ FAR &gt; 2.0</w:t>
            </w:r>
          </w:p>
        </w:tc>
        <w:tc>
          <w:tcPr>
            <w:tcW w:w="3240" w:type="dxa"/>
            <w:vAlign w:val="center"/>
          </w:tcPr>
          <w:p w:rsidR="00467258" w:rsidRPr="00B53524" w:rsidRDefault="00467258" w:rsidP="000C23C0">
            <w:pPr>
              <w:keepNext/>
              <w:spacing w:after="0"/>
              <w:jc w:val="center"/>
              <w:rPr>
                <w:rFonts w:ascii="Arial" w:hAnsi="Arial" w:cs="Arial"/>
                <w:color w:val="000000"/>
                <w:sz w:val="18"/>
                <w:szCs w:val="18"/>
              </w:rPr>
            </w:pPr>
            <w:r w:rsidRPr="00311A64">
              <w:rPr>
                <w:rFonts w:ascii="Arial" w:hAnsi="Arial" w:cs="Arial"/>
                <w:color w:val="000000"/>
                <w:sz w:val="18"/>
                <w:szCs w:val="18"/>
              </w:rPr>
              <w:t>3</w:t>
            </w:r>
          </w:p>
        </w:tc>
      </w:tr>
      <w:tr w:rsidR="00467258" w:rsidRPr="00B53524" w:rsidTr="00C26BC5">
        <w:trPr>
          <w:trHeight w:val="360"/>
        </w:trPr>
        <w:tc>
          <w:tcPr>
            <w:tcW w:w="1760" w:type="dxa"/>
            <w:vMerge/>
            <w:vAlign w:val="center"/>
          </w:tcPr>
          <w:p w:rsidR="00467258" w:rsidRPr="00B53524" w:rsidRDefault="00467258" w:rsidP="000C23C0">
            <w:pPr>
              <w:keepNext/>
              <w:spacing w:after="0"/>
              <w:jc w:val="center"/>
              <w:rPr>
                <w:rFonts w:ascii="Arial" w:hAnsi="Arial" w:cs="Arial"/>
                <w:color w:val="000000"/>
                <w:sz w:val="18"/>
              </w:rPr>
            </w:pPr>
          </w:p>
        </w:tc>
        <w:tc>
          <w:tcPr>
            <w:tcW w:w="4378" w:type="dxa"/>
            <w:vAlign w:val="center"/>
          </w:tcPr>
          <w:p w:rsidR="00467258" w:rsidRPr="00B53524" w:rsidRDefault="00467258" w:rsidP="000C23C0">
            <w:pPr>
              <w:keepNext/>
              <w:spacing w:after="0"/>
              <w:jc w:val="center"/>
              <w:rPr>
                <w:rFonts w:ascii="Arial" w:hAnsi="Arial" w:cs="Arial"/>
                <w:color w:val="000000"/>
                <w:sz w:val="18"/>
              </w:rPr>
            </w:pPr>
            <w:r w:rsidRPr="00311A64">
              <w:rPr>
                <w:rFonts w:ascii="Arial" w:hAnsi="Arial" w:cs="Arial"/>
                <w:color w:val="000000"/>
                <w:sz w:val="18"/>
              </w:rPr>
              <w:t>Podium (parking under &gt; 75% of project)</w:t>
            </w:r>
          </w:p>
        </w:tc>
        <w:tc>
          <w:tcPr>
            <w:tcW w:w="3240" w:type="dxa"/>
            <w:vAlign w:val="center"/>
          </w:tcPr>
          <w:p w:rsidR="00467258" w:rsidRPr="00B53524" w:rsidRDefault="00467258" w:rsidP="000C23C0">
            <w:pPr>
              <w:keepNext/>
              <w:spacing w:after="0"/>
              <w:jc w:val="center"/>
              <w:rPr>
                <w:rFonts w:ascii="Arial" w:hAnsi="Arial" w:cs="Arial"/>
                <w:color w:val="000000"/>
                <w:sz w:val="18"/>
                <w:szCs w:val="18"/>
              </w:rPr>
            </w:pPr>
            <w:r w:rsidRPr="00311A64">
              <w:rPr>
                <w:rFonts w:ascii="Arial" w:hAnsi="Arial" w:cs="Arial"/>
                <w:color w:val="000000"/>
                <w:sz w:val="18"/>
                <w:szCs w:val="18"/>
              </w:rPr>
              <w:t>2</w:t>
            </w:r>
          </w:p>
        </w:tc>
      </w:tr>
      <w:tr w:rsidR="00467258" w:rsidRPr="00B53524" w:rsidTr="00C26BC5">
        <w:trPr>
          <w:trHeight w:val="360"/>
        </w:trPr>
        <w:tc>
          <w:tcPr>
            <w:tcW w:w="1760" w:type="dxa"/>
            <w:vMerge/>
            <w:vAlign w:val="center"/>
          </w:tcPr>
          <w:p w:rsidR="00467258" w:rsidRPr="00B53524" w:rsidRDefault="00467258" w:rsidP="000C23C0">
            <w:pPr>
              <w:keepNext/>
              <w:spacing w:after="0"/>
              <w:jc w:val="center"/>
              <w:rPr>
                <w:rFonts w:ascii="Arial" w:hAnsi="Arial" w:cs="Arial"/>
                <w:color w:val="000000"/>
                <w:sz w:val="18"/>
              </w:rPr>
            </w:pPr>
          </w:p>
        </w:tc>
        <w:tc>
          <w:tcPr>
            <w:tcW w:w="4378" w:type="dxa"/>
            <w:vAlign w:val="center"/>
          </w:tcPr>
          <w:p w:rsidR="00467258" w:rsidRPr="00B53524" w:rsidRDefault="00467258" w:rsidP="000C23C0">
            <w:pPr>
              <w:keepNext/>
              <w:spacing w:after="0"/>
              <w:jc w:val="center"/>
              <w:rPr>
                <w:rFonts w:ascii="Arial" w:hAnsi="Arial" w:cs="Arial"/>
                <w:color w:val="000000"/>
                <w:sz w:val="18"/>
              </w:rPr>
            </w:pPr>
            <w:r w:rsidRPr="00311A64">
              <w:rPr>
                <w:rFonts w:ascii="Arial" w:hAnsi="Arial" w:cs="Arial"/>
                <w:color w:val="000000"/>
                <w:sz w:val="18"/>
              </w:rPr>
              <w:t xml:space="preserve">Projects with zoning allowing development to </w:t>
            </w:r>
            <w:proofErr w:type="spellStart"/>
            <w:r w:rsidRPr="00311A64">
              <w:rPr>
                <w:rFonts w:ascii="Arial" w:hAnsi="Arial" w:cs="Arial"/>
                <w:color w:val="000000"/>
                <w:sz w:val="18"/>
              </w:rPr>
              <w:t>lot</w:t>
            </w:r>
            <w:proofErr w:type="spellEnd"/>
            <w:r w:rsidRPr="00311A64">
              <w:rPr>
                <w:rFonts w:ascii="Arial" w:hAnsi="Arial" w:cs="Arial"/>
                <w:color w:val="000000"/>
                <w:sz w:val="18"/>
              </w:rPr>
              <w:t xml:space="preserve"> lines</w:t>
            </w:r>
          </w:p>
        </w:tc>
        <w:tc>
          <w:tcPr>
            <w:tcW w:w="3240" w:type="dxa"/>
            <w:vAlign w:val="center"/>
          </w:tcPr>
          <w:p w:rsidR="00467258" w:rsidRPr="00B53524" w:rsidRDefault="00467258" w:rsidP="000C23C0">
            <w:pPr>
              <w:keepNext/>
              <w:spacing w:after="0"/>
              <w:jc w:val="center"/>
              <w:rPr>
                <w:rFonts w:ascii="Arial" w:hAnsi="Arial" w:cs="Arial"/>
                <w:color w:val="000000"/>
                <w:sz w:val="18"/>
                <w:szCs w:val="18"/>
              </w:rPr>
            </w:pPr>
            <w:r w:rsidRPr="00311A64">
              <w:rPr>
                <w:rFonts w:ascii="Arial" w:hAnsi="Arial" w:cs="Arial"/>
                <w:color w:val="000000"/>
                <w:sz w:val="18"/>
                <w:szCs w:val="18"/>
              </w:rPr>
              <w:t>1</w:t>
            </w:r>
          </w:p>
        </w:tc>
      </w:tr>
      <w:tr w:rsidR="00467258" w:rsidRPr="00B53524" w:rsidTr="00C26BC5">
        <w:trPr>
          <w:trHeight w:val="360"/>
        </w:trPr>
        <w:tc>
          <w:tcPr>
            <w:tcW w:w="1760" w:type="dxa"/>
            <w:vMerge/>
            <w:vAlign w:val="center"/>
          </w:tcPr>
          <w:p w:rsidR="00467258" w:rsidRPr="00B53524" w:rsidRDefault="00467258" w:rsidP="000C23C0">
            <w:pPr>
              <w:keepNext/>
              <w:spacing w:after="0"/>
              <w:jc w:val="center"/>
              <w:rPr>
                <w:rFonts w:ascii="Arial" w:hAnsi="Arial" w:cs="Arial"/>
                <w:color w:val="000000"/>
                <w:sz w:val="18"/>
              </w:rPr>
            </w:pPr>
          </w:p>
        </w:tc>
        <w:tc>
          <w:tcPr>
            <w:tcW w:w="4378" w:type="dxa"/>
            <w:vAlign w:val="center"/>
          </w:tcPr>
          <w:p w:rsidR="00467258" w:rsidRPr="00B53524" w:rsidRDefault="00467258" w:rsidP="000C23C0">
            <w:pPr>
              <w:keepNext/>
              <w:spacing w:after="0"/>
              <w:jc w:val="center"/>
              <w:rPr>
                <w:rFonts w:ascii="Arial" w:hAnsi="Arial" w:cs="Arial"/>
                <w:color w:val="000000"/>
                <w:sz w:val="18"/>
              </w:rPr>
            </w:pPr>
            <w:r w:rsidRPr="00311A64">
              <w:rPr>
                <w:rFonts w:ascii="Arial" w:hAnsi="Arial" w:cs="Arial"/>
                <w:color w:val="000000"/>
                <w:sz w:val="18"/>
              </w:rPr>
              <w:t>Transit Oriented Development</w:t>
            </w:r>
            <w:r w:rsidRPr="00311A64">
              <w:rPr>
                <w:rFonts w:ascii="Arial" w:hAnsi="Arial" w:cs="Arial"/>
                <w:color w:val="000000"/>
                <w:sz w:val="18"/>
                <w:vertAlign w:val="superscript"/>
              </w:rPr>
              <w:t>3</w:t>
            </w:r>
          </w:p>
        </w:tc>
        <w:tc>
          <w:tcPr>
            <w:tcW w:w="3240" w:type="dxa"/>
            <w:vAlign w:val="center"/>
          </w:tcPr>
          <w:p w:rsidR="00467258" w:rsidRPr="00B53524" w:rsidRDefault="00467258" w:rsidP="000C23C0">
            <w:pPr>
              <w:keepNext/>
              <w:spacing w:after="0"/>
              <w:jc w:val="center"/>
              <w:rPr>
                <w:rFonts w:ascii="Arial" w:hAnsi="Arial" w:cs="Arial"/>
                <w:color w:val="000000"/>
                <w:sz w:val="18"/>
                <w:szCs w:val="18"/>
              </w:rPr>
            </w:pPr>
            <w:r w:rsidRPr="00311A64">
              <w:rPr>
                <w:rFonts w:ascii="Arial" w:hAnsi="Arial" w:cs="Arial"/>
                <w:color w:val="000000"/>
                <w:sz w:val="18"/>
                <w:szCs w:val="18"/>
              </w:rPr>
              <w:t>3</w:t>
            </w:r>
          </w:p>
        </w:tc>
      </w:tr>
      <w:tr w:rsidR="00467258" w:rsidRPr="00B53524" w:rsidTr="00C26BC5">
        <w:trPr>
          <w:trHeight w:val="360"/>
        </w:trPr>
        <w:tc>
          <w:tcPr>
            <w:tcW w:w="1760" w:type="dxa"/>
            <w:vMerge/>
            <w:vAlign w:val="center"/>
          </w:tcPr>
          <w:p w:rsidR="00467258" w:rsidRPr="00B53524" w:rsidRDefault="00467258" w:rsidP="000C23C0">
            <w:pPr>
              <w:keepNext/>
              <w:spacing w:after="0"/>
              <w:jc w:val="center"/>
              <w:rPr>
                <w:rFonts w:ascii="Arial" w:hAnsi="Arial" w:cs="Arial"/>
                <w:color w:val="000000"/>
                <w:sz w:val="18"/>
              </w:rPr>
            </w:pPr>
          </w:p>
        </w:tc>
        <w:tc>
          <w:tcPr>
            <w:tcW w:w="4378" w:type="dxa"/>
            <w:vAlign w:val="center"/>
          </w:tcPr>
          <w:p w:rsidR="00467258" w:rsidRPr="00B53524" w:rsidRDefault="00467258" w:rsidP="000C23C0">
            <w:pPr>
              <w:keepNext/>
              <w:spacing w:after="0"/>
              <w:jc w:val="center"/>
              <w:rPr>
                <w:rFonts w:ascii="Arial" w:hAnsi="Arial" w:cs="Arial"/>
                <w:color w:val="000000"/>
                <w:sz w:val="18"/>
              </w:rPr>
            </w:pPr>
            <w:r w:rsidRPr="00311A64">
              <w:rPr>
                <w:rFonts w:ascii="Arial" w:hAnsi="Arial" w:cs="Arial"/>
                <w:color w:val="000000"/>
                <w:sz w:val="18"/>
              </w:rPr>
              <w:t>Projects in Historic Districts</w:t>
            </w:r>
          </w:p>
        </w:tc>
        <w:tc>
          <w:tcPr>
            <w:tcW w:w="3240" w:type="dxa"/>
            <w:vAlign w:val="center"/>
          </w:tcPr>
          <w:p w:rsidR="00467258" w:rsidRPr="00B53524" w:rsidRDefault="00467258" w:rsidP="000C23C0">
            <w:pPr>
              <w:keepNext/>
              <w:spacing w:after="0"/>
              <w:jc w:val="center"/>
              <w:rPr>
                <w:rFonts w:ascii="Arial" w:hAnsi="Arial" w:cs="Arial"/>
                <w:color w:val="000000"/>
                <w:sz w:val="18"/>
                <w:szCs w:val="18"/>
              </w:rPr>
            </w:pPr>
            <w:r w:rsidRPr="00311A64">
              <w:rPr>
                <w:rFonts w:ascii="Arial" w:hAnsi="Arial" w:cs="Arial"/>
                <w:color w:val="000000"/>
                <w:sz w:val="18"/>
                <w:szCs w:val="18"/>
              </w:rPr>
              <w:t>3</w:t>
            </w:r>
          </w:p>
        </w:tc>
      </w:tr>
    </w:tbl>
    <w:p w:rsidR="00467258" w:rsidRDefault="00467258" w:rsidP="00467258">
      <w:pPr>
        <w:pStyle w:val="CDMBTEXT"/>
        <w:keepNext/>
        <w:spacing w:after="0"/>
        <w:rPr>
          <w:rFonts w:ascii="Arial" w:hAnsi="Arial" w:cs="Arial"/>
          <w:color w:val="000000"/>
          <w:sz w:val="18"/>
          <w:szCs w:val="22"/>
        </w:rPr>
      </w:pPr>
      <w:r w:rsidRPr="00311A64">
        <w:rPr>
          <w:rFonts w:ascii="Arial" w:hAnsi="Arial" w:cs="Arial"/>
          <w:color w:val="000000"/>
          <w:sz w:val="18"/>
          <w:szCs w:val="22"/>
          <w:vertAlign w:val="superscript"/>
        </w:rPr>
        <w:t>1</w:t>
      </w:r>
      <w:r w:rsidRPr="00311A64">
        <w:rPr>
          <w:rFonts w:ascii="Arial" w:hAnsi="Arial" w:cs="Arial"/>
          <w:color w:val="000000"/>
          <w:sz w:val="18"/>
          <w:szCs w:val="22"/>
        </w:rPr>
        <w:t xml:space="preserve"> “Effective area” is defined as area </w:t>
      </w:r>
      <w:r w:rsidR="000127F3">
        <w:rPr>
          <w:rFonts w:ascii="Arial" w:hAnsi="Arial" w:cs="Arial"/>
          <w:color w:val="000000"/>
          <w:sz w:val="18"/>
          <w:szCs w:val="22"/>
        </w:rPr>
        <w:t>which 1) is suitable for a BMP (</w:t>
      </w:r>
      <w:r w:rsidRPr="00311A64">
        <w:rPr>
          <w:rFonts w:ascii="Arial" w:hAnsi="Arial" w:cs="Arial"/>
          <w:color w:val="000000"/>
          <w:sz w:val="18"/>
          <w:szCs w:val="22"/>
        </w:rPr>
        <w:t xml:space="preserve">for example, </w:t>
      </w:r>
      <w:r w:rsidR="000127F3">
        <w:rPr>
          <w:rFonts w:ascii="Arial" w:hAnsi="Arial" w:cs="Arial"/>
          <w:color w:val="000000"/>
          <w:sz w:val="18"/>
          <w:szCs w:val="22"/>
        </w:rPr>
        <w:t xml:space="preserve">if infiltration is potentially feasible for the site based on infeasibility criteria, </w:t>
      </w:r>
      <w:r w:rsidRPr="00311A64">
        <w:rPr>
          <w:rFonts w:ascii="Arial" w:hAnsi="Arial" w:cs="Arial"/>
          <w:color w:val="000000"/>
          <w:sz w:val="18"/>
          <w:szCs w:val="22"/>
        </w:rPr>
        <w:t xml:space="preserve">infiltration must be allowed over this area) and 2) receives </w:t>
      </w:r>
      <w:r w:rsidRPr="00EB2223">
        <w:rPr>
          <w:rFonts w:ascii="Arial" w:hAnsi="Arial" w:cs="Arial"/>
          <w:color w:val="000000"/>
          <w:sz w:val="18"/>
          <w:szCs w:val="22"/>
        </w:rPr>
        <w:t>runoff from impervious areas</w:t>
      </w:r>
      <w:r w:rsidRPr="00311A64">
        <w:rPr>
          <w:rFonts w:ascii="Arial" w:hAnsi="Arial" w:cs="Arial"/>
          <w:color w:val="000000"/>
          <w:sz w:val="18"/>
          <w:szCs w:val="22"/>
        </w:rPr>
        <w:t>.</w:t>
      </w:r>
    </w:p>
    <w:p w:rsidR="00467258" w:rsidRDefault="00467258" w:rsidP="00467258">
      <w:pPr>
        <w:pStyle w:val="CDMBTEXT"/>
        <w:keepNext/>
        <w:spacing w:after="0"/>
        <w:rPr>
          <w:rFonts w:ascii="Arial" w:hAnsi="Arial"/>
          <w:color w:val="000000"/>
          <w:sz w:val="14"/>
        </w:rPr>
      </w:pPr>
      <w:r w:rsidRPr="00311A64">
        <w:rPr>
          <w:rFonts w:ascii="Arial" w:hAnsi="Arial" w:cs="Arial"/>
          <w:sz w:val="18"/>
          <w:vertAlign w:val="superscript"/>
        </w:rPr>
        <w:t>2</w:t>
      </w:r>
      <w:r w:rsidRPr="00311A64">
        <w:rPr>
          <w:rFonts w:ascii="Arial" w:hAnsi="Arial" w:cs="Arial"/>
          <w:sz w:val="18"/>
        </w:rPr>
        <w:t xml:space="preserve">Criteria for site design are only required to be met if the Project WQMP seeks to demonstrate that the full </w:t>
      </w:r>
      <w:r w:rsidR="000127F3">
        <w:rPr>
          <w:rFonts w:ascii="Arial" w:hAnsi="Arial" w:cs="Arial"/>
          <w:sz w:val="18"/>
        </w:rPr>
        <w:t xml:space="preserve">stormwater </w:t>
      </w:r>
      <w:r>
        <w:rPr>
          <w:rFonts w:ascii="Arial" w:hAnsi="Arial" w:cs="Arial"/>
          <w:sz w:val="18"/>
        </w:rPr>
        <w:t xml:space="preserve">design volume </w:t>
      </w:r>
      <w:r w:rsidRPr="00311A64">
        <w:rPr>
          <w:rFonts w:ascii="Arial" w:hAnsi="Arial" w:cs="Arial"/>
          <w:sz w:val="18"/>
        </w:rPr>
        <w:t xml:space="preserve">cannot be feasibly </w:t>
      </w:r>
      <w:r w:rsidR="000127F3">
        <w:rPr>
          <w:rFonts w:ascii="Arial" w:hAnsi="Arial" w:cs="Arial"/>
          <w:sz w:val="18"/>
        </w:rPr>
        <w:t>managed</w:t>
      </w:r>
      <w:r w:rsidRPr="00311A64">
        <w:rPr>
          <w:rFonts w:ascii="Arial" w:hAnsi="Arial" w:cs="Arial"/>
          <w:sz w:val="18"/>
        </w:rPr>
        <w:t xml:space="preserve"> on-site</w:t>
      </w:r>
      <w:r w:rsidR="000127F3">
        <w:rPr>
          <w:rFonts w:ascii="Arial" w:hAnsi="Arial" w:cs="Arial"/>
          <w:sz w:val="18"/>
        </w:rPr>
        <w:t>.</w:t>
      </w:r>
    </w:p>
    <w:p w:rsidR="00467258" w:rsidRPr="00B53524" w:rsidRDefault="00467258" w:rsidP="00467258">
      <w:pPr>
        <w:pStyle w:val="CDMBTEXT"/>
        <w:keepNext/>
        <w:spacing w:after="0"/>
        <w:rPr>
          <w:rFonts w:ascii="Arial" w:hAnsi="Arial" w:cs="Arial"/>
          <w:color w:val="000000"/>
          <w:sz w:val="18"/>
        </w:rPr>
      </w:pPr>
      <w:r w:rsidRPr="00311A64">
        <w:rPr>
          <w:rFonts w:ascii="Arial" w:hAnsi="Arial" w:cs="Arial"/>
          <w:color w:val="000000"/>
          <w:sz w:val="18"/>
          <w:vertAlign w:val="superscript"/>
        </w:rPr>
        <w:t xml:space="preserve">3 </w:t>
      </w:r>
      <w:r w:rsidRPr="00B53524">
        <w:rPr>
          <w:rFonts w:ascii="Arial" w:hAnsi="Arial" w:cs="Arial"/>
          <w:sz w:val="18"/>
        </w:rPr>
        <w:t xml:space="preserve">Transit oriented </w:t>
      </w:r>
      <w:r w:rsidRPr="00311A64">
        <w:rPr>
          <w:rFonts w:ascii="Arial" w:hAnsi="Arial" w:cs="Arial"/>
          <w:sz w:val="18"/>
        </w:rPr>
        <w:t>development</w:t>
      </w:r>
      <w:r w:rsidRPr="00B53524">
        <w:rPr>
          <w:rFonts w:ascii="Arial" w:hAnsi="Arial" w:cs="Arial"/>
          <w:sz w:val="18"/>
        </w:rPr>
        <w:t xml:space="preserve"> is defined as a development with development center within one half mile of a mass transit center.</w:t>
      </w:r>
    </w:p>
    <w:p w:rsidR="00467258" w:rsidRDefault="00467258" w:rsidP="00EA1EA6">
      <w:pPr>
        <w:pStyle w:val="CDMBTEXT"/>
        <w:keepNext/>
        <w:spacing w:after="0"/>
        <w:outlineLvl w:val="0"/>
        <w:rPr>
          <w:rFonts w:ascii="Arial" w:hAnsi="Arial" w:cs="Arial"/>
          <w:color w:val="000000"/>
          <w:sz w:val="18"/>
          <w:szCs w:val="22"/>
        </w:rPr>
      </w:pPr>
      <w:r w:rsidRPr="00B53524">
        <w:rPr>
          <w:rFonts w:ascii="Arial" w:hAnsi="Arial" w:cs="Arial"/>
          <w:color w:val="000000"/>
          <w:sz w:val="18"/>
          <w:szCs w:val="22"/>
        </w:rPr>
        <w:t>Key:  du/ac = dwelling units per acre, FAR = Floor Area Ratio = ratio of gross floor area of building to gross lot area</w:t>
      </w:r>
    </w:p>
    <w:p w:rsidR="00467258" w:rsidRDefault="00467258" w:rsidP="000127F3">
      <w:pPr>
        <w:pStyle w:val="CDMBTEXT"/>
        <w:spacing w:after="0"/>
        <w:rPr>
          <w:rFonts w:ascii="Arial" w:hAnsi="Arial" w:cs="Arial"/>
          <w:color w:val="000000"/>
          <w:sz w:val="18"/>
          <w:szCs w:val="22"/>
        </w:rPr>
      </w:pPr>
      <w:r w:rsidRPr="00B53524">
        <w:rPr>
          <w:rFonts w:ascii="Arial" w:hAnsi="Arial" w:cs="Arial"/>
          <w:color w:val="000000"/>
          <w:sz w:val="18"/>
          <w:szCs w:val="22"/>
        </w:rPr>
        <w:t>MF = Multi Family, SF = Single Family</w:t>
      </w:r>
    </w:p>
    <w:p w:rsidR="000127F3" w:rsidRDefault="000127F3" w:rsidP="000127F3">
      <w:pPr>
        <w:pStyle w:val="CDMBTEXT"/>
        <w:spacing w:after="0"/>
        <w:rPr>
          <w:rFonts w:ascii="Arial" w:hAnsi="Arial" w:cs="Arial"/>
          <w:color w:val="000000"/>
          <w:sz w:val="18"/>
          <w:szCs w:val="22"/>
        </w:rPr>
      </w:pPr>
    </w:p>
    <w:p w:rsidR="000C23C0" w:rsidRPr="000127F3" w:rsidRDefault="000C23C0" w:rsidP="000127F3">
      <w:pPr>
        <w:pStyle w:val="CDMBTEXT"/>
        <w:spacing w:after="0"/>
        <w:rPr>
          <w:rFonts w:ascii="Arial" w:hAnsi="Arial" w:cs="Arial"/>
          <w:color w:val="000000"/>
          <w:sz w:val="18"/>
          <w:szCs w:val="22"/>
        </w:rPr>
      </w:pPr>
    </w:p>
    <w:p w:rsidR="00467258" w:rsidRDefault="00467258" w:rsidP="00467258">
      <w:pPr>
        <w:pStyle w:val="CDMBTEXT"/>
      </w:pPr>
      <w:r>
        <w:t>The table is intended to be used in the feasibility process as follows:</w:t>
      </w:r>
    </w:p>
    <w:p w:rsidR="00467258" w:rsidRDefault="00467258" w:rsidP="009E1CFF">
      <w:pPr>
        <w:pStyle w:val="ListBullet"/>
      </w:pPr>
      <w:r>
        <w:t xml:space="preserve">If a project seeks to demonstrate that it is not feasible to manage the </w:t>
      </w:r>
      <w:r w:rsidR="000127F3">
        <w:t xml:space="preserve">entire design stormwater volume </w:t>
      </w:r>
      <w:r>
        <w:t>on-site, it is necessary to demonstrate that minimum criteria for site design have been met as part of making this determination</w:t>
      </w:r>
      <w:r w:rsidR="007F1A72">
        <w:t xml:space="preserve"> by comparing the effective area provided for LID BMPs within the drainage are to the values in </w:t>
      </w:r>
      <w:fldSimple w:instr=" REF _Ref285286402 \h  \* MERGEFORMAT ">
        <w:r w:rsidR="00126DE5" w:rsidRPr="00126DE5">
          <w:rPr>
            <w:rStyle w:val="TableHeadingChar"/>
            <w:rFonts w:ascii="Book Antiqua" w:eastAsiaTheme="minorEastAsia" w:hAnsi="Book Antiqua" w:cstheme="minorBidi"/>
            <w:b w:val="0"/>
            <w:color w:val="0070C0"/>
          </w:rPr>
          <w:t xml:space="preserve">Table </w:t>
        </w:r>
        <w:r w:rsidR="00126DE5" w:rsidRPr="00126DE5">
          <w:rPr>
            <w:rStyle w:val="TableHeadingChar"/>
            <w:rFonts w:ascii="Book Antiqua" w:eastAsiaTheme="minorEastAsia" w:hAnsi="Book Antiqua"/>
            <w:b w:val="0"/>
            <w:noProof/>
            <w:color w:val="0070C0"/>
          </w:rPr>
          <w:t>XI</w:t>
        </w:r>
        <w:r w:rsidR="00126DE5" w:rsidRPr="00126DE5">
          <w:rPr>
            <w:rStyle w:val="TableHeadingChar"/>
            <w:rFonts w:ascii="Book Antiqua" w:eastAsiaTheme="minorEastAsia" w:hAnsi="Book Antiqua" w:cstheme="minorBidi"/>
            <w:b w:val="0"/>
            <w:color w:val="0070C0"/>
          </w:rPr>
          <w:t>.</w:t>
        </w:r>
        <w:r w:rsidR="00126DE5" w:rsidRPr="00126DE5">
          <w:rPr>
            <w:rStyle w:val="TableHeadingChar"/>
            <w:rFonts w:ascii="Book Antiqua" w:eastAsiaTheme="minorEastAsia" w:hAnsi="Book Antiqua"/>
            <w:b w:val="0"/>
            <w:noProof/>
            <w:color w:val="0070C0"/>
          </w:rPr>
          <w:t>1</w:t>
        </w:r>
      </w:fldSimple>
      <w:r>
        <w:t>.</w:t>
      </w:r>
    </w:p>
    <w:p w:rsidR="00467258" w:rsidRDefault="00467258" w:rsidP="009E1CFF">
      <w:pPr>
        <w:pStyle w:val="ListBullet"/>
      </w:pPr>
      <w:r>
        <w:t>If the percentage of the site</w:t>
      </w:r>
      <w:r w:rsidR="000127F3">
        <w:t xml:space="preserve"> recommended in </w:t>
      </w:r>
      <w:fldSimple w:instr=" REF _Ref285286402 \h  \* MERGEFORMAT ">
        <w:r w:rsidR="00126DE5" w:rsidRPr="00126DE5">
          <w:rPr>
            <w:rStyle w:val="TableHeadingChar"/>
            <w:rFonts w:ascii="Book Antiqua" w:eastAsiaTheme="minorEastAsia" w:hAnsi="Book Antiqua" w:cstheme="minorBidi"/>
            <w:b w:val="0"/>
            <w:color w:val="0070C0"/>
          </w:rPr>
          <w:t xml:space="preserve">Table </w:t>
        </w:r>
        <w:r w:rsidR="00126DE5" w:rsidRPr="00126DE5">
          <w:rPr>
            <w:rStyle w:val="TableHeadingChar"/>
            <w:rFonts w:ascii="Book Antiqua" w:eastAsiaTheme="minorEastAsia" w:hAnsi="Book Antiqua"/>
            <w:b w:val="0"/>
            <w:noProof/>
            <w:color w:val="0070C0"/>
          </w:rPr>
          <w:t>XI</w:t>
        </w:r>
        <w:r w:rsidR="00126DE5" w:rsidRPr="00126DE5">
          <w:rPr>
            <w:rStyle w:val="TableHeadingChar"/>
            <w:rFonts w:ascii="Book Antiqua" w:eastAsiaTheme="minorEastAsia" w:hAnsi="Book Antiqua" w:cstheme="minorBidi"/>
            <w:b w:val="0"/>
            <w:color w:val="0070C0"/>
          </w:rPr>
          <w:t>.</w:t>
        </w:r>
        <w:r w:rsidR="00126DE5" w:rsidRPr="00126DE5">
          <w:rPr>
            <w:rStyle w:val="TableHeadingChar"/>
            <w:rFonts w:ascii="Book Antiqua" w:eastAsiaTheme="minorEastAsia" w:hAnsi="Book Antiqua"/>
            <w:b w:val="0"/>
            <w:noProof/>
            <w:color w:val="0070C0"/>
          </w:rPr>
          <w:t>1</w:t>
        </w:r>
      </w:fldSimple>
      <w:r>
        <w:t xml:space="preserve"> is provided and </w:t>
      </w:r>
      <w:r w:rsidR="007F1A72">
        <w:t xml:space="preserve">LID </w:t>
      </w:r>
      <w:r>
        <w:t>BMP</w:t>
      </w:r>
      <w:r w:rsidR="007F1A72">
        <w:t>s</w:t>
      </w:r>
      <w:r>
        <w:t xml:space="preserve"> still does not achieve the </w:t>
      </w:r>
      <w:r w:rsidR="000127F3">
        <w:t>stormwater design volume</w:t>
      </w:r>
      <w:r>
        <w:t>, then this allows for remaining volume to be met t</w:t>
      </w:r>
      <w:r w:rsidR="000127F3">
        <w:t xml:space="preserve">hrough alternative compliance. </w:t>
      </w:r>
      <w:r>
        <w:t xml:space="preserve">If the percentage of the site </w:t>
      </w:r>
      <w:fldSimple w:instr=" REF _Ref285286402 \h  \* MERGEFORMAT ">
        <w:r w:rsidR="00126DE5" w:rsidRPr="00126DE5">
          <w:rPr>
            <w:rStyle w:val="TableHeadingChar"/>
            <w:rFonts w:ascii="Book Antiqua" w:eastAsiaTheme="minorEastAsia" w:hAnsi="Book Antiqua" w:cstheme="minorBidi"/>
            <w:b w:val="0"/>
            <w:color w:val="0070C0"/>
          </w:rPr>
          <w:t xml:space="preserve">Table </w:t>
        </w:r>
        <w:r w:rsidR="00126DE5" w:rsidRPr="00126DE5">
          <w:rPr>
            <w:rStyle w:val="TableHeadingChar"/>
            <w:rFonts w:ascii="Book Antiqua" w:eastAsiaTheme="minorEastAsia" w:hAnsi="Book Antiqua"/>
            <w:b w:val="0"/>
            <w:noProof/>
            <w:color w:val="0070C0"/>
          </w:rPr>
          <w:t>XI</w:t>
        </w:r>
        <w:r w:rsidR="00126DE5" w:rsidRPr="00126DE5">
          <w:rPr>
            <w:rStyle w:val="TableHeadingChar"/>
            <w:rFonts w:ascii="Book Antiqua" w:eastAsiaTheme="minorEastAsia" w:hAnsi="Book Antiqua" w:cstheme="minorBidi"/>
            <w:b w:val="0"/>
            <w:color w:val="0070C0"/>
          </w:rPr>
          <w:t>.</w:t>
        </w:r>
        <w:r w:rsidR="00126DE5" w:rsidRPr="00126DE5">
          <w:rPr>
            <w:rStyle w:val="TableHeadingChar"/>
            <w:rFonts w:ascii="Book Antiqua" w:eastAsiaTheme="minorEastAsia" w:hAnsi="Book Antiqua"/>
            <w:b w:val="0"/>
            <w:noProof/>
            <w:color w:val="0070C0"/>
          </w:rPr>
          <w:t>1</w:t>
        </w:r>
      </w:fldSimple>
      <w:r>
        <w:t xml:space="preserve"> is not provided for LID BMPs and the </w:t>
      </w:r>
      <w:r w:rsidR="000127F3">
        <w:t xml:space="preserve">stormwater design </w:t>
      </w:r>
      <w:r>
        <w:t xml:space="preserve">volume is not managed, this provides grounds for a reviewer to request that additional area be made available for BMPs in the site design until either the percentage of the site in </w:t>
      </w:r>
      <w:fldSimple w:instr=" REF _Ref285286402 \h  \* MERGEFORMAT ">
        <w:r w:rsidR="00126DE5" w:rsidRPr="00126DE5">
          <w:rPr>
            <w:rStyle w:val="TableHeadingChar"/>
            <w:rFonts w:ascii="Book Antiqua" w:eastAsiaTheme="minorEastAsia" w:hAnsi="Book Antiqua" w:cstheme="minorBidi"/>
            <w:b w:val="0"/>
            <w:color w:val="0070C0"/>
          </w:rPr>
          <w:t xml:space="preserve">Table </w:t>
        </w:r>
        <w:r w:rsidR="00126DE5" w:rsidRPr="00126DE5">
          <w:rPr>
            <w:rStyle w:val="TableHeadingChar"/>
            <w:rFonts w:ascii="Book Antiqua" w:eastAsiaTheme="minorEastAsia" w:hAnsi="Book Antiqua"/>
            <w:b w:val="0"/>
            <w:noProof/>
            <w:color w:val="0070C0"/>
          </w:rPr>
          <w:t>XI</w:t>
        </w:r>
        <w:r w:rsidR="00126DE5" w:rsidRPr="00126DE5">
          <w:rPr>
            <w:rStyle w:val="TableHeadingChar"/>
            <w:rFonts w:ascii="Book Antiqua" w:eastAsiaTheme="minorEastAsia" w:hAnsi="Book Antiqua" w:cstheme="minorBidi"/>
            <w:b w:val="0"/>
            <w:color w:val="0070C0"/>
          </w:rPr>
          <w:t>.</w:t>
        </w:r>
        <w:r w:rsidR="00126DE5" w:rsidRPr="00126DE5">
          <w:rPr>
            <w:rStyle w:val="TableHeadingChar"/>
            <w:rFonts w:ascii="Book Antiqua" w:eastAsiaTheme="minorEastAsia" w:hAnsi="Book Antiqua"/>
            <w:b w:val="0"/>
            <w:noProof/>
            <w:color w:val="0070C0"/>
          </w:rPr>
          <w:t>1</w:t>
        </w:r>
      </w:fldSimple>
      <w:r>
        <w:t xml:space="preserve"> is provided or the entire </w:t>
      </w:r>
      <w:r w:rsidR="000127F3">
        <w:t>stormwater design volume</w:t>
      </w:r>
      <w:r>
        <w:t xml:space="preserve"> is managed.</w:t>
      </w:r>
    </w:p>
    <w:p w:rsidR="00467258" w:rsidRDefault="00467258" w:rsidP="009E1CFF">
      <w:pPr>
        <w:pStyle w:val="ListBullet"/>
      </w:pPr>
      <w:r w:rsidRPr="00311A64">
        <w:t>The project may provide more area</w:t>
      </w:r>
      <w:r>
        <w:t xml:space="preserve"> </w:t>
      </w:r>
      <w:r w:rsidR="007F1A72">
        <w:t xml:space="preserve">for LID BMPs </w:t>
      </w:r>
      <w:r>
        <w:t>if desired</w:t>
      </w:r>
      <w:r w:rsidRPr="00311A64">
        <w:t xml:space="preserve">.  </w:t>
      </w:r>
    </w:p>
    <w:p w:rsidR="00467258" w:rsidRDefault="00467258" w:rsidP="00467258">
      <w:pPr>
        <w:pStyle w:val="CDMBTEXT"/>
      </w:pPr>
      <w:r>
        <w:t xml:space="preserve">Local jurisdictions may choose to develop analogous tables more stringent (i.e., higher </w:t>
      </w:r>
      <w:r w:rsidR="000C23C0">
        <w:t>areas required to be provided</w:t>
      </w:r>
      <w:r>
        <w:t xml:space="preserve">) than </w:t>
      </w:r>
      <w:fldSimple w:instr=" REF _Ref285286402 \h  \* MERGEFORMAT ">
        <w:r w:rsidR="00126DE5" w:rsidRPr="00126DE5">
          <w:rPr>
            <w:rStyle w:val="TableHeadingChar"/>
            <w:rFonts w:ascii="Book Antiqua" w:eastAsiaTheme="minorEastAsia" w:hAnsi="Book Antiqua" w:cstheme="minorBidi"/>
            <w:b w:val="0"/>
            <w:color w:val="0070C0"/>
          </w:rPr>
          <w:t xml:space="preserve">Table </w:t>
        </w:r>
        <w:r w:rsidR="00126DE5" w:rsidRPr="00126DE5">
          <w:rPr>
            <w:rStyle w:val="TableHeadingChar"/>
            <w:rFonts w:ascii="Book Antiqua" w:eastAsiaTheme="minorEastAsia" w:hAnsi="Book Antiqua"/>
            <w:b w:val="0"/>
            <w:noProof/>
            <w:color w:val="0070C0"/>
          </w:rPr>
          <w:t>XI</w:t>
        </w:r>
        <w:r w:rsidR="00126DE5" w:rsidRPr="00126DE5">
          <w:rPr>
            <w:rStyle w:val="TableHeadingChar"/>
            <w:rFonts w:ascii="Book Antiqua" w:eastAsiaTheme="minorEastAsia" w:hAnsi="Book Antiqua" w:cstheme="minorBidi"/>
            <w:b w:val="0"/>
            <w:color w:val="0070C0"/>
          </w:rPr>
          <w:t>.</w:t>
        </w:r>
        <w:r w:rsidR="00126DE5" w:rsidRPr="00126DE5">
          <w:rPr>
            <w:rStyle w:val="TableHeadingChar"/>
            <w:rFonts w:ascii="Book Antiqua" w:eastAsiaTheme="minorEastAsia" w:hAnsi="Book Antiqua"/>
            <w:b w:val="0"/>
            <w:noProof/>
            <w:color w:val="0070C0"/>
          </w:rPr>
          <w:t>1</w:t>
        </w:r>
      </w:fldSimple>
      <w:r>
        <w:t xml:space="preserve">.  </w:t>
      </w:r>
      <w:r w:rsidRPr="00311A64">
        <w:t xml:space="preserve">Projects that </w:t>
      </w:r>
      <w:r w:rsidRPr="00EB2223">
        <w:t xml:space="preserve">employ LID BMPs to retain the full </w:t>
      </w:r>
      <w:r w:rsidR="000127F3">
        <w:t>stormwater design vo</w:t>
      </w:r>
      <w:r w:rsidR="000C23C0">
        <w:t>l</w:t>
      </w:r>
      <w:r w:rsidR="000127F3">
        <w:t>ume</w:t>
      </w:r>
      <w:r w:rsidRPr="00311A64">
        <w:t xml:space="preserve"> (as documented by the Project WQMP) are not required to demonstrate that they meet criteria for site design.</w:t>
      </w:r>
    </w:p>
    <w:p w:rsidR="00467258" w:rsidRDefault="00467258" w:rsidP="00A52883">
      <w:pPr>
        <w:pStyle w:val="Heading3"/>
      </w:pPr>
      <w:bookmarkStart w:id="702" w:name="_Ref285279325"/>
      <w:r>
        <w:t>Criteria for Selecting Design Infiltration Rate for Feasibility Evaluation</w:t>
      </w:r>
      <w:bookmarkEnd w:id="702"/>
    </w:p>
    <w:p w:rsidR="00170AED" w:rsidRDefault="00037711" w:rsidP="00037711">
      <w:pPr>
        <w:pStyle w:val="CDMBTEXT"/>
      </w:pPr>
      <w:r w:rsidRPr="00037711">
        <w:t xml:space="preserve">Infiltration </w:t>
      </w:r>
      <w:r w:rsidR="00176528">
        <w:t>factor of safety</w:t>
      </w:r>
      <w:r w:rsidRPr="00037711">
        <w:t xml:space="preserve"> shall be selected based on criteria contained in </w:t>
      </w:r>
      <w:r w:rsidR="00524D76" w:rsidRPr="00524D76">
        <w:rPr>
          <w:b/>
        </w:rPr>
        <w:t>Appendix</w:t>
      </w:r>
      <w:r w:rsidRPr="00037711">
        <w:t xml:space="preserve"> </w:t>
      </w:r>
      <w:fldSimple w:instr=" REF _Ref261944895 \r \h  \* MERGEFORMAT ">
        <w:r w:rsidR="00126DE5" w:rsidRPr="00126DE5">
          <w:rPr>
            <w:b/>
            <w:color w:val="0070C0"/>
            <w:sz w:val="20"/>
          </w:rPr>
          <w:t>VII.4</w:t>
        </w:r>
      </w:fldSimple>
      <w:r w:rsidRPr="00037711">
        <w:t>, and shall not be less than 2.0 under any condition. The designer may provide a higher factor of safety in the design of BMPs</w:t>
      </w:r>
      <w:r>
        <w:t xml:space="preserve"> as warranted by project-specific factors described in </w:t>
      </w:r>
      <w:r w:rsidR="00524D76" w:rsidRPr="00524D76">
        <w:rPr>
          <w:b/>
        </w:rPr>
        <w:t>Appendix</w:t>
      </w:r>
      <w:r w:rsidRPr="00037711">
        <w:t xml:space="preserve"> </w:t>
      </w:r>
      <w:fldSimple w:instr=" REF _Ref261944895 \r \h  \* MERGEFORMAT ">
        <w:r w:rsidR="00126DE5" w:rsidRPr="00126DE5">
          <w:rPr>
            <w:b/>
            <w:color w:val="0070C0"/>
            <w:sz w:val="20"/>
          </w:rPr>
          <w:t>VII.4</w:t>
        </w:r>
      </w:fldSimple>
      <w:r>
        <w:t xml:space="preserve">.  For the purpose of designing BMPs to achieve the maximum feasible retention plus biotreatment, the acceptable </w:t>
      </w:r>
      <w:r w:rsidRPr="00037711">
        <w:t>factor of safety should be minimized through</w:t>
      </w:r>
      <w:r w:rsidR="00616820" w:rsidRPr="00616820">
        <w:rPr>
          <w:szCs w:val="24"/>
        </w:rPr>
        <w:t xml:space="preserve"> a commitment to thorough site investigation, use of effective pretreatment controls, good construction practices, the commitment to restore the infiltration rates of soils that are damaged by prior uses or construction practices, and the commitment to effective maintenance practices.</w:t>
      </w:r>
      <w:r w:rsidRPr="00037711">
        <w:t xml:space="preserve"> </w:t>
      </w:r>
      <w:r>
        <w:t xml:space="preserve">In most case, it is believed that a factor of safety of 2.0 is attainable with these commitments; however this does not remove the responsibility of the designer to apply a prudent factor of safety based on project-specific considerations.  </w:t>
      </w:r>
    </w:p>
    <w:p w:rsidR="00467258" w:rsidRDefault="00467258" w:rsidP="00A52883">
      <w:pPr>
        <w:pStyle w:val="Heading3"/>
      </w:pPr>
      <w:r>
        <w:t>Criteria for Identifying All Possible Harvested Water Demands</w:t>
      </w:r>
    </w:p>
    <w:p w:rsidR="00170AED" w:rsidRPr="00170AED" w:rsidRDefault="00170AED" w:rsidP="00170AED">
      <w:pPr>
        <w:pStyle w:val="CDMBTEXT"/>
      </w:pPr>
      <w:r>
        <w:t>The intent of this section is to provide criteria for identifying all possible demands for harvested water.  The following criteria shall be met to demonstrate that all potential demands for harvested water have been considered:</w:t>
      </w:r>
    </w:p>
    <w:p w:rsidR="00467258" w:rsidRDefault="00170AED" w:rsidP="009E1CFF">
      <w:pPr>
        <w:pStyle w:val="ListBullet"/>
      </w:pPr>
      <w:r>
        <w:t xml:space="preserve">Potential demands for harvested water shall include all </w:t>
      </w:r>
      <w:r w:rsidRPr="00170AED">
        <w:rPr>
          <w:i/>
        </w:rPr>
        <w:t>consistent and reliable demands for non-potable water</w:t>
      </w:r>
      <w:r>
        <w:t xml:space="preserve">, as defined below, that do not conflict with </w:t>
      </w:r>
      <w:r w:rsidR="00467258" w:rsidRPr="00311A64">
        <w:t>codes or ordinances in place at the time of Project WQMP submittal</w:t>
      </w:r>
      <w:r w:rsidR="008B6FE5">
        <w:t xml:space="preserve"> and do not conflict with prior water rights claims</w:t>
      </w:r>
      <w:r w:rsidR="00467258" w:rsidRPr="00311A64">
        <w:t>,</w:t>
      </w:r>
      <w:r w:rsidR="00467258" w:rsidRPr="00B53524" w:rsidDel="00EB2223">
        <w:t xml:space="preserve"> </w:t>
      </w:r>
    </w:p>
    <w:p w:rsidR="00170AED" w:rsidRDefault="00170AED" w:rsidP="009E1CFF">
      <w:pPr>
        <w:pStyle w:val="ListBullet"/>
      </w:pPr>
      <w:r w:rsidRPr="008B6FE5">
        <w:rPr>
          <w:i/>
        </w:rPr>
        <w:t>Consistent and reliable demands for non-potable water</w:t>
      </w:r>
      <w:r>
        <w:t xml:space="preserve"> shall include</w:t>
      </w:r>
      <w:r w:rsidR="008B6FE5">
        <w:t xml:space="preserve"> those demands identified in </w:t>
      </w:r>
      <w:fldSimple w:instr=" REF _Ref285288072 \r \h  \* MERGEFORMAT ">
        <w:r w:rsidR="00126DE5" w:rsidRPr="00126DE5">
          <w:rPr>
            <w:rFonts w:cs="Arial"/>
            <w:b/>
            <w:color w:val="0070C0"/>
            <w:sz w:val="20"/>
          </w:rPr>
          <w:t>Appendix IX</w:t>
        </w:r>
      </w:fldSimple>
      <w:r w:rsidR="008B6FE5">
        <w:t xml:space="preserve"> and any other non-potable demands meeting the general criteria of </w:t>
      </w:r>
      <w:fldSimple w:instr=" REF _Ref285288072 \r \h  \* MERGEFORMAT ">
        <w:r w:rsidR="00126DE5" w:rsidRPr="00126DE5">
          <w:rPr>
            <w:rFonts w:cs="Arial"/>
            <w:b/>
            <w:color w:val="0070C0"/>
            <w:sz w:val="20"/>
          </w:rPr>
          <w:t>Appendix IX</w:t>
        </w:r>
      </w:fldSimple>
      <w:r>
        <w:t>:</w:t>
      </w:r>
    </w:p>
    <w:p w:rsidR="00170AED" w:rsidRDefault="00170AED" w:rsidP="009E1CFF">
      <w:pPr>
        <w:pStyle w:val="ListBullet"/>
        <w:tabs>
          <w:tab w:val="clear" w:pos="810"/>
          <w:tab w:val="num" w:pos="1530"/>
        </w:tabs>
        <w:ind w:left="1526"/>
      </w:pPr>
      <w:r>
        <w:t xml:space="preserve">Irrigation water demand, as estimated via methods described in </w:t>
      </w:r>
      <w:fldSimple w:instr=" REF _Ref285288072 \r \h  \* MERGEFORMAT ">
        <w:r w:rsidR="00126DE5" w:rsidRPr="00126DE5">
          <w:rPr>
            <w:rFonts w:cs="Arial"/>
            <w:b/>
            <w:color w:val="0070C0"/>
            <w:sz w:val="20"/>
          </w:rPr>
          <w:t>Appendix IX</w:t>
        </w:r>
      </w:fldSimple>
      <w:r w:rsidR="008B6FE5" w:rsidRPr="008B6FE5">
        <w:t xml:space="preserve"> </w:t>
      </w:r>
      <w:r w:rsidR="008B6FE5">
        <w:t>or an equivalent method as approved by the local jurisdiction.</w:t>
      </w:r>
    </w:p>
    <w:p w:rsidR="00170AED" w:rsidRDefault="00170AED" w:rsidP="009E1CFF">
      <w:pPr>
        <w:pStyle w:val="ListBullet"/>
        <w:tabs>
          <w:tab w:val="clear" w:pos="810"/>
          <w:tab w:val="num" w:pos="1530"/>
        </w:tabs>
        <w:ind w:left="1526"/>
      </w:pPr>
      <w:r>
        <w:t>Indoor toilet flushing demand</w:t>
      </w:r>
      <w:r w:rsidR="008B6FE5">
        <w:t xml:space="preserve">, as estimated via methods described in </w:t>
      </w:r>
      <w:fldSimple w:instr=" REF _Ref285288072 \r \h  \* MERGEFORMAT ">
        <w:r w:rsidR="00126DE5" w:rsidRPr="00126DE5">
          <w:rPr>
            <w:rFonts w:cs="Arial"/>
            <w:b/>
            <w:color w:val="0070C0"/>
            <w:sz w:val="20"/>
          </w:rPr>
          <w:t>Appendix IX</w:t>
        </w:r>
      </w:fldSimple>
      <w:r>
        <w:t xml:space="preserve"> </w:t>
      </w:r>
      <w:r w:rsidR="008B6FE5">
        <w:t xml:space="preserve">or an equivalent method as approved by the local jurisdiction. Occupancy estimates shall be based on the lowest forecasted </w:t>
      </w:r>
      <w:r w:rsidR="0028402F">
        <w:t xml:space="preserve">average annual </w:t>
      </w:r>
      <w:r w:rsidR="008B6FE5">
        <w:t>occupancy beyond 2 years of completion</w:t>
      </w:r>
      <w:r w:rsidR="0028402F">
        <w:t>.</w:t>
      </w:r>
    </w:p>
    <w:p w:rsidR="008B6FE5" w:rsidRDefault="008B6FE5" w:rsidP="009E1CFF">
      <w:pPr>
        <w:pStyle w:val="ListBullet"/>
        <w:tabs>
          <w:tab w:val="clear" w:pos="810"/>
          <w:tab w:val="num" w:pos="1530"/>
        </w:tabs>
        <w:ind w:left="1526"/>
      </w:pPr>
      <w:r>
        <w:t xml:space="preserve">Industrial process water demand, vehicle wash water, evaporative cooling water, and other non-potable uses based on the criteria for calculating harvested water demand contained in </w:t>
      </w:r>
      <w:fldSimple w:instr=" REF _Ref285288072 \r \h  \* MERGEFORMAT ">
        <w:r w:rsidR="00126DE5" w:rsidRPr="00126DE5">
          <w:rPr>
            <w:rFonts w:cs="Arial"/>
            <w:b/>
            <w:color w:val="0070C0"/>
            <w:sz w:val="20"/>
          </w:rPr>
          <w:t>Appendix IX</w:t>
        </w:r>
      </w:fldSimple>
      <w:r>
        <w:t>, for processes not anticipated to change in the foreseeable future. For building uses anticipated to change, a good faith estimate of the minimum typical wet season harvested water demand shall be used to evaluate the feasibility of harvest and use systems.</w:t>
      </w:r>
    </w:p>
    <w:p w:rsidR="009565DB" w:rsidRDefault="00170AED" w:rsidP="00F65443">
      <w:pPr>
        <w:pStyle w:val="ListBullet"/>
      </w:pPr>
      <w:r>
        <w:t>Reclaimed water supply shall be evaluated</w:t>
      </w:r>
      <w:r w:rsidR="008B6FE5">
        <w:t xml:space="preserve"> on a project-specific basis</w:t>
      </w:r>
      <w:r>
        <w:t xml:space="preserve"> and subtracted from harvested water demands; in the absence of project-specific conditions of approval, reclaimed water available to the project shall take priority over use of harvested stormwater and should reduce the demand for harvested water by the amount of reclaimed water available. </w:t>
      </w:r>
      <w:r w:rsidR="007F1A72">
        <w:t xml:space="preserve"> The basis for this priority is provided in </w:t>
      </w:r>
      <w:r w:rsidR="00524D76" w:rsidRPr="00524D76">
        <w:rPr>
          <w:b/>
        </w:rPr>
        <w:t>Appendix</w:t>
      </w:r>
      <w:r w:rsidR="007F1A72">
        <w:t xml:space="preserve"> </w:t>
      </w:r>
      <w:fldSimple w:instr=" REF _Ref287978815 \r \h  \* MERGEFORMAT ">
        <w:r w:rsidR="00126DE5" w:rsidRPr="00126DE5">
          <w:rPr>
            <w:b/>
            <w:color w:val="0070C0"/>
            <w:sz w:val="20"/>
          </w:rPr>
          <w:t>X.2.8</w:t>
        </w:r>
      </w:fldSimple>
      <w:r w:rsidR="007F1A72">
        <w:t>.</w:t>
      </w:r>
    </w:p>
    <w:p w:rsidR="009E1CFF" w:rsidRDefault="009E1CFF" w:rsidP="009E1CFF">
      <w:pPr>
        <w:pStyle w:val="ListBullet"/>
        <w:numPr>
          <w:ilvl w:val="0"/>
          <w:numId w:val="0"/>
        </w:numPr>
        <w:ind w:left="806"/>
      </w:pPr>
    </w:p>
    <w:p w:rsidR="00F65443" w:rsidRPr="00F65443" w:rsidRDefault="00F65443" w:rsidP="00F65443">
      <w:pPr>
        <w:sectPr w:rsidR="00F65443" w:rsidRPr="00F65443" w:rsidSect="00BF43BB">
          <w:pgSz w:w="12240" w:h="15840" w:code="1"/>
          <w:pgMar w:top="1440" w:right="1440" w:bottom="1440" w:left="1440" w:header="720" w:footer="432" w:gutter="0"/>
          <w:pgNumType w:start="1" w:chapStyle="1"/>
          <w:cols w:space="720"/>
          <w:docGrid w:linePitch="360"/>
        </w:sectPr>
      </w:pPr>
    </w:p>
    <w:p w:rsidR="0013104B" w:rsidRDefault="004C6431" w:rsidP="00A52883">
      <w:pPr>
        <w:pStyle w:val="Heading1"/>
      </w:pPr>
      <w:bookmarkStart w:id="703" w:name="_Biotreatment_Selection,_Design,"/>
      <w:bookmarkStart w:id="704" w:name="_Ref285288960"/>
      <w:bookmarkStart w:id="705" w:name="_Toc285308190"/>
      <w:bookmarkStart w:id="706" w:name="_Toc285315773"/>
      <w:bookmarkStart w:id="707" w:name="_Toc285315901"/>
      <w:bookmarkStart w:id="708" w:name="_Toc285492490"/>
      <w:bookmarkStart w:id="709" w:name="_Toc288541110"/>
      <w:bookmarkStart w:id="710" w:name="_Toc293937166"/>
      <w:bookmarkEnd w:id="703"/>
      <w:r>
        <w:rPr>
          <w:caps w:val="0"/>
        </w:rPr>
        <w:t>CONCEPTUAL BIOTREATMENT SELECTION, DESIGN, AND MAINTENANCE CRITERIA</w:t>
      </w:r>
      <w:bookmarkEnd w:id="704"/>
      <w:bookmarkEnd w:id="705"/>
      <w:bookmarkEnd w:id="706"/>
      <w:bookmarkEnd w:id="707"/>
      <w:bookmarkEnd w:id="708"/>
      <w:bookmarkEnd w:id="709"/>
      <w:bookmarkEnd w:id="710"/>
    </w:p>
    <w:p w:rsidR="0028402F" w:rsidRDefault="00C26BC5" w:rsidP="00D25D7A">
      <w:pPr>
        <w:spacing w:after="160"/>
      </w:pPr>
      <w:r>
        <w:t xml:space="preserve">The purpose of this </w:t>
      </w:r>
      <w:r w:rsidR="005874F2">
        <w:t>Appendix</w:t>
      </w:r>
      <w:r>
        <w:t xml:space="preserve"> is to provide conceptual-level guidance for selection, design, and maintenance of biotreatment BMPs. This</w:t>
      </w:r>
      <w:r w:rsidR="005874F2">
        <w:t xml:space="preserve"> Appendix</w:t>
      </w:r>
      <w:r>
        <w:t xml:space="preserve"> is intended to be used as a concise reference for the biotreatment BMP design philosophy.  </w:t>
      </w:r>
    </w:p>
    <w:p w:rsidR="00C26BC5" w:rsidRDefault="005874F2" w:rsidP="00D25D7A">
      <w:pPr>
        <w:spacing w:after="160"/>
      </w:pPr>
      <w:r>
        <w:t xml:space="preserve">This Appendix is not intended to provide </w:t>
      </w:r>
      <w:r w:rsidR="000A1840">
        <w:t xml:space="preserve">BMP-specific guidance or </w:t>
      </w:r>
      <w:r>
        <w:t xml:space="preserve">design-level specifications. </w:t>
      </w:r>
      <w:r w:rsidR="00C26BC5">
        <w:t>BMP-specific guidance</w:t>
      </w:r>
      <w:r>
        <w:t xml:space="preserve"> for the</w:t>
      </w:r>
      <w:r w:rsidR="000A1840">
        <w:t xml:space="preserve"> recognized suite of available biotreatment BMPs is provided </w:t>
      </w:r>
      <w:r w:rsidR="00C26BC5">
        <w:t xml:space="preserve">in BMP Fact Sheets in </w:t>
      </w:r>
      <w:r w:rsidR="00C26BC5" w:rsidRPr="00C26BC5">
        <w:rPr>
          <w:b/>
          <w:color w:val="00B050"/>
        </w:rPr>
        <w:t>TGD Section 4</w:t>
      </w:r>
      <w:r w:rsidR="00C26BC5">
        <w:t>.</w:t>
      </w:r>
    </w:p>
    <w:p w:rsidR="0028402F" w:rsidRDefault="0028402F" w:rsidP="00D25D7A">
      <w:pPr>
        <w:spacing w:after="160"/>
      </w:pPr>
      <w:r>
        <w:t xml:space="preserve">This Appendix is not intended to be use for specific criteria. Detailed and prescriptive guidance for sizing and designing biotreatment to achieve the maximum feasible infiltration and </w:t>
      </w:r>
      <w:r w:rsidR="00FD5274">
        <w:t>ET</w:t>
      </w:r>
      <w:r>
        <w:t xml:space="preserve"> is provided in </w:t>
      </w:r>
      <w:r w:rsidR="00126F3D" w:rsidRPr="00126DE5">
        <w:rPr>
          <w:b/>
          <w:color w:val="0070C0"/>
          <w:sz w:val="20"/>
        </w:rPr>
        <w:fldChar w:fldCharType="begin"/>
      </w:r>
      <w:r w:rsidRPr="00126DE5">
        <w:rPr>
          <w:b/>
          <w:color w:val="0070C0"/>
          <w:sz w:val="20"/>
        </w:rPr>
        <w:instrText xml:space="preserve"> REF _Ref287631311 \r \h </w:instrText>
      </w:r>
      <w:r w:rsidR="00126F3D" w:rsidRPr="00126DE5">
        <w:rPr>
          <w:b/>
          <w:color w:val="0070C0"/>
          <w:sz w:val="20"/>
        </w:rPr>
      </w:r>
      <w:r w:rsidR="00126F3D" w:rsidRPr="00126DE5">
        <w:rPr>
          <w:b/>
          <w:color w:val="0070C0"/>
          <w:sz w:val="20"/>
        </w:rPr>
        <w:fldChar w:fldCharType="separate"/>
      </w:r>
      <w:r w:rsidR="00126DE5" w:rsidRPr="00126DE5">
        <w:rPr>
          <w:b/>
          <w:color w:val="0070C0"/>
          <w:sz w:val="20"/>
        </w:rPr>
        <w:t>Appendix XI</w:t>
      </w:r>
      <w:r w:rsidR="00126F3D" w:rsidRPr="00126DE5">
        <w:rPr>
          <w:b/>
          <w:color w:val="0070C0"/>
          <w:sz w:val="20"/>
        </w:rPr>
        <w:fldChar w:fldCharType="end"/>
      </w:r>
      <w:r>
        <w:t xml:space="preserve">. </w:t>
      </w:r>
    </w:p>
    <w:p w:rsidR="0014047B" w:rsidRDefault="0028402F" w:rsidP="00A52883">
      <w:pPr>
        <w:pStyle w:val="Heading2"/>
      </w:pPr>
      <w:bookmarkStart w:id="711" w:name="_Toc288541111"/>
      <w:bookmarkStart w:id="712" w:name="_Toc293937167"/>
      <w:r>
        <w:t>Definition of Biotreatment BMPs</w:t>
      </w:r>
      <w:bookmarkEnd w:id="711"/>
      <w:bookmarkEnd w:id="712"/>
    </w:p>
    <w:p w:rsidR="00FB64BD" w:rsidRDefault="00C26BC5" w:rsidP="00C26BC5">
      <w:pPr>
        <w:spacing w:after="160"/>
      </w:pPr>
      <w:r w:rsidRPr="00455DFD">
        <w:t>Biotreatment BMPs are a broad class of structural LID BMPs that treat stormwater using a suite of treatment mechanisms characteristic of biologically active systems</w:t>
      </w:r>
      <w:r>
        <w:t>.</w:t>
      </w:r>
      <w:r w:rsidR="00FB64BD">
        <w:t xml:space="preserve"> </w:t>
      </w:r>
      <w:r w:rsidR="000A1840">
        <w:t>The design of biotreatment BMPs should strive to achieve the following goals, as applicable:</w:t>
      </w:r>
    </w:p>
    <w:p w:rsidR="000A1840" w:rsidRDefault="000A1840" w:rsidP="009531AF">
      <w:pPr>
        <w:pStyle w:val="ListParagraph"/>
        <w:numPr>
          <w:ilvl w:val="0"/>
          <w:numId w:val="50"/>
        </w:numPr>
        <w:spacing w:after="160"/>
      </w:pPr>
      <w:r>
        <w:t>Foremost, the BMP should be designed to provide the highest possible pollutant removal, with emphasis on removal of pollutants of concern.</w:t>
      </w:r>
    </w:p>
    <w:p w:rsidR="000A1840" w:rsidRDefault="000A1840" w:rsidP="009531AF">
      <w:pPr>
        <w:pStyle w:val="ListParagraph"/>
        <w:numPr>
          <w:ilvl w:val="0"/>
          <w:numId w:val="50"/>
        </w:numPr>
        <w:spacing w:after="160"/>
      </w:pPr>
      <w:r>
        <w:t>T</w:t>
      </w:r>
      <w:r w:rsidRPr="000A1840">
        <w:t>he BMP s</w:t>
      </w:r>
      <w:r>
        <w:t>hould be aesthetically pleasing.</w:t>
      </w:r>
      <w:r w:rsidRPr="000A1840">
        <w:t xml:space="preserve"> </w:t>
      </w:r>
    </w:p>
    <w:p w:rsidR="000A1840" w:rsidRDefault="000A1840" w:rsidP="009531AF">
      <w:pPr>
        <w:pStyle w:val="ListParagraph"/>
        <w:numPr>
          <w:ilvl w:val="0"/>
          <w:numId w:val="50"/>
        </w:numPr>
        <w:spacing w:after="160"/>
      </w:pPr>
      <w:r>
        <w:t>T</w:t>
      </w:r>
      <w:r w:rsidRPr="000A1840">
        <w:t xml:space="preserve">he BMP should provide multiple benefits such as aesthetic enjoyment, wildlife habitat, open space, and/or support recreational use (i.e. be an element of a trail system); </w:t>
      </w:r>
    </w:p>
    <w:p w:rsidR="000A1840" w:rsidRDefault="000A1840" w:rsidP="009531AF">
      <w:pPr>
        <w:pStyle w:val="ListParagraph"/>
        <w:numPr>
          <w:ilvl w:val="0"/>
          <w:numId w:val="50"/>
        </w:numPr>
        <w:spacing w:after="160"/>
      </w:pPr>
      <w:r>
        <w:t>The</w:t>
      </w:r>
      <w:r w:rsidRPr="000A1840">
        <w:t xml:space="preserve"> BMP should include educational signage for visitors if appropriate; that</w:t>
      </w:r>
    </w:p>
    <w:p w:rsidR="000A1840" w:rsidRDefault="000A1840" w:rsidP="009531AF">
      <w:pPr>
        <w:pStyle w:val="ListParagraph"/>
        <w:numPr>
          <w:ilvl w:val="0"/>
          <w:numId w:val="50"/>
        </w:numPr>
        <w:spacing w:after="160"/>
      </w:pPr>
      <w:r>
        <w:t>A</w:t>
      </w:r>
      <w:r w:rsidRPr="000A1840">
        <w:t xml:space="preserve">ncillary elements (fencing, gates, and access roads) should serve to mitigate risks (i.e. drowning, vandalism) and minimize costs of maintenance.  </w:t>
      </w:r>
    </w:p>
    <w:p w:rsidR="00C26BC5" w:rsidRPr="00402820" w:rsidRDefault="00C26BC5" w:rsidP="00C26BC5">
      <w:pPr>
        <w:spacing w:after="160"/>
      </w:pPr>
      <w:r w:rsidRPr="00455DFD">
        <w:t xml:space="preserve">Biotreatment BMPs provide a variety of </w:t>
      </w:r>
      <w:r>
        <w:t xml:space="preserve">treatment </w:t>
      </w:r>
      <w:r w:rsidRPr="00455DFD">
        <w:t xml:space="preserve">mechanisms to </w:t>
      </w:r>
      <w:r>
        <w:t>remove both suspended and dissolv</w:t>
      </w:r>
      <w:r w:rsidR="00FB64BD">
        <w:t>e</w:t>
      </w:r>
      <w:r>
        <w:t>d pollutants in urban storm water runoff</w:t>
      </w:r>
      <w:r w:rsidRPr="00455DFD">
        <w:t>.</w:t>
      </w:r>
      <w:r>
        <w:t xml:space="preserve"> All biotreatment BMPs include treatment mechanisms that employ soil microbes and plants.</w:t>
      </w:r>
      <w:r w:rsidRPr="00455DFD">
        <w:t xml:space="preserve"> Biotreatment BMPs may be either flow-based (limited storage) or volume-based (storage a key design component) and are designed to treat and discharge </w:t>
      </w:r>
      <w:r>
        <w:t>urban</w:t>
      </w:r>
      <w:r w:rsidRPr="00455DFD">
        <w:t xml:space="preserve"> stormwater</w:t>
      </w:r>
      <w:r>
        <w:t xml:space="preserve"> runoff</w:t>
      </w:r>
      <w:r w:rsidRPr="00455DFD">
        <w:t xml:space="preserve"> to </w:t>
      </w:r>
      <w:r>
        <w:t>a</w:t>
      </w:r>
      <w:r w:rsidRPr="00455DFD">
        <w:t xml:space="preserve"> downstream conveyance system. Biotreatment BMPs can be designed to promote infiltration and </w:t>
      </w:r>
      <w:r w:rsidR="00FD5274">
        <w:t>ET</w:t>
      </w:r>
      <w:r w:rsidRPr="00455DFD">
        <w:t xml:space="preserve"> even though they are treat-and-release BMPs. Systems not designed primarily to infiltrate or evapotranspire stormwater may still reduce the volume of stormwater via infiltration and </w:t>
      </w:r>
      <w:r w:rsidR="00FD5274">
        <w:t>ET</w:t>
      </w:r>
      <w:r w:rsidRPr="00455DFD">
        <w:t>.</w:t>
      </w:r>
      <w:r>
        <w:t xml:space="preserve"> If necessary to mitigate risks to structures, human health, or other concerns, a biotreatment BMP may also be lined to prevent infiltration of urban storm water runoff into the underlying soils.</w:t>
      </w:r>
    </w:p>
    <w:p w:rsidR="00C26BC5" w:rsidRDefault="00C26BC5" w:rsidP="00C26BC5">
      <w:pPr>
        <w:spacing w:after="160"/>
      </w:pPr>
      <w:r w:rsidRPr="00455DFD">
        <w:t xml:space="preserve">Operations and maintenance of biotreatment BMPs should emphasize preservation of hydraulic function and </w:t>
      </w:r>
      <w:r>
        <w:t xml:space="preserve">the promotion of </w:t>
      </w:r>
      <w:r w:rsidRPr="00455DFD">
        <w:t>robust biological processes. Biotreatment BMPs typically utilize “soft” infrastructure (e.g., vegetative slope stabilization as opposed to rip rap slope stabilization) and therefore require an adaptive approach to maintenance and performance enhancement, more typical of landscape maintenance than maintenance of hard infrastructure.</w:t>
      </w:r>
    </w:p>
    <w:p w:rsidR="00176528" w:rsidRPr="00402820" w:rsidRDefault="00176528" w:rsidP="00176528">
      <w:pPr>
        <w:spacing w:after="160"/>
        <w:outlineLvl w:val="0"/>
      </w:pPr>
      <w:r>
        <w:t xml:space="preserve">Note that while biotreatment BMPs may provide habitat value, plant growth may damage infrastructure elements in the facility such as fencing, curbs, etc. </w:t>
      </w:r>
      <w:r w:rsidRPr="003A67DB">
        <w:t>This hazard can be mitigated by incorporating root barriers or through regular maintenance.</w:t>
      </w:r>
    </w:p>
    <w:p w:rsidR="00D25D7A" w:rsidRDefault="00D25D7A" w:rsidP="00D25D7A">
      <w:pPr>
        <w:spacing w:after="160"/>
      </w:pPr>
      <w:r w:rsidRPr="00455DFD">
        <w:t>The following sections provide principles that should govern the design, operation, and maintenance of biotreatment BMPs installed to meet permit requirements in Orange County.</w:t>
      </w:r>
    </w:p>
    <w:p w:rsidR="0069646E" w:rsidRDefault="0069646E" w:rsidP="00A52883">
      <w:pPr>
        <w:pStyle w:val="Heading2"/>
      </w:pPr>
      <w:bookmarkStart w:id="713" w:name="_Toc285308191"/>
      <w:bookmarkStart w:id="714" w:name="_Toc285315774"/>
      <w:bookmarkStart w:id="715" w:name="_Toc285492491"/>
      <w:bookmarkStart w:id="716" w:name="_Toc288541112"/>
      <w:bookmarkStart w:id="717" w:name="_Toc293937168"/>
      <w:r>
        <w:t>Biotreatment Selection to Address Pollutants of Concern</w:t>
      </w:r>
      <w:bookmarkEnd w:id="713"/>
      <w:bookmarkEnd w:id="714"/>
      <w:bookmarkEnd w:id="715"/>
      <w:bookmarkEnd w:id="716"/>
      <w:bookmarkEnd w:id="717"/>
    </w:p>
    <w:p w:rsidR="0069646E" w:rsidRDefault="0069646E" w:rsidP="00D25D7A">
      <w:pPr>
        <w:spacing w:after="160"/>
      </w:pPr>
      <w:r>
        <w:t>Biotreatment BMPs shall be selected that provide unit operations and processes</w:t>
      </w:r>
      <w:r w:rsidR="005874F2">
        <w:t xml:space="preserve"> (UOPs)</w:t>
      </w:r>
      <w:r>
        <w:t xml:space="preserve"> that address the </w:t>
      </w:r>
      <w:r w:rsidR="005874F2">
        <w:t>project pollutants of c</w:t>
      </w:r>
      <w:r>
        <w:t>oncern. The process of biotreatment BMP selection shall consist of the following steps</w:t>
      </w:r>
      <w:r w:rsidR="007F1A72">
        <w:t xml:space="preserve"> described in </w:t>
      </w:r>
      <w:r w:rsidR="00A214BC" w:rsidRPr="00A214BC">
        <w:rPr>
          <w:b/>
          <w:color w:val="00B050"/>
        </w:rPr>
        <w:t>TGD Section 2.4</w:t>
      </w:r>
      <w:r w:rsidR="007F1A72" w:rsidRPr="00A214BC">
        <w:t>.</w:t>
      </w:r>
    </w:p>
    <w:p w:rsidR="00FE3A73" w:rsidRDefault="00D25D7A" w:rsidP="00A52883">
      <w:pPr>
        <w:pStyle w:val="Heading2"/>
      </w:pPr>
      <w:bookmarkStart w:id="718" w:name="_Toc285308192"/>
      <w:bookmarkStart w:id="719" w:name="_Toc285315775"/>
      <w:bookmarkStart w:id="720" w:name="_Toc285492492"/>
      <w:bookmarkStart w:id="721" w:name="_Toc288541113"/>
      <w:bookmarkStart w:id="722" w:name="_Toc293937169"/>
      <w:r w:rsidRPr="00DA4BC3">
        <w:t>Conceptual Biotreatment Design Requirements</w:t>
      </w:r>
      <w:bookmarkEnd w:id="718"/>
      <w:bookmarkEnd w:id="719"/>
      <w:bookmarkEnd w:id="720"/>
      <w:bookmarkEnd w:id="721"/>
      <w:bookmarkEnd w:id="722"/>
    </w:p>
    <w:p w:rsidR="00D25D7A" w:rsidRPr="00455DFD" w:rsidRDefault="00D25D7A" w:rsidP="00853C9A">
      <w:pPr>
        <w:spacing w:after="160"/>
      </w:pPr>
      <w:r w:rsidRPr="00455DFD">
        <w:t>Biotreatment design requirements shall be consistent with the following principles</w:t>
      </w:r>
      <w:r>
        <w:t>:</w:t>
      </w:r>
    </w:p>
    <w:p w:rsidR="00D25D7A" w:rsidRPr="00455DFD" w:rsidRDefault="00D25D7A" w:rsidP="00853C9A">
      <w:pPr>
        <w:numPr>
          <w:ilvl w:val="0"/>
          <w:numId w:val="21"/>
        </w:numPr>
        <w:contextualSpacing/>
        <w:rPr>
          <w:b/>
        </w:rPr>
      </w:pPr>
      <w:r w:rsidRPr="00455DFD">
        <w:rPr>
          <w:b/>
        </w:rPr>
        <w:t>Biotreatment BMPs shall be sized according to permit requirements</w:t>
      </w:r>
      <w:r w:rsidR="00A2401F">
        <w:rPr>
          <w:b/>
        </w:rPr>
        <w:t xml:space="preserve"> described in the </w:t>
      </w:r>
      <w:r w:rsidR="0029208C" w:rsidRPr="007A343A">
        <w:rPr>
          <w:b/>
          <w:color w:val="00B050"/>
        </w:rPr>
        <w:t>Section 2.4 of the Model WQMP</w:t>
      </w:r>
      <w:r w:rsidRPr="00455DFD">
        <w:rPr>
          <w:b/>
        </w:rPr>
        <w:t>.</w:t>
      </w:r>
    </w:p>
    <w:p w:rsidR="00D25D7A" w:rsidRDefault="00D25D7A" w:rsidP="00853C9A">
      <w:pPr>
        <w:numPr>
          <w:ilvl w:val="0"/>
          <w:numId w:val="21"/>
        </w:numPr>
        <w:contextualSpacing/>
        <w:rPr>
          <w:b/>
        </w:rPr>
      </w:pPr>
      <w:r w:rsidRPr="00A2401F">
        <w:rPr>
          <w:b/>
        </w:rPr>
        <w:t>Biotreatment BMPs shall incorporate unit processes to address pollutants of concern. See</w:t>
      </w:r>
      <w:r w:rsidR="003C35C9" w:rsidRPr="00A2401F">
        <w:rPr>
          <w:b/>
        </w:rPr>
        <w:t xml:space="preserve"> </w:t>
      </w:r>
      <w:r w:rsidR="00A214BC" w:rsidRPr="00A214BC">
        <w:rPr>
          <w:b/>
          <w:color w:val="00B050"/>
        </w:rPr>
        <w:t>TGD Section 2.4</w:t>
      </w:r>
      <w:r w:rsidR="00A214BC">
        <w:rPr>
          <w:b/>
          <w:color w:val="00B050"/>
        </w:rPr>
        <w:t xml:space="preserve"> </w:t>
      </w:r>
      <w:r w:rsidRPr="00A2401F">
        <w:rPr>
          <w:b/>
        </w:rPr>
        <w:t>for guidance.</w:t>
      </w:r>
    </w:p>
    <w:p w:rsidR="00EC1E35" w:rsidRDefault="00EC1E35" w:rsidP="00853C9A">
      <w:pPr>
        <w:numPr>
          <w:ilvl w:val="0"/>
          <w:numId w:val="21"/>
        </w:numPr>
        <w:contextualSpacing/>
        <w:rPr>
          <w:b/>
        </w:rPr>
      </w:pPr>
      <w:r>
        <w:rPr>
          <w:b/>
        </w:rPr>
        <w:t xml:space="preserve">Biotreatment BMPs shall be designed to achieve the maximum feasible infiltration and ET by adhering to the criteria described in </w:t>
      </w:r>
      <w:r w:rsidR="00126F3D" w:rsidRPr="00126DE5">
        <w:rPr>
          <w:b/>
          <w:color w:val="0070C0"/>
          <w:sz w:val="20"/>
        </w:rPr>
        <w:fldChar w:fldCharType="begin"/>
      </w:r>
      <w:r w:rsidRPr="00126DE5">
        <w:rPr>
          <w:b/>
          <w:color w:val="0070C0"/>
          <w:sz w:val="20"/>
        </w:rPr>
        <w:instrText xml:space="preserve"> REF _Ref287643538 \r \h </w:instrText>
      </w:r>
      <w:r w:rsidR="00126F3D" w:rsidRPr="00126DE5">
        <w:rPr>
          <w:b/>
          <w:color w:val="0070C0"/>
          <w:sz w:val="20"/>
        </w:rPr>
      </w:r>
      <w:r w:rsidR="00126F3D" w:rsidRPr="00126DE5">
        <w:rPr>
          <w:b/>
          <w:color w:val="0070C0"/>
          <w:sz w:val="20"/>
        </w:rPr>
        <w:fldChar w:fldCharType="separate"/>
      </w:r>
      <w:r w:rsidR="00126DE5" w:rsidRPr="00126DE5">
        <w:rPr>
          <w:b/>
          <w:color w:val="0070C0"/>
          <w:sz w:val="20"/>
        </w:rPr>
        <w:t>Appendix XI</w:t>
      </w:r>
      <w:r w:rsidR="00126F3D" w:rsidRPr="00126DE5">
        <w:rPr>
          <w:b/>
          <w:color w:val="0070C0"/>
          <w:sz w:val="20"/>
        </w:rPr>
        <w:fldChar w:fldCharType="end"/>
      </w:r>
      <w:r>
        <w:rPr>
          <w:b/>
        </w:rPr>
        <w:t>.</w:t>
      </w:r>
    </w:p>
    <w:p w:rsidR="00EC1E35" w:rsidRPr="00A2401F" w:rsidRDefault="00EC1E35" w:rsidP="00853C9A">
      <w:pPr>
        <w:numPr>
          <w:ilvl w:val="0"/>
          <w:numId w:val="21"/>
        </w:numPr>
        <w:contextualSpacing/>
        <w:rPr>
          <w:b/>
        </w:rPr>
      </w:pPr>
      <w:r>
        <w:rPr>
          <w:b/>
        </w:rPr>
        <w:t>Biotreatment BMPs shall be designed per the published design standards contained in the BMP Fact Sheets (</w:t>
      </w:r>
      <w:r w:rsidR="00320E45">
        <w:rPr>
          <w:b/>
        </w:rPr>
        <w:t xml:space="preserve">Appendix </w:t>
      </w:r>
      <w:r w:rsidR="00126F3D" w:rsidRPr="00126DE5">
        <w:rPr>
          <w:b/>
          <w:color w:val="0070C0"/>
          <w:sz w:val="20"/>
          <w:highlight w:val="yellow"/>
        </w:rPr>
        <w:fldChar w:fldCharType="begin"/>
      </w:r>
      <w:r w:rsidR="00320E45" w:rsidRPr="00126DE5">
        <w:rPr>
          <w:b/>
          <w:color w:val="0070C0"/>
          <w:sz w:val="20"/>
        </w:rPr>
        <w:instrText xml:space="preserve"> REF _Ref287698674 \r \h </w:instrText>
      </w:r>
      <w:r w:rsidR="00126F3D" w:rsidRPr="00126DE5">
        <w:rPr>
          <w:b/>
          <w:color w:val="0070C0"/>
          <w:sz w:val="20"/>
          <w:highlight w:val="yellow"/>
        </w:rPr>
      </w:r>
      <w:r w:rsidR="00126F3D" w:rsidRPr="00126DE5">
        <w:rPr>
          <w:b/>
          <w:color w:val="0070C0"/>
          <w:sz w:val="20"/>
          <w:highlight w:val="yellow"/>
        </w:rPr>
        <w:fldChar w:fldCharType="separate"/>
      </w:r>
      <w:r w:rsidR="00126DE5" w:rsidRPr="00126DE5">
        <w:rPr>
          <w:b/>
          <w:color w:val="0070C0"/>
          <w:sz w:val="20"/>
        </w:rPr>
        <w:t>XIV.5</w:t>
      </w:r>
      <w:r w:rsidR="00126F3D" w:rsidRPr="00126DE5">
        <w:rPr>
          <w:b/>
          <w:color w:val="0070C0"/>
          <w:sz w:val="20"/>
          <w:highlight w:val="yellow"/>
        </w:rPr>
        <w:fldChar w:fldCharType="end"/>
      </w:r>
      <w:r>
        <w:rPr>
          <w:b/>
        </w:rPr>
        <w:t>) and the design manuals referenced by these Fact Sheets.</w:t>
      </w:r>
    </w:p>
    <w:p w:rsidR="00D25D7A" w:rsidRPr="00455DFD" w:rsidRDefault="00D25D7A" w:rsidP="00853C9A">
      <w:pPr>
        <w:numPr>
          <w:ilvl w:val="0"/>
          <w:numId w:val="21"/>
        </w:numPr>
        <w:contextualSpacing/>
        <w:rPr>
          <w:b/>
        </w:rPr>
      </w:pPr>
      <w:r w:rsidRPr="00455DFD">
        <w:rPr>
          <w:b/>
        </w:rPr>
        <w:t>Biotreatment BMPs shall support a robust vegetative and microbial community appropriate to the local climate:</w:t>
      </w:r>
    </w:p>
    <w:p w:rsidR="00D25D7A" w:rsidRPr="00455DFD" w:rsidRDefault="00D25D7A" w:rsidP="00853C9A">
      <w:pPr>
        <w:numPr>
          <w:ilvl w:val="1"/>
          <w:numId w:val="22"/>
        </w:numPr>
        <w:ind w:left="1325" w:hanging="605"/>
        <w:contextualSpacing/>
      </w:pPr>
      <w:r w:rsidRPr="00455DFD">
        <w:t>For bioretention systems</w:t>
      </w:r>
      <w:r w:rsidRPr="00455DFD">
        <w:rPr>
          <w:rStyle w:val="FootnoteReference"/>
        </w:rPr>
        <w:footnoteReference w:id="18"/>
      </w:r>
      <w:r w:rsidRPr="00455DFD">
        <w:t xml:space="preserve">, select vegetation that is drought tolerant and can </w:t>
      </w:r>
      <w:r w:rsidR="00A2401F">
        <w:t xml:space="preserve">also </w:t>
      </w:r>
      <w:r w:rsidRPr="00455DFD">
        <w:t>survive extended periods of saturated soils.</w:t>
      </w:r>
    </w:p>
    <w:p w:rsidR="00D25D7A" w:rsidRPr="00455DFD" w:rsidRDefault="00D25D7A" w:rsidP="00853C9A">
      <w:pPr>
        <w:numPr>
          <w:ilvl w:val="1"/>
          <w:numId w:val="22"/>
        </w:numPr>
        <w:ind w:left="1325" w:hanging="605"/>
        <w:contextualSpacing/>
      </w:pPr>
      <w:r w:rsidRPr="00455DFD">
        <w:t>For constructed stormwater wetlands and wet detention basins (wet ponds), select native species that include significant rhizomes and provide habitat benefits</w:t>
      </w:r>
      <w:r w:rsidR="002E6CAE">
        <w:t>.</w:t>
      </w:r>
    </w:p>
    <w:p w:rsidR="00D25D7A" w:rsidRPr="00455DFD" w:rsidRDefault="00D25D7A" w:rsidP="00853C9A">
      <w:pPr>
        <w:numPr>
          <w:ilvl w:val="1"/>
          <w:numId w:val="22"/>
        </w:numPr>
        <w:ind w:left="1325" w:hanging="605"/>
        <w:contextualSpacing/>
      </w:pPr>
      <w:r w:rsidRPr="00455DFD">
        <w:t>For constructed stormwater wetlands and wet detention basins (wet ponds) provide appropriate mix of open water to vegetated area.</w:t>
      </w:r>
      <w:r w:rsidR="002E6CAE">
        <w:t xml:space="preserve">  The appropriate mix depends on the primary target constituents.  For example, where nitrate is the dominant nutrient, the appropriate mix would include a higher </w:t>
      </w:r>
      <w:r w:rsidR="00A2401F">
        <w:t>proportion</w:t>
      </w:r>
      <w:r w:rsidR="002E6CAE">
        <w:t xml:space="preserve"> of vegetated area such as 80% vegetated, 20% open water.</w:t>
      </w:r>
    </w:p>
    <w:p w:rsidR="00D25D7A" w:rsidRPr="00455DFD" w:rsidRDefault="00D25D7A" w:rsidP="00853C9A">
      <w:pPr>
        <w:numPr>
          <w:ilvl w:val="1"/>
          <w:numId w:val="22"/>
        </w:numPr>
        <w:ind w:left="1325" w:hanging="605"/>
        <w:contextualSpacing/>
      </w:pPr>
      <w:r w:rsidRPr="00455DFD">
        <w:t>For dry extended vegetated detention basins,</w:t>
      </w:r>
      <w:r w:rsidR="00A2401F">
        <w:t xml:space="preserve"> vegetated swales, and filter strips,</w:t>
      </w:r>
      <w:r w:rsidRPr="00455DFD">
        <w:t xml:space="preserve"> select a variety of plant species that are drought tolerant, but can also survive periodic inundation.</w:t>
      </w:r>
    </w:p>
    <w:p w:rsidR="00D25D7A" w:rsidRPr="00455DFD" w:rsidRDefault="00D25D7A" w:rsidP="00853C9A">
      <w:pPr>
        <w:numPr>
          <w:ilvl w:val="1"/>
          <w:numId w:val="22"/>
        </w:numPr>
        <w:ind w:left="1325" w:hanging="605"/>
        <w:contextualSpacing/>
      </w:pPr>
      <w:r w:rsidRPr="00455DFD">
        <w:t>Provide an irrigation system, if necessary, for plant establishment and maintenance.</w:t>
      </w:r>
    </w:p>
    <w:p w:rsidR="00D25D7A" w:rsidRPr="00455DFD" w:rsidRDefault="00D25D7A" w:rsidP="00853C9A">
      <w:pPr>
        <w:numPr>
          <w:ilvl w:val="0"/>
          <w:numId w:val="21"/>
        </w:numPr>
        <w:contextualSpacing/>
        <w:rPr>
          <w:b/>
        </w:rPr>
      </w:pPr>
      <w:r w:rsidRPr="00455DFD">
        <w:rPr>
          <w:b/>
        </w:rPr>
        <w:t>Biotreatment BMPs shall incorporate amended media and soils designed for the intended function of the BMP.</w:t>
      </w:r>
    </w:p>
    <w:p w:rsidR="00D25D7A" w:rsidRPr="00455DFD" w:rsidRDefault="00D25D7A" w:rsidP="00853C9A">
      <w:pPr>
        <w:numPr>
          <w:ilvl w:val="1"/>
          <w:numId w:val="22"/>
        </w:numPr>
        <w:ind w:left="1325" w:hanging="605"/>
        <w:contextualSpacing/>
      </w:pPr>
      <w:r w:rsidRPr="00455DFD">
        <w:t>Select amended media for use in bioretention systems that is effective at removing pollutants of concern, can absorb and evapotranspirate runoff, and where appropriate, can facilitate infiltration.</w:t>
      </w:r>
    </w:p>
    <w:p w:rsidR="00D25D7A" w:rsidRPr="00455DFD" w:rsidRDefault="00D25D7A" w:rsidP="00853C9A">
      <w:pPr>
        <w:numPr>
          <w:ilvl w:val="1"/>
          <w:numId w:val="22"/>
        </w:numPr>
        <w:ind w:left="1325" w:hanging="605"/>
        <w:contextualSpacing/>
      </w:pPr>
      <w:r w:rsidRPr="00455DFD">
        <w:t>Select media and soils that will not potentially leach pollutants, specifically dissolved nutrients and metals in some cases.</w:t>
      </w:r>
    </w:p>
    <w:p w:rsidR="00D25D7A" w:rsidRPr="00455DFD" w:rsidRDefault="00D25D7A" w:rsidP="00853C9A">
      <w:pPr>
        <w:numPr>
          <w:ilvl w:val="1"/>
          <w:numId w:val="22"/>
        </w:numPr>
        <w:ind w:left="1325" w:hanging="605"/>
        <w:contextualSpacing/>
      </w:pPr>
      <w:r w:rsidRPr="00455DFD">
        <w:t>Amend soils in dry extended detention basins</w:t>
      </w:r>
      <w:r w:rsidR="00A2401F">
        <w:t>, swales, and filter strips</w:t>
      </w:r>
      <w:r w:rsidRPr="00455DFD">
        <w:t xml:space="preserve"> to provide suitable soils for supporting plants, which can absorb and evapotranspire runoff and where appropriate facilitate infiltration.</w:t>
      </w:r>
    </w:p>
    <w:p w:rsidR="00D25D7A" w:rsidRPr="00455DFD" w:rsidRDefault="00D25D7A" w:rsidP="00853C9A">
      <w:pPr>
        <w:numPr>
          <w:ilvl w:val="1"/>
          <w:numId w:val="22"/>
        </w:numPr>
        <w:ind w:left="1325" w:hanging="605"/>
        <w:contextualSpacing/>
      </w:pPr>
      <w:r w:rsidRPr="00455DFD">
        <w:t>Design wet detention basins (wet ponds) and constructed stormwater wetlands using soils that support growth of attached plants.</w:t>
      </w:r>
    </w:p>
    <w:p w:rsidR="00D25D7A" w:rsidRPr="00455DFD" w:rsidRDefault="00D25D7A" w:rsidP="00853C9A">
      <w:pPr>
        <w:numPr>
          <w:ilvl w:val="0"/>
          <w:numId w:val="21"/>
        </w:numPr>
        <w:contextualSpacing/>
        <w:rPr>
          <w:b/>
        </w:rPr>
      </w:pPr>
      <w:r w:rsidRPr="00455DFD">
        <w:rPr>
          <w:b/>
        </w:rPr>
        <w:t xml:space="preserve">BMPs hydraulics shall be designed </w:t>
      </w:r>
      <w:r w:rsidR="00FB64BD">
        <w:rPr>
          <w:b/>
        </w:rPr>
        <w:t>to maximize pollutant removal functions</w:t>
      </w:r>
      <w:r w:rsidRPr="00455DFD">
        <w:rPr>
          <w:b/>
        </w:rPr>
        <w:t>.</w:t>
      </w:r>
    </w:p>
    <w:p w:rsidR="00D25D7A" w:rsidRPr="00455DFD" w:rsidRDefault="00D25D7A" w:rsidP="00853C9A">
      <w:pPr>
        <w:numPr>
          <w:ilvl w:val="1"/>
          <w:numId w:val="22"/>
        </w:numPr>
        <w:ind w:left="1325" w:hanging="605"/>
        <w:contextualSpacing/>
      </w:pPr>
      <w:r w:rsidRPr="00455DFD">
        <w:t>For all biotreatment BMPs, design inlets or overland flow entry to BMPs to prevent scour or re-entrainment of pollutants.</w:t>
      </w:r>
    </w:p>
    <w:p w:rsidR="00D25D7A" w:rsidRPr="00455DFD" w:rsidRDefault="00D25D7A" w:rsidP="00853C9A">
      <w:pPr>
        <w:numPr>
          <w:ilvl w:val="1"/>
          <w:numId w:val="22"/>
        </w:numPr>
        <w:ind w:left="1325" w:hanging="605"/>
        <w:contextualSpacing/>
      </w:pPr>
      <w:r w:rsidRPr="00455DFD">
        <w:t>Provide maximum flow path distance between outlet and inlet and with sufficient length to width ratio to limit short circuiting.</w:t>
      </w:r>
    </w:p>
    <w:p w:rsidR="00D25D7A" w:rsidRPr="00455DFD" w:rsidRDefault="00D25D7A" w:rsidP="00853C9A">
      <w:pPr>
        <w:numPr>
          <w:ilvl w:val="1"/>
          <w:numId w:val="22"/>
        </w:numPr>
        <w:ind w:left="1325" w:hanging="605"/>
        <w:contextualSpacing/>
      </w:pPr>
      <w:r w:rsidRPr="00455DFD">
        <w:t>For constructed stormwater wetlands and wet</w:t>
      </w:r>
      <w:r w:rsidR="00FB64BD">
        <w:t xml:space="preserve"> detention basins, provide the storage capacity for the </w:t>
      </w:r>
      <w:r w:rsidR="003C7091">
        <w:t>DCV</w:t>
      </w:r>
      <w:r w:rsidRPr="00455DFD">
        <w:t xml:space="preserve"> in the wet pool at a minimum.</w:t>
      </w:r>
    </w:p>
    <w:p w:rsidR="00FB64BD" w:rsidRDefault="00FB64BD" w:rsidP="00853C9A">
      <w:pPr>
        <w:numPr>
          <w:ilvl w:val="1"/>
          <w:numId w:val="22"/>
        </w:numPr>
        <w:ind w:left="1325" w:hanging="605"/>
        <w:contextualSpacing/>
      </w:pPr>
      <w:r>
        <w:t>S</w:t>
      </w:r>
      <w:r w:rsidRPr="00455DFD">
        <w:t>easonal constructed stormwater wetlands and seasonal wet detention basins</w:t>
      </w:r>
      <w:r>
        <w:t xml:space="preserve"> should not be used unless there is a reasonable expectation that tributary land uses will provide dry weather flows </w:t>
      </w:r>
      <w:r w:rsidRPr="00455DFD">
        <w:t>during seasonally wet period to maintain vegetation and prevent stagnant water.</w:t>
      </w:r>
    </w:p>
    <w:p w:rsidR="00FB64BD" w:rsidRDefault="00D25D7A" w:rsidP="00853C9A">
      <w:pPr>
        <w:numPr>
          <w:ilvl w:val="1"/>
          <w:numId w:val="22"/>
        </w:numPr>
        <w:ind w:left="1325" w:hanging="605"/>
        <w:contextualSpacing/>
      </w:pPr>
      <w:r w:rsidRPr="00455DFD">
        <w:t>For constructed stormwater wetlands and wet detention basins designed to be continually wet (opportunities may be limited in Orange County), ensure that a low-flow source of water is present to maintain vegetation and prevent stagnant conditions.</w:t>
      </w:r>
      <w:r w:rsidR="00FB64BD" w:rsidRPr="00FB64BD">
        <w:t xml:space="preserve"> </w:t>
      </w:r>
    </w:p>
    <w:p w:rsidR="00D25D7A" w:rsidRPr="00455DFD" w:rsidRDefault="00FB64BD" w:rsidP="00853C9A">
      <w:pPr>
        <w:numPr>
          <w:ilvl w:val="1"/>
          <w:numId w:val="22"/>
        </w:numPr>
        <w:ind w:left="1325" w:hanging="605"/>
        <w:contextualSpacing/>
      </w:pPr>
      <w:r>
        <w:t>Design features shall allow for monitoring of drawdown such as depth markers and monitoring ports.</w:t>
      </w:r>
    </w:p>
    <w:p w:rsidR="00D25D7A" w:rsidRPr="00455DFD" w:rsidRDefault="00D25D7A" w:rsidP="00853C9A">
      <w:pPr>
        <w:numPr>
          <w:ilvl w:val="1"/>
          <w:numId w:val="22"/>
        </w:numPr>
        <w:ind w:left="1325" w:hanging="605"/>
        <w:contextualSpacing/>
      </w:pPr>
      <w:r w:rsidRPr="002E6CAE">
        <w:t xml:space="preserve">For bioretention </w:t>
      </w:r>
      <w:r w:rsidR="002E6CAE" w:rsidRPr="002E6CAE">
        <w:t>systems,</w:t>
      </w:r>
      <w:r w:rsidRPr="002E6CAE">
        <w:t xml:space="preserve"> provide media contact time sufficient for pollutant removal, with upper limitations on contact time to avoid leaching of retained pollutants.</w:t>
      </w:r>
      <w:r w:rsidR="00A2401F">
        <w:t xml:space="preserve"> Traditional media should generally be designed in the range of 2 to 12 inches per hour, while specialized media can be effective</w:t>
      </w:r>
      <w:r w:rsidR="0069646E">
        <w:t xml:space="preserve"> for many pollutants of concern</w:t>
      </w:r>
      <w:r w:rsidR="00A2401F">
        <w:t xml:space="preserve"> at much higher flowrates (residence times on the order of several minutes).</w:t>
      </w:r>
      <w:r w:rsidR="002E6CAE" w:rsidRPr="002E6CAE">
        <w:t xml:space="preserve">  </w:t>
      </w:r>
      <w:r w:rsidRPr="002E6CAE">
        <w:t>For bioretention systems, design media mix and layer separation systems (i.e. between media and gravel layers) to reduce potential for clogging.</w:t>
      </w:r>
    </w:p>
    <w:p w:rsidR="00D25D7A" w:rsidRPr="00455DFD" w:rsidRDefault="00D25D7A" w:rsidP="00853C9A">
      <w:pPr>
        <w:numPr>
          <w:ilvl w:val="1"/>
          <w:numId w:val="22"/>
        </w:numPr>
        <w:ind w:left="1325" w:hanging="605"/>
        <w:contextualSpacing/>
      </w:pPr>
      <w:r w:rsidRPr="00455DFD">
        <w:t>For bioretention systems that include infiltration as a component, design a gravel pool below the underdrains (where used; ensure that the soils below this area can infiltrate (i.e.</w:t>
      </w:r>
      <w:r w:rsidR="00CF4F81">
        <w:t>,</w:t>
      </w:r>
      <w:r w:rsidRPr="00455DFD">
        <w:t xml:space="preserve"> do not compact, or if compacted, restore soil infiltration capacity)</w:t>
      </w:r>
      <w:r w:rsidR="00CF4F81">
        <w:t>)</w:t>
      </w:r>
      <w:r w:rsidRPr="00455DFD">
        <w:t>.</w:t>
      </w:r>
      <w:r w:rsidR="00A2401F">
        <w:t xml:space="preserve"> The minimum depth of gravel pool should be determined based on the underlying infiltration based on the amount of water that will infiltrate in 48 hours (see </w:t>
      </w:r>
      <w:r w:rsidR="00524D76" w:rsidRPr="00524D76">
        <w:rPr>
          <w:b/>
        </w:rPr>
        <w:t>Appendix</w:t>
      </w:r>
      <w:r w:rsidR="00A2401F">
        <w:t xml:space="preserve"> </w:t>
      </w:r>
      <w:r w:rsidR="00126F3D" w:rsidRPr="00126DE5">
        <w:rPr>
          <w:rFonts w:cs="Arial"/>
          <w:b/>
          <w:color w:val="0070C0"/>
          <w:sz w:val="20"/>
          <w:szCs w:val="20"/>
        </w:rPr>
        <w:fldChar w:fldCharType="begin"/>
      </w:r>
      <w:r w:rsidR="00A2401F" w:rsidRPr="00126DE5">
        <w:rPr>
          <w:rFonts w:cs="Arial"/>
          <w:b/>
          <w:color w:val="0070C0"/>
          <w:sz w:val="20"/>
          <w:szCs w:val="20"/>
        </w:rPr>
        <w:instrText xml:space="preserve"> REF _Ref285291708 \r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rFonts w:cs="Arial"/>
          <w:b/>
          <w:color w:val="0070C0"/>
          <w:sz w:val="20"/>
          <w:szCs w:val="20"/>
        </w:rPr>
        <w:t>XI.2</w:t>
      </w:r>
      <w:r w:rsidR="00126F3D" w:rsidRPr="00126DE5">
        <w:rPr>
          <w:rFonts w:cs="Arial"/>
          <w:b/>
          <w:color w:val="0070C0"/>
          <w:sz w:val="20"/>
          <w:szCs w:val="20"/>
        </w:rPr>
        <w:fldChar w:fldCharType="end"/>
      </w:r>
      <w:r w:rsidR="00A2401F">
        <w:t>)</w:t>
      </w:r>
    </w:p>
    <w:p w:rsidR="00C11350" w:rsidRDefault="00C11350" w:rsidP="00853C9A">
      <w:pPr>
        <w:numPr>
          <w:ilvl w:val="1"/>
          <w:numId w:val="22"/>
        </w:numPr>
        <w:ind w:left="1325" w:hanging="605"/>
        <w:contextualSpacing/>
      </w:pPr>
      <w:r>
        <w:t>For bioretention systems that will include infiltration as a component, the soil below the gravel pool must be able to allow infiltration.  The soil may not be compacted.  If the soil is compacted, the soil infiltration capacity must be restored.</w:t>
      </w:r>
    </w:p>
    <w:p w:rsidR="00C11350" w:rsidRPr="00455DFD" w:rsidRDefault="00C11350" w:rsidP="00853C9A">
      <w:pPr>
        <w:numPr>
          <w:ilvl w:val="1"/>
          <w:numId w:val="22"/>
        </w:numPr>
        <w:ind w:left="1325" w:hanging="605"/>
        <w:contextualSpacing/>
      </w:pPr>
      <w:r w:rsidRPr="00455DFD">
        <w:t>Consider u</w:t>
      </w:r>
      <w:r>
        <w:t>sing</w:t>
      </w:r>
      <w:r w:rsidRPr="00455DFD">
        <w:t xml:space="preserve"> </w:t>
      </w:r>
      <w:r>
        <w:t xml:space="preserve">hydraulic control on the </w:t>
      </w:r>
      <w:r w:rsidRPr="00455DFD">
        <w:t xml:space="preserve">outlet </w:t>
      </w:r>
      <w:r>
        <w:t xml:space="preserve">of </w:t>
      </w:r>
      <w:r w:rsidRPr="00455DFD">
        <w:t>bioretention systems</w:t>
      </w:r>
      <w:r>
        <w:t xml:space="preserve"> whenever practical </w:t>
      </w:r>
      <w:r w:rsidRPr="00455DFD">
        <w:t>rather than using media with lower infiltration rates for hydraulic control</w:t>
      </w:r>
      <w:r>
        <w:t>.  This practice</w:t>
      </w:r>
      <w:r w:rsidRPr="00455DFD">
        <w:t xml:space="preserve"> aid</w:t>
      </w:r>
      <w:r>
        <w:t>s</w:t>
      </w:r>
      <w:r w:rsidRPr="00455DFD">
        <w:t xml:space="preserve"> in avoiding clogging</w:t>
      </w:r>
      <w:r>
        <w:t xml:space="preserve"> and can improve uniformity of performance over the life of the facility</w:t>
      </w:r>
      <w:r w:rsidRPr="00455DFD">
        <w:t>.</w:t>
      </w:r>
    </w:p>
    <w:p w:rsidR="00C11350" w:rsidRPr="00455DFD" w:rsidRDefault="00C11350" w:rsidP="00853C9A">
      <w:pPr>
        <w:numPr>
          <w:ilvl w:val="1"/>
          <w:numId w:val="22"/>
        </w:numPr>
        <w:ind w:left="1325" w:hanging="605"/>
        <w:contextualSpacing/>
      </w:pPr>
      <w:r w:rsidRPr="00455DFD">
        <w:t xml:space="preserve">For bioretention systems, do not use geotextile fabrics between layers </w:t>
      </w:r>
      <w:r>
        <w:t xml:space="preserve">of media </w:t>
      </w:r>
      <w:r w:rsidRPr="00455DFD">
        <w:t>due to clogging issues; use progressively-graded aggregate layers to prevent migration of fines if necessary.</w:t>
      </w:r>
      <w:r>
        <w:t xml:space="preserve"> </w:t>
      </w:r>
    </w:p>
    <w:p w:rsidR="00C11350" w:rsidRPr="00455DFD" w:rsidRDefault="00C11350" w:rsidP="00853C9A">
      <w:pPr>
        <w:numPr>
          <w:ilvl w:val="1"/>
          <w:numId w:val="22"/>
        </w:numPr>
        <w:ind w:left="1325" w:hanging="605"/>
        <w:contextualSpacing/>
      </w:pPr>
      <w:r w:rsidRPr="00455DFD">
        <w:t>For bioretention systems limit ponding depths to 12 inches, unless system is isolated from public access</w:t>
      </w:r>
      <w:r>
        <w:t xml:space="preserve"> via fencing or equivalent</w:t>
      </w:r>
      <w:r w:rsidRPr="00455DFD">
        <w:t>, then ponding depths should be limited to 18 inches.</w:t>
      </w:r>
    </w:p>
    <w:p w:rsidR="00C11350" w:rsidRPr="00455DFD" w:rsidRDefault="00C11350" w:rsidP="00853C9A">
      <w:pPr>
        <w:numPr>
          <w:ilvl w:val="1"/>
          <w:numId w:val="22"/>
        </w:numPr>
        <w:ind w:left="1325" w:hanging="605"/>
        <w:contextualSpacing/>
      </w:pPr>
      <w:r>
        <w:t>B</w:t>
      </w:r>
      <w:r w:rsidRPr="00455DFD">
        <w:t>ioretention systems and dry extended detention basins</w:t>
      </w:r>
      <w:r>
        <w:t xml:space="preserve"> shall be designed to limit surface ponding to less than 96 hours for vector control per </w:t>
      </w:r>
      <w:hyperlink r:id="rId92" w:history="1">
        <w:r w:rsidRPr="00126DE5">
          <w:rPr>
            <w:rStyle w:val="Hyperlink"/>
            <w:rFonts w:cs="Arial"/>
            <w:b/>
            <w:color w:val="0070C0"/>
            <w:sz w:val="20"/>
            <w:szCs w:val="20"/>
          </w:rPr>
          <w:t>California Department of Health Guidelines</w:t>
        </w:r>
      </w:hyperlink>
      <w:r>
        <w:t xml:space="preserve">.  To provide a margin of safety, bioretention systems and extended detention basins should be designed to limit surface ponding to 72 hours. </w:t>
      </w:r>
      <w:r w:rsidR="007F1A72" w:rsidRPr="007F1A72">
        <w:t xml:space="preserve"> Subsurface ponding (in stone or gravel trenches) can create a vector hazard if the media has pore spaces that vectors can breed in.</w:t>
      </w:r>
    </w:p>
    <w:p w:rsidR="00C11350" w:rsidRDefault="00C11350" w:rsidP="00853C9A">
      <w:pPr>
        <w:numPr>
          <w:ilvl w:val="1"/>
          <w:numId w:val="22"/>
        </w:numPr>
        <w:ind w:left="1325" w:hanging="605"/>
        <w:contextualSpacing/>
      </w:pPr>
      <w:r w:rsidRPr="00455DFD">
        <w:t>For biotreatment BMPs that employ extended detention, design outlet structures to ensure appropriate drawdown times and patterns</w:t>
      </w:r>
      <w:r>
        <w:t xml:space="preserve"> and prevent floatables from leaving the facility</w:t>
      </w:r>
      <w:r w:rsidRPr="00455DFD">
        <w:t>; ensure that small storms receive appropriate extended detention times</w:t>
      </w:r>
      <w:r>
        <w:t xml:space="preserve">. A common rule of thumb is that the bottom half of the facility volume should draw down in two thirds of the total drawdown time. </w:t>
      </w:r>
    </w:p>
    <w:p w:rsidR="00C11350" w:rsidRPr="00455DFD" w:rsidRDefault="00C11350" w:rsidP="00853C9A">
      <w:pPr>
        <w:numPr>
          <w:ilvl w:val="1"/>
          <w:numId w:val="22"/>
        </w:numPr>
        <w:ind w:left="1325" w:hanging="605"/>
        <w:contextualSpacing/>
      </w:pPr>
      <w:r>
        <w:t>Outlet structures should be located and designed so that they are accessible for inspection and maintenance.</w:t>
      </w:r>
    </w:p>
    <w:p w:rsidR="00C11350" w:rsidRPr="00455DFD" w:rsidRDefault="00C11350" w:rsidP="00853C9A">
      <w:pPr>
        <w:numPr>
          <w:ilvl w:val="1"/>
          <w:numId w:val="22"/>
        </w:numPr>
        <w:ind w:left="1325" w:hanging="605"/>
        <w:contextualSpacing/>
      </w:pPr>
      <w:r w:rsidRPr="00455DFD">
        <w:t>For vegetated swales and filter strips, provide level spreaders and check dams where appropriate to promote even distribution of flow across the system.</w:t>
      </w:r>
    </w:p>
    <w:p w:rsidR="00D25D7A" w:rsidRPr="00455DFD" w:rsidRDefault="00C11350" w:rsidP="00853C9A">
      <w:pPr>
        <w:numPr>
          <w:ilvl w:val="1"/>
          <w:numId w:val="22"/>
        </w:numPr>
        <w:ind w:left="1325" w:hanging="605"/>
        <w:contextualSpacing/>
      </w:pPr>
      <w:r w:rsidRPr="00455DFD">
        <w:t>Design systems such that flows</w:t>
      </w:r>
      <w:r>
        <w:t xml:space="preserve"> above the BMP design intensity </w:t>
      </w:r>
      <w:r w:rsidRPr="00455DFD">
        <w:t xml:space="preserve">are </w:t>
      </w:r>
      <w:r>
        <w:t xml:space="preserve">provided a flow route that bypasses the BMP </w:t>
      </w:r>
      <w:r w:rsidRPr="00455DFD">
        <w:t xml:space="preserve">or can be passed through the BMP without </w:t>
      </w:r>
      <w:r>
        <w:t>entraining soils, media, or</w:t>
      </w:r>
      <w:r w:rsidRPr="00455DFD">
        <w:t xml:space="preserve"> captured </w:t>
      </w:r>
      <w:r>
        <w:t>pollutants</w:t>
      </w:r>
      <w:r w:rsidRPr="00455DFD">
        <w:t>.</w:t>
      </w:r>
    </w:p>
    <w:p w:rsidR="00D25D7A" w:rsidRPr="00455DFD" w:rsidRDefault="00D25D7A" w:rsidP="00853C9A">
      <w:pPr>
        <w:numPr>
          <w:ilvl w:val="0"/>
          <w:numId w:val="21"/>
        </w:numPr>
        <w:contextualSpacing/>
        <w:rPr>
          <w:b/>
        </w:rPr>
      </w:pPr>
      <w:r w:rsidRPr="00455DFD">
        <w:rPr>
          <w:b/>
        </w:rPr>
        <w:t>Biotreatment BMPs shall be subject to rigorous construction oversight, acceptance, and documentation process.</w:t>
      </w:r>
    </w:p>
    <w:p w:rsidR="00D25D7A" w:rsidRPr="00455DFD" w:rsidRDefault="00D25D7A" w:rsidP="00853C9A">
      <w:pPr>
        <w:numPr>
          <w:ilvl w:val="1"/>
          <w:numId w:val="22"/>
        </w:numPr>
        <w:ind w:left="1325" w:hanging="605"/>
        <w:contextualSpacing/>
      </w:pPr>
      <w:r w:rsidRPr="00455DFD">
        <w:t xml:space="preserve">Provide construction oversight </w:t>
      </w:r>
      <w:r w:rsidR="0069646E">
        <w:t>by trained professionals</w:t>
      </w:r>
      <w:r w:rsidR="00CF4F81">
        <w:t xml:space="preserve"> </w:t>
      </w:r>
      <w:r w:rsidRPr="00455DFD">
        <w:t>to ensure that the BMP is installed as designed.</w:t>
      </w:r>
    </w:p>
    <w:p w:rsidR="00D25D7A" w:rsidRPr="00455DFD" w:rsidRDefault="00D25D7A" w:rsidP="00853C9A">
      <w:pPr>
        <w:numPr>
          <w:ilvl w:val="1"/>
          <w:numId w:val="22"/>
        </w:numPr>
        <w:ind w:left="1325" w:hanging="605"/>
        <w:contextualSpacing/>
      </w:pPr>
      <w:r w:rsidRPr="00455DFD">
        <w:t xml:space="preserve">Consider conducting a flow test for bioretention systems to ensure they function </w:t>
      </w:r>
      <w:r w:rsidR="00CF4F81">
        <w:t>at the design level</w:t>
      </w:r>
      <w:r w:rsidRPr="00455DFD">
        <w:t>.</w:t>
      </w:r>
    </w:p>
    <w:p w:rsidR="00D25D7A" w:rsidRPr="00455DFD" w:rsidRDefault="00D25D7A" w:rsidP="00853C9A">
      <w:pPr>
        <w:numPr>
          <w:ilvl w:val="1"/>
          <w:numId w:val="22"/>
        </w:numPr>
        <w:ind w:left="1325" w:hanging="605"/>
        <w:contextualSpacing/>
      </w:pPr>
      <w:r w:rsidRPr="00455DFD">
        <w:t>Require the preparation of as-built drawings that clearly indicated design features of the BMP and inlet and outlet systems.</w:t>
      </w:r>
    </w:p>
    <w:p w:rsidR="00FE3A73" w:rsidRPr="00F27F12" w:rsidRDefault="00D25D7A" w:rsidP="00853C9A">
      <w:pPr>
        <w:numPr>
          <w:ilvl w:val="1"/>
          <w:numId w:val="22"/>
        </w:numPr>
        <w:ind w:left="1325" w:hanging="605"/>
        <w:contextualSpacing/>
      </w:pPr>
      <w:r w:rsidRPr="00455DFD">
        <w:t>Inspect BMPs after initial commissioning to ensure that they are functioning as intended.</w:t>
      </w:r>
      <w:r w:rsidR="00CF4F81">
        <w:t xml:space="preserve">  More frequent inspection during initial operation periods (i.e., fir</w:t>
      </w:r>
      <w:r w:rsidR="00C80D2F">
        <w:t xml:space="preserve">st </w:t>
      </w:r>
      <w:r w:rsidR="00CF4F81">
        <w:t>rainy season) can help to mitigate early problems and ensure design level performance.</w:t>
      </w:r>
    </w:p>
    <w:p w:rsidR="00C80D2F" w:rsidRPr="00C80D2F" w:rsidRDefault="00D25D7A" w:rsidP="00853C9A">
      <w:pPr>
        <w:pStyle w:val="Heading2"/>
      </w:pPr>
      <w:bookmarkStart w:id="723" w:name="_Toc285308193"/>
      <w:bookmarkStart w:id="724" w:name="_Toc285315776"/>
      <w:bookmarkStart w:id="725" w:name="_Toc285492493"/>
      <w:bookmarkStart w:id="726" w:name="_Toc288541114"/>
      <w:bookmarkStart w:id="727" w:name="_Toc293937170"/>
      <w:r w:rsidRPr="00DA4BC3">
        <w:t>Conceptual Biotreatment Operation Requirements</w:t>
      </w:r>
      <w:bookmarkEnd w:id="723"/>
      <w:bookmarkEnd w:id="724"/>
      <w:bookmarkEnd w:id="725"/>
      <w:bookmarkEnd w:id="726"/>
      <w:bookmarkEnd w:id="727"/>
    </w:p>
    <w:p w:rsidR="00D25D7A" w:rsidRPr="00455DFD" w:rsidRDefault="00D25D7A" w:rsidP="00853C9A">
      <w:pPr>
        <w:contextualSpacing/>
      </w:pPr>
      <w:r w:rsidRPr="00455DFD">
        <w:t>An operation and maintenance plan shall be developed for biotreatment BMPs that includes the following elements:</w:t>
      </w:r>
    </w:p>
    <w:p w:rsidR="00D25D7A" w:rsidRPr="00455DFD" w:rsidRDefault="00D25D7A" w:rsidP="00853C9A">
      <w:pPr>
        <w:numPr>
          <w:ilvl w:val="0"/>
          <w:numId w:val="21"/>
        </w:numPr>
        <w:contextualSpacing/>
        <w:rPr>
          <w:b/>
        </w:rPr>
      </w:pPr>
      <w:r w:rsidRPr="00455DFD">
        <w:rPr>
          <w:b/>
        </w:rPr>
        <w:t>Frequency and type of inspections,</w:t>
      </w:r>
    </w:p>
    <w:p w:rsidR="00D25D7A" w:rsidRPr="00455DFD" w:rsidRDefault="00D25D7A" w:rsidP="00853C9A">
      <w:pPr>
        <w:numPr>
          <w:ilvl w:val="0"/>
          <w:numId w:val="21"/>
        </w:numPr>
        <w:contextualSpacing/>
        <w:rPr>
          <w:b/>
        </w:rPr>
      </w:pPr>
      <w:r w:rsidRPr="00455DFD">
        <w:rPr>
          <w:b/>
        </w:rPr>
        <w:t>Observations during wet weather to visually observe whether the BMP is functioning as intended,</w:t>
      </w:r>
    </w:p>
    <w:p w:rsidR="00D25D7A" w:rsidRPr="00455DFD" w:rsidRDefault="00D25D7A" w:rsidP="00853C9A">
      <w:pPr>
        <w:numPr>
          <w:ilvl w:val="0"/>
          <w:numId w:val="21"/>
        </w:numPr>
        <w:contextualSpacing/>
        <w:rPr>
          <w:b/>
        </w:rPr>
      </w:pPr>
      <w:r w:rsidRPr="00455DFD">
        <w:rPr>
          <w:b/>
        </w:rPr>
        <w:t>List of parameters/checklists for identifying maintenance needs and triggering maintenance activities,</w:t>
      </w:r>
    </w:p>
    <w:p w:rsidR="00D25D7A" w:rsidRPr="00455DFD" w:rsidRDefault="00D25D7A" w:rsidP="00853C9A">
      <w:pPr>
        <w:numPr>
          <w:ilvl w:val="0"/>
          <w:numId w:val="21"/>
        </w:numPr>
        <w:contextualSpacing/>
        <w:rPr>
          <w:b/>
        </w:rPr>
      </w:pPr>
      <w:r w:rsidRPr="00455DFD">
        <w:rPr>
          <w:b/>
        </w:rPr>
        <w:t>Vegetation management plan, including routine maintenance, and irrigation, if necessary,</w:t>
      </w:r>
    </w:p>
    <w:p w:rsidR="00D25D7A" w:rsidRPr="00455DFD" w:rsidRDefault="00D25D7A" w:rsidP="00853C9A">
      <w:pPr>
        <w:numPr>
          <w:ilvl w:val="0"/>
          <w:numId w:val="21"/>
        </w:numPr>
        <w:contextualSpacing/>
        <w:rPr>
          <w:b/>
        </w:rPr>
      </w:pPr>
      <w:r w:rsidRPr="00455DFD">
        <w:rPr>
          <w:b/>
        </w:rPr>
        <w:t>Sediment, trash and debris removal, and</w:t>
      </w:r>
    </w:p>
    <w:p w:rsidR="00FE3A73" w:rsidRDefault="00D25D7A" w:rsidP="00853C9A">
      <w:pPr>
        <w:numPr>
          <w:ilvl w:val="0"/>
          <w:numId w:val="21"/>
        </w:numPr>
        <w:contextualSpacing/>
        <w:rPr>
          <w:b/>
        </w:rPr>
      </w:pPr>
      <w:r w:rsidRPr="00455DFD">
        <w:rPr>
          <w:b/>
        </w:rPr>
        <w:t>Routine and major (infrequent) maintenance activities.</w:t>
      </w:r>
    </w:p>
    <w:p w:rsidR="0014047B" w:rsidRDefault="0014047B" w:rsidP="00853C9A">
      <w:pPr>
        <w:spacing w:after="160"/>
        <w:ind w:left="720"/>
        <w:rPr>
          <w:b/>
        </w:rPr>
      </w:pPr>
    </w:p>
    <w:p w:rsidR="0014047B" w:rsidRDefault="00EC1E35" w:rsidP="00853C9A">
      <w:pPr>
        <w:spacing w:after="160"/>
        <w:rPr>
          <w:b/>
        </w:rPr>
      </w:pPr>
      <w:r>
        <w:rPr>
          <w:b/>
        </w:rPr>
        <w:t>Reclaimed water considerations</w:t>
      </w:r>
      <w:r w:rsidR="00B127AB">
        <w:rPr>
          <w:b/>
        </w:rPr>
        <w:t xml:space="preserve"> for operation of biotreatment BMPs</w:t>
      </w:r>
      <w:r>
        <w:rPr>
          <w:b/>
        </w:rPr>
        <w:t xml:space="preserve">:  </w:t>
      </w:r>
    </w:p>
    <w:p w:rsidR="0014047B" w:rsidRDefault="00616820" w:rsidP="00853C9A">
      <w:pPr>
        <w:spacing w:after="160"/>
      </w:pPr>
      <w:r w:rsidRPr="00616820">
        <w:t>If the project utilizes reclaimed water</w:t>
      </w:r>
      <w:r w:rsidR="00B127AB">
        <w:t xml:space="preserve"> for irrigation, the project is required to comply with all waste discharge requirements and water provider use requirements applicable to the project.  It is the responsibility of the project owner to ensure that operation of the project complies with these requirements. It is the responsibility of the water provider to ensure that requirements </w:t>
      </w:r>
      <w:r w:rsidR="007F1A72">
        <w:t xml:space="preserve">associated with the use of reclaimed water </w:t>
      </w:r>
      <w:r w:rsidR="00B127AB">
        <w:t xml:space="preserve">result in </w:t>
      </w:r>
      <w:r w:rsidR="007F1A72">
        <w:t xml:space="preserve">BMP </w:t>
      </w:r>
      <w:r w:rsidR="00B127AB">
        <w:t>operations that are protective of receiving water quality.</w:t>
      </w:r>
    </w:p>
    <w:p w:rsidR="00C80D2F" w:rsidRPr="00C80D2F" w:rsidRDefault="00D25D7A" w:rsidP="00853C9A">
      <w:pPr>
        <w:pStyle w:val="Heading2"/>
      </w:pPr>
      <w:bookmarkStart w:id="728" w:name="_Toc285308194"/>
      <w:bookmarkStart w:id="729" w:name="_Toc285315777"/>
      <w:bookmarkStart w:id="730" w:name="_Toc285492494"/>
      <w:bookmarkStart w:id="731" w:name="_Toc288541115"/>
      <w:bookmarkStart w:id="732" w:name="_Toc293937171"/>
      <w:r w:rsidRPr="00DA4BC3">
        <w:t>Conceptual Biotreatment Maintenance Requirements</w:t>
      </w:r>
      <w:bookmarkEnd w:id="728"/>
      <w:bookmarkEnd w:id="729"/>
      <w:bookmarkEnd w:id="730"/>
      <w:bookmarkEnd w:id="731"/>
      <w:bookmarkEnd w:id="732"/>
    </w:p>
    <w:p w:rsidR="00D25D7A" w:rsidRPr="00455DFD" w:rsidRDefault="00D25D7A" w:rsidP="00853C9A">
      <w:pPr>
        <w:spacing w:after="160"/>
      </w:pPr>
      <w:r w:rsidRPr="00455DFD">
        <w:t>Biotreatment maintenance requirements</w:t>
      </w:r>
      <w:r w:rsidR="005874F2">
        <w:t xml:space="preserve"> contained in the Project O&amp;M Plan</w:t>
      </w:r>
      <w:r w:rsidRPr="00455DFD">
        <w:t xml:space="preserve"> shall be consistent with the following principles</w:t>
      </w:r>
      <w:r>
        <w:t>:</w:t>
      </w:r>
    </w:p>
    <w:p w:rsidR="00D25D7A" w:rsidRPr="00455DFD" w:rsidRDefault="00D25D7A" w:rsidP="00853C9A">
      <w:pPr>
        <w:numPr>
          <w:ilvl w:val="0"/>
          <w:numId w:val="21"/>
        </w:numPr>
        <w:contextualSpacing/>
        <w:rPr>
          <w:b/>
        </w:rPr>
      </w:pPr>
      <w:r w:rsidRPr="00455DFD">
        <w:rPr>
          <w:b/>
        </w:rPr>
        <w:t>Routine maintenance shall be provided to ensure consistently high performance and extend facility life.</w:t>
      </w:r>
    </w:p>
    <w:p w:rsidR="00D25D7A" w:rsidRPr="00455DFD" w:rsidRDefault="00D25D7A" w:rsidP="00853C9A">
      <w:pPr>
        <w:numPr>
          <w:ilvl w:val="1"/>
          <w:numId w:val="22"/>
        </w:numPr>
        <w:ind w:left="1325" w:hanging="605"/>
        <w:contextualSpacing/>
      </w:pPr>
      <w:r w:rsidRPr="00455DFD">
        <w:t xml:space="preserve">Maintain vegetation and media to perpetuate a robust vegetative and microbial community (thin/trim vegetation, replace spent media and mulch). </w:t>
      </w:r>
    </w:p>
    <w:p w:rsidR="00D25D7A" w:rsidRPr="00455DFD" w:rsidRDefault="00D25D7A" w:rsidP="00853C9A">
      <w:pPr>
        <w:numPr>
          <w:ilvl w:val="1"/>
          <w:numId w:val="22"/>
        </w:numPr>
        <w:ind w:left="1325" w:hanging="605"/>
        <w:contextualSpacing/>
      </w:pPr>
      <w:r w:rsidRPr="00455DFD">
        <w:t xml:space="preserve">Periodically remove dead vegetative biomass to prevent export of nutrients or clogging of the system. </w:t>
      </w:r>
    </w:p>
    <w:p w:rsidR="00D25D7A" w:rsidRPr="00455DFD" w:rsidRDefault="00D25D7A" w:rsidP="00853C9A">
      <w:pPr>
        <w:numPr>
          <w:ilvl w:val="1"/>
          <w:numId w:val="22"/>
        </w:numPr>
        <w:ind w:left="1325" w:hanging="605"/>
        <w:contextualSpacing/>
      </w:pPr>
      <w:r w:rsidRPr="00455DFD">
        <w:t>Remove accumulated sediment before it significantly interferes with system function.</w:t>
      </w:r>
    </w:p>
    <w:p w:rsidR="00D25D7A" w:rsidRPr="00455DFD" w:rsidRDefault="00D25D7A" w:rsidP="00853C9A">
      <w:pPr>
        <w:numPr>
          <w:ilvl w:val="1"/>
          <w:numId w:val="22"/>
        </w:numPr>
        <w:ind w:left="1325" w:hanging="605"/>
        <w:contextualSpacing/>
      </w:pPr>
      <w:r w:rsidRPr="00455DFD">
        <w:t>Where filtration/infiltration is employed, conduct maintenance to prevent surface clogging (surface scarring, raking, mulch replacement, etc.).</w:t>
      </w:r>
    </w:p>
    <w:p w:rsidR="00D25D7A" w:rsidRPr="00455DFD" w:rsidRDefault="00D25D7A" w:rsidP="00853C9A">
      <w:pPr>
        <w:numPr>
          <w:ilvl w:val="1"/>
          <w:numId w:val="22"/>
        </w:numPr>
        <w:ind w:left="1325" w:hanging="605"/>
        <w:contextualSpacing/>
      </w:pPr>
      <w:r w:rsidRPr="00455DFD">
        <w:t>Add energy dissipation and scour-protection as required based on facility inspection.</w:t>
      </w:r>
    </w:p>
    <w:p w:rsidR="00D25D7A" w:rsidRPr="00455DFD" w:rsidRDefault="00D25D7A" w:rsidP="00853C9A">
      <w:pPr>
        <w:numPr>
          <w:ilvl w:val="1"/>
          <w:numId w:val="22"/>
        </w:numPr>
        <w:ind w:left="1325" w:hanging="605"/>
        <w:contextualSpacing/>
      </w:pPr>
      <w:r w:rsidRPr="00455DFD">
        <w:t xml:space="preserve">Routinely remove accumulated sediment at the inlet and outlet and trash and debris from the entire BMP. </w:t>
      </w:r>
    </w:p>
    <w:p w:rsidR="00D25D7A" w:rsidRPr="00455DFD" w:rsidRDefault="00D25D7A" w:rsidP="00853C9A">
      <w:pPr>
        <w:numPr>
          <w:ilvl w:val="0"/>
          <w:numId w:val="21"/>
        </w:numPr>
        <w:contextualSpacing/>
        <w:rPr>
          <w:b/>
        </w:rPr>
      </w:pPr>
      <w:r w:rsidRPr="00455DFD">
        <w:rPr>
          <w:b/>
        </w:rPr>
        <w:t>Major maintenance shall be provided when the performance of the facility declines significantly and cannot be restored through routine maintenance.</w:t>
      </w:r>
    </w:p>
    <w:p w:rsidR="00D25D7A" w:rsidRPr="00455DFD" w:rsidRDefault="00D25D7A" w:rsidP="00853C9A">
      <w:pPr>
        <w:numPr>
          <w:ilvl w:val="1"/>
          <w:numId w:val="22"/>
        </w:numPr>
        <w:ind w:left="1325" w:hanging="605"/>
        <w:contextualSpacing/>
      </w:pPr>
      <w:r w:rsidRPr="00455DFD">
        <w:t>Replace media / planting soils as triggered by reduction in filtration/infiltration rates or decline in health of biological processes.</w:t>
      </w:r>
    </w:p>
    <w:p w:rsidR="00D25D7A" w:rsidRPr="00455DFD" w:rsidRDefault="00D25D7A" w:rsidP="00853C9A">
      <w:pPr>
        <w:numPr>
          <w:ilvl w:val="1"/>
          <w:numId w:val="22"/>
        </w:numPr>
        <w:ind w:left="1325" w:hanging="605"/>
        <w:contextualSpacing/>
      </w:pPr>
      <w:r w:rsidRPr="00455DFD">
        <w:t>Provide major sediment removal to restore volumetric capacity of basin-type BMPs.</w:t>
      </w:r>
    </w:p>
    <w:p w:rsidR="00B960C8" w:rsidRDefault="00D25D7A" w:rsidP="00853C9A">
      <w:pPr>
        <w:numPr>
          <w:ilvl w:val="1"/>
          <w:numId w:val="22"/>
        </w:numPr>
        <w:ind w:left="1325" w:hanging="605"/>
        <w:contextualSpacing/>
      </w:pPr>
      <w:r w:rsidRPr="00455DFD">
        <w:t>Repair or modify inlets/outlets to restore original function or enhance function based on observations of performance.</w:t>
      </w:r>
    </w:p>
    <w:p w:rsidR="009E1CFF" w:rsidRDefault="009E1CFF" w:rsidP="00853C9A">
      <w:pPr>
        <w:ind w:left="1325"/>
        <w:contextualSpacing/>
      </w:pPr>
    </w:p>
    <w:p w:rsidR="0014047B" w:rsidRDefault="00B127AB" w:rsidP="00853C9A">
      <w:pPr>
        <w:spacing w:after="160"/>
      </w:pPr>
      <w:r>
        <w:t>Detailed descriptions of BMP maintenance activities are provided in:</w:t>
      </w:r>
    </w:p>
    <w:p w:rsidR="0014047B" w:rsidRPr="0029208C" w:rsidRDefault="00616820" w:rsidP="00853C9A">
      <w:pPr>
        <w:pStyle w:val="FactsheetBullets"/>
        <w:numPr>
          <w:ilvl w:val="0"/>
          <w:numId w:val="1"/>
        </w:numPr>
        <w:spacing w:after="160" w:line="276" w:lineRule="auto"/>
      </w:pPr>
      <w:r w:rsidRPr="0029208C">
        <w:t xml:space="preserve">Los Angeles County Stormwater BMP Operations and Maintenance Manual, Chapter 5: </w:t>
      </w:r>
      <w:hyperlink r:id="rId93" w:history="1">
        <w:r w:rsidRPr="00126DE5">
          <w:rPr>
            <w:rStyle w:val="Hyperlink"/>
            <w:rFonts w:ascii="Book Antiqua" w:hAnsi="Book Antiqua"/>
            <w:b/>
            <w:color w:val="0070C0"/>
          </w:rPr>
          <w:t>http://dpw.lacounty.gov/DES/design_manuals/StormwaterBMPDesignandMaintenance.pdf</w:t>
        </w:r>
      </w:hyperlink>
    </w:p>
    <w:p w:rsidR="00B127AB" w:rsidRDefault="00B127AB" w:rsidP="00853C9A">
      <w:pPr>
        <w:spacing w:after="160"/>
        <w:ind w:left="1325"/>
      </w:pPr>
    </w:p>
    <w:p w:rsidR="00D25D7A" w:rsidRDefault="00D25D7A" w:rsidP="00014A1C">
      <w:pPr>
        <w:spacing w:after="160" w:line="240" w:lineRule="auto"/>
        <w:ind w:left="1325"/>
        <w:sectPr w:rsidR="00D25D7A" w:rsidSect="001958AC">
          <w:pgSz w:w="12240" w:h="15840" w:code="1"/>
          <w:pgMar w:top="1440" w:right="1440" w:bottom="1440" w:left="1440" w:header="720" w:footer="480" w:gutter="0"/>
          <w:pgNumType w:start="1" w:chapStyle="1"/>
          <w:cols w:space="720"/>
          <w:docGrid w:linePitch="360"/>
        </w:sectPr>
      </w:pPr>
    </w:p>
    <w:p w:rsidR="0013104B" w:rsidRDefault="0013104B" w:rsidP="00A52883">
      <w:pPr>
        <w:pStyle w:val="Heading1"/>
      </w:pPr>
      <w:bookmarkStart w:id="733" w:name="_Technical_Basis_for_1"/>
      <w:bookmarkStart w:id="734" w:name="_Ref285280185"/>
      <w:bookmarkStart w:id="735" w:name="_Toc285308195"/>
      <w:bookmarkStart w:id="736" w:name="_Toc285315778"/>
      <w:bookmarkStart w:id="737" w:name="_Toc285315902"/>
      <w:bookmarkStart w:id="738" w:name="_Toc285492495"/>
      <w:bookmarkEnd w:id="733"/>
      <w:r>
        <w:t xml:space="preserve"> </w:t>
      </w:r>
      <w:bookmarkStart w:id="739" w:name="_Toc288541116"/>
      <w:bookmarkStart w:id="740" w:name="_Toc293937172"/>
      <w:r w:rsidR="004C6431">
        <w:rPr>
          <w:caps w:val="0"/>
        </w:rPr>
        <w:t>THRESHOLD INCREMENTAL BENEFIT CRITERION</w:t>
      </w:r>
      <w:bookmarkEnd w:id="734"/>
      <w:bookmarkEnd w:id="735"/>
      <w:bookmarkEnd w:id="736"/>
      <w:bookmarkEnd w:id="737"/>
      <w:bookmarkEnd w:id="738"/>
      <w:bookmarkEnd w:id="739"/>
      <w:bookmarkEnd w:id="740"/>
    </w:p>
    <w:p w:rsidR="00BF13D5" w:rsidRDefault="00BF13D5" w:rsidP="00A52883">
      <w:pPr>
        <w:pStyle w:val="Heading2"/>
      </w:pPr>
      <w:bookmarkStart w:id="741" w:name="_Toc288541117"/>
      <w:bookmarkStart w:id="742" w:name="_Toc293937173"/>
      <w:bookmarkStart w:id="743" w:name="_Toc285308196"/>
      <w:bookmarkStart w:id="744" w:name="_Toc285315779"/>
      <w:bookmarkStart w:id="745" w:name="_Toc285492496"/>
      <w:bookmarkStart w:id="746" w:name="_Toc285580133"/>
      <w:r>
        <w:t>Intended Application</w:t>
      </w:r>
      <w:bookmarkEnd w:id="741"/>
      <w:bookmarkEnd w:id="742"/>
    </w:p>
    <w:p w:rsidR="00DA3704" w:rsidRDefault="00DA3704" w:rsidP="00BF13D5">
      <w:r w:rsidRPr="00DA3704">
        <w:t>The purpose of this Criterion is to help ensure that the most effective retention and biotreatment BMPs are selected for use.  The Permits require that a design volume be included for retaining stormwater on site (if feasible).  As the permit makes no mention of recovering this storage to be able to manage subsequent runoff events, it is possible that one could select a LID retain on site BMP that would be relatively ineffective due to low drawdown rates (for example, insufficient demand for irrigation use of harvested water) and resulting excessive overflows or bypasses of LID systems.  This criterion is intended to ensure that harvest and use systems would result in equal or better performance than a biotreatment system which has been designed to maximize infiltration and evapotranspiration as required by this Model WQMP and TGD.  This criterion in no way restricts one from including LID features that do not meet this criteria, but in that case the project proponent would need to include additional LID features to meet the overall requirement to retain on site, and if infeasible, biotreat on-site, 80 percent of average annual stormwater runoff volume.</w:t>
      </w:r>
    </w:p>
    <w:p w:rsidR="00BF13D5" w:rsidRDefault="00BF13D5" w:rsidP="00BF13D5">
      <w:r>
        <w:t>The following criterion is intended to be applied as part of determining the maximum feasible retention volume as part of the BMP selection and design process:</w:t>
      </w:r>
    </w:p>
    <w:p w:rsidR="00BF13D5" w:rsidRDefault="00BF13D5" w:rsidP="00BF13D5">
      <w:r>
        <w:t xml:space="preserve">If a hypothetical BMP is designed to achieve the maximum feasible retention per the criteria contained </w:t>
      </w:r>
      <w:r w:rsidR="00524D76" w:rsidRPr="00524D76">
        <w:rPr>
          <w:b/>
        </w:rPr>
        <w:t>Appendix</w:t>
      </w:r>
      <w:r>
        <w:t xml:space="preserve"> </w:t>
      </w:r>
      <w:r w:rsidR="00126F3D" w:rsidRPr="00126DE5">
        <w:rPr>
          <w:b/>
          <w:color w:val="0070C0"/>
          <w:sz w:val="20"/>
        </w:rPr>
        <w:fldChar w:fldCharType="begin"/>
      </w:r>
      <w:r w:rsidRPr="00126DE5">
        <w:rPr>
          <w:b/>
          <w:color w:val="0070C0"/>
          <w:sz w:val="20"/>
        </w:rPr>
        <w:instrText xml:space="preserve"> REF _Ref285286088 \r \h </w:instrText>
      </w:r>
      <w:r w:rsidR="00126F3D" w:rsidRPr="00126DE5">
        <w:rPr>
          <w:b/>
          <w:color w:val="0070C0"/>
          <w:sz w:val="20"/>
        </w:rPr>
      </w:r>
      <w:r w:rsidR="00126F3D" w:rsidRPr="00126DE5">
        <w:rPr>
          <w:b/>
          <w:color w:val="0070C0"/>
          <w:sz w:val="20"/>
        </w:rPr>
        <w:fldChar w:fldCharType="separate"/>
      </w:r>
      <w:r w:rsidR="00126DE5" w:rsidRPr="00126DE5">
        <w:rPr>
          <w:b/>
          <w:color w:val="0070C0"/>
          <w:sz w:val="20"/>
        </w:rPr>
        <w:t>XI.3</w:t>
      </w:r>
      <w:r w:rsidR="00126F3D" w:rsidRPr="00126DE5">
        <w:rPr>
          <w:b/>
          <w:color w:val="0070C0"/>
          <w:sz w:val="20"/>
        </w:rPr>
        <w:fldChar w:fldCharType="end"/>
      </w:r>
      <w:r>
        <w:t xml:space="preserve">, and, meeting these criteria, the BMP would achieve less than 40 percent capture of average annual runoff, then it is not mandatory to use the given BMP in order to demonstrate that the system has been designed to achieve the maximum feasible retention of the </w:t>
      </w:r>
      <w:r w:rsidR="003C7091">
        <w:t>DCV</w:t>
      </w:r>
      <w:r>
        <w:t>.</w:t>
      </w:r>
    </w:p>
    <w:p w:rsidR="00BF13D5" w:rsidRDefault="00BF13D5" w:rsidP="00BF13D5">
      <w:r>
        <w:t xml:space="preserve">This criterion does not suspend the requirements to (1) consider all applicable HSCs that are designed to provide retention, (2) conduct a rigorous feasibility analysis of all other retention BMPs before moving to biotreatment, and (3) to design biotreatment BMPs, if used, to achieve the maximum feasible infiltration and ET. As a result, the application of this criterion does not result in an “all or nothing” scenario for retention; rather it is intended to provide an objective basis for identifying BMPs for which </w:t>
      </w:r>
      <w:r w:rsidRPr="00014EEF">
        <w:rPr>
          <w:i/>
        </w:rPr>
        <w:t>costs</w:t>
      </w:r>
      <w:r w:rsidRPr="00510BDA">
        <w:t xml:space="preserve"> (due to resulting multiple BMPs being required would)</w:t>
      </w:r>
      <w:r>
        <w:rPr>
          <w:i/>
        </w:rPr>
        <w:t xml:space="preserve"> </w:t>
      </w:r>
      <w:r w:rsidRPr="00014EEF">
        <w:rPr>
          <w:i/>
        </w:rPr>
        <w:t>greatly outweigh pollution control benefits</w:t>
      </w:r>
      <w:r>
        <w:t xml:space="preserve">. In this case, the criterion allows the project to distribute the </w:t>
      </w:r>
      <w:r w:rsidR="003C7091">
        <w:t>DCV</w:t>
      </w:r>
      <w:r>
        <w:t xml:space="preserve"> to more cost-effective BMPs and still achieve retention with HSCs and biotreatment BMPs.</w:t>
      </w:r>
    </w:p>
    <w:p w:rsidR="00BF13D5" w:rsidRDefault="00BF13D5" w:rsidP="00BF13D5">
      <w:r>
        <w:t xml:space="preserve">Based on the analysis described in </w:t>
      </w:r>
      <w:r w:rsidR="00524D76" w:rsidRPr="00524D76">
        <w:rPr>
          <w:b/>
        </w:rPr>
        <w:t>Appendix</w:t>
      </w:r>
      <w:r>
        <w:t xml:space="preserve"> </w:t>
      </w:r>
      <w:r w:rsidR="00126F3D" w:rsidRPr="00126DE5">
        <w:rPr>
          <w:b/>
          <w:color w:val="0070C0"/>
          <w:sz w:val="20"/>
        </w:rPr>
        <w:fldChar w:fldCharType="begin"/>
      </w:r>
      <w:r w:rsidRPr="00126DE5">
        <w:rPr>
          <w:b/>
          <w:color w:val="0070C0"/>
          <w:sz w:val="20"/>
        </w:rPr>
        <w:instrText xml:space="preserve"> REF _Ref287638368 \r \h </w:instrText>
      </w:r>
      <w:r w:rsidR="00126F3D" w:rsidRPr="00126DE5">
        <w:rPr>
          <w:b/>
          <w:color w:val="0070C0"/>
          <w:sz w:val="20"/>
        </w:rPr>
      </w:r>
      <w:r w:rsidR="00126F3D" w:rsidRPr="00126DE5">
        <w:rPr>
          <w:b/>
          <w:color w:val="0070C0"/>
          <w:sz w:val="20"/>
        </w:rPr>
        <w:fldChar w:fldCharType="separate"/>
      </w:r>
      <w:r w:rsidR="00126DE5" w:rsidRPr="00126DE5">
        <w:rPr>
          <w:b/>
          <w:color w:val="0070C0"/>
          <w:sz w:val="20"/>
        </w:rPr>
        <w:t>III.6</w:t>
      </w:r>
      <w:r w:rsidR="00126F3D" w:rsidRPr="00126DE5">
        <w:rPr>
          <w:b/>
          <w:color w:val="0070C0"/>
          <w:sz w:val="20"/>
        </w:rPr>
        <w:fldChar w:fldCharType="end"/>
      </w:r>
      <w:r>
        <w:t>, a BMP designed for the full DCV will exceed 40 percent capture (and therefore be a mandatory consideration) if the storage can be recovered in 720 hours (30 days) or faster. Therefore this criterion would only apply in extremely limited cases where the DCV cannot be drained in less than 30 days.  Generally, it will only apply to harvest and use systems where demand is extremely limited to manage the DCV.</w:t>
      </w:r>
    </w:p>
    <w:p w:rsidR="00BF13D5" w:rsidRDefault="00BF13D5" w:rsidP="00BF13D5">
      <w:r>
        <w:t xml:space="preserve">This criterion does not apply to </w:t>
      </w:r>
      <w:r w:rsidR="003C7091">
        <w:t>HSC</w:t>
      </w:r>
      <w:r>
        <w:t xml:space="preserve"> (e.g., downspout disconnection, rain barrels), which are relatively inexpensive compared to engineered harvest and use systems and are commonly designed with the intent of providing relatively small incremental benefit to contribute to an overall effective system. </w:t>
      </w:r>
      <w:r w:rsidR="003C7091">
        <w:t>HSC</w:t>
      </w:r>
      <w:r>
        <w:t>s must be considered wherever there are opportunities for their use.</w:t>
      </w:r>
    </w:p>
    <w:p w:rsidR="00BF13D5" w:rsidRDefault="00BF13D5" w:rsidP="00A52883">
      <w:pPr>
        <w:pStyle w:val="Heading2"/>
      </w:pPr>
      <w:bookmarkStart w:id="747" w:name="_Toc288541118"/>
      <w:bookmarkStart w:id="748" w:name="_Toc293937174"/>
      <w:r>
        <w:t>Regulatory Basis</w:t>
      </w:r>
      <w:bookmarkEnd w:id="747"/>
      <w:bookmarkEnd w:id="748"/>
    </w:p>
    <w:bookmarkEnd w:id="743"/>
    <w:bookmarkEnd w:id="744"/>
    <w:bookmarkEnd w:id="745"/>
    <w:bookmarkEnd w:id="746"/>
    <w:p w:rsidR="00BF13D5" w:rsidRDefault="00BF13D5" w:rsidP="00BF13D5">
      <w:pPr>
        <w:pStyle w:val="ReportBodyText"/>
        <w:spacing w:after="240" w:line="280" w:lineRule="exact"/>
      </w:pPr>
      <w:r>
        <w:t xml:space="preserve">The </w:t>
      </w:r>
      <w:r w:rsidRPr="00311A64">
        <w:t>Santa Ana Regional Water Quality Control Board MS4 Permit (</w:t>
      </w:r>
      <w:hyperlink r:id="rId94" w:history="1">
        <w:r w:rsidRPr="00126DE5">
          <w:rPr>
            <w:rStyle w:val="Hyperlink"/>
            <w:rFonts w:cs="Arial"/>
            <w:b/>
            <w:color w:val="0070C0"/>
            <w:sz w:val="20"/>
            <w:szCs w:val="20"/>
          </w:rPr>
          <w:t>Order R8-2009-0030</w:t>
        </w:r>
      </w:hyperlink>
      <w:r w:rsidRPr="00311A64">
        <w:t xml:space="preserve">) (“North County Permit”) </w:t>
      </w:r>
      <w:r>
        <w:t xml:space="preserve">and the </w:t>
      </w:r>
      <w:r w:rsidRPr="00311A64">
        <w:t xml:space="preserve">San Diego Regional Water Quality Control Board MS4 Permit </w:t>
      </w:r>
      <w:r>
        <w:t>(</w:t>
      </w:r>
      <w:hyperlink r:id="rId95" w:history="1">
        <w:r w:rsidRPr="00126DE5">
          <w:rPr>
            <w:rStyle w:val="Hyperlink"/>
            <w:rFonts w:cs="Arial"/>
            <w:b/>
            <w:color w:val="0070C0"/>
            <w:sz w:val="20"/>
            <w:szCs w:val="20"/>
          </w:rPr>
          <w:t>Order R9-2009-0002</w:t>
        </w:r>
      </w:hyperlink>
      <w:r w:rsidRPr="00311A64">
        <w:t>) (“South County Permit)</w:t>
      </w:r>
      <w:r>
        <w:t xml:space="preserve"> have</w:t>
      </w:r>
      <w:r w:rsidRPr="00311A64">
        <w:t xml:space="preserve"> been adopted with specific requirements for new development and significant redevelopment stormwater control.</w:t>
      </w:r>
      <w:r>
        <w:t xml:space="preserve"> Both permits are based on the </w:t>
      </w:r>
      <w:bookmarkStart w:id="749" w:name="_Ref263852841"/>
      <w:r w:rsidR="00990A72">
        <w:t>MEP</w:t>
      </w:r>
      <w:r>
        <w:rPr>
          <w:rStyle w:val="FootnoteReference"/>
        </w:rPr>
        <w:footnoteReference w:id="19"/>
      </w:r>
      <w:bookmarkEnd w:id="749"/>
      <w:r w:rsidR="00990A72">
        <w:t xml:space="preserve"> </w:t>
      </w:r>
      <w:r>
        <w:t xml:space="preserve">standard included in the 1987 amendments of the Clean Water Act. </w:t>
      </w:r>
    </w:p>
    <w:p w:rsidR="00BF13D5" w:rsidRDefault="00BF13D5" w:rsidP="00BF13D5">
      <w:r>
        <w:t>The permits require “retention” (meaning no surface or piped discharges) of stormwater on site as the first alternative,</w:t>
      </w:r>
      <w:r w:rsidR="00F25A41">
        <w:t xml:space="preserve"> LID BMPs,</w:t>
      </w:r>
      <w:r>
        <w:t xml:space="preserve"> and allow biotreatment BMPs to be considered only after infiltration, harvest and use, and </w:t>
      </w:r>
      <w:r w:rsidR="00FD5274">
        <w:t>ET</w:t>
      </w:r>
      <w:r>
        <w:t xml:space="preserve"> cannot be feasibly implemented to address the entire </w:t>
      </w:r>
      <w:r w:rsidR="003C7091">
        <w:t>DCV</w:t>
      </w:r>
      <w:r>
        <w:t>. The South County Permit requires a “</w:t>
      </w:r>
      <w:r w:rsidRPr="00F26DF2">
        <w:rPr>
          <w:i/>
        </w:rPr>
        <w:t>technical feasibility analysis including cost benefit analysis</w:t>
      </w:r>
      <w:r>
        <w:t>” (</w:t>
      </w:r>
      <w:proofErr w:type="gramStart"/>
      <w:r>
        <w:t>F.1.d(</w:t>
      </w:r>
      <w:proofErr w:type="gramEnd"/>
      <w:r>
        <w:t xml:space="preserve">7)(b)). The North County Permit, by way of its description of the MEP standard (see Footnote </w:t>
      </w:r>
      <w:r w:rsidR="00126F3D" w:rsidRPr="00126DE5">
        <w:rPr>
          <w:rFonts w:cs="Arial"/>
          <w:b/>
          <w:color w:val="0070C0"/>
          <w:sz w:val="20"/>
          <w:szCs w:val="20"/>
        </w:rPr>
        <w:fldChar w:fldCharType="begin"/>
      </w:r>
      <w:r w:rsidRPr="00126DE5">
        <w:rPr>
          <w:rFonts w:cs="Arial"/>
          <w:b/>
          <w:color w:val="0070C0"/>
          <w:sz w:val="20"/>
          <w:szCs w:val="20"/>
        </w:rPr>
        <w:instrText xml:space="preserve"> NOTEREF _Ref263852841 \h </w:instrText>
      </w:r>
      <w:r w:rsidR="00126F3D" w:rsidRPr="00126DE5">
        <w:rPr>
          <w:rFonts w:cs="Arial"/>
          <w:b/>
          <w:color w:val="0070C0"/>
          <w:sz w:val="20"/>
          <w:szCs w:val="20"/>
        </w:rPr>
      </w:r>
      <w:r w:rsidR="00126F3D" w:rsidRPr="00126DE5">
        <w:rPr>
          <w:rFonts w:cs="Arial"/>
          <w:b/>
          <w:color w:val="0070C0"/>
          <w:sz w:val="20"/>
          <w:szCs w:val="20"/>
        </w:rPr>
        <w:fldChar w:fldCharType="separate"/>
      </w:r>
      <w:r w:rsidR="00126DE5" w:rsidRPr="00126DE5">
        <w:rPr>
          <w:rFonts w:cs="Arial"/>
          <w:b/>
          <w:color w:val="0070C0"/>
          <w:sz w:val="20"/>
          <w:szCs w:val="20"/>
        </w:rPr>
        <w:t>19</w:t>
      </w:r>
      <w:r w:rsidR="00126F3D" w:rsidRPr="00126DE5">
        <w:rPr>
          <w:rFonts w:cs="Arial"/>
          <w:b/>
          <w:color w:val="0070C0"/>
          <w:sz w:val="20"/>
          <w:szCs w:val="20"/>
        </w:rPr>
        <w:fldChar w:fldCharType="end"/>
      </w:r>
      <w:r>
        <w:t>), requires the consideration of multiple interrelated factors in assessing feasibility. The North Orange County</w:t>
      </w:r>
      <w:r w:rsidR="00344DD2">
        <w:t xml:space="preserve"> Permit</w:t>
      </w:r>
      <w:r>
        <w:t xml:space="preserve"> also allows waivers of BMP requirements to be granted “...</w:t>
      </w:r>
      <w:r w:rsidRPr="00A72577">
        <w:rPr>
          <w:i/>
        </w:rPr>
        <w:t>if the cost of BMP implementation greatly outweighs the pollution control benefits</w:t>
      </w:r>
      <w:r>
        <w:t xml:space="preserve">...” (XII.E.1). Therefore, there is sound regulatory basis for the consideration of cost-effectiveness, societal factors, and </w:t>
      </w:r>
      <w:r w:rsidRPr="00A72577">
        <w:t>effects on</w:t>
      </w:r>
      <w:r w:rsidRPr="00C101F5">
        <w:t xml:space="preserve"> other media</w:t>
      </w:r>
      <w:r>
        <w:t xml:space="preserve">, in addition to physical/technical factors, in the evaluation of feasibility of retention on-site. </w:t>
      </w:r>
    </w:p>
    <w:p w:rsidR="00BF13D5" w:rsidRDefault="00BF13D5" w:rsidP="00BF13D5">
      <w:r>
        <w:t xml:space="preserve">For example, it would nearly always be physically feasible to install a tank to store the </w:t>
      </w:r>
      <w:r w:rsidR="003C7091">
        <w:t>DCV</w:t>
      </w:r>
      <w:r>
        <w:t xml:space="preserve"> for a project for subsequent use of captured water.  However, unless sufficient demand for the captured water exists to empty the tank relatively quickly between storm events, the tank would be relatively ineffective for stormwater management.  If the tank was on-line, then it would in effect behave primarily as a wet-vault, whose performance is typically much less than biotreatment.  If it was off-line (tank is bypassed when full), then there would be significant untreated flows. </w:t>
      </w:r>
    </w:p>
    <w:p w:rsidR="00BF13D5" w:rsidRDefault="00BF13D5" w:rsidP="00BF13D5">
      <w:r>
        <w:t xml:space="preserve">While a system with a low demand would technically fulfill the volumetric LID performance criteria contained in the permits (South County Permit at </w:t>
      </w:r>
      <w:proofErr w:type="gramStart"/>
      <w:r>
        <w:t>F.1.d(</w:t>
      </w:r>
      <w:proofErr w:type="gramEnd"/>
      <w:r>
        <w:t>4)(d)(</w:t>
      </w:r>
      <w:proofErr w:type="spellStart"/>
      <w:r>
        <w:t>i</w:t>
      </w:r>
      <w:proofErr w:type="spellEnd"/>
      <w:r>
        <w:t xml:space="preserve">), and North County Permit at XII.C.2), this system would be inconsistent with the intent of the permits, and would not meet the MEP requirement and therefore should not be encouraged or mandated.  The cost and potential effects on other media associated with such a system would greatly outweigh the pollution control benefits it provides.  The </w:t>
      </w:r>
      <w:r w:rsidR="00B354FB">
        <w:t xml:space="preserve">direct costs and </w:t>
      </w:r>
      <w:r>
        <w:t xml:space="preserve">other environmental and societal effects associated with such a system </w:t>
      </w:r>
      <w:r w:rsidR="00B354FB">
        <w:t xml:space="preserve">would </w:t>
      </w:r>
      <w:r>
        <w:t>include:</w:t>
      </w:r>
    </w:p>
    <w:p w:rsidR="00B354FB" w:rsidRDefault="00B354FB" w:rsidP="009531AF">
      <w:pPr>
        <w:pStyle w:val="ListParagraph"/>
        <w:numPr>
          <w:ilvl w:val="0"/>
          <w:numId w:val="66"/>
        </w:numPr>
      </w:pPr>
      <w:r>
        <w:t>Cost to provide the tank and distribution system,</w:t>
      </w:r>
    </w:p>
    <w:p w:rsidR="00B354FB" w:rsidRDefault="00B354FB" w:rsidP="009531AF">
      <w:pPr>
        <w:pStyle w:val="ListParagraph"/>
        <w:numPr>
          <w:ilvl w:val="0"/>
          <w:numId w:val="66"/>
        </w:numPr>
      </w:pPr>
      <w:r>
        <w:t>Cost to provide and additional BMP(s) to retain or biotreat the overflow from the tank up to 80 percent capture,</w:t>
      </w:r>
    </w:p>
    <w:p w:rsidR="00BF13D5" w:rsidRDefault="00BF13D5" w:rsidP="009531AF">
      <w:pPr>
        <w:pStyle w:val="ListParagraph"/>
        <w:numPr>
          <w:ilvl w:val="0"/>
          <w:numId w:val="66"/>
        </w:numPr>
      </w:pPr>
      <w:r>
        <w:t>Energy and resources used to manufacture of plastic, metal, or concrete tanks,</w:t>
      </w:r>
    </w:p>
    <w:p w:rsidR="00BF13D5" w:rsidRDefault="00BF13D5" w:rsidP="009531AF">
      <w:pPr>
        <w:pStyle w:val="ListParagraph"/>
        <w:numPr>
          <w:ilvl w:val="0"/>
          <w:numId w:val="66"/>
        </w:numPr>
      </w:pPr>
      <w:r>
        <w:t>Energy and resources used manufacture of pumps, treatment systems, and piping,</w:t>
      </w:r>
    </w:p>
    <w:p w:rsidR="00BF13D5" w:rsidRDefault="00BF13D5" w:rsidP="009531AF">
      <w:pPr>
        <w:pStyle w:val="ListParagraph"/>
        <w:numPr>
          <w:ilvl w:val="0"/>
          <w:numId w:val="66"/>
        </w:numPr>
      </w:pPr>
      <w:r>
        <w:t>Energy and air quality impacts associated with shipping and installing the system</w:t>
      </w:r>
    </w:p>
    <w:p w:rsidR="00BF13D5" w:rsidRDefault="00BF13D5" w:rsidP="009531AF">
      <w:pPr>
        <w:pStyle w:val="ListParagraph"/>
        <w:numPr>
          <w:ilvl w:val="0"/>
          <w:numId w:val="66"/>
        </w:numPr>
      </w:pPr>
      <w:r>
        <w:t>Energy and air quality impacts associated with transportation for specialized maintenance activities</w:t>
      </w:r>
    </w:p>
    <w:p w:rsidR="00BF13D5" w:rsidRDefault="00BF13D5" w:rsidP="009531AF">
      <w:pPr>
        <w:pStyle w:val="ListParagraph"/>
        <w:numPr>
          <w:ilvl w:val="0"/>
          <w:numId w:val="66"/>
        </w:numPr>
      </w:pPr>
      <w:r>
        <w:t>Disposal of system elements at the end of usable life.</w:t>
      </w:r>
    </w:p>
    <w:p w:rsidR="00853C9A" w:rsidRDefault="00B354FB">
      <w:r>
        <w:t xml:space="preserve">This </w:t>
      </w:r>
      <w:r w:rsidRPr="00B354FB">
        <w:t>analysis seeks to identify a minimum level of performance of retention BMPs at which the ‘alternative scenario’ (i.e., biotreatment), after all retention options have been exhausted, would achieve approximately equivalent volume reduction and a higher level of treatment.  This analysis assumes that the designer is faced with a mutually exclusive choice between using an infiltration, evapotranspiration, or harvest and use retention BMP versus using a biotreatment BMP or, in the case of a tandem system (e.g., a green roof is the principal retention BMP, with the balance of the drainage area’s DCV, or more, treated in a biotreatment system), a combination of both classes of BMPs.</w:t>
      </w:r>
    </w:p>
    <w:p w:rsidR="00BF13D5" w:rsidRDefault="00BF13D5" w:rsidP="00A52883">
      <w:pPr>
        <w:pStyle w:val="Heading2"/>
      </w:pPr>
      <w:bookmarkStart w:id="750" w:name="_Toc288541119"/>
      <w:bookmarkStart w:id="751" w:name="_Toc293937175"/>
      <w:r>
        <w:t>Comparison to Anticipated Performance of Alternative Scenario</w:t>
      </w:r>
      <w:bookmarkEnd w:id="750"/>
      <w:bookmarkEnd w:id="751"/>
    </w:p>
    <w:p w:rsidR="00BF13D5" w:rsidRDefault="00BF13D5" w:rsidP="00BF13D5">
      <w:pPr>
        <w:ind w:left="90"/>
      </w:pPr>
      <w:r>
        <w:t xml:space="preserve">The numeric threshold should reflect conditions where </w:t>
      </w:r>
      <w:r w:rsidRPr="00C101F5">
        <w:rPr>
          <w:i/>
        </w:rPr>
        <w:t>the cost of BMP implementation greatly outweighs the pollution control benefits</w:t>
      </w:r>
      <w:r>
        <w:rPr>
          <w:i/>
        </w:rPr>
        <w:t xml:space="preserve"> </w:t>
      </w:r>
      <w:r w:rsidRPr="00014EEF">
        <w:t>and where the “</w:t>
      </w:r>
      <w:r w:rsidRPr="00014EEF">
        <w:rPr>
          <w:i/>
        </w:rPr>
        <w:t>alternative scenario</w:t>
      </w:r>
      <w:r w:rsidRPr="00014EEF">
        <w:t xml:space="preserve">” allowed by the criterion provides similar effectiveness and </w:t>
      </w:r>
      <w:r>
        <w:t xml:space="preserve">much </w:t>
      </w:r>
      <w:r w:rsidRPr="00014EEF">
        <w:t>lower cost</w:t>
      </w:r>
      <w:r>
        <w:rPr>
          <w:i/>
        </w:rPr>
        <w:t xml:space="preserve">. </w:t>
      </w:r>
      <w:r w:rsidRPr="00A72577">
        <w:t xml:space="preserve">For both infiltration BMPs and harvest and use BMPs, this can be referenced to the volume reduction and treatment performance that would be achieved </w:t>
      </w:r>
      <w:r>
        <w:t xml:space="preserve">by </w:t>
      </w:r>
      <w:r w:rsidRPr="00A72577">
        <w:t xml:space="preserve">biotreatment BMPs designed for </w:t>
      </w:r>
      <w:r>
        <w:t xml:space="preserve">the maximum feasible </w:t>
      </w:r>
      <w:r w:rsidRPr="00A72577">
        <w:t xml:space="preserve">partial retention (i.e., the </w:t>
      </w:r>
      <w:r w:rsidRPr="00014EEF">
        <w:rPr>
          <w:i/>
        </w:rPr>
        <w:t>alternative scenario</w:t>
      </w:r>
      <w:r>
        <w:t xml:space="preserve">). </w:t>
      </w:r>
    </w:p>
    <w:p w:rsidR="00BF13D5" w:rsidRDefault="00BF13D5" w:rsidP="00BF13D5">
      <w:r>
        <w:t xml:space="preserve">In the case that infiltration and harvest and use are not feasible, the alternative scenario is biotreatment BMPs designed for the maximum partial retention. Biotreatment BMPs must be designed to achieve the maximum feasible retention and ET of stormwater per the specific criteria contained in </w:t>
      </w:r>
      <w:r w:rsidR="00126F3D" w:rsidRPr="00126DE5">
        <w:rPr>
          <w:b/>
          <w:color w:val="0070C0"/>
          <w:sz w:val="20"/>
        </w:rPr>
        <w:fldChar w:fldCharType="begin"/>
      </w:r>
      <w:r w:rsidRPr="00126DE5">
        <w:rPr>
          <w:b/>
          <w:color w:val="0070C0"/>
          <w:sz w:val="20"/>
        </w:rPr>
        <w:instrText xml:space="preserve"> REF _Ref287641893 \r \h </w:instrText>
      </w:r>
      <w:r w:rsidR="00126F3D" w:rsidRPr="00126DE5">
        <w:rPr>
          <w:b/>
          <w:color w:val="0070C0"/>
          <w:sz w:val="20"/>
        </w:rPr>
      </w:r>
      <w:r w:rsidR="00126F3D" w:rsidRPr="00126DE5">
        <w:rPr>
          <w:b/>
          <w:color w:val="0070C0"/>
          <w:sz w:val="20"/>
        </w:rPr>
        <w:fldChar w:fldCharType="separate"/>
      </w:r>
      <w:r w:rsidR="00126DE5" w:rsidRPr="00126DE5">
        <w:rPr>
          <w:b/>
          <w:color w:val="0070C0"/>
          <w:sz w:val="20"/>
        </w:rPr>
        <w:t>Appendix XI</w:t>
      </w:r>
      <w:r w:rsidR="00126F3D" w:rsidRPr="00126DE5">
        <w:rPr>
          <w:b/>
          <w:color w:val="0070C0"/>
          <w:sz w:val="20"/>
        </w:rPr>
        <w:fldChar w:fldCharType="end"/>
      </w:r>
      <w:r>
        <w:t>, and must be designed to biotreat runoff as feasible up to 80 percent average annual capture effi</w:t>
      </w:r>
      <w:r w:rsidR="003A7710">
        <w:t>ci</w:t>
      </w:r>
      <w:r>
        <w:t xml:space="preserve">ency. </w:t>
      </w:r>
    </w:p>
    <w:p w:rsidR="00BF13D5" w:rsidRDefault="00BF13D5" w:rsidP="00BF13D5">
      <w:r>
        <w:t xml:space="preserve">When designed to these criteria, biotreatment BMPs are expected to achieve retention of a substantial volume of stormwater. </w:t>
      </w:r>
      <w:r w:rsidRPr="007A6FE8">
        <w:t>A</w:t>
      </w:r>
      <w:r>
        <w:t xml:space="preserve"> </w:t>
      </w:r>
      <w:r w:rsidRPr="006D66CF">
        <w:t>recent analysis of the monitored inflow and outflow data contained in the International Stormwater BMP Database</w:t>
      </w:r>
      <w:r w:rsidRPr="005F62D6">
        <w:t xml:space="preserve"> showed </w:t>
      </w:r>
      <w:r w:rsidR="00B354FB">
        <w:t>average long term</w:t>
      </w:r>
      <w:r w:rsidR="00B354FB" w:rsidRPr="005F62D6">
        <w:t xml:space="preserve"> </w:t>
      </w:r>
      <w:r w:rsidRPr="005F62D6">
        <w:t>volume reduction</w:t>
      </w:r>
      <w:r w:rsidR="00B354FB">
        <w:t>s</w:t>
      </w:r>
      <w:r w:rsidRPr="005F62D6">
        <w:t xml:space="preserve"> on the order of </w:t>
      </w:r>
      <w:r>
        <w:t>40</w:t>
      </w:r>
      <w:r w:rsidRPr="005F62D6">
        <w:t xml:space="preserve"> percent for bio</w:t>
      </w:r>
      <w:r>
        <w:t>filters,</w:t>
      </w:r>
      <w:r w:rsidRPr="005F62D6">
        <w:t xml:space="preserve"> 30 percent for extended detention basins</w:t>
      </w:r>
      <w:r>
        <w:t>, and 60 percent for bioretention areas</w:t>
      </w:r>
      <w:r w:rsidRPr="005F62D6">
        <w:t xml:space="preserve">. </w:t>
      </w:r>
      <w:r w:rsidR="00B354FB">
        <w:t xml:space="preserve"> These </w:t>
      </w:r>
      <w:r w:rsidR="00B354FB" w:rsidRPr="00B354FB">
        <w:t>values represent the average of observed total volume reductions through infiltration and transpiration during entire monitoring studies. Total volume reductions during a study were calculated based on comparison of the total inflow volume and outflow volumes measured over the duration of each study (including multiple – up to 65 - storm events). As these analyses utilized long-term observed volume reductions over a series of storm events, they provide a valid comparison to the capture efficiency and volume reduction criteria contained in this TGD that were developed upon long-term hydrologic simulations and summaries.</w:t>
      </w:r>
    </w:p>
    <w:p w:rsidR="00BF13D5" w:rsidRPr="00524D76" w:rsidRDefault="00BF13D5" w:rsidP="00647B99">
      <w:pPr>
        <w:pStyle w:val="Caption"/>
      </w:pPr>
      <w:bookmarkStart w:id="752" w:name="_Toc288554395"/>
      <w:r w:rsidRPr="00524D76">
        <w:t xml:space="preserve">Table </w:t>
      </w:r>
      <w:r w:rsidR="00126F3D" w:rsidRPr="00524D76">
        <w:rPr>
          <w:rFonts w:cs="Arial"/>
        </w:rPr>
        <w:fldChar w:fldCharType="begin"/>
      </w:r>
      <w:r w:rsidRPr="00524D76">
        <w:rPr>
          <w:rFonts w:cs="Arial"/>
        </w:rPr>
        <w:instrText xml:space="preserve"> STYLEREF 1 \s </w:instrText>
      </w:r>
      <w:r w:rsidR="00126F3D" w:rsidRPr="00524D76">
        <w:rPr>
          <w:rFonts w:cs="Arial"/>
        </w:rPr>
        <w:fldChar w:fldCharType="separate"/>
      </w:r>
      <w:r w:rsidR="00126DE5" w:rsidRPr="00524D76">
        <w:rPr>
          <w:rFonts w:cs="Arial"/>
          <w:noProof/>
        </w:rPr>
        <w:t>XIII</w:t>
      </w:r>
      <w:r w:rsidR="00126F3D" w:rsidRPr="00524D76">
        <w:rPr>
          <w:rFonts w:cs="Arial"/>
        </w:rPr>
        <w:fldChar w:fldCharType="end"/>
      </w:r>
      <w:r w:rsidRPr="00524D76">
        <w:t>.</w:t>
      </w:r>
      <w:r w:rsidR="00126F3D" w:rsidRPr="00524D76">
        <w:rPr>
          <w:rFonts w:cs="Arial"/>
        </w:rPr>
        <w:fldChar w:fldCharType="begin"/>
      </w:r>
      <w:r w:rsidRPr="00524D76">
        <w:rPr>
          <w:rFonts w:cs="Arial"/>
        </w:rPr>
        <w:instrText xml:space="preserve"> SEQ Table \* ARABIC \s 1 </w:instrText>
      </w:r>
      <w:r w:rsidR="00126F3D" w:rsidRPr="00524D76">
        <w:rPr>
          <w:rFonts w:cs="Arial"/>
        </w:rPr>
        <w:fldChar w:fldCharType="separate"/>
      </w:r>
      <w:r w:rsidR="00126DE5" w:rsidRPr="00524D76">
        <w:rPr>
          <w:rFonts w:cs="Arial"/>
          <w:noProof/>
        </w:rPr>
        <w:t>1</w:t>
      </w:r>
      <w:r w:rsidR="00126F3D" w:rsidRPr="00524D76">
        <w:rPr>
          <w:rFonts w:cs="Arial"/>
        </w:rPr>
        <w:fldChar w:fldCharType="end"/>
      </w:r>
      <w:r w:rsidRPr="00524D76">
        <w:rPr>
          <w:rFonts w:cs="Arial"/>
        </w:rPr>
        <w:t>:</w:t>
      </w:r>
      <w:r w:rsidR="005E57C9" w:rsidRPr="00524D76">
        <w:t xml:space="preserve"> Volume Reduction S</w:t>
      </w:r>
      <w:r w:rsidRPr="00524D76">
        <w:t>ummary of Biotreatment BMP Categories in the International Stormwater BMP Database</w:t>
      </w:r>
      <w:bookmarkEnd w:id="752"/>
    </w:p>
    <w:p w:rsidR="00BF13D5" w:rsidRDefault="00BF13D5" w:rsidP="00BF13D5">
      <w:pPr>
        <w:jc w:val="center"/>
      </w:pPr>
      <w:r>
        <w:rPr>
          <w:noProof/>
        </w:rPr>
        <w:drawing>
          <wp:inline distT="0" distB="0" distL="0" distR="0">
            <wp:extent cx="5943600" cy="2559997"/>
            <wp:effectExtent l="19050" t="0" r="0" b="0"/>
            <wp:docPr id="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cstate="email"/>
                    <a:srcRect/>
                    <a:stretch>
                      <a:fillRect/>
                    </a:stretch>
                  </pic:blipFill>
                  <pic:spPr bwMode="auto">
                    <a:xfrm>
                      <a:off x="0" y="0"/>
                      <a:ext cx="5943600" cy="2559997"/>
                    </a:xfrm>
                    <a:prstGeom prst="rect">
                      <a:avLst/>
                    </a:prstGeom>
                    <a:noFill/>
                    <a:ln w="9525">
                      <a:noFill/>
                      <a:miter lim="800000"/>
                      <a:headEnd/>
                      <a:tailEnd/>
                    </a:ln>
                  </pic:spPr>
                </pic:pic>
              </a:graphicData>
            </a:graphic>
          </wp:inline>
        </w:drawing>
      </w:r>
    </w:p>
    <w:p w:rsidR="00BF13D5" w:rsidRDefault="00BF13D5" w:rsidP="005E57C9">
      <w:pPr>
        <w:rPr>
          <w:sz w:val="16"/>
        </w:rPr>
      </w:pPr>
      <w:r>
        <w:rPr>
          <w:sz w:val="16"/>
        </w:rPr>
        <w:t xml:space="preserve">Source: </w:t>
      </w:r>
      <w:r w:rsidRPr="006D66CF">
        <w:rPr>
          <w:sz w:val="16"/>
          <w:szCs w:val="16"/>
        </w:rPr>
        <w:t>International Stormwater Best Management Practices (BMP) Database, Technical Summary: Volume Reduction.  January</w:t>
      </w:r>
      <w:r>
        <w:rPr>
          <w:sz w:val="16"/>
          <w:szCs w:val="16"/>
        </w:rPr>
        <w:t xml:space="preserve"> 2011</w:t>
      </w:r>
      <w:r w:rsidRPr="006D66CF">
        <w:rPr>
          <w:sz w:val="16"/>
          <w:szCs w:val="16"/>
        </w:rPr>
        <w:t xml:space="preserve">. </w:t>
      </w:r>
      <w:hyperlink r:id="rId97" w:history="1">
        <w:r w:rsidRPr="00126DE5">
          <w:rPr>
            <w:rStyle w:val="Hyperlink"/>
            <w:rFonts w:cs="Arial"/>
            <w:b/>
            <w:color w:val="0070C0"/>
            <w:sz w:val="16"/>
            <w:szCs w:val="16"/>
          </w:rPr>
          <w:t>http://www.bmpdatabase.org/Docs/Volume%20Reduction%20Technical%20Summary%20Jan%202011.pdf</w:t>
        </w:r>
      </w:hyperlink>
    </w:p>
    <w:p w:rsidR="000352A9" w:rsidRDefault="00BF13D5" w:rsidP="00EC1E35">
      <w:r w:rsidRPr="005F62D6">
        <w:t xml:space="preserve">These values provide a benchmark </w:t>
      </w:r>
      <w:r w:rsidR="00B354FB" w:rsidRPr="00B354FB">
        <w:t xml:space="preserve">for comparing the performance of LID BMPs (infiltration, harvest and use, and evapotranspiration) against the performance of LID biotreatment BMPs, which under some circumstances, may provide a similar level of retention plus offer other pollutant treatment mechanisms.  This analysis shows that while LID biotreatment BMPs are not designed to fully retain the DCV, they are capable of providing substantial volume reductions, on the order of half of the water that is captured and managed. This analysis further shows that a well designed LID biotreatment BMP that has been designed to capture 80 percent of average annual storm water runoff and has been designed to achieve maximum feasible volume reduction would be expected to achieve total long term volume reduction on the order of 40 percent of long term runoff volume.  This means that a designer, faced with </w:t>
      </w:r>
      <w:proofErr w:type="gramStart"/>
      <w:r w:rsidR="00B354FB" w:rsidRPr="00B354FB">
        <w:t>a LID</w:t>
      </w:r>
      <w:proofErr w:type="gramEnd"/>
      <w:r w:rsidR="00B354FB" w:rsidRPr="00B354FB">
        <w:t xml:space="preserve"> retention BMP with a performance of 40 percent or less could substitute the LID retention BMP with a LID biotreatment BMP that is capable of carrying 100 percent of the DCV without impairing the overall performance of the site’s system of BMPs.  This is because roughly 40 percent of the DCV will be incidentally infiltrated or evapotranspirated by the LID biotreatment BMP – roughly equal or better than the low-performing LID retention BMP.  Therefore, it is appropriate to designate 40 percent retention as a threshold for eliminating the mandatory selection and use of a specific LID retention measure in favor of using LID bioretention BMPs that achieve a comparable or greater level of retention for the system as a whole.  This threshold must not be used to reduce the site’s overall level of retention.</w:t>
      </w:r>
    </w:p>
    <w:p w:rsidR="009565DB" w:rsidRDefault="009565DB" w:rsidP="00EC1E35"/>
    <w:p w:rsidR="000352A9" w:rsidRDefault="000352A9" w:rsidP="00EC1E35">
      <w:pPr>
        <w:sectPr w:rsidR="000352A9" w:rsidSect="00BF43BB">
          <w:pgSz w:w="12240" w:h="15840" w:code="1"/>
          <w:pgMar w:top="1440" w:right="1440" w:bottom="1440" w:left="1440" w:header="720" w:footer="432" w:gutter="0"/>
          <w:pgNumType w:start="1" w:chapStyle="1"/>
          <w:cols w:space="720"/>
          <w:docGrid w:linePitch="360"/>
        </w:sectPr>
      </w:pPr>
    </w:p>
    <w:p w:rsidR="00A132C3" w:rsidRDefault="004C6431" w:rsidP="00A52883">
      <w:pPr>
        <w:pStyle w:val="Heading1"/>
      </w:pPr>
      <w:bookmarkStart w:id="753" w:name="_Worksheets"/>
      <w:bookmarkStart w:id="754" w:name="_Toc288541120"/>
      <w:bookmarkStart w:id="755" w:name="_Toc293937176"/>
      <w:bookmarkStart w:id="756" w:name="_Toc285308203"/>
      <w:bookmarkStart w:id="757" w:name="_Toc285315786"/>
      <w:bookmarkStart w:id="758" w:name="_Toc285315903"/>
      <w:bookmarkStart w:id="759" w:name="_Toc285492503"/>
      <w:bookmarkEnd w:id="753"/>
      <w:r>
        <w:rPr>
          <w:caps w:val="0"/>
        </w:rPr>
        <w:t>BMP FACT SHEETS</w:t>
      </w:r>
      <w:bookmarkEnd w:id="754"/>
      <w:bookmarkEnd w:id="755"/>
    </w:p>
    <w:p w:rsidR="00FC34E0" w:rsidRDefault="00FC34E0" w:rsidP="00FC34E0">
      <w:pPr>
        <w:pStyle w:val="CDMBTEXT"/>
      </w:pPr>
      <w:bookmarkStart w:id="760" w:name="_Toc285522589"/>
      <w:bookmarkStart w:id="761" w:name="_Toc285589319"/>
      <w:r>
        <w:t>This appendix contains BMP fact sheets for the following BMP categories:</w:t>
      </w:r>
    </w:p>
    <w:p w:rsidR="00FC34E0" w:rsidRPr="00126DE5" w:rsidRDefault="00126F3D" w:rsidP="009E1CFF">
      <w:pPr>
        <w:pStyle w:val="CDMBTEXT"/>
        <w:spacing w:after="0"/>
        <w:ind w:left="720"/>
        <w:contextualSpacing/>
        <w:rPr>
          <w:b/>
          <w:color w:val="0070C0"/>
          <w:sz w:val="20"/>
        </w:rPr>
      </w:pPr>
      <w:r w:rsidRPr="00126DE5">
        <w:rPr>
          <w:b/>
          <w:color w:val="0070C0"/>
          <w:sz w:val="20"/>
        </w:rPr>
        <w:fldChar w:fldCharType="begin"/>
      </w:r>
      <w:r w:rsidR="00FC34E0" w:rsidRPr="00126DE5">
        <w:rPr>
          <w:b/>
          <w:color w:val="0070C0"/>
          <w:sz w:val="20"/>
        </w:rPr>
        <w:instrText xml:space="preserve"> REF _Ref287698664 \h </w:instrText>
      </w:r>
      <w:r w:rsidRPr="00126DE5">
        <w:rPr>
          <w:b/>
          <w:color w:val="0070C0"/>
          <w:sz w:val="20"/>
        </w:rPr>
      </w:r>
      <w:r w:rsidRPr="00126DE5">
        <w:rPr>
          <w:b/>
          <w:color w:val="0070C0"/>
          <w:sz w:val="20"/>
        </w:rPr>
        <w:fldChar w:fldCharType="separate"/>
      </w:r>
      <w:r w:rsidR="00126DE5" w:rsidRPr="00126DE5">
        <w:rPr>
          <w:b/>
          <w:color w:val="0070C0"/>
        </w:rPr>
        <w:t>Hydrologic Source Control Fact Sheets (HSC)</w:t>
      </w:r>
      <w:r w:rsidRPr="00126DE5">
        <w:rPr>
          <w:b/>
          <w:color w:val="0070C0"/>
          <w:sz w:val="20"/>
        </w:rPr>
        <w:fldChar w:fldCharType="end"/>
      </w:r>
    </w:p>
    <w:p w:rsidR="00FC34E0" w:rsidRPr="00126DE5" w:rsidRDefault="00126F3D" w:rsidP="009E1CFF">
      <w:pPr>
        <w:pStyle w:val="CDMBTEXT"/>
        <w:spacing w:after="0"/>
        <w:ind w:left="1440"/>
        <w:contextualSpacing/>
        <w:rPr>
          <w:b/>
          <w:color w:val="0070C0"/>
          <w:sz w:val="20"/>
        </w:rPr>
      </w:pPr>
      <w:r w:rsidRPr="00126DE5">
        <w:rPr>
          <w:b/>
          <w:color w:val="0070C0"/>
          <w:sz w:val="20"/>
        </w:rPr>
        <w:fldChar w:fldCharType="begin"/>
      </w:r>
      <w:r w:rsidR="00FC34E0" w:rsidRPr="00126DE5">
        <w:rPr>
          <w:b/>
          <w:color w:val="0070C0"/>
          <w:sz w:val="20"/>
        </w:rPr>
        <w:instrText xml:space="preserve"> REF _Ref285549719 \h </w:instrText>
      </w:r>
      <w:r w:rsidRPr="00126DE5">
        <w:rPr>
          <w:b/>
          <w:color w:val="0070C0"/>
          <w:sz w:val="20"/>
        </w:rPr>
      </w:r>
      <w:r w:rsidRPr="00126DE5">
        <w:rPr>
          <w:b/>
          <w:color w:val="0070C0"/>
          <w:sz w:val="20"/>
        </w:rPr>
        <w:fldChar w:fldCharType="separate"/>
      </w:r>
      <w:r w:rsidR="00126DE5" w:rsidRPr="00126DE5">
        <w:rPr>
          <w:b/>
          <w:noProof/>
          <w:color w:val="0070C0"/>
        </w:rPr>
        <w:t>HSC-1: Localized On-Lot Infiltration</w:t>
      </w:r>
      <w:r w:rsidRPr="00126DE5">
        <w:rPr>
          <w:b/>
          <w:color w:val="0070C0"/>
          <w:sz w:val="20"/>
        </w:rPr>
        <w:fldChar w:fldCharType="end"/>
      </w:r>
    </w:p>
    <w:p w:rsidR="00FC34E0" w:rsidRPr="00126DE5" w:rsidRDefault="00126F3D" w:rsidP="009E1CFF">
      <w:pPr>
        <w:pStyle w:val="CDMBTEXT"/>
        <w:spacing w:after="0"/>
        <w:ind w:left="1440"/>
        <w:contextualSpacing/>
        <w:rPr>
          <w:b/>
          <w:color w:val="0070C0"/>
          <w:sz w:val="20"/>
        </w:rPr>
      </w:pPr>
      <w:r w:rsidRPr="00126DE5">
        <w:rPr>
          <w:b/>
          <w:color w:val="0070C0"/>
          <w:sz w:val="20"/>
        </w:rPr>
        <w:fldChar w:fldCharType="begin"/>
      </w:r>
      <w:r w:rsidR="00FC34E0" w:rsidRPr="00126DE5">
        <w:rPr>
          <w:b/>
          <w:color w:val="0070C0"/>
          <w:sz w:val="20"/>
        </w:rPr>
        <w:instrText xml:space="preserve"> REF _Ref287795114 \h </w:instrText>
      </w:r>
      <w:r w:rsidRPr="00126DE5">
        <w:rPr>
          <w:b/>
          <w:color w:val="0070C0"/>
          <w:sz w:val="20"/>
        </w:rPr>
      </w:r>
      <w:r w:rsidRPr="00126DE5">
        <w:rPr>
          <w:b/>
          <w:color w:val="0070C0"/>
          <w:sz w:val="20"/>
        </w:rPr>
        <w:fldChar w:fldCharType="separate"/>
      </w:r>
      <w:r w:rsidR="00126DE5" w:rsidRPr="00126DE5">
        <w:rPr>
          <w:b/>
          <w:color w:val="0070C0"/>
        </w:rPr>
        <w:t>HSC-2: Impervious Area Dispersion</w:t>
      </w:r>
      <w:r w:rsidRPr="00126DE5">
        <w:rPr>
          <w:b/>
          <w:color w:val="0070C0"/>
          <w:sz w:val="20"/>
        </w:rPr>
        <w:fldChar w:fldCharType="end"/>
      </w:r>
    </w:p>
    <w:p w:rsidR="00FC34E0" w:rsidRPr="00126DE5" w:rsidRDefault="00126F3D" w:rsidP="009E1CFF">
      <w:pPr>
        <w:pStyle w:val="CDMBTEXT"/>
        <w:spacing w:after="0"/>
        <w:ind w:left="1440"/>
        <w:contextualSpacing/>
        <w:rPr>
          <w:b/>
          <w:color w:val="0070C0"/>
          <w:sz w:val="20"/>
        </w:rPr>
      </w:pPr>
      <w:r w:rsidRPr="00126DE5">
        <w:rPr>
          <w:b/>
          <w:color w:val="0070C0"/>
          <w:sz w:val="20"/>
        </w:rPr>
        <w:fldChar w:fldCharType="begin"/>
      </w:r>
      <w:r w:rsidR="00FC34E0" w:rsidRPr="00126DE5">
        <w:rPr>
          <w:b/>
          <w:color w:val="0070C0"/>
          <w:sz w:val="20"/>
        </w:rPr>
        <w:instrText xml:space="preserve"> REF _Ref285589202 \h </w:instrText>
      </w:r>
      <w:r w:rsidRPr="00126DE5">
        <w:rPr>
          <w:b/>
          <w:color w:val="0070C0"/>
          <w:sz w:val="20"/>
        </w:rPr>
      </w:r>
      <w:r w:rsidRPr="00126DE5">
        <w:rPr>
          <w:b/>
          <w:color w:val="0070C0"/>
          <w:sz w:val="20"/>
        </w:rPr>
        <w:fldChar w:fldCharType="separate"/>
      </w:r>
      <w:r w:rsidR="00126DE5" w:rsidRPr="00126DE5">
        <w:rPr>
          <w:b/>
          <w:color w:val="0070C0"/>
        </w:rPr>
        <w:t>HSC-3: Street Trees</w:t>
      </w:r>
      <w:r w:rsidRPr="00126DE5">
        <w:rPr>
          <w:b/>
          <w:color w:val="0070C0"/>
          <w:sz w:val="20"/>
        </w:rPr>
        <w:fldChar w:fldCharType="end"/>
      </w:r>
    </w:p>
    <w:p w:rsidR="00FC34E0" w:rsidRPr="00126DE5" w:rsidRDefault="00126F3D" w:rsidP="009E1CFF">
      <w:pPr>
        <w:pStyle w:val="CDMBTEXT"/>
        <w:spacing w:after="0"/>
        <w:ind w:left="1440"/>
        <w:contextualSpacing/>
        <w:rPr>
          <w:b/>
          <w:color w:val="0070C0"/>
          <w:sz w:val="20"/>
        </w:rPr>
      </w:pPr>
      <w:r w:rsidRPr="00126DE5">
        <w:rPr>
          <w:b/>
          <w:color w:val="0070C0"/>
          <w:sz w:val="20"/>
        </w:rPr>
        <w:fldChar w:fldCharType="begin"/>
      </w:r>
      <w:r w:rsidR="00FC34E0" w:rsidRPr="00126DE5">
        <w:rPr>
          <w:b/>
          <w:color w:val="0070C0"/>
          <w:sz w:val="20"/>
        </w:rPr>
        <w:instrText xml:space="preserve"> REF _Ref287795116 \h </w:instrText>
      </w:r>
      <w:r w:rsidRPr="00126DE5">
        <w:rPr>
          <w:b/>
          <w:color w:val="0070C0"/>
          <w:sz w:val="20"/>
        </w:rPr>
      </w:r>
      <w:r w:rsidRPr="00126DE5">
        <w:rPr>
          <w:b/>
          <w:color w:val="0070C0"/>
          <w:sz w:val="20"/>
        </w:rPr>
        <w:fldChar w:fldCharType="separate"/>
      </w:r>
      <w:r w:rsidR="00126DE5" w:rsidRPr="00126DE5">
        <w:rPr>
          <w:b/>
          <w:color w:val="0070C0"/>
        </w:rPr>
        <w:t>HSC-4: Residential Rain Barrels</w:t>
      </w:r>
      <w:r w:rsidRPr="00126DE5">
        <w:rPr>
          <w:b/>
          <w:color w:val="0070C0"/>
          <w:sz w:val="20"/>
        </w:rPr>
        <w:fldChar w:fldCharType="end"/>
      </w:r>
    </w:p>
    <w:p w:rsidR="00FC34E0" w:rsidRPr="00126DE5" w:rsidRDefault="00126F3D" w:rsidP="009E1CFF">
      <w:pPr>
        <w:pStyle w:val="CDMBTEXT"/>
        <w:spacing w:after="0"/>
        <w:ind w:left="1440"/>
        <w:contextualSpacing/>
        <w:rPr>
          <w:b/>
          <w:color w:val="0070C0"/>
          <w:sz w:val="20"/>
        </w:rPr>
      </w:pPr>
      <w:r w:rsidRPr="00126DE5">
        <w:rPr>
          <w:b/>
          <w:color w:val="0070C0"/>
          <w:sz w:val="20"/>
        </w:rPr>
        <w:fldChar w:fldCharType="begin"/>
      </w:r>
      <w:r w:rsidR="00FC34E0" w:rsidRPr="00126DE5">
        <w:rPr>
          <w:b/>
          <w:color w:val="0070C0"/>
          <w:sz w:val="20"/>
        </w:rPr>
        <w:instrText xml:space="preserve"> REF _Ref287795117 \h </w:instrText>
      </w:r>
      <w:r w:rsidRPr="00126DE5">
        <w:rPr>
          <w:b/>
          <w:color w:val="0070C0"/>
          <w:sz w:val="20"/>
        </w:rPr>
      </w:r>
      <w:r w:rsidRPr="00126DE5">
        <w:rPr>
          <w:b/>
          <w:color w:val="0070C0"/>
          <w:sz w:val="20"/>
        </w:rPr>
        <w:fldChar w:fldCharType="separate"/>
      </w:r>
      <w:r w:rsidR="00126DE5" w:rsidRPr="00126DE5">
        <w:rPr>
          <w:b/>
          <w:color w:val="0070C0"/>
        </w:rPr>
        <w:t>HSC-5: Green Roof / Brown Roof</w:t>
      </w:r>
      <w:r w:rsidRPr="00126DE5">
        <w:rPr>
          <w:b/>
          <w:color w:val="0070C0"/>
          <w:sz w:val="20"/>
        </w:rPr>
        <w:fldChar w:fldCharType="end"/>
      </w:r>
    </w:p>
    <w:p w:rsidR="00FC34E0" w:rsidRPr="00126DE5" w:rsidRDefault="00126F3D" w:rsidP="009E1CFF">
      <w:pPr>
        <w:pStyle w:val="CDMBTEXT"/>
        <w:spacing w:after="0"/>
        <w:ind w:left="1440"/>
        <w:contextualSpacing/>
        <w:rPr>
          <w:b/>
          <w:color w:val="0070C0"/>
          <w:sz w:val="20"/>
        </w:rPr>
      </w:pPr>
      <w:r w:rsidRPr="00126DE5">
        <w:rPr>
          <w:b/>
          <w:color w:val="0070C0"/>
          <w:sz w:val="20"/>
        </w:rPr>
        <w:fldChar w:fldCharType="begin"/>
      </w:r>
      <w:r w:rsidR="00FC34E0" w:rsidRPr="00126DE5">
        <w:rPr>
          <w:b/>
          <w:color w:val="0070C0"/>
          <w:sz w:val="20"/>
        </w:rPr>
        <w:instrText xml:space="preserve"> REF _Ref287795119 \h </w:instrText>
      </w:r>
      <w:r w:rsidRPr="00126DE5">
        <w:rPr>
          <w:b/>
          <w:color w:val="0070C0"/>
          <w:sz w:val="20"/>
        </w:rPr>
      </w:r>
      <w:r w:rsidRPr="00126DE5">
        <w:rPr>
          <w:b/>
          <w:color w:val="0070C0"/>
          <w:sz w:val="20"/>
        </w:rPr>
        <w:fldChar w:fldCharType="separate"/>
      </w:r>
      <w:r w:rsidR="00126DE5" w:rsidRPr="00126DE5">
        <w:rPr>
          <w:b/>
          <w:color w:val="0070C0"/>
        </w:rPr>
        <w:t>HSC-6: Blue Roof</w:t>
      </w:r>
      <w:r w:rsidRPr="00126DE5">
        <w:rPr>
          <w:b/>
          <w:color w:val="0070C0"/>
          <w:sz w:val="20"/>
        </w:rPr>
        <w:fldChar w:fldCharType="end"/>
      </w:r>
    </w:p>
    <w:p w:rsidR="009E1CFF" w:rsidRPr="005A74EE" w:rsidRDefault="009E1CFF" w:rsidP="009E1CFF">
      <w:pPr>
        <w:pStyle w:val="CDMBTEXT"/>
        <w:spacing w:after="0"/>
        <w:ind w:left="1440"/>
        <w:contextualSpacing/>
        <w:rPr>
          <w:rFonts w:ascii="Arial" w:hAnsi="Arial"/>
          <w:b/>
          <w:color w:val="0070C0"/>
          <w:sz w:val="20"/>
        </w:rPr>
      </w:pPr>
    </w:p>
    <w:p w:rsidR="00FC34E0" w:rsidRPr="00126DE5" w:rsidRDefault="00126F3D" w:rsidP="009E1CFF">
      <w:pPr>
        <w:pStyle w:val="CDMBTEXT"/>
        <w:spacing w:after="0"/>
        <w:ind w:left="720"/>
        <w:contextualSpacing/>
        <w:rPr>
          <w:b/>
          <w:color w:val="0070C0"/>
          <w:sz w:val="20"/>
        </w:rPr>
      </w:pPr>
      <w:r w:rsidRPr="00126DE5">
        <w:rPr>
          <w:b/>
          <w:color w:val="0070C0"/>
          <w:sz w:val="20"/>
        </w:rPr>
        <w:fldChar w:fldCharType="begin"/>
      </w:r>
      <w:r w:rsidR="00FC34E0" w:rsidRPr="00126DE5">
        <w:rPr>
          <w:b/>
          <w:color w:val="0070C0"/>
          <w:sz w:val="20"/>
        </w:rPr>
        <w:instrText xml:space="preserve"> REF _Ref287698669 \h </w:instrText>
      </w:r>
      <w:r w:rsidRPr="00126DE5">
        <w:rPr>
          <w:b/>
          <w:color w:val="0070C0"/>
          <w:sz w:val="20"/>
        </w:rPr>
      </w:r>
      <w:r w:rsidRPr="00126DE5">
        <w:rPr>
          <w:b/>
          <w:color w:val="0070C0"/>
          <w:sz w:val="20"/>
        </w:rPr>
        <w:fldChar w:fldCharType="separate"/>
      </w:r>
      <w:r w:rsidR="00126DE5" w:rsidRPr="00126DE5">
        <w:rPr>
          <w:b/>
          <w:color w:val="0070C0"/>
        </w:rPr>
        <w:t>Infiltration BMP Fact Sheets (INF)</w:t>
      </w:r>
      <w:r w:rsidRPr="00126DE5">
        <w:rPr>
          <w:b/>
          <w:color w:val="0070C0"/>
          <w:sz w:val="20"/>
        </w:rPr>
        <w:fldChar w:fldCharType="end"/>
      </w:r>
    </w:p>
    <w:p w:rsidR="00FC34E0" w:rsidRPr="00126DE5" w:rsidRDefault="00126F3D" w:rsidP="009E1CFF">
      <w:pPr>
        <w:spacing w:after="0"/>
        <w:ind w:left="1440"/>
        <w:contextualSpacing/>
        <w:rPr>
          <w:b/>
          <w:color w:val="0070C0"/>
          <w:sz w:val="20"/>
        </w:rPr>
      </w:pPr>
      <w:r w:rsidRPr="00126DE5">
        <w:rPr>
          <w:b/>
          <w:color w:val="0070C0"/>
          <w:sz w:val="20"/>
        </w:rPr>
        <w:fldChar w:fldCharType="begin"/>
      </w:r>
      <w:r w:rsidR="00FC34E0" w:rsidRPr="00126DE5">
        <w:rPr>
          <w:b/>
          <w:color w:val="0070C0"/>
          <w:sz w:val="20"/>
        </w:rPr>
        <w:instrText xml:space="preserve"> REF _Ref287794976 \h </w:instrText>
      </w:r>
      <w:r w:rsidRPr="00126DE5">
        <w:rPr>
          <w:b/>
          <w:color w:val="0070C0"/>
          <w:sz w:val="20"/>
        </w:rPr>
      </w:r>
      <w:r w:rsidRPr="00126DE5">
        <w:rPr>
          <w:b/>
          <w:color w:val="0070C0"/>
          <w:sz w:val="20"/>
        </w:rPr>
        <w:fldChar w:fldCharType="separate"/>
      </w:r>
      <w:r w:rsidR="00126DE5" w:rsidRPr="00126DE5">
        <w:rPr>
          <w:b/>
          <w:color w:val="0070C0"/>
        </w:rPr>
        <w:t>INF-1: Infiltration Basin Fact Sheet</w:t>
      </w:r>
      <w:r w:rsidRPr="00126DE5">
        <w:rPr>
          <w:b/>
          <w:color w:val="0070C0"/>
          <w:sz w:val="20"/>
        </w:rPr>
        <w:fldChar w:fldCharType="end"/>
      </w:r>
    </w:p>
    <w:p w:rsidR="00FC34E0" w:rsidRPr="00126DE5" w:rsidRDefault="00126F3D" w:rsidP="009E1CFF">
      <w:pPr>
        <w:spacing w:after="0"/>
        <w:ind w:left="1440"/>
        <w:contextualSpacing/>
        <w:rPr>
          <w:b/>
          <w:color w:val="0070C0"/>
          <w:sz w:val="20"/>
        </w:rPr>
      </w:pPr>
      <w:r w:rsidRPr="00126DE5">
        <w:rPr>
          <w:b/>
          <w:color w:val="0070C0"/>
          <w:sz w:val="20"/>
        </w:rPr>
        <w:fldChar w:fldCharType="begin"/>
      </w:r>
      <w:r w:rsidR="00FC34E0" w:rsidRPr="00126DE5">
        <w:rPr>
          <w:b/>
          <w:color w:val="0070C0"/>
          <w:sz w:val="20"/>
        </w:rPr>
        <w:instrText xml:space="preserve"> REF _Ref287794985 \h </w:instrText>
      </w:r>
      <w:r w:rsidRPr="00126DE5">
        <w:rPr>
          <w:b/>
          <w:color w:val="0070C0"/>
          <w:sz w:val="20"/>
        </w:rPr>
      </w:r>
      <w:r w:rsidRPr="00126DE5">
        <w:rPr>
          <w:b/>
          <w:color w:val="0070C0"/>
          <w:sz w:val="20"/>
        </w:rPr>
        <w:fldChar w:fldCharType="separate"/>
      </w:r>
      <w:r w:rsidR="00126DE5" w:rsidRPr="00126DE5">
        <w:rPr>
          <w:b/>
          <w:color w:val="0070C0"/>
        </w:rPr>
        <w:t>INF-2: Infiltration Trench Fact Sheet</w:t>
      </w:r>
      <w:r w:rsidRPr="00126DE5">
        <w:rPr>
          <w:b/>
          <w:color w:val="0070C0"/>
          <w:sz w:val="20"/>
        </w:rPr>
        <w:fldChar w:fldCharType="end"/>
      </w:r>
    </w:p>
    <w:p w:rsidR="00FC34E0" w:rsidRPr="00126DE5" w:rsidRDefault="00126F3D" w:rsidP="009E1CFF">
      <w:pPr>
        <w:spacing w:after="0"/>
        <w:ind w:left="1440"/>
        <w:contextualSpacing/>
        <w:rPr>
          <w:b/>
          <w:color w:val="0070C0"/>
          <w:sz w:val="20"/>
        </w:rPr>
      </w:pPr>
      <w:r w:rsidRPr="00126DE5">
        <w:rPr>
          <w:b/>
          <w:color w:val="0070C0"/>
          <w:sz w:val="20"/>
        </w:rPr>
        <w:fldChar w:fldCharType="begin"/>
      </w:r>
      <w:r w:rsidR="00FC34E0" w:rsidRPr="00126DE5">
        <w:rPr>
          <w:b/>
          <w:color w:val="0070C0"/>
          <w:sz w:val="20"/>
        </w:rPr>
        <w:instrText xml:space="preserve"> REF _Ref287794987 \h </w:instrText>
      </w:r>
      <w:r w:rsidRPr="00126DE5">
        <w:rPr>
          <w:b/>
          <w:color w:val="0070C0"/>
          <w:sz w:val="20"/>
        </w:rPr>
      </w:r>
      <w:r w:rsidRPr="00126DE5">
        <w:rPr>
          <w:b/>
          <w:color w:val="0070C0"/>
          <w:sz w:val="20"/>
        </w:rPr>
        <w:fldChar w:fldCharType="separate"/>
      </w:r>
      <w:r w:rsidR="00126DE5" w:rsidRPr="00126DE5">
        <w:rPr>
          <w:b/>
          <w:color w:val="0070C0"/>
        </w:rPr>
        <w:t>INF-3: Bioretention with no Underdrain</w:t>
      </w:r>
      <w:r w:rsidRPr="00126DE5">
        <w:rPr>
          <w:b/>
          <w:color w:val="0070C0"/>
          <w:sz w:val="20"/>
        </w:rPr>
        <w:fldChar w:fldCharType="end"/>
      </w:r>
    </w:p>
    <w:p w:rsidR="00FC34E0" w:rsidRPr="00126DE5" w:rsidRDefault="00126F3D" w:rsidP="009E1CFF">
      <w:pPr>
        <w:spacing w:after="0"/>
        <w:ind w:left="1440"/>
        <w:contextualSpacing/>
        <w:rPr>
          <w:b/>
          <w:color w:val="0070C0"/>
          <w:sz w:val="20"/>
        </w:rPr>
      </w:pPr>
      <w:r w:rsidRPr="00126DE5">
        <w:rPr>
          <w:b/>
          <w:color w:val="0070C0"/>
          <w:sz w:val="20"/>
        </w:rPr>
        <w:fldChar w:fldCharType="begin"/>
      </w:r>
      <w:r w:rsidR="00FC34E0" w:rsidRPr="00126DE5">
        <w:rPr>
          <w:b/>
          <w:color w:val="0070C0"/>
          <w:sz w:val="20"/>
        </w:rPr>
        <w:instrText xml:space="preserve"> REF _Ref287786628 \h </w:instrText>
      </w:r>
      <w:r w:rsidRPr="00126DE5">
        <w:rPr>
          <w:b/>
          <w:color w:val="0070C0"/>
          <w:sz w:val="20"/>
        </w:rPr>
      </w:r>
      <w:r w:rsidRPr="00126DE5">
        <w:rPr>
          <w:b/>
          <w:color w:val="0070C0"/>
          <w:sz w:val="20"/>
        </w:rPr>
        <w:fldChar w:fldCharType="separate"/>
      </w:r>
      <w:r w:rsidR="00126DE5" w:rsidRPr="00126DE5">
        <w:rPr>
          <w:b/>
          <w:color w:val="0070C0"/>
        </w:rPr>
        <w:t>INF-4: Bioinfiltration Fact Sheet</w:t>
      </w:r>
      <w:r w:rsidRPr="00126DE5">
        <w:rPr>
          <w:b/>
          <w:color w:val="0070C0"/>
          <w:sz w:val="20"/>
        </w:rPr>
        <w:fldChar w:fldCharType="end"/>
      </w:r>
    </w:p>
    <w:p w:rsidR="00FC34E0" w:rsidRPr="00126DE5" w:rsidRDefault="00126F3D" w:rsidP="009E1CFF">
      <w:pPr>
        <w:spacing w:after="0"/>
        <w:ind w:left="1440"/>
        <w:contextualSpacing/>
        <w:rPr>
          <w:b/>
          <w:color w:val="0070C0"/>
          <w:sz w:val="20"/>
        </w:rPr>
      </w:pPr>
      <w:r w:rsidRPr="00126DE5">
        <w:rPr>
          <w:b/>
          <w:color w:val="0070C0"/>
          <w:sz w:val="20"/>
        </w:rPr>
        <w:fldChar w:fldCharType="begin"/>
      </w:r>
      <w:r w:rsidR="00FC34E0" w:rsidRPr="00126DE5">
        <w:rPr>
          <w:b/>
          <w:color w:val="0070C0"/>
          <w:sz w:val="20"/>
        </w:rPr>
        <w:instrText xml:space="preserve"> REF _Ref287794990 \h </w:instrText>
      </w:r>
      <w:r w:rsidRPr="00126DE5">
        <w:rPr>
          <w:b/>
          <w:color w:val="0070C0"/>
          <w:sz w:val="20"/>
        </w:rPr>
      </w:r>
      <w:r w:rsidRPr="00126DE5">
        <w:rPr>
          <w:b/>
          <w:color w:val="0070C0"/>
          <w:sz w:val="20"/>
        </w:rPr>
        <w:fldChar w:fldCharType="separate"/>
      </w:r>
      <w:r w:rsidR="00126DE5" w:rsidRPr="00126DE5">
        <w:rPr>
          <w:b/>
          <w:color w:val="0070C0"/>
        </w:rPr>
        <w:t>INF-5: Drywell</w:t>
      </w:r>
      <w:r w:rsidRPr="00126DE5">
        <w:rPr>
          <w:b/>
          <w:color w:val="0070C0"/>
          <w:sz w:val="20"/>
        </w:rPr>
        <w:fldChar w:fldCharType="end"/>
      </w:r>
    </w:p>
    <w:p w:rsidR="00FC34E0" w:rsidRPr="00126DE5" w:rsidRDefault="00126F3D" w:rsidP="009E1CFF">
      <w:pPr>
        <w:spacing w:after="0"/>
        <w:ind w:left="1440"/>
        <w:contextualSpacing/>
        <w:rPr>
          <w:b/>
          <w:color w:val="0070C0"/>
          <w:sz w:val="20"/>
        </w:rPr>
      </w:pPr>
      <w:r w:rsidRPr="00126DE5">
        <w:rPr>
          <w:b/>
          <w:color w:val="0070C0"/>
          <w:sz w:val="20"/>
        </w:rPr>
        <w:fldChar w:fldCharType="begin"/>
      </w:r>
      <w:r w:rsidR="00FC34E0" w:rsidRPr="00126DE5">
        <w:rPr>
          <w:b/>
          <w:color w:val="0070C0"/>
          <w:sz w:val="20"/>
        </w:rPr>
        <w:instrText xml:space="preserve"> REF _Ref287794995 \h </w:instrText>
      </w:r>
      <w:r w:rsidRPr="00126DE5">
        <w:rPr>
          <w:b/>
          <w:color w:val="0070C0"/>
          <w:sz w:val="20"/>
        </w:rPr>
      </w:r>
      <w:r w:rsidRPr="00126DE5">
        <w:rPr>
          <w:b/>
          <w:color w:val="0070C0"/>
          <w:sz w:val="20"/>
        </w:rPr>
        <w:fldChar w:fldCharType="separate"/>
      </w:r>
      <w:r w:rsidR="00126DE5" w:rsidRPr="00126DE5">
        <w:rPr>
          <w:b/>
          <w:color w:val="0070C0"/>
        </w:rPr>
        <w:t>INF-6: Permeable Pavement (concrete, asphalt, and pavers)</w:t>
      </w:r>
      <w:r w:rsidRPr="00126DE5">
        <w:rPr>
          <w:b/>
          <w:color w:val="0070C0"/>
          <w:sz w:val="20"/>
        </w:rPr>
        <w:fldChar w:fldCharType="end"/>
      </w:r>
    </w:p>
    <w:p w:rsidR="00FC34E0" w:rsidRPr="00126DE5" w:rsidRDefault="00126F3D" w:rsidP="009E1CFF">
      <w:pPr>
        <w:pStyle w:val="CDMBTEXT"/>
        <w:spacing w:after="0"/>
        <w:ind w:left="1440"/>
        <w:contextualSpacing/>
        <w:rPr>
          <w:b/>
          <w:color w:val="0070C0"/>
          <w:sz w:val="20"/>
        </w:rPr>
      </w:pPr>
      <w:r w:rsidRPr="00126DE5">
        <w:rPr>
          <w:b/>
          <w:color w:val="0070C0"/>
          <w:sz w:val="20"/>
        </w:rPr>
        <w:fldChar w:fldCharType="begin"/>
      </w:r>
      <w:r w:rsidR="00FC34E0" w:rsidRPr="00126DE5">
        <w:rPr>
          <w:b/>
          <w:color w:val="0070C0"/>
          <w:sz w:val="20"/>
        </w:rPr>
        <w:instrText xml:space="preserve"> REF _Ref287794997 \h </w:instrText>
      </w:r>
      <w:r w:rsidRPr="00126DE5">
        <w:rPr>
          <w:b/>
          <w:color w:val="0070C0"/>
          <w:sz w:val="20"/>
        </w:rPr>
      </w:r>
      <w:r w:rsidRPr="00126DE5">
        <w:rPr>
          <w:b/>
          <w:color w:val="0070C0"/>
          <w:sz w:val="20"/>
        </w:rPr>
        <w:fldChar w:fldCharType="separate"/>
      </w:r>
      <w:r w:rsidR="00126DE5" w:rsidRPr="00126DE5">
        <w:rPr>
          <w:b/>
          <w:color w:val="0070C0"/>
        </w:rPr>
        <w:t>INF-7: Underground Infiltration</w:t>
      </w:r>
      <w:r w:rsidRPr="00126DE5">
        <w:rPr>
          <w:b/>
          <w:color w:val="0070C0"/>
          <w:sz w:val="20"/>
        </w:rPr>
        <w:fldChar w:fldCharType="end"/>
      </w:r>
    </w:p>
    <w:p w:rsidR="009E1CFF" w:rsidRPr="005A74EE" w:rsidRDefault="009E1CFF" w:rsidP="009E1CFF">
      <w:pPr>
        <w:pStyle w:val="CDMBTEXT"/>
        <w:spacing w:after="0"/>
        <w:ind w:left="1440"/>
        <w:contextualSpacing/>
        <w:rPr>
          <w:rFonts w:ascii="Arial" w:hAnsi="Arial"/>
          <w:b/>
          <w:color w:val="0070C0"/>
          <w:sz w:val="20"/>
        </w:rPr>
      </w:pPr>
    </w:p>
    <w:p w:rsidR="00FC34E0" w:rsidRPr="00126DE5" w:rsidRDefault="00126F3D" w:rsidP="009E1CFF">
      <w:pPr>
        <w:pStyle w:val="CDMBTEXT"/>
        <w:spacing w:after="0"/>
        <w:ind w:left="720"/>
        <w:contextualSpacing/>
        <w:rPr>
          <w:b/>
          <w:color w:val="0070C0"/>
          <w:sz w:val="20"/>
        </w:rPr>
      </w:pPr>
      <w:r w:rsidRPr="00126DE5">
        <w:rPr>
          <w:b/>
          <w:color w:val="0070C0"/>
          <w:sz w:val="20"/>
        </w:rPr>
        <w:fldChar w:fldCharType="begin"/>
      </w:r>
      <w:r w:rsidR="00FC34E0" w:rsidRPr="00126DE5">
        <w:rPr>
          <w:b/>
          <w:color w:val="0070C0"/>
          <w:sz w:val="20"/>
        </w:rPr>
        <w:instrText xml:space="preserve"> REF _Ref287698673 \h </w:instrText>
      </w:r>
      <w:r w:rsidRPr="00126DE5">
        <w:rPr>
          <w:b/>
          <w:color w:val="0070C0"/>
          <w:sz w:val="20"/>
        </w:rPr>
      </w:r>
      <w:r w:rsidRPr="00126DE5">
        <w:rPr>
          <w:b/>
          <w:color w:val="0070C0"/>
          <w:sz w:val="20"/>
        </w:rPr>
        <w:fldChar w:fldCharType="separate"/>
      </w:r>
      <w:r w:rsidR="00126DE5" w:rsidRPr="00126DE5">
        <w:rPr>
          <w:b/>
          <w:color w:val="0070C0"/>
        </w:rPr>
        <w:t>Harvest and Use BMP Fact Sheets (HU)</w:t>
      </w:r>
      <w:r w:rsidRPr="00126DE5">
        <w:rPr>
          <w:b/>
          <w:color w:val="0070C0"/>
          <w:sz w:val="20"/>
        </w:rPr>
        <w:fldChar w:fldCharType="end"/>
      </w:r>
    </w:p>
    <w:p w:rsidR="00FC34E0" w:rsidRPr="00126DE5" w:rsidRDefault="00126F3D" w:rsidP="009E1CFF">
      <w:pPr>
        <w:pStyle w:val="CDMBTEXT"/>
        <w:spacing w:after="0"/>
        <w:ind w:left="1440"/>
        <w:contextualSpacing/>
        <w:rPr>
          <w:b/>
          <w:color w:val="0070C0"/>
          <w:szCs w:val="22"/>
        </w:rPr>
      </w:pPr>
      <w:fldSimple w:instr=" REF _Ref287795280 \h  \* MERGEFORMAT ">
        <w:r w:rsidR="00126DE5" w:rsidRPr="00126DE5">
          <w:rPr>
            <w:b/>
            <w:color w:val="0070C0"/>
            <w:szCs w:val="22"/>
          </w:rPr>
          <w:t>HU-1: Above-Ground Cisterns</w:t>
        </w:r>
      </w:fldSimple>
    </w:p>
    <w:p w:rsidR="00FC34E0" w:rsidRPr="00126DE5" w:rsidRDefault="00126F3D" w:rsidP="009E1CFF">
      <w:pPr>
        <w:pStyle w:val="CDMBTEXT"/>
        <w:spacing w:after="0"/>
        <w:ind w:left="1440"/>
        <w:contextualSpacing/>
        <w:rPr>
          <w:b/>
          <w:color w:val="0070C0"/>
          <w:szCs w:val="22"/>
        </w:rPr>
      </w:pPr>
      <w:fldSimple w:instr=" REF _Ref287795282 \h  \* MERGEFORMAT ">
        <w:r w:rsidR="00126DE5" w:rsidRPr="00126DE5">
          <w:rPr>
            <w:b/>
            <w:color w:val="0070C0"/>
            <w:szCs w:val="22"/>
          </w:rPr>
          <w:t xml:space="preserve">HU-2: </w:t>
        </w:r>
        <w:r w:rsidR="00126DE5" w:rsidRPr="00126DE5">
          <w:rPr>
            <w:b/>
            <w:noProof/>
            <w:color w:val="0070C0"/>
            <w:szCs w:val="22"/>
          </w:rPr>
          <w:t>Underground Detention</w:t>
        </w:r>
      </w:fldSimple>
    </w:p>
    <w:p w:rsidR="009E1CFF" w:rsidRPr="005A74EE" w:rsidRDefault="009E1CFF" w:rsidP="009E1CFF">
      <w:pPr>
        <w:pStyle w:val="CDMBTEXT"/>
        <w:spacing w:after="0"/>
        <w:ind w:left="1440"/>
        <w:contextualSpacing/>
        <w:rPr>
          <w:rFonts w:ascii="Arial" w:hAnsi="Arial"/>
          <w:b/>
          <w:color w:val="0070C0"/>
          <w:sz w:val="20"/>
        </w:rPr>
      </w:pPr>
    </w:p>
    <w:p w:rsidR="00FC34E0" w:rsidRPr="00126DE5" w:rsidRDefault="00126F3D" w:rsidP="009E1CFF">
      <w:pPr>
        <w:pStyle w:val="CDMBTEXT"/>
        <w:spacing w:after="0"/>
        <w:ind w:left="720"/>
        <w:contextualSpacing/>
        <w:rPr>
          <w:b/>
          <w:color w:val="0070C0"/>
          <w:sz w:val="20"/>
        </w:rPr>
      </w:pPr>
      <w:r w:rsidRPr="00126DE5">
        <w:rPr>
          <w:b/>
          <w:color w:val="0070C0"/>
          <w:sz w:val="20"/>
        </w:rPr>
        <w:fldChar w:fldCharType="begin"/>
      </w:r>
      <w:r w:rsidR="00FC34E0" w:rsidRPr="00126DE5">
        <w:rPr>
          <w:b/>
          <w:color w:val="0070C0"/>
          <w:sz w:val="20"/>
        </w:rPr>
        <w:instrText xml:space="preserve"> REF _Ref287698674 \h </w:instrText>
      </w:r>
      <w:r w:rsidRPr="00126DE5">
        <w:rPr>
          <w:b/>
          <w:color w:val="0070C0"/>
          <w:sz w:val="20"/>
        </w:rPr>
      </w:r>
      <w:r w:rsidRPr="00126DE5">
        <w:rPr>
          <w:b/>
          <w:color w:val="0070C0"/>
          <w:sz w:val="20"/>
        </w:rPr>
        <w:fldChar w:fldCharType="separate"/>
      </w:r>
      <w:r w:rsidR="00126DE5" w:rsidRPr="00126DE5">
        <w:rPr>
          <w:b/>
          <w:color w:val="0070C0"/>
        </w:rPr>
        <w:t>Biotreatment BMP Fact Sheets (BIO)</w:t>
      </w:r>
      <w:r w:rsidRPr="00126DE5">
        <w:rPr>
          <w:b/>
          <w:color w:val="0070C0"/>
          <w:sz w:val="20"/>
        </w:rPr>
        <w:fldChar w:fldCharType="end"/>
      </w:r>
    </w:p>
    <w:p w:rsidR="00FC34E0" w:rsidRPr="00126DE5" w:rsidRDefault="00126F3D" w:rsidP="009E1CFF">
      <w:pPr>
        <w:pStyle w:val="CDMBTEXT"/>
        <w:spacing w:after="0"/>
        <w:ind w:left="1440"/>
        <w:contextualSpacing/>
        <w:rPr>
          <w:b/>
          <w:color w:val="0070C0"/>
          <w:szCs w:val="22"/>
        </w:rPr>
      </w:pPr>
      <w:fldSimple w:instr=" REF _Ref287705823 \h  \* MERGEFORMAT ">
        <w:r w:rsidR="00126DE5" w:rsidRPr="00126DE5">
          <w:rPr>
            <w:b/>
            <w:color w:val="0070C0"/>
            <w:szCs w:val="22"/>
          </w:rPr>
          <w:t>BIO-1: Bioretention with Underdrains</w:t>
        </w:r>
      </w:fldSimple>
    </w:p>
    <w:p w:rsidR="00FC34E0" w:rsidRPr="00126DE5" w:rsidRDefault="00126F3D" w:rsidP="009E1CFF">
      <w:pPr>
        <w:pStyle w:val="CDMBTEXT"/>
        <w:spacing w:after="0"/>
        <w:ind w:left="1440"/>
        <w:contextualSpacing/>
        <w:rPr>
          <w:b/>
          <w:color w:val="0070C0"/>
          <w:szCs w:val="22"/>
        </w:rPr>
      </w:pPr>
      <w:fldSimple w:instr=" REF _Ref287795156 \h  \* MERGEFORMAT ">
        <w:r w:rsidR="00126DE5" w:rsidRPr="00126DE5">
          <w:rPr>
            <w:b/>
            <w:color w:val="0070C0"/>
            <w:szCs w:val="22"/>
          </w:rPr>
          <w:t>BIO-2: Vegetated Swale</w:t>
        </w:r>
      </w:fldSimple>
    </w:p>
    <w:p w:rsidR="00FC34E0" w:rsidRPr="00126DE5" w:rsidRDefault="00126F3D" w:rsidP="009E1CFF">
      <w:pPr>
        <w:pStyle w:val="CDMBTEXT"/>
        <w:spacing w:after="0"/>
        <w:ind w:left="1440"/>
        <w:contextualSpacing/>
        <w:rPr>
          <w:b/>
          <w:color w:val="0070C0"/>
          <w:szCs w:val="22"/>
        </w:rPr>
      </w:pPr>
      <w:fldSimple w:instr=" REF _Ref287795158 \h  \* MERGEFORMAT ">
        <w:r w:rsidR="00126DE5" w:rsidRPr="00126DE5">
          <w:rPr>
            <w:b/>
            <w:color w:val="0070C0"/>
            <w:szCs w:val="22"/>
          </w:rPr>
          <w:t>BIO-3: Vegetated Filter Strip</w:t>
        </w:r>
      </w:fldSimple>
    </w:p>
    <w:p w:rsidR="00FC34E0" w:rsidRPr="00126DE5" w:rsidRDefault="00126F3D" w:rsidP="009E1CFF">
      <w:pPr>
        <w:pStyle w:val="CDMBTEXT"/>
        <w:spacing w:after="0"/>
        <w:ind w:left="1440"/>
        <w:contextualSpacing/>
        <w:rPr>
          <w:b/>
          <w:color w:val="0070C0"/>
          <w:szCs w:val="22"/>
        </w:rPr>
      </w:pPr>
      <w:fldSimple w:instr=" REF _Ref287795159 \h  \* MERGEFORMAT ">
        <w:r w:rsidR="00126DE5" w:rsidRPr="00126DE5">
          <w:rPr>
            <w:b/>
            <w:color w:val="0070C0"/>
            <w:szCs w:val="22"/>
          </w:rPr>
          <w:t>BIO-4: Wet Detention Basin</w:t>
        </w:r>
      </w:fldSimple>
    </w:p>
    <w:p w:rsidR="009E1CFF" w:rsidRPr="00126DE5" w:rsidRDefault="00126F3D" w:rsidP="009E1CFF">
      <w:pPr>
        <w:pStyle w:val="CDMBTEXT"/>
        <w:spacing w:after="0"/>
        <w:ind w:left="1440"/>
        <w:contextualSpacing/>
        <w:rPr>
          <w:b/>
          <w:color w:val="0070C0"/>
          <w:szCs w:val="22"/>
        </w:rPr>
      </w:pPr>
      <w:fldSimple w:instr=" REF _Ref287795162 \h  \* MERGEFORMAT ">
        <w:r w:rsidR="00126DE5" w:rsidRPr="00126DE5">
          <w:rPr>
            <w:b/>
            <w:color w:val="0070C0"/>
            <w:szCs w:val="22"/>
          </w:rPr>
          <w:t>BIO-5: Constructed Wetland</w:t>
        </w:r>
      </w:fldSimple>
    </w:p>
    <w:p w:rsidR="00344DD2" w:rsidRPr="00126DE5" w:rsidRDefault="00126F3D" w:rsidP="009E1CFF">
      <w:pPr>
        <w:pStyle w:val="CDMBTEXT"/>
        <w:spacing w:after="0"/>
        <w:ind w:left="1440"/>
        <w:contextualSpacing/>
        <w:rPr>
          <w:b/>
          <w:color w:val="0070C0"/>
          <w:szCs w:val="22"/>
        </w:rPr>
      </w:pPr>
      <w:r w:rsidRPr="00126DE5">
        <w:rPr>
          <w:b/>
          <w:color w:val="0070C0"/>
          <w:szCs w:val="22"/>
        </w:rPr>
        <w:fldChar w:fldCharType="begin"/>
      </w:r>
      <w:r w:rsidR="00344DD2" w:rsidRPr="00126DE5">
        <w:rPr>
          <w:b/>
          <w:color w:val="0070C0"/>
          <w:szCs w:val="22"/>
        </w:rPr>
        <w:instrText xml:space="preserve"> REF _Ref288544244 \h </w:instrText>
      </w:r>
      <w:r w:rsidRPr="00126DE5">
        <w:rPr>
          <w:b/>
          <w:color w:val="0070C0"/>
          <w:szCs w:val="22"/>
        </w:rPr>
      </w:r>
      <w:r w:rsidRPr="00126DE5">
        <w:rPr>
          <w:b/>
          <w:color w:val="0070C0"/>
          <w:szCs w:val="22"/>
        </w:rPr>
        <w:fldChar w:fldCharType="separate"/>
      </w:r>
      <w:r w:rsidR="00126DE5" w:rsidRPr="00126DE5">
        <w:rPr>
          <w:b/>
          <w:color w:val="0070C0"/>
        </w:rPr>
        <w:t>BIO-6: Dry Extended Detention Basin</w:t>
      </w:r>
      <w:r w:rsidRPr="00126DE5">
        <w:rPr>
          <w:b/>
          <w:color w:val="0070C0"/>
          <w:szCs w:val="22"/>
        </w:rPr>
        <w:fldChar w:fldCharType="end"/>
      </w:r>
    </w:p>
    <w:p w:rsidR="00FC34E0" w:rsidRPr="00126DE5" w:rsidRDefault="00126F3D" w:rsidP="009E1CFF">
      <w:pPr>
        <w:pStyle w:val="CDMBTEXT"/>
        <w:spacing w:after="0"/>
        <w:ind w:left="1440"/>
        <w:contextualSpacing/>
        <w:rPr>
          <w:b/>
          <w:color w:val="0070C0"/>
          <w:szCs w:val="22"/>
        </w:rPr>
      </w:pPr>
      <w:fldSimple w:instr=" REF _Ref287795164 \h  \* MERGEFORMAT ">
        <w:r w:rsidR="00126DE5" w:rsidRPr="00126DE5">
          <w:rPr>
            <w:b/>
            <w:color w:val="0070C0"/>
            <w:szCs w:val="22"/>
          </w:rPr>
          <w:t>BIO-7: Proprietary Biotreatment</w:t>
        </w:r>
      </w:fldSimple>
    </w:p>
    <w:p w:rsidR="009E1CFF" w:rsidRPr="005A74EE" w:rsidRDefault="009E1CFF" w:rsidP="009E1CFF">
      <w:pPr>
        <w:pStyle w:val="CDMBTEXT"/>
        <w:spacing w:after="0"/>
        <w:ind w:left="1440"/>
        <w:contextualSpacing/>
        <w:rPr>
          <w:rFonts w:ascii="Arial" w:hAnsi="Arial"/>
          <w:b/>
          <w:color w:val="0070C0"/>
          <w:sz w:val="20"/>
        </w:rPr>
      </w:pPr>
    </w:p>
    <w:p w:rsidR="00FC34E0" w:rsidRPr="00126DE5" w:rsidRDefault="00126F3D" w:rsidP="009E1CFF">
      <w:pPr>
        <w:pStyle w:val="CDMBTEXT"/>
        <w:spacing w:after="0"/>
        <w:ind w:left="720"/>
        <w:contextualSpacing/>
        <w:rPr>
          <w:b/>
          <w:color w:val="0070C0"/>
          <w:sz w:val="20"/>
        </w:rPr>
      </w:pPr>
      <w:r w:rsidRPr="00126DE5">
        <w:rPr>
          <w:b/>
          <w:color w:val="0070C0"/>
          <w:sz w:val="20"/>
        </w:rPr>
        <w:fldChar w:fldCharType="begin"/>
      </w:r>
      <w:r w:rsidR="00FC34E0" w:rsidRPr="00126DE5">
        <w:rPr>
          <w:b/>
          <w:color w:val="0070C0"/>
          <w:sz w:val="20"/>
        </w:rPr>
        <w:instrText xml:space="preserve"> REF _Ref287698676 \h </w:instrText>
      </w:r>
      <w:r w:rsidRPr="00126DE5">
        <w:rPr>
          <w:b/>
          <w:color w:val="0070C0"/>
          <w:sz w:val="20"/>
        </w:rPr>
      </w:r>
      <w:r w:rsidRPr="00126DE5">
        <w:rPr>
          <w:b/>
          <w:color w:val="0070C0"/>
          <w:sz w:val="20"/>
        </w:rPr>
        <w:fldChar w:fldCharType="separate"/>
      </w:r>
      <w:r w:rsidR="00126DE5" w:rsidRPr="00126DE5">
        <w:rPr>
          <w:b/>
          <w:color w:val="0070C0"/>
        </w:rPr>
        <w:t>Treatment Control BMP Fact Sheets (TRT)</w:t>
      </w:r>
      <w:r w:rsidRPr="00126DE5">
        <w:rPr>
          <w:b/>
          <w:color w:val="0070C0"/>
          <w:sz w:val="20"/>
        </w:rPr>
        <w:fldChar w:fldCharType="end"/>
      </w:r>
    </w:p>
    <w:p w:rsidR="00FC34E0" w:rsidRPr="00126DE5" w:rsidRDefault="00126F3D" w:rsidP="009E1CFF">
      <w:pPr>
        <w:pStyle w:val="CDMBTEXT"/>
        <w:spacing w:after="0"/>
        <w:ind w:left="1440"/>
        <w:contextualSpacing/>
        <w:rPr>
          <w:b/>
          <w:color w:val="0070C0"/>
          <w:sz w:val="20"/>
        </w:rPr>
      </w:pPr>
      <w:r w:rsidRPr="00126DE5">
        <w:rPr>
          <w:b/>
          <w:color w:val="0070C0"/>
          <w:sz w:val="20"/>
        </w:rPr>
        <w:fldChar w:fldCharType="begin"/>
      </w:r>
      <w:r w:rsidR="00FC34E0" w:rsidRPr="00126DE5">
        <w:rPr>
          <w:b/>
          <w:color w:val="0070C0"/>
          <w:sz w:val="20"/>
        </w:rPr>
        <w:instrText xml:space="preserve"> REF _Ref287795175 \h </w:instrText>
      </w:r>
      <w:r w:rsidRPr="00126DE5">
        <w:rPr>
          <w:b/>
          <w:color w:val="0070C0"/>
          <w:sz w:val="20"/>
        </w:rPr>
      </w:r>
      <w:r w:rsidRPr="00126DE5">
        <w:rPr>
          <w:b/>
          <w:color w:val="0070C0"/>
          <w:sz w:val="20"/>
        </w:rPr>
        <w:fldChar w:fldCharType="separate"/>
      </w:r>
      <w:r w:rsidR="00126DE5" w:rsidRPr="00126DE5">
        <w:rPr>
          <w:b/>
          <w:color w:val="0070C0"/>
        </w:rPr>
        <w:t>TRT-1: Sand Filters</w:t>
      </w:r>
      <w:r w:rsidRPr="00126DE5">
        <w:rPr>
          <w:b/>
          <w:color w:val="0070C0"/>
          <w:sz w:val="20"/>
        </w:rPr>
        <w:fldChar w:fldCharType="end"/>
      </w:r>
    </w:p>
    <w:p w:rsidR="00FC34E0" w:rsidRPr="00126DE5" w:rsidRDefault="00126F3D" w:rsidP="009E1CFF">
      <w:pPr>
        <w:pStyle w:val="CDMBTEXT"/>
        <w:spacing w:after="0"/>
        <w:ind w:left="1440"/>
        <w:contextualSpacing/>
        <w:rPr>
          <w:b/>
          <w:color w:val="0070C0"/>
          <w:sz w:val="20"/>
        </w:rPr>
      </w:pPr>
      <w:r w:rsidRPr="00126DE5">
        <w:rPr>
          <w:b/>
          <w:color w:val="0070C0"/>
          <w:sz w:val="20"/>
        </w:rPr>
        <w:fldChar w:fldCharType="begin"/>
      </w:r>
      <w:r w:rsidR="00FC34E0" w:rsidRPr="00126DE5">
        <w:rPr>
          <w:b/>
          <w:color w:val="0070C0"/>
          <w:sz w:val="20"/>
        </w:rPr>
        <w:instrText xml:space="preserve"> REF _Ref261885398 \h </w:instrText>
      </w:r>
      <w:r w:rsidRPr="00126DE5">
        <w:rPr>
          <w:b/>
          <w:color w:val="0070C0"/>
          <w:sz w:val="20"/>
        </w:rPr>
      </w:r>
      <w:r w:rsidRPr="00126DE5">
        <w:rPr>
          <w:b/>
          <w:color w:val="0070C0"/>
          <w:sz w:val="20"/>
        </w:rPr>
        <w:fldChar w:fldCharType="separate"/>
      </w:r>
      <w:r w:rsidR="00126DE5" w:rsidRPr="00126DE5">
        <w:rPr>
          <w:b/>
          <w:color w:val="0070C0"/>
        </w:rPr>
        <w:t>TRT-2: Cartridge Media Filter</w:t>
      </w:r>
      <w:r w:rsidRPr="00126DE5">
        <w:rPr>
          <w:b/>
          <w:color w:val="0070C0"/>
          <w:sz w:val="20"/>
        </w:rPr>
        <w:fldChar w:fldCharType="end"/>
      </w:r>
    </w:p>
    <w:p w:rsidR="009E1CFF" w:rsidRPr="005A74EE" w:rsidRDefault="009E1CFF" w:rsidP="009E1CFF">
      <w:pPr>
        <w:pStyle w:val="CDMBTEXT"/>
        <w:spacing w:after="0"/>
        <w:ind w:left="1440"/>
        <w:contextualSpacing/>
        <w:rPr>
          <w:rFonts w:ascii="Arial" w:hAnsi="Arial"/>
          <w:b/>
          <w:color w:val="0070C0"/>
          <w:sz w:val="20"/>
        </w:rPr>
      </w:pPr>
    </w:p>
    <w:p w:rsidR="00FC34E0" w:rsidRPr="00126DE5" w:rsidRDefault="00126F3D" w:rsidP="009E1CFF">
      <w:pPr>
        <w:pStyle w:val="CDMBTEXT"/>
        <w:spacing w:after="0"/>
        <w:ind w:left="720"/>
        <w:contextualSpacing/>
        <w:rPr>
          <w:b/>
          <w:color w:val="0070C0"/>
          <w:sz w:val="20"/>
        </w:rPr>
      </w:pPr>
      <w:r w:rsidRPr="00126DE5">
        <w:rPr>
          <w:b/>
          <w:color w:val="0070C0"/>
          <w:sz w:val="20"/>
        </w:rPr>
        <w:fldChar w:fldCharType="begin"/>
      </w:r>
      <w:r w:rsidR="00FC34E0" w:rsidRPr="00126DE5">
        <w:rPr>
          <w:b/>
          <w:color w:val="0070C0"/>
          <w:sz w:val="20"/>
        </w:rPr>
        <w:instrText xml:space="preserve"> REF _Ref287698677 \h </w:instrText>
      </w:r>
      <w:r w:rsidRPr="00126DE5">
        <w:rPr>
          <w:b/>
          <w:color w:val="0070C0"/>
          <w:sz w:val="20"/>
        </w:rPr>
      </w:r>
      <w:r w:rsidRPr="00126DE5">
        <w:rPr>
          <w:b/>
          <w:color w:val="0070C0"/>
          <w:sz w:val="20"/>
        </w:rPr>
        <w:fldChar w:fldCharType="separate"/>
      </w:r>
      <w:r w:rsidR="00126DE5" w:rsidRPr="00126DE5">
        <w:rPr>
          <w:b/>
          <w:color w:val="0070C0"/>
        </w:rPr>
        <w:t>Pretreatment/Gross Solids Removal BMP Fact Sheets (PRE)</w:t>
      </w:r>
      <w:r w:rsidRPr="00126DE5">
        <w:rPr>
          <w:b/>
          <w:color w:val="0070C0"/>
          <w:sz w:val="20"/>
        </w:rPr>
        <w:fldChar w:fldCharType="end"/>
      </w:r>
    </w:p>
    <w:p w:rsidR="00FC34E0" w:rsidRPr="00126DE5" w:rsidRDefault="00126F3D" w:rsidP="009E1CFF">
      <w:pPr>
        <w:pStyle w:val="CDMBTEXT"/>
        <w:spacing w:after="0"/>
        <w:ind w:left="1440"/>
        <w:contextualSpacing/>
        <w:rPr>
          <w:b/>
          <w:color w:val="0070C0"/>
          <w:sz w:val="20"/>
        </w:rPr>
      </w:pPr>
      <w:r w:rsidRPr="00126DE5">
        <w:rPr>
          <w:b/>
          <w:color w:val="0070C0"/>
          <w:sz w:val="20"/>
        </w:rPr>
        <w:fldChar w:fldCharType="begin"/>
      </w:r>
      <w:r w:rsidR="00FC34E0" w:rsidRPr="00126DE5">
        <w:rPr>
          <w:b/>
          <w:color w:val="0070C0"/>
          <w:sz w:val="20"/>
        </w:rPr>
        <w:instrText xml:space="preserve"> REF _Ref287795183 \h </w:instrText>
      </w:r>
      <w:r w:rsidRPr="00126DE5">
        <w:rPr>
          <w:b/>
          <w:color w:val="0070C0"/>
          <w:sz w:val="20"/>
        </w:rPr>
      </w:r>
      <w:r w:rsidRPr="00126DE5">
        <w:rPr>
          <w:b/>
          <w:color w:val="0070C0"/>
          <w:sz w:val="20"/>
        </w:rPr>
        <w:fldChar w:fldCharType="separate"/>
      </w:r>
      <w:r w:rsidR="00126DE5" w:rsidRPr="00126DE5">
        <w:rPr>
          <w:b/>
          <w:color w:val="0070C0"/>
        </w:rPr>
        <w:t>PRE-1: Hydrodynamic Separation Device</w:t>
      </w:r>
      <w:r w:rsidRPr="00126DE5">
        <w:rPr>
          <w:b/>
          <w:color w:val="0070C0"/>
          <w:sz w:val="20"/>
        </w:rPr>
        <w:fldChar w:fldCharType="end"/>
      </w:r>
    </w:p>
    <w:p w:rsidR="00FC34E0" w:rsidRPr="00126DE5" w:rsidRDefault="00126F3D" w:rsidP="009E1CFF">
      <w:pPr>
        <w:pStyle w:val="CDMBTEXT"/>
        <w:spacing w:after="0"/>
        <w:ind w:left="1440"/>
        <w:contextualSpacing/>
        <w:rPr>
          <w:b/>
          <w:color w:val="0070C0"/>
          <w:sz w:val="20"/>
        </w:rPr>
      </w:pPr>
      <w:r w:rsidRPr="00126DE5">
        <w:rPr>
          <w:b/>
          <w:color w:val="0070C0"/>
          <w:sz w:val="20"/>
        </w:rPr>
        <w:fldChar w:fldCharType="begin"/>
      </w:r>
      <w:r w:rsidR="00FC34E0" w:rsidRPr="00126DE5">
        <w:rPr>
          <w:b/>
          <w:color w:val="0070C0"/>
          <w:sz w:val="20"/>
        </w:rPr>
        <w:instrText xml:space="preserve"> REF _Ref287795185 \h </w:instrText>
      </w:r>
      <w:r w:rsidRPr="00126DE5">
        <w:rPr>
          <w:b/>
          <w:color w:val="0070C0"/>
          <w:sz w:val="20"/>
        </w:rPr>
      </w:r>
      <w:r w:rsidRPr="00126DE5">
        <w:rPr>
          <w:b/>
          <w:color w:val="0070C0"/>
          <w:sz w:val="20"/>
        </w:rPr>
        <w:fldChar w:fldCharType="separate"/>
      </w:r>
      <w:r w:rsidR="00126DE5" w:rsidRPr="00126DE5">
        <w:rPr>
          <w:b/>
          <w:color w:val="0070C0"/>
        </w:rPr>
        <w:t>PRE-2: Catch Basin Insert Fact Sheet</w:t>
      </w:r>
      <w:r w:rsidRPr="00126DE5">
        <w:rPr>
          <w:b/>
          <w:color w:val="0070C0"/>
          <w:sz w:val="20"/>
        </w:rPr>
        <w:fldChar w:fldCharType="end"/>
      </w:r>
    </w:p>
    <w:p w:rsidR="009E1CFF" w:rsidRPr="005A74EE" w:rsidRDefault="009E1CFF" w:rsidP="009E1CFF">
      <w:pPr>
        <w:pStyle w:val="CDMBTEXT"/>
        <w:ind w:left="1440"/>
        <w:contextualSpacing/>
        <w:rPr>
          <w:rFonts w:ascii="Arial" w:hAnsi="Arial"/>
          <w:b/>
          <w:color w:val="0070C0"/>
          <w:sz w:val="20"/>
        </w:rPr>
      </w:pPr>
    </w:p>
    <w:p w:rsidR="00FC34E0" w:rsidRPr="00435B64" w:rsidRDefault="00FC34E0" w:rsidP="00FC34E0">
      <w:pPr>
        <w:pStyle w:val="CDMBTEXT"/>
        <w:rPr>
          <w:i/>
        </w:rPr>
      </w:pPr>
      <w:r w:rsidRPr="00435B64">
        <w:rPr>
          <w:i/>
        </w:rPr>
        <w:t xml:space="preserve">Note: </w:t>
      </w:r>
      <w:r w:rsidR="00FD5274">
        <w:rPr>
          <w:i/>
        </w:rPr>
        <w:t>ET</w:t>
      </w:r>
      <w:r w:rsidRPr="00435B64">
        <w:rPr>
          <w:i/>
        </w:rPr>
        <w:t xml:space="preserve"> </w:t>
      </w:r>
      <w:r>
        <w:rPr>
          <w:i/>
        </w:rPr>
        <w:t>plays an</w:t>
      </w:r>
      <w:r w:rsidRPr="00435B64">
        <w:rPr>
          <w:i/>
        </w:rPr>
        <w:t xml:space="preserve"> important </w:t>
      </w:r>
      <w:r>
        <w:rPr>
          <w:i/>
        </w:rPr>
        <w:t xml:space="preserve">role in the performance </w:t>
      </w:r>
      <w:r w:rsidRPr="00435B64">
        <w:rPr>
          <w:i/>
        </w:rPr>
        <w:t>of HSC</w:t>
      </w:r>
      <w:r>
        <w:rPr>
          <w:i/>
        </w:rPr>
        <w:t>, INF, HU, and BIO BMPs. However, s</w:t>
      </w:r>
      <w:r w:rsidRPr="00435B64">
        <w:rPr>
          <w:i/>
        </w:rPr>
        <w:t>pecific fact sheets for ET are not included.</w:t>
      </w:r>
      <w:r>
        <w:rPr>
          <w:i/>
        </w:rPr>
        <w:t xml:space="preserve"> Criteria for designing BMPs to achieve the maximum feasible infiltration and ET are contained in </w:t>
      </w:r>
      <w:r w:rsidR="00126F3D" w:rsidRPr="00126DE5">
        <w:rPr>
          <w:b/>
          <w:color w:val="0070C0"/>
          <w:sz w:val="20"/>
        </w:rPr>
        <w:fldChar w:fldCharType="begin"/>
      </w:r>
      <w:r w:rsidRPr="00126DE5">
        <w:rPr>
          <w:b/>
          <w:color w:val="0070C0"/>
          <w:sz w:val="20"/>
        </w:rPr>
        <w:instrText xml:space="preserve"> REF _Ref287699255 \r \h </w:instrText>
      </w:r>
      <w:r w:rsidR="00126F3D" w:rsidRPr="00126DE5">
        <w:rPr>
          <w:b/>
          <w:color w:val="0070C0"/>
          <w:sz w:val="20"/>
        </w:rPr>
      </w:r>
      <w:r w:rsidR="00126F3D" w:rsidRPr="00126DE5">
        <w:rPr>
          <w:b/>
          <w:color w:val="0070C0"/>
          <w:sz w:val="20"/>
        </w:rPr>
        <w:fldChar w:fldCharType="separate"/>
      </w:r>
      <w:r w:rsidR="00126DE5" w:rsidRPr="00126DE5">
        <w:rPr>
          <w:b/>
          <w:color w:val="0070C0"/>
          <w:sz w:val="20"/>
        </w:rPr>
        <w:t>Appendix XI</w:t>
      </w:r>
      <w:r w:rsidR="00126F3D" w:rsidRPr="00126DE5">
        <w:rPr>
          <w:b/>
          <w:color w:val="0070C0"/>
          <w:sz w:val="20"/>
        </w:rPr>
        <w:fldChar w:fldCharType="end"/>
      </w:r>
      <w:r>
        <w:rPr>
          <w:i/>
        </w:rPr>
        <w:t>.</w:t>
      </w:r>
    </w:p>
    <w:p w:rsidR="00FC34E0" w:rsidRDefault="00FC34E0" w:rsidP="00FC34E0">
      <w:pPr>
        <w:pStyle w:val="CDMBTEXT"/>
      </w:pPr>
      <w:r>
        <w:t>The BMP designs described in these fact sheets and in the referenced design manuals shall constitute what are intended as LID and Treatment Control BMPs for the purpose of meeting stormwater management requirements.  Other BMP types and variations on these designs may be approved at the discretion of the reviewing agency if documentation is provided demonstrating similar functions and equivalent or better expected performance.</w:t>
      </w:r>
    </w:p>
    <w:p w:rsidR="00FC34E0" w:rsidRDefault="00FC34E0" w:rsidP="00FC34E0">
      <w:pPr>
        <w:spacing w:after="200"/>
        <w:rPr>
          <w:rFonts w:eastAsia="Times New Roman" w:cs="Times New Roman"/>
          <w:szCs w:val="20"/>
        </w:rPr>
      </w:pPr>
      <w:r>
        <w:br w:type="page"/>
      </w:r>
    </w:p>
    <w:p w:rsidR="00FC34E0" w:rsidRPr="00B53524" w:rsidRDefault="00FC34E0" w:rsidP="00A52883">
      <w:pPr>
        <w:pStyle w:val="Heading2"/>
      </w:pPr>
      <w:bookmarkStart w:id="762" w:name="_Toc287791058"/>
      <w:bookmarkStart w:id="763" w:name="_Ref287698664"/>
      <w:bookmarkStart w:id="764" w:name="_Toc288541121"/>
      <w:bookmarkStart w:id="765" w:name="_Toc293937177"/>
      <w:bookmarkEnd w:id="762"/>
      <w:r w:rsidRPr="003C19F9">
        <w:t>Hydrologic Source Control</w:t>
      </w:r>
      <w:bookmarkEnd w:id="760"/>
      <w:bookmarkEnd w:id="761"/>
      <w:r w:rsidRPr="003C19F9">
        <w:t xml:space="preserve"> Fact Sheets (HSC)</w:t>
      </w:r>
      <w:bookmarkStart w:id="766" w:name="_Toc287791060"/>
      <w:bookmarkEnd w:id="763"/>
      <w:bookmarkEnd w:id="764"/>
      <w:bookmarkEnd w:id="766"/>
      <w:bookmarkEnd w:id="765"/>
    </w:p>
    <w:p w:rsidR="00FC34E0" w:rsidRPr="00B53524" w:rsidRDefault="00126F3D" w:rsidP="00533A19">
      <w:pPr>
        <w:pStyle w:val="Heading3"/>
        <w:numPr>
          <w:ilvl w:val="0"/>
          <w:numId w:val="0"/>
        </w:numPr>
        <w:ind w:left="907" w:hanging="907"/>
      </w:pPr>
      <w:bookmarkStart w:id="767" w:name="_Ref285549719"/>
      <w:bookmarkStart w:id="768" w:name="_Toc285522590"/>
      <w:bookmarkStart w:id="769" w:name="_Toc285589320"/>
      <w:r>
        <w:rPr>
          <w:noProof/>
        </w:rPr>
        <w:pict>
          <v:shapetype id="_x0000_t202" coordsize="21600,21600" o:spt="202" path="m,l,21600r21600,l21600,xe">
            <v:stroke joinstyle="miter"/>
            <v:path gradientshapeok="t" o:connecttype="rect"/>
          </v:shapetype>
          <v:shape id="Text Box 38" o:spid="_x0000_s1143" type="#_x0000_t202" style="position:absolute;left:0;text-align:left;margin-left:-158.4pt;margin-top:120.35pt;width:158.4pt;height:176.8pt;z-index:251747328;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" filled="f">
            <v:textbox style="mso-next-textbox:#Text Box 38" inset="0,0,0,0">
              <w:txbxContent>
                <w:p w:rsidR="00853C9A" w:rsidRDefault="00853C9A" w:rsidP="00FC34E0">
                  <w:pPr>
                    <w:ind w:left="-29" w:right="-29"/>
                    <w:rPr>
                      <w:rFonts w:ascii="Arial" w:hAnsi="Arial" w:cs="Arial"/>
                      <w:noProof/>
                      <w:sz w:val="20"/>
                    </w:rPr>
                  </w:pPr>
                  <w:r w:rsidRPr="00B810A1">
                    <w:rPr>
                      <w:rFonts w:ascii="Arial" w:hAnsi="Arial" w:cs="Arial"/>
                      <w:noProof/>
                      <w:sz w:val="20"/>
                    </w:rPr>
                    <w:drawing>
                      <wp:inline distT="0" distB="0" distL="0" distR="0">
                        <wp:extent cx="2002155" cy="1526057"/>
                        <wp:effectExtent l="19050" t="0" r="0" b="0"/>
                        <wp:docPr id="7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screen"/>
                                <a:srcRect/>
                                <a:stretch>
                                  <a:fillRect/>
                                </a:stretch>
                              </pic:blipFill>
                              <pic:spPr bwMode="auto">
                                <a:xfrm>
                                  <a:off x="0" y="0"/>
                                  <a:ext cx="2002155" cy="1526057"/>
                                </a:xfrm>
                                <a:prstGeom prst="rect">
                                  <a:avLst/>
                                </a:prstGeom>
                                <a:noFill/>
                                <a:ln w="9525">
                                  <a:noFill/>
                                  <a:miter lim="800000"/>
                                  <a:headEnd/>
                                  <a:tailEnd/>
                                </a:ln>
                              </pic:spPr>
                            </pic:pic>
                          </a:graphicData>
                        </a:graphic>
                      </wp:inline>
                    </w:drawing>
                  </w:r>
                </w:p>
                <w:p w:rsidR="00853C9A" w:rsidRDefault="00853C9A" w:rsidP="00FC34E0">
                  <w:pPr>
                    <w:spacing w:after="0"/>
                    <w:ind w:left="187" w:right="-29"/>
                    <w:rPr>
                      <w:rFonts w:ascii="Arial" w:hAnsi="Arial" w:cs="Arial"/>
                      <w:sz w:val="20"/>
                    </w:rPr>
                  </w:pPr>
                  <w:r>
                    <w:rPr>
                      <w:rFonts w:ascii="Arial" w:hAnsi="Arial" w:cs="Arial"/>
                      <w:sz w:val="20"/>
                    </w:rPr>
                    <w:t>On-lot rain garden</w:t>
                  </w:r>
                </w:p>
                <w:p w:rsidR="00853C9A" w:rsidRPr="00D25460" w:rsidRDefault="00853C9A" w:rsidP="00FC34E0">
                  <w:pPr>
                    <w:spacing w:after="0"/>
                    <w:ind w:left="187" w:right="-29"/>
                    <w:rPr>
                      <w:rFonts w:ascii="Arial" w:hAnsi="Arial" w:cs="Arial"/>
                      <w:i/>
                      <w:sz w:val="20"/>
                    </w:rPr>
                  </w:pPr>
                  <w:r w:rsidRPr="00D25460">
                    <w:rPr>
                      <w:rFonts w:ascii="Arial" w:hAnsi="Arial" w:cs="Arial"/>
                      <w:i/>
                      <w:sz w:val="18"/>
                    </w:rPr>
                    <w:t xml:space="preserve">Source: </w:t>
                  </w:r>
                  <w:r w:rsidRPr="00B810A1">
                    <w:rPr>
                      <w:rFonts w:ascii="Arial" w:hAnsi="Arial" w:cs="Arial"/>
                      <w:i/>
                      <w:sz w:val="18"/>
                    </w:rPr>
                    <w:t>lowimpactdevelopment.org</w:t>
                  </w:r>
                </w:p>
              </w:txbxContent>
            </v:textbox>
            <w10:wrap type="square" anchorx="margin" anchory="margin"/>
          </v:shape>
        </w:pict>
      </w:r>
      <w:r>
        <w:rPr>
          <w:noProof/>
        </w:rPr>
        <w:pict>
          <v:shape id="Text Box 37" o:spid="_x0000_s1142" type="#_x0000_t202" style="position:absolute;left:0;text-align:left;margin-left:-158.4pt;margin-top:33.9pt;width:158.4pt;height:86.45pt;z-index:251746304;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" fillcolor="#d8d8d8">
            <v:textbox style="mso-next-textbox:#Text Box 37">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Pr="00384989" w:rsidRDefault="00853C9A" w:rsidP="009531AF">
                  <w:pPr>
                    <w:pStyle w:val="CDMBTEXT"/>
                    <w:numPr>
                      <w:ilvl w:val="0"/>
                      <w:numId w:val="67"/>
                    </w:numPr>
                    <w:spacing w:after="60" w:line="240" w:lineRule="auto"/>
                    <w:ind w:left="540"/>
                    <w:rPr>
                      <w:i/>
                    </w:rPr>
                  </w:pPr>
                  <w:r>
                    <w:rPr>
                      <w:i/>
                    </w:rPr>
                    <w:t>Downspout infiltration</w:t>
                  </w:r>
                </w:p>
                <w:p w:rsidR="00853C9A" w:rsidRPr="00384989" w:rsidRDefault="00853C9A" w:rsidP="009531AF">
                  <w:pPr>
                    <w:pStyle w:val="CDMBTEXT"/>
                    <w:numPr>
                      <w:ilvl w:val="0"/>
                      <w:numId w:val="67"/>
                    </w:numPr>
                    <w:spacing w:after="60" w:line="240" w:lineRule="auto"/>
                    <w:ind w:left="540"/>
                    <w:rPr>
                      <w:i/>
                    </w:rPr>
                  </w:pPr>
                  <w:r>
                    <w:rPr>
                      <w:i/>
                    </w:rPr>
                    <w:t>Retention grading</w:t>
                  </w:r>
                </w:p>
                <w:p w:rsidR="00853C9A" w:rsidRPr="00384989" w:rsidRDefault="00853C9A" w:rsidP="009531AF">
                  <w:pPr>
                    <w:pStyle w:val="CDMBTEXT"/>
                    <w:numPr>
                      <w:ilvl w:val="0"/>
                      <w:numId w:val="67"/>
                    </w:numPr>
                    <w:spacing w:after="60" w:line="240" w:lineRule="auto"/>
                    <w:ind w:left="540"/>
                    <w:rPr>
                      <w:i/>
                    </w:rPr>
                  </w:pPr>
                  <w:r>
                    <w:rPr>
                      <w:i/>
                    </w:rPr>
                    <w:t>French drains</w:t>
                  </w:r>
                </w:p>
                <w:p w:rsidR="00853C9A" w:rsidRDefault="00853C9A" w:rsidP="009531AF">
                  <w:pPr>
                    <w:pStyle w:val="CDMBTEXT"/>
                    <w:numPr>
                      <w:ilvl w:val="0"/>
                      <w:numId w:val="67"/>
                    </w:numPr>
                    <w:spacing w:after="60" w:line="240" w:lineRule="auto"/>
                    <w:ind w:left="540"/>
                    <w:rPr>
                      <w:i/>
                    </w:rPr>
                  </w:pPr>
                  <w:r>
                    <w:rPr>
                      <w:i/>
                    </w:rPr>
                    <w:t>On-lot rain gardens</w:t>
                  </w:r>
                </w:p>
                <w:p w:rsidR="00853C9A" w:rsidRPr="009F707D" w:rsidRDefault="00853C9A" w:rsidP="009531AF">
                  <w:pPr>
                    <w:pStyle w:val="CDMBTEXT"/>
                    <w:numPr>
                      <w:ilvl w:val="0"/>
                      <w:numId w:val="67"/>
                    </w:numPr>
                    <w:spacing w:after="60" w:line="240" w:lineRule="auto"/>
                    <w:ind w:left="540"/>
                    <w:rPr>
                      <w:i/>
                    </w:rPr>
                  </w:pPr>
                </w:p>
              </w:txbxContent>
            </v:textbox>
            <w10:wrap type="square" anchorx="margin" anchory="margin"/>
          </v:shape>
        </w:pict>
      </w:r>
      <w:r w:rsidR="00FC34E0">
        <w:rPr>
          <w:noProof/>
        </w:rPr>
        <w:t xml:space="preserve">HSC-1: </w:t>
      </w:r>
      <w:r w:rsidR="00FC34E0" w:rsidRPr="00311A64">
        <w:rPr>
          <w:noProof/>
        </w:rPr>
        <w:t>Localized On-Lot Infiltration</w:t>
      </w:r>
      <w:bookmarkEnd w:id="767"/>
      <w:bookmarkEnd w:id="768"/>
      <w:bookmarkEnd w:id="769"/>
    </w:p>
    <w:p w:rsidR="00FC34E0" w:rsidRPr="00B53524" w:rsidRDefault="00FC34E0" w:rsidP="00FC34E0">
      <w:pPr>
        <w:pStyle w:val="CDMBTEXT"/>
      </w:pPr>
      <w:r>
        <w:rPr>
          <w:noProof/>
        </w:rPr>
        <w:t>‘</w:t>
      </w:r>
      <w:r w:rsidRPr="00311A64">
        <w:rPr>
          <w:noProof/>
        </w:rPr>
        <w:t>Localized on-lot infiltration</w:t>
      </w:r>
      <w:r>
        <w:rPr>
          <w:noProof/>
        </w:rPr>
        <w:t>’</w:t>
      </w:r>
      <w:r w:rsidRPr="00311A64">
        <w:rPr>
          <w:noProof/>
        </w:rPr>
        <w:t xml:space="preserve"> refers to the practice of collecting on-site runoff</w:t>
      </w:r>
      <w:r>
        <w:rPr>
          <w:noProof/>
        </w:rPr>
        <w:t xml:space="preserve"> from small distributed areas within a catchment and </w:t>
      </w:r>
      <w:r w:rsidRPr="00311A64">
        <w:rPr>
          <w:noProof/>
        </w:rPr>
        <w:t xml:space="preserve"> diverting it to a dedicated on-site </w:t>
      </w:r>
      <w:r>
        <w:rPr>
          <w:noProof/>
        </w:rPr>
        <w:t>infiltration</w:t>
      </w:r>
      <w:r w:rsidRPr="00311A64">
        <w:rPr>
          <w:noProof/>
        </w:rPr>
        <w:t xml:space="preserve"> area.  This technique can include disconnecting downspouts</w:t>
      </w:r>
      <w:r>
        <w:rPr>
          <w:noProof/>
        </w:rPr>
        <w:t xml:space="preserve"> and draining sidewalks and patios</w:t>
      </w:r>
      <w:r w:rsidRPr="00311A64">
        <w:rPr>
          <w:noProof/>
        </w:rPr>
        <w:t xml:space="preserve"> into french drains, tr</w:t>
      </w:r>
      <w:r>
        <w:rPr>
          <w:noProof/>
        </w:rPr>
        <w:t>enches, small rain gardens, or other</w:t>
      </w:r>
      <w:r w:rsidRPr="00311A64">
        <w:rPr>
          <w:noProof/>
        </w:rPr>
        <w:t xml:space="preserve"> surface depression</w:t>
      </w:r>
      <w:r>
        <w:rPr>
          <w:noProof/>
        </w:rPr>
        <w:t xml:space="preserve">s.  </w:t>
      </w:r>
      <w:r w:rsidRPr="00311A64">
        <w:rPr>
          <w:noProof/>
        </w:rPr>
        <w:t xml:space="preserve">For downspout disconnections and other impervious area disconnection involving dispersion over pervious surfaces, but without </w:t>
      </w:r>
      <w:r>
        <w:rPr>
          <w:noProof/>
        </w:rPr>
        <w:t>intentional</w:t>
      </w:r>
      <w:r w:rsidRPr="00311A64">
        <w:rPr>
          <w:noProof/>
        </w:rPr>
        <w:t xml:space="preserve"> ponding, see</w:t>
      </w:r>
      <w:r>
        <w:t xml:space="preserve"> </w:t>
      </w:r>
      <w:r w:rsidR="00126F3D" w:rsidRPr="00126DE5">
        <w:rPr>
          <w:b/>
          <w:color w:val="0070C0"/>
          <w:sz w:val="20"/>
        </w:rPr>
        <w:fldChar w:fldCharType="begin"/>
      </w:r>
      <w:r w:rsidRPr="00126DE5">
        <w:rPr>
          <w:b/>
          <w:color w:val="0070C0"/>
          <w:sz w:val="20"/>
        </w:rPr>
        <w:instrText xml:space="preserve"> REF _Ref287704096 \h </w:instrText>
      </w:r>
      <w:r w:rsidR="00126F3D" w:rsidRPr="00126DE5">
        <w:rPr>
          <w:b/>
          <w:color w:val="0070C0"/>
          <w:sz w:val="20"/>
        </w:rPr>
      </w:r>
      <w:r w:rsidR="00126F3D" w:rsidRPr="00126DE5">
        <w:rPr>
          <w:b/>
          <w:color w:val="0070C0"/>
          <w:sz w:val="20"/>
        </w:rPr>
        <w:fldChar w:fldCharType="separate"/>
      </w:r>
      <w:r w:rsidR="00126DE5" w:rsidRPr="00126DE5">
        <w:rPr>
          <w:b/>
          <w:color w:val="0070C0"/>
        </w:rPr>
        <w:t>HSC-2: Impervious Area Dispersion</w:t>
      </w:r>
      <w:r w:rsidR="00126F3D" w:rsidRPr="00126DE5">
        <w:rPr>
          <w:b/>
          <w:color w:val="0070C0"/>
          <w:sz w:val="20"/>
        </w:rPr>
        <w:fldChar w:fldCharType="end"/>
      </w:r>
      <w:r>
        <w:rPr>
          <w:noProof/>
        </w:rPr>
        <w:t>.</w:t>
      </w:r>
    </w:p>
    <w:p w:rsidR="00FC34E0" w:rsidRPr="00B53524" w:rsidRDefault="00FC34E0" w:rsidP="00FC34E0">
      <w:pPr>
        <w:pStyle w:val="FactsheetSubheading"/>
        <w:outlineLvl w:val="0"/>
      </w:pPr>
      <w:r>
        <w:t>Feasibility Screening</w:t>
      </w:r>
      <w:r w:rsidRPr="00311A64">
        <w:t xml:space="preserve"> Considerations</w:t>
      </w:r>
    </w:p>
    <w:p w:rsidR="00FC34E0" w:rsidRPr="00B53524" w:rsidRDefault="00FC34E0" w:rsidP="00FC34E0">
      <w:pPr>
        <w:pStyle w:val="FactsheetBullets"/>
        <w:numPr>
          <w:ilvl w:val="0"/>
          <w:numId w:val="1"/>
        </w:numPr>
      </w:pPr>
      <w:r>
        <w:t>‘</w:t>
      </w:r>
      <w:r w:rsidRPr="00311A64">
        <w:t>Localized on-lot infiltration</w:t>
      </w:r>
      <w:r>
        <w:t xml:space="preserve">’ </w:t>
      </w:r>
      <w:r w:rsidRPr="00311A64">
        <w:t xml:space="preserve">shall </w:t>
      </w:r>
      <w:r>
        <w:t>meet infiltration infeasibility screening criteria to be considered for use.</w:t>
      </w:r>
      <w:r w:rsidRPr="00311A64">
        <w:t xml:space="preserve"> </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rsidRPr="00311A64">
        <w:t xml:space="preserve">Runoff can be directed to </w:t>
      </w:r>
      <w:r>
        <w:t>and temporarily pond in pervious area depressions, rock trenches, or similar.</w:t>
      </w:r>
    </w:p>
    <w:p w:rsidR="00FC34E0" w:rsidRPr="00B53524" w:rsidRDefault="00FC34E0" w:rsidP="00FC34E0">
      <w:pPr>
        <w:pStyle w:val="FactsheetBullets"/>
        <w:numPr>
          <w:ilvl w:val="0"/>
          <w:numId w:val="1"/>
        </w:numPr>
      </w:pPr>
      <w:r w:rsidRPr="00311A64">
        <w:t xml:space="preserve">Soils are adequate for infiltration </w:t>
      </w:r>
      <w:r w:rsidRPr="00B53524">
        <w:t>or can be amended to</w:t>
      </w:r>
      <w:r>
        <w:t xml:space="preserve"> provide an adequate infiltration rate.</w:t>
      </w:r>
    </w:p>
    <w:p w:rsidR="00FC34E0" w:rsidRPr="00B53524" w:rsidRDefault="00FC34E0" w:rsidP="00FC34E0">
      <w:pPr>
        <w:pStyle w:val="FactsheetBullets"/>
        <w:numPr>
          <w:ilvl w:val="0"/>
          <w:numId w:val="1"/>
        </w:numPr>
      </w:pPr>
      <w:r>
        <w:t>S</w:t>
      </w:r>
      <w:r w:rsidRPr="00311A64">
        <w:t>hallow utilities</w:t>
      </w:r>
      <w:r>
        <w:t xml:space="preserve"> are not present below infiltration areas</w:t>
      </w:r>
      <w:r w:rsidRPr="00311A64">
        <w:t>.</w:t>
      </w:r>
    </w:p>
    <w:p w:rsidR="00FC34E0" w:rsidRPr="00B53524" w:rsidRDefault="00FC34E0" w:rsidP="00FC34E0">
      <w:pPr>
        <w:pStyle w:val="FactsheetSubheading"/>
        <w:outlineLvl w:val="0"/>
      </w:pPr>
      <w:r w:rsidRPr="00311A64">
        <w:t>OC-Specific Design Criteria and Considerations</w:t>
      </w:r>
    </w:p>
    <w:tbl>
      <w:tblPr>
        <w:tblStyle w:val="TableGrid"/>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
        <w:gridCol w:w="8730"/>
      </w:tblGrid>
      <w:tr w:rsidR="00FC34E0" w:rsidRPr="00B53524" w:rsidTr="00FC34E0">
        <w:trPr>
          <w:trHeight w:val="20"/>
        </w:trPr>
        <w:tc>
          <w:tcPr>
            <w:tcW w:w="450" w:type="dxa"/>
          </w:tcPr>
          <w:p w:rsidR="00FC34E0" w:rsidRPr="00B53524" w:rsidRDefault="00FC34E0" w:rsidP="00FC34E0">
            <w:pPr>
              <w:pStyle w:val="CheckBoxList"/>
              <w:spacing w:before="60"/>
              <w:ind w:left="806" w:hanging="806"/>
            </w:pPr>
          </w:p>
        </w:tc>
        <w:tc>
          <w:tcPr>
            <w:tcW w:w="8730" w:type="dxa"/>
            <w:vAlign w:val="center"/>
          </w:tcPr>
          <w:p w:rsidR="00FC34E0" w:rsidRPr="00B53524" w:rsidRDefault="00FC34E0" w:rsidP="00FC34E0">
            <w:pPr>
              <w:pStyle w:val="CheckBoxTableText"/>
            </w:pPr>
            <w:r w:rsidRPr="00311A64">
              <w:t>A single on-lot infiltration area should not be sized to retain runoff from impervious areas greater than 4,000 sq. ft.; if the drainage area exceeds this criteria, sizing should be based on calculations for bioretention areas or infiltration trenches.</w:t>
            </w:r>
          </w:p>
        </w:tc>
      </w:tr>
      <w:tr w:rsidR="00FC34E0" w:rsidRPr="00B53524" w:rsidTr="00FC34E0">
        <w:trPr>
          <w:trHeight w:val="20"/>
        </w:trPr>
        <w:tc>
          <w:tcPr>
            <w:tcW w:w="450" w:type="dxa"/>
          </w:tcPr>
          <w:p w:rsidR="00FC34E0" w:rsidRPr="00B53524" w:rsidRDefault="00FC34E0" w:rsidP="00FC34E0">
            <w:pPr>
              <w:pStyle w:val="CheckBoxList"/>
              <w:spacing w:before="60"/>
              <w:ind w:left="806" w:hanging="806"/>
              <w:rPr>
                <w:szCs w:val="32"/>
              </w:rPr>
            </w:pPr>
          </w:p>
        </w:tc>
        <w:tc>
          <w:tcPr>
            <w:tcW w:w="8730" w:type="dxa"/>
            <w:vAlign w:val="center"/>
          </w:tcPr>
          <w:p w:rsidR="00FC34E0" w:rsidRPr="00B53524" w:rsidRDefault="00FC34E0" w:rsidP="00FC34E0">
            <w:pPr>
              <w:pStyle w:val="CheckBoxTableText"/>
            </w:pPr>
            <w:r w:rsidRPr="00311A64">
              <w:t>Soils should be sufficiently permeable to eliminate ponded water within 24 hours following a 85</w:t>
            </w:r>
            <w:r w:rsidRPr="00311A64">
              <w:rPr>
                <w:vertAlign w:val="superscript"/>
              </w:rPr>
              <w:t>th</w:t>
            </w:r>
            <w:r w:rsidRPr="00311A64">
              <w:t xml:space="preserve"> percentile, 24-hour storm event.</w:t>
            </w:r>
          </w:p>
        </w:tc>
      </w:tr>
      <w:tr w:rsidR="00FC34E0" w:rsidRPr="00B53524" w:rsidTr="00FC34E0">
        <w:trPr>
          <w:trHeight w:val="20"/>
        </w:trPr>
        <w:tc>
          <w:tcPr>
            <w:tcW w:w="450" w:type="dxa"/>
          </w:tcPr>
          <w:p w:rsidR="00FC34E0" w:rsidRPr="00B53524" w:rsidRDefault="00FC34E0" w:rsidP="00FC34E0">
            <w:pPr>
              <w:pStyle w:val="CheckBoxList"/>
              <w:spacing w:before="60"/>
              <w:ind w:left="806" w:hanging="806"/>
              <w:rPr>
                <w:szCs w:val="32"/>
              </w:rPr>
            </w:pPr>
          </w:p>
        </w:tc>
        <w:tc>
          <w:tcPr>
            <w:tcW w:w="8730" w:type="dxa"/>
            <w:vAlign w:val="center"/>
          </w:tcPr>
          <w:p w:rsidR="00FC34E0" w:rsidRPr="00B53524" w:rsidRDefault="00FC34E0" w:rsidP="00FC34E0">
            <w:pPr>
              <w:pStyle w:val="CheckBoxTableText"/>
            </w:pPr>
            <w:r>
              <w:t>Maximum p</w:t>
            </w:r>
            <w:r w:rsidRPr="00311A64">
              <w:t>onding depth should be should</w:t>
            </w:r>
            <w:r>
              <w:t xml:space="preserve"> be less than 3</w:t>
            </w:r>
            <w:r w:rsidRPr="00311A64">
              <w:t xml:space="preserve"> inches</w:t>
            </w:r>
            <w:r>
              <w:t xml:space="preserve"> and trench depth should be less than 1.5 feet.</w:t>
            </w:r>
          </w:p>
        </w:tc>
      </w:tr>
      <w:tr w:rsidR="00FC34E0" w:rsidRPr="00B53524" w:rsidTr="00FC34E0">
        <w:trPr>
          <w:trHeight w:val="20"/>
        </w:trPr>
        <w:tc>
          <w:tcPr>
            <w:tcW w:w="450" w:type="dxa"/>
          </w:tcPr>
          <w:p w:rsidR="00FC34E0" w:rsidRPr="00B53524" w:rsidRDefault="00FC34E0" w:rsidP="00FC34E0">
            <w:pPr>
              <w:pStyle w:val="CheckBoxList"/>
              <w:spacing w:before="60"/>
              <w:ind w:left="806" w:hanging="806"/>
            </w:pPr>
          </w:p>
        </w:tc>
        <w:tc>
          <w:tcPr>
            <w:tcW w:w="8730" w:type="dxa"/>
            <w:vAlign w:val="center"/>
          </w:tcPr>
          <w:p w:rsidR="00FC34E0" w:rsidRPr="00311A64" w:rsidRDefault="00FC34E0" w:rsidP="00FC34E0">
            <w:pPr>
              <w:pStyle w:val="FactsheetBullets"/>
              <w:numPr>
                <w:ilvl w:val="0"/>
                <w:numId w:val="0"/>
              </w:numPr>
            </w:pPr>
            <w:r>
              <w:t xml:space="preserve">Infiltration should not be used when the depth to the mounded seasonally high </w:t>
            </w:r>
            <w:r w:rsidRPr="00311A64">
              <w:t xml:space="preserve">table </w:t>
            </w:r>
            <w:r>
              <w:t>is within 5</w:t>
            </w:r>
            <w:r w:rsidRPr="00311A64">
              <w:t xml:space="preserve"> feet of the bottom of </w:t>
            </w:r>
            <w:r>
              <w:t>infiltrating surface.</w:t>
            </w:r>
          </w:p>
        </w:tc>
      </w:tr>
      <w:tr w:rsidR="00FC34E0" w:rsidRPr="00B53524" w:rsidTr="00FC34E0">
        <w:trPr>
          <w:trHeight w:val="20"/>
        </w:trPr>
        <w:tc>
          <w:tcPr>
            <w:tcW w:w="450" w:type="dxa"/>
          </w:tcPr>
          <w:p w:rsidR="00FC34E0" w:rsidRPr="00B53524" w:rsidRDefault="00FC34E0" w:rsidP="00FC34E0">
            <w:pPr>
              <w:pStyle w:val="CheckBoxList"/>
              <w:spacing w:before="60"/>
              <w:ind w:left="806" w:hanging="806"/>
            </w:pPr>
          </w:p>
        </w:tc>
        <w:tc>
          <w:tcPr>
            <w:tcW w:w="8730" w:type="dxa"/>
            <w:vAlign w:val="center"/>
          </w:tcPr>
          <w:p w:rsidR="00FC34E0" w:rsidRPr="00B53524" w:rsidRDefault="00FC34E0" w:rsidP="00FC34E0">
            <w:pPr>
              <w:pStyle w:val="CheckBoxTableText"/>
            </w:pPr>
            <w:r w:rsidRPr="00311A64">
              <w:t xml:space="preserve">Infiltration via depression storage, french drains, or rain gardens should be located greater than </w:t>
            </w:r>
            <w:r>
              <w:t>8</w:t>
            </w:r>
            <w:r w:rsidRPr="00311A64">
              <w:t xml:space="preserve"> feet from building foundations.</w:t>
            </w:r>
          </w:p>
        </w:tc>
      </w:tr>
      <w:tr w:rsidR="00FC34E0" w:rsidRPr="00B53524" w:rsidTr="00FC34E0">
        <w:trPr>
          <w:trHeight w:val="20"/>
        </w:trPr>
        <w:tc>
          <w:tcPr>
            <w:tcW w:w="450" w:type="dxa"/>
          </w:tcPr>
          <w:p w:rsidR="00FC34E0" w:rsidRPr="00B53524" w:rsidRDefault="00FC34E0" w:rsidP="00FC34E0">
            <w:pPr>
              <w:pStyle w:val="CheckBoxList"/>
              <w:spacing w:before="60"/>
              <w:ind w:left="806" w:hanging="806"/>
              <w:rPr>
                <w:szCs w:val="32"/>
              </w:rPr>
            </w:pPr>
          </w:p>
        </w:tc>
        <w:tc>
          <w:tcPr>
            <w:tcW w:w="8730" w:type="dxa"/>
            <w:vAlign w:val="center"/>
          </w:tcPr>
          <w:p w:rsidR="00FC34E0" w:rsidRPr="00B53524" w:rsidRDefault="00FC34E0" w:rsidP="00FC34E0">
            <w:pPr>
              <w:pStyle w:val="CheckBoxTableText"/>
            </w:pPr>
            <w:r w:rsidRPr="00311A64">
              <w:t>Site slope should be less than 1</w:t>
            </w:r>
            <w:r>
              <w:t>0</w:t>
            </w:r>
            <w:r w:rsidRPr="00311A64">
              <w:t>%.</w:t>
            </w:r>
          </w:p>
        </w:tc>
      </w:tr>
      <w:tr w:rsidR="00FC34E0" w:rsidRPr="00B53524" w:rsidTr="00FC34E0">
        <w:trPr>
          <w:trHeight w:val="20"/>
        </w:trPr>
        <w:tc>
          <w:tcPr>
            <w:tcW w:w="450" w:type="dxa"/>
          </w:tcPr>
          <w:p w:rsidR="00FC34E0" w:rsidRPr="00B53524" w:rsidRDefault="00FC34E0" w:rsidP="00FC34E0">
            <w:pPr>
              <w:pStyle w:val="CheckBoxList"/>
              <w:spacing w:before="60"/>
              <w:ind w:left="806" w:hanging="806"/>
              <w:rPr>
                <w:szCs w:val="32"/>
              </w:rPr>
            </w:pPr>
          </w:p>
        </w:tc>
        <w:tc>
          <w:tcPr>
            <w:tcW w:w="8730" w:type="dxa"/>
            <w:vAlign w:val="center"/>
          </w:tcPr>
          <w:p w:rsidR="00FC34E0" w:rsidRPr="00B53524" w:rsidRDefault="00FC34E0" w:rsidP="00FC34E0">
            <w:pPr>
              <w:pStyle w:val="CheckBoxTableText"/>
            </w:pPr>
            <w:r w:rsidRPr="00311A64">
              <w:t>Infiltration unit should not be located within 50 feet of slopes</w:t>
            </w:r>
            <w:r>
              <w:t xml:space="preserve"> greater than 15 percent</w:t>
            </w:r>
            <w:r w:rsidRPr="00311A64">
              <w:t>.</w:t>
            </w:r>
          </w:p>
        </w:tc>
      </w:tr>
      <w:tr w:rsidR="00FC34E0" w:rsidRPr="00B53524" w:rsidTr="00FC34E0">
        <w:trPr>
          <w:trHeight w:val="20"/>
        </w:trPr>
        <w:tc>
          <w:tcPr>
            <w:tcW w:w="450" w:type="dxa"/>
          </w:tcPr>
          <w:p w:rsidR="00FC34E0" w:rsidRPr="00B53524" w:rsidRDefault="00FC34E0" w:rsidP="00FC34E0">
            <w:pPr>
              <w:pStyle w:val="CheckBoxList"/>
              <w:spacing w:before="60"/>
              <w:ind w:left="806" w:hanging="806"/>
              <w:rPr>
                <w:szCs w:val="32"/>
              </w:rPr>
            </w:pPr>
          </w:p>
        </w:tc>
        <w:tc>
          <w:tcPr>
            <w:tcW w:w="8730" w:type="dxa"/>
            <w:vAlign w:val="center"/>
          </w:tcPr>
          <w:p w:rsidR="00FC34E0" w:rsidRPr="00B53524" w:rsidRDefault="00FC34E0" w:rsidP="00FC34E0">
            <w:pPr>
              <w:pStyle w:val="CheckBoxTableText"/>
            </w:pPr>
            <w:r w:rsidRPr="00311A64">
              <w:t>Side slopes of rain garden or depression storage should not exceed 3H:1V.</w:t>
            </w:r>
          </w:p>
        </w:tc>
      </w:tr>
      <w:tr w:rsidR="00FC34E0" w:rsidRPr="00B53524" w:rsidTr="00FC34E0">
        <w:trPr>
          <w:trHeight w:val="20"/>
        </w:trPr>
        <w:tc>
          <w:tcPr>
            <w:tcW w:w="450" w:type="dxa"/>
          </w:tcPr>
          <w:p w:rsidR="00FC34E0" w:rsidRPr="00B53524" w:rsidRDefault="00FC34E0" w:rsidP="00FC34E0">
            <w:pPr>
              <w:pStyle w:val="CheckBoxList"/>
              <w:spacing w:before="60"/>
              <w:ind w:left="806" w:hanging="806"/>
              <w:rPr>
                <w:szCs w:val="32"/>
              </w:rPr>
            </w:pPr>
          </w:p>
        </w:tc>
        <w:tc>
          <w:tcPr>
            <w:tcW w:w="8730" w:type="dxa"/>
            <w:vAlign w:val="center"/>
          </w:tcPr>
          <w:p w:rsidR="00FC34E0" w:rsidRPr="00B53524" w:rsidRDefault="00FC34E0" w:rsidP="00FC34E0">
            <w:pPr>
              <w:pStyle w:val="CheckBoxTableText"/>
            </w:pPr>
            <w:r w:rsidRPr="00311A64">
              <w:t>Effective energy dissipation and uniform flow spreading methods should be employed to prevent erosion</w:t>
            </w:r>
            <w:r>
              <w:t xml:space="preserve"> resulting fromwater entering infiltration areas</w:t>
            </w:r>
            <w:r w:rsidRPr="00311A64">
              <w:t>.</w:t>
            </w:r>
          </w:p>
        </w:tc>
      </w:tr>
      <w:tr w:rsidR="00FC34E0" w:rsidRPr="00B53524" w:rsidTr="00FC34E0">
        <w:trPr>
          <w:trHeight w:val="20"/>
        </w:trPr>
        <w:tc>
          <w:tcPr>
            <w:tcW w:w="450" w:type="dxa"/>
          </w:tcPr>
          <w:p w:rsidR="00FC34E0" w:rsidRPr="00B53524" w:rsidRDefault="00FC34E0" w:rsidP="00FC34E0">
            <w:pPr>
              <w:pStyle w:val="CheckBoxList"/>
              <w:spacing w:before="60"/>
              <w:ind w:left="806" w:hanging="806"/>
              <w:rPr>
                <w:szCs w:val="32"/>
              </w:rPr>
            </w:pPr>
          </w:p>
        </w:tc>
        <w:tc>
          <w:tcPr>
            <w:tcW w:w="8730" w:type="dxa"/>
            <w:vAlign w:val="center"/>
          </w:tcPr>
          <w:p w:rsidR="00FC34E0" w:rsidRPr="00B53524" w:rsidRDefault="00FC34E0" w:rsidP="00FC34E0">
            <w:pPr>
              <w:pStyle w:val="CheckBoxTableText"/>
            </w:pPr>
            <w:r>
              <w:t>Overflow</w:t>
            </w:r>
            <w:r w:rsidRPr="00311A64">
              <w:t xml:space="preserve"> should be located such that it does not cause erosion or</w:t>
            </w:r>
            <w:r>
              <w:t xml:space="preserve">and is conveyed away from structures toward the downstream conveyance and treatment system. </w:t>
            </w:r>
            <w:r w:rsidRPr="00311A64">
              <w:t>.</w:t>
            </w:r>
          </w:p>
        </w:tc>
      </w:tr>
    </w:tbl>
    <w:p w:rsidR="00FC34E0" w:rsidRPr="00B53524" w:rsidRDefault="00FC34E0" w:rsidP="00FC34E0">
      <w:r w:rsidRPr="00B53524">
        <w:rPr>
          <w:noProof/>
        </w:rPr>
        <w:drawing>
          <wp:anchor distT="0" distB="0" distL="114300" distR="114300" simplePos="0" relativeHeight="251799552" behindDoc="0" locked="0" layoutInCell="1" allowOverlap="1">
            <wp:simplePos x="0" y="0"/>
            <wp:positionH relativeFrom="insideMargin">
              <wp:posOffset>3895725</wp:posOffset>
            </wp:positionH>
            <wp:positionV relativeFrom="paragraph">
              <wp:posOffset>245745</wp:posOffset>
            </wp:positionV>
            <wp:extent cx="2952750" cy="2447925"/>
            <wp:effectExtent l="19050" t="0" r="0" b="0"/>
            <wp:wrapSquare wrapText="bothSides"/>
            <wp:docPr id="1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email"/>
                    <a:srcRect/>
                    <a:stretch>
                      <a:fillRect/>
                    </a:stretch>
                  </pic:blipFill>
                  <pic:spPr bwMode="auto">
                    <a:xfrm>
                      <a:off x="0" y="0"/>
                      <a:ext cx="2952750" cy="2447925"/>
                    </a:xfrm>
                    <a:prstGeom prst="rect">
                      <a:avLst/>
                    </a:prstGeom>
                    <a:noFill/>
                    <a:ln w="9525">
                      <a:noFill/>
                      <a:miter lim="800000"/>
                      <a:headEnd/>
                      <a:tailEnd/>
                    </a:ln>
                  </pic:spPr>
                </pic:pic>
              </a:graphicData>
            </a:graphic>
          </wp:anchor>
        </w:drawing>
      </w:r>
    </w:p>
    <w:p w:rsidR="00FC34E0" w:rsidRPr="00B53524" w:rsidRDefault="00FC34E0" w:rsidP="00FC34E0">
      <w:pPr>
        <w:pStyle w:val="FactsheetSubheading"/>
        <w:outlineLvl w:val="0"/>
      </w:pPr>
      <w:r w:rsidRPr="00311A64">
        <w:t>Calculating HSC Retention Volume</w:t>
      </w:r>
    </w:p>
    <w:p w:rsidR="00FC34E0" w:rsidRPr="00B53524" w:rsidRDefault="00FC34E0" w:rsidP="00FC34E0">
      <w:pPr>
        <w:pStyle w:val="FactsheetBullets"/>
        <w:numPr>
          <w:ilvl w:val="0"/>
          <w:numId w:val="1"/>
        </w:numPr>
      </w:pPr>
      <w:r w:rsidRPr="00311A64">
        <w:t>The retention volume provided by localized on-lot infiltration can be computed as the storage volume provided by surface ponding and the pore space within an amended soil layer or gravel trench.</w:t>
      </w:r>
    </w:p>
    <w:p w:rsidR="00FC34E0" w:rsidRPr="00B53524" w:rsidRDefault="00FC34E0" w:rsidP="00FC34E0">
      <w:pPr>
        <w:pStyle w:val="FactsheetBullets"/>
        <w:numPr>
          <w:ilvl w:val="0"/>
          <w:numId w:val="1"/>
        </w:numPr>
      </w:pPr>
      <w:r w:rsidRPr="00311A64">
        <w:t>Estimate the average retention volume per 1000 square feet impervious tributary area provided by on-lot infiltration.</w:t>
      </w:r>
    </w:p>
    <w:p w:rsidR="00FC34E0" w:rsidRPr="00B53524" w:rsidRDefault="00FC34E0" w:rsidP="00FC34E0">
      <w:pPr>
        <w:pStyle w:val="FactsheetBullets"/>
        <w:numPr>
          <w:ilvl w:val="0"/>
          <w:numId w:val="1"/>
        </w:numPr>
      </w:pPr>
      <w:r w:rsidRPr="00311A64">
        <w:t>Look up the storm retention depth, d</w:t>
      </w:r>
      <w:r w:rsidRPr="00311A64">
        <w:rPr>
          <w:vertAlign w:val="subscript"/>
        </w:rPr>
        <w:t>HSC</w:t>
      </w:r>
      <w:r w:rsidRPr="00311A64">
        <w:t xml:space="preserve"> from the chart to the right. </w:t>
      </w:r>
    </w:p>
    <w:p w:rsidR="00FC34E0" w:rsidRPr="00B53524" w:rsidRDefault="00FC34E0" w:rsidP="00FC34E0">
      <w:pPr>
        <w:pStyle w:val="FactsheetBullets"/>
        <w:numPr>
          <w:ilvl w:val="0"/>
          <w:numId w:val="1"/>
        </w:numPr>
      </w:pPr>
      <w:r w:rsidRPr="00311A64">
        <w:t>The max d</w:t>
      </w:r>
      <w:r w:rsidRPr="00311A64">
        <w:rPr>
          <w:vertAlign w:val="subscript"/>
        </w:rPr>
        <w:t>HSC</w:t>
      </w:r>
      <w:r w:rsidRPr="00311A64">
        <w:t xml:space="preserve"> is equal to the design </w:t>
      </w:r>
      <w:r>
        <w:t xml:space="preserve">capture </w:t>
      </w:r>
      <w:r w:rsidRPr="00311A64">
        <w:t>storm depth for the project site.</w:t>
      </w:r>
    </w:p>
    <w:p w:rsidR="00FC34E0" w:rsidRPr="00B53524" w:rsidRDefault="00FC34E0" w:rsidP="00FC34E0">
      <w:pPr>
        <w:pStyle w:val="FactsheetSubheading"/>
      </w:pPr>
      <w:r w:rsidRPr="00311A64">
        <w:t>Configuration for Use in a Treatment Train</w:t>
      </w:r>
    </w:p>
    <w:p w:rsidR="00FC34E0" w:rsidRPr="00B53524" w:rsidRDefault="00FC34E0" w:rsidP="00FC34E0">
      <w:pPr>
        <w:pStyle w:val="FactsheetBullets"/>
        <w:numPr>
          <w:ilvl w:val="0"/>
          <w:numId w:val="1"/>
        </w:numPr>
      </w:pPr>
      <w:r w:rsidRPr="00311A64">
        <w:t xml:space="preserve">Localized on-lot infiltration would typically serve as the </w:t>
      </w:r>
      <w:r>
        <w:t>first</w:t>
      </w:r>
      <w:r w:rsidRPr="00311A64">
        <w:t xml:space="preserve"> in a treatment train</w:t>
      </w:r>
      <w:r>
        <w:t xml:space="preserve"> and should only be used where tributary areas do not generate significant sediment that would require pretreatment to mitigate clogging.</w:t>
      </w:r>
      <w:r w:rsidRPr="00311A64">
        <w:t xml:space="preserve"> </w:t>
      </w:r>
    </w:p>
    <w:p w:rsidR="00FC34E0" w:rsidRPr="00B53524" w:rsidRDefault="00FC34E0" w:rsidP="00FC34E0">
      <w:pPr>
        <w:pStyle w:val="FactsheetBullets"/>
        <w:numPr>
          <w:ilvl w:val="0"/>
          <w:numId w:val="1"/>
        </w:numPr>
      </w:pPr>
      <w:r w:rsidRPr="00311A64">
        <w:t>The use of impervious area disconnection reduces the sizing requirement for downstream LID and/or conventional treatment control BMPs.</w:t>
      </w:r>
    </w:p>
    <w:p w:rsidR="00FC34E0" w:rsidRPr="00B53524" w:rsidRDefault="00FC34E0" w:rsidP="00FC34E0">
      <w:pPr>
        <w:pStyle w:val="FactsheetSubheading"/>
        <w:outlineLvl w:val="0"/>
      </w:pPr>
      <w:r w:rsidRPr="00311A64">
        <w:t>Additional References for Design Guidance</w:t>
      </w:r>
    </w:p>
    <w:p w:rsidR="00FC34E0" w:rsidRPr="00B53524" w:rsidRDefault="00FC34E0" w:rsidP="00FC34E0">
      <w:pPr>
        <w:pStyle w:val="FactsheetBullets"/>
        <w:numPr>
          <w:ilvl w:val="0"/>
          <w:numId w:val="1"/>
        </w:numPr>
      </w:pPr>
      <w:r w:rsidRPr="00311A64">
        <w:t xml:space="preserve">LID Center – Rain Garden Design Template. </w:t>
      </w:r>
      <w:hyperlink r:id="rId100" w:history="1">
        <w:r w:rsidRPr="00126DE5">
          <w:rPr>
            <w:rStyle w:val="Hyperlink"/>
            <w:rFonts w:ascii="Book Antiqua" w:hAnsi="Book Antiqua"/>
            <w:b/>
            <w:color w:val="0070C0"/>
          </w:rPr>
          <w:t>http://www.lowimpactdevelopment.org/raingarden_design/</w:t>
        </w:r>
      </w:hyperlink>
    </w:p>
    <w:p w:rsidR="00FC34E0" w:rsidRPr="00B53524" w:rsidRDefault="00FC34E0" w:rsidP="00FC34E0">
      <w:pPr>
        <w:pStyle w:val="FactsheetBullets"/>
        <w:numPr>
          <w:ilvl w:val="0"/>
          <w:numId w:val="1"/>
        </w:numPr>
      </w:pPr>
      <w:r w:rsidRPr="00311A64">
        <w:t xml:space="preserve">University of Wisconsin Extension. Rain Gardens: A How-To Manual for Homeowners. </w:t>
      </w:r>
      <w:hyperlink r:id="rId101" w:history="1">
        <w:r w:rsidRPr="00126DE5">
          <w:rPr>
            <w:rStyle w:val="Hyperlink"/>
            <w:rFonts w:ascii="Book Antiqua" w:hAnsi="Book Antiqua"/>
            <w:b/>
            <w:color w:val="0070C0"/>
          </w:rPr>
          <w:t>http://learningstore.uwex.edu/assets/pdfs/GWQ037.pdf</w:t>
        </w:r>
      </w:hyperlink>
    </w:p>
    <w:p w:rsidR="00FC34E0" w:rsidRPr="00B53524" w:rsidRDefault="00FC34E0" w:rsidP="00FC34E0">
      <w:pPr>
        <w:spacing w:after="200"/>
        <w:rPr>
          <w:rFonts w:eastAsia="Times New Roman"/>
        </w:rPr>
      </w:pPr>
      <w:r w:rsidRPr="00311A64">
        <w:br w:type="page"/>
      </w:r>
    </w:p>
    <w:p w:rsidR="00FC34E0" w:rsidRPr="00B53524" w:rsidRDefault="00FC34E0" w:rsidP="00533A19">
      <w:pPr>
        <w:pStyle w:val="Heading3"/>
        <w:numPr>
          <w:ilvl w:val="0"/>
          <w:numId w:val="0"/>
        </w:numPr>
        <w:ind w:left="907" w:hanging="907"/>
      </w:pPr>
      <w:bookmarkStart w:id="770" w:name="_Impervious_Area_Dispersion"/>
      <w:bookmarkStart w:id="771" w:name="_Toc285522591"/>
      <w:bookmarkStart w:id="772" w:name="_Ref285589169"/>
      <w:bookmarkStart w:id="773" w:name="_Toc285589321"/>
      <w:bookmarkStart w:id="774" w:name="_Ref287704096"/>
      <w:bookmarkStart w:id="775" w:name="_Ref287786551"/>
      <w:bookmarkStart w:id="776" w:name="_Ref287795114"/>
      <w:bookmarkEnd w:id="770"/>
      <w:r>
        <w:t xml:space="preserve">HSC-2: </w:t>
      </w:r>
      <w:r w:rsidRPr="00311A64">
        <w:t>Impervious Area Dispersion</w:t>
      </w:r>
      <w:bookmarkEnd w:id="771"/>
      <w:bookmarkEnd w:id="772"/>
      <w:bookmarkEnd w:id="773"/>
      <w:bookmarkEnd w:id="774"/>
      <w:bookmarkEnd w:id="775"/>
      <w:bookmarkEnd w:id="776"/>
    </w:p>
    <w:p w:rsidR="00FC34E0" w:rsidRPr="00B53524" w:rsidRDefault="00126F3D" w:rsidP="00FC34E0">
      <w:pPr>
        <w:pStyle w:val="CDMBTEXT"/>
      </w:pPr>
      <w:r>
        <w:rPr>
          <w:noProof/>
        </w:rPr>
        <w:pict>
          <v:shape id="Text Box 39" o:spid="_x0000_s1144" type="#_x0000_t202" style="position:absolute;margin-left:-158.25pt;margin-top:93pt;width:158.4pt;height:207.75pt;z-index:251748352;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" filled="f">
            <v:textbox style="mso-next-textbox:#Text Box 39" inset="0,0,0,0">
              <w:txbxContent>
                <w:p w:rsidR="00853C9A" w:rsidRDefault="00853C9A" w:rsidP="00FC34E0">
                  <w:pPr>
                    <w:ind w:left="-29" w:right="-29"/>
                    <w:rPr>
                      <w:rFonts w:ascii="Arial" w:hAnsi="Arial" w:cs="Arial"/>
                      <w:noProof/>
                      <w:sz w:val="20"/>
                    </w:rPr>
                  </w:pPr>
                  <w:r w:rsidRPr="00717F85">
                    <w:rPr>
                      <w:rFonts w:ascii="Arial" w:hAnsi="Arial" w:cs="Arial"/>
                      <w:noProof/>
                      <w:sz w:val="20"/>
                    </w:rPr>
                    <w:drawing>
                      <wp:inline distT="0" distB="0" distL="0" distR="0">
                        <wp:extent cx="2002155" cy="2021821"/>
                        <wp:effectExtent l="19050" t="0" r="0" b="0"/>
                        <wp:docPr id="73"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screen"/>
                                <a:srcRect/>
                                <a:stretch>
                                  <a:fillRect/>
                                </a:stretch>
                              </pic:blipFill>
                              <pic:spPr bwMode="auto">
                                <a:xfrm>
                                  <a:off x="0" y="0"/>
                                  <a:ext cx="2002155" cy="2021821"/>
                                </a:xfrm>
                                <a:prstGeom prst="rect">
                                  <a:avLst/>
                                </a:prstGeom>
                                <a:noFill/>
                                <a:ln w="9525">
                                  <a:noFill/>
                                  <a:miter lim="800000"/>
                                  <a:headEnd/>
                                  <a:tailEnd/>
                                </a:ln>
                              </pic:spPr>
                            </pic:pic>
                          </a:graphicData>
                        </a:graphic>
                      </wp:inline>
                    </w:drawing>
                  </w:r>
                </w:p>
                <w:p w:rsidR="00853C9A" w:rsidRPr="00D25460" w:rsidRDefault="00853C9A" w:rsidP="00FC34E0">
                  <w:pPr>
                    <w:ind w:left="180" w:right="-29"/>
                    <w:rPr>
                      <w:rFonts w:ascii="Arial" w:hAnsi="Arial" w:cs="Arial"/>
                      <w:i/>
                      <w:sz w:val="20"/>
                    </w:rPr>
                  </w:pPr>
                  <w:r>
                    <w:rPr>
                      <w:rFonts w:ascii="Arial" w:hAnsi="Arial" w:cs="Arial"/>
                      <w:sz w:val="20"/>
                    </w:rPr>
                    <w:t>Simple Downspout Dispersion</w:t>
                  </w:r>
                  <w:r w:rsidRPr="00D25460">
                    <w:rPr>
                      <w:rFonts w:ascii="Arial" w:hAnsi="Arial" w:cs="Arial"/>
                      <w:i/>
                      <w:sz w:val="18"/>
                    </w:rPr>
                    <w:t xml:space="preserve"> Source: </w:t>
                  </w:r>
                  <w:r w:rsidRPr="007F70A9">
                    <w:rPr>
                      <w:rFonts w:ascii="Arial" w:hAnsi="Arial" w:cs="Arial"/>
                      <w:i/>
                      <w:sz w:val="18"/>
                    </w:rPr>
                    <w:t>toronto.ca/environment/water.htm</w:t>
                  </w:r>
                </w:p>
              </w:txbxContent>
            </v:textbox>
            <w10:wrap type="square" anchorx="margin" anchory="margin"/>
          </v:shape>
        </w:pict>
      </w:r>
      <w:r>
        <w:rPr>
          <w:noProof/>
        </w:rPr>
        <w:pict>
          <v:shape id="Text Box 40" o:spid="_x0000_s1145" type="#_x0000_t202" style="position:absolute;margin-left:-158.4pt;margin-top:6.5pt;width:158.4pt;height:86.45pt;z-index:251749376;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" fillcolor="#d8d8d8">
            <v:textbox style="mso-next-textbox:#Text Box 40">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Pr="00384989" w:rsidRDefault="00853C9A" w:rsidP="009531AF">
                  <w:pPr>
                    <w:pStyle w:val="CDMBTEXT"/>
                    <w:numPr>
                      <w:ilvl w:val="0"/>
                      <w:numId w:val="67"/>
                    </w:numPr>
                    <w:spacing w:after="60" w:line="240" w:lineRule="auto"/>
                    <w:ind w:left="540"/>
                    <w:rPr>
                      <w:i/>
                    </w:rPr>
                  </w:pPr>
                  <w:r w:rsidRPr="00384989">
                    <w:rPr>
                      <w:i/>
                    </w:rPr>
                    <w:t>Downspout disconnection</w:t>
                  </w:r>
                </w:p>
                <w:p w:rsidR="00853C9A" w:rsidRPr="00384989" w:rsidRDefault="00853C9A" w:rsidP="009531AF">
                  <w:pPr>
                    <w:pStyle w:val="CDMBTEXT"/>
                    <w:numPr>
                      <w:ilvl w:val="0"/>
                      <w:numId w:val="67"/>
                    </w:numPr>
                    <w:spacing w:after="60" w:line="240" w:lineRule="auto"/>
                    <w:ind w:left="540"/>
                    <w:rPr>
                      <w:i/>
                    </w:rPr>
                  </w:pPr>
                  <w:r w:rsidRPr="00384989">
                    <w:rPr>
                      <w:i/>
                    </w:rPr>
                    <w:t>Impervious area disconnection</w:t>
                  </w:r>
                </w:p>
                <w:p w:rsidR="00853C9A" w:rsidRDefault="00853C9A" w:rsidP="009531AF">
                  <w:pPr>
                    <w:pStyle w:val="CDMBTEXT"/>
                    <w:numPr>
                      <w:ilvl w:val="0"/>
                      <w:numId w:val="67"/>
                    </w:numPr>
                    <w:spacing w:after="60" w:line="240" w:lineRule="auto"/>
                    <w:ind w:left="540"/>
                    <w:rPr>
                      <w:i/>
                    </w:rPr>
                  </w:pPr>
                  <w:r w:rsidRPr="00384989">
                    <w:rPr>
                      <w:i/>
                    </w:rPr>
                    <w:t>Sheet flow dispersion</w:t>
                  </w:r>
                </w:p>
                <w:p w:rsidR="00853C9A" w:rsidRPr="009F707D" w:rsidRDefault="00853C9A" w:rsidP="009531AF">
                  <w:pPr>
                    <w:pStyle w:val="CDMBTEXT"/>
                    <w:numPr>
                      <w:ilvl w:val="0"/>
                      <w:numId w:val="67"/>
                    </w:numPr>
                    <w:spacing w:after="60" w:line="240" w:lineRule="auto"/>
                    <w:ind w:left="540"/>
                    <w:rPr>
                      <w:i/>
                    </w:rPr>
                  </w:pPr>
                </w:p>
              </w:txbxContent>
            </v:textbox>
            <w10:wrap type="square" anchorx="margin" anchory="margin"/>
          </v:shape>
        </w:pict>
      </w:r>
      <w:r w:rsidR="00FC34E0" w:rsidRPr="00311A64">
        <w:t>Impervious area dispersion refers to the practice of routing runoff from impervious areas, such as rooftops, walkways, and patios onto the surface of adjacent pervious areas.  Runoff is dispersed uniformly via splash block or dispersion trench and soaks into the ground as it move slowly across the surface of pervious areas.  Minor ponding may occur, but it is not the intent of this practice to actively promote localized on-lot storage (See</w:t>
      </w:r>
      <w:r w:rsidR="00FC34E0">
        <w:t xml:space="preserve"> </w:t>
      </w:r>
      <w:r w:rsidRPr="00126DE5">
        <w:rPr>
          <w:b/>
          <w:color w:val="0070C0"/>
          <w:sz w:val="20"/>
        </w:rPr>
        <w:fldChar w:fldCharType="begin"/>
      </w:r>
      <w:r w:rsidR="00FC34E0" w:rsidRPr="00126DE5">
        <w:rPr>
          <w:b/>
          <w:color w:val="0070C0"/>
          <w:sz w:val="20"/>
        </w:rPr>
        <w:instrText xml:space="preserve"> REF _Ref285549719 \h </w:instrText>
      </w:r>
      <w:r w:rsidRPr="00126DE5">
        <w:rPr>
          <w:b/>
          <w:color w:val="0070C0"/>
          <w:sz w:val="20"/>
        </w:rPr>
      </w:r>
      <w:r w:rsidRPr="00126DE5">
        <w:rPr>
          <w:b/>
          <w:color w:val="0070C0"/>
          <w:sz w:val="20"/>
        </w:rPr>
        <w:fldChar w:fldCharType="separate"/>
      </w:r>
      <w:r w:rsidR="00126DE5" w:rsidRPr="00126DE5">
        <w:rPr>
          <w:b/>
          <w:noProof/>
          <w:color w:val="0070C0"/>
        </w:rPr>
        <w:t>HSC-1: Localized On-Lot Infiltration</w:t>
      </w:r>
      <w:r w:rsidRPr="00126DE5">
        <w:rPr>
          <w:b/>
          <w:color w:val="0070C0"/>
          <w:sz w:val="20"/>
        </w:rPr>
        <w:fldChar w:fldCharType="end"/>
      </w:r>
      <w:r w:rsidR="00FC34E0">
        <w:t>)</w:t>
      </w:r>
      <w:r w:rsidR="00FC34E0" w:rsidRPr="00316D23">
        <w:t>.</w:t>
      </w:r>
    </w:p>
    <w:p w:rsidR="00FC34E0" w:rsidRPr="00B53524" w:rsidRDefault="00FC34E0" w:rsidP="00FC34E0">
      <w:pPr>
        <w:pStyle w:val="FactsheetSubheading"/>
        <w:outlineLvl w:val="0"/>
      </w:pPr>
      <w:r>
        <w:t>Feasibility</w:t>
      </w:r>
      <w:r w:rsidRPr="00311A64">
        <w:t xml:space="preserve"> </w:t>
      </w:r>
      <w:r>
        <w:t>Screening</w:t>
      </w:r>
      <w:r w:rsidRPr="00311A64">
        <w:t xml:space="preserve"> Considerations</w:t>
      </w:r>
    </w:p>
    <w:p w:rsidR="00FC34E0" w:rsidRPr="00B53524" w:rsidRDefault="00FC34E0" w:rsidP="00FC34E0">
      <w:pPr>
        <w:pStyle w:val="FactsheetBullets"/>
        <w:numPr>
          <w:ilvl w:val="0"/>
          <w:numId w:val="1"/>
        </w:numPr>
      </w:pPr>
      <w:r w:rsidRPr="00311A64">
        <w:t xml:space="preserve">Impervious area dispersion </w:t>
      </w:r>
      <w:r>
        <w:t xml:space="preserve">can be used where infiltration would otherwise be infeasible, however dispersion depth over landscaped areas should be limited by site-specific conditions to prevent standing water or geotechnical issues. </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rsidRPr="00311A64">
        <w:t>Rooftops and other low traffic impervious surface present in drainage area.</w:t>
      </w:r>
    </w:p>
    <w:p w:rsidR="00FC34E0" w:rsidRPr="00B53524" w:rsidRDefault="00FC34E0" w:rsidP="00FC34E0">
      <w:pPr>
        <w:pStyle w:val="FactsheetBullets"/>
        <w:numPr>
          <w:ilvl w:val="0"/>
          <w:numId w:val="1"/>
        </w:numPr>
      </w:pPr>
      <w:r w:rsidRPr="00311A64">
        <w:t>Soils are adequate for infiltration.  If not, soils can be amended to improve capacity to absor</w:t>
      </w:r>
      <w:r>
        <w:t>b</w:t>
      </w:r>
      <w:r w:rsidRPr="00311A64">
        <w:t xml:space="preserve"> </w:t>
      </w:r>
      <w:r w:rsidRPr="00316D23">
        <w:t xml:space="preserve">dispersed water (see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_Ref285549901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MISC-2: Amended Soils</w:t>
      </w:r>
      <w:r w:rsidR="00126F3D" w:rsidRPr="00126DE5">
        <w:rPr>
          <w:rFonts w:ascii="Book Antiqua" w:hAnsi="Book Antiqua"/>
          <w:b/>
          <w:color w:val="0070C0"/>
        </w:rPr>
        <w:fldChar w:fldCharType="end"/>
      </w:r>
      <w:r w:rsidRPr="00316D23">
        <w:t>).</w:t>
      </w:r>
      <w:r w:rsidRPr="00311A64">
        <w:t xml:space="preserve"> </w:t>
      </w:r>
    </w:p>
    <w:p w:rsidR="00FC34E0" w:rsidRDefault="00FC34E0" w:rsidP="00FC34E0">
      <w:pPr>
        <w:pStyle w:val="FactsheetBullets"/>
        <w:numPr>
          <w:ilvl w:val="0"/>
          <w:numId w:val="1"/>
        </w:numPr>
      </w:pPr>
      <w:r w:rsidRPr="00311A64">
        <w:t xml:space="preserve">Significant pervious area present in drainage area </w:t>
      </w:r>
      <w:r>
        <w:t>with shallow slope</w:t>
      </w:r>
    </w:p>
    <w:p w:rsidR="00FC34E0" w:rsidRPr="00B53524" w:rsidRDefault="00FC34E0" w:rsidP="00FC34E0">
      <w:pPr>
        <w:pStyle w:val="FactsheetBullets"/>
        <w:numPr>
          <w:ilvl w:val="0"/>
          <w:numId w:val="1"/>
        </w:numPr>
      </w:pPr>
      <w:r w:rsidRPr="00311A64">
        <w:t>Overflow from pervious area can be safely managed.</w:t>
      </w:r>
    </w:p>
    <w:p w:rsidR="00FC34E0" w:rsidRPr="00B53524" w:rsidRDefault="00FC34E0" w:rsidP="00FC34E0">
      <w:pPr>
        <w:pStyle w:val="FactsheetSubheading"/>
        <w:outlineLvl w:val="0"/>
      </w:pPr>
      <w:r w:rsidRPr="00311A64">
        <w:t>OC-Specific Design Criteria and Considerations</w:t>
      </w:r>
    </w:p>
    <w:tbl>
      <w:tblPr>
        <w:tblStyle w:val="TableGrid"/>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
        <w:gridCol w:w="8730"/>
      </w:tblGrid>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B53524" w:rsidRDefault="00FC34E0" w:rsidP="00FC34E0">
            <w:pPr>
              <w:pStyle w:val="CheckBoxTableText"/>
            </w:pPr>
            <w:r w:rsidRPr="00311A64">
              <w:t>Soils should be prese</w:t>
            </w:r>
            <w:r w:rsidRPr="00316D23">
              <w:t>rved from their natural condition or restored via soil amendments to meet minimum criteria described in Section</w:t>
            </w:r>
            <w:r>
              <w:t xml:space="preserve"> .</w:t>
            </w:r>
          </w:p>
        </w:tc>
      </w:tr>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311A64" w:rsidRDefault="00FC34E0" w:rsidP="00FC34E0">
            <w:pPr>
              <w:pStyle w:val="CheckBoxTableText"/>
            </w:pPr>
            <w:r>
              <w:t>A minimum of 1 part per</w:t>
            </w:r>
            <w:r w:rsidRPr="00311A64">
              <w:t xml:space="preserve">vious area capable of receiving flow </w:t>
            </w:r>
            <w:r>
              <w:t>should be provided for every 2 parts of impervious area disconnected</w:t>
            </w:r>
            <w:r w:rsidRPr="00311A64">
              <w:t>.</w:t>
            </w:r>
          </w:p>
        </w:tc>
      </w:tr>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Default="00FC34E0" w:rsidP="00FC34E0">
            <w:pPr>
              <w:pStyle w:val="FactsheetBullets"/>
              <w:numPr>
                <w:ilvl w:val="0"/>
                <w:numId w:val="0"/>
              </w:numPr>
              <w:ind w:left="-18"/>
            </w:pPr>
            <w:r>
              <w:t>The p</w:t>
            </w:r>
            <w:r w:rsidRPr="00311A64">
              <w:t xml:space="preserve">ervious area </w:t>
            </w:r>
            <w:r>
              <w:t>receiving</w:t>
            </w:r>
            <w:r w:rsidRPr="00311A64">
              <w:t xml:space="preserve"> flow </w:t>
            </w:r>
            <w:r>
              <w:t xml:space="preserve">should have a </w:t>
            </w:r>
            <w:r w:rsidRPr="00311A64">
              <w:t xml:space="preserve">slope ≤ 2 percent and path lengths of ≥ </w:t>
            </w:r>
            <w:r>
              <w:t>20</w:t>
            </w:r>
            <w:r w:rsidRPr="00311A64">
              <w:t xml:space="preserve"> feet per 1000 sf of impervious area.</w:t>
            </w:r>
          </w:p>
        </w:tc>
      </w:tr>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B53524" w:rsidRDefault="00FC34E0" w:rsidP="00FC34E0">
            <w:pPr>
              <w:pStyle w:val="CheckBoxTableText"/>
            </w:pPr>
            <w:r w:rsidRPr="00311A64">
              <w:t xml:space="preserve">Dispersion areas should be maintained to remove trash and debris, loose vegetation, and </w:t>
            </w:r>
            <w:r>
              <w:t>protect</w:t>
            </w:r>
            <w:r w:rsidRPr="00311A64">
              <w:t xml:space="preserve"> any areas of bare soil</w:t>
            </w:r>
            <w:r>
              <w:t xml:space="preserve"> from erosion</w:t>
            </w:r>
            <w:r w:rsidRPr="00311A64">
              <w:t>.</w:t>
            </w:r>
          </w:p>
        </w:tc>
      </w:tr>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311A64" w:rsidRDefault="00FC34E0" w:rsidP="00FC34E0">
            <w:pPr>
              <w:pStyle w:val="CheckBoxTableText"/>
            </w:pPr>
            <w:r>
              <w:t>Velocity of dispersed flow should not be greater than 0.5 ft per second to avoid scour.</w:t>
            </w:r>
          </w:p>
        </w:tc>
      </w:tr>
    </w:tbl>
    <w:p w:rsidR="00FC34E0" w:rsidRPr="00B53524" w:rsidRDefault="00FC34E0" w:rsidP="00FC34E0">
      <w:pPr>
        <w:pStyle w:val="FactsheetSubheading"/>
      </w:pPr>
      <w:r w:rsidRPr="00311A64">
        <w:t>Calculating HSC Retention Volume</w:t>
      </w:r>
    </w:p>
    <w:p w:rsidR="00FC34E0" w:rsidRPr="00B53524" w:rsidRDefault="00FC34E0" w:rsidP="00FC34E0">
      <w:pPr>
        <w:pStyle w:val="FactsheetBullets"/>
        <w:numPr>
          <w:ilvl w:val="0"/>
          <w:numId w:val="1"/>
        </w:numPr>
      </w:pPr>
      <w:r w:rsidRPr="00311A64">
        <w:t xml:space="preserve">The retention volume provided by downspout dispersion is a function of the ratio of impervious to pervious area and the condition </w:t>
      </w:r>
      <w:r>
        <w:t>of soils in the pervious area.</w:t>
      </w:r>
    </w:p>
    <w:p w:rsidR="00FC34E0" w:rsidRPr="00B53524" w:rsidRDefault="00FC34E0" w:rsidP="00FC34E0">
      <w:pPr>
        <w:pStyle w:val="FactsheetBullets"/>
        <w:numPr>
          <w:ilvl w:val="0"/>
          <w:numId w:val="1"/>
        </w:numPr>
      </w:pPr>
      <w:r w:rsidRPr="00311A64">
        <w:t xml:space="preserve">Determine flow patterns in pervious area and estimate footprint of pervious area receiving dispersed flow.  Calculate the ratio of pervious to impervious area.  </w:t>
      </w:r>
    </w:p>
    <w:p w:rsidR="00FC34E0" w:rsidRPr="00B53524" w:rsidRDefault="00FC34E0" w:rsidP="00FC34E0">
      <w:pPr>
        <w:pStyle w:val="FactsheetBullets"/>
        <w:numPr>
          <w:ilvl w:val="0"/>
          <w:numId w:val="1"/>
        </w:numPr>
      </w:pPr>
      <w:r w:rsidRPr="00311A64">
        <w:t xml:space="preserve">Check soil conditions using the </w:t>
      </w:r>
      <w:r>
        <w:t>soil condition design criteria</w:t>
      </w:r>
      <w:r w:rsidRPr="00311A64">
        <w:t xml:space="preserve"> below; amend if necessary.</w:t>
      </w:r>
    </w:p>
    <w:p w:rsidR="00FC34E0" w:rsidRPr="00B53524" w:rsidRDefault="00FC34E0" w:rsidP="00FC34E0">
      <w:pPr>
        <w:pStyle w:val="FactsheetBullets"/>
        <w:numPr>
          <w:ilvl w:val="0"/>
          <w:numId w:val="1"/>
        </w:numPr>
      </w:pPr>
      <w:r w:rsidRPr="00311A64">
        <w:t>Look up the storm retention depth, d</w:t>
      </w:r>
      <w:r w:rsidRPr="00311A64">
        <w:rPr>
          <w:vertAlign w:val="subscript"/>
        </w:rPr>
        <w:t>HSC</w:t>
      </w:r>
      <w:r w:rsidRPr="00311A64">
        <w:t xml:space="preserve"> from the chart below.  </w:t>
      </w:r>
    </w:p>
    <w:p w:rsidR="00FC34E0" w:rsidRPr="00B53524" w:rsidRDefault="00FC34E0" w:rsidP="00FC34E0">
      <w:pPr>
        <w:pStyle w:val="FactsheetBullets"/>
        <w:numPr>
          <w:ilvl w:val="0"/>
          <w:numId w:val="1"/>
        </w:numPr>
      </w:pPr>
      <w:r>
        <w:rPr>
          <w:lang w:eastAsia="en-US"/>
        </w:rPr>
        <w:drawing>
          <wp:anchor distT="0" distB="0" distL="114300" distR="114300" simplePos="0" relativeHeight="251801600" behindDoc="0" locked="0" layoutInCell="1" allowOverlap="1">
            <wp:simplePos x="0" y="0"/>
            <wp:positionH relativeFrom="margin">
              <wp:posOffset>3000375</wp:posOffset>
            </wp:positionH>
            <wp:positionV relativeFrom="margin">
              <wp:posOffset>19050</wp:posOffset>
            </wp:positionV>
            <wp:extent cx="2943225" cy="2324100"/>
            <wp:effectExtent l="19050" t="0" r="9525" b="0"/>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3" cstate="email"/>
                    <a:srcRect/>
                    <a:stretch>
                      <a:fillRect/>
                    </a:stretch>
                  </pic:blipFill>
                  <pic:spPr bwMode="auto">
                    <a:xfrm>
                      <a:off x="0" y="0"/>
                      <a:ext cx="2943225" cy="2324100"/>
                    </a:xfrm>
                    <a:prstGeom prst="rect">
                      <a:avLst/>
                    </a:prstGeom>
                    <a:noFill/>
                  </pic:spPr>
                </pic:pic>
              </a:graphicData>
            </a:graphic>
          </wp:anchor>
        </w:drawing>
      </w:r>
      <w:r w:rsidRPr="00311A64">
        <w:t>The max d</w:t>
      </w:r>
      <w:r w:rsidRPr="00311A64">
        <w:rPr>
          <w:vertAlign w:val="subscript"/>
        </w:rPr>
        <w:t>HSC</w:t>
      </w:r>
      <w:r w:rsidRPr="00311A64">
        <w:t xml:space="preserve"> is equal to the design storm depth for the project site.</w:t>
      </w:r>
    </w:p>
    <w:p w:rsidR="00FC34E0" w:rsidRPr="00B53524" w:rsidRDefault="00FC34E0" w:rsidP="00FC34E0">
      <w:pPr>
        <w:pStyle w:val="FactsheetSubheading"/>
        <w:outlineLvl w:val="0"/>
      </w:pPr>
      <w:r w:rsidRPr="00311A64">
        <w:t>Soil Condition</w:t>
      </w:r>
      <w:r>
        <w:t xml:space="preserve"> Design Criteria</w:t>
      </w:r>
    </w:p>
    <w:p w:rsidR="00FC34E0" w:rsidRPr="00B53524" w:rsidRDefault="00FC34E0" w:rsidP="00FC34E0">
      <w:pPr>
        <w:pStyle w:val="CheckBoxList"/>
        <w:spacing w:before="60" w:after="60"/>
        <w:ind w:left="806" w:hanging="806"/>
      </w:pPr>
      <w:r w:rsidRPr="00311A64">
        <w:t>Maximum slope of 2 percent</w:t>
      </w:r>
    </w:p>
    <w:p w:rsidR="00FC34E0" w:rsidRPr="00B53524" w:rsidRDefault="00FC34E0" w:rsidP="00FC34E0">
      <w:pPr>
        <w:pStyle w:val="CheckBoxList"/>
        <w:spacing w:before="60" w:after="60"/>
        <w:ind w:left="806" w:hanging="806"/>
      </w:pPr>
      <w:r w:rsidRPr="00311A64">
        <w:t>Well-established lawn or landscaping</w:t>
      </w:r>
    </w:p>
    <w:p w:rsidR="00FC34E0" w:rsidRPr="00B53524" w:rsidRDefault="00FC34E0" w:rsidP="00FC34E0">
      <w:pPr>
        <w:pStyle w:val="CheckBoxList"/>
        <w:spacing w:before="60" w:after="60"/>
        <w:ind w:left="806" w:hanging="806"/>
      </w:pPr>
      <w:r w:rsidRPr="00311A64">
        <w:t>Minimum soil amendments per criteria in</w:t>
      </w:r>
      <w: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_Ref285549901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MISC-2: Amended Soils</w:t>
      </w:r>
      <w:r w:rsidR="00126F3D" w:rsidRPr="00126DE5">
        <w:rPr>
          <w:rFonts w:ascii="Book Antiqua" w:hAnsi="Book Antiqua"/>
          <w:b/>
          <w:color w:val="0070C0"/>
        </w:rPr>
        <w:fldChar w:fldCharType="end"/>
      </w:r>
      <w:r>
        <w:t>.</w:t>
      </w:r>
    </w:p>
    <w:p w:rsidR="00FC34E0" w:rsidRPr="00B53524" w:rsidRDefault="00FC34E0" w:rsidP="00FC34E0">
      <w:pPr>
        <w:pStyle w:val="CheckBoxList"/>
        <w:numPr>
          <w:ilvl w:val="0"/>
          <w:numId w:val="0"/>
        </w:numPr>
        <w:ind w:left="187"/>
      </w:pPr>
    </w:p>
    <w:p w:rsidR="00FC34E0" w:rsidRPr="00B53524" w:rsidRDefault="00FC34E0" w:rsidP="00FC34E0">
      <w:pPr>
        <w:pStyle w:val="FactsheetSubheading"/>
        <w:outlineLvl w:val="0"/>
      </w:pPr>
      <w:r w:rsidRPr="00311A64">
        <w:t>Configuration for Use in a Treatment Train</w:t>
      </w:r>
    </w:p>
    <w:p w:rsidR="00FC34E0" w:rsidRPr="00B53524" w:rsidRDefault="00126F3D" w:rsidP="00FC34E0">
      <w:pPr>
        <w:pStyle w:val="FactsheetBullets"/>
        <w:numPr>
          <w:ilvl w:val="0"/>
          <w:numId w:val="1"/>
        </w:numPr>
      </w:pPr>
      <w:r>
        <w:rPr>
          <w:lang w:eastAsia="en-US"/>
        </w:rPr>
        <w:pict>
          <v:shape id="Text Box 41" o:spid="_x0000_s1146" type="#_x0000_t202" style="position:absolute;left:0;text-align:left;margin-left:-231pt;margin-top:184.4pt;width:229.95pt;height:56.35pt;z-index:251750400;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" strokecolor="#7f7f7f [1612]">
            <v:textbox style="mso-next-textbox:#Text Box 41">
              <w:txbxContent>
                <w:p w:rsidR="00853C9A" w:rsidRDefault="00853C9A" w:rsidP="00FC34E0">
                  <w:pPr>
                    <w:pStyle w:val="FactsheetBullets"/>
                    <w:numPr>
                      <w:ilvl w:val="0"/>
                      <w:numId w:val="0"/>
                    </w:numPr>
                    <w:ind w:left="360"/>
                  </w:pPr>
                  <w:r w:rsidRPr="00240163">
                    <w:rPr>
                      <w:vertAlign w:val="superscript"/>
                    </w:rPr>
                    <w:t>1</w:t>
                  </w:r>
                  <w:r>
                    <w:rPr>
                      <w:vertAlign w:val="superscript"/>
                    </w:rPr>
                    <w:t xml:space="preserve"> </w:t>
                  </w:r>
                  <w:r>
                    <w:t>Pervious area used in calculation should only include the pervious area receiving flow, not pervious area receiving only direct rainfall or upslope pervious drainage.</w:t>
                  </w:r>
                </w:p>
              </w:txbxContent>
            </v:textbox>
            <w10:wrap type="square" anchorx="margin" anchory="margin"/>
          </v:shape>
        </w:pict>
      </w:r>
      <w:r w:rsidR="00FC34E0" w:rsidRPr="00311A64">
        <w:t>Impervious area disconnection is an HSC that may be used as the first element in any treatment train</w:t>
      </w:r>
    </w:p>
    <w:p w:rsidR="00FC34E0" w:rsidRPr="00B53524" w:rsidRDefault="00FC34E0" w:rsidP="00FC34E0">
      <w:pPr>
        <w:pStyle w:val="FactsheetBullets"/>
        <w:numPr>
          <w:ilvl w:val="0"/>
          <w:numId w:val="1"/>
        </w:numPr>
      </w:pPr>
      <w:r w:rsidRPr="00311A64">
        <w:t>The use of impervious area disconnection reduces the sizing requirement for downstream LID and/or treatment control BMPs</w:t>
      </w:r>
    </w:p>
    <w:p w:rsidR="00FC34E0" w:rsidRPr="00B53524" w:rsidRDefault="00FC34E0" w:rsidP="00FC34E0">
      <w:pPr>
        <w:pStyle w:val="FactsheetSubheading"/>
        <w:outlineLvl w:val="0"/>
      </w:pPr>
      <w:r w:rsidRPr="00311A64">
        <w:t>Additional References for Design Guidance</w:t>
      </w:r>
    </w:p>
    <w:p w:rsidR="00FC34E0" w:rsidRPr="00B53524" w:rsidRDefault="00FC34E0" w:rsidP="00FC34E0">
      <w:pPr>
        <w:pStyle w:val="FactsheetBullets"/>
        <w:numPr>
          <w:ilvl w:val="0"/>
          <w:numId w:val="1"/>
        </w:numPr>
      </w:pPr>
      <w:r w:rsidRPr="00311A64">
        <w:t xml:space="preserve">SMC LID Manual (pp 131) </w:t>
      </w:r>
      <w:hyperlink r:id="rId104" w:history="1">
        <w:r w:rsidRPr="00126DE5">
          <w:rPr>
            <w:rStyle w:val="Hyperlink"/>
            <w:rFonts w:ascii="Book Antiqua" w:hAnsi="Book Antiqua"/>
            <w:b/>
            <w:color w:val="0070C0"/>
          </w:rPr>
          <w:t>http://www.lowimpactdevelopment.org/guest75/pub/All_Projects/SoCal_LID_Manual/SoCalLID_Manual_FINAL_040910.pdf</w:t>
        </w:r>
      </w:hyperlink>
    </w:p>
    <w:p w:rsidR="00FC34E0" w:rsidRPr="00B53524" w:rsidRDefault="00FC34E0" w:rsidP="00FC34E0">
      <w:pPr>
        <w:pStyle w:val="FactsheetBullets"/>
        <w:numPr>
          <w:ilvl w:val="0"/>
          <w:numId w:val="1"/>
        </w:numPr>
      </w:pPr>
      <w:r w:rsidRPr="00311A64">
        <w:t xml:space="preserve">City of Portland Bureau of Environmental Services. 2010. How to manage stormwater – Disconnect Downspouts. </w:t>
      </w:r>
      <w:hyperlink r:id="rId105" w:history="1">
        <w:r w:rsidRPr="00126DE5">
          <w:rPr>
            <w:rStyle w:val="Hyperlink"/>
            <w:rFonts w:ascii="Book Antiqua" w:hAnsi="Book Antiqua"/>
            <w:b/>
            <w:color w:val="0070C0"/>
          </w:rPr>
          <w:t>http://www.portlandonline.com/bes/index.cfm?c=43081&amp;a=177702</w:t>
        </w:r>
      </w:hyperlink>
    </w:p>
    <w:p w:rsidR="00FC34E0" w:rsidRPr="00B53524" w:rsidRDefault="00FC34E0" w:rsidP="00FC34E0">
      <w:pPr>
        <w:pStyle w:val="FactsheetBullets"/>
        <w:numPr>
          <w:ilvl w:val="0"/>
          <w:numId w:val="1"/>
        </w:numPr>
      </w:pPr>
      <w:r w:rsidRPr="00311A64">
        <w:t xml:space="preserve">Seattle Public Utility: </w:t>
      </w:r>
      <w:hyperlink r:id="rId106" w:history="1">
        <w:r w:rsidRPr="00126DE5">
          <w:rPr>
            <w:rStyle w:val="Hyperlink"/>
            <w:rFonts w:ascii="Book Antiqua" w:hAnsi="Book Antiqua"/>
            <w:b/>
            <w:color w:val="0070C0"/>
          </w:rPr>
          <w:t>http://www.cityofseattle.org/util/stellent/groups/public/@spu/@usm/documents/webcontent/spu01_006395.pdf</w:t>
        </w:r>
      </w:hyperlink>
    </w:p>
    <w:p w:rsidR="00FC34E0" w:rsidRDefault="00FC34E0" w:rsidP="00FC34E0">
      <w:pPr>
        <w:pStyle w:val="FactsheetBullets"/>
        <w:numPr>
          <w:ilvl w:val="0"/>
          <w:numId w:val="1"/>
        </w:numPr>
      </w:pPr>
      <w:r w:rsidRPr="00311A64">
        <w:t xml:space="preserve">Thurston County, Washington State (pp 10):  </w:t>
      </w:r>
      <w:hyperlink r:id="rId107" w:history="1">
        <w:r w:rsidRPr="00126DE5">
          <w:rPr>
            <w:rStyle w:val="Hyperlink"/>
            <w:rFonts w:ascii="Book Antiqua" w:hAnsi="Book Antiqua"/>
            <w:b/>
            <w:color w:val="0070C0"/>
          </w:rPr>
          <w:t>http://www.co.thurston.wa.us/stormwater/manual/docs-faqs/DG-5-Roof-Runoff-Control_Rev11Jan24.pdf</w:t>
        </w:r>
      </w:hyperlink>
    </w:p>
    <w:p w:rsidR="00FC34E0" w:rsidRPr="00B53524" w:rsidRDefault="00FC34E0" w:rsidP="00FC34E0">
      <w:pPr>
        <w:pStyle w:val="FactsheetBullets"/>
        <w:numPr>
          <w:ilvl w:val="0"/>
          <w:numId w:val="1"/>
        </w:numPr>
      </w:pPr>
      <w:r w:rsidRPr="00311A64">
        <w:br w:type="page"/>
      </w:r>
    </w:p>
    <w:p w:rsidR="00FC34E0" w:rsidRPr="00B53524" w:rsidRDefault="00126F3D" w:rsidP="00533A19">
      <w:pPr>
        <w:pStyle w:val="Heading3"/>
        <w:numPr>
          <w:ilvl w:val="0"/>
          <w:numId w:val="0"/>
        </w:numPr>
        <w:ind w:left="907" w:hanging="907"/>
      </w:pPr>
      <w:bookmarkStart w:id="777" w:name="_Ref285589202"/>
      <w:r>
        <w:rPr>
          <w:noProof/>
        </w:rPr>
        <w:pict>
          <v:shape id="Text Box 43" o:spid="_x0000_s1147" type="#_x0000_t202" style="position:absolute;left:0;text-align:left;margin-left:-146.4pt;margin-top:8.4pt;width:158.4pt;height:38.75pt;z-index:251751424;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" fillcolor="#d8d8d8">
            <v:textbox style="mso-next-textbox:#Text Box 43">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Pr="00641291" w:rsidRDefault="00853C9A" w:rsidP="009531AF">
                  <w:pPr>
                    <w:pStyle w:val="CDMBTEXT"/>
                    <w:numPr>
                      <w:ilvl w:val="0"/>
                      <w:numId w:val="67"/>
                    </w:numPr>
                    <w:spacing w:after="60" w:line="240" w:lineRule="auto"/>
                    <w:ind w:left="540"/>
                    <w:rPr>
                      <w:i/>
                    </w:rPr>
                  </w:pPr>
                  <w:r w:rsidRPr="00641291">
                    <w:rPr>
                      <w:i/>
                    </w:rPr>
                    <w:t>Canopy interception</w:t>
                  </w:r>
                </w:p>
              </w:txbxContent>
            </v:textbox>
            <w10:wrap type="square" anchorx="margin" anchory="margin"/>
          </v:shape>
        </w:pict>
      </w:r>
      <w:bookmarkStart w:id="778" w:name="_Toc285522593"/>
      <w:bookmarkStart w:id="779" w:name="_Toc285589323"/>
      <w:r w:rsidR="00FC34E0">
        <w:t xml:space="preserve">HSC-3: </w:t>
      </w:r>
      <w:r w:rsidR="00FC34E0" w:rsidRPr="00311A64">
        <w:t>Street Trees</w:t>
      </w:r>
      <w:bookmarkEnd w:id="777"/>
      <w:bookmarkEnd w:id="778"/>
      <w:bookmarkEnd w:id="779"/>
    </w:p>
    <w:p w:rsidR="00FC34E0" w:rsidRPr="00B53524" w:rsidRDefault="00126F3D" w:rsidP="00FC34E0">
      <w:pPr>
        <w:pStyle w:val="CDMBTEXT"/>
      </w:pPr>
      <w:r>
        <w:rPr>
          <w:noProof/>
        </w:rPr>
        <w:pict>
          <v:shape id="Text Box 44" o:spid="_x0000_s1148" type="#_x0000_t202" style="position:absolute;margin-left:-146.4pt;margin-top:47.15pt;width:158.4pt;height:159.3pt;z-index:251752448;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" filled="f">
            <v:textbox style="mso-next-textbox:#Text Box 44" inset="0,0,0,0">
              <w:txbxContent>
                <w:p w:rsidR="00853C9A" w:rsidRDefault="00853C9A" w:rsidP="00FC34E0">
                  <w:pPr>
                    <w:ind w:left="-29" w:right="-29"/>
                    <w:rPr>
                      <w:rFonts w:ascii="Arial" w:hAnsi="Arial" w:cs="Arial"/>
                      <w:noProof/>
                      <w:sz w:val="20"/>
                    </w:rPr>
                  </w:pPr>
                  <w:r w:rsidRPr="00641291">
                    <w:rPr>
                      <w:rFonts w:ascii="Arial" w:hAnsi="Arial" w:cs="Arial"/>
                      <w:noProof/>
                      <w:sz w:val="20"/>
                    </w:rPr>
                    <w:drawing>
                      <wp:inline distT="0" distB="0" distL="0" distR="0">
                        <wp:extent cx="2002155" cy="1270443"/>
                        <wp:effectExtent l="19050" t="0" r="0" b="0"/>
                        <wp:docPr id="74"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screen"/>
                                <a:srcRect/>
                                <a:stretch>
                                  <a:fillRect/>
                                </a:stretch>
                              </pic:blipFill>
                              <pic:spPr bwMode="auto">
                                <a:xfrm>
                                  <a:off x="0" y="0"/>
                                  <a:ext cx="2002155" cy="1270443"/>
                                </a:xfrm>
                                <a:prstGeom prst="rect">
                                  <a:avLst/>
                                </a:prstGeom>
                                <a:noFill/>
                                <a:ln w="9525">
                                  <a:noFill/>
                                  <a:miter lim="800000"/>
                                  <a:headEnd/>
                                  <a:tailEnd/>
                                </a:ln>
                              </pic:spPr>
                            </pic:pic>
                          </a:graphicData>
                        </a:graphic>
                      </wp:inline>
                    </w:drawing>
                  </w:r>
                </w:p>
                <w:p w:rsidR="00853C9A" w:rsidRDefault="00853C9A" w:rsidP="00FC34E0">
                  <w:pPr>
                    <w:spacing w:after="0"/>
                    <w:ind w:left="187" w:right="-29"/>
                    <w:rPr>
                      <w:rFonts w:ascii="Arial" w:hAnsi="Arial" w:cs="Arial"/>
                      <w:sz w:val="20"/>
                    </w:rPr>
                  </w:pPr>
                  <w:r>
                    <w:rPr>
                      <w:rFonts w:ascii="Arial" w:hAnsi="Arial" w:cs="Arial"/>
                      <w:sz w:val="20"/>
                    </w:rPr>
                    <w:t>Street trees</w:t>
                  </w:r>
                </w:p>
                <w:p w:rsidR="00853C9A" w:rsidRPr="00D25460" w:rsidRDefault="00853C9A" w:rsidP="00FC34E0">
                  <w:pPr>
                    <w:spacing w:after="0"/>
                    <w:ind w:left="187" w:right="-29"/>
                    <w:rPr>
                      <w:rFonts w:ascii="Arial" w:hAnsi="Arial" w:cs="Arial"/>
                      <w:i/>
                      <w:sz w:val="20"/>
                    </w:rPr>
                  </w:pPr>
                  <w:r w:rsidRPr="00D25460">
                    <w:rPr>
                      <w:rFonts w:ascii="Arial" w:hAnsi="Arial" w:cs="Arial"/>
                      <w:i/>
                      <w:sz w:val="18"/>
                    </w:rPr>
                    <w:t xml:space="preserve">Source: </w:t>
                  </w:r>
                  <w:r>
                    <w:rPr>
                      <w:rFonts w:ascii="Arial" w:hAnsi="Arial" w:cs="Arial"/>
                      <w:i/>
                      <w:sz w:val="18"/>
                    </w:rPr>
                    <w:t>Geosyntec Consultants</w:t>
                  </w:r>
                </w:p>
              </w:txbxContent>
            </v:textbox>
            <w10:wrap type="square" anchorx="margin" anchory="margin"/>
          </v:shape>
        </w:pict>
      </w:r>
      <w:r w:rsidR="00FC34E0" w:rsidRPr="00311A64">
        <w:rPr>
          <w:noProof/>
        </w:rPr>
        <w:t>By intercepting rainfall</w:t>
      </w:r>
      <w:r w:rsidR="00FC34E0">
        <w:rPr>
          <w:noProof/>
        </w:rPr>
        <w:t>,</w:t>
      </w:r>
      <w:r w:rsidR="00FC34E0" w:rsidRPr="00311A64">
        <w:rPr>
          <w:noProof/>
        </w:rPr>
        <w:t xml:space="preserve"> trees can provide several ae</w:t>
      </w:r>
      <w:r w:rsidR="00FC34E0">
        <w:rPr>
          <w:noProof/>
        </w:rPr>
        <w:t>s</w:t>
      </w:r>
      <w:r w:rsidR="00FC34E0" w:rsidRPr="00311A64">
        <w:rPr>
          <w:noProof/>
        </w:rPr>
        <w:t xml:space="preserve">thetic and stormwater benefits including peak flow control, increased infiltration and </w:t>
      </w:r>
      <w:r w:rsidR="00FD5274">
        <w:rPr>
          <w:noProof/>
        </w:rPr>
        <w:t>ET</w:t>
      </w:r>
      <w:r w:rsidR="00FC34E0" w:rsidRPr="00311A64">
        <w:rPr>
          <w:noProof/>
        </w:rPr>
        <w:t xml:space="preserve">, and runoff temperature reduction.  The volume of precipitation intercepted by the canopy reduces the treatment volume required for downstream treatment BMPs.  Shading reduces the heat island effect as well as the temperature of adjacent impervious surfaces, over which stormwater flows, and thus reduces the heat transferred to downstream </w:t>
      </w:r>
      <w:r w:rsidR="00FC34E0">
        <w:rPr>
          <w:noProof/>
        </w:rPr>
        <w:t>receiving waters</w:t>
      </w:r>
      <w:r w:rsidR="00FC34E0" w:rsidRPr="00311A64">
        <w:rPr>
          <w:noProof/>
        </w:rPr>
        <w:t xml:space="preserve">.  Tree roots also strengthen the soil structure and provide infiltrative pathways, simultaneously reducing erosion potential and enhancing infiltration. </w:t>
      </w:r>
    </w:p>
    <w:p w:rsidR="00FC34E0" w:rsidRPr="00B53524" w:rsidRDefault="00FC34E0" w:rsidP="00FC34E0">
      <w:pPr>
        <w:pStyle w:val="FactsheetSubheading"/>
        <w:outlineLvl w:val="0"/>
      </w:pPr>
      <w:r>
        <w:t>Feasibility</w:t>
      </w:r>
      <w:r w:rsidRPr="00311A64">
        <w:t xml:space="preserve"> </w:t>
      </w:r>
      <w:r>
        <w:t>Screening</w:t>
      </w:r>
      <w:r w:rsidRPr="00311A64">
        <w:t xml:space="preserve"> Considerations</w:t>
      </w:r>
    </w:p>
    <w:p w:rsidR="00FC34E0" w:rsidRPr="00B53524" w:rsidRDefault="00FC34E0" w:rsidP="00FC34E0">
      <w:pPr>
        <w:pStyle w:val="FactsheetBullets"/>
        <w:numPr>
          <w:ilvl w:val="0"/>
          <w:numId w:val="1"/>
        </w:numPr>
      </w:pPr>
      <w:r w:rsidRPr="00311A64">
        <w:t>Not applicable</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rsidRPr="00311A64">
        <w:t>Street trees can be incorporated in green streets designs along sidewalks, streets, parking lots, or driveways.</w:t>
      </w:r>
    </w:p>
    <w:p w:rsidR="00FC34E0" w:rsidRPr="00B53524" w:rsidRDefault="00FC34E0" w:rsidP="00FC34E0">
      <w:pPr>
        <w:pStyle w:val="FactsheetBullets"/>
        <w:numPr>
          <w:ilvl w:val="0"/>
          <w:numId w:val="1"/>
        </w:numPr>
      </w:pPr>
      <w:r w:rsidRPr="00311A64">
        <w:t xml:space="preserve">Street trees can be used in combination with bioretention systems along medians or in traffic calming bays.  </w:t>
      </w:r>
    </w:p>
    <w:p w:rsidR="00FC34E0" w:rsidRPr="00B53524" w:rsidRDefault="00FC34E0" w:rsidP="00FC34E0">
      <w:pPr>
        <w:pStyle w:val="FactsheetBullets"/>
        <w:numPr>
          <w:ilvl w:val="0"/>
          <w:numId w:val="1"/>
        </w:numPr>
      </w:pPr>
      <w:r w:rsidRPr="00311A64">
        <w:t>There must be sufficient space available to accommodate both the tree canopy and root system.</w:t>
      </w:r>
    </w:p>
    <w:p w:rsidR="00FC34E0" w:rsidRPr="00B53524" w:rsidRDefault="00FC34E0" w:rsidP="00FC34E0">
      <w:pPr>
        <w:pStyle w:val="FactsheetSubheading"/>
        <w:outlineLvl w:val="0"/>
      </w:pPr>
      <w:r w:rsidRPr="00311A64">
        <w:t>OC-Specific Design Criteria and Considerations</w:t>
      </w:r>
    </w:p>
    <w:tbl>
      <w:tblPr>
        <w:tblStyle w:val="TableGrid"/>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
        <w:gridCol w:w="8730"/>
      </w:tblGrid>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B53524" w:rsidRDefault="00FC34E0" w:rsidP="00FC34E0">
            <w:pPr>
              <w:pStyle w:val="CheckBoxTableText"/>
            </w:pPr>
            <w:r w:rsidRPr="00311A64">
              <w:t xml:space="preserve">Mature tree canopy, height, and root system should not interfere with subsurface utilities, </w:t>
            </w:r>
            <w:r>
              <w:t>suspended</w:t>
            </w:r>
            <w:r w:rsidRPr="00311A64">
              <w:t xml:space="preserve"> powerlines, buildings and foundations, or other existing or planned structures.  Required setbacks should be adhered to</w:t>
            </w:r>
            <w:r>
              <w:t>.</w:t>
            </w:r>
          </w:p>
        </w:tc>
      </w:tr>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B53524" w:rsidRDefault="00FC34E0" w:rsidP="00FC34E0">
            <w:pPr>
              <w:pStyle w:val="CheckBoxTableText"/>
            </w:pPr>
            <w:r w:rsidRPr="00311A64">
              <w:t xml:space="preserve">Depending on space constarints, a 20 to 30 foot </w:t>
            </w:r>
            <w:r>
              <w:t xml:space="preserve">diameter </w:t>
            </w:r>
            <w:r w:rsidRPr="00311A64">
              <w:t>canopy (at maturity) is recommended for stormwater mitigation.</w:t>
            </w:r>
            <w:r>
              <w:t xml:space="preserve"> </w:t>
            </w:r>
          </w:p>
        </w:tc>
      </w:tr>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B53524" w:rsidRDefault="00FC34E0" w:rsidP="00FC34E0">
            <w:pPr>
              <w:pStyle w:val="CheckBoxTableText"/>
            </w:pPr>
            <w:r w:rsidRPr="00311A64">
              <w:t>Native, drought-tolerant species should be selected in order to minimize irrigation requirements and improve the long-term viability of tree</w:t>
            </w:r>
            <w:r>
              <w:t>s</w:t>
            </w:r>
            <w:r w:rsidRPr="00311A64">
              <w:t>.</w:t>
            </w:r>
          </w:p>
        </w:tc>
      </w:tr>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B53524" w:rsidRDefault="00FC34E0" w:rsidP="00FC34E0">
            <w:pPr>
              <w:pStyle w:val="CheckBoxTableText"/>
            </w:pPr>
            <w:r w:rsidRPr="00311A64">
              <w:t>Trees should not impede pedstrian or vehicle sight lines.</w:t>
            </w:r>
          </w:p>
        </w:tc>
      </w:tr>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B53524" w:rsidRDefault="00FC34E0" w:rsidP="00FC34E0">
            <w:pPr>
              <w:pStyle w:val="CheckBoxTableText"/>
            </w:pPr>
            <w:r w:rsidRPr="00311A64">
              <w:t xml:space="preserve">Planting locations should receive adequate sunlight and wind protection; other environmental factors should be considered prior to planting. </w:t>
            </w:r>
          </w:p>
        </w:tc>
      </w:tr>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B53524" w:rsidRDefault="00FC34E0" w:rsidP="00FC34E0">
            <w:pPr>
              <w:pStyle w:val="CheckBoxTableText"/>
            </w:pPr>
            <w:r w:rsidRPr="00311A64">
              <w:t>Frequency and degree of vegetation management and maintenance should be considered with respect to owner capabilities (e.g., staffing, funding, etc.).</w:t>
            </w:r>
          </w:p>
        </w:tc>
      </w:tr>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B53524" w:rsidRDefault="00FC34E0" w:rsidP="00FC34E0">
            <w:pPr>
              <w:pStyle w:val="CheckBoxTableText"/>
            </w:pPr>
            <w:r w:rsidRPr="00311A64">
              <w:t xml:space="preserve">Soils should be preserved in their natural condition (if appropriate for planting) or restored via soil amendments to meet minimum criteria described in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_Ref285549901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MISC-2: Amended Soils</w:t>
            </w:r>
            <w:r w:rsidR="00126F3D" w:rsidRPr="00126DE5">
              <w:rPr>
                <w:rFonts w:ascii="Book Antiqua" w:hAnsi="Book Antiqua"/>
                <w:b/>
                <w:color w:val="0070C0"/>
              </w:rPr>
              <w:fldChar w:fldCharType="end"/>
            </w:r>
            <w:r w:rsidRPr="007606ED">
              <w:t>.</w:t>
            </w:r>
            <w:r w:rsidRPr="00311A64">
              <w:t xml:space="preserve"> If necessary, a landscape architect or plant biologist should be consulted.</w:t>
            </w:r>
          </w:p>
        </w:tc>
      </w:tr>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B53524" w:rsidRDefault="00FC34E0" w:rsidP="00FC34E0">
            <w:pPr>
              <w:pStyle w:val="CheckBoxTableText"/>
            </w:pPr>
            <w:r w:rsidRPr="00311A64">
              <w:t>A street tree selection guide, such as that specific to the City of Los Angeles, may need to be consulted to select species appropriate for the site design constraints (e.g., parkway size, tree height, canopy spread, etc.)</w:t>
            </w:r>
          </w:p>
        </w:tc>
      </w:tr>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B53524" w:rsidRDefault="00FC34E0" w:rsidP="00FC34E0">
            <w:pPr>
              <w:pStyle w:val="CheckBoxTableText"/>
            </w:pPr>
            <w:r w:rsidRPr="00311A64">
              <w:t>Infiltration should not cause geotechnical hazards related to adjacent structures (buildings, roadways, sidewalks, utilities, etc.)</w:t>
            </w:r>
          </w:p>
        </w:tc>
      </w:tr>
    </w:tbl>
    <w:p w:rsidR="00FC34E0" w:rsidRPr="00B53524" w:rsidRDefault="00FC34E0" w:rsidP="00FC34E0">
      <w:pPr>
        <w:pStyle w:val="FactsheetSubheading"/>
      </w:pPr>
      <w:r w:rsidRPr="00311A64">
        <w:t>Calculating HSC Retention Volume</w:t>
      </w:r>
    </w:p>
    <w:p w:rsidR="00FC34E0" w:rsidRPr="00B53524" w:rsidRDefault="00FC34E0" w:rsidP="00FC34E0">
      <w:pPr>
        <w:pStyle w:val="FactsheetBullets"/>
        <w:numPr>
          <w:ilvl w:val="0"/>
          <w:numId w:val="1"/>
        </w:numPr>
      </w:pPr>
      <w:r w:rsidRPr="00311A64">
        <w:t>The retention volume provided by streets trees via canopy interception is dependent on the tree species, time of the year, and maturity.</w:t>
      </w:r>
    </w:p>
    <w:p w:rsidR="00FC34E0" w:rsidRPr="00B53524" w:rsidRDefault="00FC34E0" w:rsidP="00FC34E0">
      <w:pPr>
        <w:pStyle w:val="FactsheetBullets"/>
        <w:numPr>
          <w:ilvl w:val="0"/>
          <w:numId w:val="1"/>
        </w:numPr>
      </w:pPr>
      <w:r w:rsidRPr="00311A64">
        <w:t>To compute the retention depth, the expected impervious area covered by the full tree canopy after 4 years of growth must be computed (IA</w:t>
      </w:r>
      <w:r w:rsidRPr="00311A64">
        <w:rPr>
          <w:vertAlign w:val="subscript"/>
        </w:rPr>
        <w:t>HSC</w:t>
      </w:r>
      <w:r>
        <w:t xml:space="preserve">). </w:t>
      </w:r>
      <w:r w:rsidRPr="00311A64">
        <w:t>The maximum retention depth credit for canopy interception (d</w:t>
      </w:r>
      <w:r w:rsidRPr="00311A64">
        <w:rPr>
          <w:vertAlign w:val="subscript"/>
        </w:rPr>
        <w:t>HSC</w:t>
      </w:r>
      <w:r w:rsidRPr="00311A64">
        <w:t>) is 0.05</w:t>
      </w:r>
      <w:r>
        <w:t xml:space="preserve"> inches over the area covered by the canopy at 4 years of growth</w:t>
      </w:r>
      <w:r w:rsidRPr="00311A64">
        <w:t xml:space="preserve">. </w:t>
      </w:r>
    </w:p>
    <w:p w:rsidR="00FC34E0" w:rsidRPr="00B53524" w:rsidRDefault="00FC34E0" w:rsidP="00FC34E0">
      <w:pPr>
        <w:pStyle w:val="FactsheetSubheading"/>
        <w:outlineLvl w:val="0"/>
      </w:pPr>
      <w:r w:rsidRPr="00311A64">
        <w:t>Configuration for Use in a Treatment Train</w:t>
      </w:r>
    </w:p>
    <w:p w:rsidR="00FC34E0" w:rsidRPr="00B53524" w:rsidRDefault="00FC34E0" w:rsidP="00FC34E0">
      <w:pPr>
        <w:pStyle w:val="FactsheetBullets"/>
        <w:numPr>
          <w:ilvl w:val="0"/>
          <w:numId w:val="1"/>
        </w:numPr>
      </w:pPr>
      <w:r w:rsidRPr="00311A64">
        <w:t xml:space="preserve">As a </w:t>
      </w:r>
      <w:r w:rsidR="003C7091">
        <w:t>HSC</w:t>
      </w:r>
      <w:r w:rsidRPr="00311A64">
        <w:t xml:space="preserve">, street trees would serve as the first step in a treatment train by reducing the treatment volume and flow rate of a downstream treatment BMP. </w:t>
      </w:r>
    </w:p>
    <w:p w:rsidR="00FC34E0" w:rsidRPr="00B53524" w:rsidRDefault="00FC34E0" w:rsidP="00FC34E0">
      <w:pPr>
        <w:pStyle w:val="FactsheetSubheading"/>
        <w:outlineLvl w:val="0"/>
      </w:pPr>
      <w:r w:rsidRPr="00311A64">
        <w:t>Additional References for Design Guidance</w:t>
      </w:r>
    </w:p>
    <w:p w:rsidR="00FC34E0" w:rsidRPr="00B53524" w:rsidRDefault="00FC34E0" w:rsidP="00FC34E0">
      <w:pPr>
        <w:pStyle w:val="FactsheetBullets"/>
        <w:numPr>
          <w:ilvl w:val="0"/>
          <w:numId w:val="1"/>
        </w:numPr>
      </w:pPr>
      <w:r>
        <w:t>California Stor</w:t>
      </w:r>
      <w:r w:rsidRPr="00311A64">
        <w:t xml:space="preserve">mwater BMP Handbook. </w:t>
      </w:r>
      <w:hyperlink r:id="rId109" w:history="1">
        <w:r w:rsidRPr="00126DE5">
          <w:rPr>
            <w:rStyle w:val="Hyperlink"/>
            <w:rFonts w:ascii="Book Antiqua" w:hAnsi="Book Antiqua"/>
            <w:b/>
            <w:color w:val="0070C0"/>
          </w:rPr>
          <w:t>http://www.cabmphandbooks.com/Documents/Development/Section_3.pdf</w:t>
        </w:r>
      </w:hyperlink>
    </w:p>
    <w:p w:rsidR="00FC34E0" w:rsidRPr="00B53524" w:rsidRDefault="00FC34E0" w:rsidP="00FC34E0">
      <w:pPr>
        <w:pStyle w:val="FactsheetBullets"/>
        <w:numPr>
          <w:ilvl w:val="0"/>
          <w:numId w:val="1"/>
        </w:numPr>
      </w:pPr>
      <w:r w:rsidRPr="00311A64">
        <w:t xml:space="preserve">City of Los Angeles, Street Tree Division - Street Tree Selection Guide. </w:t>
      </w:r>
      <w:hyperlink r:id="rId110" w:history="1">
        <w:r w:rsidRPr="00126DE5">
          <w:rPr>
            <w:rStyle w:val="Hyperlink"/>
            <w:rFonts w:ascii="Book Antiqua" w:hAnsi="Book Antiqua"/>
            <w:b/>
            <w:color w:val="0070C0"/>
          </w:rPr>
          <w:t>http://bss.lacity.org/UrbanForestryDivision/StreetTreeSelectionGuide.htm</w:t>
        </w:r>
      </w:hyperlink>
    </w:p>
    <w:p w:rsidR="00FC34E0" w:rsidRPr="00B53524" w:rsidRDefault="00FC34E0" w:rsidP="00FC34E0">
      <w:pPr>
        <w:pStyle w:val="FactsheetBullets"/>
        <w:numPr>
          <w:ilvl w:val="0"/>
          <w:numId w:val="1"/>
        </w:numPr>
      </w:pPr>
      <w:r w:rsidRPr="00311A64">
        <w:t xml:space="preserve">Portland Stormwater Management Manual. </w:t>
      </w:r>
      <w:hyperlink r:id="rId111" w:history="1">
        <w:r w:rsidRPr="00126DE5">
          <w:rPr>
            <w:rStyle w:val="Hyperlink"/>
            <w:rFonts w:ascii="Book Antiqua" w:hAnsi="Book Antiqua"/>
            <w:b/>
            <w:color w:val="0070C0"/>
          </w:rPr>
          <w:t>http://www.portlandonline.com/bes/index.cfm?c=35122&amp;a=55791</w:t>
        </w:r>
      </w:hyperlink>
    </w:p>
    <w:p w:rsidR="00FC34E0" w:rsidRPr="00B53524" w:rsidRDefault="00FC34E0" w:rsidP="00FC34E0">
      <w:pPr>
        <w:pStyle w:val="FactsheetBullets"/>
        <w:numPr>
          <w:ilvl w:val="0"/>
          <w:numId w:val="1"/>
        </w:numPr>
      </w:pPr>
      <w:r w:rsidRPr="00311A64">
        <w:t xml:space="preserve">San Diego County – Low Impact Development Fact Sheets. </w:t>
      </w:r>
      <w:hyperlink r:id="rId112" w:history="1">
        <w:r w:rsidRPr="00126DE5">
          <w:rPr>
            <w:rStyle w:val="Hyperlink"/>
            <w:rFonts w:ascii="Book Antiqua" w:hAnsi="Book Antiqua"/>
            <w:b/>
            <w:color w:val="0070C0"/>
          </w:rPr>
          <w:t>http://www.sdcounty.ca.gov/dplu/docs/LID-Appendices.pdf</w:t>
        </w:r>
      </w:hyperlink>
    </w:p>
    <w:p w:rsidR="00FC34E0" w:rsidRPr="00B53524" w:rsidRDefault="00FC34E0" w:rsidP="00FC34E0">
      <w:pPr>
        <w:spacing w:after="200"/>
      </w:pPr>
      <w:r w:rsidRPr="00311A64">
        <w:br w:type="page"/>
      </w:r>
    </w:p>
    <w:p w:rsidR="00FC34E0" w:rsidRDefault="00FC34E0" w:rsidP="00533A19">
      <w:pPr>
        <w:pStyle w:val="Heading3"/>
        <w:numPr>
          <w:ilvl w:val="0"/>
          <w:numId w:val="0"/>
        </w:numPr>
        <w:ind w:left="907" w:hanging="907"/>
      </w:pPr>
      <w:bookmarkStart w:id="780" w:name="_Toc285522594"/>
      <w:bookmarkStart w:id="781" w:name="_Toc285589324"/>
      <w:bookmarkStart w:id="782" w:name="_Ref287795116"/>
      <w:r>
        <w:t xml:space="preserve">HSC-4: </w:t>
      </w:r>
      <w:r w:rsidRPr="00311A64">
        <w:t>Residential Rain Barrels</w:t>
      </w:r>
      <w:bookmarkEnd w:id="780"/>
      <w:bookmarkEnd w:id="781"/>
      <w:bookmarkEnd w:id="782"/>
    </w:p>
    <w:p w:rsidR="00FC34E0" w:rsidRPr="00B53524" w:rsidRDefault="00126F3D" w:rsidP="00FC34E0">
      <w:pPr>
        <w:autoSpaceDE w:val="0"/>
        <w:autoSpaceDN w:val="0"/>
        <w:adjustRightInd w:val="0"/>
        <w:jc w:val="both"/>
        <w:rPr>
          <w:rFonts w:eastAsia="Times New Roman"/>
          <w:noProof/>
        </w:rPr>
      </w:pPr>
      <w:r w:rsidRPr="00126F3D">
        <w:rPr>
          <w:noProof/>
        </w:rPr>
        <w:pict>
          <v:shape id="Text Box 46" o:spid="_x0000_s1149" type="#_x0000_t202" style="position:absolute;left:0;text-align:left;margin-left:-158.4pt;margin-top:59.15pt;width:158.4pt;height:286.4pt;z-index:251753472;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" filled="f">
            <v:textbox style="mso-next-textbox:#Text Box 46" inset="0,0,0,0">
              <w:txbxContent>
                <w:p w:rsidR="00853C9A" w:rsidRDefault="00853C9A" w:rsidP="00FC34E0">
                  <w:pPr>
                    <w:ind w:left="-29" w:right="-29"/>
                    <w:rPr>
                      <w:rFonts w:ascii="Arial" w:hAnsi="Arial" w:cs="Arial"/>
                      <w:noProof/>
                      <w:sz w:val="20"/>
                    </w:rPr>
                  </w:pPr>
                  <w:r w:rsidRPr="005C2BD0">
                    <w:rPr>
                      <w:rFonts w:ascii="Arial" w:hAnsi="Arial" w:cs="Arial"/>
                      <w:noProof/>
                      <w:sz w:val="20"/>
                    </w:rPr>
                    <w:drawing>
                      <wp:inline distT="0" distB="0" distL="0" distR="0">
                        <wp:extent cx="2002155" cy="2664374"/>
                        <wp:effectExtent l="19050" t="0" r="0" b="0"/>
                        <wp:docPr id="75"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auburn.edu/projects/sustainability/website/images/rain_barrel2.jpg"/>
                                <pic:cNvPicPr>
                                  <a:picLocks noChangeAspect="1" noChangeArrowheads="1"/>
                                </pic:cNvPicPr>
                              </pic:nvPicPr>
                              <pic:blipFill>
                                <a:blip r:embed="rId113" cstate="screen"/>
                                <a:srcRect/>
                                <a:stretch>
                                  <a:fillRect/>
                                </a:stretch>
                              </pic:blipFill>
                              <pic:spPr bwMode="auto">
                                <a:xfrm>
                                  <a:off x="0" y="0"/>
                                  <a:ext cx="2002155" cy="2664374"/>
                                </a:xfrm>
                                <a:prstGeom prst="rect">
                                  <a:avLst/>
                                </a:prstGeom>
                                <a:noFill/>
                                <a:ln w="9525">
                                  <a:noFill/>
                                  <a:miter lim="800000"/>
                                  <a:headEnd/>
                                  <a:tailEnd/>
                                </a:ln>
                              </pic:spPr>
                            </pic:pic>
                          </a:graphicData>
                        </a:graphic>
                      </wp:inline>
                    </w:drawing>
                  </w:r>
                </w:p>
                <w:p w:rsidR="00853C9A" w:rsidRDefault="00853C9A" w:rsidP="00FC34E0">
                  <w:pPr>
                    <w:spacing w:after="0"/>
                    <w:ind w:left="187" w:right="-29"/>
                    <w:rPr>
                      <w:rFonts w:ascii="Arial" w:hAnsi="Arial" w:cs="Arial"/>
                      <w:sz w:val="20"/>
                    </w:rPr>
                  </w:pPr>
                  <w:r>
                    <w:rPr>
                      <w:rFonts w:ascii="Arial" w:hAnsi="Arial" w:cs="Arial"/>
                      <w:sz w:val="20"/>
                    </w:rPr>
                    <w:t>Rain Barrel</w:t>
                  </w:r>
                </w:p>
                <w:p w:rsidR="00853C9A" w:rsidRPr="005C2BD0" w:rsidRDefault="00853C9A" w:rsidP="00FC34E0">
                  <w:pPr>
                    <w:spacing w:after="0"/>
                    <w:ind w:left="187" w:right="-29"/>
                    <w:rPr>
                      <w:rFonts w:ascii="Arial" w:hAnsi="Arial" w:cs="Arial"/>
                      <w:i/>
                      <w:sz w:val="18"/>
                    </w:rPr>
                  </w:pPr>
                  <w:r w:rsidRPr="005C2BD0">
                    <w:rPr>
                      <w:rFonts w:ascii="Arial" w:hAnsi="Arial" w:cs="Arial"/>
                      <w:i/>
                      <w:sz w:val="18"/>
                    </w:rPr>
                    <w:t xml:space="preserve">Source: </w:t>
                  </w:r>
                  <w:hyperlink r:id="rId114" w:history="1">
                    <w:r w:rsidRPr="005C2BD0">
                      <w:rPr>
                        <w:rFonts w:ascii="Arial" w:hAnsi="Arial" w:cs="Arial"/>
                        <w:i/>
                        <w:sz w:val="18"/>
                      </w:rPr>
                      <w:t>http://www.auburn.edu/projects/sustainability/website/newsletter/0910.php</w:t>
                    </w:r>
                  </w:hyperlink>
                </w:p>
              </w:txbxContent>
            </v:textbox>
            <w10:wrap type="square" anchorx="margin" anchory="margin"/>
          </v:shape>
        </w:pict>
      </w:r>
      <w:r w:rsidRPr="00126F3D">
        <w:rPr>
          <w:noProof/>
        </w:rPr>
        <w:pict>
          <v:shape id="Text Box 45" o:spid="_x0000_s1150" type="#_x0000_t202" style="position:absolute;left:0;text-align:left;margin-left:-158.4pt;margin-top:20.4pt;width:158.4pt;height:38.75pt;z-index:251754496;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" fillcolor="#d8d8d8">
            <v:textbox style="mso-next-textbox:#Text Box 45">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Pr="00641291" w:rsidRDefault="00853C9A" w:rsidP="009531AF">
                  <w:pPr>
                    <w:pStyle w:val="CDMBTEXT"/>
                    <w:numPr>
                      <w:ilvl w:val="0"/>
                      <w:numId w:val="67"/>
                    </w:numPr>
                    <w:spacing w:after="60" w:line="240" w:lineRule="auto"/>
                    <w:ind w:left="540"/>
                    <w:rPr>
                      <w:i/>
                    </w:rPr>
                  </w:pPr>
                  <w:r>
                    <w:rPr>
                      <w:i/>
                    </w:rPr>
                    <w:t>Small cistern</w:t>
                  </w:r>
                </w:p>
              </w:txbxContent>
            </v:textbox>
            <w10:wrap type="square" anchorx="margin" anchory="margin"/>
          </v:shape>
        </w:pict>
      </w:r>
      <w:r w:rsidR="00FC34E0" w:rsidRPr="00311A64">
        <w:rPr>
          <w:rFonts w:eastAsia="Times New Roman"/>
          <w:noProof/>
        </w:rPr>
        <w:t>Rain barrels are above ground storage vessels that capture runoff from roof downspouts during rain events and detain that runoff for later reuse for irrigating landscaped areas. The temporary storage of roof runoff reduces the runoff volume from a property and may reduce the peak runoff velocity for small, frequently occurring storms. In addition, by reducing the amount of storm water runoff that flows overland into a storm water conveyance system (storm drain inlets and drain pipes), less pollutants are transported through the conveyance system into local creeks and ocean. The reuse of the detained water for irrigation purposes leads to the conservation of potable water and the recharge of groundwater.</w:t>
      </w:r>
    </w:p>
    <w:p w:rsidR="00FC34E0" w:rsidRPr="00B53524" w:rsidRDefault="00FC34E0" w:rsidP="00FC34E0">
      <w:pPr>
        <w:pStyle w:val="FactsheetSubheading"/>
        <w:outlineLvl w:val="0"/>
      </w:pPr>
      <w:r>
        <w:t>Feasibility</w:t>
      </w:r>
      <w:r w:rsidRPr="00311A64">
        <w:t xml:space="preserve"> </w:t>
      </w:r>
      <w:r>
        <w:t>Screening</w:t>
      </w:r>
      <w:r w:rsidRPr="00311A64">
        <w:t xml:space="preserve"> Considerations</w:t>
      </w:r>
    </w:p>
    <w:p w:rsidR="00FC34E0" w:rsidRPr="00B53524" w:rsidRDefault="00FC34E0" w:rsidP="00FC34E0">
      <w:pPr>
        <w:pStyle w:val="FactsheetBullets"/>
        <w:numPr>
          <w:ilvl w:val="0"/>
          <w:numId w:val="1"/>
        </w:numPr>
      </w:pPr>
      <w:r w:rsidRPr="00311A64">
        <w:t xml:space="preserve">Rain barrels not actively managed that </w:t>
      </w:r>
      <w:r>
        <w:t>overflow</w:t>
      </w:r>
      <w:r w:rsidRPr="00311A64">
        <w:t xml:space="preserve"> to infiltration areas shall be screened as Infiltration BMPs for </w:t>
      </w:r>
      <w:r>
        <w:t>feasibility screening.</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rsidRPr="00311A64">
        <w:t xml:space="preserve">Rooftops with downspouts </w:t>
      </w:r>
      <w:r>
        <w:t xml:space="preserve">or other suitable conveyances (e.g. rain chains) </w:t>
      </w:r>
      <w:r w:rsidRPr="00311A64">
        <w:t>present in the drainage area.</w:t>
      </w:r>
    </w:p>
    <w:p w:rsidR="00FC34E0" w:rsidRPr="00B53524" w:rsidRDefault="00FC34E0" w:rsidP="00FC34E0">
      <w:pPr>
        <w:pStyle w:val="FactsheetBullets"/>
        <w:numPr>
          <w:ilvl w:val="0"/>
          <w:numId w:val="1"/>
        </w:numPr>
      </w:pPr>
      <w:r w:rsidRPr="00311A64">
        <w:t>If detained water will be used for irrigation, sufficient vegetated areas and other impervious surfaces must be present in drainage area.</w:t>
      </w:r>
    </w:p>
    <w:p w:rsidR="00FC34E0" w:rsidRPr="00B53524" w:rsidRDefault="00FC34E0" w:rsidP="00FC34E0">
      <w:pPr>
        <w:pStyle w:val="FactsheetBullets"/>
        <w:numPr>
          <w:ilvl w:val="0"/>
          <w:numId w:val="1"/>
        </w:numPr>
      </w:pPr>
      <w:r w:rsidRPr="00311A64">
        <w:t>Storage capacity and sufficient area for overflow dispersion must be accounted for.</w:t>
      </w:r>
    </w:p>
    <w:p w:rsidR="00FC34E0" w:rsidRPr="00B53524" w:rsidRDefault="00FC34E0" w:rsidP="00FC34E0">
      <w:pPr>
        <w:pStyle w:val="FactsheetSubheading"/>
        <w:outlineLvl w:val="0"/>
      </w:pPr>
      <w:r w:rsidRPr="00311A64">
        <w:t>OC-Specific Design Criteria and Considerations</w:t>
      </w:r>
    </w:p>
    <w:tbl>
      <w:tblPr>
        <w:tblStyle w:val="TableGrid"/>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
        <w:gridCol w:w="8730"/>
      </w:tblGrid>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B53524" w:rsidRDefault="00FC34E0" w:rsidP="00FC34E0">
            <w:pPr>
              <w:pStyle w:val="CheckBoxTableText"/>
            </w:pPr>
            <w:r w:rsidRPr="00311A64">
              <w:t xml:space="preserve">Screens on gutters and downspouts should be used to remove sediment and particles as the water enters the barrel or cistern. </w:t>
            </w:r>
            <w:r>
              <w:t xml:space="preserve"> </w:t>
            </w:r>
            <w:r w:rsidRPr="00311A64">
              <w:t xml:space="preserve">Removable child-resistant covers and mosquito screening should be used to prevent unwanted access. </w:t>
            </w:r>
          </w:p>
        </w:tc>
      </w:tr>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B53524" w:rsidRDefault="00FC34E0" w:rsidP="00FC34E0">
            <w:pPr>
              <w:pStyle w:val="CheckBoxTableText"/>
            </w:pPr>
            <w:r w:rsidRPr="00311A64">
              <w:t>Above-ground barrels should be secured in place.</w:t>
            </w:r>
          </w:p>
        </w:tc>
      </w:tr>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B53524" w:rsidRDefault="00FC34E0" w:rsidP="00FC34E0">
            <w:pPr>
              <w:pStyle w:val="CheckBoxTableText"/>
            </w:pPr>
            <w:r w:rsidRPr="00311A64">
              <w:t>Above-ground barrels should not be located on uneven or sloped surfaces; if installed on a sloped surface, the base where the cistern will be installed should be leveled prior to installation.</w:t>
            </w:r>
          </w:p>
        </w:tc>
      </w:tr>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B53524" w:rsidRDefault="00FC34E0" w:rsidP="00FC34E0">
            <w:pPr>
              <w:pStyle w:val="CheckBoxTableText"/>
            </w:pPr>
            <w:r w:rsidRPr="00311A64">
              <w:t>Overflow disper</w:t>
            </w:r>
            <w:r>
              <w:t>sion should occur greater than 8</w:t>
            </w:r>
            <w:r w:rsidRPr="00311A64">
              <w:t xml:space="preserve"> feet from building foundations.</w:t>
            </w:r>
          </w:p>
        </w:tc>
      </w:tr>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B53524" w:rsidRDefault="00FC34E0" w:rsidP="00FC34E0">
            <w:pPr>
              <w:pStyle w:val="CheckBoxTableText"/>
            </w:pPr>
            <w:r w:rsidRPr="00311A64">
              <w:t>Dispersion should not cause geotechnical hazards related to slope stability.</w:t>
            </w:r>
          </w:p>
        </w:tc>
      </w:tr>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B53524" w:rsidRDefault="00FC34E0" w:rsidP="00FC34E0">
            <w:pPr>
              <w:pStyle w:val="CheckBoxTableText"/>
            </w:pPr>
            <w:r w:rsidRPr="00311A64">
              <w:t xml:space="preserve">Dispersion should be only allowed to stable vegetated areas where erosion or suspension of sediment is minimized. </w:t>
            </w:r>
          </w:p>
        </w:tc>
      </w:tr>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B53524" w:rsidRDefault="00FC34E0" w:rsidP="00FC34E0">
            <w:pPr>
              <w:pStyle w:val="CheckBoxTableText"/>
            </w:pPr>
            <w:r w:rsidRPr="00311A64">
              <w:t>Effective energy dissipation and uniform flow spreading methods should be employed to prevent erosion and facilitate dispersion.</w:t>
            </w:r>
          </w:p>
        </w:tc>
      </w:tr>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B53524" w:rsidRDefault="00FC34E0" w:rsidP="00FC34E0">
            <w:pPr>
              <w:pStyle w:val="CheckBoxTableText"/>
            </w:pPr>
            <w:r w:rsidRPr="00311A64">
              <w:t>Aesthetics should be considered for placement of barrels and incorporation into surroundings. Placement should allow easy access for regular maintenance.</w:t>
            </w:r>
          </w:p>
        </w:tc>
      </w:tr>
      <w:tr w:rsidR="00FC34E0" w:rsidRPr="00B53524" w:rsidTr="00FC34E0">
        <w:trPr>
          <w:trHeight w:val="20"/>
        </w:trPr>
        <w:tc>
          <w:tcPr>
            <w:tcW w:w="450" w:type="dxa"/>
            <w:vAlign w:val="center"/>
          </w:tcPr>
          <w:p w:rsidR="00FC34E0" w:rsidRPr="00B53524" w:rsidRDefault="00FC34E0" w:rsidP="00FC34E0">
            <w:pPr>
              <w:pStyle w:val="CheckBoxList"/>
              <w:ind w:left="806" w:hanging="806"/>
            </w:pPr>
          </w:p>
        </w:tc>
        <w:tc>
          <w:tcPr>
            <w:tcW w:w="8730" w:type="dxa"/>
            <w:vAlign w:val="center"/>
          </w:tcPr>
          <w:p w:rsidR="00FC34E0" w:rsidRPr="00311A64" w:rsidRDefault="00FC34E0" w:rsidP="00FC34E0">
            <w:pPr>
              <w:pStyle w:val="CheckBoxTableText"/>
            </w:pPr>
            <w:r>
              <w:t xml:space="preserve">To draw down a 55 gallon rain barrel within 2 days with plant watering, at least 1,600 square feet of conservation landscape or 800 square feet of active turf area is needed.  </w:t>
            </w:r>
          </w:p>
        </w:tc>
      </w:tr>
    </w:tbl>
    <w:p w:rsidR="00FC34E0" w:rsidRDefault="00FC34E0" w:rsidP="00FC34E0">
      <w:pPr>
        <w:pStyle w:val="FactsheetSubheading"/>
        <w:outlineLvl w:val="0"/>
      </w:pPr>
      <w:r w:rsidRPr="00311A64">
        <w:t>Calculating HSC Retention Volume</w:t>
      </w:r>
    </w:p>
    <w:p w:rsidR="00FC34E0" w:rsidRDefault="00FC34E0" w:rsidP="00FC34E0">
      <w:pPr>
        <w:pStyle w:val="FactsheetBullets"/>
        <w:numPr>
          <w:ilvl w:val="0"/>
          <w:numId w:val="1"/>
        </w:numPr>
      </w:pPr>
      <w:r>
        <w:t>At least 1,600 sq-ft of conservation landscape or 800 sq-ft of active turf landscape shall be provided for each rain barrel to claim an HSC credit volume</w:t>
      </w:r>
    </w:p>
    <w:p w:rsidR="00FC34E0" w:rsidRPr="00B53524" w:rsidRDefault="00FC34E0" w:rsidP="00FC34E0">
      <w:pPr>
        <w:pStyle w:val="FactsheetBullets"/>
        <w:numPr>
          <w:ilvl w:val="0"/>
          <w:numId w:val="1"/>
        </w:numPr>
      </w:pPr>
      <w:r>
        <w:rPr>
          <w:lang w:eastAsia="en-US"/>
        </w:rPr>
        <w:drawing>
          <wp:anchor distT="0" distB="0" distL="114300" distR="114300" simplePos="0" relativeHeight="251798528" behindDoc="0" locked="0" layoutInCell="1" allowOverlap="1">
            <wp:simplePos x="0" y="0"/>
            <wp:positionH relativeFrom="rightMargin">
              <wp:posOffset>-2971800</wp:posOffset>
            </wp:positionH>
            <wp:positionV relativeFrom="paragraph">
              <wp:posOffset>41910</wp:posOffset>
            </wp:positionV>
            <wp:extent cx="2970530" cy="2447925"/>
            <wp:effectExtent l="19050" t="0" r="1270" b="0"/>
            <wp:wrapSquare wrapText="bothSides"/>
            <wp:docPr id="1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email"/>
                    <a:srcRect/>
                    <a:stretch>
                      <a:fillRect/>
                    </a:stretch>
                  </pic:blipFill>
                  <pic:spPr bwMode="auto">
                    <a:xfrm>
                      <a:off x="0" y="0"/>
                      <a:ext cx="2970530" cy="2447925"/>
                    </a:xfrm>
                    <a:prstGeom prst="rect">
                      <a:avLst/>
                    </a:prstGeom>
                    <a:noFill/>
                    <a:ln w="9525">
                      <a:noFill/>
                      <a:miter lim="800000"/>
                      <a:headEnd/>
                      <a:tailEnd/>
                    </a:ln>
                  </pic:spPr>
                </pic:pic>
              </a:graphicData>
            </a:graphic>
          </wp:anchor>
        </w:drawing>
      </w:r>
      <w:r>
        <w:t>Th</w:t>
      </w:r>
      <w:r w:rsidRPr="00311A64">
        <w:t xml:space="preserve">e </w:t>
      </w:r>
      <w:r>
        <w:t xml:space="preserve">effective </w:t>
      </w:r>
      <w:r w:rsidRPr="00311A64">
        <w:t>volume provided by rain barrels that are not actively managed can be computed as 50% of the total storage volume (e.g., 2</w:t>
      </w:r>
      <w:r>
        <w:t>7</w:t>
      </w:r>
      <w:r w:rsidRPr="00311A64">
        <w:t xml:space="preserve">.5 gallons for each 55 gallon barrel. </w:t>
      </w:r>
    </w:p>
    <w:p w:rsidR="00FC34E0" w:rsidRPr="00B53524" w:rsidRDefault="00FC34E0" w:rsidP="00FC34E0">
      <w:pPr>
        <w:pStyle w:val="FactsheetBullets"/>
        <w:numPr>
          <w:ilvl w:val="0"/>
          <w:numId w:val="1"/>
        </w:numPr>
      </w:pPr>
      <w:r w:rsidRPr="00311A64">
        <w:t xml:space="preserve">If the rain barrel is actively managed then it should be treated as a </w:t>
      </w:r>
      <w:r>
        <w:t>c</w:t>
      </w:r>
      <w:r w:rsidRPr="00311A64">
        <w:t xml:space="preserve">istern as described in </w:t>
      </w:r>
      <w:r w:rsidR="00524D76" w:rsidRPr="00524D76">
        <w:rPr>
          <w:b/>
        </w:rPr>
        <w:t>Appendix</w:t>
      </w:r>
      <w:r w:rsidRPr="004954AE">
        <w:t> </w:t>
      </w:r>
      <w:fldSimple w:instr=" REF _Ref285552630 \r \h  \* MERGEFORMAT ">
        <w:r w:rsidR="00126DE5" w:rsidRPr="00126DE5">
          <w:rPr>
            <w:rFonts w:ascii="Book Antiqua" w:hAnsi="Book Antiqua"/>
            <w:b/>
            <w:color w:val="0070C0"/>
          </w:rPr>
          <w:t>XIV.4</w:t>
        </w:r>
      </w:fldSimple>
      <w:r w:rsidRPr="004954AE">
        <w:t>.</w:t>
      </w:r>
    </w:p>
    <w:p w:rsidR="00FC34E0" w:rsidRDefault="00FC34E0" w:rsidP="00FC34E0">
      <w:pPr>
        <w:pStyle w:val="FactsheetBullets"/>
        <w:numPr>
          <w:ilvl w:val="0"/>
          <w:numId w:val="1"/>
        </w:numPr>
      </w:pPr>
      <w:r w:rsidRPr="00311A64">
        <w:t>Estimate the average retention volume per 1000 square feet impervious tributary area provided by rain barrels.</w:t>
      </w:r>
      <w:r>
        <w:t xml:space="preserve">  Example:</w:t>
      </w:r>
    </w:p>
    <w:p w:rsidR="00FC34E0" w:rsidRDefault="00FC34E0" w:rsidP="00FC34E0">
      <w:pPr>
        <w:pStyle w:val="FactsheetBullets"/>
        <w:numPr>
          <w:ilvl w:val="1"/>
          <w:numId w:val="1"/>
        </w:numPr>
      </w:pPr>
      <w:r>
        <w:t>500 square feet of roof draining to a 55 gallon rain barrel</w:t>
      </w:r>
    </w:p>
    <w:p w:rsidR="00FC34E0" w:rsidRDefault="00FC34E0" w:rsidP="00FC34E0">
      <w:pPr>
        <w:pStyle w:val="FactsheetBullets"/>
        <w:numPr>
          <w:ilvl w:val="1"/>
          <w:numId w:val="1"/>
        </w:numPr>
      </w:pPr>
      <w:r>
        <w:t>Retention volume = (55/2) = 27.5 gallons</w:t>
      </w:r>
    </w:p>
    <w:p w:rsidR="00FC34E0" w:rsidRPr="00B53524" w:rsidRDefault="00FC34E0" w:rsidP="00FC34E0">
      <w:pPr>
        <w:pStyle w:val="FactsheetBullets"/>
        <w:numPr>
          <w:ilvl w:val="1"/>
          <w:numId w:val="1"/>
        </w:numPr>
      </w:pPr>
      <w:r>
        <w:t>Retention volume per 1000 sq feet = 27.5 gallons/ 0.5 = 55 gallons per 1000 sq-ft</w:t>
      </w:r>
    </w:p>
    <w:p w:rsidR="00FC34E0" w:rsidRPr="00B53524" w:rsidRDefault="00FC34E0" w:rsidP="00FC34E0">
      <w:pPr>
        <w:pStyle w:val="FactsheetBullets"/>
        <w:numPr>
          <w:ilvl w:val="1"/>
          <w:numId w:val="1"/>
        </w:numPr>
      </w:pPr>
      <w:r>
        <w:t>Based on the retention storage estimated, l</w:t>
      </w:r>
      <w:r w:rsidRPr="00311A64">
        <w:t>ook up the storm retention depth, d</w:t>
      </w:r>
      <w:r w:rsidRPr="00311A64">
        <w:rPr>
          <w:vertAlign w:val="subscript"/>
        </w:rPr>
        <w:t>HSC</w:t>
      </w:r>
      <w:r>
        <w:t xml:space="preserve"> from the chart to the right = 0.07 inches</w:t>
      </w:r>
    </w:p>
    <w:p w:rsidR="00FC34E0" w:rsidRPr="00B53524" w:rsidRDefault="00FC34E0" w:rsidP="00FC34E0">
      <w:pPr>
        <w:pStyle w:val="FactsheetBullets"/>
        <w:numPr>
          <w:ilvl w:val="1"/>
          <w:numId w:val="1"/>
        </w:numPr>
      </w:pPr>
      <w:r w:rsidRPr="00311A64">
        <w:t>The max d</w:t>
      </w:r>
      <w:r w:rsidRPr="00311A64">
        <w:rPr>
          <w:vertAlign w:val="subscript"/>
        </w:rPr>
        <w:t>HSC</w:t>
      </w:r>
      <w:r w:rsidRPr="00311A64">
        <w:t xml:space="preserve"> is equal to the design storm depth for the project site.</w:t>
      </w:r>
    </w:p>
    <w:p w:rsidR="00FC34E0" w:rsidRPr="00B53524" w:rsidRDefault="00FC34E0" w:rsidP="00FC34E0">
      <w:pPr>
        <w:pStyle w:val="FactsheetSubheading"/>
        <w:outlineLvl w:val="0"/>
      </w:pPr>
      <w:r w:rsidRPr="00311A64">
        <w:t>Configuration for Use in a Treatment Train</w:t>
      </w:r>
    </w:p>
    <w:p w:rsidR="00FC34E0" w:rsidRPr="00B53524" w:rsidRDefault="00FC34E0" w:rsidP="00FC34E0">
      <w:pPr>
        <w:pStyle w:val="FactsheetBullets"/>
        <w:numPr>
          <w:ilvl w:val="0"/>
          <w:numId w:val="1"/>
        </w:numPr>
      </w:pPr>
      <w:r w:rsidRPr="00311A64">
        <w:t xml:space="preserve">Rain barrels can be combined into a treatment train to provide enhanced water quality treatment and reductions in the runoff volume and rate.  For example, if a green roof is placed upgradient of a rain </w:t>
      </w:r>
      <w:r w:rsidRPr="00322561">
        <w:t>barrel</w:t>
      </w:r>
      <w:r w:rsidRPr="00311A64">
        <w:t>, the rate and volume of water flowing to the barrel can be reduced and the water quality enhanced.</w:t>
      </w:r>
    </w:p>
    <w:p w:rsidR="00FC34E0" w:rsidRPr="00B53524" w:rsidRDefault="00FC34E0" w:rsidP="00FC34E0">
      <w:pPr>
        <w:pStyle w:val="FactsheetBullets"/>
        <w:numPr>
          <w:ilvl w:val="0"/>
          <w:numId w:val="1"/>
        </w:numPr>
      </w:pPr>
      <w:r w:rsidRPr="00311A64">
        <w:t>Rain barrels can be incorporated into the landscape design of a site and can be aesthetically pleasing as well as functional for irrigation purposes</w:t>
      </w:r>
      <w:r>
        <w:t>.</w:t>
      </w:r>
    </w:p>
    <w:p w:rsidR="00FC34E0" w:rsidRPr="00B53524" w:rsidRDefault="00FC34E0" w:rsidP="00FC34E0">
      <w:pPr>
        <w:pStyle w:val="FactsheetSubheading"/>
        <w:outlineLvl w:val="0"/>
      </w:pPr>
      <w:r w:rsidRPr="00311A64">
        <w:t>Additional References for Design Guidance</w:t>
      </w:r>
    </w:p>
    <w:p w:rsidR="00FC34E0" w:rsidRPr="0015377B" w:rsidRDefault="00FC34E0" w:rsidP="00FC34E0">
      <w:pPr>
        <w:pStyle w:val="FactsheetBullets"/>
        <w:numPr>
          <w:ilvl w:val="0"/>
          <w:numId w:val="1"/>
        </w:numPr>
        <w:rPr>
          <w:b/>
          <w:color w:val="0070C0"/>
        </w:rPr>
      </w:pPr>
      <w:r w:rsidRPr="00311A64">
        <w:t>Santa Barbara BMP Guidance Manual, Chapter 6:</w:t>
      </w:r>
      <w:r>
        <w:t xml:space="preserve"> </w:t>
      </w:r>
      <w:hyperlink r:id="rId116" w:history="1">
        <w:r w:rsidRPr="00126DE5">
          <w:rPr>
            <w:rStyle w:val="Hyperlink"/>
            <w:rFonts w:ascii="Book Antiqua" w:eastAsia="Times" w:hAnsi="Book Antiqua"/>
            <w:b/>
            <w:color w:val="0070C0"/>
          </w:rPr>
          <w:t>http://www.santabarbaraca.gov/NR/rdonlyres/91D1FA75-C185-491E-A882-49EE17789DF8/0/Manual_071008_Final.pdf</w:t>
        </w:r>
      </w:hyperlink>
    </w:p>
    <w:p w:rsidR="00FC34E0" w:rsidRPr="00B53524" w:rsidRDefault="00FC34E0" w:rsidP="00FC34E0">
      <w:pPr>
        <w:pStyle w:val="FactsheetBullets"/>
        <w:numPr>
          <w:ilvl w:val="0"/>
          <w:numId w:val="1"/>
        </w:numPr>
      </w:pPr>
      <w:r w:rsidRPr="00311A64">
        <w:t xml:space="preserve">County of Los Angeles Low Impact Development Standards Manual: </w:t>
      </w:r>
      <w:hyperlink r:id="rId117" w:history="1">
        <w:r w:rsidRPr="00126DE5">
          <w:rPr>
            <w:rStyle w:val="Hyperlink"/>
            <w:rFonts w:ascii="Book Antiqua" w:eastAsia="Times" w:hAnsi="Book Antiqua"/>
            <w:b/>
            <w:color w:val="0070C0"/>
          </w:rPr>
          <w:t>http://dpw.lacounty.gov/wmd/LA_County_LID_Manual.pdf</w:t>
        </w:r>
      </w:hyperlink>
    </w:p>
    <w:p w:rsidR="00FC34E0" w:rsidRDefault="00FC34E0" w:rsidP="00FC34E0">
      <w:pPr>
        <w:pStyle w:val="FactsheetBullets"/>
        <w:numPr>
          <w:ilvl w:val="0"/>
          <w:numId w:val="1"/>
        </w:numPr>
      </w:pPr>
      <w:r w:rsidRPr="00311A64">
        <w:t xml:space="preserve">SMC LID Manual (pp 114): </w:t>
      </w:r>
      <w:hyperlink r:id="rId118" w:history="1">
        <w:r w:rsidRPr="00126DE5">
          <w:rPr>
            <w:rStyle w:val="Hyperlink"/>
            <w:rFonts w:ascii="Book Antiqua" w:eastAsia="Times" w:hAnsi="Book Antiqua"/>
            <w:b/>
            <w:color w:val="0070C0"/>
          </w:rPr>
          <w:t>http://www.lowimpactdevelopment.org/guest75/pub/All_Projects/SoCal_LID_Manual/SoCalLID_Manual_FINAL_040910.pdf</w:t>
        </w:r>
      </w:hyperlink>
    </w:p>
    <w:p w:rsidR="00FC34E0" w:rsidRPr="00B53524" w:rsidRDefault="00FC34E0" w:rsidP="00FC34E0">
      <w:pPr>
        <w:pStyle w:val="FactsheetBullets"/>
        <w:numPr>
          <w:ilvl w:val="0"/>
          <w:numId w:val="1"/>
        </w:numPr>
      </w:pPr>
      <w:r w:rsidRPr="00311A64">
        <w:t xml:space="preserve">San Diego </w:t>
      </w:r>
      <w:r w:rsidRPr="00322561">
        <w:t>County</w:t>
      </w:r>
      <w:r w:rsidRPr="00311A64">
        <w:t xml:space="preserve"> LID Handbook Appendix 4 (Factsheet 26):  </w:t>
      </w:r>
      <w:hyperlink r:id="rId119" w:history="1">
        <w:r w:rsidRPr="00126DE5">
          <w:rPr>
            <w:rStyle w:val="Hyperlink"/>
            <w:rFonts w:ascii="Book Antiqua" w:eastAsia="Times" w:hAnsi="Book Antiqua"/>
            <w:b/>
            <w:color w:val="0070C0"/>
          </w:rPr>
          <w:t>http://www.sdcounty.ca.gov/dplu/docs/LID-Appendices.pdf</w:t>
        </w:r>
      </w:hyperlink>
    </w:p>
    <w:p w:rsidR="00FC34E0" w:rsidRPr="00B53524" w:rsidRDefault="00126F3D" w:rsidP="00533A19">
      <w:pPr>
        <w:pStyle w:val="Heading3"/>
        <w:numPr>
          <w:ilvl w:val="0"/>
          <w:numId w:val="0"/>
        </w:numPr>
        <w:ind w:left="907" w:hanging="907"/>
      </w:pPr>
      <w:bookmarkStart w:id="783" w:name="_Ref287795117"/>
      <w:r w:rsidRPr="00126F3D">
        <w:rPr>
          <w:rFonts w:ascii="Arial" w:eastAsia="Times New Roman" w:hAnsi="Arial" w:cs="Arial"/>
          <w:noProof/>
          <w:sz w:val="20"/>
        </w:rPr>
        <w:pict>
          <v:shape id="Text Box 47" o:spid="_x0000_s1151" type="#_x0000_t202" style="position:absolute;left:0;text-align:left;margin-left:-158.4pt;margin-top:18.3pt;width:158.4pt;height:90.8pt;z-index:251755520;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" fillcolor="#d8d8d8">
            <v:textbox style="mso-next-textbox:#Text Box 47">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Default="00853C9A" w:rsidP="009531AF">
                  <w:pPr>
                    <w:pStyle w:val="CDMBTEXT"/>
                    <w:numPr>
                      <w:ilvl w:val="0"/>
                      <w:numId w:val="67"/>
                    </w:numPr>
                    <w:spacing w:after="60" w:line="240" w:lineRule="auto"/>
                    <w:ind w:left="540"/>
                    <w:rPr>
                      <w:i/>
                    </w:rPr>
                  </w:pPr>
                  <w:r>
                    <w:rPr>
                      <w:i/>
                    </w:rPr>
                    <w:t>Ecoroofs</w:t>
                  </w:r>
                </w:p>
                <w:p w:rsidR="00853C9A" w:rsidRDefault="00853C9A" w:rsidP="009531AF">
                  <w:pPr>
                    <w:pStyle w:val="CDMBTEXT"/>
                    <w:numPr>
                      <w:ilvl w:val="0"/>
                      <w:numId w:val="67"/>
                    </w:numPr>
                    <w:spacing w:after="60" w:line="240" w:lineRule="auto"/>
                    <w:ind w:left="540"/>
                    <w:rPr>
                      <w:i/>
                    </w:rPr>
                  </w:pPr>
                  <w:r>
                    <w:rPr>
                      <w:i/>
                    </w:rPr>
                    <w:t>Roof Gardens</w:t>
                  </w:r>
                </w:p>
                <w:p w:rsidR="00853C9A" w:rsidRDefault="00853C9A" w:rsidP="009531AF">
                  <w:pPr>
                    <w:pStyle w:val="CDMBTEXT"/>
                    <w:numPr>
                      <w:ilvl w:val="0"/>
                      <w:numId w:val="67"/>
                    </w:numPr>
                    <w:spacing w:after="60" w:line="240" w:lineRule="auto"/>
                    <w:ind w:left="540"/>
                    <w:rPr>
                      <w:i/>
                    </w:rPr>
                  </w:pPr>
                  <w:r>
                    <w:rPr>
                      <w:i/>
                    </w:rPr>
                    <w:t>Vegetated Roof Covers</w:t>
                  </w:r>
                </w:p>
                <w:p w:rsidR="00853C9A" w:rsidRPr="009F707D" w:rsidRDefault="00853C9A" w:rsidP="009531AF">
                  <w:pPr>
                    <w:pStyle w:val="CDMBTEXT"/>
                    <w:numPr>
                      <w:ilvl w:val="0"/>
                      <w:numId w:val="67"/>
                    </w:numPr>
                    <w:spacing w:after="60" w:line="240" w:lineRule="auto"/>
                    <w:ind w:left="540"/>
                    <w:rPr>
                      <w:i/>
                    </w:rPr>
                  </w:pPr>
                  <w:r w:rsidRPr="009F707D">
                    <w:rPr>
                      <w:i/>
                    </w:rPr>
                    <w:t>Brown Roofs</w:t>
                  </w:r>
                </w:p>
              </w:txbxContent>
            </v:textbox>
            <w10:wrap type="square" anchorx="margin" anchory="margin"/>
          </v:shape>
        </w:pict>
      </w:r>
      <w:bookmarkStart w:id="784" w:name="_Toc285522595"/>
      <w:bookmarkStart w:id="785" w:name="_Toc285589325"/>
      <w:r w:rsidR="00FC34E0">
        <w:t xml:space="preserve">HSC-5: </w:t>
      </w:r>
      <w:r w:rsidR="00FC34E0" w:rsidRPr="00311A64">
        <w:t>Green Roof / Brown Roof</w:t>
      </w:r>
      <w:bookmarkEnd w:id="783"/>
      <w:bookmarkEnd w:id="784"/>
      <w:bookmarkEnd w:id="785"/>
    </w:p>
    <w:p w:rsidR="00FC34E0" w:rsidRPr="00B53524" w:rsidRDefault="00126F3D" w:rsidP="00FC34E0">
      <w:pPr>
        <w:pStyle w:val="CDMBTEXT"/>
        <w:rPr>
          <w:noProof/>
        </w:rPr>
      </w:pPr>
      <w:r>
        <w:rPr>
          <w:noProof/>
        </w:rPr>
        <w:pict>
          <v:shape id="Text Box 48" o:spid="_x0000_s1152" type="#_x0000_t202" style="position:absolute;margin-left:-158.4pt;margin-top:109.1pt;width:158.4pt;height:129.95pt;z-index:251756544;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" filled="f">
            <v:textbox style="mso-next-textbox:#Text Box 48" inset="0,0,0,0">
              <w:txbxContent>
                <w:p w:rsidR="00853C9A" w:rsidRDefault="00853C9A" w:rsidP="00FC34E0">
                  <w:pPr>
                    <w:ind w:left="-29" w:right="-29"/>
                    <w:rPr>
                      <w:rFonts w:ascii="Arial" w:hAnsi="Arial" w:cs="Arial"/>
                      <w:sz w:val="20"/>
                    </w:rPr>
                  </w:pPr>
                </w:p>
                <w:p w:rsidR="00853C9A" w:rsidRDefault="00853C9A" w:rsidP="00FC34E0">
                  <w:pPr>
                    <w:ind w:left="180"/>
                    <w:rPr>
                      <w:rFonts w:ascii="Arial" w:hAnsi="Arial" w:cs="Arial"/>
                      <w:sz w:val="20"/>
                    </w:rPr>
                  </w:pPr>
                </w:p>
                <w:p w:rsidR="00853C9A" w:rsidRDefault="00853C9A" w:rsidP="00FC34E0">
                  <w:pPr>
                    <w:ind w:left="180"/>
                    <w:rPr>
                      <w:rFonts w:ascii="Arial" w:hAnsi="Arial" w:cs="Arial"/>
                      <w:sz w:val="20"/>
                    </w:rPr>
                  </w:pPr>
                </w:p>
                <w:p w:rsidR="00853C9A" w:rsidRDefault="00853C9A" w:rsidP="00FC34E0">
                  <w:pPr>
                    <w:spacing w:after="0"/>
                    <w:ind w:left="187"/>
                    <w:rPr>
                      <w:rFonts w:ascii="Arial" w:hAnsi="Arial" w:cs="Arial"/>
                      <w:sz w:val="20"/>
                    </w:rPr>
                  </w:pPr>
                </w:p>
                <w:p w:rsidR="00853C9A" w:rsidRDefault="00853C9A" w:rsidP="00FC34E0">
                  <w:pPr>
                    <w:spacing w:after="0"/>
                    <w:ind w:left="187"/>
                    <w:rPr>
                      <w:rFonts w:ascii="Arial" w:hAnsi="Arial" w:cs="Arial"/>
                      <w:sz w:val="20"/>
                    </w:rPr>
                  </w:pPr>
                  <w:r>
                    <w:rPr>
                      <w:rFonts w:ascii="Arial" w:hAnsi="Arial" w:cs="Arial"/>
                      <w:sz w:val="20"/>
                    </w:rPr>
                    <w:t>Green Roof</w:t>
                  </w:r>
                </w:p>
                <w:p w:rsidR="00853C9A" w:rsidRPr="00336A84" w:rsidRDefault="00853C9A" w:rsidP="00FC34E0">
                  <w:pPr>
                    <w:spacing w:after="0"/>
                    <w:ind w:left="187"/>
                    <w:rPr>
                      <w:rFonts w:ascii="Arial" w:hAnsi="Arial" w:cs="Arial"/>
                      <w:i/>
                      <w:sz w:val="20"/>
                    </w:rPr>
                  </w:pPr>
                  <w:r w:rsidRPr="00336A84">
                    <w:rPr>
                      <w:rFonts w:ascii="Arial" w:hAnsi="Arial" w:cs="Arial"/>
                      <w:i/>
                      <w:sz w:val="18"/>
                    </w:rPr>
                    <w:t>Source: Milwaukee Department of Environmental Sustainability</w:t>
                  </w:r>
                </w:p>
              </w:txbxContent>
            </v:textbox>
            <w10:wrap type="square" anchorx="margin" anchory="margin"/>
          </v:shape>
        </w:pict>
      </w:r>
      <w:r w:rsidR="00FC34E0">
        <w:rPr>
          <w:noProof/>
        </w:rPr>
        <w:drawing>
          <wp:anchor distT="0" distB="0" distL="114300" distR="114300" simplePos="0" relativeHeight="251800576" behindDoc="0" locked="0" layoutInCell="1" allowOverlap="1">
            <wp:simplePos x="0" y="0"/>
            <wp:positionH relativeFrom="column">
              <wp:posOffset>3936365</wp:posOffset>
            </wp:positionH>
            <wp:positionV relativeFrom="paragraph">
              <wp:posOffset>804545</wp:posOffset>
            </wp:positionV>
            <wp:extent cx="2006600" cy="1329690"/>
            <wp:effectExtent l="19050" t="0" r="0" b="0"/>
            <wp:wrapSquare wrapText="bothSides"/>
            <wp:docPr id="13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email"/>
                    <a:srcRect/>
                    <a:stretch>
                      <a:fillRect/>
                    </a:stretch>
                  </pic:blipFill>
                  <pic:spPr bwMode="auto">
                    <a:xfrm>
                      <a:off x="0" y="0"/>
                      <a:ext cx="2006600" cy="1329690"/>
                    </a:xfrm>
                    <a:prstGeom prst="rect">
                      <a:avLst/>
                    </a:prstGeom>
                    <a:noFill/>
                    <a:ln w="9525">
                      <a:noFill/>
                      <a:miter lim="800000"/>
                      <a:headEnd/>
                      <a:tailEnd/>
                    </a:ln>
                  </pic:spPr>
                </pic:pic>
              </a:graphicData>
            </a:graphic>
          </wp:anchor>
        </w:drawing>
      </w:r>
      <w:r w:rsidR="00FC34E0" w:rsidRPr="00311A64">
        <w:rPr>
          <w:noProof/>
        </w:rPr>
        <w:t xml:space="preserve">Green roofs are also known as ecoroofs, roof gardens, or vegetated roof covers.  Green roofs are roofing systems that layer a soil/vegetative cover over a waterproofing membrane. There are two types of green roofing systems; extensive, which is a light weight system and intensive, which is a heavier system that allows for larger plants but requires additional maintenance.  A green roof mimics pre-development conditions by limiting the impervious area created by development.  Green roofs filter, absorb, and evapotranspire precipitation to help mitigate the effects of urbanization on water quality and delivery of excess runoff to the local storm water conveyance systems. </w:t>
      </w:r>
    </w:p>
    <w:p w:rsidR="00FC34E0" w:rsidRPr="00B53524" w:rsidRDefault="00FC34E0" w:rsidP="00FC34E0">
      <w:pPr>
        <w:pStyle w:val="CDMBTEXT"/>
        <w:rPr>
          <w:noProof/>
        </w:rPr>
      </w:pPr>
      <w:r w:rsidRPr="00311A64">
        <w:rPr>
          <w:noProof/>
        </w:rPr>
        <w:t>Brown roofs are essentially a type of green roof designed to maximize biodiversity.  Brown roofs typically utilize natural soil and locally available substrates to create a protected biodiverse habitat for specific species of local flora and fauna.  Rather than landscaping the roof during construction, plants are left to germinate and grow on their own in the native soils, thus the “brown” (i.e., initially unvegetated) designation.  Hand-seeding may be implemented where self-colonization via airborne seeds is unlikley.</w:t>
      </w:r>
    </w:p>
    <w:p w:rsidR="00FC34E0" w:rsidRPr="00B53524" w:rsidRDefault="00FC34E0" w:rsidP="00FC34E0">
      <w:pPr>
        <w:pStyle w:val="FactsheetSubheading"/>
        <w:outlineLvl w:val="0"/>
      </w:pPr>
      <w:r>
        <w:t>Feasibility</w:t>
      </w:r>
      <w:r w:rsidRPr="00311A64">
        <w:t xml:space="preserve"> Screening Considerations</w:t>
      </w:r>
    </w:p>
    <w:p w:rsidR="00FC34E0" w:rsidRPr="00B53524" w:rsidRDefault="00FC34E0" w:rsidP="00FC34E0">
      <w:pPr>
        <w:pStyle w:val="FactsheetBullets"/>
        <w:numPr>
          <w:ilvl w:val="0"/>
          <w:numId w:val="1"/>
        </w:numPr>
      </w:pPr>
      <w:r>
        <w:t>Green roofs should be selected with consideration for their impacts on irrigation during the dry season and during dry periods of the wet season.</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rsidRPr="00311A64">
        <w:t xml:space="preserve">Green roofs can be applied to </w:t>
      </w:r>
      <w:r>
        <w:t xml:space="preserve">multi-family </w:t>
      </w:r>
      <w:r w:rsidRPr="00311A64">
        <w:t xml:space="preserve">residential, commercial, or institutional land uses including rooftops and decks above building structures (e.g., parking structures, outdoor eating area roofs, or storage facilities. </w:t>
      </w:r>
    </w:p>
    <w:p w:rsidR="00FC34E0" w:rsidRPr="00B53524" w:rsidRDefault="00FC34E0" w:rsidP="00FC34E0">
      <w:pPr>
        <w:pStyle w:val="FactsheetBullets"/>
        <w:numPr>
          <w:ilvl w:val="0"/>
          <w:numId w:val="1"/>
        </w:numPr>
      </w:pPr>
      <w:r>
        <w:t xml:space="preserve">Roofs are ideally multi-story with significant structural over-design </w:t>
      </w:r>
      <w:r w:rsidRPr="00311A64">
        <w:t>to support the additional weight of the soil, retained water, and plants</w:t>
      </w:r>
      <w:r>
        <w:t>, as confirmed by a licensed structural engineer</w:t>
      </w:r>
      <w:r w:rsidRPr="00311A64">
        <w:t>.</w:t>
      </w:r>
    </w:p>
    <w:p w:rsidR="00FC34E0" w:rsidRPr="00B53524" w:rsidRDefault="00FC34E0" w:rsidP="00FC34E0">
      <w:pPr>
        <w:pStyle w:val="FactsheetBullets"/>
        <w:numPr>
          <w:ilvl w:val="0"/>
          <w:numId w:val="1"/>
        </w:numPr>
      </w:pPr>
      <w:r w:rsidRPr="00311A64">
        <w:t>Roof</w:t>
      </w:r>
      <w:r>
        <w:t>s are ideally relatively flat.</w:t>
      </w:r>
    </w:p>
    <w:p w:rsidR="00FC34E0" w:rsidRPr="00B53524" w:rsidRDefault="00FC34E0" w:rsidP="00FC34E0">
      <w:pPr>
        <w:pStyle w:val="FactsheetSubheading"/>
        <w:outlineLvl w:val="0"/>
      </w:pPr>
      <w:r w:rsidRPr="00311A64">
        <w:t>OC-Specific Design Criteria and Considerations</w:t>
      </w:r>
    </w:p>
    <w:tbl>
      <w:tblPr>
        <w:tblStyle w:val="TableGrid"/>
        <w:tblW w:w="945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0"/>
        <w:gridCol w:w="8730"/>
      </w:tblGrid>
      <w:tr w:rsidR="00FC34E0" w:rsidRPr="00B53524" w:rsidTr="00FC34E0">
        <w:trPr>
          <w:trHeight w:val="147"/>
        </w:trPr>
        <w:tc>
          <w:tcPr>
            <w:tcW w:w="72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pStyle w:val="CheckBoxTableText"/>
            </w:pPr>
            <w:r w:rsidRPr="00311A64">
              <w:t>Saturated soil will weigh approximately</w:t>
            </w:r>
            <w:r>
              <w:t xml:space="preserve"> </w:t>
            </w:r>
            <w:r w:rsidRPr="00311A64">
              <w:t>10 – 25 lbs/square foot.  If the building</w:t>
            </w:r>
            <w:r>
              <w:t xml:space="preserve"> and roof are</w:t>
            </w:r>
            <w:r w:rsidRPr="00311A64">
              <w:t xml:space="preserve"> not designed to hold this weight (such as in a retrofit situation), a licensed structural engineer should be consulted.</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 xml:space="preserve">Soil depth should </w:t>
            </w:r>
            <w:r>
              <w:t xml:space="preserve">be consistent with minimum depths provided in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_Ref287704504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IX</w:t>
            </w:r>
            <w:r w:rsidR="00126F3D" w:rsidRPr="00126DE5">
              <w:rPr>
                <w:rFonts w:ascii="Book Antiqua" w:hAnsi="Book Antiqua"/>
                <w:b/>
                <w:color w:val="0070C0"/>
              </w:rPr>
              <w:fldChar w:fldCharType="end"/>
            </w:r>
            <w:r>
              <w:t>.</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rPr>
                <w:rFonts w:eastAsiaTheme="minorHAnsi"/>
              </w:rPr>
              <w:t>A drain pipe (gutter) is required to convey runoff safely from the roof.</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rPr>
                <w:rFonts w:eastAsiaTheme="minorHAnsi"/>
              </w:rPr>
              <w:t xml:space="preserve">Depending on the design of the roof, a drainage layer may be required to move the excess runoff off of the roof. </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A waterproof membrane, preventing the roof runoff from penetrating and damaging the roofing material, should be used. There are many materials available for this purpose; they come in various forms (i.e., rolls, sheets, liquid) and exhibit different characteristics (e.g., flexibility, strength, etc.).  Depending on the type of membrane chosen a root barrier may be required to prevent roots from compromising the integrity of the membrane.</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rPr>
                <w:rFonts w:eastAsiaTheme="minorHAnsi"/>
              </w:rPr>
              <w:t>Green roofs should be about 90% vegetated with a mix of erosion resistant plant species that effectively bind the soil and can withstand the extreme environment of rooftops (i.e., heat, cold, and high winds).</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rPr>
                <w:rFonts w:eastAsiaTheme="minorHAnsi"/>
              </w:rPr>
              <w:t>A diverse selection of low growing plants that thrive under the specific site, climatic, and watering conditions should be specified.  A mixture of drought tolerant, self-sustaining (perennial or self-sowing without need for fertilizers, herbicides, and or pesticides) is most effective.  Native or adapted sedum/succulent plants are preferred because they generally require less fertilizer, limited maintenance, and are more drought resistant than exotic plants. When appropriate, green roofs may be planted with larger plants; however, this depends on structural support, soil depth, and irrigation requirements.</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rPr>
                <w:rFonts w:eastAsiaTheme="minorHAnsi"/>
              </w:rPr>
              <w:t>Irrigation is required if the seed is planted in spring or summer. Use of a permanent smart (self-regulating) irrigation system, or other watering system, may help provide maximal water quality performance. Drought-tolerant plants should be specified to minimize irrigation requirements. For projects seeking “High Performance Building” recognition, ASHRAE Standard 189.1 states that potable water cannot be used for irrigating green roofs after they are established.</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rPr>
                <w:rFonts w:eastAsiaTheme="minorHAnsi"/>
              </w:rPr>
              <w:t>Locate the green roof in an area without excessive shade to avoid poor vegetative growth.  For moderately shaded areas, shade tolerant plants should be used.</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rPr>
                <w:rFonts w:eastAsiaTheme="minorHAnsi"/>
              </w:rPr>
              <w:t>Project-specific planting recommendations should be provided by a landscape professional including recommendations on appropriate plants, fertilizer, mulching applications, and irrigation requirements (if any) to ensure healthy vegetation growth.</w:t>
            </w:r>
          </w:p>
        </w:tc>
      </w:tr>
    </w:tbl>
    <w:p w:rsidR="00FC34E0" w:rsidRPr="00B53524" w:rsidRDefault="00FC34E0" w:rsidP="00FC34E0">
      <w:pPr>
        <w:pStyle w:val="FactsheetSubheading"/>
        <w:outlineLvl w:val="0"/>
      </w:pPr>
      <w:r w:rsidRPr="00311A64">
        <w:t>Sizing</w:t>
      </w:r>
    </w:p>
    <w:p w:rsidR="00FC34E0" w:rsidRPr="00B53524" w:rsidRDefault="00126F3D" w:rsidP="00FC34E0">
      <w:pPr>
        <w:autoSpaceDE w:val="0"/>
        <w:autoSpaceDN w:val="0"/>
        <w:adjustRightInd w:val="0"/>
        <w:spacing w:after="120"/>
        <w:rPr>
          <w:rFonts w:ascii="Arial" w:hAnsi="Arial" w:cs="Arial"/>
          <w:sz w:val="20"/>
        </w:rPr>
      </w:pPr>
      <w:r w:rsidRPr="00126DE5">
        <w:rPr>
          <w:rFonts w:cs="Arial"/>
          <w:b/>
          <w:color w:val="0070C0"/>
          <w:sz w:val="20"/>
        </w:rPr>
        <w:fldChar w:fldCharType="begin"/>
      </w:r>
      <w:r w:rsidR="00FC34E0" w:rsidRPr="00126DE5">
        <w:rPr>
          <w:rFonts w:cs="Arial"/>
          <w:b/>
          <w:color w:val="0070C0"/>
          <w:sz w:val="20"/>
        </w:rPr>
        <w:instrText xml:space="preserve"> REF _Ref287704524 \r \h </w:instrText>
      </w:r>
      <w:r w:rsidRPr="00126DE5">
        <w:rPr>
          <w:rFonts w:cs="Arial"/>
          <w:b/>
          <w:color w:val="0070C0"/>
          <w:sz w:val="20"/>
        </w:rPr>
      </w:r>
      <w:r w:rsidRPr="00126DE5">
        <w:rPr>
          <w:rFonts w:cs="Arial"/>
          <w:b/>
          <w:color w:val="0070C0"/>
          <w:sz w:val="20"/>
        </w:rPr>
        <w:fldChar w:fldCharType="separate"/>
      </w:r>
      <w:r w:rsidR="00126DE5" w:rsidRPr="00126DE5">
        <w:rPr>
          <w:rFonts w:cs="Arial"/>
          <w:b/>
          <w:color w:val="0070C0"/>
          <w:sz w:val="20"/>
        </w:rPr>
        <w:t>Appendix IX</w:t>
      </w:r>
      <w:r w:rsidRPr="00126DE5">
        <w:rPr>
          <w:rFonts w:cs="Arial"/>
          <w:b/>
          <w:color w:val="0070C0"/>
          <w:sz w:val="20"/>
        </w:rPr>
        <w:fldChar w:fldCharType="end"/>
      </w:r>
      <w:r w:rsidR="00FC34E0">
        <w:rPr>
          <w:rFonts w:ascii="Arial" w:hAnsi="Arial" w:cs="Arial"/>
          <w:sz w:val="20"/>
        </w:rPr>
        <w:t xml:space="preserve"> provides minimum criteria for green roofs to be considered self-retaining and shall be the governing sizing basis for green roofs. </w:t>
      </w:r>
    </w:p>
    <w:p w:rsidR="00FC34E0" w:rsidRPr="00B53524" w:rsidRDefault="00FC34E0" w:rsidP="00FC34E0">
      <w:pPr>
        <w:pStyle w:val="FactsheetSubheading"/>
        <w:outlineLvl w:val="0"/>
      </w:pPr>
      <w:r w:rsidRPr="00311A64">
        <w:t>Configuration for Use in a Treatment Train</w:t>
      </w:r>
    </w:p>
    <w:p w:rsidR="00FC34E0" w:rsidRPr="00B53524" w:rsidRDefault="00FC34E0" w:rsidP="00FC34E0">
      <w:pPr>
        <w:pStyle w:val="FactsheetBullets"/>
        <w:numPr>
          <w:ilvl w:val="0"/>
          <w:numId w:val="1"/>
        </w:numPr>
      </w:pPr>
      <w:r w:rsidRPr="00311A64">
        <w:t xml:space="preserve">If implemented in a treatment train, green roofs are typically at the most upstream end.  A green roof placed upgradient of a cistern can improve the quality and reduce the rate and volume of water flowing to the cistern.  Alternatively, a planter box could be placed downstream of a downspout that drains the green roof.  </w:t>
      </w:r>
    </w:p>
    <w:p w:rsidR="00FC34E0" w:rsidRPr="00B53524" w:rsidRDefault="00FC34E0" w:rsidP="00FC34E0">
      <w:pPr>
        <w:pStyle w:val="FactsheetSubheading"/>
        <w:outlineLvl w:val="0"/>
      </w:pPr>
      <w:r w:rsidRPr="00311A64">
        <w:t>Additional References for Design Guidance</w:t>
      </w:r>
    </w:p>
    <w:p w:rsidR="00FC34E0" w:rsidRPr="00B53524" w:rsidRDefault="00FC34E0" w:rsidP="00FC34E0">
      <w:pPr>
        <w:pStyle w:val="FactsheetBullets"/>
        <w:numPr>
          <w:ilvl w:val="0"/>
          <w:numId w:val="1"/>
        </w:numPr>
      </w:pPr>
      <w:r w:rsidRPr="00311A64">
        <w:t xml:space="preserve">Los Angeles Unified School District Stormwater Technical Manual, 2009. </w:t>
      </w:r>
      <w:hyperlink r:id="rId121" w:history="1">
        <w:r w:rsidRPr="00126DE5">
          <w:rPr>
            <w:rStyle w:val="Hyperlink"/>
            <w:rFonts w:ascii="Book Antiqua" w:hAnsi="Book Antiqua"/>
            <w:b/>
            <w:color w:val="0070C0"/>
          </w:rPr>
          <w:t>http://www.laschools.org/employee/design/fs-studies-and-reports/download/white_paper_report_material/Storm_Water_Technical_Manual_2009-opt-red.pdf?version_id=76975850</w:t>
        </w:r>
      </w:hyperlink>
    </w:p>
    <w:p w:rsidR="00FC34E0" w:rsidRPr="00B53524" w:rsidRDefault="00FC34E0" w:rsidP="00FC34E0">
      <w:pPr>
        <w:pStyle w:val="FactsheetBullets"/>
        <w:numPr>
          <w:ilvl w:val="0"/>
          <w:numId w:val="1"/>
        </w:numPr>
      </w:pPr>
      <w:r w:rsidRPr="00311A64">
        <w:t xml:space="preserve">City of Santa Barbara, Technical Guidance Manual for Post-Construction Storm Water Management, 2008. </w:t>
      </w:r>
      <w:hyperlink r:id="rId122" w:history="1">
        <w:r w:rsidRPr="00126DE5">
          <w:rPr>
            <w:rStyle w:val="Hyperlink"/>
            <w:rFonts w:ascii="Book Antiqua" w:hAnsi="Book Antiqua"/>
            <w:b/>
            <w:color w:val="0070C0"/>
          </w:rPr>
          <w:t>http://www.santabarbaraca.gov/NR/rdonlyres/91D1FA75-C185-491E-A882-49EE17789DF8/0/Manual_071008_Final.pdf</w:t>
        </w:r>
      </w:hyperlink>
    </w:p>
    <w:p w:rsidR="00FC34E0" w:rsidRPr="00B53524" w:rsidRDefault="00FC34E0" w:rsidP="00FC34E0">
      <w:pPr>
        <w:pStyle w:val="FactsheetBullets"/>
        <w:numPr>
          <w:ilvl w:val="0"/>
          <w:numId w:val="1"/>
        </w:numPr>
      </w:pPr>
      <w:r w:rsidRPr="00311A64">
        <w:t xml:space="preserve">Portland Stormwater Management Manual. </w:t>
      </w:r>
      <w:hyperlink r:id="rId123" w:history="1">
        <w:r w:rsidRPr="00126DE5">
          <w:rPr>
            <w:rStyle w:val="Hyperlink"/>
            <w:rFonts w:ascii="Book Antiqua" w:hAnsi="Book Antiqua"/>
            <w:b/>
            <w:color w:val="0070C0"/>
          </w:rPr>
          <w:t>http://www.portlandonline.com/bes/index.cfm?c=35122&amp;a=55791</w:t>
        </w:r>
      </w:hyperlink>
    </w:p>
    <w:p w:rsidR="00FC34E0" w:rsidRPr="00B53524" w:rsidRDefault="00FC34E0" w:rsidP="00FC34E0">
      <w:pPr>
        <w:pStyle w:val="FactsheetBullets"/>
        <w:numPr>
          <w:ilvl w:val="0"/>
          <w:numId w:val="1"/>
        </w:numPr>
      </w:pPr>
      <w:r w:rsidRPr="00311A64">
        <w:t xml:space="preserve">San Diego County – Low Impact Development Fact Sheets. </w:t>
      </w:r>
      <w:hyperlink r:id="rId124" w:history="1">
        <w:r w:rsidRPr="00126DE5">
          <w:rPr>
            <w:rStyle w:val="Hyperlink"/>
            <w:rFonts w:ascii="Book Antiqua" w:hAnsi="Book Antiqua"/>
            <w:b/>
            <w:color w:val="0070C0"/>
          </w:rPr>
          <w:t>http://www.sdcounty.ca.gov/dplu/docs/LID-Appendices.pdf</w:t>
        </w:r>
      </w:hyperlink>
    </w:p>
    <w:p w:rsidR="00FC34E0" w:rsidRPr="00B53524" w:rsidRDefault="00FC34E0" w:rsidP="00FC34E0">
      <w:pPr>
        <w:pStyle w:val="FactsheetBullets"/>
        <w:numPr>
          <w:ilvl w:val="0"/>
          <w:numId w:val="1"/>
        </w:numPr>
        <w:spacing w:after="200" w:line="276" w:lineRule="auto"/>
      </w:pPr>
      <w:r w:rsidRPr="00311A64">
        <w:t xml:space="preserve">Brown Roofs. </w:t>
      </w:r>
      <w:hyperlink r:id="rId125" w:history="1">
        <w:r w:rsidRPr="00126DE5">
          <w:rPr>
            <w:rStyle w:val="Hyperlink"/>
            <w:rFonts w:ascii="Book Antiqua" w:hAnsi="Book Antiqua"/>
            <w:b/>
            <w:color w:val="0070C0"/>
          </w:rPr>
          <w:t>http://www.brownroofs.co.uk/brown-roof-maintenance.php</w:t>
        </w:r>
      </w:hyperlink>
      <w:r w:rsidRPr="00311A64">
        <w:br w:type="page"/>
      </w:r>
    </w:p>
    <w:p w:rsidR="00FC34E0" w:rsidRPr="00B53524" w:rsidRDefault="00126F3D" w:rsidP="00533A19">
      <w:pPr>
        <w:pStyle w:val="Heading3"/>
        <w:numPr>
          <w:ilvl w:val="0"/>
          <w:numId w:val="0"/>
        </w:numPr>
        <w:ind w:left="907" w:hanging="907"/>
      </w:pPr>
      <w:bookmarkStart w:id="786" w:name="_Ref287795119"/>
      <w:r>
        <w:rPr>
          <w:noProof/>
        </w:rPr>
        <w:pict>
          <v:shape id="Text Box 49" o:spid="_x0000_s1153" type="#_x0000_t202" style="position:absolute;left:0;text-align:left;margin-left:-167.55pt;margin-top:17.4pt;width:158.4pt;height:53.5pt;z-index:251757568;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" fillcolor="#d8d8d8">
            <v:textbox style="mso-next-textbox:#Text Box 49">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Pr="009F707D" w:rsidRDefault="00853C9A" w:rsidP="009531AF">
                  <w:pPr>
                    <w:pStyle w:val="CDMBTEXT"/>
                    <w:numPr>
                      <w:ilvl w:val="0"/>
                      <w:numId w:val="67"/>
                    </w:numPr>
                    <w:spacing w:after="60" w:line="240" w:lineRule="auto"/>
                    <w:ind w:left="540"/>
                    <w:rPr>
                      <w:i/>
                    </w:rPr>
                  </w:pPr>
                  <w:r>
                    <w:rPr>
                      <w:i/>
                    </w:rPr>
                    <w:t>Rooftop Detention Systems</w:t>
                  </w:r>
                </w:p>
              </w:txbxContent>
            </v:textbox>
            <w10:wrap type="square" anchorx="margin" anchory="margin"/>
          </v:shape>
        </w:pict>
      </w:r>
      <w:bookmarkStart w:id="787" w:name="_Toc285522596"/>
      <w:bookmarkStart w:id="788" w:name="_Toc285589326"/>
      <w:r w:rsidR="00FC34E0">
        <w:t xml:space="preserve">HSC-6: </w:t>
      </w:r>
      <w:r w:rsidR="00FC34E0" w:rsidRPr="00311A64">
        <w:t>Blue Roof</w:t>
      </w:r>
      <w:bookmarkEnd w:id="786"/>
      <w:bookmarkEnd w:id="787"/>
      <w:bookmarkEnd w:id="788"/>
    </w:p>
    <w:p w:rsidR="00FC34E0" w:rsidRPr="00B53524" w:rsidRDefault="00126F3D" w:rsidP="00FC34E0">
      <w:pPr>
        <w:pStyle w:val="CDMBTEXT"/>
        <w:rPr>
          <w:i/>
          <w:noProof/>
        </w:rPr>
      </w:pPr>
      <w:r w:rsidRPr="00126F3D">
        <w:rPr>
          <w:noProof/>
        </w:rPr>
        <w:pict>
          <v:shape id="Text Box 50" o:spid="_x0000_s1154" type="#_x0000_t202" style="position:absolute;margin-left:-167.55pt;margin-top:70.9pt;width:158.4pt;height:196.1pt;z-index:251758592;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" filled="f">
            <v:textbox style="mso-next-textbox:#Text Box 50" inset="0,0,0,0">
              <w:txbxContent>
                <w:p w:rsidR="00853C9A" w:rsidRDefault="00853C9A" w:rsidP="00FC34E0">
                  <w:pPr>
                    <w:ind w:left="-29" w:right="-29"/>
                    <w:rPr>
                      <w:rFonts w:ascii="Arial" w:hAnsi="Arial" w:cs="Arial"/>
                      <w:noProof/>
                      <w:sz w:val="20"/>
                    </w:rPr>
                  </w:pPr>
                  <w:r w:rsidRPr="001B0B81">
                    <w:rPr>
                      <w:rFonts w:ascii="Arial" w:hAnsi="Arial" w:cs="Arial"/>
                      <w:noProof/>
                      <w:sz w:val="20"/>
                    </w:rPr>
                    <w:drawing>
                      <wp:inline distT="0" distB="0" distL="0" distR="0">
                        <wp:extent cx="2004303" cy="1643975"/>
                        <wp:effectExtent l="19050" t="0" r="0" b="0"/>
                        <wp:docPr id="7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screen"/>
                                <a:srcRect r="9186"/>
                                <a:stretch>
                                  <a:fillRect/>
                                </a:stretch>
                              </pic:blipFill>
                              <pic:spPr bwMode="auto">
                                <a:xfrm>
                                  <a:off x="0" y="0"/>
                                  <a:ext cx="2004303" cy="1643975"/>
                                </a:xfrm>
                                <a:prstGeom prst="rect">
                                  <a:avLst/>
                                </a:prstGeom>
                                <a:noFill/>
                                <a:ln w="9525">
                                  <a:noFill/>
                                  <a:miter lim="800000"/>
                                  <a:headEnd/>
                                  <a:tailEnd/>
                                </a:ln>
                              </pic:spPr>
                            </pic:pic>
                          </a:graphicData>
                        </a:graphic>
                      </wp:inline>
                    </w:drawing>
                  </w:r>
                </w:p>
                <w:p w:rsidR="00853C9A" w:rsidRDefault="00853C9A" w:rsidP="00FC34E0">
                  <w:pPr>
                    <w:spacing w:after="0"/>
                    <w:ind w:left="187" w:right="-29"/>
                    <w:rPr>
                      <w:rFonts w:ascii="Arial" w:hAnsi="Arial" w:cs="Arial"/>
                      <w:sz w:val="20"/>
                    </w:rPr>
                  </w:pPr>
                  <w:r>
                    <w:rPr>
                      <w:rFonts w:ascii="Arial" w:hAnsi="Arial" w:cs="Arial"/>
                      <w:sz w:val="20"/>
                    </w:rPr>
                    <w:t>Blue Roof</w:t>
                  </w:r>
                </w:p>
                <w:p w:rsidR="00853C9A" w:rsidRPr="00336A84" w:rsidRDefault="00853C9A" w:rsidP="00FC34E0">
                  <w:pPr>
                    <w:spacing w:after="0"/>
                    <w:ind w:left="187" w:right="-29"/>
                    <w:rPr>
                      <w:rFonts w:ascii="Arial" w:hAnsi="Arial" w:cs="Arial"/>
                      <w:i/>
                      <w:sz w:val="20"/>
                    </w:rPr>
                  </w:pPr>
                  <w:r w:rsidRPr="00336A84">
                    <w:rPr>
                      <w:rFonts w:ascii="Arial" w:hAnsi="Arial" w:cs="Arial"/>
                      <w:i/>
                      <w:sz w:val="18"/>
                    </w:rPr>
                    <w:t>Source: New York Department of Environmental Protection</w:t>
                  </w:r>
                </w:p>
              </w:txbxContent>
            </v:textbox>
            <w10:wrap type="square" anchorx="margin" anchory="margin"/>
          </v:shape>
        </w:pict>
      </w:r>
      <w:r w:rsidR="00FC34E0" w:rsidRPr="00311A64">
        <w:rPr>
          <w:noProof/>
        </w:rPr>
        <w:t>Blue roofs, also known as rooftop detention systems, serve as a rooftop storage designed to reduce runoff peaks and volumes. Captured stormwater, up to the design depth, is held on the rooftop until the water either evaporates or is slowly metered out via flow restriction valves.  With sufficent waterproofing blue roofs can be implemented on exisiting structures, given that the roof and building are of suffic</w:t>
      </w:r>
      <w:r w:rsidR="00FC34E0">
        <w:rPr>
          <w:noProof/>
        </w:rPr>
        <w:t>i</w:t>
      </w:r>
      <w:r w:rsidR="00FC34E0" w:rsidRPr="00311A64">
        <w:rPr>
          <w:noProof/>
        </w:rPr>
        <w:t xml:space="preserve">ent structural integrity to support the weight for the ponded water.  As blue roofs lack vegetation, they require significantly less maintenance than green or brown roofs.  </w:t>
      </w:r>
      <w:r w:rsidR="00FC34E0" w:rsidRPr="00311A64">
        <w:rPr>
          <w:i/>
          <w:noProof/>
        </w:rPr>
        <w:t xml:space="preserve">Note: </w:t>
      </w:r>
      <w:r w:rsidR="00FC34E0" w:rsidRPr="00366C4D">
        <w:rPr>
          <w:i/>
          <w:noProof/>
        </w:rPr>
        <w:t>Blue roofs should</w:t>
      </w:r>
      <w:r w:rsidR="00FC34E0" w:rsidRPr="00084459">
        <w:rPr>
          <w:i/>
          <w:noProof/>
        </w:rPr>
        <w:t xml:space="preserve"> not be designed to hold standing water longer than </w:t>
      </w:r>
      <w:r w:rsidR="00FC34E0">
        <w:rPr>
          <w:i/>
          <w:noProof/>
        </w:rPr>
        <w:t>96</w:t>
      </w:r>
      <w:r w:rsidR="00FC34E0" w:rsidRPr="00084459">
        <w:rPr>
          <w:i/>
          <w:noProof/>
        </w:rPr>
        <w:t xml:space="preserve"> hours in order to mitigate vector hazards.</w:t>
      </w:r>
      <w:r w:rsidR="00FC34E0" w:rsidRPr="00311A64">
        <w:rPr>
          <w:i/>
          <w:noProof/>
        </w:rPr>
        <w:t xml:space="preserve"> </w:t>
      </w:r>
    </w:p>
    <w:p w:rsidR="00FC34E0" w:rsidRPr="00B53524" w:rsidRDefault="00FC34E0" w:rsidP="00FC34E0">
      <w:pPr>
        <w:pStyle w:val="FactsheetSubheading"/>
        <w:outlineLvl w:val="0"/>
      </w:pPr>
      <w:r>
        <w:t>Feasibility</w:t>
      </w:r>
      <w:r w:rsidRPr="00311A64">
        <w:t xml:space="preserve"> Screening Considerations</w:t>
      </w:r>
    </w:p>
    <w:p w:rsidR="00FC34E0" w:rsidRPr="00B53524" w:rsidRDefault="00FC34E0" w:rsidP="00FC34E0">
      <w:pPr>
        <w:pStyle w:val="FactsheetBullets"/>
        <w:numPr>
          <w:ilvl w:val="0"/>
          <w:numId w:val="1"/>
        </w:numPr>
      </w:pPr>
      <w:r>
        <w:t>Potential feasibility concerns for blue roofs relate to standing water (vectors) and structural requirements, however these constaints can generally be overcome with careful design.</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rsidRPr="00311A64">
        <w:t xml:space="preserve">Blue roofs can be applied to </w:t>
      </w:r>
      <w:r>
        <w:t xml:space="preserve">multi-family </w:t>
      </w:r>
      <w:r w:rsidRPr="00311A64">
        <w:t xml:space="preserve">residential, commercial, or institutional land uses including rooftops and decks above building structures (e.g., parking structures, outdoor eating area roofs, or storage facilities). </w:t>
      </w:r>
    </w:p>
    <w:p w:rsidR="00FC34E0" w:rsidRPr="00B53524" w:rsidRDefault="00FC34E0" w:rsidP="00FC34E0">
      <w:pPr>
        <w:pStyle w:val="FactsheetBullets"/>
        <w:numPr>
          <w:ilvl w:val="0"/>
          <w:numId w:val="1"/>
        </w:numPr>
      </w:pPr>
      <w:r w:rsidRPr="00311A64">
        <w:t>Building structure must be adequate to support the additional weight of the retained water.</w:t>
      </w:r>
    </w:p>
    <w:p w:rsidR="00FC34E0" w:rsidRPr="00B53524" w:rsidRDefault="00FC34E0" w:rsidP="00FC34E0">
      <w:pPr>
        <w:pStyle w:val="FactsheetBullets"/>
        <w:numPr>
          <w:ilvl w:val="0"/>
          <w:numId w:val="1"/>
        </w:numPr>
      </w:pPr>
      <w:r w:rsidRPr="00311A64">
        <w:t>Roof slope must be flat.</w:t>
      </w:r>
    </w:p>
    <w:p w:rsidR="00FC34E0" w:rsidRPr="00B53524" w:rsidRDefault="00FC34E0" w:rsidP="00FC34E0">
      <w:pPr>
        <w:pStyle w:val="FactsheetSubheading"/>
        <w:outlineLvl w:val="0"/>
      </w:pPr>
      <w:r w:rsidRPr="00311A64">
        <w:t>OC-Specific Design Criteria and Considerations</w:t>
      </w:r>
    </w:p>
    <w:tbl>
      <w:tblPr>
        <w:tblStyle w:val="TableGrid"/>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
        <w:gridCol w:w="8730"/>
      </w:tblGrid>
      <w:tr w:rsidR="00FC34E0" w:rsidRPr="00B53524" w:rsidTr="00FC34E0">
        <w:trPr>
          <w:trHeight w:val="147"/>
        </w:trPr>
        <w:tc>
          <w:tcPr>
            <w:tcW w:w="45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pStyle w:val="CheckBoxTableText"/>
            </w:pPr>
            <w:r w:rsidRPr="00311A64">
              <w:t>A licensed structural engineer should be consulted regarding the weight bearing capacity of the structure prior to design.  Retrofit may be required.</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rPr>
                <w:rFonts w:eastAsiaTheme="minorHAnsi"/>
              </w:rPr>
            </w:pPr>
            <w:r w:rsidRPr="00311A64">
              <w:rPr>
                <w:rFonts w:eastAsiaTheme="minorHAnsi"/>
              </w:rPr>
              <w:t>Blue roof discharges must be treated by an acceptable biotreatment BMP.</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rPr>
                <w:rFonts w:eastAsiaTheme="minorHAnsi"/>
              </w:rPr>
              <w:t>A drain pipe (gutter) is required to convey runoff safely from the roof.</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 xml:space="preserve">A waterproof membrane, preventing the retained water from penetrating and damaging the roofing material, should be used. There are many materials available for this purpose; they come in various forms (i.e., rolls, sheets, liquid) and exhibit different characteristics (e.g., flexibility, strength, etc.). </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 xml:space="preserve">Unless covered, the maximum detention time should comply with all local, state, and federal regulations.  Maximum hold time is typically 72-hours to prevent the breeding of mosquitoes.  </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 xml:space="preserve">Over time rooftop vegetation may sprout by means of windblown sediment and seeds, especially in a dusty, windy environment.  Roof drains should be inspected for clogging, as this may adversely affect downstream BMPs. </w:t>
            </w:r>
          </w:p>
        </w:tc>
      </w:tr>
    </w:tbl>
    <w:p w:rsidR="00FC34E0" w:rsidRPr="00B53524" w:rsidRDefault="00FC34E0" w:rsidP="00FC34E0">
      <w:pPr>
        <w:autoSpaceDE w:val="0"/>
        <w:autoSpaceDN w:val="0"/>
        <w:adjustRightInd w:val="0"/>
        <w:spacing w:after="120"/>
        <w:rPr>
          <w:rFonts w:ascii="Arial" w:hAnsi="Arial" w:cs="Arial"/>
          <w:sz w:val="20"/>
        </w:rPr>
      </w:pPr>
    </w:p>
    <w:p w:rsidR="00FC34E0" w:rsidRPr="00B53524" w:rsidRDefault="00FC34E0" w:rsidP="00FC34E0">
      <w:pPr>
        <w:pStyle w:val="FactsheetSubheading"/>
        <w:outlineLvl w:val="0"/>
      </w:pPr>
      <w:r w:rsidRPr="00311A64">
        <w:t>Sizing</w:t>
      </w:r>
    </w:p>
    <w:p w:rsidR="00FC34E0" w:rsidRPr="004954AE" w:rsidRDefault="00FC34E0" w:rsidP="009531AF">
      <w:pPr>
        <w:pStyle w:val="ListParagraph"/>
        <w:numPr>
          <w:ilvl w:val="0"/>
          <w:numId w:val="84"/>
        </w:numPr>
        <w:autoSpaceDE w:val="0"/>
        <w:autoSpaceDN w:val="0"/>
        <w:adjustRightInd w:val="0"/>
        <w:spacing w:after="120" w:line="264" w:lineRule="auto"/>
        <w:rPr>
          <w:rFonts w:ascii="Arial" w:hAnsi="Arial" w:cs="Arial"/>
          <w:sz w:val="20"/>
        </w:rPr>
      </w:pPr>
      <w:r w:rsidRPr="004954AE">
        <w:rPr>
          <w:rFonts w:ascii="Arial" w:hAnsi="Arial" w:cs="Arial"/>
          <w:sz w:val="20"/>
        </w:rPr>
        <w:t xml:space="preserve">Blue roofs will not generally be able to achieve full retention of the </w:t>
      </w:r>
      <w:r w:rsidR="003C7091">
        <w:rPr>
          <w:rFonts w:ascii="Arial" w:hAnsi="Arial" w:cs="Arial"/>
          <w:sz w:val="20"/>
        </w:rPr>
        <w:t>DCV</w:t>
      </w:r>
      <w:r w:rsidRPr="004954AE">
        <w:rPr>
          <w:rFonts w:ascii="Arial" w:hAnsi="Arial" w:cs="Arial"/>
          <w:sz w:val="20"/>
        </w:rPr>
        <w:t xml:space="preserve"> and are most applicable as HSCs as the first part of a treatment train.  In this role, the retention depth of the blue roof would be removed from the remaining sizing criteria for downstream BMPs.</w:t>
      </w:r>
    </w:p>
    <w:p w:rsidR="00FC34E0" w:rsidRPr="00B53524" w:rsidRDefault="00FC34E0" w:rsidP="00FC34E0">
      <w:pPr>
        <w:pStyle w:val="FactsheetSubheading"/>
        <w:outlineLvl w:val="0"/>
      </w:pPr>
      <w:r w:rsidRPr="00311A64">
        <w:t>Configuration for Use in a Treatment Train</w:t>
      </w:r>
    </w:p>
    <w:p w:rsidR="00FC34E0" w:rsidRPr="00B53524" w:rsidRDefault="00FC34E0" w:rsidP="00FC34E0">
      <w:pPr>
        <w:pStyle w:val="FactsheetBullets"/>
        <w:numPr>
          <w:ilvl w:val="0"/>
          <w:numId w:val="1"/>
        </w:numPr>
      </w:pPr>
      <w:r w:rsidRPr="00311A64">
        <w:t>A blue roof would serve as the first unit within a treatment train, with captured flows metered to a planter box, rain garden, infiltration gallery, or, if the site is not conducive for infiltration, potentially to a cistern or underground detention area for on-site rainwater use.</w:t>
      </w:r>
    </w:p>
    <w:p w:rsidR="00FC34E0" w:rsidRPr="00B53524" w:rsidRDefault="00FC34E0" w:rsidP="00FC34E0">
      <w:pPr>
        <w:pStyle w:val="FactsheetSubheading"/>
        <w:outlineLvl w:val="0"/>
      </w:pPr>
      <w:r w:rsidRPr="00311A64">
        <w:t>Additional References for Design Guidance</w:t>
      </w:r>
    </w:p>
    <w:p w:rsidR="00FC34E0" w:rsidRPr="00B53524" w:rsidRDefault="00FC34E0" w:rsidP="00FC34E0">
      <w:pPr>
        <w:pStyle w:val="FactsheetBullets"/>
        <w:numPr>
          <w:ilvl w:val="0"/>
          <w:numId w:val="1"/>
        </w:numPr>
      </w:pPr>
      <w:r w:rsidRPr="00311A64">
        <w:t xml:space="preserve">City of New York – Sustainable Stormwater Management Plan, 2008.  </w:t>
      </w:r>
      <w:hyperlink r:id="rId127" w:history="1">
        <w:r w:rsidRPr="00126DE5">
          <w:rPr>
            <w:rStyle w:val="Hyperlink"/>
            <w:rFonts w:ascii="Book Antiqua" w:hAnsi="Book Antiqua"/>
            <w:b/>
            <w:color w:val="0070C0"/>
          </w:rPr>
          <w:t>http://www.nyc.gov/html/planyc2030/downloads/pdf/sustainable_stormwater_plan.pdf</w:t>
        </w:r>
      </w:hyperlink>
    </w:p>
    <w:p w:rsidR="00FC34E0" w:rsidRPr="00B53524" w:rsidRDefault="00FC34E0" w:rsidP="00FC34E0">
      <w:pPr>
        <w:pStyle w:val="FactsheetBullets"/>
        <w:numPr>
          <w:ilvl w:val="0"/>
          <w:numId w:val="1"/>
        </w:numPr>
      </w:pPr>
      <w:r w:rsidRPr="00311A64">
        <w:t xml:space="preserve">Enviornmental Protection – Blue Roofs the Stormwater-Sustainability Link. </w:t>
      </w:r>
      <w:hyperlink r:id="rId128" w:history="1">
        <w:r w:rsidRPr="00126DE5">
          <w:rPr>
            <w:rStyle w:val="Hyperlink"/>
            <w:rFonts w:ascii="Book Antiqua" w:hAnsi="Book Antiqua"/>
            <w:b/>
            <w:color w:val="0070C0"/>
          </w:rPr>
          <w:t>http://eponline.com/blogs/planetshed/2010/04/blue-roofs-the-stormwatersustainability-link.aspx</w:t>
        </w:r>
      </w:hyperlink>
    </w:p>
    <w:p w:rsidR="00FC34E0" w:rsidRDefault="00FC34E0" w:rsidP="00FC34E0">
      <w:pPr>
        <w:spacing w:after="200"/>
      </w:pPr>
      <w:bookmarkStart w:id="789" w:name="_Infiltration_BMPs"/>
      <w:bookmarkEnd w:id="789"/>
      <w:r>
        <w:br w:type="page"/>
      </w:r>
    </w:p>
    <w:p w:rsidR="00FC34E0" w:rsidRDefault="00FC34E0" w:rsidP="00A52883">
      <w:pPr>
        <w:pStyle w:val="Heading2"/>
        <w:rPr>
          <w:rFonts w:eastAsia="Times New Roman" w:cs="Times New Roman"/>
          <w:szCs w:val="20"/>
        </w:rPr>
      </w:pPr>
      <w:bookmarkStart w:id="790" w:name="_Toc288541122"/>
      <w:bookmarkStart w:id="791" w:name="_Toc293937178"/>
      <w:r>
        <w:t>Miscellaneous BMP Design Element Fact Sheets (MISC)</w:t>
      </w:r>
      <w:bookmarkEnd w:id="790"/>
      <w:bookmarkEnd w:id="791"/>
    </w:p>
    <w:p w:rsidR="00FC34E0" w:rsidRPr="00AA0EF6" w:rsidRDefault="00126F3D" w:rsidP="00533A19">
      <w:pPr>
        <w:pStyle w:val="Heading3"/>
        <w:numPr>
          <w:ilvl w:val="0"/>
          <w:numId w:val="0"/>
        </w:numPr>
        <w:ind w:left="907" w:hanging="907"/>
      </w:pPr>
      <w:bookmarkStart w:id="792" w:name="_Ref287705023"/>
      <w:r>
        <w:rPr>
          <w:noProof/>
        </w:rPr>
        <w:pict>
          <v:shape id="Text Box 69" o:spid="_x0000_s1194" type="#_x0000_t202" style="position:absolute;left:0;text-align:left;margin-left:-169.05pt;margin-top:37.65pt;width:158.4pt;height:53.5pt;z-index:251803648;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" fillcolor="#d8d8d8">
            <v:textbox style="mso-next-textbox:#Text Box 69">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Default="00853C9A" w:rsidP="009531AF">
                  <w:pPr>
                    <w:pStyle w:val="CDMBTEXT"/>
                    <w:numPr>
                      <w:ilvl w:val="0"/>
                      <w:numId w:val="67"/>
                    </w:numPr>
                    <w:spacing w:after="60" w:line="240" w:lineRule="auto"/>
                    <w:ind w:left="540"/>
                    <w:rPr>
                      <w:i/>
                    </w:rPr>
                  </w:pPr>
                  <w:r>
                    <w:rPr>
                      <w:i/>
                    </w:rPr>
                    <w:t>Bioretention soil media (BSM)</w:t>
                  </w:r>
                </w:p>
                <w:p w:rsidR="00853C9A" w:rsidRPr="009F707D" w:rsidRDefault="00853C9A" w:rsidP="009531AF">
                  <w:pPr>
                    <w:pStyle w:val="CDMBTEXT"/>
                    <w:numPr>
                      <w:ilvl w:val="0"/>
                      <w:numId w:val="67"/>
                    </w:numPr>
                    <w:spacing w:after="60" w:line="240" w:lineRule="auto"/>
                    <w:ind w:left="540"/>
                    <w:rPr>
                      <w:i/>
                    </w:rPr>
                  </w:pPr>
                </w:p>
              </w:txbxContent>
            </v:textbox>
            <w10:wrap type="square" anchorx="margin" anchory="margin"/>
          </v:shape>
        </w:pict>
      </w:r>
      <w:r>
        <w:rPr>
          <w:noProof/>
        </w:rPr>
        <w:pict>
          <v:shape id="Text Box 70" o:spid="_x0000_s1195" type="#_x0000_t202" style="position:absolute;left:0;text-align:left;margin-left:-169.05pt;margin-top:91.15pt;width:158.4pt;height:181.85pt;z-index:251804672;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" filled="f">
            <v:textbox style="mso-next-textbox:#Text Box 70" inset="0,0,0,0">
              <w:txbxContent>
                <w:p w:rsidR="00853C9A" w:rsidRDefault="00853C9A" w:rsidP="00FC34E0">
                  <w:pPr>
                    <w:ind w:left="-29" w:right="-29"/>
                    <w:rPr>
                      <w:rFonts w:ascii="Arial" w:hAnsi="Arial" w:cs="Arial"/>
                      <w:noProof/>
                      <w:sz w:val="20"/>
                    </w:rPr>
                  </w:pPr>
                  <w:r w:rsidRPr="00DA4CDB">
                    <w:rPr>
                      <w:rFonts w:ascii="Arial" w:hAnsi="Arial" w:cs="Arial"/>
                      <w:noProof/>
                      <w:sz w:val="20"/>
                    </w:rPr>
                    <w:drawing>
                      <wp:inline distT="0" distB="0" distL="0" distR="0">
                        <wp:extent cx="2019300" cy="1560368"/>
                        <wp:effectExtent l="19050" t="0" r="0" b="0"/>
                        <wp:docPr id="77"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srcRect/>
                                <a:stretch>
                                  <a:fillRect/>
                                </a:stretch>
                              </pic:blipFill>
                              <pic:spPr bwMode="auto">
                                <a:xfrm>
                                  <a:off x="0" y="0"/>
                                  <a:ext cx="2019300" cy="1560368"/>
                                </a:xfrm>
                                <a:prstGeom prst="rect">
                                  <a:avLst/>
                                </a:prstGeom>
                                <a:noFill/>
                                <a:ln w="9525">
                                  <a:noFill/>
                                  <a:miter lim="800000"/>
                                  <a:headEnd/>
                                  <a:tailEnd/>
                                </a:ln>
                              </pic:spPr>
                            </pic:pic>
                          </a:graphicData>
                        </a:graphic>
                      </wp:inline>
                    </w:drawing>
                  </w:r>
                </w:p>
                <w:p w:rsidR="00853C9A" w:rsidRDefault="00853C9A" w:rsidP="00FC34E0">
                  <w:pPr>
                    <w:spacing w:after="0"/>
                    <w:ind w:left="187" w:right="-29"/>
                    <w:rPr>
                      <w:rFonts w:ascii="Arial" w:hAnsi="Arial" w:cs="Arial"/>
                      <w:sz w:val="20"/>
                    </w:rPr>
                  </w:pPr>
                  <w:r>
                    <w:rPr>
                      <w:rFonts w:ascii="Arial" w:hAnsi="Arial" w:cs="Arial"/>
                      <w:sz w:val="20"/>
                    </w:rPr>
                    <w:t>Street-end biofiltration with planting/storage media</w:t>
                  </w:r>
                </w:p>
                <w:p w:rsidR="00853C9A" w:rsidRPr="00336A84" w:rsidRDefault="00853C9A" w:rsidP="00FC34E0">
                  <w:pPr>
                    <w:spacing w:after="0"/>
                    <w:ind w:left="187" w:right="-29"/>
                    <w:rPr>
                      <w:rFonts w:ascii="Arial" w:hAnsi="Arial" w:cs="Arial"/>
                      <w:i/>
                      <w:sz w:val="20"/>
                    </w:rPr>
                  </w:pPr>
                  <w:r w:rsidRPr="00336A84">
                    <w:rPr>
                      <w:rFonts w:ascii="Arial" w:hAnsi="Arial" w:cs="Arial"/>
                      <w:i/>
                      <w:sz w:val="18"/>
                    </w:rPr>
                    <w:t xml:space="preserve">Source: </w:t>
                  </w:r>
                  <w:r>
                    <w:rPr>
                      <w:rFonts w:ascii="Arial" w:hAnsi="Arial" w:cs="Arial"/>
                      <w:i/>
                      <w:sz w:val="18"/>
                    </w:rPr>
                    <w:t>City of Portland</w:t>
                  </w:r>
                </w:p>
              </w:txbxContent>
            </v:textbox>
            <w10:wrap type="square" anchorx="margin" anchory="margin"/>
          </v:shape>
        </w:pict>
      </w:r>
      <w:r w:rsidR="00FC34E0" w:rsidRPr="00AA0EF6">
        <w:t>MISC-1: Planting/Storage Media</w:t>
      </w:r>
      <w:bookmarkEnd w:id="792"/>
    </w:p>
    <w:p w:rsidR="00FC34E0" w:rsidRDefault="00FC34E0" w:rsidP="00FC34E0">
      <w:pPr>
        <w:pStyle w:val="ListNumber"/>
      </w:pPr>
      <w:r>
        <w:t>Planting and storage media is a critical design element for several common BMP types, including bioretention, bioinfiltration, swales, filter strips, and greenroofs. This fact sheet is intended to be used as referenced from these fact sheets.</w:t>
      </w:r>
      <w:r w:rsidRPr="00C111E9">
        <w:t xml:space="preserve"> </w:t>
      </w:r>
    </w:p>
    <w:p w:rsidR="00FC34E0" w:rsidRDefault="00FC34E0" w:rsidP="00FC34E0">
      <w:pPr>
        <w:pStyle w:val="FactsheetSubheading"/>
      </w:pPr>
      <w:r>
        <w:t>General Design Criteria</w:t>
      </w:r>
    </w:p>
    <w:p w:rsidR="00FC34E0" w:rsidRDefault="00FC34E0" w:rsidP="00FC34E0">
      <w:pPr>
        <w:pStyle w:val="FactsheetBullets"/>
        <w:ind w:left="720"/>
      </w:pPr>
      <w:r>
        <w:t xml:space="preserve">Planting/storage media should be designed to achieve the long term hydraulic design requirements associated with the design of the facility (i.e., design </w:t>
      </w:r>
      <w:r w:rsidRPr="00F83DDA">
        <w:rPr>
          <w:rFonts w:eastAsia="Calibri"/>
          <w:sz w:val="18"/>
          <w:szCs w:val="22"/>
        </w:rPr>
        <w:t>K</w:t>
      </w:r>
      <w:r w:rsidRPr="00F83DDA">
        <w:rPr>
          <w:rFonts w:eastAsia="Calibri"/>
          <w:sz w:val="18"/>
          <w:szCs w:val="22"/>
          <w:vertAlign w:val="subscript"/>
        </w:rPr>
        <w:t>sat</w:t>
      </w:r>
      <w:r>
        <w:t>).</w:t>
      </w:r>
    </w:p>
    <w:p w:rsidR="00FC34E0" w:rsidRDefault="00FC34E0" w:rsidP="00FC34E0">
      <w:pPr>
        <w:pStyle w:val="FactsheetBullets"/>
        <w:ind w:left="720"/>
      </w:pPr>
      <w:r>
        <w:t xml:space="preserve">The planting media shall be designed to address pollutants of concern at the design hydraulic capacity. </w:t>
      </w:r>
    </w:p>
    <w:p w:rsidR="00FC34E0" w:rsidRDefault="00FC34E0" w:rsidP="00FC34E0">
      <w:pPr>
        <w:pStyle w:val="FactsheetBullets"/>
        <w:ind w:left="720"/>
      </w:pPr>
      <w:r>
        <w:t>Bioretention soil shall also support vigorous plant growth.</w:t>
      </w:r>
    </w:p>
    <w:p w:rsidR="00FC34E0" w:rsidRDefault="00FC34E0" w:rsidP="00FC34E0">
      <w:pPr>
        <w:pStyle w:val="FactsheetBullets"/>
        <w:ind w:left="720"/>
      </w:pPr>
      <w:r>
        <w:t xml:space="preserve">Planting media should consist of 60 to 80% fine sand and 20 to 40% compost. </w:t>
      </w:r>
    </w:p>
    <w:p w:rsidR="00FC34E0" w:rsidRDefault="00FC34E0" w:rsidP="00FC34E0">
      <w:pPr>
        <w:pStyle w:val="FactsheetBullets"/>
        <w:ind w:left="720"/>
      </w:pPr>
      <w:r>
        <w:t>Planting media for projects draining to nutrient sensitive receiving water should adhere to recommendations for nutrient sensitive planting media provided below.</w:t>
      </w:r>
    </w:p>
    <w:p w:rsidR="00FC34E0" w:rsidRDefault="00FC34E0" w:rsidP="00FC34E0">
      <w:pPr>
        <w:pStyle w:val="FactsheetSubheading"/>
      </w:pPr>
      <w:r>
        <w:t>Sand</w:t>
      </w:r>
    </w:p>
    <w:p w:rsidR="00FC34E0" w:rsidRDefault="00FC34E0" w:rsidP="00FC34E0">
      <w:pPr>
        <w:pStyle w:val="FactsheetBullets"/>
        <w:ind w:left="720"/>
      </w:pPr>
      <w:r>
        <w:t xml:space="preserve">Sand should be free of wood, waste, coating such as clay, stone dust, carbonate, etc., or any other deleterious material.  All aggregate passing the No. 200 sieve size should be non-plastic. Sand for bioretention should be analyzed by an accredited lab using #200, #100, #40, #30, #16, #8, #4, and 3/8 sieves (ASTM D 422 or as approved by the local permitting authority) and meet the following gradation (Note: all sands complying with ASTM C33 for fine aggregate comply with the gradation requirements below):  </w:t>
      </w:r>
    </w:p>
    <w:tbl>
      <w:tblPr>
        <w:tblW w:w="0" w:type="auto"/>
        <w:tblInd w:w="1368" w:type="dxa"/>
        <w:tblCellMar>
          <w:left w:w="0" w:type="dxa"/>
          <w:right w:w="0" w:type="dxa"/>
        </w:tblCellMar>
        <w:tblLook w:val="04A0"/>
      </w:tblPr>
      <w:tblGrid>
        <w:gridCol w:w="2610"/>
        <w:gridCol w:w="2115"/>
        <w:gridCol w:w="2115"/>
      </w:tblGrid>
      <w:tr w:rsidR="00FC34E0" w:rsidTr="00FC34E0">
        <w:tc>
          <w:tcPr>
            <w:tcW w:w="2610" w:type="dxa"/>
            <w:vMerge w:val="restart"/>
            <w:tcBorders>
              <w:top w:val="single" w:sz="12" w:space="0" w:color="auto"/>
              <w:left w:val="single" w:sz="8" w:space="0" w:color="000000"/>
              <w:bottom w:val="single" w:sz="8" w:space="0" w:color="000000"/>
              <w:right w:val="single" w:sz="8" w:space="0" w:color="000000"/>
            </w:tcBorders>
            <w:tcMar>
              <w:top w:w="0" w:type="dxa"/>
              <w:left w:w="108" w:type="dxa"/>
              <w:bottom w:w="0" w:type="dxa"/>
              <w:right w:w="108" w:type="dxa"/>
            </w:tcMar>
            <w:vAlign w:val="bottom"/>
            <w:hideMark/>
          </w:tcPr>
          <w:p w:rsidR="00FC34E0" w:rsidRDefault="00FC34E0" w:rsidP="00FC34E0">
            <w:pPr>
              <w:pStyle w:val="TableFont"/>
              <w:jc w:val="center"/>
            </w:pPr>
            <w:r>
              <w:t>Sieve Size (ASTM D422)</w:t>
            </w:r>
          </w:p>
        </w:tc>
        <w:tc>
          <w:tcPr>
            <w:tcW w:w="4230" w:type="dxa"/>
            <w:gridSpan w:val="2"/>
            <w:tcBorders>
              <w:top w:val="single" w:sz="12" w:space="0" w:color="auto"/>
              <w:left w:val="nil"/>
              <w:bottom w:val="single" w:sz="8" w:space="0" w:color="000000"/>
              <w:right w:val="single" w:sz="8" w:space="0" w:color="000000"/>
            </w:tcBorders>
            <w:tcMar>
              <w:top w:w="0" w:type="dxa"/>
              <w:left w:w="108" w:type="dxa"/>
              <w:bottom w:w="0" w:type="dxa"/>
              <w:right w:w="108" w:type="dxa"/>
            </w:tcMar>
            <w:vAlign w:val="bottom"/>
            <w:hideMark/>
          </w:tcPr>
          <w:p w:rsidR="00FC34E0" w:rsidRDefault="00FC34E0" w:rsidP="00FC34E0">
            <w:pPr>
              <w:pStyle w:val="TableFont"/>
              <w:jc w:val="center"/>
            </w:pPr>
            <w:r>
              <w:t>% Passing (by weight)</w:t>
            </w:r>
          </w:p>
        </w:tc>
      </w:tr>
      <w:tr w:rsidR="00FC34E0" w:rsidTr="00FC34E0">
        <w:tc>
          <w:tcPr>
            <w:tcW w:w="0" w:type="auto"/>
            <w:vMerge/>
            <w:tcBorders>
              <w:top w:val="single" w:sz="12" w:space="0" w:color="auto"/>
              <w:left w:val="single" w:sz="8" w:space="0" w:color="000000"/>
              <w:bottom w:val="single" w:sz="8" w:space="0" w:color="000000"/>
              <w:right w:val="single" w:sz="8" w:space="0" w:color="000000"/>
            </w:tcBorders>
            <w:vAlign w:val="center"/>
            <w:hideMark/>
          </w:tcPr>
          <w:p w:rsidR="00FC34E0" w:rsidRDefault="00FC34E0" w:rsidP="00FC34E0">
            <w:pPr>
              <w:pStyle w:val="TableFont"/>
              <w:jc w:val="center"/>
              <w:rPr>
                <w:rFonts w:eastAsia="Times New Roman" w:cs="Times New Roman"/>
                <w:szCs w:val="20"/>
              </w:rPr>
            </w:pP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Minimum</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Maximum</w:t>
            </w:r>
          </w:p>
        </w:tc>
      </w:tr>
      <w:tr w:rsidR="00FC34E0" w:rsidTr="00FC34E0">
        <w:tc>
          <w:tcPr>
            <w:tcW w:w="261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3/8 inch</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100</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100</w:t>
            </w:r>
          </w:p>
        </w:tc>
      </w:tr>
      <w:tr w:rsidR="00FC34E0" w:rsidTr="00FC34E0">
        <w:tc>
          <w:tcPr>
            <w:tcW w:w="261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#4</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90</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100</w:t>
            </w:r>
          </w:p>
        </w:tc>
      </w:tr>
      <w:tr w:rsidR="00FC34E0" w:rsidTr="00FC34E0">
        <w:tc>
          <w:tcPr>
            <w:tcW w:w="261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#8</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70</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100</w:t>
            </w:r>
          </w:p>
        </w:tc>
      </w:tr>
      <w:tr w:rsidR="00FC34E0" w:rsidTr="00FC34E0">
        <w:tc>
          <w:tcPr>
            <w:tcW w:w="261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#16</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40</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95</w:t>
            </w:r>
          </w:p>
        </w:tc>
      </w:tr>
      <w:tr w:rsidR="00FC34E0" w:rsidTr="00FC34E0">
        <w:trPr>
          <w:trHeight w:val="156"/>
        </w:trPr>
        <w:tc>
          <w:tcPr>
            <w:tcW w:w="261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#30</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15</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70</w:t>
            </w:r>
          </w:p>
        </w:tc>
      </w:tr>
      <w:tr w:rsidR="00FC34E0" w:rsidTr="00FC34E0">
        <w:trPr>
          <w:trHeight w:val="156"/>
        </w:trPr>
        <w:tc>
          <w:tcPr>
            <w:tcW w:w="261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#40</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5</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55</w:t>
            </w:r>
          </w:p>
        </w:tc>
      </w:tr>
      <w:tr w:rsidR="00FC34E0" w:rsidTr="00FC34E0">
        <w:trPr>
          <w:trHeight w:val="156"/>
        </w:trPr>
        <w:tc>
          <w:tcPr>
            <w:tcW w:w="261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#100</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0</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15</w:t>
            </w:r>
          </w:p>
        </w:tc>
      </w:tr>
      <w:tr w:rsidR="00FC34E0" w:rsidTr="00FC34E0">
        <w:tc>
          <w:tcPr>
            <w:tcW w:w="2610" w:type="dxa"/>
            <w:tcBorders>
              <w:top w:val="nil"/>
              <w:left w:val="single" w:sz="8" w:space="0" w:color="000000"/>
              <w:bottom w:val="single" w:sz="12" w:space="0" w:color="auto"/>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#200</w:t>
            </w:r>
          </w:p>
        </w:tc>
        <w:tc>
          <w:tcPr>
            <w:tcW w:w="2115" w:type="dxa"/>
            <w:tcBorders>
              <w:top w:val="nil"/>
              <w:left w:val="nil"/>
              <w:bottom w:val="single" w:sz="12" w:space="0" w:color="auto"/>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0</w:t>
            </w:r>
          </w:p>
        </w:tc>
        <w:tc>
          <w:tcPr>
            <w:tcW w:w="2115" w:type="dxa"/>
            <w:tcBorders>
              <w:top w:val="nil"/>
              <w:left w:val="nil"/>
              <w:bottom w:val="single" w:sz="12" w:space="0" w:color="auto"/>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5</w:t>
            </w:r>
          </w:p>
        </w:tc>
      </w:tr>
    </w:tbl>
    <w:p w:rsidR="00FC34E0" w:rsidRDefault="00FC34E0" w:rsidP="00FC34E0">
      <w:pPr>
        <w:rPr>
          <w:rFonts w:ascii="Georgia" w:hAnsi="Georgia"/>
        </w:rPr>
      </w:pPr>
    </w:p>
    <w:p w:rsidR="00FC34E0" w:rsidRDefault="00FC34E0" w:rsidP="00FC34E0">
      <w:pPr>
        <w:pStyle w:val="FactsheetBullets"/>
        <w:ind w:left="720"/>
      </w:pPr>
      <w:r>
        <w:t>Note: the gradation of the sand component of the media is believed to be a major factor in the hydraulic conductivity of the media mix.  If the desired hydraulic conductivity of the media cannot be achieved within the specified proportions of sand and compost (#2), then it may be necessary to utilize sand at the coarser end of the range specified in the table above (“minimum” column).</w:t>
      </w:r>
    </w:p>
    <w:p w:rsidR="00FC34E0" w:rsidRDefault="00FC34E0" w:rsidP="00FC34E0">
      <w:pPr>
        <w:pStyle w:val="FactsheetSubheading"/>
      </w:pPr>
      <w:r>
        <w:t>Compost</w:t>
      </w:r>
    </w:p>
    <w:p w:rsidR="00FC34E0" w:rsidRDefault="00FC34E0" w:rsidP="00FC34E0">
      <w:pPr>
        <w:pStyle w:val="FactsheetBullets"/>
        <w:numPr>
          <w:ilvl w:val="0"/>
          <w:numId w:val="0"/>
        </w:numPr>
        <w:ind w:left="90" w:hanging="4"/>
      </w:pPr>
      <w:r>
        <w:t>Compost should be a well decomposed, stable, weed free organic matter source derived from waste materials including yard debris, wood wastes, or other organic materials not including manure or biosolids meeting standards developed by the US Composting Council (USCC).  The product shall be certified through the USCC Seal of Testing Assurance (STA) Program (a compost testing and information disclosure program).  Compost quality should be verified via a lab analysis to be:</w:t>
      </w:r>
    </w:p>
    <w:p w:rsidR="00FC34E0" w:rsidRDefault="00FC34E0" w:rsidP="00FC34E0">
      <w:pPr>
        <w:pStyle w:val="FactsheetBullets"/>
        <w:ind w:left="720"/>
      </w:pPr>
      <w:r>
        <w:t>Feedstock materials shall be specified and include one or more of the following: landscape/yard trimmings, grass clippings, food scraps, and agricultural crop residues.</w:t>
      </w:r>
    </w:p>
    <w:p w:rsidR="00FC34E0" w:rsidRDefault="00FC34E0" w:rsidP="00FC34E0">
      <w:pPr>
        <w:pStyle w:val="FactsheetBullets"/>
        <w:ind w:left="720"/>
      </w:pPr>
      <w:r>
        <w:t>Organic matter: 35-75% dry weight basis.</w:t>
      </w:r>
    </w:p>
    <w:p w:rsidR="00FC34E0" w:rsidRDefault="00FC34E0" w:rsidP="00FC34E0">
      <w:pPr>
        <w:pStyle w:val="FactsheetBullets"/>
        <w:ind w:left="720"/>
      </w:pPr>
      <w:r>
        <w:t>Carbon and Nitrogen Ratio: 15:1 &lt; C:N &lt; 25:1</w:t>
      </w:r>
    </w:p>
    <w:p w:rsidR="00FC34E0" w:rsidRDefault="00FC34E0" w:rsidP="00FC34E0">
      <w:pPr>
        <w:pStyle w:val="FactsheetBullets"/>
        <w:ind w:left="720"/>
      </w:pPr>
      <w:r>
        <w:t xml:space="preserve">Maturity/Stability: shall have dark brown color and a soil-like odor. Compost exhibiting a sour or putrid smell, containing recognizable grass or leaves, or is hot (120 F) upon delivery or rewetting is not acceptable. </w:t>
      </w:r>
    </w:p>
    <w:p w:rsidR="00FC34E0" w:rsidRDefault="00FC34E0" w:rsidP="00FC34E0">
      <w:pPr>
        <w:pStyle w:val="FactsheetBullets"/>
        <w:ind w:left="720"/>
      </w:pPr>
      <w:r>
        <w:t>Toxicity: any one of the following measures is sufficient to indicate non-toxicity:</w:t>
      </w:r>
    </w:p>
    <w:p w:rsidR="00FC34E0" w:rsidRDefault="00FC34E0" w:rsidP="009531AF">
      <w:pPr>
        <w:pStyle w:val="FactsheetBullets"/>
        <w:numPr>
          <w:ilvl w:val="1"/>
          <w:numId w:val="25"/>
        </w:numPr>
      </w:pPr>
      <w:r>
        <w:t>NH4:NH3 &lt; 3</w:t>
      </w:r>
    </w:p>
    <w:p w:rsidR="00FC34E0" w:rsidRDefault="00FC34E0" w:rsidP="009531AF">
      <w:pPr>
        <w:pStyle w:val="FactsheetBullets"/>
        <w:numPr>
          <w:ilvl w:val="1"/>
          <w:numId w:val="25"/>
        </w:numPr>
      </w:pPr>
      <w:r>
        <w:t>Ammonium &lt; 500 ppm, dry weight basis</w:t>
      </w:r>
    </w:p>
    <w:p w:rsidR="00FC34E0" w:rsidRDefault="00FC34E0" w:rsidP="009531AF">
      <w:pPr>
        <w:pStyle w:val="FactsheetBullets"/>
        <w:numPr>
          <w:ilvl w:val="1"/>
          <w:numId w:val="25"/>
        </w:numPr>
      </w:pPr>
      <w:r>
        <w:t>Seed Germination &gt; 80% of control</w:t>
      </w:r>
    </w:p>
    <w:p w:rsidR="00FC34E0" w:rsidRDefault="00FC34E0" w:rsidP="009531AF">
      <w:pPr>
        <w:pStyle w:val="FactsheetBullets"/>
        <w:numPr>
          <w:ilvl w:val="1"/>
          <w:numId w:val="25"/>
        </w:numPr>
      </w:pPr>
      <w:r>
        <w:t>Plant trials &gt; 80% of control</w:t>
      </w:r>
    </w:p>
    <w:p w:rsidR="00FC34E0" w:rsidRDefault="00FC34E0" w:rsidP="00FC34E0">
      <w:pPr>
        <w:pStyle w:val="FactsheetBullets"/>
        <w:ind w:left="720"/>
      </w:pPr>
      <w:r>
        <w:t>Solvita</w:t>
      </w:r>
      <w:r>
        <w:rPr>
          <w:vertAlign w:val="superscript"/>
        </w:rPr>
        <w:t>®</w:t>
      </w:r>
      <w:r>
        <w:t xml:space="preserve"> &gt; 5 index value</w:t>
      </w:r>
    </w:p>
    <w:p w:rsidR="00FC34E0" w:rsidRDefault="00FC34E0" w:rsidP="00FC34E0">
      <w:pPr>
        <w:pStyle w:val="FactsheetBullets"/>
        <w:ind w:left="720"/>
      </w:pPr>
      <w:r>
        <w:t>Nutrient content:</w:t>
      </w:r>
    </w:p>
    <w:p w:rsidR="00FC34E0" w:rsidRDefault="00FC34E0" w:rsidP="009531AF">
      <w:pPr>
        <w:pStyle w:val="FactsheetBullets"/>
        <w:numPr>
          <w:ilvl w:val="1"/>
          <w:numId w:val="25"/>
        </w:numPr>
      </w:pPr>
      <w:r>
        <w:t>Total Nitrogen content 0.9% or above preferred</w:t>
      </w:r>
    </w:p>
    <w:p w:rsidR="00FC34E0" w:rsidRDefault="00FC34E0" w:rsidP="009531AF">
      <w:pPr>
        <w:pStyle w:val="FactsheetBullets"/>
        <w:numPr>
          <w:ilvl w:val="1"/>
          <w:numId w:val="25"/>
        </w:numPr>
      </w:pPr>
      <w:r>
        <w:t>Total Boron should be &lt;80 ppm, soluble boron &lt; 2.5 ppm</w:t>
      </w:r>
    </w:p>
    <w:p w:rsidR="00FC34E0" w:rsidRDefault="00FC34E0" w:rsidP="00FC34E0">
      <w:pPr>
        <w:pStyle w:val="FactsheetBullets"/>
        <w:ind w:left="720"/>
      </w:pPr>
      <w:r>
        <w:t>Salinity: &lt; 6.0 mmhos/cm</w:t>
      </w:r>
    </w:p>
    <w:p w:rsidR="00FC34E0" w:rsidRDefault="00FC34E0" w:rsidP="00FC34E0">
      <w:pPr>
        <w:pStyle w:val="FactsheetBullets"/>
        <w:ind w:left="720"/>
      </w:pPr>
      <w:r>
        <w:t>pH between 6.5 and 8 (may vary with plant palette)</w:t>
      </w:r>
    </w:p>
    <w:p w:rsidR="00FC34E0" w:rsidRDefault="00FC34E0" w:rsidP="00FC34E0">
      <w:pPr>
        <w:pStyle w:val="FactsheetBullets"/>
        <w:ind w:left="720"/>
      </w:pPr>
      <w:r>
        <w:t xml:space="preserve">Compost for bioretention should be analyzed by an accredited lab using #200, ¼ inch, ½ inch, and 1 inch sieves (ASTM D 422 or as approved by the local permitting authority) and meet the following gradation:  </w:t>
      </w:r>
    </w:p>
    <w:tbl>
      <w:tblPr>
        <w:tblW w:w="0" w:type="auto"/>
        <w:jc w:val="center"/>
        <w:tblInd w:w="1368" w:type="dxa"/>
        <w:tblCellMar>
          <w:left w:w="0" w:type="dxa"/>
          <w:right w:w="0" w:type="dxa"/>
        </w:tblCellMar>
        <w:tblLook w:val="04A0"/>
      </w:tblPr>
      <w:tblGrid>
        <w:gridCol w:w="2610"/>
        <w:gridCol w:w="2115"/>
        <w:gridCol w:w="2115"/>
      </w:tblGrid>
      <w:tr w:rsidR="00FC34E0" w:rsidTr="00FC34E0">
        <w:trPr>
          <w:jc w:val="center"/>
        </w:trPr>
        <w:tc>
          <w:tcPr>
            <w:tcW w:w="2610" w:type="dxa"/>
            <w:vMerge w:val="restart"/>
            <w:tcBorders>
              <w:top w:val="single" w:sz="12" w:space="0" w:color="auto"/>
              <w:left w:val="single" w:sz="8" w:space="0" w:color="000000"/>
              <w:bottom w:val="single" w:sz="8" w:space="0" w:color="000000"/>
              <w:right w:val="single" w:sz="8" w:space="0" w:color="000000"/>
            </w:tcBorders>
            <w:tcMar>
              <w:top w:w="0" w:type="dxa"/>
              <w:left w:w="108" w:type="dxa"/>
              <w:bottom w:w="0" w:type="dxa"/>
              <w:right w:w="108" w:type="dxa"/>
            </w:tcMar>
            <w:vAlign w:val="bottom"/>
            <w:hideMark/>
          </w:tcPr>
          <w:p w:rsidR="00FC34E0" w:rsidRDefault="00FC34E0" w:rsidP="00FC34E0">
            <w:pPr>
              <w:pStyle w:val="TableFont"/>
              <w:jc w:val="center"/>
            </w:pPr>
            <w:r>
              <w:t>Sieve Size (ASTM D422)</w:t>
            </w:r>
          </w:p>
        </w:tc>
        <w:tc>
          <w:tcPr>
            <w:tcW w:w="4230" w:type="dxa"/>
            <w:gridSpan w:val="2"/>
            <w:tcBorders>
              <w:top w:val="single" w:sz="12" w:space="0" w:color="auto"/>
              <w:left w:val="nil"/>
              <w:bottom w:val="single" w:sz="8" w:space="0" w:color="000000"/>
              <w:right w:val="single" w:sz="8" w:space="0" w:color="000000"/>
            </w:tcBorders>
            <w:tcMar>
              <w:top w:w="0" w:type="dxa"/>
              <w:left w:w="108" w:type="dxa"/>
              <w:bottom w:w="0" w:type="dxa"/>
              <w:right w:w="108" w:type="dxa"/>
            </w:tcMar>
            <w:vAlign w:val="bottom"/>
            <w:hideMark/>
          </w:tcPr>
          <w:p w:rsidR="00FC34E0" w:rsidRDefault="00FC34E0" w:rsidP="00FC34E0">
            <w:pPr>
              <w:pStyle w:val="TableFont"/>
              <w:jc w:val="center"/>
            </w:pPr>
            <w:r>
              <w:t>% Passing (by weight)</w:t>
            </w:r>
          </w:p>
        </w:tc>
      </w:tr>
      <w:tr w:rsidR="00FC34E0" w:rsidTr="00FC34E0">
        <w:trPr>
          <w:jc w:val="center"/>
        </w:trPr>
        <w:tc>
          <w:tcPr>
            <w:tcW w:w="0" w:type="auto"/>
            <w:vMerge/>
            <w:tcBorders>
              <w:top w:val="single" w:sz="12" w:space="0" w:color="auto"/>
              <w:left w:val="single" w:sz="8" w:space="0" w:color="000000"/>
              <w:bottom w:val="single" w:sz="8" w:space="0" w:color="000000"/>
              <w:right w:val="single" w:sz="8" w:space="0" w:color="000000"/>
            </w:tcBorders>
            <w:vAlign w:val="center"/>
            <w:hideMark/>
          </w:tcPr>
          <w:p w:rsidR="00FC34E0" w:rsidRDefault="00FC34E0" w:rsidP="00FC34E0">
            <w:pPr>
              <w:pStyle w:val="TableFont"/>
              <w:jc w:val="center"/>
              <w:rPr>
                <w:rFonts w:eastAsia="Times New Roman" w:cs="Times New Roman"/>
                <w:szCs w:val="20"/>
              </w:rPr>
            </w:pP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Minimum</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Maximum</w:t>
            </w:r>
          </w:p>
        </w:tc>
      </w:tr>
      <w:tr w:rsidR="00FC34E0" w:rsidTr="00FC34E0">
        <w:trPr>
          <w:jc w:val="center"/>
        </w:trPr>
        <w:tc>
          <w:tcPr>
            <w:tcW w:w="261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1 inch</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99</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100</w:t>
            </w:r>
          </w:p>
        </w:tc>
      </w:tr>
      <w:tr w:rsidR="00FC34E0" w:rsidTr="00FC34E0">
        <w:trPr>
          <w:jc w:val="center"/>
        </w:trPr>
        <w:tc>
          <w:tcPr>
            <w:tcW w:w="261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½ inch</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90</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100</w:t>
            </w:r>
          </w:p>
        </w:tc>
      </w:tr>
      <w:tr w:rsidR="00FC34E0" w:rsidTr="00FC34E0">
        <w:trPr>
          <w:jc w:val="center"/>
        </w:trPr>
        <w:tc>
          <w:tcPr>
            <w:tcW w:w="261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¼ inch</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40</w:t>
            </w:r>
          </w:p>
        </w:tc>
        <w:tc>
          <w:tcPr>
            <w:tcW w:w="2115" w:type="dxa"/>
            <w:tcBorders>
              <w:top w:val="nil"/>
              <w:left w:val="nil"/>
              <w:bottom w:val="single" w:sz="8" w:space="0" w:color="000000"/>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90</w:t>
            </w:r>
          </w:p>
        </w:tc>
      </w:tr>
      <w:tr w:rsidR="00FC34E0" w:rsidTr="00FC34E0">
        <w:trPr>
          <w:jc w:val="center"/>
        </w:trPr>
        <w:tc>
          <w:tcPr>
            <w:tcW w:w="2610" w:type="dxa"/>
            <w:tcBorders>
              <w:top w:val="nil"/>
              <w:left w:val="single" w:sz="8" w:space="0" w:color="000000"/>
              <w:bottom w:val="single" w:sz="12" w:space="0" w:color="auto"/>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#200</w:t>
            </w:r>
          </w:p>
        </w:tc>
        <w:tc>
          <w:tcPr>
            <w:tcW w:w="2115" w:type="dxa"/>
            <w:tcBorders>
              <w:top w:val="nil"/>
              <w:left w:val="nil"/>
              <w:bottom w:val="single" w:sz="12" w:space="0" w:color="auto"/>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2</w:t>
            </w:r>
          </w:p>
        </w:tc>
        <w:tc>
          <w:tcPr>
            <w:tcW w:w="2115" w:type="dxa"/>
            <w:tcBorders>
              <w:top w:val="nil"/>
              <w:left w:val="nil"/>
              <w:bottom w:val="single" w:sz="12" w:space="0" w:color="auto"/>
              <w:right w:val="single" w:sz="8" w:space="0" w:color="000000"/>
            </w:tcBorders>
            <w:tcMar>
              <w:top w:w="0" w:type="dxa"/>
              <w:left w:w="108" w:type="dxa"/>
              <w:bottom w:w="0" w:type="dxa"/>
              <w:right w:w="108" w:type="dxa"/>
            </w:tcMar>
            <w:hideMark/>
          </w:tcPr>
          <w:p w:rsidR="00FC34E0" w:rsidRDefault="00FC34E0" w:rsidP="00FC34E0">
            <w:pPr>
              <w:pStyle w:val="TableFont"/>
              <w:jc w:val="center"/>
              <w:rPr>
                <w:szCs w:val="20"/>
              </w:rPr>
            </w:pPr>
            <w:r>
              <w:rPr>
                <w:szCs w:val="20"/>
              </w:rPr>
              <w:t>10</w:t>
            </w:r>
          </w:p>
        </w:tc>
      </w:tr>
    </w:tbl>
    <w:p w:rsidR="00FC34E0" w:rsidRDefault="00FC34E0" w:rsidP="00FC34E0">
      <w:pPr>
        <w:rPr>
          <w:rFonts w:ascii="Georgia" w:hAnsi="Georgia"/>
        </w:rPr>
      </w:pPr>
    </w:p>
    <w:p w:rsidR="00FC34E0" w:rsidRDefault="00FC34E0" w:rsidP="00FC34E0">
      <w:pPr>
        <w:pStyle w:val="FactsheetBullets"/>
        <w:ind w:left="720"/>
      </w:pPr>
      <w:r>
        <w:t>Tests should be sufficiently recent to represent the actual material that is anticipated to be delivered to the site.  If processes or sources used by the supplier have changed significantly since the most recent testing, new tests should be requested.</w:t>
      </w:r>
    </w:p>
    <w:p w:rsidR="00FC34E0" w:rsidRDefault="00FC34E0" w:rsidP="00FC34E0">
      <w:pPr>
        <w:pStyle w:val="FactsheetBullets"/>
        <w:ind w:left="720"/>
      </w:pPr>
      <w:r>
        <w:t>Note: the gradation of compost used in bioretention media is believed to play an important role in the saturated hydraulic conductivity of the media. To achieve a higher saturated hydraulic conductivity, it may be necessary to utilize compost at the coarser end of this range (“minimum” column). The percent passing the #200 sieve (fines) is believed to be the most important factor in hydraulic conductivity. In addition, a coarser compost mix provides more heterogeneity of the bioretention media, which is believed to be advantageous for more rapid development of soil structure needed to support health biological processes. This may be an advantage for plant establishment with lower nutrient and water input.</w:t>
      </w:r>
    </w:p>
    <w:p w:rsidR="00FC34E0" w:rsidRPr="00C111E9" w:rsidRDefault="00FC34E0" w:rsidP="00FC34E0">
      <w:pPr>
        <w:pStyle w:val="FactsheetSubheading"/>
      </w:pPr>
      <w:r>
        <w:t>Mulch</w:t>
      </w:r>
    </w:p>
    <w:p w:rsidR="00FC34E0" w:rsidRDefault="00FC34E0" w:rsidP="00FC34E0">
      <w:pPr>
        <w:pStyle w:val="FactsheetBullets"/>
        <w:ind w:left="720"/>
      </w:pPr>
      <w:r>
        <w:t xml:space="preserve">Planting area should generally be covered with 2 to 4 inches (average 3 inches) of mulch at the start and an additional placement of 1 to 2 inches of mulch should be added annually. </w:t>
      </w:r>
      <w:r>
        <w:rPr>
          <w:i/>
          <w:iCs/>
        </w:rPr>
        <w:t>The intention is that to help sustain the nutrient levels, suppress weeds, retain moisture, and maintain infiltration capacity</w:t>
      </w:r>
      <w:r>
        <w:t xml:space="preserve">. </w:t>
      </w:r>
    </w:p>
    <w:p w:rsidR="00FC34E0" w:rsidRDefault="00FC34E0" w:rsidP="00FC34E0">
      <w:pPr>
        <w:pStyle w:val="FactsheetBullets"/>
        <w:ind w:left="720"/>
      </w:pPr>
      <w:r>
        <w:t>For nutrient-sensitive planting/storage media design, inorganic mulch such as gravel, may be used.</w:t>
      </w:r>
    </w:p>
    <w:p w:rsidR="00FC34E0" w:rsidRPr="005D3948" w:rsidRDefault="00FC34E0" w:rsidP="00FC34E0">
      <w:pPr>
        <w:pStyle w:val="FactsheetSubheading"/>
      </w:pPr>
      <w:r w:rsidRPr="006053D7">
        <w:t>Planting/Storage Media Design for Nutrient Sensitive Receiving Waters</w:t>
      </w:r>
    </w:p>
    <w:p w:rsidR="00FC34E0" w:rsidRDefault="00FC34E0" w:rsidP="00FC34E0">
      <w:pPr>
        <w:pStyle w:val="FactsheetBullets"/>
        <w:numPr>
          <w:ilvl w:val="0"/>
          <w:numId w:val="0"/>
        </w:numPr>
        <w:ind w:left="90" w:hanging="4"/>
      </w:pPr>
      <w:r w:rsidRPr="006053D7">
        <w:t xml:space="preserve">Where the BMP discharges to receiving waters with nutrient impairments or nutrient TMDLs, the planting media placed should be designed with the specific goal of minimizing the potential for initial and long term leaching of nutrients from the media. </w:t>
      </w:r>
    </w:p>
    <w:p w:rsidR="00FC34E0" w:rsidRDefault="00FC34E0" w:rsidP="00FC34E0">
      <w:pPr>
        <w:pStyle w:val="FactsheetBullets"/>
        <w:ind w:left="720"/>
      </w:pPr>
      <w:r w:rsidRPr="006053D7">
        <w:t>In general, the potential for leaching of nutrients can be minimized by:</w:t>
      </w:r>
    </w:p>
    <w:p w:rsidR="00FC34E0" w:rsidRDefault="00FC34E0" w:rsidP="009531AF">
      <w:pPr>
        <w:pStyle w:val="FactsheetBullets"/>
        <w:numPr>
          <w:ilvl w:val="1"/>
          <w:numId w:val="25"/>
        </w:numPr>
        <w:ind w:left="1080"/>
      </w:pPr>
      <w:r w:rsidRPr="006053D7">
        <w:t>Utilizing stable, aged compost (as required of media mixes under all conditions).</w:t>
      </w:r>
    </w:p>
    <w:p w:rsidR="00FC34E0" w:rsidRDefault="00FC34E0" w:rsidP="009531AF">
      <w:pPr>
        <w:pStyle w:val="FactsheetBullets"/>
        <w:numPr>
          <w:ilvl w:val="1"/>
          <w:numId w:val="25"/>
        </w:numPr>
        <w:ind w:left="1080"/>
      </w:pPr>
      <w:r w:rsidRPr="006053D7">
        <w:t>Utilizing other sources of organic matter, as appropriate, that are safe, non-toxic, and have lower potential for nutrient leaching than compost.</w:t>
      </w:r>
    </w:p>
    <w:p w:rsidR="00FC34E0" w:rsidRDefault="00FC34E0" w:rsidP="009531AF">
      <w:pPr>
        <w:pStyle w:val="FactsheetBullets"/>
        <w:numPr>
          <w:ilvl w:val="1"/>
          <w:numId w:val="25"/>
        </w:numPr>
        <w:ind w:left="1080"/>
      </w:pPr>
      <w:r w:rsidRPr="006053D7">
        <w:t xml:space="preserve">Reducing the content of compost or other organic material in the media mix to the minimum amount necessary to support vigorous plant growth and healthy biological processes. </w:t>
      </w:r>
    </w:p>
    <w:p w:rsidR="00FC34E0" w:rsidRDefault="00FC34E0" w:rsidP="00FC34E0">
      <w:pPr>
        <w:pStyle w:val="FactsheetBullets"/>
        <w:ind w:left="720"/>
      </w:pPr>
      <w:r w:rsidRPr="006053D7">
        <w:t>A landscape architect should be consulted to assist in the design of planting/storage media to balance the interests of plant establishment, water retention capacity (irrigation demand), and the potential for nutrient leaching. The following practices should be considered in developing the media mix design:</w:t>
      </w:r>
    </w:p>
    <w:p w:rsidR="00FC34E0" w:rsidRDefault="00FC34E0" w:rsidP="009531AF">
      <w:pPr>
        <w:pStyle w:val="FactsheetBullets"/>
        <w:numPr>
          <w:ilvl w:val="1"/>
          <w:numId w:val="25"/>
        </w:numPr>
      </w:pPr>
      <w:r w:rsidRPr="006053D7">
        <w:t>The actual nutrient content and organic content of the selected compost source should be considered when specifying the proportions of compost and sand. The compost specification allows a range of organic content over approximately a factor of 2 and nutrient content may vary more widely. Therefore determining the actual organic content and nutrient content of the compost expected to be supplied is important in determining the proportion to be used for amendment.</w:t>
      </w:r>
    </w:p>
    <w:p w:rsidR="00FC34E0" w:rsidRDefault="00FC34E0" w:rsidP="009531AF">
      <w:pPr>
        <w:pStyle w:val="FactsheetBullets"/>
        <w:numPr>
          <w:ilvl w:val="1"/>
          <w:numId w:val="25"/>
        </w:numPr>
      </w:pPr>
      <w:r w:rsidRPr="006053D7">
        <w:t>A commitment to periodic soil testing for nutrient content and a commitment to adaptive management of nutrient levels can help reduce the amount of organic amendment that must be provided initially. Generally, nutrients can be added planting areas through the addition of organic mulch, but cannot be removed.</w:t>
      </w:r>
    </w:p>
    <w:p w:rsidR="00FC34E0" w:rsidRDefault="00FC34E0" w:rsidP="009531AF">
      <w:pPr>
        <w:pStyle w:val="FactsheetBullets"/>
        <w:numPr>
          <w:ilvl w:val="1"/>
          <w:numId w:val="25"/>
        </w:numPr>
      </w:pPr>
      <w:r w:rsidRPr="006053D7">
        <w:t>Plant palettes and the associated planting mix should be designed with native plants where possible. Native plants generally have a broader tolerance for nutrient content, and can be longer lived in leaner/lower nutrient soils. An additional benefit of lower nutrient levels is that native plants will generally have less competition from weeds.</w:t>
      </w:r>
    </w:p>
    <w:p w:rsidR="00FC34E0" w:rsidRDefault="00FC34E0" w:rsidP="009531AF">
      <w:pPr>
        <w:pStyle w:val="FactsheetBullets"/>
        <w:numPr>
          <w:ilvl w:val="1"/>
          <w:numId w:val="25"/>
        </w:numPr>
      </w:pPr>
      <w:r w:rsidRPr="006053D7">
        <w:t>Nutrients are better retained in soils with higher cation exchange capacity (CEC).  CEC can be increased through selection of organic material with naturally high CEC, such as peat, and/or selection of inorganic material with high CEC such as some sands or engineered minerals (e.g., low P-index sands, zeolites, rhyolites, etc). Including higher CEC materials would tend to reduce the net leaching of nutrients.</w:t>
      </w:r>
    </w:p>
    <w:p w:rsidR="00FC34E0" w:rsidRPr="005D3948" w:rsidRDefault="00FC34E0" w:rsidP="009531AF">
      <w:pPr>
        <w:pStyle w:val="FactsheetBullets"/>
        <w:numPr>
          <w:ilvl w:val="1"/>
          <w:numId w:val="25"/>
        </w:numPr>
      </w:pPr>
      <w:r>
        <w:t>Soil structure can be more important than nutrient content in plant survival and biologic health of the system. If a good soil structure can be created with very low amounts of compost, plants survivability should still be provided. Soil structure is loosely defined as the ability of the soil to conduct and store water and nutrients as well as the degree of aeration of the soil. While soil structure generally develops with time, planting/storage media can be designed to promote earlier development of soil structure. Soil structure is enhanced by the use of amendments with high hummus content (as found in well-aged organic material). In addition, soil structure can be enhanced through the use of compost/organic material with a distribution of particle sizes (i.e., a more heterogeneous mix). Finally, inorganic amendments such as polymer beads may be useful for promoting aeration and moisture retention associated with a good soil structure.  An example of engineered soil to promote soil structure can be found here: </w:t>
      </w:r>
    </w:p>
    <w:p w:rsidR="00FC34E0" w:rsidRPr="00126DE5" w:rsidRDefault="00126F3D" w:rsidP="00FC34E0">
      <w:pPr>
        <w:pStyle w:val="FactsheetBullets"/>
        <w:numPr>
          <w:ilvl w:val="0"/>
          <w:numId w:val="0"/>
        </w:numPr>
        <w:ind w:left="1440"/>
        <w:rPr>
          <w:rFonts w:ascii="Book Antiqua" w:hAnsi="Book Antiqua"/>
          <w:b/>
          <w:color w:val="0070C0"/>
        </w:rPr>
      </w:pPr>
      <w:hyperlink r:id="rId130" w:history="1">
        <w:r w:rsidR="00FC34E0" w:rsidRPr="00126DE5">
          <w:rPr>
            <w:rStyle w:val="Hyperlink"/>
            <w:rFonts w:ascii="Book Antiqua" w:eastAsia="Times" w:hAnsi="Book Antiqua"/>
            <w:b/>
            <w:color w:val="0070C0"/>
          </w:rPr>
          <w:t>http://www.hort.cornell.edu/uhi/outreach/pdfs/custructuralsoilwebpdf.pdf</w:t>
        </w:r>
      </w:hyperlink>
      <w:r w:rsidR="00FC34E0" w:rsidRPr="00126DE5">
        <w:rPr>
          <w:rFonts w:ascii="Book Antiqua" w:hAnsi="Book Antiqua"/>
          <w:b/>
          <w:color w:val="0070C0"/>
        </w:rPr>
        <w:t xml:space="preserve"> </w:t>
      </w:r>
    </w:p>
    <w:p w:rsidR="00FC34E0" w:rsidRDefault="00FC34E0" w:rsidP="009531AF">
      <w:pPr>
        <w:pStyle w:val="FactsheetBullets"/>
        <w:numPr>
          <w:ilvl w:val="1"/>
          <w:numId w:val="25"/>
        </w:numPr>
      </w:pPr>
      <w:r w:rsidRPr="006053D7">
        <w:t>Younger plants are generally more tolerant of lower nutrient levels and tend to help develop soil structure as they grow. Starting plants from smaller transplants can help reduce the need for organic amendments and improve soil structure. The project should be able to accept a plant mortality rate that is somewhat higher than starting from larger plants and providing high organic content.</w:t>
      </w:r>
    </w:p>
    <w:p w:rsidR="00FC34E0" w:rsidRDefault="00FC34E0" w:rsidP="00FC34E0">
      <w:pPr>
        <w:pStyle w:val="FactsheetBullets"/>
        <w:ind w:left="720"/>
      </w:pPr>
      <w:r w:rsidRPr="006053D7">
        <w:t>With these considerations, it is anticipated that less than 10 percent compost amendment could be used, while still balancing plant survivability and water retention.</w:t>
      </w:r>
    </w:p>
    <w:p w:rsidR="00FC34E0" w:rsidRPr="00C111E9" w:rsidRDefault="00FC34E0" w:rsidP="00FC34E0">
      <w:pPr>
        <w:pStyle w:val="FactsheetBullets"/>
        <w:numPr>
          <w:ilvl w:val="0"/>
          <w:numId w:val="0"/>
        </w:numPr>
        <w:ind w:left="86"/>
      </w:pPr>
      <w:r w:rsidRPr="00C111E9">
        <w:t>We wish to express our gratitude to following individuals for their feedback on the design of planting/storage media for nutrient sensitive receiving waters in Southern California.</w:t>
      </w:r>
    </w:p>
    <w:p w:rsidR="00FC34E0" w:rsidRDefault="00FC34E0" w:rsidP="00FC34E0">
      <w:pPr>
        <w:pStyle w:val="FactsheetBullets"/>
        <w:numPr>
          <w:ilvl w:val="0"/>
          <w:numId w:val="0"/>
        </w:numPr>
        <w:ind w:left="720"/>
      </w:pPr>
      <w:r>
        <w:t>Deborah Deets, City of Los Angeles Bureau of Sanitation</w:t>
      </w:r>
    </w:p>
    <w:p w:rsidR="00FC34E0" w:rsidRDefault="00FC34E0" w:rsidP="00FC34E0">
      <w:pPr>
        <w:pStyle w:val="FactsheetBullets"/>
        <w:numPr>
          <w:ilvl w:val="0"/>
          <w:numId w:val="0"/>
        </w:numPr>
        <w:ind w:left="720"/>
      </w:pPr>
      <w:r>
        <w:t>Drew Ready, LA and San Gabriel Rivers Watershed Council</w:t>
      </w:r>
    </w:p>
    <w:p w:rsidR="00FC34E0" w:rsidRDefault="00FC34E0" w:rsidP="00FC34E0">
      <w:pPr>
        <w:pStyle w:val="FactsheetBullets"/>
        <w:numPr>
          <w:ilvl w:val="0"/>
          <w:numId w:val="0"/>
        </w:numPr>
        <w:ind w:left="720"/>
      </w:pPr>
      <w:r>
        <w:t>Rick Fisher, ASLA, City of Los Angeles Bureau of Engineering</w:t>
      </w:r>
    </w:p>
    <w:p w:rsidR="00FC34E0" w:rsidRDefault="00FC34E0" w:rsidP="00FC34E0">
      <w:pPr>
        <w:pStyle w:val="FactsheetBullets"/>
        <w:numPr>
          <w:ilvl w:val="0"/>
          <w:numId w:val="0"/>
        </w:numPr>
        <w:ind w:left="720"/>
      </w:pPr>
      <w:r>
        <w:t>Dr. Garn Wallace, Wallace Laboratories</w:t>
      </w:r>
    </w:p>
    <w:p w:rsidR="00FC34E0" w:rsidRDefault="00FC34E0" w:rsidP="00FC34E0">
      <w:pPr>
        <w:pStyle w:val="FactsheetBullets"/>
        <w:numPr>
          <w:ilvl w:val="0"/>
          <w:numId w:val="0"/>
        </w:numPr>
        <w:ind w:left="720"/>
      </w:pPr>
      <w:r>
        <w:t>Glen Dake, GDML</w:t>
      </w:r>
    </w:p>
    <w:p w:rsidR="00FC34E0" w:rsidRDefault="00FC34E0" w:rsidP="00FC34E0">
      <w:pPr>
        <w:pStyle w:val="FactsheetBullets"/>
        <w:numPr>
          <w:ilvl w:val="0"/>
          <w:numId w:val="0"/>
        </w:numPr>
        <w:ind w:left="724" w:hanging="4"/>
      </w:pPr>
      <w:r>
        <w:t>Jason Schmidt, Tree People</w:t>
      </w:r>
    </w:p>
    <w:p w:rsidR="00FC34E0" w:rsidRDefault="00FC34E0" w:rsidP="00FC34E0">
      <w:pPr>
        <w:pStyle w:val="FactsheetBullets"/>
        <w:numPr>
          <w:ilvl w:val="0"/>
          <w:numId w:val="0"/>
        </w:numPr>
        <w:ind w:left="90" w:hanging="4"/>
      </w:pPr>
      <w:r w:rsidRPr="00C111E9">
        <w:t>The guidance provided herein does not reflect the individual opinions of any individual listed above and should not be cited or otherwise attributed to those listed.</w:t>
      </w:r>
    </w:p>
    <w:p w:rsidR="00FC34E0" w:rsidRPr="00EE023B" w:rsidRDefault="00FC34E0" w:rsidP="00FC34E0">
      <w:pPr>
        <w:pStyle w:val="FactsheetSubheading"/>
      </w:pPr>
      <w:r>
        <w:t xml:space="preserve">Selecting </w:t>
      </w:r>
      <w:r w:rsidRPr="005133C1">
        <w:t>Plants</w:t>
      </w:r>
      <w:r>
        <w:t xml:space="preserve"> for Planting/Storage Media</w:t>
      </w:r>
    </w:p>
    <w:p w:rsidR="00FC34E0" w:rsidRDefault="00FC34E0" w:rsidP="00FC34E0">
      <w:pPr>
        <w:pStyle w:val="FactsheetBullets"/>
        <w:ind w:left="720"/>
      </w:pPr>
      <w:r w:rsidRPr="00B4430B">
        <w:t xml:space="preserve">Plant materials </w:t>
      </w:r>
      <w:r>
        <w:t>should</w:t>
      </w:r>
      <w:r w:rsidRPr="00B4430B">
        <w:t xml:space="preserve"> be tolerant of summer drought, ponding fluctuations, and saturated soil conditions for 48</w:t>
      </w:r>
      <w:r w:rsidRPr="00BD7309">
        <w:t xml:space="preserve"> </w:t>
      </w:r>
      <w:r>
        <w:t>to 96</w:t>
      </w:r>
      <w:r w:rsidRPr="00B4430B">
        <w:t xml:space="preserve"> hours.</w:t>
      </w:r>
    </w:p>
    <w:p w:rsidR="00FC34E0" w:rsidRPr="00B4430B" w:rsidRDefault="00FC34E0" w:rsidP="00FC34E0">
      <w:pPr>
        <w:pStyle w:val="FactsheetBullets"/>
        <w:ind w:left="720"/>
      </w:pPr>
      <w:r w:rsidRPr="00B4430B">
        <w:t xml:space="preserve">It is recommended that a minimum of three </w:t>
      </w:r>
      <w:r>
        <w:t xml:space="preserve">types of </w:t>
      </w:r>
      <w:r w:rsidRPr="00B4430B">
        <w:t>tree, shrubs, and</w:t>
      </w:r>
      <w:r>
        <w:t>/or</w:t>
      </w:r>
      <w:r w:rsidRPr="00B4430B">
        <w:t xml:space="preserve"> herbaceous groundcover species be incorporated to protect against facility failure due to disease and insect infestations of a single species. </w:t>
      </w:r>
    </w:p>
    <w:p w:rsidR="00FC34E0" w:rsidRPr="00FA44B7" w:rsidRDefault="00FC34E0" w:rsidP="00FC34E0">
      <w:pPr>
        <w:pStyle w:val="FactsheetBullets"/>
        <w:ind w:left="720"/>
      </w:pPr>
      <w:r w:rsidRPr="00B4430B">
        <w:t xml:space="preserve">Native plant species and/or hardy cultivars that are not invasive and do not require chemical inputs </w:t>
      </w:r>
      <w:r>
        <w:t>should</w:t>
      </w:r>
      <w:r w:rsidRPr="00B4430B">
        <w:t xml:space="preserve"> be used to the maximum extent </w:t>
      </w:r>
      <w:r w:rsidR="00990A72">
        <w:t>feasible</w:t>
      </w:r>
      <w:r>
        <w:t>.</w:t>
      </w:r>
    </w:p>
    <w:p w:rsidR="00FC34E0" w:rsidRDefault="00FC34E0" w:rsidP="00FC34E0">
      <w:pPr>
        <w:spacing w:after="200"/>
        <w:rPr>
          <w:rFonts w:eastAsia="Times New Roman" w:cs="Times New Roman"/>
          <w:szCs w:val="20"/>
        </w:rPr>
      </w:pPr>
      <w:r>
        <w:br w:type="page"/>
      </w:r>
    </w:p>
    <w:p w:rsidR="00FC34E0" w:rsidRPr="00B53524" w:rsidRDefault="00126F3D" w:rsidP="00533A19">
      <w:pPr>
        <w:pStyle w:val="Heading3"/>
        <w:numPr>
          <w:ilvl w:val="0"/>
          <w:numId w:val="0"/>
        </w:numPr>
        <w:ind w:left="907" w:hanging="907"/>
      </w:pPr>
      <w:bookmarkStart w:id="793" w:name="_Ref285549901"/>
      <w:r w:rsidRPr="00126F3D">
        <w:rPr>
          <w:rFonts w:eastAsia="Times New Roman"/>
          <w:noProof/>
        </w:rPr>
        <w:pict>
          <v:shape id="Text Box 68" o:spid="_x0000_s1193" type="#_x0000_t202" style="position:absolute;left:0;text-align:left;margin-left:-158.4pt;margin-top:19.85pt;width:158.4pt;height:228.35pt;z-index:251802624;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" filled="f">
            <v:textbox style="mso-next-textbox:#Text Box 68" inset="0,0,0,0">
              <w:txbxContent>
                <w:p w:rsidR="00853C9A" w:rsidRDefault="00853C9A" w:rsidP="00FC34E0">
                  <w:pPr>
                    <w:ind w:left="-29" w:right="-29"/>
                    <w:rPr>
                      <w:rFonts w:ascii="Arial" w:hAnsi="Arial" w:cs="Arial"/>
                      <w:noProof/>
                      <w:sz w:val="20"/>
                    </w:rPr>
                  </w:pPr>
                  <w:r w:rsidRPr="00D67A4A">
                    <w:rPr>
                      <w:rFonts w:ascii="Arial" w:hAnsi="Arial" w:cs="Arial"/>
                      <w:noProof/>
                      <w:sz w:val="20"/>
                    </w:rPr>
                    <w:drawing>
                      <wp:inline distT="0" distB="0" distL="0" distR="0">
                        <wp:extent cx="2002155" cy="1816636"/>
                        <wp:effectExtent l="19050" t="0" r="0" b="0"/>
                        <wp:docPr id="78"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pa.gov/oaintrnt/images/ars_landscapewall.jpg"/>
                                <pic:cNvPicPr>
                                  <a:picLocks noChangeAspect="1" noChangeArrowheads="1"/>
                                </pic:cNvPicPr>
                              </pic:nvPicPr>
                              <pic:blipFill>
                                <a:blip r:embed="rId131" cstate="screen"/>
                                <a:srcRect/>
                                <a:stretch>
                                  <a:fillRect/>
                                </a:stretch>
                              </pic:blipFill>
                              <pic:spPr bwMode="auto">
                                <a:xfrm>
                                  <a:off x="0" y="0"/>
                                  <a:ext cx="2002155" cy="1816636"/>
                                </a:xfrm>
                                <a:prstGeom prst="rect">
                                  <a:avLst/>
                                </a:prstGeom>
                                <a:noFill/>
                                <a:ln w="9525">
                                  <a:noFill/>
                                  <a:miter lim="800000"/>
                                  <a:headEnd/>
                                  <a:tailEnd/>
                                </a:ln>
                              </pic:spPr>
                            </pic:pic>
                          </a:graphicData>
                        </a:graphic>
                      </wp:inline>
                    </w:drawing>
                  </w:r>
                </w:p>
                <w:p w:rsidR="00853C9A" w:rsidRPr="00D67A4A" w:rsidRDefault="00853C9A" w:rsidP="00FC34E0">
                  <w:pPr>
                    <w:spacing w:after="0"/>
                    <w:ind w:left="187" w:right="-29"/>
                    <w:rPr>
                      <w:rFonts w:ascii="Arial" w:hAnsi="Arial" w:cs="Arial"/>
                      <w:sz w:val="20"/>
                    </w:rPr>
                  </w:pPr>
                  <w:r w:rsidRPr="00D67A4A">
                    <w:rPr>
                      <w:rFonts w:ascii="Arial" w:hAnsi="Arial" w:cs="Arial"/>
                      <w:sz w:val="20"/>
                    </w:rPr>
                    <w:t xml:space="preserve">Soil amended area at U.S. EPA Ariel Rios building. </w:t>
                  </w:r>
                </w:p>
                <w:p w:rsidR="00853C9A" w:rsidRPr="00D67A4A" w:rsidRDefault="00853C9A" w:rsidP="00FC34E0">
                  <w:pPr>
                    <w:ind w:left="180" w:right="-29"/>
                    <w:rPr>
                      <w:rFonts w:ascii="Arial" w:hAnsi="Arial" w:cs="Arial"/>
                      <w:i/>
                      <w:sz w:val="18"/>
                    </w:rPr>
                  </w:pPr>
                  <w:r w:rsidRPr="00D67A4A">
                    <w:rPr>
                      <w:rFonts w:ascii="Arial" w:hAnsi="Arial" w:cs="Arial"/>
                      <w:i/>
                      <w:sz w:val="18"/>
                    </w:rPr>
                    <w:t>Source: http://www.epa.gov/oaintrnt/stormwater/hq_projects.htm</w:t>
                  </w:r>
                </w:p>
              </w:txbxContent>
            </v:textbox>
            <w10:wrap type="square" anchorx="margin" anchory="margin"/>
          </v:shape>
        </w:pict>
      </w:r>
      <w:bookmarkStart w:id="794" w:name="_Toc285522592"/>
      <w:bookmarkStart w:id="795" w:name="_Toc285589322"/>
      <w:r w:rsidR="00FC34E0">
        <w:t xml:space="preserve">MISC-2: </w:t>
      </w:r>
      <w:r w:rsidR="00FC34E0" w:rsidRPr="00311A64">
        <w:t>Amended Soils</w:t>
      </w:r>
      <w:bookmarkEnd w:id="793"/>
      <w:bookmarkEnd w:id="794"/>
      <w:bookmarkEnd w:id="795"/>
    </w:p>
    <w:p w:rsidR="00FC34E0" w:rsidRPr="00B53524" w:rsidRDefault="00FC34E0" w:rsidP="00FC34E0">
      <w:pPr>
        <w:autoSpaceDE w:val="0"/>
        <w:autoSpaceDN w:val="0"/>
        <w:adjustRightInd w:val="0"/>
        <w:jc w:val="both"/>
        <w:rPr>
          <w:rFonts w:eastAsia="Times New Roman"/>
          <w:noProof/>
        </w:rPr>
      </w:pPr>
      <w:r w:rsidRPr="00311A64">
        <w:rPr>
          <w:rFonts w:eastAsia="Times New Roman"/>
          <w:noProof/>
        </w:rPr>
        <w:t>Soil amendments alter the soil characteristics to allow it to absorb, infiltrate, and retain more water to help reduce runoff volume and velocity, filter pollutants, increase the quality and quantity of vegetation, and reduce erosion potential more effectively than soils without soil amendments. Mulch is an amendment that is added on the top of the soil, rather than mixed into the soil, which reduces evaporation and adds to the aesthetics of a site. Compost and fertilizers are common soil amendments that must be completely mixed into the soil to function properly.</w:t>
      </w:r>
      <w:r>
        <w:rPr>
          <w:rFonts w:eastAsia="Times New Roman"/>
          <w:noProof/>
        </w:rPr>
        <w:t xml:space="preserve"> </w:t>
      </w:r>
    </w:p>
    <w:p w:rsidR="00FC34E0" w:rsidRPr="00B53524" w:rsidRDefault="00FC34E0" w:rsidP="00FC34E0">
      <w:pPr>
        <w:pStyle w:val="FactsheetSubheading"/>
        <w:outlineLvl w:val="0"/>
      </w:pPr>
      <w:r w:rsidRPr="00311A64">
        <w:t>General Criteria</w:t>
      </w:r>
      <w:r w:rsidRPr="00311A64">
        <w:tab/>
      </w:r>
    </w:p>
    <w:p w:rsidR="00FC34E0" w:rsidRPr="00B53524" w:rsidRDefault="00FC34E0" w:rsidP="00FC34E0">
      <w:pPr>
        <w:pStyle w:val="FactsheetBullets"/>
        <w:numPr>
          <w:ilvl w:val="0"/>
          <w:numId w:val="1"/>
        </w:numPr>
      </w:pPr>
      <w:r w:rsidRPr="00311A64">
        <w:t>Compost, soil conditioners, and fertilizers should be roto-tilled into the native soil to a minimum depth of 6”</w:t>
      </w:r>
      <w:r>
        <w:t xml:space="preserve"> (12 inches preferred)</w:t>
      </w:r>
      <w:r w:rsidRPr="00311A64">
        <w:t xml:space="preserve">. Mulch at grade should be spread over all planting areas to a depth of 3”. </w:t>
      </w:r>
    </w:p>
    <w:p w:rsidR="00FC34E0" w:rsidRPr="00B53524" w:rsidRDefault="00FC34E0" w:rsidP="00FC34E0">
      <w:pPr>
        <w:pStyle w:val="FactsheetBullets"/>
        <w:numPr>
          <w:ilvl w:val="0"/>
          <w:numId w:val="1"/>
        </w:numPr>
      </w:pPr>
      <w:r>
        <w:t xml:space="preserve">Sand can be used as an amendment to improve the drainage rates of amended soils. </w:t>
      </w:r>
      <w:r w:rsidRPr="00311A64">
        <w:t>Sand should be free of stones, stumps, roots or other similar objects larger than 5 mm</w:t>
      </w:r>
    </w:p>
    <w:p w:rsidR="00FC34E0" w:rsidRPr="00B53524" w:rsidRDefault="00FC34E0" w:rsidP="00FC34E0">
      <w:pPr>
        <w:pStyle w:val="FactsheetBullets"/>
        <w:numPr>
          <w:ilvl w:val="0"/>
          <w:numId w:val="1"/>
        </w:numPr>
      </w:pPr>
      <w:r w:rsidRPr="00311A64">
        <w:t>Incorporating compost and other organics into the root zone results in enhanced biological activity, attenuation of envrionemntal contaminants, increased moisture holding capacit</w:t>
      </w:r>
      <w:r>
        <w:t>y, and improved soil structure. Compost shall meet the specifications below.</w:t>
      </w:r>
    </w:p>
    <w:p w:rsidR="00FC34E0" w:rsidRDefault="00FC34E0" w:rsidP="00FC34E0">
      <w:pPr>
        <w:pStyle w:val="FactsheetBullets"/>
        <w:numPr>
          <w:ilvl w:val="0"/>
          <w:numId w:val="1"/>
        </w:numPr>
      </w:pPr>
      <w:r>
        <w:t>All soil amendments</w:t>
      </w:r>
      <w:r w:rsidRPr="00311A64">
        <w:t xml:space="preserve"> should be free of stones, stumps, roots or other simil</w:t>
      </w:r>
      <w:r>
        <w:t>ar objects larger than 2 inches.</w:t>
      </w:r>
    </w:p>
    <w:p w:rsidR="00FC34E0" w:rsidRDefault="00FC34E0" w:rsidP="00FC34E0">
      <w:pPr>
        <w:pStyle w:val="FactsheetBullets"/>
        <w:numPr>
          <w:ilvl w:val="0"/>
          <w:numId w:val="1"/>
        </w:numPr>
      </w:pPr>
      <w:r>
        <w:t>All soil amendments should be free of glass, plastic, metal, and other deleterious materials.</w:t>
      </w:r>
    </w:p>
    <w:p w:rsidR="00FC34E0" w:rsidRDefault="00FC34E0" w:rsidP="00FC34E0">
      <w:pPr>
        <w:pStyle w:val="FactsheetSubheading"/>
      </w:pPr>
      <w:r>
        <w:t>Accounting for Soil Amendments in Sizing Calculations</w:t>
      </w:r>
    </w:p>
    <w:p w:rsidR="00FC34E0" w:rsidRPr="00B53524" w:rsidRDefault="00FC34E0" w:rsidP="00FC34E0">
      <w:pPr>
        <w:pStyle w:val="FactsheetBullets"/>
        <w:numPr>
          <w:ilvl w:val="0"/>
          <w:numId w:val="0"/>
        </w:numPr>
        <w:ind w:left="90" w:hanging="4"/>
      </w:pPr>
      <w:r w:rsidRPr="009877A3">
        <w:t xml:space="preserve">No retention credit is </w:t>
      </w:r>
      <w:r>
        <w:t xml:space="preserve">given for amended soils alone. </w:t>
      </w:r>
      <w:r w:rsidRPr="009877A3">
        <w:t>A</w:t>
      </w:r>
      <w:r>
        <w:t>mended soils should be used as part of HSC-2 Impervious Area Dispersion, and to increase the retention volume of Infiltration and Biotreatment BMPs.</w:t>
      </w:r>
    </w:p>
    <w:p w:rsidR="00FC34E0" w:rsidRPr="00B53524" w:rsidRDefault="00FC34E0" w:rsidP="00FC34E0">
      <w:pPr>
        <w:pStyle w:val="FactsheetSubheading"/>
        <w:outlineLvl w:val="0"/>
      </w:pPr>
      <w:r w:rsidRPr="00311A64">
        <w:t xml:space="preserve">Additional References </w:t>
      </w:r>
    </w:p>
    <w:p w:rsidR="00FC34E0" w:rsidRPr="002E4268" w:rsidRDefault="00FC34E0" w:rsidP="00FC34E0">
      <w:pPr>
        <w:pStyle w:val="FactsheetBullets"/>
        <w:numPr>
          <w:ilvl w:val="0"/>
          <w:numId w:val="0"/>
        </w:numPr>
        <w:ind w:left="720"/>
        <w:rPr>
          <w:b/>
          <w:color w:val="0070C0"/>
        </w:rPr>
      </w:pPr>
      <w:r w:rsidRPr="00311A64">
        <w:t>Los Angeles Unified School District (LAUSD) Stormwater Technical Manual, Chapter 3:</w:t>
      </w:r>
      <w:r>
        <w:t xml:space="preserve"> </w:t>
      </w:r>
      <w:hyperlink r:id="rId132" w:history="1">
        <w:r w:rsidRPr="00126DE5">
          <w:rPr>
            <w:rStyle w:val="Hyperlink"/>
            <w:rFonts w:ascii="Book Antiqua" w:hAnsi="Book Antiqua"/>
            <w:b/>
            <w:color w:val="0070C0"/>
          </w:rPr>
          <w:t>http://www.laschools.org/employee/design/fs-studies-and-reports/download/white_paper_report_material/Storm_Water_Technical_Manual_2009-opt-red.pdf?version_id=76975850</w:t>
        </w:r>
      </w:hyperlink>
    </w:p>
    <w:p w:rsidR="00FC34E0" w:rsidRPr="002E4268" w:rsidRDefault="00FC34E0" w:rsidP="00FC34E0">
      <w:pPr>
        <w:pStyle w:val="FactsheetBullets"/>
        <w:numPr>
          <w:ilvl w:val="0"/>
          <w:numId w:val="0"/>
        </w:numPr>
        <w:ind w:left="720"/>
        <w:rPr>
          <w:b/>
          <w:color w:val="0070C0"/>
        </w:rPr>
      </w:pPr>
      <w:r w:rsidRPr="00311A64">
        <w:t>Santa Barbara BMP Guidance Manual, Chapter 5:</w:t>
      </w:r>
      <w:r>
        <w:t xml:space="preserve"> </w:t>
      </w:r>
      <w:hyperlink r:id="rId133" w:history="1">
        <w:r w:rsidRPr="00126DE5">
          <w:rPr>
            <w:rStyle w:val="Hyperlink"/>
            <w:rFonts w:ascii="Book Antiqua" w:hAnsi="Book Antiqua"/>
            <w:b/>
            <w:color w:val="0070C0"/>
          </w:rPr>
          <w:t>http://www.santabarbaraca.gov/NR/rdonlyres/91D1FA75-C185-491E-A882-49EE17789DF8/0/Manual_071008_Final.pdf</w:t>
        </w:r>
      </w:hyperlink>
    </w:p>
    <w:p w:rsidR="00FC34E0" w:rsidRPr="00B53524" w:rsidRDefault="00FC34E0" w:rsidP="00FC34E0">
      <w:pPr>
        <w:pStyle w:val="FactsheetBullets"/>
        <w:numPr>
          <w:ilvl w:val="0"/>
          <w:numId w:val="1"/>
        </w:numPr>
      </w:pPr>
      <w:r w:rsidRPr="00311A64">
        <w:t xml:space="preserve">San Diego County LID Handbook Appendix 4 (Factsheet 30):  </w:t>
      </w:r>
      <w:hyperlink r:id="rId134" w:history="1">
        <w:r w:rsidRPr="00126DE5">
          <w:rPr>
            <w:rStyle w:val="Hyperlink"/>
            <w:rFonts w:ascii="Book Antiqua" w:hAnsi="Book Antiqua"/>
            <w:b/>
            <w:color w:val="0070C0"/>
          </w:rPr>
          <w:t>http://www.sdcounty.ca.gov/dplu/docs/LID-Appendices.pdf</w:t>
        </w:r>
      </w:hyperlink>
    </w:p>
    <w:p w:rsidR="00FC34E0" w:rsidRPr="00B53524" w:rsidRDefault="00FC34E0" w:rsidP="00FC34E0">
      <w:pPr>
        <w:spacing w:after="200"/>
      </w:pPr>
      <w:r w:rsidRPr="00311A64">
        <w:br w:type="page"/>
      </w:r>
    </w:p>
    <w:p w:rsidR="00FC34E0" w:rsidRDefault="00FC34E0" w:rsidP="00A52883">
      <w:pPr>
        <w:pStyle w:val="Heading2"/>
      </w:pPr>
      <w:bookmarkStart w:id="796" w:name="_Toc260942980"/>
      <w:bookmarkStart w:id="797" w:name="_Toc260943209"/>
      <w:bookmarkStart w:id="798" w:name="_Toc260942981"/>
      <w:bookmarkStart w:id="799" w:name="_Toc260943210"/>
      <w:bookmarkStart w:id="800" w:name="_Toc260942982"/>
      <w:bookmarkStart w:id="801" w:name="_Toc260943211"/>
      <w:bookmarkStart w:id="802" w:name="_Toc260942983"/>
      <w:bookmarkStart w:id="803" w:name="_Toc260943212"/>
      <w:bookmarkStart w:id="804" w:name="_Toc260942984"/>
      <w:bookmarkStart w:id="805" w:name="_Toc260943213"/>
      <w:bookmarkStart w:id="806" w:name="_Toc260942985"/>
      <w:bookmarkStart w:id="807" w:name="_Toc260943214"/>
      <w:bookmarkStart w:id="808" w:name="_Toc260942986"/>
      <w:bookmarkStart w:id="809" w:name="_Toc260943215"/>
      <w:bookmarkStart w:id="810" w:name="_Toc260942987"/>
      <w:bookmarkStart w:id="811" w:name="_Toc260943216"/>
      <w:bookmarkStart w:id="812" w:name="_Toc260942988"/>
      <w:bookmarkStart w:id="813" w:name="_Toc260943217"/>
      <w:bookmarkStart w:id="814" w:name="_Toc260942989"/>
      <w:bookmarkStart w:id="815" w:name="_Toc260943218"/>
      <w:bookmarkStart w:id="816" w:name="_Toc262462877"/>
      <w:bookmarkStart w:id="817" w:name="_Ref285579268"/>
      <w:bookmarkStart w:id="818" w:name="_Toc285589327"/>
      <w:bookmarkStart w:id="819" w:name="_Ref285589536"/>
      <w:bookmarkStart w:id="820" w:name="_Ref287698669"/>
      <w:bookmarkStart w:id="821" w:name="_Toc288541123"/>
      <w:bookmarkStart w:id="822" w:name="_Toc293937179"/>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r w:rsidRPr="003C19F9">
        <w:t>Infiltration BMP</w:t>
      </w:r>
      <w:bookmarkEnd w:id="816"/>
      <w:bookmarkEnd w:id="817"/>
      <w:bookmarkEnd w:id="818"/>
      <w:bookmarkEnd w:id="819"/>
      <w:r w:rsidRPr="003C19F9">
        <w:t xml:space="preserve"> Fact Sheets (INF)</w:t>
      </w:r>
      <w:bookmarkEnd w:id="820"/>
      <w:bookmarkEnd w:id="821"/>
      <w:bookmarkEnd w:id="822"/>
    </w:p>
    <w:p w:rsidR="00FC34E0" w:rsidRPr="00B53524" w:rsidRDefault="00FC34E0" w:rsidP="00533A19">
      <w:pPr>
        <w:pStyle w:val="Heading3"/>
        <w:numPr>
          <w:ilvl w:val="0"/>
          <w:numId w:val="0"/>
        </w:numPr>
        <w:ind w:left="907" w:hanging="907"/>
      </w:pPr>
      <w:bookmarkStart w:id="823" w:name="_Toc285589328"/>
      <w:bookmarkStart w:id="824" w:name="_Ref287794976"/>
      <w:r>
        <w:t xml:space="preserve">INF-1: </w:t>
      </w:r>
      <w:r w:rsidRPr="00311A64">
        <w:t>Infiltration Basin Fact Sheet</w:t>
      </w:r>
      <w:bookmarkEnd w:id="823"/>
      <w:bookmarkEnd w:id="824"/>
    </w:p>
    <w:p w:rsidR="00FC34E0" w:rsidRPr="00B53524" w:rsidRDefault="00126F3D" w:rsidP="00FC34E0">
      <w:pPr>
        <w:pStyle w:val="CDMBTEXT"/>
        <w:rPr>
          <w:noProof/>
        </w:rPr>
      </w:pPr>
      <w:r>
        <w:rPr>
          <w:noProof/>
        </w:rPr>
        <w:pict>
          <v:shape id="Text Box 21" o:spid="_x0000_s1155" type="#_x0000_t202" style="position:absolute;margin-left:-158.4pt;margin-top:305.4pt;width:158.4pt;height:162.05pt;z-index:251759616;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" filled="f">
            <v:textbox style="mso-next-textbox:#Text Box 21" inset="0,0,0,0">
              <w:txbxContent>
                <w:p w:rsidR="00853C9A" w:rsidRDefault="00853C9A" w:rsidP="00FC34E0">
                  <w:pPr>
                    <w:ind w:left="-29"/>
                    <w:rPr>
                      <w:rFonts w:ascii="Arial" w:hAnsi="Arial" w:cs="Arial"/>
                      <w:sz w:val="20"/>
                    </w:rPr>
                  </w:pPr>
                  <w:r w:rsidRPr="00DB5326">
                    <w:rPr>
                      <w:rFonts w:ascii="Arial" w:hAnsi="Arial" w:cs="Arial"/>
                      <w:noProof/>
                      <w:sz w:val="20"/>
                    </w:rPr>
                    <w:drawing>
                      <wp:inline distT="0" distB="0" distL="0" distR="0">
                        <wp:extent cx="1975120" cy="1236088"/>
                        <wp:effectExtent l="19050" t="0" r="6080" b="0"/>
                        <wp:docPr id="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screen"/>
                                <a:srcRect/>
                                <a:stretch>
                                  <a:fillRect/>
                                </a:stretch>
                              </pic:blipFill>
                              <pic:spPr bwMode="auto">
                                <a:xfrm>
                                  <a:off x="0" y="0"/>
                                  <a:ext cx="1981492" cy="1240076"/>
                                </a:xfrm>
                                <a:prstGeom prst="rect">
                                  <a:avLst/>
                                </a:prstGeom>
                                <a:noFill/>
                                <a:ln w="10160">
                                  <a:noFill/>
                                  <a:miter lim="800000"/>
                                  <a:headEnd/>
                                  <a:tailEnd/>
                                </a:ln>
                              </pic:spPr>
                            </pic:pic>
                          </a:graphicData>
                        </a:graphic>
                      </wp:inline>
                    </w:drawing>
                  </w:r>
                </w:p>
                <w:p w:rsidR="00853C9A" w:rsidRDefault="00853C9A" w:rsidP="00FC34E0">
                  <w:pPr>
                    <w:ind w:left="180"/>
                    <w:rPr>
                      <w:rFonts w:ascii="Arial" w:hAnsi="Arial" w:cs="Arial"/>
                      <w:sz w:val="20"/>
                    </w:rPr>
                  </w:pPr>
                  <w:r>
                    <w:rPr>
                      <w:rFonts w:ascii="Arial" w:hAnsi="Arial" w:cs="Arial"/>
                      <w:sz w:val="20"/>
                    </w:rPr>
                    <w:t>Infiltration Basin</w:t>
                  </w:r>
                  <w:r w:rsidRPr="00FA56FE">
                    <w:rPr>
                      <w:rFonts w:ascii="Arial" w:hAnsi="Arial" w:cs="Arial"/>
                      <w:sz w:val="20"/>
                    </w:rPr>
                    <w:t xml:space="preserve"> </w:t>
                  </w:r>
                </w:p>
                <w:p w:rsidR="00853C9A" w:rsidRPr="00336A84" w:rsidRDefault="00853C9A" w:rsidP="00FC34E0">
                  <w:pPr>
                    <w:ind w:left="180"/>
                    <w:rPr>
                      <w:rFonts w:ascii="Arial" w:hAnsi="Arial" w:cs="Arial"/>
                      <w:i/>
                      <w:sz w:val="18"/>
                    </w:rPr>
                  </w:pPr>
                  <w:r w:rsidRPr="00336A84">
                    <w:rPr>
                      <w:rFonts w:ascii="Arial" w:hAnsi="Arial" w:cs="Arial"/>
                      <w:i/>
                      <w:sz w:val="18"/>
                    </w:rPr>
                    <w:t>Source: Pennsylvania Stormwater BMP Manual</w:t>
                  </w:r>
                </w:p>
              </w:txbxContent>
            </v:textbox>
            <w10:wrap type="square" anchorx="margin" anchory="margin"/>
          </v:shape>
        </w:pict>
      </w:r>
      <w:r>
        <w:rPr>
          <w:noProof/>
        </w:rPr>
        <w:pict>
          <v:shape id="Text Box 22" o:spid="_x0000_s1156" type="#_x0000_t202" style="position:absolute;margin-left:-158.4pt;margin-top:250.5pt;width:158.4pt;height:54.9pt;z-index:251760640;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" fillcolor="#d8d8d8">
            <v:textbox style="mso-next-textbox:#Text Box 22">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Default="00853C9A" w:rsidP="009531AF">
                  <w:pPr>
                    <w:pStyle w:val="CDMBTEXT"/>
                    <w:numPr>
                      <w:ilvl w:val="0"/>
                      <w:numId w:val="70"/>
                    </w:numPr>
                    <w:spacing w:after="60" w:line="240" w:lineRule="auto"/>
                    <w:rPr>
                      <w:i/>
                    </w:rPr>
                  </w:pPr>
                  <w:r>
                    <w:rPr>
                      <w:i/>
                    </w:rPr>
                    <w:t>Recharge basins</w:t>
                  </w:r>
                </w:p>
                <w:p w:rsidR="00853C9A" w:rsidRDefault="00853C9A" w:rsidP="009531AF">
                  <w:pPr>
                    <w:pStyle w:val="CDMBTEXT"/>
                    <w:numPr>
                      <w:ilvl w:val="0"/>
                      <w:numId w:val="70"/>
                    </w:numPr>
                    <w:spacing w:after="60" w:line="240" w:lineRule="auto"/>
                    <w:rPr>
                      <w:i/>
                    </w:rPr>
                  </w:pPr>
                  <w:r>
                    <w:rPr>
                      <w:i/>
                    </w:rPr>
                    <w:t>Infiltration pond</w:t>
                  </w:r>
                </w:p>
              </w:txbxContent>
            </v:textbox>
            <w10:wrap type="square" anchorx="margin" anchory="margin"/>
          </v:shape>
        </w:pict>
      </w:r>
      <w:r w:rsidR="00FC34E0" w:rsidRPr="00311A64">
        <w:t>An infiltration basin consists of an earthen basin constructed in naturally pervious soils (Type A or B soils) with a flat bottom. An energy dissipating inlet must be provided</w:t>
      </w:r>
      <w:r w:rsidR="00FC34E0">
        <w:t>,</w:t>
      </w:r>
      <w:r w:rsidR="00FC34E0" w:rsidRPr="00311A64">
        <w:t xml:space="preserve"> along with an emergency spillway to control excess flows.  An optional relief underdrain may be provided to drain the basin if standing water conditions occur.  A forebay settling basin or separate treatment control measure must be provided as pretreatment.  An infiltration basin retains the stormwater quality design volume in the basin and allows the retained runoff to percolate into the underlying soils in 72 hours or less.  The bottom of an infiltration basin is typically vegetated with dryland grasses or irrigated turf grass; however other types of vegetation are permissible if they can survive periodic inundation and long inter-event dry periods. </w:t>
      </w:r>
    </w:p>
    <w:p w:rsidR="00FC34E0" w:rsidRPr="00B53524" w:rsidRDefault="00FC34E0" w:rsidP="00FC34E0">
      <w:pPr>
        <w:pStyle w:val="FactsheetSubheading"/>
        <w:outlineLvl w:val="0"/>
      </w:pPr>
      <w:r>
        <w:t>Feasibility</w:t>
      </w:r>
      <w:r w:rsidRPr="00311A64">
        <w:t xml:space="preserve"> </w:t>
      </w:r>
      <w:r>
        <w:t>Screening</w:t>
      </w:r>
      <w:r w:rsidRPr="00311A64">
        <w:t xml:space="preserve"> Considerations</w:t>
      </w:r>
    </w:p>
    <w:p w:rsidR="00FC34E0" w:rsidRPr="00B53524" w:rsidRDefault="00FC34E0" w:rsidP="00FC34E0">
      <w:pPr>
        <w:pStyle w:val="FactsheetBullets"/>
        <w:numPr>
          <w:ilvl w:val="0"/>
          <w:numId w:val="1"/>
        </w:numPr>
      </w:pPr>
      <w:r w:rsidRPr="00311A64">
        <w:t>Infiltration bains</w:t>
      </w:r>
      <w:r>
        <w:t xml:space="preserve"> </w:t>
      </w:r>
      <w:r w:rsidRPr="00311A64">
        <w:t xml:space="preserve">shall </w:t>
      </w:r>
      <w:r>
        <w:t>pass</w:t>
      </w:r>
      <w:r w:rsidRPr="00311A64">
        <w:t xml:space="preserve"> </w:t>
      </w:r>
      <w:r>
        <w:t>infeasibility</w:t>
      </w:r>
      <w:r w:rsidRPr="00311A64">
        <w:t xml:space="preserve"> </w:t>
      </w:r>
      <w:r>
        <w:t>s</w:t>
      </w:r>
      <w:r w:rsidRPr="00311A64">
        <w:t>creening</w:t>
      </w:r>
      <w:r>
        <w:t xml:space="preserve"> criteria to be considered for use</w:t>
      </w:r>
    </w:p>
    <w:p w:rsidR="00FC34E0" w:rsidRDefault="00FC34E0" w:rsidP="00FC34E0">
      <w:pPr>
        <w:pStyle w:val="FactsheetBullets"/>
        <w:numPr>
          <w:ilvl w:val="0"/>
          <w:numId w:val="1"/>
        </w:numPr>
      </w:pPr>
      <w:r>
        <w:t>Infiltration basins pose a p</w:t>
      </w:r>
      <w:r w:rsidRPr="00311A64">
        <w:t>otential risk of groundwater contamination</w:t>
      </w:r>
      <w:r>
        <w:t xml:space="preserve"> if underlying soils </w:t>
      </w:r>
      <w:r w:rsidRPr="00311A64">
        <w:t>have</w:t>
      </w:r>
      <w:r>
        <w:t xml:space="preserve"> very</w:t>
      </w:r>
      <w:r w:rsidRPr="00311A64">
        <w:t xml:space="preserve"> high permeability</w:t>
      </w:r>
      <w:r>
        <w:t xml:space="preserve"> and low pollutant assimilation capacity; pretreatment should always be provided</w:t>
      </w:r>
      <w:r w:rsidRPr="00311A64">
        <w:t>.</w:t>
      </w:r>
    </w:p>
    <w:p w:rsidR="00FC34E0" w:rsidRDefault="00FC34E0" w:rsidP="00FC34E0">
      <w:pPr>
        <w:pStyle w:val="FactsheetBullets"/>
        <w:numPr>
          <w:ilvl w:val="0"/>
          <w:numId w:val="1"/>
        </w:numPr>
      </w:pPr>
      <w:r w:rsidRPr="00311A64">
        <w:t>Evaporation tends to be minor, therefore increases in infiltration compared to natural conditions may result.</w:t>
      </w:r>
    </w:p>
    <w:p w:rsidR="00FC34E0" w:rsidRPr="00B53524" w:rsidRDefault="00FC34E0" w:rsidP="00FC34E0">
      <w:pPr>
        <w:pStyle w:val="FactsheetBullets"/>
        <w:numPr>
          <w:ilvl w:val="0"/>
          <w:numId w:val="1"/>
        </w:numPr>
      </w:pPr>
      <w:r>
        <w:t>The potential for groundwater mounding should be evaluated if depth to seasonally high groundwater (unmounded) is less than 15 feet.</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t>Soils are adequate for infiltration or can be amended to provide an adequate infiltration rate</w:t>
      </w:r>
      <w:r w:rsidRPr="00311A64">
        <w:t xml:space="preserve">.  </w:t>
      </w:r>
    </w:p>
    <w:p w:rsidR="00FC34E0" w:rsidRPr="00B53524" w:rsidRDefault="00FC34E0" w:rsidP="00FC34E0">
      <w:pPr>
        <w:pStyle w:val="FactsheetBullets"/>
        <w:numPr>
          <w:ilvl w:val="0"/>
          <w:numId w:val="1"/>
        </w:numPr>
      </w:pPr>
      <w:r w:rsidRPr="00311A64">
        <w:t>Typically need 2-5 percent of drainage area available for infiltration.</w:t>
      </w:r>
    </w:p>
    <w:p w:rsidR="00FC34E0" w:rsidRPr="00B53524" w:rsidRDefault="00FC34E0" w:rsidP="00FC34E0">
      <w:pPr>
        <w:pStyle w:val="FactsheetBullets"/>
        <w:numPr>
          <w:ilvl w:val="0"/>
          <w:numId w:val="1"/>
        </w:numPr>
      </w:pPr>
      <w:r w:rsidRPr="00311A64">
        <w:t>Space available for pretreatment (biotreatment or treatment control BMP as described below).</w:t>
      </w:r>
    </w:p>
    <w:p w:rsidR="00FC34E0" w:rsidRPr="00B53524" w:rsidRDefault="00FC34E0" w:rsidP="00FC34E0">
      <w:pPr>
        <w:pStyle w:val="FactsheetBullets"/>
        <w:numPr>
          <w:ilvl w:val="0"/>
          <w:numId w:val="1"/>
        </w:numPr>
      </w:pPr>
      <w:r w:rsidRPr="00311A64">
        <w:t>Potential for groundwater contamination can be mitigated through isol</w:t>
      </w:r>
      <w:r>
        <w:t>ation of pollutant sources, pre</w:t>
      </w:r>
      <w:r w:rsidRPr="00311A64">
        <w:t>treatment of inflow, and/or demonstration of adequate treatment capacity of underlying soils.</w:t>
      </w:r>
    </w:p>
    <w:p w:rsidR="00FC34E0" w:rsidRDefault="00FC34E0" w:rsidP="00FC34E0">
      <w:pPr>
        <w:pStyle w:val="FactsheetBullets"/>
        <w:numPr>
          <w:ilvl w:val="0"/>
          <w:numId w:val="1"/>
        </w:numPr>
      </w:pPr>
      <w:r w:rsidRPr="00311A64">
        <w:t>Infiltration is into native soil, or</w:t>
      </w:r>
    </w:p>
    <w:p w:rsidR="00FC34E0" w:rsidRDefault="00FC34E0" w:rsidP="00FC34E0">
      <w:pPr>
        <w:pStyle w:val="FactsheetBullets"/>
        <w:numPr>
          <w:ilvl w:val="0"/>
          <w:numId w:val="1"/>
        </w:numPr>
      </w:pPr>
      <w:r>
        <w:t>The</w:t>
      </w:r>
      <w:r w:rsidRPr="00311A64">
        <w:t xml:space="preserve"> depth of engineered fill is ≤ 5 feet from the bottom of the facility to native material and infiltration into fill is approved by a geotechnical professional. </w:t>
      </w:r>
    </w:p>
    <w:p w:rsidR="00FC34E0" w:rsidRDefault="00FC34E0" w:rsidP="00FC34E0">
      <w:pPr>
        <w:pStyle w:val="FactsheetBullets"/>
        <w:numPr>
          <w:ilvl w:val="0"/>
          <w:numId w:val="1"/>
        </w:numPr>
      </w:pPr>
      <w:r>
        <w:t>Tributary area land uses include mixed-use and commercial, sngle-family and multi-family, roads and parking lots, and parks and open spaces.  Basins can be integrated into parks and open spaces.  High pollutant land uses should not be tributary to infiltration BMPs.</w:t>
      </w:r>
    </w:p>
    <w:p w:rsidR="00FC34E0" w:rsidRPr="00B53524" w:rsidRDefault="00FC34E0" w:rsidP="00FC34E0">
      <w:pPr>
        <w:pStyle w:val="FactsheetSubheading"/>
        <w:outlineLvl w:val="0"/>
      </w:pPr>
      <w:r w:rsidRPr="00311A64">
        <w:t>OC-Specific Design Criteria and Considerations</w:t>
      </w:r>
    </w:p>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0"/>
        <w:gridCol w:w="8730"/>
      </w:tblGrid>
      <w:tr w:rsidR="00FC34E0" w:rsidRPr="00B53524" w:rsidTr="00FC34E0">
        <w:trPr>
          <w:trHeight w:val="147"/>
        </w:trPr>
        <w:tc>
          <w:tcPr>
            <w:tcW w:w="720" w:type="dxa"/>
            <w:vAlign w:val="center"/>
          </w:tcPr>
          <w:p w:rsidR="00FC34E0" w:rsidRPr="00B53524" w:rsidRDefault="00FC34E0" w:rsidP="00FC34E0">
            <w:pPr>
              <w:pStyle w:val="CheckBoxList"/>
              <w:spacing w:after="60"/>
              <w:ind w:left="806" w:hanging="806"/>
            </w:pPr>
          </w:p>
        </w:tc>
        <w:tc>
          <w:tcPr>
            <w:tcW w:w="8730" w:type="dxa"/>
            <w:vAlign w:val="center"/>
          </w:tcPr>
          <w:p w:rsidR="00FC34E0" w:rsidRPr="00B53524" w:rsidRDefault="00FC34E0" w:rsidP="00FC34E0">
            <w:pPr>
              <w:pStyle w:val="CheckBoxTableText"/>
            </w:pPr>
            <w:r w:rsidRPr="00311A64">
              <w:t>Placement of BMPs sh</w:t>
            </w:r>
            <w:r>
              <w:t>all</w:t>
            </w:r>
            <w:r w:rsidRPr="00311A64">
              <w:t xml:space="preserve"> observe geotechnical recommendations with respect to geological hazards (e.g. landslides, liquefaction zones, erosion, etc.) and set-backs (e.g., foundations, utilities, roadways, etc.)</w:t>
            </w:r>
            <w:r>
              <w:t xml:space="preserve"> </w:t>
            </w:r>
          </w:p>
        </w:tc>
      </w:tr>
      <w:tr w:rsidR="00FC34E0" w:rsidRPr="00B53524" w:rsidTr="00FC34E0">
        <w:trPr>
          <w:trHeight w:val="147"/>
        </w:trPr>
        <w:tc>
          <w:tcPr>
            <w:tcW w:w="720" w:type="dxa"/>
            <w:vAlign w:val="center"/>
          </w:tcPr>
          <w:p w:rsidR="00FC34E0" w:rsidRPr="00B53524" w:rsidRDefault="00FC34E0" w:rsidP="00FC34E0">
            <w:pPr>
              <w:pStyle w:val="CheckBoxList"/>
              <w:spacing w:after="60"/>
              <w:ind w:left="806" w:hanging="806"/>
            </w:pPr>
          </w:p>
        </w:tc>
        <w:tc>
          <w:tcPr>
            <w:tcW w:w="8730" w:type="dxa"/>
            <w:vAlign w:val="center"/>
          </w:tcPr>
          <w:p w:rsidR="00FC34E0" w:rsidRPr="00311A64" w:rsidRDefault="00FC34E0" w:rsidP="00FC34E0">
            <w:pPr>
              <w:pStyle w:val="CheckBoxTableText"/>
            </w:pPr>
            <w:r>
              <w:t>For facilities with tributary area less than 5 acres, minimum separation to mounded seasonally high groundwater of 5 feet shall be observed.</w:t>
            </w:r>
          </w:p>
        </w:tc>
      </w:tr>
      <w:tr w:rsidR="00FC34E0" w:rsidRPr="00B53524" w:rsidTr="00FC34E0">
        <w:trPr>
          <w:trHeight w:val="147"/>
        </w:trPr>
        <w:tc>
          <w:tcPr>
            <w:tcW w:w="720" w:type="dxa"/>
            <w:vAlign w:val="center"/>
          </w:tcPr>
          <w:p w:rsidR="00FC34E0" w:rsidRPr="00B53524" w:rsidRDefault="00FC34E0" w:rsidP="00FC34E0">
            <w:pPr>
              <w:pStyle w:val="CheckBoxList"/>
              <w:spacing w:after="60"/>
              <w:ind w:left="806" w:hanging="806"/>
            </w:pPr>
          </w:p>
        </w:tc>
        <w:tc>
          <w:tcPr>
            <w:tcW w:w="8730" w:type="dxa"/>
            <w:vAlign w:val="center"/>
          </w:tcPr>
          <w:p w:rsidR="00FC34E0" w:rsidRDefault="00FC34E0" w:rsidP="00FC34E0">
            <w:pPr>
              <w:pStyle w:val="CheckBoxTableText"/>
            </w:pPr>
            <w:r>
              <w:t>For facilities with tributary area greater than 5 acres, minimum separation to mounded seasonally high groundwater of 10 feet shall be observed.</w:t>
            </w:r>
          </w:p>
        </w:tc>
      </w:tr>
      <w:tr w:rsidR="00FC34E0" w:rsidRPr="00B53524" w:rsidTr="00FC34E0">
        <w:trPr>
          <w:trHeight w:val="144"/>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 xml:space="preserve">Minimum </w:t>
            </w:r>
            <w:r>
              <w:t>pretreatment</w:t>
            </w:r>
            <w:r w:rsidRPr="00311A64">
              <w:t xml:space="preserve"> </w:t>
            </w:r>
            <w:r>
              <w:t xml:space="preserve">(settling forebay or separate BMP) </w:t>
            </w:r>
            <w:r w:rsidRPr="00311A64">
              <w:t xml:space="preserve">should be provided upstream of the infiltration basin, and water bypassing </w:t>
            </w:r>
            <w:r>
              <w:t>pretreatment</w:t>
            </w:r>
            <w:r w:rsidRPr="00311A64">
              <w:t xml:space="preserve"> should </w:t>
            </w:r>
            <w:r w:rsidRPr="00311A64">
              <w:rPr>
                <w:u w:val="single"/>
              </w:rPr>
              <w:t>not</w:t>
            </w:r>
            <w:r w:rsidRPr="00311A64">
              <w:t xml:space="preserve"> be directed to the infiltration basin.</w:t>
            </w:r>
            <w:r>
              <w:t xml:space="preserve"> </w:t>
            </w:r>
          </w:p>
        </w:tc>
      </w:tr>
      <w:tr w:rsidR="00FC34E0" w:rsidRPr="00B53524" w:rsidTr="00FC34E0">
        <w:trPr>
          <w:trHeight w:val="144"/>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311A64" w:rsidRDefault="00FC34E0" w:rsidP="00FC34E0">
            <w:pPr>
              <w:pStyle w:val="CheckBoxTableText"/>
            </w:pPr>
            <w:r>
              <w:t xml:space="preserve">If a settling forebay is used, forebay should have a volume equal to 25% of facility volume and have a minimum length to width ratio of 2:1 </w:t>
            </w:r>
          </w:p>
        </w:tc>
      </w:tr>
      <w:tr w:rsidR="00FC34E0" w:rsidRPr="00B53524" w:rsidTr="00FC34E0">
        <w:trPr>
          <w:trHeight w:val="144"/>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Infiltration basins should not be used for drainage areas with high sediment production potential unless preceded by full treatment control with a BMP effective for sediment removal.</w:t>
            </w:r>
          </w:p>
        </w:tc>
      </w:tr>
      <w:tr w:rsidR="00FC34E0" w:rsidRPr="00B53524" w:rsidTr="00FC34E0">
        <w:trPr>
          <w:trHeight w:val="144"/>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Side-slopes should be no steeper than 3H:1V.</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 xml:space="preserve">Design infiltration rate should be determined </w:t>
            </w:r>
            <w:r>
              <w:t xml:space="preserve">consistent with guidance contained in </w:t>
            </w:r>
            <w:r w:rsidR="00524D76" w:rsidRPr="00524D76">
              <w:rPr>
                <w:b/>
              </w:rPr>
              <w:t>Appendix</w:t>
            </w:r>
            <w:r w:rsidRPr="00AE5220">
              <w:rPr>
                <w:b/>
                <w:color w:val="00B050"/>
              </w:rPr>
              <w:t xml:space="preserve"> VII</w:t>
            </w:r>
            <w:r w:rsidRPr="00311A64">
              <w:t>.</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311A64" w:rsidRDefault="00FC34E0" w:rsidP="00FC34E0">
            <w:pPr>
              <w:pStyle w:val="CheckBoxTableText"/>
            </w:pPr>
            <w:r>
              <w:t xml:space="preserve">Energy dissipators should be provided at inlet and outlet to prevent erosion. </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Default="00FC34E0" w:rsidP="00FC34E0">
            <w:pPr>
              <w:pStyle w:val="CheckBoxTableText"/>
            </w:pPr>
            <w:r>
              <w:t xml:space="preserve">An overflow device must be provided if basin is on-line. </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311A64" w:rsidRDefault="00FC34E0" w:rsidP="00FC34E0">
            <w:pPr>
              <w:pStyle w:val="CheckBoxTableText"/>
            </w:pPr>
            <w:r>
              <w:t xml:space="preserve">A minimum freeboard of one foot should be provided above the overflow device (for an on-line basin) or the outlet (for an off-line basin). </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Default="00FC34E0" w:rsidP="00FC34E0">
            <w:pPr>
              <w:pStyle w:val="CheckBoxTableText"/>
            </w:pPr>
            <w:r>
              <w:t xml:space="preserve">Infiltration basin bottom must be as flat as possible. </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Default="00FC34E0" w:rsidP="00FC34E0">
            <w:pPr>
              <w:pStyle w:val="CheckBoxTableText"/>
            </w:pPr>
            <w:r>
              <w:t xml:space="preserve">Basin length to width ratio should be a minimum of 2:1 L:W. </w:t>
            </w:r>
          </w:p>
        </w:tc>
      </w:tr>
    </w:tbl>
    <w:p w:rsidR="00FC34E0" w:rsidRPr="00B53524" w:rsidRDefault="00FC34E0" w:rsidP="00FC34E0">
      <w:pPr>
        <w:pStyle w:val="FactsheetSubheading"/>
      </w:pPr>
      <w:r>
        <w:t xml:space="preserve">Simple </w:t>
      </w:r>
      <w:r w:rsidRPr="00311A64">
        <w:t xml:space="preserve">Sizing </w:t>
      </w:r>
      <w:r>
        <w:t>Method</w:t>
      </w:r>
      <w:r w:rsidRPr="00311A64">
        <w:t xml:space="preserve"> for Infiltration Basins</w:t>
      </w:r>
    </w:p>
    <w:p w:rsidR="00FC34E0" w:rsidRDefault="00FC34E0" w:rsidP="00FC34E0">
      <w:pPr>
        <w:pStyle w:val="CheckBoxTableText"/>
      </w:pPr>
      <w:r>
        <w:t xml:space="preserve">If the Simple </w:t>
      </w:r>
      <w:r w:rsidR="003C7091">
        <w:t>DCV</w:t>
      </w:r>
      <w:r>
        <w:t xml:space="preserve"> Sizing Method is used to size an infiltration basin, the user calculates the DCV and designs the BMP geometry required to draw down the </w:t>
      </w:r>
      <w:r w:rsidR="003C7091">
        <w:t>DCV</w:t>
      </w:r>
      <w:r>
        <w:t xml:space="preserve"> in 48 hours. The sizing steps are as follows:</w:t>
      </w:r>
    </w:p>
    <w:p w:rsidR="00FC34E0" w:rsidRDefault="00FC34E0" w:rsidP="00FC34E0">
      <w:pPr>
        <w:pStyle w:val="FSStepHeaders"/>
      </w:pPr>
      <w:r>
        <w:t>Step 1: Dete</w:t>
      </w:r>
      <w:r w:rsidRPr="00DB4AA6">
        <w:rPr>
          <w:rStyle w:val="CheckBoxTableTextChar"/>
        </w:rPr>
        <w:t>r</w:t>
      </w:r>
      <w:r>
        <w:t xml:space="preserve">mine Infiltration Basin </w:t>
      </w:r>
      <w:r w:rsidR="003C7091">
        <w:t>DCV</w:t>
      </w:r>
    </w:p>
    <w:p w:rsidR="00FC34E0" w:rsidRDefault="00FC34E0" w:rsidP="00FC34E0">
      <w:pPr>
        <w:pStyle w:val="CheckBoxTableText"/>
      </w:pPr>
      <w:r>
        <w:t xml:space="preserve">Calculate the </w:t>
      </w:r>
      <w:r w:rsidR="003C7091">
        <w:t>DCV</w:t>
      </w:r>
      <w:r>
        <w:t xml:space="preserve"> using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Simple Design Capture Volume Sizing Method</w:t>
      </w:r>
      <w:r w:rsidR="00126F3D" w:rsidRPr="00126DE5">
        <w:rPr>
          <w:rFonts w:ascii="Book Antiqua" w:hAnsi="Book Antiqua"/>
          <w:b/>
          <w:color w:val="0070C0"/>
        </w:rPr>
        <w:fldChar w:fldCharType="end"/>
      </w:r>
      <w:r>
        <w:t xml:space="preserve"> described in </w:t>
      </w:r>
      <w:r w:rsidR="00524D76" w:rsidRPr="00524D76">
        <w:rPr>
          <w:b/>
        </w:rPr>
        <w:t>Appendix</w:t>
      </w:r>
      <w: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III.3.1</w:t>
      </w:r>
      <w:r w:rsidR="00126F3D" w:rsidRPr="00126DE5">
        <w:rPr>
          <w:rFonts w:ascii="Book Antiqua" w:hAnsi="Book Antiqua"/>
          <w:b/>
          <w:color w:val="0070C0"/>
        </w:rPr>
        <w:fldChar w:fldCharType="end"/>
      </w:r>
      <w:r>
        <w:t>.</w:t>
      </w:r>
    </w:p>
    <w:p w:rsidR="00FC34E0" w:rsidRDefault="00FC34E0" w:rsidP="00FC34E0">
      <w:pPr>
        <w:pStyle w:val="FSStepHeaders"/>
      </w:pPr>
      <w:r>
        <w:t>Step 2: Determine the 48-hour Depth</w:t>
      </w:r>
    </w:p>
    <w:p w:rsidR="00FC34E0" w:rsidRDefault="00FC34E0" w:rsidP="00FC34E0">
      <w:pPr>
        <w:pStyle w:val="CheckBoxTableText"/>
      </w:pPr>
      <w:r>
        <w:t>The depth of water that can be drawn down in 48 hours can be calculated using the following equation:</w:t>
      </w:r>
    </w:p>
    <w:p w:rsidR="00FC34E0" w:rsidRDefault="00FC34E0" w:rsidP="00FC34E0">
      <w:pPr>
        <w:pStyle w:val="FactSheetEquation"/>
      </w:pPr>
      <w:r>
        <w:t>d</w:t>
      </w:r>
      <w:r>
        <w:rPr>
          <w:vertAlign w:val="subscript"/>
        </w:rPr>
        <w:t>48</w:t>
      </w:r>
      <w:r>
        <w:t xml:space="preserve"> = K</w:t>
      </w:r>
      <w:r>
        <w:rPr>
          <w:vertAlign w:val="subscript"/>
        </w:rPr>
        <w:t>DESIGN</w:t>
      </w:r>
      <w:r>
        <w:t xml:space="preserve"> × 4 </w:t>
      </w:r>
    </w:p>
    <w:p w:rsidR="00FC34E0" w:rsidRDefault="00FC34E0" w:rsidP="00FC34E0">
      <w:pPr>
        <w:pStyle w:val="FactsheetBullets"/>
        <w:numPr>
          <w:ilvl w:val="0"/>
          <w:numId w:val="0"/>
        </w:numPr>
      </w:pPr>
      <w:r>
        <w:t>Where:</w:t>
      </w:r>
    </w:p>
    <w:p w:rsidR="00FC34E0" w:rsidRDefault="00FC34E0" w:rsidP="00FC34E0">
      <w:pPr>
        <w:pStyle w:val="FactSheetEquation"/>
      </w:pPr>
      <w:r>
        <w:t>d</w:t>
      </w:r>
      <w:r>
        <w:rPr>
          <w:vertAlign w:val="subscript"/>
        </w:rPr>
        <w:t>48</w:t>
      </w:r>
      <w:r>
        <w:t xml:space="preserve"> = basin 48-hour drawdown depth, ft</w:t>
      </w:r>
    </w:p>
    <w:p w:rsidR="00FC34E0" w:rsidRDefault="00FC34E0" w:rsidP="00FC34E0">
      <w:pPr>
        <w:pStyle w:val="FactSheetEquation"/>
      </w:pPr>
      <w:r>
        <w:t>K</w:t>
      </w:r>
      <w:r>
        <w:rPr>
          <w:vertAlign w:val="subscript"/>
        </w:rPr>
        <w:t>DESIGN</w:t>
      </w:r>
      <w:r>
        <w:t xml:space="preserve"> = basin design infiltration rate, in/hr (See</w:t>
      </w:r>
      <w:r>
        <w:rPr>
          <w:b/>
          <w:color w:val="00B050"/>
        </w:rP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_Ref287704666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VII</w:t>
      </w:r>
      <w:r w:rsidR="00126F3D" w:rsidRPr="00126DE5">
        <w:rPr>
          <w:rFonts w:ascii="Book Antiqua" w:hAnsi="Book Antiqua"/>
          <w:b/>
          <w:color w:val="0070C0"/>
        </w:rPr>
        <w:fldChar w:fldCharType="end"/>
      </w:r>
      <w:r>
        <w:t xml:space="preserve">) </w:t>
      </w:r>
    </w:p>
    <w:p w:rsidR="00FC34E0" w:rsidRDefault="00FC34E0" w:rsidP="00FC34E0">
      <w:pPr>
        <w:pStyle w:val="CheckBoxTableText"/>
      </w:pPr>
      <w:r>
        <w:t xml:space="preserve">This is the maximum depth of the basin below the overflow device to achieve drawdown in 48 hours. </w:t>
      </w:r>
    </w:p>
    <w:p w:rsidR="00FC34E0" w:rsidRDefault="00FC34E0" w:rsidP="00FC34E0">
      <w:pPr>
        <w:pStyle w:val="FSStepHeaders"/>
      </w:pPr>
      <w:r>
        <w:t>Step 3: Calculate the Required Infiltrating Area</w:t>
      </w:r>
    </w:p>
    <w:p w:rsidR="00FC34E0" w:rsidRDefault="00FC34E0" w:rsidP="00FC34E0">
      <w:pPr>
        <w:pStyle w:val="CheckBoxTableText"/>
      </w:pPr>
      <w:r>
        <w:t>The required infiltrating area (i.e. basin area at mid ponding depth) can be calculated using the following equation:</w:t>
      </w:r>
    </w:p>
    <w:p w:rsidR="00FC34E0" w:rsidRDefault="00FC34E0" w:rsidP="00FC34E0">
      <w:pPr>
        <w:pStyle w:val="FactsheetBullets"/>
        <w:numPr>
          <w:ilvl w:val="0"/>
          <w:numId w:val="0"/>
        </w:numPr>
        <w:ind w:firstLine="360"/>
      </w:pPr>
      <w:r w:rsidRPr="00C54C96">
        <w:rPr>
          <w:rStyle w:val="FactSheetEquationChar"/>
        </w:rPr>
        <w:t>A = DCV</w:t>
      </w:r>
      <w:r>
        <w:rPr>
          <w:rStyle w:val="FactSheetEquationChar"/>
        </w:rPr>
        <w:t xml:space="preserve"> </w:t>
      </w:r>
      <w:r w:rsidRPr="00C54C96">
        <w:rPr>
          <w:rStyle w:val="FactSheetEquationChar"/>
        </w:rPr>
        <w:t>/ (d</w:t>
      </w:r>
      <w:r>
        <w:rPr>
          <w:rStyle w:val="FactSheetEquationChar"/>
          <w:vertAlign w:val="subscript"/>
        </w:rPr>
        <w:t>P</w:t>
      </w:r>
      <w:r>
        <w:t>)</w:t>
      </w:r>
    </w:p>
    <w:p w:rsidR="00FC34E0" w:rsidRDefault="00FC34E0" w:rsidP="00FC34E0">
      <w:pPr>
        <w:pStyle w:val="CheckBoxTableText"/>
      </w:pPr>
      <w:r>
        <w:t xml:space="preserve">Where: </w:t>
      </w:r>
    </w:p>
    <w:p w:rsidR="00FC34E0" w:rsidRDefault="00FC34E0" w:rsidP="00FC34E0">
      <w:pPr>
        <w:pStyle w:val="FactsheetBullets"/>
        <w:numPr>
          <w:ilvl w:val="0"/>
          <w:numId w:val="0"/>
        </w:numPr>
        <w:ind w:firstLine="360"/>
      </w:pPr>
      <w:r>
        <w:t>A = required basin infiltrating area, sq-ft (assumed to be the basin area at mid-ponding depth)</w:t>
      </w:r>
    </w:p>
    <w:p w:rsidR="00FC34E0" w:rsidRDefault="00FC34E0" w:rsidP="00FC34E0">
      <w:pPr>
        <w:pStyle w:val="FactsheetBullets"/>
        <w:numPr>
          <w:ilvl w:val="0"/>
          <w:numId w:val="0"/>
        </w:numPr>
        <w:ind w:firstLine="360"/>
      </w:pPr>
      <w:r>
        <w:t>DCV = design capture volume, cu-ft (see Step 1)</w:t>
      </w:r>
    </w:p>
    <w:p w:rsidR="00FC34E0" w:rsidRPr="00B53524" w:rsidRDefault="00FC34E0" w:rsidP="00FC34E0">
      <w:pPr>
        <w:pStyle w:val="FactsheetBullets"/>
        <w:numPr>
          <w:ilvl w:val="0"/>
          <w:numId w:val="0"/>
        </w:numPr>
        <w:ind w:firstLine="360"/>
      </w:pPr>
      <w:r>
        <w:t>d</w:t>
      </w:r>
      <w:r>
        <w:rPr>
          <w:vertAlign w:val="subscript"/>
        </w:rPr>
        <w:t xml:space="preserve">P </w:t>
      </w:r>
      <w:r>
        <w:t>= ponding depth, ft (should be equal to or less than d</w:t>
      </w:r>
      <w:r>
        <w:rPr>
          <w:vertAlign w:val="subscript"/>
        </w:rPr>
        <w:t>48</w:t>
      </w:r>
      <w:r>
        <w:t>)</w:t>
      </w:r>
    </w:p>
    <w:p w:rsidR="00FC34E0" w:rsidRPr="00B53524" w:rsidRDefault="00FC34E0" w:rsidP="00FC34E0">
      <w:pPr>
        <w:pStyle w:val="FactsheetSubheading"/>
        <w:outlineLvl w:val="0"/>
      </w:pPr>
      <w:r>
        <w:t>Capture Efficiency Method for</w:t>
      </w:r>
      <w:r w:rsidRPr="00311A64">
        <w:t xml:space="preserve"> Infiltration Basin</w:t>
      </w:r>
      <w:r>
        <w:t>s</w:t>
      </w:r>
      <w:r w:rsidRPr="00311A64">
        <w:t xml:space="preserve"> </w:t>
      </w:r>
    </w:p>
    <w:p w:rsidR="00FC34E0" w:rsidRPr="00FA3FF5" w:rsidRDefault="00FC34E0" w:rsidP="00FC34E0">
      <w:pPr>
        <w:pStyle w:val="CheckBoxTableText"/>
      </w:pPr>
      <w:r>
        <w:t xml:space="preserve">If BMP geometry has already been defined and deviates from the 48 hour drawdown time, the designer can use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Capture Efficiency Method for Volume-Based, Constant Drawdown BMPs</w:t>
      </w:r>
      <w:r w:rsidR="00126F3D" w:rsidRPr="00126DE5">
        <w:rPr>
          <w:rFonts w:ascii="Book Antiqua" w:hAnsi="Book Antiqua"/>
          <w:b/>
          <w:color w:val="0070C0"/>
        </w:rPr>
        <w:fldChar w:fldCharType="end"/>
      </w:r>
      <w:r>
        <w:t xml:space="preserve"> (See </w:t>
      </w:r>
      <w:r w:rsidR="00524D76" w:rsidRPr="00524D76">
        <w:rPr>
          <w:b/>
        </w:rPr>
        <w:t>Appendix</w:t>
      </w:r>
      <w:r>
        <w:rPr>
          <w:b/>
          <w:color w:val="00B050"/>
        </w:rP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III.3.2</w:t>
      </w:r>
      <w:r w:rsidR="00126F3D" w:rsidRPr="00126DE5">
        <w:rPr>
          <w:rFonts w:ascii="Book Antiqua" w:hAnsi="Book Antiqua"/>
          <w:b/>
          <w:color w:val="0070C0"/>
        </w:rPr>
        <w:fldChar w:fldCharType="end"/>
      </w:r>
      <w:r>
        <w:t xml:space="preserve">) to determine the fraction of the DCV that must be provided to manage 80 percent of average annual runoff volume. This method accounts for drawdown time different than 48 hours. </w:t>
      </w:r>
    </w:p>
    <w:p w:rsidR="00FC34E0" w:rsidRDefault="00FC34E0" w:rsidP="00FC34E0">
      <w:pPr>
        <w:pStyle w:val="FSStepHeaders"/>
      </w:pPr>
      <w:r w:rsidRPr="00A211D0">
        <w:t xml:space="preserve">Step 1: </w:t>
      </w:r>
      <w:r>
        <w:t>Determine the drawdown time associated with the selected basin geometry</w:t>
      </w:r>
    </w:p>
    <w:p w:rsidR="00FC34E0" w:rsidRPr="00A211D0" w:rsidRDefault="00FC34E0" w:rsidP="00FC34E0">
      <w:pPr>
        <w:pStyle w:val="FactSheetEquation"/>
      </w:pPr>
      <w:r w:rsidRPr="00311A64">
        <w:t xml:space="preserve">DD = </w:t>
      </w:r>
      <w:r>
        <w:t>(d</w:t>
      </w:r>
      <w:r>
        <w:rPr>
          <w:vertAlign w:val="subscript"/>
        </w:rPr>
        <w:t>P</w:t>
      </w:r>
      <w:r>
        <w:t xml:space="preserve"> / K</w:t>
      </w:r>
      <w:r>
        <w:rPr>
          <w:vertAlign w:val="subscript"/>
        </w:rPr>
        <w:t>DESIGN</w:t>
      </w:r>
      <w:r>
        <w:t>) × 12</w:t>
      </w:r>
    </w:p>
    <w:p w:rsidR="00FC34E0" w:rsidRPr="00A211D0" w:rsidRDefault="00FC34E0" w:rsidP="00FC34E0">
      <w:pPr>
        <w:pStyle w:val="CheckBoxTableText"/>
      </w:pPr>
      <w:r w:rsidRPr="00311A64">
        <w:t>Where</w:t>
      </w:r>
      <w:r w:rsidRPr="00A211D0">
        <w:t>:</w:t>
      </w:r>
    </w:p>
    <w:p w:rsidR="00FC34E0" w:rsidRDefault="00FC34E0" w:rsidP="00FC34E0">
      <w:pPr>
        <w:pStyle w:val="FactSheetEquation"/>
      </w:pPr>
      <w:r w:rsidRPr="00A211D0">
        <w:t xml:space="preserve">DD = </w:t>
      </w:r>
      <w:r w:rsidRPr="00311A64">
        <w:t xml:space="preserve">time to completely drain infiltration basin </w:t>
      </w:r>
      <w:r>
        <w:t>ponding depth</w:t>
      </w:r>
      <w:r w:rsidRPr="00311A64">
        <w:t>, hours</w:t>
      </w:r>
    </w:p>
    <w:p w:rsidR="00FC34E0" w:rsidRPr="00B53524" w:rsidRDefault="00FC34E0" w:rsidP="00FC34E0">
      <w:pPr>
        <w:pStyle w:val="FactSheetEquation"/>
      </w:pPr>
      <w:r>
        <w:t>d</w:t>
      </w:r>
      <w:r>
        <w:rPr>
          <w:vertAlign w:val="subscript"/>
        </w:rPr>
        <w:t xml:space="preserve">P </w:t>
      </w:r>
      <w:r>
        <w:t xml:space="preserve">= ponding depth below overflow device, ft </w:t>
      </w:r>
    </w:p>
    <w:p w:rsidR="00FC34E0" w:rsidRDefault="00FC34E0" w:rsidP="00FC34E0">
      <w:pPr>
        <w:pStyle w:val="FactSheetEquation"/>
      </w:pPr>
      <w:r>
        <w:t>K</w:t>
      </w:r>
      <w:r>
        <w:rPr>
          <w:vertAlign w:val="subscript"/>
        </w:rPr>
        <w:t>DESIGN</w:t>
      </w:r>
      <w:r>
        <w:t xml:space="preserve"> = basin design infiltration rate, in/hr (See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_Ref287704666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VII</w:t>
      </w:r>
      <w:r w:rsidR="00126F3D" w:rsidRPr="00126DE5">
        <w:rPr>
          <w:rFonts w:ascii="Book Antiqua" w:hAnsi="Book Antiqua"/>
          <w:b/>
          <w:color w:val="0070C0"/>
        </w:rPr>
        <w:fldChar w:fldCharType="end"/>
      </w:r>
      <w:r>
        <w:t xml:space="preserve">) </w:t>
      </w:r>
    </w:p>
    <w:p w:rsidR="00FC34E0" w:rsidRDefault="00FC34E0" w:rsidP="00FC34E0">
      <w:pPr>
        <w:pStyle w:val="FSStepHeaders"/>
      </w:pPr>
      <w:r w:rsidRPr="00C458BF">
        <w:t xml:space="preserve">Step 2: Determine the </w:t>
      </w:r>
      <w:r>
        <w:t>Required Adjusted DCV for this Drawdown Time</w:t>
      </w:r>
    </w:p>
    <w:p w:rsidR="00FC34E0" w:rsidRDefault="00FC34E0" w:rsidP="00FC34E0">
      <w:pPr>
        <w:pStyle w:val="CheckBoxTableText"/>
      </w:pPr>
      <w:r>
        <w:t xml:space="preserve">Use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Capture Efficiency Method for Volume-Based, Constant Drawdown BMPs</w:t>
      </w:r>
      <w:r w:rsidR="00126F3D" w:rsidRPr="00126DE5">
        <w:rPr>
          <w:rFonts w:ascii="Book Antiqua" w:hAnsi="Book Antiqua"/>
          <w:b/>
          <w:color w:val="0070C0"/>
        </w:rPr>
        <w:fldChar w:fldCharType="end"/>
      </w:r>
      <w:r>
        <w:t xml:space="preserve"> (</w:t>
      </w:r>
      <w:r w:rsidR="00524D76" w:rsidRPr="00524D76">
        <w:rPr>
          <w:b/>
        </w:rPr>
        <w:t>Appendix</w:t>
      </w:r>
      <w:r>
        <w:rPr>
          <w:b/>
          <w:color w:val="00B050"/>
        </w:rP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III.3.2</w:t>
      </w:r>
      <w:r w:rsidR="00126F3D" w:rsidRPr="00126DE5">
        <w:rPr>
          <w:rFonts w:ascii="Book Antiqua" w:hAnsi="Book Antiqua"/>
          <w:b/>
          <w:color w:val="0070C0"/>
        </w:rPr>
        <w:fldChar w:fldCharType="end"/>
      </w:r>
      <w:r>
        <w:t>) to calculate the fraction of the DCV the basin must hold to achieve 80 percent capture of average annual stormwater runoff volume based on the basin drawdown time calculated above.</w:t>
      </w:r>
    </w:p>
    <w:p w:rsidR="00FC34E0" w:rsidRPr="00A211D0" w:rsidRDefault="00FC34E0" w:rsidP="00FC34E0">
      <w:pPr>
        <w:pStyle w:val="FSStepHeaders"/>
      </w:pPr>
      <w:r w:rsidRPr="00C458BF">
        <w:t>Step 3: Determine the Basin Infiltrating Area Needed</w:t>
      </w:r>
    </w:p>
    <w:p w:rsidR="00FC34E0" w:rsidRDefault="00FC34E0" w:rsidP="00FC34E0">
      <w:pPr>
        <w:pStyle w:val="CheckBoxTableText"/>
      </w:pPr>
      <w:r>
        <w:t>The required infiltrating area (i.e. basin bottom) can be calculated using the following equation:</w:t>
      </w:r>
    </w:p>
    <w:p w:rsidR="00FC34E0" w:rsidRDefault="00FC34E0" w:rsidP="00FC34E0">
      <w:pPr>
        <w:pStyle w:val="FactsheetBullets"/>
        <w:numPr>
          <w:ilvl w:val="0"/>
          <w:numId w:val="0"/>
        </w:numPr>
        <w:ind w:firstLine="360"/>
      </w:pPr>
      <w:r w:rsidRPr="00C54C96">
        <w:rPr>
          <w:rStyle w:val="FactSheetEquationChar"/>
        </w:rPr>
        <w:t>A = DCV/ ((d</w:t>
      </w:r>
      <w:r>
        <w:rPr>
          <w:rStyle w:val="FactSheetEquationChar"/>
          <w:vertAlign w:val="subscript"/>
        </w:rPr>
        <w:t>P</w:t>
      </w:r>
      <w:r>
        <w:t>)</w:t>
      </w:r>
    </w:p>
    <w:p w:rsidR="00FC34E0" w:rsidRDefault="00FC34E0" w:rsidP="00FC34E0">
      <w:pPr>
        <w:pStyle w:val="CheckBoxTableText"/>
      </w:pPr>
      <w:r>
        <w:t xml:space="preserve">Where: </w:t>
      </w:r>
    </w:p>
    <w:p w:rsidR="00FC34E0" w:rsidRDefault="00FC34E0" w:rsidP="00FC34E0">
      <w:pPr>
        <w:pStyle w:val="FactsheetBullets"/>
        <w:numPr>
          <w:ilvl w:val="0"/>
          <w:numId w:val="0"/>
        </w:numPr>
        <w:ind w:firstLine="360"/>
      </w:pPr>
      <w:r>
        <w:t>A = required basin infiltrating area, sq-ft (assumed to be the basin area at mid-ponding depth)</w:t>
      </w:r>
    </w:p>
    <w:p w:rsidR="00FC34E0" w:rsidRDefault="00FC34E0" w:rsidP="00FC34E0">
      <w:pPr>
        <w:pStyle w:val="FactsheetBullets"/>
        <w:numPr>
          <w:ilvl w:val="0"/>
          <w:numId w:val="0"/>
        </w:numPr>
        <w:ind w:firstLine="360"/>
      </w:pPr>
      <w:r>
        <w:t>DCV = design capture volume, adjusted for drawdown time, cu-ft (see Step 1)</w:t>
      </w:r>
    </w:p>
    <w:p w:rsidR="00FC34E0" w:rsidRPr="00B53524" w:rsidRDefault="00FC34E0" w:rsidP="00FC34E0">
      <w:pPr>
        <w:pStyle w:val="FactsheetBullets"/>
        <w:numPr>
          <w:ilvl w:val="0"/>
          <w:numId w:val="0"/>
        </w:numPr>
        <w:ind w:firstLine="360"/>
      </w:pPr>
      <w:r>
        <w:t>d</w:t>
      </w:r>
      <w:r>
        <w:rPr>
          <w:vertAlign w:val="subscript"/>
        </w:rPr>
        <w:t xml:space="preserve">P </w:t>
      </w:r>
      <w:r>
        <w:t xml:space="preserve">= ponding depth, ft </w:t>
      </w:r>
    </w:p>
    <w:p w:rsidR="00FC34E0" w:rsidRDefault="00FC34E0" w:rsidP="00FC34E0">
      <w:pPr>
        <w:pStyle w:val="CheckBoxTableText"/>
        <w:rPr>
          <w:i/>
        </w:rPr>
      </w:pPr>
      <w:r>
        <w:t xml:space="preserve">If the area required is greater than the selected basin area, adjust surface area or adjust ponding depth and recalculate required area until the required area is achieved. </w:t>
      </w:r>
    </w:p>
    <w:p w:rsidR="00FC34E0" w:rsidRPr="00B53524" w:rsidRDefault="00FC34E0" w:rsidP="00FC34E0">
      <w:pPr>
        <w:pStyle w:val="FactsheetBullets"/>
        <w:numPr>
          <w:ilvl w:val="0"/>
          <w:numId w:val="0"/>
        </w:numPr>
        <w:ind w:firstLine="360"/>
      </w:pPr>
      <w:r>
        <w:t xml:space="preserve"> </w:t>
      </w:r>
    </w:p>
    <w:p w:rsidR="00FC34E0" w:rsidRPr="00B53524" w:rsidRDefault="00FC34E0" w:rsidP="00FC34E0">
      <w:pPr>
        <w:pStyle w:val="FactsheetSubheading"/>
        <w:outlineLvl w:val="0"/>
      </w:pPr>
      <w:r w:rsidRPr="00311A64">
        <w:t>Configuration for Use in a Treatment Train</w:t>
      </w:r>
    </w:p>
    <w:p w:rsidR="00FC34E0" w:rsidRPr="00B53524" w:rsidRDefault="00FC34E0" w:rsidP="00FC34E0">
      <w:pPr>
        <w:pStyle w:val="FactsheetBullets"/>
        <w:numPr>
          <w:ilvl w:val="0"/>
          <w:numId w:val="1"/>
        </w:numPr>
      </w:pPr>
      <w:r w:rsidRPr="00311A64">
        <w:t xml:space="preserve">Infiltration basins may be preceeded in a treatment train by </w:t>
      </w:r>
      <w:r w:rsidR="003C7091">
        <w:t>HSC</w:t>
      </w:r>
      <w:r w:rsidRPr="00311A64">
        <w:t xml:space="preserve">s in the drainage area, which would reduce the required design volume of the basins.  </w:t>
      </w:r>
    </w:p>
    <w:p w:rsidR="00FC34E0" w:rsidRPr="00B53524" w:rsidRDefault="00FC34E0" w:rsidP="00FC34E0">
      <w:pPr>
        <w:pStyle w:val="FactsheetBullets"/>
        <w:numPr>
          <w:ilvl w:val="0"/>
          <w:numId w:val="1"/>
        </w:numPr>
      </w:pPr>
      <w:r w:rsidRPr="00311A64">
        <w:t>Infiltration basins must b</w:t>
      </w:r>
      <w:r>
        <w:t>e preceeded by some form of pre</w:t>
      </w:r>
      <w:r w:rsidRPr="00311A64">
        <w:t>treatment, which may be biotreatment or a treatment control BMP; if an approved biotreatment BMP is used as pretreatment, the overflow from the infiltration basin may be considered “biotreated” for the purposes of meeting the LID requirements.</w:t>
      </w:r>
    </w:p>
    <w:p w:rsidR="00FC34E0" w:rsidRPr="00B53524" w:rsidRDefault="00FC34E0" w:rsidP="00FC34E0">
      <w:pPr>
        <w:pStyle w:val="FactsheetBullets"/>
        <w:numPr>
          <w:ilvl w:val="0"/>
          <w:numId w:val="1"/>
        </w:numPr>
      </w:pPr>
      <w:r w:rsidRPr="00311A64">
        <w:t>The overflow or bypass from an infiltration basin can be routed to a downstream biotreatment BMP and/or a treatment control BMP if additional control is required to achieve LID or treatment control requirements.</w:t>
      </w:r>
    </w:p>
    <w:p w:rsidR="00FC34E0" w:rsidRPr="00B53524" w:rsidRDefault="00FC34E0" w:rsidP="00FC34E0">
      <w:pPr>
        <w:pStyle w:val="FactsheetSubheading"/>
        <w:outlineLvl w:val="0"/>
      </w:pPr>
      <w:r w:rsidRPr="00311A64">
        <w:t>Additional References for Design Guidance</w:t>
      </w:r>
    </w:p>
    <w:p w:rsidR="00FC34E0" w:rsidRPr="00070502" w:rsidRDefault="00FC34E0" w:rsidP="00FC34E0">
      <w:pPr>
        <w:pStyle w:val="FactsheetBullets"/>
        <w:numPr>
          <w:ilvl w:val="0"/>
          <w:numId w:val="1"/>
        </w:numPr>
      </w:pPr>
      <w:r w:rsidRPr="00311A64">
        <w:t xml:space="preserve">CASQA BMP Handbook for New and Redevelopment: </w:t>
      </w:r>
      <w:hyperlink r:id="rId136" w:history="1">
        <w:r w:rsidRPr="00126DE5">
          <w:rPr>
            <w:rStyle w:val="Hyperlink"/>
            <w:rFonts w:ascii="Book Antiqua" w:hAnsi="Book Antiqua"/>
            <w:b/>
            <w:color w:val="0070C0"/>
          </w:rPr>
          <w:t>http://www.cabmphandbooks.com/Documents/Development/TC-11.pdf</w:t>
        </w:r>
      </w:hyperlink>
    </w:p>
    <w:p w:rsidR="00FC34E0" w:rsidRPr="00B53524" w:rsidRDefault="00FC34E0" w:rsidP="00FC34E0">
      <w:pPr>
        <w:pStyle w:val="FactsheetBullets"/>
        <w:numPr>
          <w:ilvl w:val="0"/>
          <w:numId w:val="1"/>
        </w:numPr>
      </w:pPr>
      <w:r>
        <w:t>SMC LID Manual (pp 139</w:t>
      </w:r>
      <w:r w:rsidRPr="00311A64">
        <w:t xml:space="preserve">): </w:t>
      </w:r>
      <w:hyperlink r:id="rId137" w:history="1">
        <w:r w:rsidRPr="00126DE5">
          <w:rPr>
            <w:rStyle w:val="Hyperlink"/>
            <w:rFonts w:ascii="Book Antiqua" w:hAnsi="Book Antiqua"/>
            <w:b/>
            <w:color w:val="0070C0"/>
          </w:rPr>
          <w:t>http://www.lowimpactdevelopment.org/guest75/pub/All_Projects/SoCal_LID_Manual/SoCalLID_Manual_FINAL_040910.pdf</w:t>
        </w:r>
      </w:hyperlink>
    </w:p>
    <w:p w:rsidR="00FC34E0" w:rsidRPr="00B53524" w:rsidRDefault="00FC34E0" w:rsidP="00FC34E0">
      <w:pPr>
        <w:pStyle w:val="FactsheetBullets"/>
        <w:numPr>
          <w:ilvl w:val="0"/>
          <w:numId w:val="1"/>
        </w:numPr>
      </w:pPr>
      <w:r w:rsidRPr="00311A64">
        <w:t xml:space="preserve">Los Angeles County Stormwater BMP </w:t>
      </w:r>
      <w:r>
        <w:t>Design and Maintenance Manual</w:t>
      </w:r>
      <w:r w:rsidRPr="00311A64">
        <w:t xml:space="preserve">, Chapter 6: </w:t>
      </w:r>
      <w:hyperlink r:id="rId138" w:history="1">
        <w:r w:rsidRPr="00126DE5">
          <w:rPr>
            <w:rStyle w:val="Hyperlink"/>
            <w:rFonts w:ascii="Book Antiqua" w:hAnsi="Book Antiqua"/>
            <w:b/>
            <w:color w:val="0070C0"/>
          </w:rPr>
          <w:t>http://dpw.lacounty.gov/DES/design_manuals/StormwaterBMPDesignandMaintenance.pdf</w:t>
        </w:r>
      </w:hyperlink>
    </w:p>
    <w:p w:rsidR="00FC34E0" w:rsidRPr="00B53524" w:rsidRDefault="00FC34E0" w:rsidP="00FC34E0">
      <w:pPr>
        <w:pStyle w:val="FactsheetBullets"/>
        <w:numPr>
          <w:ilvl w:val="0"/>
          <w:numId w:val="1"/>
        </w:numPr>
      </w:pPr>
      <w:r w:rsidRPr="00311A64">
        <w:t>City of Portland Stormwater Management Manual (Basin, p</w:t>
      </w:r>
      <w:r>
        <w:t>age</w:t>
      </w:r>
      <w:r w:rsidRPr="00311A64">
        <w:t xml:space="preserve"> 2-57) </w:t>
      </w:r>
      <w:hyperlink r:id="rId139" w:history="1">
        <w:r w:rsidRPr="00126DE5">
          <w:rPr>
            <w:rStyle w:val="Hyperlink"/>
            <w:rFonts w:ascii="Book Antiqua" w:hAnsi="Book Antiqua"/>
            <w:b/>
            <w:color w:val="0070C0"/>
          </w:rPr>
          <w:t>http://www.portlandonline.com/bes/index.cfm?c=47954&amp;a=202883</w:t>
        </w:r>
      </w:hyperlink>
    </w:p>
    <w:p w:rsidR="00FC34E0" w:rsidRPr="00B53524" w:rsidRDefault="00FC34E0" w:rsidP="00FC34E0">
      <w:pPr>
        <w:pStyle w:val="FactsheetBullets"/>
        <w:numPr>
          <w:ilvl w:val="0"/>
          <w:numId w:val="1"/>
        </w:numPr>
      </w:pPr>
      <w:r w:rsidRPr="00311A64">
        <w:t xml:space="preserve">San Diego County LID Handbook Appendix 4 (Factsheet 2):  </w:t>
      </w:r>
      <w:hyperlink r:id="rId140" w:history="1">
        <w:r w:rsidRPr="00126DE5">
          <w:rPr>
            <w:rStyle w:val="Hyperlink"/>
            <w:rFonts w:ascii="Book Antiqua" w:hAnsi="Book Antiqua"/>
            <w:b/>
            <w:color w:val="0070C0"/>
          </w:rPr>
          <w:t>http://www.sdcounty.ca.gov/dplu/docs/LID-Appendices.pdf</w:t>
        </w:r>
      </w:hyperlink>
      <w:r w:rsidRPr="00311A64">
        <w:br w:type="page"/>
      </w:r>
    </w:p>
    <w:p w:rsidR="00FC34E0" w:rsidRPr="00B53524" w:rsidRDefault="00126F3D" w:rsidP="00533A19">
      <w:pPr>
        <w:pStyle w:val="Heading3"/>
        <w:numPr>
          <w:ilvl w:val="0"/>
          <w:numId w:val="0"/>
        </w:numPr>
        <w:ind w:left="907" w:hanging="907"/>
      </w:pPr>
      <w:bookmarkStart w:id="825" w:name="_Ref287794985"/>
      <w:r>
        <w:rPr>
          <w:noProof/>
        </w:rPr>
        <w:pict>
          <v:shape id="Text Box 23" o:spid="_x0000_s1157" type="#_x0000_t202" style="position:absolute;left:0;text-align:left;margin-left:-158.4pt;margin-top:-1.7pt;width:158.4pt;height:110.9pt;z-index:251761664;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" fillcolor="#d8d8d8 [2732]">
            <v:textbox style="mso-next-textbox:#Text Box 23">
              <w:txbxContent>
                <w:p w:rsidR="00853C9A" w:rsidRPr="00E7718F" w:rsidRDefault="00853C9A" w:rsidP="00FC34E0">
                  <w:pPr>
                    <w:pStyle w:val="CDMBTEXT"/>
                    <w:shd w:val="clear" w:color="auto" w:fill="000000" w:themeFill="text1"/>
                    <w:spacing w:after="60" w:line="240" w:lineRule="auto"/>
                    <w:jc w:val="center"/>
                    <w:rPr>
                      <w:i/>
                    </w:rPr>
                  </w:pPr>
                  <w:r>
                    <w:rPr>
                      <w:i/>
                    </w:rPr>
                    <w:t>Also</w:t>
                  </w:r>
                  <w:r w:rsidRPr="00E7718F">
                    <w:rPr>
                      <w:i/>
                    </w:rPr>
                    <w:t xml:space="preserve"> known as:</w:t>
                  </w:r>
                </w:p>
                <w:p w:rsidR="00853C9A" w:rsidRDefault="00853C9A" w:rsidP="009531AF">
                  <w:pPr>
                    <w:pStyle w:val="CDMBTEXT"/>
                    <w:numPr>
                      <w:ilvl w:val="0"/>
                      <w:numId w:val="67"/>
                    </w:numPr>
                    <w:spacing w:after="60" w:line="240" w:lineRule="auto"/>
                    <w:ind w:left="540"/>
                    <w:rPr>
                      <w:i/>
                    </w:rPr>
                  </w:pPr>
                  <w:r>
                    <w:rPr>
                      <w:i/>
                    </w:rPr>
                    <w:t>French Drains</w:t>
                  </w:r>
                </w:p>
                <w:p w:rsidR="00853C9A" w:rsidRDefault="00853C9A" w:rsidP="009531AF">
                  <w:pPr>
                    <w:pStyle w:val="CDMBTEXT"/>
                    <w:numPr>
                      <w:ilvl w:val="0"/>
                      <w:numId w:val="67"/>
                    </w:numPr>
                    <w:spacing w:after="60" w:line="240" w:lineRule="auto"/>
                    <w:ind w:left="540"/>
                    <w:rPr>
                      <w:i/>
                    </w:rPr>
                  </w:pPr>
                  <w:r>
                    <w:rPr>
                      <w:i/>
                    </w:rPr>
                    <w:t>Rock Trenches</w:t>
                  </w:r>
                </w:p>
                <w:p w:rsidR="00853C9A" w:rsidRDefault="00853C9A" w:rsidP="009531AF">
                  <w:pPr>
                    <w:pStyle w:val="CDMBTEXT"/>
                    <w:numPr>
                      <w:ilvl w:val="0"/>
                      <w:numId w:val="67"/>
                    </w:numPr>
                    <w:spacing w:after="60" w:line="240" w:lineRule="auto"/>
                    <w:ind w:left="540"/>
                    <w:rPr>
                      <w:i/>
                    </w:rPr>
                  </w:pPr>
                  <w:r>
                    <w:rPr>
                      <w:i/>
                    </w:rPr>
                    <w:t>Exfiltration Trenches</w:t>
                  </w:r>
                </w:p>
                <w:p w:rsidR="00853C9A" w:rsidRDefault="00853C9A" w:rsidP="009531AF">
                  <w:pPr>
                    <w:pStyle w:val="CDMBTEXT"/>
                    <w:numPr>
                      <w:ilvl w:val="0"/>
                      <w:numId w:val="67"/>
                    </w:numPr>
                    <w:spacing w:after="60" w:line="240" w:lineRule="auto"/>
                    <w:ind w:left="540"/>
                    <w:rPr>
                      <w:i/>
                    </w:rPr>
                  </w:pPr>
                  <w:r>
                    <w:rPr>
                      <w:i/>
                    </w:rPr>
                    <w:t>Soak-aways</w:t>
                  </w:r>
                </w:p>
                <w:p w:rsidR="00853C9A" w:rsidRPr="00384989" w:rsidRDefault="00853C9A" w:rsidP="009531AF">
                  <w:pPr>
                    <w:pStyle w:val="CDMBTEXT"/>
                    <w:numPr>
                      <w:ilvl w:val="0"/>
                      <w:numId w:val="67"/>
                    </w:numPr>
                    <w:spacing w:after="60" w:line="240" w:lineRule="auto"/>
                    <w:ind w:left="540"/>
                    <w:rPr>
                      <w:i/>
                    </w:rPr>
                  </w:pPr>
                  <w:r>
                    <w:rPr>
                      <w:i/>
                    </w:rPr>
                    <w:t>Soakage Trenches</w:t>
                  </w:r>
                </w:p>
              </w:txbxContent>
            </v:textbox>
            <w10:wrap type="square" anchorx="margin" anchory="margin"/>
          </v:shape>
        </w:pict>
      </w:r>
      <w:bookmarkStart w:id="826" w:name="_Toc285589329"/>
      <w:r w:rsidR="00FC34E0">
        <w:t xml:space="preserve">INF-2: </w:t>
      </w:r>
      <w:r w:rsidR="00FC34E0" w:rsidRPr="00311A64">
        <w:t>Infiltration Trench Fact Sheet</w:t>
      </w:r>
      <w:bookmarkEnd w:id="825"/>
      <w:bookmarkEnd w:id="826"/>
    </w:p>
    <w:p w:rsidR="00FC34E0" w:rsidRPr="00B53524" w:rsidRDefault="00126F3D" w:rsidP="00FC34E0">
      <w:pPr>
        <w:pStyle w:val="CDMBTEXT"/>
        <w:rPr>
          <w:noProof/>
        </w:rPr>
      </w:pPr>
      <w:r>
        <w:rPr>
          <w:noProof/>
        </w:rPr>
        <w:pict>
          <v:shape id="Text Box 24" o:spid="_x0000_s1158" type="#_x0000_t202" style="position:absolute;margin-left:-158.25pt;margin-top:109.5pt;width:158.4pt;height:155.25pt;z-index:251762688;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" filled="f">
            <v:textbox style="mso-next-textbox:#Text Box 24" inset="0,0,0,0">
              <w:txbxContent>
                <w:p w:rsidR="00853C9A" w:rsidRDefault="00853C9A" w:rsidP="00FC34E0">
                  <w:pPr>
                    <w:ind w:left="-29" w:right="-29"/>
                    <w:rPr>
                      <w:rFonts w:ascii="Arial" w:hAnsi="Arial" w:cs="Arial"/>
                      <w:sz w:val="20"/>
                    </w:rPr>
                  </w:pPr>
                  <w:r w:rsidRPr="00676452">
                    <w:rPr>
                      <w:rFonts w:ascii="Arial" w:hAnsi="Arial" w:cs="Arial"/>
                      <w:noProof/>
                      <w:sz w:val="20"/>
                    </w:rPr>
                    <w:drawing>
                      <wp:inline distT="0" distB="0" distL="0" distR="0">
                        <wp:extent cx="2036326" cy="1391055"/>
                        <wp:effectExtent l="19050" t="0" r="2024" b="0"/>
                        <wp:docPr id="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screen"/>
                                <a:srcRect l="1166" t="1684" r="1166" b="1684"/>
                                <a:stretch>
                                  <a:fillRect/>
                                </a:stretch>
                              </pic:blipFill>
                              <pic:spPr bwMode="auto">
                                <a:xfrm>
                                  <a:off x="0" y="0"/>
                                  <a:ext cx="2036951" cy="1391482"/>
                                </a:xfrm>
                                <a:prstGeom prst="rect">
                                  <a:avLst/>
                                </a:prstGeom>
                                <a:noFill/>
                                <a:ln w="3175">
                                  <a:noFill/>
                                  <a:miter lim="800000"/>
                                  <a:headEnd/>
                                  <a:tailEnd/>
                                </a:ln>
                              </pic:spPr>
                            </pic:pic>
                          </a:graphicData>
                        </a:graphic>
                      </wp:inline>
                    </w:drawing>
                  </w:r>
                </w:p>
                <w:p w:rsidR="00853C9A" w:rsidRDefault="00853C9A" w:rsidP="00FC34E0">
                  <w:pPr>
                    <w:spacing w:after="120"/>
                    <w:ind w:left="187"/>
                    <w:rPr>
                      <w:rFonts w:ascii="Arial" w:hAnsi="Arial" w:cs="Arial"/>
                      <w:sz w:val="20"/>
                    </w:rPr>
                  </w:pPr>
                  <w:r>
                    <w:rPr>
                      <w:rFonts w:ascii="Arial" w:hAnsi="Arial" w:cs="Arial"/>
                      <w:sz w:val="20"/>
                    </w:rPr>
                    <w:t>Infiltration Trench</w:t>
                  </w:r>
                </w:p>
                <w:p w:rsidR="00853C9A" w:rsidRPr="00336A84" w:rsidRDefault="00853C9A" w:rsidP="00FC34E0">
                  <w:pPr>
                    <w:ind w:left="180"/>
                    <w:rPr>
                      <w:rFonts w:ascii="Arial" w:hAnsi="Arial" w:cs="Arial"/>
                      <w:i/>
                      <w:sz w:val="20"/>
                    </w:rPr>
                  </w:pPr>
                  <w:r w:rsidRPr="00336A84">
                    <w:rPr>
                      <w:rFonts w:ascii="Arial" w:hAnsi="Arial" w:cs="Arial"/>
                      <w:i/>
                      <w:sz w:val="18"/>
                    </w:rPr>
                    <w:t>Source: www.dot.ca.gov</w:t>
                  </w:r>
                </w:p>
              </w:txbxContent>
            </v:textbox>
            <w10:wrap type="square" anchorx="margin" anchory="margin"/>
          </v:shape>
        </w:pict>
      </w:r>
      <w:r w:rsidR="00FC34E0" w:rsidRPr="00311A64">
        <w:rPr>
          <w:noProof/>
        </w:rPr>
        <w:t xml:space="preserve">An infiltration trench is a long, narrow, rock-filled trench with no outlet other than an overflow outlet.  Runoff is stored in the void space between stones and infiltrates through the bottom and sides of the trench. Infiltration trenches provide the majority of their pollutant removal benefits through volume reduction. Pretreatment is important for limiting amounts of coarse sediment entering the trench which can clog and render the trench ineffective. </w:t>
      </w:r>
      <w:r w:rsidR="00FC34E0" w:rsidRPr="00311A64">
        <w:rPr>
          <w:rFonts w:eastAsia="Calibri"/>
        </w:rPr>
        <w:t xml:space="preserve"> </w:t>
      </w:r>
      <w:r w:rsidR="00FC34E0" w:rsidRPr="00311A64">
        <w:rPr>
          <w:rFonts w:eastAsia="Calibri"/>
          <w:i/>
        </w:rPr>
        <w:t xml:space="preserve">Note: if an infiltration trench is “deeper than its widest surface dimension,” or includes an assemblage of perforated pipes, drain tiles, or other similar mechanisms intended to distribute runoff below the surface of the ground, it would probably be considered a "Class V Injection Well" under the federal Underground Injection Control (UIC) Program, which is regulated in California by U.S. EPA Region 9.  A UIC permit may be required for such a facility (for details see </w:t>
      </w:r>
      <w:hyperlink r:id="rId142" w:history="1">
        <w:r w:rsidR="00FC34E0" w:rsidRPr="00126DE5">
          <w:rPr>
            <w:rStyle w:val="Hyperlink"/>
            <w:rFonts w:eastAsia="Calibri"/>
            <w:b/>
            <w:color w:val="0070C0"/>
            <w:sz w:val="20"/>
          </w:rPr>
          <w:t>http://www.epa.gov/region9/water/groundwater/uic-classv.html</w:t>
        </w:r>
      </w:hyperlink>
      <w:r w:rsidR="00FC34E0" w:rsidRPr="00311A64">
        <w:rPr>
          <w:rFonts w:eastAsia="Calibri"/>
          <w:i/>
        </w:rPr>
        <w:t>).</w:t>
      </w:r>
    </w:p>
    <w:p w:rsidR="00FC34E0" w:rsidRPr="00B53524" w:rsidRDefault="00FC34E0" w:rsidP="00FC34E0">
      <w:pPr>
        <w:pStyle w:val="FactsheetSubheading"/>
        <w:outlineLvl w:val="0"/>
      </w:pPr>
      <w:r>
        <w:t>Feasibility</w:t>
      </w:r>
      <w:r w:rsidRPr="00311A64">
        <w:t xml:space="preserve"> </w:t>
      </w:r>
      <w:r>
        <w:t>Screening</w:t>
      </w:r>
      <w:r w:rsidRPr="00311A64">
        <w:t xml:space="preserve"> Considerations</w:t>
      </w:r>
    </w:p>
    <w:p w:rsidR="00FC34E0" w:rsidRPr="00B53524" w:rsidRDefault="00FC34E0" w:rsidP="00FC34E0">
      <w:pPr>
        <w:pStyle w:val="FactsheetBullets"/>
        <w:numPr>
          <w:ilvl w:val="0"/>
          <w:numId w:val="1"/>
        </w:numPr>
      </w:pPr>
      <w:r w:rsidRPr="00311A64">
        <w:t xml:space="preserve">Infiltration trenches shall </w:t>
      </w:r>
      <w:r>
        <w:t>pass</w:t>
      </w:r>
      <w:r w:rsidRPr="00311A64">
        <w:t xml:space="preserve"> </w:t>
      </w:r>
      <w:r>
        <w:t>infeasibility</w:t>
      </w:r>
      <w:r w:rsidRPr="00311A64">
        <w:t xml:space="preserve"> </w:t>
      </w:r>
      <w:r>
        <w:t>s</w:t>
      </w:r>
      <w:r w:rsidRPr="00311A64">
        <w:t>creening</w:t>
      </w:r>
      <w:r>
        <w:t xml:space="preserve"> criteria to be considered for use</w:t>
      </w:r>
    </w:p>
    <w:p w:rsidR="00FC34E0" w:rsidRPr="00B53524" w:rsidRDefault="00FC34E0" w:rsidP="00FC34E0">
      <w:pPr>
        <w:pStyle w:val="FactsheetBullets"/>
        <w:numPr>
          <w:ilvl w:val="0"/>
          <w:numId w:val="1"/>
        </w:numPr>
      </w:pPr>
      <w:r>
        <w:t>Infiltration trenches, particularly deeper designs, m</w:t>
      </w:r>
      <w:r w:rsidRPr="00311A64">
        <w:t>ay not provide significant attenuation of stormwater pollutants if underlying soils have high permeability; potential risk of groundwater contamination.</w:t>
      </w:r>
    </w:p>
    <w:p w:rsidR="00FC34E0" w:rsidRPr="00B53524" w:rsidRDefault="00FC34E0" w:rsidP="00FC34E0">
      <w:pPr>
        <w:pStyle w:val="FactsheetBullets"/>
        <w:numPr>
          <w:ilvl w:val="0"/>
          <w:numId w:val="1"/>
        </w:numPr>
      </w:pPr>
      <w:r>
        <w:t>The potential for groundwater mounding should be evaluated if depth to seasonally high groundwater (unmounded) is less than 15 feet.</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t>Soils are adequate for infiltration or can be amended to provide an adequate infiltration rate</w:t>
      </w:r>
      <w:r w:rsidRPr="00311A64">
        <w:t xml:space="preserve">.  </w:t>
      </w:r>
    </w:p>
    <w:p w:rsidR="00FC34E0" w:rsidRPr="00B53524" w:rsidRDefault="00FC34E0" w:rsidP="00FC34E0">
      <w:pPr>
        <w:pStyle w:val="FactsheetBullets"/>
        <w:numPr>
          <w:ilvl w:val="0"/>
          <w:numId w:val="1"/>
        </w:numPr>
      </w:pPr>
      <w:r w:rsidRPr="00311A64">
        <w:t>Drainage area area is ≤ 5 acres and has low to moderate sediment production.</w:t>
      </w:r>
    </w:p>
    <w:p w:rsidR="00FC34E0" w:rsidRPr="00B53524" w:rsidRDefault="00FC34E0" w:rsidP="00FC34E0">
      <w:pPr>
        <w:pStyle w:val="FactsheetBullets"/>
        <w:numPr>
          <w:ilvl w:val="0"/>
          <w:numId w:val="1"/>
        </w:numPr>
      </w:pPr>
      <w:r w:rsidRPr="00311A64">
        <w:t>2-3 percent of drainage area available for infiltration (generally requires less surface area than infiltration basins and bioretention areas without underdrain).</w:t>
      </w:r>
    </w:p>
    <w:p w:rsidR="00FC34E0" w:rsidRPr="00B53524" w:rsidRDefault="00FC34E0" w:rsidP="00FC34E0">
      <w:pPr>
        <w:pStyle w:val="FactsheetBullets"/>
        <w:numPr>
          <w:ilvl w:val="0"/>
          <w:numId w:val="1"/>
        </w:numPr>
      </w:pPr>
      <w:r w:rsidRPr="00311A64">
        <w:t>Space available for pretreatment (biotreatment or treatment control BMP as described below).</w:t>
      </w:r>
    </w:p>
    <w:p w:rsidR="00FC34E0" w:rsidRPr="00B53524" w:rsidRDefault="00FC34E0" w:rsidP="00FC34E0">
      <w:pPr>
        <w:pStyle w:val="FactsheetBullets"/>
        <w:numPr>
          <w:ilvl w:val="0"/>
          <w:numId w:val="1"/>
        </w:numPr>
      </w:pPr>
      <w:r w:rsidRPr="00311A64">
        <w:t>Potential for groundwater contamination can be mitigated through isolation of pollutant sources, pretreatment of inflow, and/or demonstration of adequate treatment capacity of underlying soils.</w:t>
      </w:r>
    </w:p>
    <w:p w:rsidR="00FC34E0" w:rsidRDefault="00FC34E0" w:rsidP="00FC34E0">
      <w:pPr>
        <w:pStyle w:val="FactsheetBullets"/>
        <w:numPr>
          <w:ilvl w:val="0"/>
          <w:numId w:val="1"/>
        </w:numPr>
      </w:pPr>
      <w:r w:rsidRPr="00311A64">
        <w:t xml:space="preserve">Infiltration is into native soil, or depth of engineered fill is ≤ 5 feet from the bottom of the facility to native material and infiltration into shallow fill is approved by a geotechnical professional. </w:t>
      </w:r>
    </w:p>
    <w:p w:rsidR="00FC34E0" w:rsidRPr="00B53524" w:rsidRDefault="00FC34E0" w:rsidP="00FC34E0">
      <w:pPr>
        <w:pStyle w:val="FactsheetBullets"/>
        <w:numPr>
          <w:ilvl w:val="0"/>
          <w:numId w:val="1"/>
        </w:numPr>
      </w:pPr>
      <w:r>
        <w:t xml:space="preserve">Tributary area land uses include open areas adjacent to parking lots, driveways, and buildings, and roadway medians and shoulders. </w:t>
      </w:r>
    </w:p>
    <w:p w:rsidR="00FC34E0" w:rsidRPr="00B53524" w:rsidRDefault="00FC34E0" w:rsidP="00FC34E0">
      <w:pPr>
        <w:pStyle w:val="FactsheetSubheading"/>
        <w:outlineLvl w:val="0"/>
      </w:pPr>
      <w:r w:rsidRPr="00311A64">
        <w:t>OC-Specific Design Criteria and Considerations</w:t>
      </w:r>
    </w:p>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0"/>
        <w:gridCol w:w="8730"/>
      </w:tblGrid>
      <w:tr w:rsidR="00FC34E0" w:rsidRPr="00B53524" w:rsidTr="00FC34E0">
        <w:trPr>
          <w:trHeight w:val="147"/>
        </w:trPr>
        <w:tc>
          <w:tcPr>
            <w:tcW w:w="720" w:type="dxa"/>
            <w:vAlign w:val="center"/>
          </w:tcPr>
          <w:p w:rsidR="00FC34E0" w:rsidRPr="00B53524" w:rsidRDefault="00FC34E0" w:rsidP="00FC34E0">
            <w:pPr>
              <w:pStyle w:val="CheckBoxList"/>
              <w:spacing w:after="60"/>
              <w:ind w:left="806" w:hanging="806"/>
            </w:pPr>
          </w:p>
        </w:tc>
        <w:tc>
          <w:tcPr>
            <w:tcW w:w="8730" w:type="dxa"/>
            <w:vAlign w:val="center"/>
          </w:tcPr>
          <w:p w:rsidR="00FC34E0" w:rsidRPr="00B53524" w:rsidRDefault="00FC34E0" w:rsidP="00FC34E0">
            <w:pPr>
              <w:pStyle w:val="CheckBoxTableText"/>
            </w:pPr>
            <w:r w:rsidRPr="00311A64">
              <w:t>Must comply with local, state, and federal UIC regulations if applicable; a permit may be required.</w:t>
            </w:r>
          </w:p>
        </w:tc>
      </w:tr>
      <w:tr w:rsidR="00FC34E0" w:rsidRPr="00B53524" w:rsidTr="00FC34E0">
        <w:trPr>
          <w:trHeight w:val="147"/>
        </w:trPr>
        <w:tc>
          <w:tcPr>
            <w:tcW w:w="720" w:type="dxa"/>
            <w:vAlign w:val="center"/>
          </w:tcPr>
          <w:p w:rsidR="00FC34E0" w:rsidRPr="00B53524" w:rsidRDefault="00FC34E0" w:rsidP="00FC34E0">
            <w:pPr>
              <w:pStyle w:val="CheckBoxList"/>
              <w:spacing w:after="60"/>
              <w:ind w:left="806" w:hanging="806"/>
            </w:pPr>
          </w:p>
        </w:tc>
        <w:tc>
          <w:tcPr>
            <w:tcW w:w="8730" w:type="dxa"/>
            <w:vAlign w:val="center"/>
          </w:tcPr>
          <w:p w:rsidR="00FC34E0" w:rsidRPr="00B53524" w:rsidRDefault="00FC34E0" w:rsidP="00FC34E0">
            <w:pPr>
              <w:pStyle w:val="CheckBoxTableText"/>
            </w:pPr>
            <w:r w:rsidRPr="00311A64">
              <w:t>Placement of BMPs should observe geotechnical recommendations with respect to geological hazards (e.g. landslides, liquefaction zones, erosion, etc.) and set-backs (e.g., foundations, utilities, roadways, etc</w:t>
            </w:r>
            <w:r>
              <w:t>.)</w:t>
            </w:r>
          </w:p>
        </w:tc>
      </w:tr>
      <w:tr w:rsidR="00FC34E0" w:rsidRPr="00B53524" w:rsidTr="00FC34E0">
        <w:trPr>
          <w:trHeight w:val="147"/>
        </w:trPr>
        <w:tc>
          <w:tcPr>
            <w:tcW w:w="720" w:type="dxa"/>
            <w:vAlign w:val="center"/>
          </w:tcPr>
          <w:p w:rsidR="00FC34E0" w:rsidRPr="00B53524" w:rsidRDefault="00FC34E0" w:rsidP="00FC34E0">
            <w:pPr>
              <w:pStyle w:val="CheckBoxList"/>
              <w:spacing w:after="60"/>
              <w:ind w:left="806" w:hanging="806"/>
            </w:pPr>
          </w:p>
        </w:tc>
        <w:tc>
          <w:tcPr>
            <w:tcW w:w="8730" w:type="dxa"/>
            <w:vAlign w:val="center"/>
          </w:tcPr>
          <w:p w:rsidR="00FC34E0" w:rsidRPr="00311A64" w:rsidRDefault="00FC34E0" w:rsidP="00FC34E0">
            <w:pPr>
              <w:pStyle w:val="CheckBoxTableText"/>
            </w:pPr>
            <w:r>
              <w:t>For facilities with tributary area less than 1 acre and less than 3 foot depth, minimum separation to mounded seasonally high groundwater of 5 feet shall be observed.</w:t>
            </w:r>
          </w:p>
        </w:tc>
      </w:tr>
      <w:tr w:rsidR="00FC34E0" w:rsidRPr="00B53524" w:rsidTr="00FC34E0">
        <w:trPr>
          <w:trHeight w:val="147"/>
        </w:trPr>
        <w:tc>
          <w:tcPr>
            <w:tcW w:w="720" w:type="dxa"/>
            <w:vAlign w:val="center"/>
          </w:tcPr>
          <w:p w:rsidR="00FC34E0" w:rsidRPr="00B53524" w:rsidRDefault="00FC34E0" w:rsidP="00FC34E0">
            <w:pPr>
              <w:pStyle w:val="CheckBoxList"/>
              <w:spacing w:after="60"/>
              <w:ind w:left="806" w:hanging="806"/>
            </w:pPr>
          </w:p>
        </w:tc>
        <w:tc>
          <w:tcPr>
            <w:tcW w:w="8730" w:type="dxa"/>
            <w:vAlign w:val="center"/>
          </w:tcPr>
          <w:p w:rsidR="00FC34E0" w:rsidRDefault="00FC34E0" w:rsidP="00FC34E0">
            <w:pPr>
              <w:pStyle w:val="CheckBoxTableText"/>
            </w:pPr>
            <w:r>
              <w:t>For facilities with tributary area greater than 1 acre or deeper than 3 feet, minimum separation to mounded seasonally high groundwater of 10 feet shall be observed.</w:t>
            </w:r>
          </w:p>
        </w:tc>
      </w:tr>
      <w:tr w:rsidR="00FC34E0" w:rsidRPr="00B53524" w:rsidTr="00FC34E0">
        <w:trPr>
          <w:trHeight w:val="144"/>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 xml:space="preserve">Minimum </w:t>
            </w:r>
            <w:r>
              <w:t>pretreatment</w:t>
            </w:r>
            <w:r w:rsidRPr="00311A64">
              <w:t xml:space="preserve"> should be provided upstream of the infiltration </w:t>
            </w:r>
            <w:r>
              <w:t>trench</w:t>
            </w:r>
            <w:r w:rsidRPr="00311A64">
              <w:t xml:space="preserve">, and water bypassing </w:t>
            </w:r>
            <w:r>
              <w:t>pretreatment</w:t>
            </w:r>
            <w:r w:rsidRPr="00311A64">
              <w:t xml:space="preserve"> should </w:t>
            </w:r>
            <w:r w:rsidRPr="00311A64">
              <w:rPr>
                <w:u w:val="single"/>
              </w:rPr>
              <w:t>not</w:t>
            </w:r>
            <w:r w:rsidRPr="00311A64">
              <w:t xml:space="preserve"> be directed to the infiltration </w:t>
            </w:r>
            <w:r>
              <w:t>trench</w:t>
            </w:r>
            <w:r w:rsidRPr="00311A64">
              <w:t>.</w:t>
            </w:r>
          </w:p>
        </w:tc>
      </w:tr>
      <w:tr w:rsidR="00FC34E0" w:rsidRPr="00B53524" w:rsidTr="00FC34E0">
        <w:trPr>
          <w:trHeight w:val="144"/>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Infiltration trenches should not be used for drainage areas with high sediment production potential unless preceded by full treatment control with a BMP effective for sediment removal.</w:t>
            </w:r>
          </w:p>
        </w:tc>
      </w:tr>
      <w:tr w:rsidR="00FC34E0" w:rsidRPr="00B53524" w:rsidTr="00FC34E0">
        <w:trPr>
          <w:trHeight w:val="144"/>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Ponded water should not persist within 1 foot of the surface of the facility for longer than 72 hours following the end of a storm event (observation well is needed to allow observation of drain time).</w:t>
            </w:r>
          </w:p>
        </w:tc>
      </w:tr>
      <w:tr w:rsidR="00FC34E0" w:rsidRPr="00311A64" w:rsidTr="00FC34E0">
        <w:trPr>
          <w:trHeight w:val="67"/>
        </w:trPr>
        <w:tc>
          <w:tcPr>
            <w:tcW w:w="720" w:type="dxa"/>
            <w:tcBorders>
              <w:top w:val="nil"/>
              <w:left w:val="nil"/>
              <w:bottom w:val="nil"/>
              <w:right w:val="nil"/>
            </w:tcBorders>
          </w:tcPr>
          <w:p w:rsidR="00FC34E0" w:rsidRPr="00B53524" w:rsidRDefault="00FC34E0" w:rsidP="00FC34E0">
            <w:pPr>
              <w:pStyle w:val="CheckBoxList"/>
              <w:spacing w:after="60"/>
              <w:ind w:left="806" w:hanging="806"/>
              <w:rPr>
                <w:szCs w:val="32"/>
              </w:rPr>
            </w:pPr>
          </w:p>
        </w:tc>
        <w:tc>
          <w:tcPr>
            <w:tcW w:w="8730" w:type="dxa"/>
            <w:tcBorders>
              <w:top w:val="nil"/>
              <w:left w:val="nil"/>
              <w:bottom w:val="nil"/>
              <w:right w:val="nil"/>
            </w:tcBorders>
          </w:tcPr>
          <w:p w:rsidR="00FC34E0" w:rsidRPr="00311A64" w:rsidRDefault="00FC34E0" w:rsidP="00FC34E0">
            <w:pPr>
              <w:pStyle w:val="CheckBoxTableText"/>
            </w:pPr>
            <w:r>
              <w:t xml:space="preserve">Energy dissipators should be provided at inlet and outlet to prevent erosion. </w:t>
            </w:r>
          </w:p>
        </w:tc>
      </w:tr>
      <w:tr w:rsidR="00FC34E0" w:rsidTr="00FC34E0">
        <w:trPr>
          <w:trHeight w:val="67"/>
        </w:trPr>
        <w:tc>
          <w:tcPr>
            <w:tcW w:w="720" w:type="dxa"/>
            <w:tcBorders>
              <w:top w:val="nil"/>
              <w:left w:val="nil"/>
              <w:bottom w:val="nil"/>
              <w:right w:val="nil"/>
            </w:tcBorders>
          </w:tcPr>
          <w:p w:rsidR="00FC34E0" w:rsidRPr="00B53524" w:rsidRDefault="00FC34E0" w:rsidP="00FC34E0">
            <w:pPr>
              <w:pStyle w:val="CheckBoxList"/>
              <w:spacing w:after="60"/>
              <w:ind w:left="806" w:hanging="806"/>
              <w:rPr>
                <w:szCs w:val="32"/>
              </w:rPr>
            </w:pPr>
          </w:p>
        </w:tc>
        <w:tc>
          <w:tcPr>
            <w:tcW w:w="8730" w:type="dxa"/>
            <w:tcBorders>
              <w:top w:val="nil"/>
              <w:left w:val="nil"/>
              <w:bottom w:val="nil"/>
              <w:right w:val="nil"/>
            </w:tcBorders>
          </w:tcPr>
          <w:p w:rsidR="00FC34E0" w:rsidRDefault="00FC34E0" w:rsidP="00FC34E0">
            <w:pPr>
              <w:pStyle w:val="CheckBoxTableText"/>
            </w:pPr>
            <w:r>
              <w:t xml:space="preserve">An overflow device must be provided if basin is on-line. </w:t>
            </w:r>
          </w:p>
        </w:tc>
      </w:tr>
      <w:tr w:rsidR="00FC34E0" w:rsidRPr="00311A64" w:rsidTr="00FC34E0">
        <w:trPr>
          <w:trHeight w:val="67"/>
        </w:trPr>
        <w:tc>
          <w:tcPr>
            <w:tcW w:w="720" w:type="dxa"/>
            <w:tcBorders>
              <w:top w:val="nil"/>
              <w:left w:val="nil"/>
              <w:bottom w:val="nil"/>
              <w:right w:val="nil"/>
            </w:tcBorders>
          </w:tcPr>
          <w:p w:rsidR="00FC34E0" w:rsidRPr="00B53524" w:rsidRDefault="00FC34E0" w:rsidP="00FC34E0">
            <w:pPr>
              <w:pStyle w:val="CheckBoxList"/>
              <w:spacing w:after="60"/>
              <w:ind w:left="806" w:hanging="806"/>
              <w:rPr>
                <w:szCs w:val="32"/>
              </w:rPr>
            </w:pPr>
          </w:p>
        </w:tc>
        <w:tc>
          <w:tcPr>
            <w:tcW w:w="8730" w:type="dxa"/>
            <w:tcBorders>
              <w:top w:val="nil"/>
              <w:left w:val="nil"/>
              <w:bottom w:val="nil"/>
              <w:right w:val="nil"/>
            </w:tcBorders>
          </w:tcPr>
          <w:p w:rsidR="00FC34E0" w:rsidRPr="00311A64" w:rsidRDefault="00FC34E0" w:rsidP="00FC34E0">
            <w:pPr>
              <w:pStyle w:val="CheckBoxTableText"/>
            </w:pPr>
            <w:r>
              <w:t xml:space="preserve">A minimum freeboard of one foot should be provided above the overflow device (for an on-line basin) or the outlet (for an off-line basin). </w:t>
            </w:r>
          </w:p>
        </w:tc>
      </w:tr>
      <w:tr w:rsidR="00FC34E0" w:rsidRPr="00311A64" w:rsidTr="00FC34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7"/>
        </w:trPr>
        <w:tc>
          <w:tcPr>
            <w:tcW w:w="720" w:type="dxa"/>
            <w:tcBorders>
              <w:top w:val="nil"/>
              <w:left w:val="nil"/>
              <w:bottom w:val="nil"/>
              <w:right w:val="nil"/>
            </w:tcBorders>
          </w:tcPr>
          <w:p w:rsidR="00FC34E0" w:rsidRPr="00B53524" w:rsidRDefault="00FC34E0" w:rsidP="00FC34E0">
            <w:pPr>
              <w:pStyle w:val="CheckBoxList"/>
              <w:spacing w:after="60"/>
              <w:ind w:left="806" w:hanging="806"/>
              <w:rPr>
                <w:szCs w:val="32"/>
              </w:rPr>
            </w:pPr>
          </w:p>
        </w:tc>
        <w:tc>
          <w:tcPr>
            <w:tcW w:w="8730" w:type="dxa"/>
            <w:tcBorders>
              <w:top w:val="nil"/>
              <w:left w:val="nil"/>
              <w:bottom w:val="nil"/>
              <w:right w:val="nil"/>
            </w:tcBorders>
          </w:tcPr>
          <w:p w:rsidR="00FC34E0" w:rsidRPr="00BE5D4E" w:rsidRDefault="00FC34E0" w:rsidP="00FC34E0">
            <w:pPr>
              <w:pStyle w:val="CheckBoxTableText"/>
            </w:pPr>
            <w:r>
              <w:t xml:space="preserve">Longitudinal trench </w:t>
            </w:r>
            <w:r w:rsidRPr="00CA1DAA">
              <w:t>slope</w:t>
            </w:r>
            <w:r>
              <w:t xml:space="preserve"> should not exceed 3%. </w:t>
            </w:r>
          </w:p>
        </w:tc>
      </w:tr>
      <w:tr w:rsidR="00FC34E0" w:rsidRPr="00311A64" w:rsidTr="00FC34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7"/>
        </w:trPr>
        <w:tc>
          <w:tcPr>
            <w:tcW w:w="720" w:type="dxa"/>
            <w:tcBorders>
              <w:top w:val="nil"/>
              <w:left w:val="nil"/>
              <w:bottom w:val="nil"/>
              <w:right w:val="nil"/>
            </w:tcBorders>
          </w:tcPr>
          <w:p w:rsidR="00FC34E0" w:rsidRPr="00B53524" w:rsidRDefault="00FC34E0" w:rsidP="00FC34E0">
            <w:pPr>
              <w:pStyle w:val="CheckBoxList"/>
              <w:spacing w:after="60"/>
              <w:ind w:left="806" w:hanging="806"/>
              <w:rPr>
                <w:szCs w:val="32"/>
              </w:rPr>
            </w:pPr>
          </w:p>
        </w:tc>
        <w:tc>
          <w:tcPr>
            <w:tcW w:w="8730" w:type="dxa"/>
            <w:tcBorders>
              <w:top w:val="nil"/>
              <w:left w:val="nil"/>
              <w:bottom w:val="nil"/>
              <w:right w:val="nil"/>
            </w:tcBorders>
          </w:tcPr>
          <w:p w:rsidR="00FC34E0" w:rsidRDefault="00FC34E0" w:rsidP="00FC34E0">
            <w:pPr>
              <w:pStyle w:val="CheckBoxTableText"/>
            </w:pPr>
            <w:r>
              <w:t>Side slopes above trench fill should not be steeper than 3:1.</w:t>
            </w:r>
          </w:p>
        </w:tc>
      </w:tr>
    </w:tbl>
    <w:p w:rsidR="00FC34E0" w:rsidRPr="00B53524" w:rsidRDefault="00FC34E0" w:rsidP="00FC34E0">
      <w:pPr>
        <w:pStyle w:val="FactsheetSubheading"/>
      </w:pPr>
      <w:r>
        <w:t xml:space="preserve">Simple </w:t>
      </w:r>
      <w:r w:rsidRPr="00311A64">
        <w:t xml:space="preserve">Sizing </w:t>
      </w:r>
      <w:r>
        <w:t>Method</w:t>
      </w:r>
      <w:r w:rsidRPr="00311A64">
        <w:t xml:space="preserve"> </w:t>
      </w:r>
      <w:r>
        <w:t>for Infiltration Trenches</w:t>
      </w:r>
    </w:p>
    <w:p w:rsidR="00FC34E0" w:rsidRDefault="00FC34E0" w:rsidP="00FC34E0">
      <w:pPr>
        <w:pStyle w:val="CheckBoxTableText"/>
      </w:pPr>
      <w:r>
        <w:t xml:space="preserve">If the </w:t>
      </w:r>
      <w:r w:rsidR="00126F3D" w:rsidRPr="00126DE5">
        <w:rPr>
          <w:rFonts w:ascii="Book Antiqua" w:hAnsi="Book Antiqua"/>
          <w:b/>
          <w:color w:val="0070C0"/>
        </w:rPr>
        <w:fldChar w:fldCharType="begin"/>
      </w:r>
      <w:r w:rsidR="003C7091" w:rsidRPr="00126DE5">
        <w:rPr>
          <w:rFonts w:ascii="Book Antiqua" w:hAnsi="Book Antiqua"/>
          <w:b/>
          <w:color w:val="0070C0"/>
        </w:rPr>
        <w:instrText xml:space="preserve"> REF _Ref287704619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Simple Design Capture Volume Sizing Method</w:t>
      </w:r>
      <w:r w:rsidR="00126F3D" w:rsidRPr="00126DE5">
        <w:rPr>
          <w:rFonts w:ascii="Book Antiqua" w:hAnsi="Book Antiqua"/>
          <w:b/>
          <w:color w:val="0070C0"/>
        </w:rPr>
        <w:fldChar w:fldCharType="end"/>
      </w:r>
      <w:r w:rsidR="003C7091">
        <w:rPr>
          <w:b/>
          <w:color w:val="0070C0"/>
        </w:rPr>
        <w:t xml:space="preserve"> </w:t>
      </w:r>
      <w:r>
        <w:t xml:space="preserve">is used to size an infiltration trench, the user calculates the DCV and then designs the geometry required to draw down the </w:t>
      </w:r>
      <w:r w:rsidR="003C7091">
        <w:t>DCV</w:t>
      </w:r>
      <w:r>
        <w:t xml:space="preserve"> in 48 hours.  The sizing steps are as follows:</w:t>
      </w:r>
    </w:p>
    <w:p w:rsidR="00FC34E0" w:rsidRDefault="00FC34E0" w:rsidP="00FC34E0">
      <w:pPr>
        <w:pStyle w:val="FSStepHeaders"/>
      </w:pPr>
      <w:r>
        <w:t>Step 1: Dete</w:t>
      </w:r>
      <w:r w:rsidRPr="0062364E">
        <w:rPr>
          <w:rStyle w:val="CheckBoxTableTextChar"/>
        </w:rPr>
        <w:t>r</w:t>
      </w:r>
      <w:r>
        <w:t xml:space="preserve">mine Infiltration Basin </w:t>
      </w:r>
      <w:r w:rsidR="003C7091">
        <w:t>DCV</w:t>
      </w:r>
    </w:p>
    <w:p w:rsidR="00FC34E0" w:rsidRDefault="00FC34E0" w:rsidP="00FC34E0">
      <w:pPr>
        <w:pStyle w:val="CheckBoxTableText"/>
      </w:pPr>
      <w:r>
        <w:t xml:space="preserve">Calculate the </w:t>
      </w:r>
      <w:r w:rsidR="003C7091">
        <w:t>DCV</w:t>
      </w:r>
      <w:r>
        <w:t xml:space="preserve"> using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Simple Design Capture Volume Sizing Method</w:t>
      </w:r>
      <w:r w:rsidR="00126F3D" w:rsidRPr="00126DE5">
        <w:rPr>
          <w:rFonts w:ascii="Book Antiqua" w:hAnsi="Book Antiqua"/>
          <w:b/>
          <w:color w:val="0070C0"/>
        </w:rPr>
        <w:fldChar w:fldCharType="end"/>
      </w:r>
      <w:r>
        <w:t xml:space="preserve"> described in </w:t>
      </w:r>
      <w:r w:rsidR="00524D76" w:rsidRPr="00524D76">
        <w:rPr>
          <w:b/>
        </w:rPr>
        <w:t>Appendix</w:t>
      </w:r>
      <w: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III.3.1</w:t>
      </w:r>
      <w:r w:rsidR="00126F3D" w:rsidRPr="00126DE5">
        <w:rPr>
          <w:rFonts w:ascii="Book Antiqua" w:hAnsi="Book Antiqua"/>
          <w:b/>
          <w:color w:val="0070C0"/>
        </w:rPr>
        <w:fldChar w:fldCharType="end"/>
      </w:r>
      <w:r>
        <w:t xml:space="preserve">. </w:t>
      </w:r>
    </w:p>
    <w:p w:rsidR="00FC34E0" w:rsidRDefault="00FC34E0" w:rsidP="00FC34E0">
      <w:pPr>
        <w:pStyle w:val="FSStepHeaders"/>
      </w:pPr>
      <w:r>
        <w:t>Step 2: Determine the 48-hour Effective Depth</w:t>
      </w:r>
    </w:p>
    <w:p w:rsidR="00FC34E0" w:rsidRDefault="00FC34E0" w:rsidP="00FC34E0">
      <w:pPr>
        <w:pStyle w:val="CheckBoxTableText"/>
      </w:pPr>
      <w:r>
        <w:t>The depth of water that can be drawn down in 48 hours can be calculated using the following equation:</w:t>
      </w:r>
    </w:p>
    <w:p w:rsidR="00FC34E0" w:rsidRDefault="00FC34E0" w:rsidP="00FC34E0">
      <w:pPr>
        <w:pStyle w:val="FactSheetEquation"/>
      </w:pPr>
      <w:r>
        <w:t>d</w:t>
      </w:r>
      <w:r>
        <w:rPr>
          <w:vertAlign w:val="subscript"/>
        </w:rPr>
        <w:t>48</w:t>
      </w:r>
      <w:r>
        <w:t xml:space="preserve"> = K</w:t>
      </w:r>
      <w:r>
        <w:rPr>
          <w:vertAlign w:val="subscript"/>
        </w:rPr>
        <w:t>DESIGN</w:t>
      </w:r>
      <w:r>
        <w:t xml:space="preserve"> × SACF × 48 hours </w:t>
      </w:r>
    </w:p>
    <w:p w:rsidR="00FC34E0" w:rsidRDefault="00FC34E0" w:rsidP="00FC34E0">
      <w:pPr>
        <w:pStyle w:val="FactsheetBullets"/>
        <w:numPr>
          <w:ilvl w:val="0"/>
          <w:numId w:val="0"/>
        </w:numPr>
      </w:pPr>
      <w:r>
        <w:t>Where:</w:t>
      </w:r>
    </w:p>
    <w:p w:rsidR="00FC34E0" w:rsidRDefault="00FC34E0" w:rsidP="00FC34E0">
      <w:pPr>
        <w:pStyle w:val="FactSheetEquation"/>
      </w:pPr>
      <w:r>
        <w:t>d</w:t>
      </w:r>
      <w:r>
        <w:rPr>
          <w:vertAlign w:val="subscript"/>
        </w:rPr>
        <w:t>48</w:t>
      </w:r>
      <w:r>
        <w:t xml:space="preserve"> = trench effective 48-hour depth, ft</w:t>
      </w:r>
    </w:p>
    <w:p w:rsidR="00FC34E0" w:rsidRDefault="00FC34E0" w:rsidP="00FC34E0">
      <w:pPr>
        <w:pStyle w:val="FactSheetEquation"/>
      </w:pPr>
      <w:r>
        <w:t>K</w:t>
      </w:r>
      <w:r>
        <w:rPr>
          <w:vertAlign w:val="subscript"/>
        </w:rPr>
        <w:t>DESIGN</w:t>
      </w:r>
      <w:r>
        <w:t xml:space="preserve"> = basin design infiltration rate, in/hr (See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_Ref287704666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VII</w:t>
      </w:r>
      <w:r w:rsidR="00126F3D" w:rsidRPr="00126DE5">
        <w:rPr>
          <w:rFonts w:ascii="Book Antiqua" w:hAnsi="Book Antiqua"/>
          <w:b/>
          <w:color w:val="0070C0"/>
        </w:rPr>
        <w:fldChar w:fldCharType="end"/>
      </w:r>
      <w:r>
        <w:t xml:space="preserve">) </w:t>
      </w:r>
    </w:p>
    <w:p w:rsidR="00FC34E0" w:rsidRPr="00B802E0" w:rsidRDefault="00FC34E0" w:rsidP="00FC34E0">
      <w:pPr>
        <w:pStyle w:val="FactSheetEquation"/>
      </w:pPr>
      <w:r>
        <w:t xml:space="preserve">SACF = </w:t>
      </w:r>
      <w:r w:rsidRPr="00B802E0">
        <w:t>Surface Area Correction Factor = ranges from 1.0</w:t>
      </w:r>
      <w:r>
        <w:t xml:space="preserve"> (sides insignificant or not accounted) </w:t>
      </w:r>
      <w:r w:rsidRPr="00B802E0">
        <w:t xml:space="preserve">to </w:t>
      </w:r>
      <w:r>
        <w:t>2</w:t>
      </w:r>
      <w:r w:rsidRPr="00B802E0">
        <w:t>.0</w:t>
      </w:r>
      <w:r>
        <w:t xml:space="preserve"> (sides plus bottom are 2 times the surface area of the bottom at mid depth)</w:t>
      </w:r>
      <w:r w:rsidRPr="00B802E0">
        <w:t xml:space="preserve"> to account for the ratio of infiltration through the sides of the trench to the bottom footprint of the trench; should be based on anticipated trench geometry</w:t>
      </w:r>
      <w:r>
        <w:t xml:space="preserve"> and wetted surface area at mid-depth.</w:t>
      </w:r>
    </w:p>
    <w:p w:rsidR="00FC34E0" w:rsidRDefault="00FC34E0" w:rsidP="00FC34E0">
      <w:pPr>
        <w:pStyle w:val="CheckBoxTableText"/>
      </w:pPr>
      <w:r>
        <w:t>This is the maximum effective depth of the trench below the overflow device to achieve drawdown in 48 hours.</w:t>
      </w:r>
    </w:p>
    <w:p w:rsidR="00FC34E0" w:rsidRDefault="00FC34E0" w:rsidP="00FC34E0">
      <w:pPr>
        <w:pStyle w:val="FSStepHeaders"/>
      </w:pPr>
      <w:r>
        <w:t>Step 3: Determine the Trench Ponding Depth and Trench Depth</w:t>
      </w:r>
    </w:p>
    <w:p w:rsidR="00FC34E0" w:rsidRDefault="00FC34E0" w:rsidP="00FC34E0">
      <w:pPr>
        <w:pStyle w:val="CheckBoxTableText"/>
      </w:pPr>
      <w:r>
        <w:t>The depth of water stored in the ponding depth (i.e. above the trench fill) and within the trench itself should be equal or less than d</w:t>
      </w:r>
      <w:r>
        <w:rPr>
          <w:vertAlign w:val="subscript"/>
        </w:rPr>
        <w:t>48</w:t>
      </w:r>
      <w:r>
        <w:t>. Determine the ponding depth and the trench fill depth such that:</w:t>
      </w:r>
    </w:p>
    <w:p w:rsidR="00FC34E0" w:rsidRDefault="00FC34E0" w:rsidP="00FC34E0">
      <w:pPr>
        <w:pStyle w:val="FactSheetEquation"/>
      </w:pPr>
      <w:r>
        <w:t>d</w:t>
      </w:r>
      <w:r>
        <w:rPr>
          <w:vertAlign w:val="subscript"/>
        </w:rPr>
        <w:t>48</w:t>
      </w:r>
      <w:r>
        <w:t xml:space="preserve"> ≥ (n</w:t>
      </w:r>
      <w:r>
        <w:rPr>
          <w:vertAlign w:val="subscript"/>
        </w:rPr>
        <w:t xml:space="preserve">T </w:t>
      </w:r>
      <w:r>
        <w:t>× d</w:t>
      </w:r>
      <w:r>
        <w:rPr>
          <w:vertAlign w:val="subscript"/>
        </w:rPr>
        <w:t>T</w:t>
      </w:r>
      <w:r>
        <w:t xml:space="preserve"> + d</w:t>
      </w:r>
      <w:r>
        <w:rPr>
          <w:vertAlign w:val="subscript"/>
        </w:rPr>
        <w:t>P</w:t>
      </w:r>
      <w:r>
        <w:t>)</w:t>
      </w:r>
    </w:p>
    <w:p w:rsidR="00FC34E0" w:rsidRDefault="00FC34E0" w:rsidP="00FC34E0">
      <w:pPr>
        <w:pStyle w:val="FactsheetBullets"/>
        <w:numPr>
          <w:ilvl w:val="0"/>
          <w:numId w:val="0"/>
        </w:numPr>
      </w:pPr>
      <w:r>
        <w:t>Where:</w:t>
      </w:r>
    </w:p>
    <w:p w:rsidR="00FC34E0" w:rsidRDefault="00FC34E0" w:rsidP="00FC34E0">
      <w:pPr>
        <w:pStyle w:val="FactSheetEquation"/>
      </w:pPr>
      <w:r>
        <w:t>d</w:t>
      </w:r>
      <w:r>
        <w:rPr>
          <w:vertAlign w:val="subscript"/>
        </w:rPr>
        <w:t>48</w:t>
      </w:r>
      <w:r>
        <w:t xml:space="preserve"> = trench effective 48-hour depth, ft (from Step 2)</w:t>
      </w:r>
    </w:p>
    <w:p w:rsidR="00FC34E0" w:rsidRDefault="00FC34E0" w:rsidP="00FC34E0">
      <w:pPr>
        <w:pStyle w:val="FactSheetEquation"/>
      </w:pPr>
      <w:r>
        <w:t>n</w:t>
      </w:r>
      <w:r>
        <w:rPr>
          <w:vertAlign w:val="subscript"/>
        </w:rPr>
        <w:t>T</w:t>
      </w:r>
      <w:r>
        <w:t xml:space="preserve"> = </w:t>
      </w:r>
      <w:r w:rsidRPr="00311A64">
        <w:t>porosity</w:t>
      </w:r>
      <w:r>
        <w:t xml:space="preserve"> of trench fill; </w:t>
      </w:r>
      <w:r w:rsidRPr="00311A64">
        <w:t>0.35 may be assumed where other information is not available</w:t>
      </w:r>
    </w:p>
    <w:p w:rsidR="00FC34E0" w:rsidRDefault="00FC34E0" w:rsidP="00FC34E0">
      <w:pPr>
        <w:pStyle w:val="FactSheetEquation"/>
      </w:pPr>
      <w:r>
        <w:t>d</w:t>
      </w:r>
      <w:r>
        <w:rPr>
          <w:vertAlign w:val="subscript"/>
        </w:rPr>
        <w:t>T</w:t>
      </w:r>
      <w:r>
        <w:t xml:space="preserve"> = depth of trench fill, ft</w:t>
      </w:r>
    </w:p>
    <w:p w:rsidR="00FC34E0" w:rsidRDefault="00FC34E0" w:rsidP="00FC34E0">
      <w:pPr>
        <w:pStyle w:val="FactSheetEquation"/>
      </w:pPr>
      <w:r>
        <w:t>d</w:t>
      </w:r>
      <w:r>
        <w:rPr>
          <w:vertAlign w:val="subscript"/>
        </w:rPr>
        <w:t>P</w:t>
      </w:r>
      <w:r>
        <w:t xml:space="preserve"> = ponding depth, ft (should not exceed 1 ft)</w:t>
      </w:r>
    </w:p>
    <w:p w:rsidR="00FC34E0" w:rsidRDefault="00FC34E0" w:rsidP="00FC34E0">
      <w:pPr>
        <w:pStyle w:val="FSStepHeaders"/>
      </w:pPr>
      <w:r>
        <w:t>Step 4: Calculate the Required Infiltrating Area</w:t>
      </w:r>
    </w:p>
    <w:p w:rsidR="00FC34E0" w:rsidRDefault="00FC34E0" w:rsidP="00FC34E0">
      <w:pPr>
        <w:pStyle w:val="CheckBoxTableText"/>
      </w:pPr>
      <w:r>
        <w:t>The required footprint area can be calculated using the following equation:</w:t>
      </w:r>
    </w:p>
    <w:p w:rsidR="00FC34E0" w:rsidRDefault="00FC34E0" w:rsidP="00FC34E0">
      <w:pPr>
        <w:pStyle w:val="FactsheetBullets"/>
        <w:numPr>
          <w:ilvl w:val="0"/>
          <w:numId w:val="0"/>
        </w:numPr>
        <w:ind w:firstLine="360"/>
      </w:pPr>
      <w:r w:rsidRPr="00C54C96">
        <w:rPr>
          <w:rStyle w:val="FactSheetEquationChar"/>
        </w:rPr>
        <w:t>A = DCV/ (</w:t>
      </w:r>
      <w:r>
        <w:rPr>
          <w:rStyle w:val="FactSheetEquationChar"/>
        </w:rPr>
        <w:t>(n</w:t>
      </w:r>
      <w:r>
        <w:rPr>
          <w:rStyle w:val="FactSheetEquationChar"/>
          <w:vertAlign w:val="subscript"/>
        </w:rPr>
        <w:t xml:space="preserve">T </w:t>
      </w:r>
      <w:r>
        <w:rPr>
          <w:rStyle w:val="FactSheetEquationChar"/>
        </w:rPr>
        <w:t>× d</w:t>
      </w:r>
      <w:r>
        <w:rPr>
          <w:rStyle w:val="FactSheetEquationChar"/>
          <w:vertAlign w:val="subscript"/>
        </w:rPr>
        <w:t>T</w:t>
      </w:r>
      <w:r>
        <w:rPr>
          <w:rStyle w:val="FactSheetEquationChar"/>
        </w:rPr>
        <w:t>) +</w:t>
      </w:r>
      <w:r w:rsidRPr="00C54C96">
        <w:rPr>
          <w:rStyle w:val="FactSheetEquationChar"/>
        </w:rPr>
        <w:t xml:space="preserve"> d</w:t>
      </w:r>
      <w:r>
        <w:rPr>
          <w:rStyle w:val="FactSheetEquationChar"/>
          <w:vertAlign w:val="subscript"/>
        </w:rPr>
        <w:t>P</w:t>
      </w:r>
      <w:r>
        <w:t>)</w:t>
      </w:r>
    </w:p>
    <w:p w:rsidR="00FC34E0" w:rsidRDefault="00FC34E0" w:rsidP="00FC34E0">
      <w:pPr>
        <w:pStyle w:val="CheckBoxTableText"/>
      </w:pPr>
      <w:r>
        <w:t xml:space="preserve">Where: </w:t>
      </w:r>
    </w:p>
    <w:p w:rsidR="00FC34E0" w:rsidRDefault="00FC34E0" w:rsidP="00FC34E0">
      <w:pPr>
        <w:pStyle w:val="FactsheetBullets"/>
        <w:numPr>
          <w:ilvl w:val="0"/>
          <w:numId w:val="0"/>
        </w:numPr>
        <w:ind w:firstLine="360"/>
      </w:pPr>
      <w:r>
        <w:t xml:space="preserve">A = required trench footprint area, sq-ft </w:t>
      </w:r>
    </w:p>
    <w:p w:rsidR="00FC34E0" w:rsidRDefault="00FC34E0" w:rsidP="00FC34E0">
      <w:pPr>
        <w:pStyle w:val="FactsheetBullets"/>
        <w:numPr>
          <w:ilvl w:val="0"/>
          <w:numId w:val="0"/>
        </w:numPr>
        <w:ind w:firstLine="360"/>
      </w:pPr>
      <w:r>
        <w:t>DCV = design capture volume, cu-ft (see Step 1)</w:t>
      </w:r>
    </w:p>
    <w:p w:rsidR="00FC34E0" w:rsidRDefault="00FC34E0" w:rsidP="00FC34E0">
      <w:pPr>
        <w:pStyle w:val="FactSheetEquation"/>
      </w:pPr>
      <w:r>
        <w:t>n</w:t>
      </w:r>
      <w:r>
        <w:rPr>
          <w:vertAlign w:val="subscript"/>
        </w:rPr>
        <w:t>T</w:t>
      </w:r>
      <w:r>
        <w:t xml:space="preserve"> = </w:t>
      </w:r>
      <w:r w:rsidRPr="00311A64">
        <w:t>porosity</w:t>
      </w:r>
      <w:r>
        <w:t xml:space="preserve"> of trench fill; </w:t>
      </w:r>
      <w:r w:rsidRPr="00311A64">
        <w:t>0.35 may be assumed where other information is not available</w:t>
      </w:r>
    </w:p>
    <w:p w:rsidR="00FC34E0" w:rsidRDefault="00FC34E0" w:rsidP="00FC34E0">
      <w:pPr>
        <w:pStyle w:val="FactSheetEquation"/>
      </w:pPr>
      <w:r>
        <w:t>d</w:t>
      </w:r>
      <w:r>
        <w:rPr>
          <w:vertAlign w:val="subscript"/>
        </w:rPr>
        <w:t>T</w:t>
      </w:r>
      <w:r>
        <w:t xml:space="preserve"> = depth of trench fill, ft</w:t>
      </w:r>
    </w:p>
    <w:p w:rsidR="00FC34E0" w:rsidRPr="00760226" w:rsidRDefault="00FC34E0" w:rsidP="00FC34E0">
      <w:pPr>
        <w:pStyle w:val="FactsheetBullets"/>
        <w:numPr>
          <w:ilvl w:val="0"/>
          <w:numId w:val="0"/>
        </w:numPr>
        <w:ind w:firstLine="360"/>
      </w:pPr>
      <w:r>
        <w:t>d</w:t>
      </w:r>
      <w:r>
        <w:rPr>
          <w:vertAlign w:val="subscript"/>
        </w:rPr>
        <w:t xml:space="preserve">P </w:t>
      </w:r>
      <w:r>
        <w:t xml:space="preserve">= ponding depth, ft </w:t>
      </w:r>
    </w:p>
    <w:p w:rsidR="00FC34E0" w:rsidRPr="00B53524" w:rsidRDefault="00FC34E0" w:rsidP="00FC34E0">
      <w:pPr>
        <w:pStyle w:val="FactsheetSubheading"/>
        <w:outlineLvl w:val="0"/>
      </w:pPr>
      <w:r>
        <w:t>Capture Efficiency Method for</w:t>
      </w:r>
      <w:r w:rsidRPr="00311A64">
        <w:t xml:space="preserve"> Infiltration</w:t>
      </w:r>
      <w:r>
        <w:t xml:space="preserve"> Trenches</w:t>
      </w:r>
      <w:r w:rsidRPr="00311A64">
        <w:t xml:space="preserve"> </w:t>
      </w:r>
    </w:p>
    <w:p w:rsidR="00FC34E0" w:rsidRDefault="00FC34E0" w:rsidP="00FC34E0">
      <w:pPr>
        <w:pStyle w:val="CheckBoxTableText"/>
      </w:pPr>
      <w:r>
        <w:t xml:space="preserve">If BMP geometry has already been defined and deviates from the 48 hour drawdown time, the designer can use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Capture Efficiency Method for Volume-Based, Constant Drawdown BMPs</w:t>
      </w:r>
      <w:r w:rsidR="00126F3D" w:rsidRPr="00126DE5">
        <w:rPr>
          <w:rFonts w:ascii="Book Antiqua" w:hAnsi="Book Antiqua"/>
          <w:b/>
          <w:color w:val="0070C0"/>
        </w:rPr>
        <w:fldChar w:fldCharType="end"/>
      </w:r>
      <w:r>
        <w:t xml:space="preserve"> (</w:t>
      </w:r>
      <w:r w:rsidR="00524D76" w:rsidRPr="00524D76">
        <w:rPr>
          <w:b/>
        </w:rPr>
        <w:t>Appendix</w:t>
      </w:r>
      <w:r>
        <w:rPr>
          <w:b/>
          <w:color w:val="00B050"/>
        </w:rP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III.3.2</w:t>
      </w:r>
      <w:r w:rsidR="00126F3D" w:rsidRPr="00126DE5">
        <w:rPr>
          <w:rFonts w:ascii="Book Antiqua" w:hAnsi="Book Antiqua"/>
          <w:b/>
          <w:color w:val="0070C0"/>
        </w:rPr>
        <w:fldChar w:fldCharType="end"/>
      </w:r>
      <w:r>
        <w:t xml:space="preserve">) to determine the fraction of the DCV that must be provided to manage 80 percent of average annual runoff volume. This method accounts for drawdown time different than 48 hours.  </w:t>
      </w:r>
    </w:p>
    <w:p w:rsidR="00FC34E0" w:rsidRDefault="00FC34E0" w:rsidP="00FC34E0">
      <w:pPr>
        <w:pStyle w:val="FSStepHeaders"/>
      </w:pPr>
      <w:r w:rsidRPr="00C458BF">
        <w:t>Step 1: Determine the drawdown time associated with the selected trench geometr</w:t>
      </w:r>
      <w:r>
        <w:t>y</w:t>
      </w:r>
    </w:p>
    <w:p w:rsidR="00FC34E0" w:rsidRDefault="00FC34E0" w:rsidP="00FC34E0">
      <w:pPr>
        <w:pStyle w:val="FactSheetEquation"/>
      </w:pPr>
      <w:r w:rsidRPr="00311A64">
        <w:t xml:space="preserve">DD = </w:t>
      </w:r>
      <w:r>
        <w:t>(</w:t>
      </w:r>
      <w:r w:rsidRPr="00DB4AA6">
        <w:t>(n</w:t>
      </w:r>
      <w:r w:rsidRPr="00084459">
        <w:rPr>
          <w:vertAlign w:val="subscript"/>
        </w:rPr>
        <w:t>T</w:t>
      </w:r>
      <w:r w:rsidRPr="00DB4AA6">
        <w:t xml:space="preserve"> × d</w:t>
      </w:r>
      <w:r w:rsidRPr="00084459">
        <w:rPr>
          <w:vertAlign w:val="subscript"/>
        </w:rPr>
        <w:t>T</w:t>
      </w:r>
      <w:r w:rsidRPr="00DB4AA6">
        <w:t>) + d</w:t>
      </w:r>
      <w:r w:rsidRPr="00084459">
        <w:rPr>
          <w:vertAlign w:val="subscript"/>
        </w:rPr>
        <w:t>P</w:t>
      </w:r>
      <w:r w:rsidRPr="00DB4AA6">
        <w:t>)</w:t>
      </w:r>
      <w:r>
        <w:t xml:space="preserve"> / (K</w:t>
      </w:r>
      <w:r>
        <w:rPr>
          <w:vertAlign w:val="subscript"/>
        </w:rPr>
        <w:t xml:space="preserve">DESIGN </w:t>
      </w:r>
      <w:r w:rsidRPr="00B802E0">
        <w:t>× SACF</w:t>
      </w:r>
      <w:r>
        <w:t>) × 12</w:t>
      </w:r>
    </w:p>
    <w:p w:rsidR="00FC34E0" w:rsidRPr="00A211D0" w:rsidRDefault="00FC34E0" w:rsidP="00FC34E0">
      <w:pPr>
        <w:pStyle w:val="CheckBoxTableText"/>
      </w:pPr>
      <w:r w:rsidRPr="00311A64">
        <w:t>Where</w:t>
      </w:r>
      <w:r w:rsidRPr="00A211D0">
        <w:t>:</w:t>
      </w:r>
    </w:p>
    <w:p w:rsidR="00FC34E0" w:rsidRDefault="00FC34E0" w:rsidP="00FC34E0">
      <w:pPr>
        <w:pStyle w:val="FactSheetEquation"/>
      </w:pPr>
      <w:r w:rsidRPr="00A211D0">
        <w:t xml:space="preserve">DD = </w:t>
      </w:r>
      <w:r w:rsidRPr="00311A64">
        <w:t xml:space="preserve">time to completely drain infiltration basin </w:t>
      </w:r>
      <w:r>
        <w:t>ponding depth</w:t>
      </w:r>
      <w:r w:rsidRPr="00311A64">
        <w:t>, hours</w:t>
      </w:r>
    </w:p>
    <w:p w:rsidR="00FC34E0" w:rsidRDefault="00FC34E0" w:rsidP="00FC34E0">
      <w:pPr>
        <w:pStyle w:val="FactSheetEquation"/>
      </w:pPr>
      <w:r>
        <w:t>n</w:t>
      </w:r>
      <w:r>
        <w:rPr>
          <w:vertAlign w:val="subscript"/>
        </w:rPr>
        <w:t>T</w:t>
      </w:r>
      <w:r>
        <w:t xml:space="preserve"> = </w:t>
      </w:r>
      <w:r w:rsidRPr="00311A64">
        <w:t>porosity</w:t>
      </w:r>
      <w:r>
        <w:t xml:space="preserve"> of trench fill; </w:t>
      </w:r>
      <w:r w:rsidRPr="00311A64">
        <w:t>0.35 may be assumed where other information is not available</w:t>
      </w:r>
    </w:p>
    <w:p w:rsidR="00FC34E0" w:rsidRDefault="00FC34E0" w:rsidP="00FC34E0">
      <w:pPr>
        <w:pStyle w:val="FactSheetEquation"/>
      </w:pPr>
      <w:r>
        <w:t>d</w:t>
      </w:r>
      <w:r>
        <w:rPr>
          <w:vertAlign w:val="subscript"/>
        </w:rPr>
        <w:t>T</w:t>
      </w:r>
      <w:r>
        <w:t xml:space="preserve"> = depth of trench fill, ft</w:t>
      </w:r>
    </w:p>
    <w:p w:rsidR="00FC34E0" w:rsidRDefault="00FC34E0" w:rsidP="00FC34E0">
      <w:pPr>
        <w:pStyle w:val="FactsheetBullets"/>
        <w:numPr>
          <w:ilvl w:val="0"/>
          <w:numId w:val="0"/>
        </w:numPr>
        <w:ind w:firstLine="360"/>
      </w:pPr>
      <w:r>
        <w:t>d</w:t>
      </w:r>
      <w:r>
        <w:rPr>
          <w:vertAlign w:val="subscript"/>
        </w:rPr>
        <w:t xml:space="preserve">P </w:t>
      </w:r>
      <w:r>
        <w:t xml:space="preserve">= ponding depth, ft </w:t>
      </w:r>
    </w:p>
    <w:p w:rsidR="00FC34E0" w:rsidRPr="00760226" w:rsidRDefault="00FC34E0" w:rsidP="00FC34E0">
      <w:pPr>
        <w:pStyle w:val="FactSheetEquation"/>
      </w:pPr>
      <w:r>
        <w:t xml:space="preserve">SACF = </w:t>
      </w:r>
      <w:r w:rsidRPr="00B802E0">
        <w:t>Surface Area Correction Factor = ranges from 1.0</w:t>
      </w:r>
      <w:r>
        <w:t xml:space="preserve"> (sides insignificant or not accounted) </w:t>
      </w:r>
      <w:r w:rsidRPr="00B802E0">
        <w:t xml:space="preserve">to </w:t>
      </w:r>
      <w:r>
        <w:t>2</w:t>
      </w:r>
      <w:r w:rsidRPr="00B802E0">
        <w:t>.0</w:t>
      </w:r>
      <w:r>
        <w:t xml:space="preserve"> (sides plus bottom are 2 times the surface area of the bottom at mid depth)</w:t>
      </w:r>
      <w:r w:rsidRPr="00B802E0">
        <w:t xml:space="preserve"> to account for the ratio of infiltration through the sides of the trench to the bottom footprint of the trench; should be based on anticipated trench geometry</w:t>
      </w:r>
      <w:r>
        <w:t xml:space="preserve"> and wetted surface area at mid-depth.</w:t>
      </w:r>
    </w:p>
    <w:p w:rsidR="00FC34E0" w:rsidRDefault="00FC34E0" w:rsidP="00FC34E0">
      <w:pPr>
        <w:pStyle w:val="FactSheetEquation"/>
      </w:pPr>
      <w:r>
        <w:t>K</w:t>
      </w:r>
      <w:r>
        <w:rPr>
          <w:vertAlign w:val="subscript"/>
        </w:rPr>
        <w:t>DESIGN</w:t>
      </w:r>
      <w:r>
        <w:t xml:space="preserve"> = basin design infiltration rate, in/hr (See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_Ref287704666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VII</w:t>
      </w:r>
      <w:r w:rsidR="00126F3D" w:rsidRPr="00126DE5">
        <w:rPr>
          <w:rFonts w:ascii="Book Antiqua" w:hAnsi="Book Antiqua"/>
          <w:b/>
          <w:color w:val="0070C0"/>
        </w:rPr>
        <w:fldChar w:fldCharType="end"/>
      </w:r>
      <w:r>
        <w:t>)</w:t>
      </w:r>
    </w:p>
    <w:p w:rsidR="00FC34E0" w:rsidRDefault="00FC34E0" w:rsidP="00FC34E0">
      <w:pPr>
        <w:pStyle w:val="FSStepHeaders"/>
      </w:pPr>
      <w:r w:rsidRPr="003B03AC">
        <w:t xml:space="preserve">Step 2: Determine the </w:t>
      </w:r>
      <w:r>
        <w:t>Required Adjusted DCV for this Drawdown Time</w:t>
      </w:r>
    </w:p>
    <w:p w:rsidR="00FC34E0" w:rsidRDefault="00FC34E0" w:rsidP="00FC34E0">
      <w:pPr>
        <w:pStyle w:val="CheckBoxTableText"/>
      </w:pPr>
      <w:r>
        <w:t xml:space="preserve">Use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Capture Efficiency Method for Volume-Based, Constant Drawdown BMPs</w:t>
      </w:r>
      <w:r w:rsidR="00126F3D" w:rsidRPr="00126DE5">
        <w:rPr>
          <w:rFonts w:ascii="Book Antiqua" w:hAnsi="Book Antiqua"/>
          <w:b/>
          <w:color w:val="0070C0"/>
        </w:rPr>
        <w:fldChar w:fldCharType="end"/>
      </w:r>
      <w:r>
        <w:t xml:space="preserve"> (</w:t>
      </w:r>
      <w:r w:rsidRPr="00A214BC">
        <w:rPr>
          <w:b/>
        </w:rPr>
        <w:t xml:space="preserve">Appendix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III.3.2</w:t>
      </w:r>
      <w:r w:rsidR="00126F3D" w:rsidRPr="00126DE5">
        <w:rPr>
          <w:rFonts w:ascii="Book Antiqua" w:hAnsi="Book Antiqua"/>
          <w:b/>
          <w:color w:val="0070C0"/>
        </w:rPr>
        <w:fldChar w:fldCharType="end"/>
      </w:r>
      <w:r>
        <w:t>) to calculate the required fraction of the DCV the basin must hold to achieve 80 percent capture of average annual stormwater runoff volume based on the trench drawdown time calculated above.</w:t>
      </w:r>
    </w:p>
    <w:p w:rsidR="00FC34E0" w:rsidRDefault="00FC34E0" w:rsidP="00FC34E0">
      <w:pPr>
        <w:pStyle w:val="FSStepHeaders"/>
      </w:pPr>
      <w:r w:rsidRPr="003B03AC">
        <w:t xml:space="preserve">Step 3: Determine the Trench Infiltrating Area Needed </w:t>
      </w:r>
    </w:p>
    <w:p w:rsidR="00FC34E0" w:rsidRDefault="00FC34E0" w:rsidP="00FC34E0">
      <w:pPr>
        <w:pStyle w:val="CheckBoxTableText"/>
      </w:pPr>
      <w:r>
        <w:t>The required footprint area can be calculated using the following equation:</w:t>
      </w:r>
    </w:p>
    <w:p w:rsidR="00FC34E0" w:rsidRDefault="00FC34E0" w:rsidP="00FC34E0">
      <w:pPr>
        <w:pStyle w:val="FactsheetBullets"/>
        <w:numPr>
          <w:ilvl w:val="0"/>
          <w:numId w:val="0"/>
        </w:numPr>
        <w:ind w:firstLine="360"/>
      </w:pPr>
      <w:r w:rsidRPr="00C54C96">
        <w:rPr>
          <w:rStyle w:val="FactSheetEquationChar"/>
        </w:rPr>
        <w:t>A = DCV</w:t>
      </w:r>
      <w:r>
        <w:rPr>
          <w:rStyle w:val="FactSheetEquationChar"/>
        </w:rPr>
        <w:t xml:space="preserve"> </w:t>
      </w:r>
      <w:r w:rsidRPr="00C54C96">
        <w:rPr>
          <w:rStyle w:val="FactSheetEquationChar"/>
        </w:rPr>
        <w:t>/ (</w:t>
      </w:r>
      <w:r>
        <w:rPr>
          <w:rStyle w:val="FactSheetEquationChar"/>
        </w:rPr>
        <w:t xml:space="preserve"> (n</w:t>
      </w:r>
      <w:r>
        <w:rPr>
          <w:rStyle w:val="FactSheetEquationChar"/>
          <w:vertAlign w:val="subscript"/>
        </w:rPr>
        <w:t xml:space="preserve">T </w:t>
      </w:r>
      <w:r>
        <w:rPr>
          <w:rStyle w:val="FactSheetEquationChar"/>
        </w:rPr>
        <w:t>× d</w:t>
      </w:r>
      <w:r>
        <w:rPr>
          <w:rStyle w:val="FactSheetEquationChar"/>
          <w:vertAlign w:val="subscript"/>
        </w:rPr>
        <w:t>T</w:t>
      </w:r>
      <w:r>
        <w:rPr>
          <w:rStyle w:val="FactSheetEquationChar"/>
        </w:rPr>
        <w:t>) +</w:t>
      </w:r>
      <w:r w:rsidRPr="00C54C96">
        <w:rPr>
          <w:rStyle w:val="FactSheetEquationChar"/>
        </w:rPr>
        <w:t xml:space="preserve"> d</w:t>
      </w:r>
      <w:r>
        <w:rPr>
          <w:rStyle w:val="FactSheetEquationChar"/>
          <w:vertAlign w:val="subscript"/>
        </w:rPr>
        <w:t>P</w:t>
      </w:r>
      <w:r>
        <w:t>)</w:t>
      </w:r>
    </w:p>
    <w:p w:rsidR="00FC34E0" w:rsidRDefault="00FC34E0" w:rsidP="00FC34E0">
      <w:pPr>
        <w:pStyle w:val="CheckBoxTableText"/>
      </w:pPr>
      <w:r>
        <w:t xml:space="preserve">Where: </w:t>
      </w:r>
    </w:p>
    <w:p w:rsidR="00FC34E0" w:rsidRDefault="00FC34E0" w:rsidP="00FC34E0">
      <w:pPr>
        <w:pStyle w:val="FactsheetBullets"/>
        <w:numPr>
          <w:ilvl w:val="0"/>
          <w:numId w:val="0"/>
        </w:numPr>
        <w:ind w:firstLine="360"/>
      </w:pPr>
      <w:r>
        <w:t xml:space="preserve">A = required trench footprint area, sq-ft </w:t>
      </w:r>
    </w:p>
    <w:p w:rsidR="00FC34E0" w:rsidRDefault="00FC34E0" w:rsidP="00FC34E0">
      <w:pPr>
        <w:pStyle w:val="FactsheetBullets"/>
        <w:numPr>
          <w:ilvl w:val="0"/>
          <w:numId w:val="0"/>
        </w:numPr>
        <w:ind w:firstLine="360"/>
      </w:pPr>
      <w:r>
        <w:t>DCV = design capture volume, cu-ft (see Step 1)</w:t>
      </w:r>
    </w:p>
    <w:p w:rsidR="00FC34E0" w:rsidRDefault="00FC34E0" w:rsidP="00FC34E0">
      <w:pPr>
        <w:pStyle w:val="FactSheetEquation"/>
      </w:pPr>
      <w:r>
        <w:t>n</w:t>
      </w:r>
      <w:r>
        <w:rPr>
          <w:vertAlign w:val="subscript"/>
        </w:rPr>
        <w:t>T</w:t>
      </w:r>
      <w:r>
        <w:t xml:space="preserve"> = </w:t>
      </w:r>
      <w:r w:rsidRPr="00311A64">
        <w:t>porosity</w:t>
      </w:r>
      <w:r>
        <w:t xml:space="preserve"> of trench fill; </w:t>
      </w:r>
      <w:r w:rsidRPr="00311A64">
        <w:t>0.35 may be assumed where other information is not available</w:t>
      </w:r>
    </w:p>
    <w:p w:rsidR="00FC34E0" w:rsidRDefault="00FC34E0" w:rsidP="00FC34E0">
      <w:pPr>
        <w:pStyle w:val="FactSheetEquation"/>
      </w:pPr>
      <w:r>
        <w:t>d</w:t>
      </w:r>
      <w:r>
        <w:rPr>
          <w:vertAlign w:val="subscript"/>
        </w:rPr>
        <w:t>T</w:t>
      </w:r>
      <w:r>
        <w:t xml:space="preserve"> = depth of trench fill, ft</w:t>
      </w:r>
    </w:p>
    <w:p w:rsidR="00FC34E0" w:rsidRPr="00760226" w:rsidRDefault="00FC34E0" w:rsidP="00FC34E0">
      <w:pPr>
        <w:pStyle w:val="FactsheetBullets"/>
        <w:numPr>
          <w:ilvl w:val="0"/>
          <w:numId w:val="0"/>
        </w:numPr>
        <w:ind w:firstLine="360"/>
      </w:pPr>
      <w:r>
        <w:t>d</w:t>
      </w:r>
      <w:r>
        <w:rPr>
          <w:vertAlign w:val="subscript"/>
        </w:rPr>
        <w:t xml:space="preserve">P </w:t>
      </w:r>
      <w:r>
        <w:t xml:space="preserve">= ponding depth, ft </w:t>
      </w:r>
    </w:p>
    <w:p w:rsidR="00FC34E0" w:rsidRDefault="00FC34E0" w:rsidP="00FC34E0">
      <w:pPr>
        <w:pStyle w:val="CheckBoxTableText"/>
        <w:rPr>
          <w:i/>
        </w:rPr>
      </w:pPr>
      <w:r>
        <w:t xml:space="preserve">If the area required is greater than the selected trench area, adjust surface area or adjust ponding and/or trench depth and recalculate required area until the required area is achieved. </w:t>
      </w:r>
    </w:p>
    <w:p w:rsidR="00FC34E0" w:rsidRDefault="00FC34E0" w:rsidP="00FC34E0">
      <w:pPr>
        <w:pStyle w:val="CheckBoxTableText"/>
      </w:pPr>
      <w:r>
        <w:t xml:space="preserve"> </w:t>
      </w:r>
    </w:p>
    <w:p w:rsidR="00FC34E0" w:rsidRPr="00B53524" w:rsidRDefault="00FC34E0" w:rsidP="00FC34E0">
      <w:pPr>
        <w:pStyle w:val="FactsheetSubheading"/>
        <w:outlineLvl w:val="0"/>
      </w:pPr>
      <w:r w:rsidRPr="00311A64">
        <w:t>Configuration for Use in a Treatment Train</w:t>
      </w:r>
    </w:p>
    <w:p w:rsidR="00FC34E0" w:rsidRPr="00B53524" w:rsidRDefault="00FC34E0" w:rsidP="00FC34E0">
      <w:pPr>
        <w:pStyle w:val="FactsheetBullets"/>
        <w:numPr>
          <w:ilvl w:val="0"/>
          <w:numId w:val="1"/>
        </w:numPr>
      </w:pPr>
      <w:r w:rsidRPr="00311A64">
        <w:t xml:space="preserve">Infiltration trenches may be preceeded in a treatment train by </w:t>
      </w:r>
      <w:r w:rsidR="003C7091">
        <w:t>HSC</w:t>
      </w:r>
      <w:r w:rsidRPr="00311A64">
        <w:t xml:space="preserve">s in the drainage area, which would reduce the required volume of the trench.  </w:t>
      </w:r>
    </w:p>
    <w:p w:rsidR="00FC34E0" w:rsidRPr="00B53524" w:rsidRDefault="00FC34E0" w:rsidP="00FC34E0">
      <w:pPr>
        <w:pStyle w:val="FactsheetBullets"/>
        <w:numPr>
          <w:ilvl w:val="0"/>
          <w:numId w:val="1"/>
        </w:numPr>
      </w:pPr>
      <w:r w:rsidRPr="00311A64">
        <w:t>Infiltration trenches must b</w:t>
      </w:r>
      <w:r>
        <w:t>e preceeded by some form of pre</w:t>
      </w:r>
      <w:r w:rsidRPr="00311A64">
        <w:t>treatment which may be biotreatment or a treatment control BMP; if an approved biotreatment BMP is used as pretreatment, the overflow from the infiltration trench may be considered “biotreated” for the purposes of meeting the LID requirments</w:t>
      </w:r>
    </w:p>
    <w:p w:rsidR="00FC34E0" w:rsidRPr="00B53524" w:rsidRDefault="00FC34E0" w:rsidP="00FC34E0">
      <w:pPr>
        <w:pStyle w:val="FactsheetBullets"/>
        <w:numPr>
          <w:ilvl w:val="0"/>
          <w:numId w:val="1"/>
        </w:numPr>
      </w:pPr>
      <w:r w:rsidRPr="00311A64">
        <w:t>The overflow or bypass from an infiltration trench can be routed to a downstream biotreatment BMP and/or a treatment control BMP if additional control is required to achieve LID or treatment control requirements</w:t>
      </w:r>
    </w:p>
    <w:p w:rsidR="00FC34E0" w:rsidRPr="00B53524" w:rsidRDefault="00FC34E0" w:rsidP="00FC34E0">
      <w:pPr>
        <w:pStyle w:val="FactsheetSubheading"/>
        <w:outlineLvl w:val="0"/>
      </w:pPr>
      <w:r w:rsidRPr="00311A64">
        <w:t>Additional References for Design Guidance</w:t>
      </w:r>
    </w:p>
    <w:p w:rsidR="00FC34E0" w:rsidRPr="00B53524" w:rsidRDefault="00FC34E0" w:rsidP="00FC34E0">
      <w:pPr>
        <w:pStyle w:val="FactsheetBullets"/>
        <w:numPr>
          <w:ilvl w:val="0"/>
          <w:numId w:val="1"/>
        </w:numPr>
      </w:pPr>
      <w:r w:rsidRPr="00311A64">
        <w:t xml:space="preserve">CASQA BMP Handbook for New and Redevelopment: </w:t>
      </w:r>
      <w:hyperlink r:id="rId143" w:history="1">
        <w:r w:rsidRPr="00126DE5">
          <w:rPr>
            <w:rStyle w:val="Hyperlink"/>
            <w:rFonts w:ascii="Book Antiqua" w:hAnsi="Book Antiqua"/>
            <w:b/>
            <w:color w:val="0070C0"/>
          </w:rPr>
          <w:t>http://www.cabmphandbooks.com/Documents/Development/TC-10.pdf</w:t>
        </w:r>
      </w:hyperlink>
    </w:p>
    <w:p w:rsidR="00FC34E0" w:rsidRPr="00B53524" w:rsidRDefault="00FC34E0" w:rsidP="00FC34E0">
      <w:pPr>
        <w:pStyle w:val="FactsheetBullets"/>
        <w:numPr>
          <w:ilvl w:val="0"/>
          <w:numId w:val="1"/>
        </w:numPr>
      </w:pPr>
      <w:r w:rsidRPr="00311A64">
        <w:t xml:space="preserve">SMC LID Manual (pp 141): </w:t>
      </w:r>
      <w:hyperlink r:id="rId144" w:history="1">
        <w:r w:rsidRPr="00126DE5">
          <w:rPr>
            <w:rStyle w:val="Hyperlink"/>
            <w:rFonts w:ascii="Book Antiqua" w:hAnsi="Book Antiqua"/>
            <w:b/>
            <w:color w:val="0070C0"/>
          </w:rPr>
          <w:t>http://www.lowimpactdevelopment.org/guest75/pub/All_Projects/SoCal_LID_Manual/SoCalLID_Manual_FINAL_040910.pdf</w:t>
        </w:r>
      </w:hyperlink>
    </w:p>
    <w:p w:rsidR="00FC34E0" w:rsidRPr="00B53524" w:rsidRDefault="00FC34E0" w:rsidP="00FC34E0">
      <w:pPr>
        <w:pStyle w:val="FactsheetBullets"/>
        <w:numPr>
          <w:ilvl w:val="0"/>
          <w:numId w:val="1"/>
        </w:numPr>
      </w:pPr>
      <w:r w:rsidRPr="00311A64">
        <w:t xml:space="preserve">Los Angeles County Stormwater BMP </w:t>
      </w:r>
      <w:r>
        <w:t>Design and Maintenance Manual</w:t>
      </w:r>
      <w:r w:rsidRPr="00311A64">
        <w:t xml:space="preserve">, Chapter 6: </w:t>
      </w:r>
      <w:hyperlink r:id="rId145" w:history="1">
        <w:r w:rsidRPr="00126DE5">
          <w:rPr>
            <w:rStyle w:val="Hyperlink"/>
            <w:rFonts w:ascii="Book Antiqua" w:hAnsi="Book Antiqua"/>
            <w:b/>
            <w:color w:val="0070C0"/>
          </w:rPr>
          <w:t>http://dpw.lacounty.gov/DES/design_manuals/StormwaterBMPDesignandrainage areaintenance.pdf</w:t>
        </w:r>
      </w:hyperlink>
    </w:p>
    <w:p w:rsidR="00FC34E0" w:rsidRPr="00B53524" w:rsidRDefault="00FC34E0" w:rsidP="00FC34E0">
      <w:pPr>
        <w:pStyle w:val="FactsheetBullets"/>
        <w:numPr>
          <w:ilvl w:val="0"/>
          <w:numId w:val="1"/>
        </w:numPr>
      </w:pPr>
      <w:r w:rsidRPr="00311A64">
        <w:t>City of Portland Stormwater Managem</w:t>
      </w:r>
      <w:r>
        <w:t>ent Manual (Soakage Trenches, page</w:t>
      </w:r>
      <w:r w:rsidRPr="00311A64">
        <w:t xml:space="preserve"> 2-82) </w:t>
      </w:r>
      <w:hyperlink r:id="rId146" w:history="1">
        <w:r w:rsidRPr="00126DE5">
          <w:rPr>
            <w:rStyle w:val="Hyperlink"/>
            <w:rFonts w:ascii="Book Antiqua" w:hAnsi="Book Antiqua"/>
            <w:b/>
            <w:color w:val="0070C0"/>
          </w:rPr>
          <w:t>http://www.portlandonline.com/bes/index.cfm?c=47954&amp;a=202883</w:t>
        </w:r>
      </w:hyperlink>
    </w:p>
    <w:p w:rsidR="00FC34E0" w:rsidRPr="00B53524" w:rsidRDefault="00FC34E0" w:rsidP="00FC34E0">
      <w:pPr>
        <w:pStyle w:val="FactsheetBullets"/>
        <w:numPr>
          <w:ilvl w:val="0"/>
          <w:numId w:val="1"/>
        </w:numPr>
      </w:pPr>
      <w:r w:rsidRPr="00311A64">
        <w:t xml:space="preserve">San Diego County LID Handbook Appendix 4 (Factsheet 1):  </w:t>
      </w:r>
      <w:hyperlink r:id="rId147" w:history="1">
        <w:r w:rsidRPr="00126DE5">
          <w:rPr>
            <w:rStyle w:val="Hyperlink"/>
            <w:rFonts w:ascii="Book Antiqua" w:hAnsi="Book Antiqua"/>
            <w:b/>
            <w:color w:val="0070C0"/>
          </w:rPr>
          <w:t>http://www.sdcounty.ca.gov/dplu/docs/LID-Appendices.pdf</w:t>
        </w:r>
      </w:hyperlink>
    </w:p>
    <w:p w:rsidR="00FC34E0" w:rsidRPr="00B53524" w:rsidRDefault="00FC34E0" w:rsidP="00FC34E0">
      <w:pPr>
        <w:spacing w:after="200"/>
        <w:rPr>
          <w:rFonts w:ascii="Arial" w:eastAsia="Times New Roman" w:hAnsi="Arial" w:cs="Arial"/>
          <w:noProof/>
          <w:sz w:val="20"/>
          <w:lang w:eastAsia="zh-TW"/>
        </w:rPr>
      </w:pPr>
      <w:r w:rsidRPr="00311A64">
        <w:br w:type="page"/>
      </w:r>
    </w:p>
    <w:p w:rsidR="00FC34E0" w:rsidRPr="00B53524" w:rsidRDefault="00126F3D" w:rsidP="00533A19">
      <w:pPr>
        <w:pStyle w:val="Heading3"/>
        <w:numPr>
          <w:ilvl w:val="0"/>
          <w:numId w:val="0"/>
        </w:numPr>
        <w:ind w:left="907" w:hanging="907"/>
      </w:pPr>
      <w:bookmarkStart w:id="827" w:name="_Bioretention_with_no"/>
      <w:bookmarkStart w:id="828" w:name="_INF-3:_Bioretention_with"/>
      <w:bookmarkStart w:id="829" w:name="_Ref287794987"/>
      <w:bookmarkEnd w:id="827"/>
      <w:bookmarkEnd w:id="828"/>
      <w:r w:rsidRPr="00126F3D">
        <w:rPr>
          <w:rFonts w:ascii="Arial" w:eastAsia="Times New Roman" w:hAnsi="Arial" w:cs="Arial"/>
          <w:noProof/>
          <w:sz w:val="20"/>
        </w:rPr>
        <w:pict>
          <v:shape id="Text Box 25" o:spid="_x0000_s1159" type="#_x0000_t202" style="position:absolute;left:0;text-align:left;margin-left:-158.4pt;margin-top:.35pt;width:158.4pt;height:52.5pt;z-index:251763712;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" fillcolor="#d8d8d8">
            <v:textbox style="mso-next-textbox:#Text Box 25">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Default="00853C9A" w:rsidP="009531AF">
                  <w:pPr>
                    <w:pStyle w:val="CDMBTEXT"/>
                    <w:numPr>
                      <w:ilvl w:val="0"/>
                      <w:numId w:val="67"/>
                    </w:numPr>
                    <w:spacing w:after="60" w:line="240" w:lineRule="auto"/>
                    <w:ind w:left="540"/>
                    <w:rPr>
                      <w:i/>
                    </w:rPr>
                  </w:pPr>
                  <w:r w:rsidRPr="00B150B9">
                    <w:rPr>
                      <w:i/>
                    </w:rPr>
                    <w:t>Rain gardens</w:t>
                  </w:r>
                </w:p>
                <w:p w:rsidR="00853C9A" w:rsidRPr="00B150B9" w:rsidRDefault="00853C9A" w:rsidP="009531AF">
                  <w:pPr>
                    <w:pStyle w:val="CDMBTEXT"/>
                    <w:numPr>
                      <w:ilvl w:val="0"/>
                      <w:numId w:val="67"/>
                    </w:numPr>
                    <w:spacing w:after="60" w:line="240" w:lineRule="auto"/>
                    <w:ind w:left="540"/>
                    <w:rPr>
                      <w:i/>
                    </w:rPr>
                  </w:pPr>
                  <w:r>
                    <w:rPr>
                      <w:i/>
                    </w:rPr>
                    <w:t>Infiltration planter</w:t>
                  </w:r>
                </w:p>
              </w:txbxContent>
            </v:textbox>
            <w10:wrap type="square" anchorx="margin" anchory="margin"/>
          </v:shape>
        </w:pict>
      </w:r>
      <w:bookmarkStart w:id="830" w:name="_Toc285589330"/>
      <w:r w:rsidR="00FC34E0">
        <w:t xml:space="preserve">INF-3: </w:t>
      </w:r>
      <w:r w:rsidR="00FC34E0" w:rsidRPr="00311A64">
        <w:t xml:space="preserve">Bioretention with </w:t>
      </w:r>
      <w:r w:rsidR="00FC34E0">
        <w:t>n</w:t>
      </w:r>
      <w:r w:rsidR="00FC34E0" w:rsidRPr="00311A64">
        <w:t>o Underdrain</w:t>
      </w:r>
      <w:bookmarkEnd w:id="829"/>
      <w:bookmarkEnd w:id="830"/>
    </w:p>
    <w:p w:rsidR="00FC34E0" w:rsidRPr="00B53524" w:rsidRDefault="00126F3D" w:rsidP="00FC34E0">
      <w:pPr>
        <w:pStyle w:val="CDMBTEXT"/>
        <w:rPr>
          <w:szCs w:val="22"/>
        </w:rPr>
      </w:pPr>
      <w:r w:rsidRPr="00126F3D">
        <w:rPr>
          <w:noProof/>
        </w:rPr>
        <w:pict>
          <v:shape id="Text Box 26" o:spid="_x0000_s1160" type="#_x0000_t202" style="position:absolute;margin-left:-158.4pt;margin-top:52.85pt;width:158.4pt;height:157.3pt;z-index:251764736;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" filled="f">
            <v:textbox style="mso-next-textbox:#Text Box 26" inset="0,0,0,0">
              <w:txbxContent>
                <w:p w:rsidR="00853C9A" w:rsidRDefault="00853C9A" w:rsidP="00FC34E0">
                  <w:pPr>
                    <w:ind w:left="-29" w:right="-29"/>
                    <w:rPr>
                      <w:rFonts w:ascii="Arial" w:hAnsi="Arial" w:cs="Arial"/>
                      <w:sz w:val="20"/>
                    </w:rPr>
                  </w:pPr>
                  <w:r w:rsidRPr="00C95370">
                    <w:rPr>
                      <w:rFonts w:ascii="Arial" w:hAnsi="Arial" w:cs="Arial"/>
                      <w:noProof/>
                      <w:sz w:val="20"/>
                    </w:rPr>
                    <w:drawing>
                      <wp:inline distT="0" distB="0" distL="0" distR="0">
                        <wp:extent cx="1994575" cy="1492329"/>
                        <wp:effectExtent l="19050" t="0" r="5675" b="0"/>
                        <wp:docPr id="8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screen"/>
                                <a:srcRect/>
                                <a:stretch>
                                  <a:fillRect/>
                                </a:stretch>
                              </pic:blipFill>
                              <pic:spPr bwMode="auto">
                                <a:xfrm>
                                  <a:off x="0" y="0"/>
                                  <a:ext cx="1996448" cy="1493730"/>
                                </a:xfrm>
                                <a:prstGeom prst="rect">
                                  <a:avLst/>
                                </a:prstGeom>
                                <a:noFill/>
                                <a:ln w="9525">
                                  <a:noFill/>
                                  <a:miter lim="800000"/>
                                  <a:headEnd/>
                                  <a:tailEnd/>
                                </a:ln>
                              </pic:spPr>
                            </pic:pic>
                          </a:graphicData>
                        </a:graphic>
                      </wp:inline>
                    </w:drawing>
                  </w:r>
                </w:p>
                <w:p w:rsidR="00853C9A" w:rsidRDefault="00853C9A" w:rsidP="00FC34E0">
                  <w:pPr>
                    <w:spacing w:after="0"/>
                    <w:ind w:left="187"/>
                    <w:rPr>
                      <w:rFonts w:ascii="Arial" w:hAnsi="Arial" w:cs="Arial"/>
                      <w:sz w:val="20"/>
                    </w:rPr>
                  </w:pPr>
                  <w:r>
                    <w:rPr>
                      <w:rFonts w:ascii="Arial" w:hAnsi="Arial" w:cs="Arial"/>
                      <w:sz w:val="20"/>
                    </w:rPr>
                    <w:t>Bioretention</w:t>
                  </w:r>
                </w:p>
                <w:p w:rsidR="00853C9A" w:rsidRPr="00336A84" w:rsidRDefault="00853C9A" w:rsidP="00FC34E0">
                  <w:pPr>
                    <w:spacing w:after="0"/>
                    <w:ind w:left="187"/>
                    <w:rPr>
                      <w:rFonts w:ascii="Arial" w:hAnsi="Arial" w:cs="Arial"/>
                      <w:i/>
                      <w:sz w:val="18"/>
                    </w:rPr>
                  </w:pPr>
                  <w:r w:rsidRPr="00336A84">
                    <w:rPr>
                      <w:rFonts w:ascii="Arial" w:hAnsi="Arial" w:cs="Arial"/>
                      <w:i/>
                      <w:sz w:val="18"/>
                    </w:rPr>
                    <w:t>Source: Geosyntec Consultants</w:t>
                  </w:r>
                </w:p>
              </w:txbxContent>
            </v:textbox>
            <w10:wrap type="square" anchorx="margin" anchory="margin"/>
          </v:shape>
        </w:pict>
      </w:r>
      <w:r w:rsidR="00FC34E0" w:rsidRPr="00311A64">
        <w:t xml:space="preserve">Bioretention stormwater treatment facilities are landscaped shallow depressions that capture and filter stormwater runoff. These facilities function as a soil and plant-based filtration device that removes pollutants through a variety of physical, biological, and chemical treatment processes. The facilities normally consist of a ponding area, mulch layer, planting soils, and plants. As stormwater passes down through the planting soil, pollutants are filtered, adsorbed, and biodegraded by the soil and plants. For areas with low permeability native soils or steep slopes, bioretention areas can be designed with an underdrain system that routes the treated runoff to the storm drain system rather than depending entirely on infiltration.  </w:t>
      </w:r>
    </w:p>
    <w:p w:rsidR="00FC34E0" w:rsidRPr="00B53524" w:rsidRDefault="00FC34E0" w:rsidP="00FC34E0">
      <w:pPr>
        <w:pStyle w:val="FactsheetSubheading"/>
        <w:outlineLvl w:val="0"/>
      </w:pPr>
      <w:r>
        <w:t>Feasibility Screening</w:t>
      </w:r>
      <w:r w:rsidRPr="00311A64">
        <w:t xml:space="preserve"> Considerations</w:t>
      </w:r>
    </w:p>
    <w:p w:rsidR="00FC34E0" w:rsidRPr="00B53524" w:rsidRDefault="00FC34E0" w:rsidP="00FC34E0">
      <w:pPr>
        <w:pStyle w:val="FactsheetBullets"/>
        <w:numPr>
          <w:ilvl w:val="0"/>
          <w:numId w:val="1"/>
        </w:numPr>
      </w:pPr>
      <w:r w:rsidRPr="00311A64">
        <w:t xml:space="preserve">Bioretention </w:t>
      </w:r>
      <w:r>
        <w:t>with no underdrains shall pass infiltration infeasibility screening criteria to be considered for use</w:t>
      </w:r>
      <w:r w:rsidRPr="00311A64">
        <w:t>.</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rsidRPr="00311A64">
        <w:t>Land use may include commercial, residential, mixed use, institutional, and subdivisions.  Bioretention may also be applied in parking lot islands, cul-de-sacs, traffic circles, road shoulders, and road medians.</w:t>
      </w:r>
    </w:p>
    <w:p w:rsidR="00FC34E0" w:rsidRPr="00B53524" w:rsidRDefault="00FC34E0" w:rsidP="00FC34E0">
      <w:pPr>
        <w:pStyle w:val="FactsheetBullets"/>
        <w:numPr>
          <w:ilvl w:val="0"/>
          <w:numId w:val="1"/>
        </w:numPr>
      </w:pPr>
      <w:r w:rsidRPr="00311A64">
        <w:t>Drainage area is ≤ 5 acres</w:t>
      </w:r>
      <w:r w:rsidRPr="00B53524">
        <w:t>, preferrably ≤ 1 acre</w:t>
      </w:r>
      <w:r w:rsidRPr="00311A64">
        <w:t>.</w:t>
      </w:r>
    </w:p>
    <w:p w:rsidR="00FC34E0" w:rsidRPr="00B53524" w:rsidRDefault="00FC34E0" w:rsidP="00FC34E0">
      <w:pPr>
        <w:pStyle w:val="FactsheetBullets"/>
        <w:numPr>
          <w:ilvl w:val="0"/>
          <w:numId w:val="1"/>
        </w:numPr>
      </w:pPr>
      <w:r>
        <w:t xml:space="preserve">Area available </w:t>
      </w:r>
      <w:r w:rsidRPr="00311A64">
        <w:t>for infiltration.</w:t>
      </w:r>
    </w:p>
    <w:p w:rsidR="00FC34E0" w:rsidRPr="00B53524" w:rsidRDefault="00FC34E0" w:rsidP="00FC34E0">
      <w:pPr>
        <w:pStyle w:val="FactsheetBullets"/>
        <w:numPr>
          <w:ilvl w:val="0"/>
          <w:numId w:val="1"/>
        </w:numPr>
      </w:pPr>
      <w:r w:rsidRPr="006A1FB4">
        <w:t>Soils</w:t>
      </w:r>
      <w:r w:rsidRPr="00311A64">
        <w:t xml:space="preserve"> are adequate for infiltration or can be amended to improve infiltration capacity. Site slope is less than 15 percent.</w:t>
      </w:r>
    </w:p>
    <w:p w:rsidR="00FC34E0" w:rsidRPr="00B53524" w:rsidRDefault="00FC34E0" w:rsidP="00FC34E0">
      <w:pPr>
        <w:pStyle w:val="FactsheetSubheading"/>
        <w:outlineLvl w:val="0"/>
      </w:pPr>
      <w:r w:rsidRPr="00311A64">
        <w:t>OC-Specific Design Criteria and Considerations</w:t>
      </w:r>
    </w:p>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0"/>
        <w:gridCol w:w="8730"/>
      </w:tblGrid>
      <w:tr w:rsidR="00FC34E0" w:rsidRPr="00B53524" w:rsidTr="00FC34E0">
        <w:trPr>
          <w:trHeight w:val="147"/>
        </w:trPr>
        <w:tc>
          <w:tcPr>
            <w:tcW w:w="720" w:type="dxa"/>
            <w:vAlign w:val="center"/>
          </w:tcPr>
          <w:p w:rsidR="00FC34E0" w:rsidRPr="00B53524" w:rsidRDefault="00FC34E0" w:rsidP="00FC34E0">
            <w:pPr>
              <w:pStyle w:val="CheckBoxList"/>
              <w:spacing w:after="60"/>
              <w:ind w:left="806" w:hanging="806"/>
            </w:pPr>
          </w:p>
        </w:tc>
        <w:tc>
          <w:tcPr>
            <w:tcW w:w="8730" w:type="dxa"/>
            <w:vAlign w:val="center"/>
          </w:tcPr>
          <w:p w:rsidR="00FC34E0" w:rsidRPr="00B53524" w:rsidRDefault="00FC34E0" w:rsidP="00FC34E0">
            <w:pPr>
              <w:pStyle w:val="CheckBoxTableText"/>
            </w:pPr>
            <w:r w:rsidRPr="00311A64">
              <w:t>Placement of BMPs should observe geotechnical recommendations with respect to geological hazards (e.g. landslides, liquefaction zones, erosion, etc.) and set-backs (e.g., foundations, utilities, roadways, etc.)</w:t>
            </w:r>
          </w:p>
        </w:tc>
      </w:tr>
      <w:tr w:rsidR="00FC34E0" w:rsidRPr="00B53524" w:rsidTr="00FC34E0">
        <w:trPr>
          <w:trHeight w:val="147"/>
        </w:trPr>
        <w:tc>
          <w:tcPr>
            <w:tcW w:w="720" w:type="dxa"/>
            <w:vAlign w:val="center"/>
          </w:tcPr>
          <w:p w:rsidR="00FC34E0" w:rsidRPr="00B53524" w:rsidRDefault="00FC34E0" w:rsidP="00FC34E0">
            <w:pPr>
              <w:pStyle w:val="CheckBoxList"/>
              <w:spacing w:after="60"/>
              <w:ind w:left="806" w:hanging="806"/>
            </w:pPr>
          </w:p>
        </w:tc>
        <w:tc>
          <w:tcPr>
            <w:tcW w:w="8730" w:type="dxa"/>
            <w:vAlign w:val="center"/>
          </w:tcPr>
          <w:p w:rsidR="00FC34E0" w:rsidRPr="00311A64" w:rsidRDefault="00FC34E0" w:rsidP="00FC34E0">
            <w:pPr>
              <w:pStyle w:val="CheckBoxTableText"/>
            </w:pPr>
            <w:r>
              <w:t>Depth to mounded seasonally high groundwater shall not be less than 5 feet.</w:t>
            </w:r>
          </w:p>
        </w:tc>
      </w:tr>
      <w:tr w:rsidR="00FC34E0" w:rsidRPr="00B53524" w:rsidTr="00FC34E0">
        <w:trPr>
          <w:trHeight w:val="144"/>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If sheet flow is conveyed to the treatment area over stabilized grassed areas, the site must be graded in such a way that minimizes erosive conditions; sheet flow velocities should not exceed 1 foot per second.</w:t>
            </w:r>
          </w:p>
        </w:tc>
      </w:tr>
      <w:tr w:rsidR="00FC34E0" w:rsidRPr="00B53524" w:rsidTr="00FC34E0">
        <w:trPr>
          <w:trHeight w:val="144"/>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Ponding depth should not exceed 18 inches</w:t>
            </w:r>
            <w:r w:rsidRPr="00B53524">
              <w:t>; fencing may be required if ponding depth exceeds 6 inches</w:t>
            </w:r>
            <w:r>
              <w:t xml:space="preserve"> to mitigate the risk of drowning</w:t>
            </w:r>
            <w:r w:rsidRPr="00B53524">
              <w:t>.</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t xml:space="preserve">Planting/storage media shall be based on the recommendations contained in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_Ref287705023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MISC-1: Planting/Storage Media</w:t>
            </w:r>
            <w:r w:rsidR="00126F3D" w:rsidRPr="00126DE5">
              <w:rPr>
                <w:rFonts w:ascii="Book Antiqua" w:hAnsi="Book Antiqua"/>
                <w:b/>
                <w:color w:val="0070C0"/>
              </w:rPr>
              <w:fldChar w:fldCharType="end"/>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 xml:space="preserve">The minimum amended soil depth is </w:t>
            </w:r>
            <w:r>
              <w:t>1.5</w:t>
            </w:r>
            <w:r w:rsidRPr="00311A64">
              <w:t xml:space="preserve"> feet (3 feet is preferred). </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 xml:space="preserve">The maximum drawdown time of the planting soil is 48 hours. </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 xml:space="preserve">Infiltration pathways may need to be restricted due to the close proximity of roads, foundations, or other infrastructure.  A geomembrane liner, or other equivalent water proofing, may be placed along the vertical </w:t>
            </w:r>
            <w:r w:rsidR="00990A72">
              <w:t xml:space="preserve">walls to reduce lateral flows. </w:t>
            </w:r>
            <w:r w:rsidRPr="00311A64">
              <w:t>This liner should have a minimum thickness of 30 mils.</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990A72">
            <w:pPr>
              <w:pStyle w:val="CheckBoxTableText"/>
            </w:pPr>
            <w:r w:rsidRPr="00311A64">
              <w:t xml:space="preserve">Plant materials should be tolerant of summer drought, ponding fluctuations, and saturated soil conditions for 48 hours; native plant species and/or hardy cultivars that are not invasive and do not require chemical fertilizers or pesticides should be used to the maximum extent </w:t>
            </w:r>
            <w:r w:rsidR="00990A72">
              <w:t>feasible</w:t>
            </w:r>
            <w:r w:rsidRPr="00311A64">
              <w:t>.</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The bioretention area should be covered with 2-4 inches (average 3 inches) of mulch at startup and an additional placement of 1-2 inches of mulch should be added annually.</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311A64" w:rsidRDefault="00FC34E0" w:rsidP="00FC34E0">
            <w:pPr>
              <w:pStyle w:val="CheckBoxTableText"/>
            </w:pPr>
            <w:r>
              <w:t>An optional gravel drainage layer may be installed below planting media to augment storage volume.</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Default="00FC34E0" w:rsidP="00FC34E0">
            <w:pPr>
              <w:pStyle w:val="CheckBoxTableText"/>
            </w:pPr>
            <w:r>
              <w:t xml:space="preserve">An overflow device is required at the top of the ponding depth. </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Default="00FC34E0" w:rsidP="00FC34E0">
            <w:pPr>
              <w:pStyle w:val="CheckBoxTableText"/>
            </w:pPr>
            <w:r>
              <w:t xml:space="preserve">Dispersed flow or energy dissipation (i.e. splash rocks) for piped inlets should be provided at basin inlet  to prevent erosion. </w:t>
            </w:r>
          </w:p>
        </w:tc>
      </w:tr>
    </w:tbl>
    <w:p w:rsidR="00FC34E0" w:rsidRPr="00B53524" w:rsidRDefault="00FC34E0" w:rsidP="00FC34E0">
      <w:pPr>
        <w:pStyle w:val="FactsheetSubheading"/>
      </w:pPr>
      <w:r>
        <w:t xml:space="preserve">Simple </w:t>
      </w:r>
      <w:r w:rsidRPr="00311A64">
        <w:t xml:space="preserve">Sizing </w:t>
      </w:r>
      <w:r>
        <w:t>Method</w:t>
      </w:r>
      <w:r w:rsidRPr="00311A64">
        <w:t xml:space="preserve"> for </w:t>
      </w:r>
      <w:r>
        <w:t>Bioretention with no Underdrain</w:t>
      </w:r>
    </w:p>
    <w:p w:rsidR="00FC34E0" w:rsidRDefault="00FC34E0" w:rsidP="00FC34E0">
      <w:pPr>
        <w:pStyle w:val="CheckBoxTableText"/>
      </w:pPr>
      <w:r>
        <w:t xml:space="preserve">If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Simple Design Capture Volume Sizing Method</w:t>
      </w:r>
      <w:r w:rsidR="00126F3D" w:rsidRPr="00126DE5">
        <w:rPr>
          <w:rFonts w:ascii="Book Antiqua" w:hAnsi="Book Antiqua"/>
          <w:b/>
          <w:color w:val="0070C0"/>
        </w:rPr>
        <w:fldChar w:fldCharType="end"/>
      </w:r>
      <w:r>
        <w:t xml:space="preserve"> described in </w:t>
      </w:r>
      <w:r w:rsidR="00524D76" w:rsidRPr="00524D76">
        <w:rPr>
          <w:b/>
        </w:rPr>
        <w:t>Appendix</w:t>
      </w:r>
      <w: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III.3.1</w:t>
      </w:r>
      <w:r w:rsidR="00126F3D" w:rsidRPr="00126DE5">
        <w:rPr>
          <w:rFonts w:ascii="Book Antiqua" w:hAnsi="Book Antiqua"/>
          <w:b/>
          <w:color w:val="0070C0"/>
        </w:rPr>
        <w:fldChar w:fldCharType="end"/>
      </w:r>
      <w:r>
        <w:t xml:space="preserve"> is used to size a bioretention area with underdrains, the user calculates the DCV and designs the system with geometry required to draw down the </w:t>
      </w:r>
      <w:r w:rsidR="003C7091">
        <w:t>DCV</w:t>
      </w:r>
      <w:r>
        <w:t xml:space="preserve"> in 48 hours.  The sizing steps are as follows:</w:t>
      </w:r>
    </w:p>
    <w:p w:rsidR="00FC34E0" w:rsidRDefault="00FC34E0" w:rsidP="00FC34E0">
      <w:pPr>
        <w:pStyle w:val="FSStepHeaders"/>
      </w:pPr>
      <w:r>
        <w:t>Step 1: Dete</w:t>
      </w:r>
      <w:r w:rsidRPr="0062364E">
        <w:rPr>
          <w:rStyle w:val="CheckBoxTableTextChar"/>
        </w:rPr>
        <w:t>r</w:t>
      </w:r>
      <w:r>
        <w:t>mine the Bioretention Design Capture Volume</w:t>
      </w:r>
    </w:p>
    <w:p w:rsidR="00FC34E0" w:rsidRDefault="00FC34E0" w:rsidP="00FC34E0">
      <w:pPr>
        <w:pStyle w:val="CheckBoxTableText"/>
      </w:pPr>
      <w:r>
        <w:t xml:space="preserve">Calculate the </w:t>
      </w:r>
      <w:r w:rsidR="003C7091">
        <w:t>DCV</w:t>
      </w:r>
      <w:r>
        <w:t xml:space="preserve"> using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Simple Design Capture Volume Sizing Method</w:t>
      </w:r>
      <w:r w:rsidR="00126F3D" w:rsidRPr="00126DE5">
        <w:rPr>
          <w:rFonts w:ascii="Book Antiqua" w:hAnsi="Book Antiqua"/>
          <w:b/>
          <w:color w:val="0070C0"/>
        </w:rPr>
        <w:fldChar w:fldCharType="end"/>
      </w:r>
      <w:r>
        <w:t xml:space="preserve"> described in </w:t>
      </w:r>
      <w:r w:rsidR="00524D76" w:rsidRPr="00524D76">
        <w:rPr>
          <w:b/>
        </w:rPr>
        <w:t>Appendix</w:t>
      </w:r>
      <w: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III.3.1</w:t>
      </w:r>
      <w:r w:rsidR="00126F3D" w:rsidRPr="00126DE5">
        <w:rPr>
          <w:rFonts w:ascii="Book Antiqua" w:hAnsi="Book Antiqua"/>
          <w:b/>
          <w:color w:val="0070C0"/>
        </w:rPr>
        <w:fldChar w:fldCharType="end"/>
      </w:r>
      <w:r>
        <w:t xml:space="preserve">. </w:t>
      </w:r>
    </w:p>
    <w:p w:rsidR="00FC34E0" w:rsidRDefault="00FC34E0" w:rsidP="00FC34E0">
      <w:pPr>
        <w:pStyle w:val="FSStepHeaders"/>
      </w:pPr>
      <w:r>
        <w:t>Step 2: Determine the 48-hour Ponding Depth</w:t>
      </w:r>
    </w:p>
    <w:p w:rsidR="00FC34E0" w:rsidRDefault="00FC34E0" w:rsidP="00FC34E0">
      <w:pPr>
        <w:pStyle w:val="CheckBoxTableText"/>
      </w:pPr>
      <w:r>
        <w:t>The depth of effective storage depth that can be drawn down in 48 hours can be calculated using the following equation:</w:t>
      </w:r>
    </w:p>
    <w:p w:rsidR="00FC34E0" w:rsidRDefault="00FC34E0" w:rsidP="00FC34E0">
      <w:pPr>
        <w:pStyle w:val="FactSheetEquation"/>
      </w:pPr>
      <w:r>
        <w:t>d</w:t>
      </w:r>
      <w:r>
        <w:rPr>
          <w:vertAlign w:val="subscript"/>
        </w:rPr>
        <w:t>48</w:t>
      </w:r>
      <w:r>
        <w:t xml:space="preserve"> = K</w:t>
      </w:r>
      <w:r>
        <w:rPr>
          <w:vertAlign w:val="subscript"/>
        </w:rPr>
        <w:t>DESIGN</w:t>
      </w:r>
      <w:r>
        <w:t xml:space="preserve"> × 4 </w:t>
      </w:r>
    </w:p>
    <w:p w:rsidR="00FC34E0" w:rsidRDefault="00FC34E0" w:rsidP="00FC34E0">
      <w:pPr>
        <w:pStyle w:val="FactsheetBullets"/>
        <w:numPr>
          <w:ilvl w:val="0"/>
          <w:numId w:val="0"/>
        </w:numPr>
      </w:pPr>
      <w:r>
        <w:t>Where:</w:t>
      </w:r>
    </w:p>
    <w:p w:rsidR="00FC34E0" w:rsidRDefault="00FC34E0" w:rsidP="00FC34E0">
      <w:pPr>
        <w:pStyle w:val="FactSheetEquation"/>
      </w:pPr>
      <w:r>
        <w:t>d</w:t>
      </w:r>
      <w:r>
        <w:rPr>
          <w:vertAlign w:val="subscript"/>
        </w:rPr>
        <w:t>48</w:t>
      </w:r>
      <w:r>
        <w:t xml:space="preserve"> = bioretention 48-hour effective depth, ft</w:t>
      </w:r>
    </w:p>
    <w:p w:rsidR="00FC34E0" w:rsidRDefault="00FC34E0" w:rsidP="00FC34E0">
      <w:pPr>
        <w:pStyle w:val="FactSheetEquation"/>
      </w:pPr>
      <w:r>
        <w:t>K</w:t>
      </w:r>
      <w:r>
        <w:rPr>
          <w:vertAlign w:val="subscript"/>
        </w:rPr>
        <w:t>DESIGN</w:t>
      </w:r>
      <w:r>
        <w:t xml:space="preserve"> = bioretention design infiltration rate, in/hr (See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_Ref287704666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VII</w:t>
      </w:r>
      <w:r w:rsidR="00126F3D" w:rsidRPr="00126DE5">
        <w:rPr>
          <w:rFonts w:ascii="Book Antiqua" w:hAnsi="Book Antiqua"/>
          <w:b/>
          <w:color w:val="0070C0"/>
        </w:rPr>
        <w:fldChar w:fldCharType="end"/>
      </w:r>
      <w:r>
        <w:t xml:space="preserve">) </w:t>
      </w:r>
    </w:p>
    <w:p w:rsidR="00FC34E0" w:rsidRPr="00213BB7" w:rsidRDefault="00FC34E0" w:rsidP="00FC34E0">
      <w:pPr>
        <w:pStyle w:val="CheckBoxTableText"/>
      </w:pPr>
      <w:r>
        <w:t>This is the maximum effective depth of the basin below the overflow device to achieve drawdown in 48 hours. Effective depth includes ponding water and media/aggregate pore space.</w:t>
      </w:r>
    </w:p>
    <w:p w:rsidR="00FC34E0" w:rsidRDefault="00FC34E0" w:rsidP="00FC34E0">
      <w:pPr>
        <w:pStyle w:val="FSStepHeaders"/>
      </w:pPr>
      <w:r>
        <w:t>Step 3: Design System Geometry to Provide d</w:t>
      </w:r>
      <w:r w:rsidRPr="00CF4187">
        <w:rPr>
          <w:vertAlign w:val="subscript"/>
        </w:rPr>
        <w:t>48</w:t>
      </w:r>
    </w:p>
    <w:p w:rsidR="00FC34E0" w:rsidRDefault="00FC34E0" w:rsidP="00FC34E0">
      <w:pPr>
        <w:pStyle w:val="FactSheetEquation"/>
      </w:pPr>
      <w:r>
        <w:t xml:space="preserve">Design system geometry such that </w:t>
      </w:r>
    </w:p>
    <w:p w:rsidR="00FC34E0" w:rsidRDefault="00FC34E0" w:rsidP="00FC34E0">
      <w:pPr>
        <w:pStyle w:val="FactSheetEquation"/>
      </w:pPr>
      <w:r>
        <w:t>d</w:t>
      </w:r>
      <w:r w:rsidRPr="00CF4187">
        <w:rPr>
          <w:vertAlign w:val="subscript"/>
        </w:rPr>
        <w:t>48</w:t>
      </w:r>
      <w:r>
        <w:t xml:space="preserve"> ≥ d</w:t>
      </w:r>
      <w:r>
        <w:rPr>
          <w:vertAlign w:val="subscript"/>
        </w:rPr>
        <w:t xml:space="preserve">EFFECTIVE </w:t>
      </w:r>
      <w:r>
        <w:t>= (d</w:t>
      </w:r>
      <w:r>
        <w:rPr>
          <w:vertAlign w:val="subscript"/>
        </w:rPr>
        <w:t>P</w:t>
      </w:r>
      <w:r>
        <w:t xml:space="preserve"> + n</w:t>
      </w:r>
      <w:r>
        <w:rPr>
          <w:vertAlign w:val="subscript"/>
        </w:rPr>
        <w:t>M</w:t>
      </w:r>
      <w:r>
        <w:t>d</w:t>
      </w:r>
      <w:r>
        <w:rPr>
          <w:vertAlign w:val="subscript"/>
        </w:rPr>
        <w:t>M</w:t>
      </w:r>
      <w:r>
        <w:t xml:space="preserve"> + n</w:t>
      </w:r>
      <w:r>
        <w:rPr>
          <w:vertAlign w:val="subscript"/>
        </w:rPr>
        <w:t>G</w:t>
      </w:r>
      <w:r>
        <w:t>d</w:t>
      </w:r>
      <w:r>
        <w:rPr>
          <w:vertAlign w:val="subscript"/>
        </w:rPr>
        <w:t>G</w:t>
      </w:r>
      <w:r>
        <w:t>)</w:t>
      </w:r>
    </w:p>
    <w:p w:rsidR="00FC34E0" w:rsidRDefault="00FC34E0" w:rsidP="00FC34E0">
      <w:pPr>
        <w:pStyle w:val="FactsheetBullets"/>
        <w:numPr>
          <w:ilvl w:val="0"/>
          <w:numId w:val="0"/>
        </w:numPr>
      </w:pPr>
      <w:r>
        <w:t>Where:</w:t>
      </w:r>
    </w:p>
    <w:p w:rsidR="00FC34E0" w:rsidRDefault="00FC34E0" w:rsidP="00FC34E0">
      <w:pPr>
        <w:pStyle w:val="FactSheetEquation"/>
      </w:pPr>
      <w:r>
        <w:t>d</w:t>
      </w:r>
      <w:r w:rsidRPr="00CF4187">
        <w:rPr>
          <w:vertAlign w:val="subscript"/>
        </w:rPr>
        <w:t>48</w:t>
      </w:r>
      <w:r>
        <w:t xml:space="preserve"> = depth of water that can drain in 48 hours</w:t>
      </w:r>
    </w:p>
    <w:p w:rsidR="00FC34E0" w:rsidRPr="0050469A" w:rsidRDefault="00FC34E0" w:rsidP="00FC34E0">
      <w:pPr>
        <w:pStyle w:val="FactSheetEquation"/>
      </w:pPr>
      <w:r>
        <w:t>d</w:t>
      </w:r>
      <w:r>
        <w:rPr>
          <w:vertAlign w:val="subscript"/>
        </w:rPr>
        <w:t>EFFECTIVE</w:t>
      </w:r>
      <w:r>
        <w:t xml:space="preserve"> = total effective depth of water stored in bioretention area, ft</w:t>
      </w:r>
    </w:p>
    <w:p w:rsidR="00FC34E0" w:rsidRPr="00213BB7" w:rsidRDefault="00FC34E0" w:rsidP="00FC34E0">
      <w:pPr>
        <w:pStyle w:val="FactSheetEquation"/>
      </w:pPr>
      <w:r>
        <w:t>d</w:t>
      </w:r>
      <w:r w:rsidRPr="0050469A">
        <w:rPr>
          <w:vertAlign w:val="subscript"/>
        </w:rPr>
        <w:t>P</w:t>
      </w:r>
      <w:r>
        <w:rPr>
          <w:vertAlign w:val="subscript"/>
        </w:rPr>
        <w:t xml:space="preserve"> </w:t>
      </w:r>
      <w:r>
        <w:t>= bioretention ponding depth, ft (should be less than or equal to 1.5 ft)</w:t>
      </w:r>
    </w:p>
    <w:p w:rsidR="00FC34E0" w:rsidRDefault="00FC34E0" w:rsidP="00FC34E0">
      <w:pPr>
        <w:pStyle w:val="FactSheetEquation"/>
      </w:pPr>
      <w:r>
        <w:t>n</w:t>
      </w:r>
      <w:r>
        <w:rPr>
          <w:vertAlign w:val="subscript"/>
        </w:rPr>
        <w:t>M</w:t>
      </w:r>
      <w:r>
        <w:t xml:space="preserve"> = bioretention media porosity </w:t>
      </w:r>
    </w:p>
    <w:p w:rsidR="00FC34E0" w:rsidRDefault="00FC34E0" w:rsidP="00FC34E0">
      <w:pPr>
        <w:pStyle w:val="FactSheetEquation"/>
      </w:pPr>
      <w:r>
        <w:t>d</w:t>
      </w:r>
      <w:r>
        <w:rPr>
          <w:vertAlign w:val="subscript"/>
        </w:rPr>
        <w:t>M</w:t>
      </w:r>
      <w:r>
        <w:t xml:space="preserve"> = bioretention media depth, ft</w:t>
      </w:r>
    </w:p>
    <w:p w:rsidR="00FC34E0" w:rsidRDefault="00FC34E0" w:rsidP="00FC34E0">
      <w:pPr>
        <w:pStyle w:val="FactSheetEquation"/>
      </w:pPr>
      <w:r>
        <w:t>n</w:t>
      </w:r>
      <w:r>
        <w:rPr>
          <w:vertAlign w:val="subscript"/>
        </w:rPr>
        <w:t xml:space="preserve">G </w:t>
      </w:r>
      <w:r>
        <w:t xml:space="preserve"> = bioretention gravel layer porosity; </w:t>
      </w:r>
      <w:r w:rsidRPr="00311A64">
        <w:t>0.35 may be assumed where other information is not available</w:t>
      </w:r>
    </w:p>
    <w:p w:rsidR="00FC34E0" w:rsidRDefault="00FC34E0" w:rsidP="00FC34E0">
      <w:pPr>
        <w:pStyle w:val="FactSheetEquation"/>
      </w:pPr>
      <w:r>
        <w:t>d</w:t>
      </w:r>
      <w:r>
        <w:rPr>
          <w:vertAlign w:val="subscript"/>
        </w:rPr>
        <w:t>G</w:t>
      </w:r>
      <w:r>
        <w:t xml:space="preserve"> = bioretention gravel layer depth, ft</w:t>
      </w:r>
    </w:p>
    <w:p w:rsidR="00FC34E0" w:rsidRDefault="00FC34E0" w:rsidP="00FC34E0">
      <w:pPr>
        <w:pStyle w:val="FSStepHeaders"/>
      </w:pPr>
      <w:r>
        <w:t>Step 4: Calculate the Required Infiltrating Area</w:t>
      </w:r>
    </w:p>
    <w:p w:rsidR="00FC34E0" w:rsidRDefault="00FC34E0" w:rsidP="00FC34E0">
      <w:pPr>
        <w:pStyle w:val="CheckBoxTableText"/>
      </w:pPr>
      <w:r>
        <w:t>The required infiltrating area (i.e. measured at the media surface) can be calculated using the following equation:</w:t>
      </w:r>
    </w:p>
    <w:p w:rsidR="00FC34E0" w:rsidRPr="009070C1" w:rsidRDefault="00FC34E0" w:rsidP="00FC34E0">
      <w:pPr>
        <w:pStyle w:val="FactsheetBullets"/>
        <w:numPr>
          <w:ilvl w:val="0"/>
          <w:numId w:val="0"/>
        </w:numPr>
        <w:ind w:firstLine="360"/>
        <w:rPr>
          <w:vertAlign w:val="subscript"/>
        </w:rPr>
      </w:pPr>
      <w:r w:rsidRPr="00C54C96">
        <w:rPr>
          <w:rStyle w:val="FactSheetEquationChar"/>
        </w:rPr>
        <w:t>A = DCV</w:t>
      </w:r>
      <w:r>
        <w:rPr>
          <w:rStyle w:val="FactSheetEquationChar"/>
        </w:rPr>
        <w:t xml:space="preserve"> </w:t>
      </w:r>
      <w:r w:rsidRPr="00C54C96">
        <w:rPr>
          <w:rStyle w:val="FactSheetEquationChar"/>
        </w:rPr>
        <w:t xml:space="preserve">/ </w:t>
      </w:r>
      <w:r>
        <w:rPr>
          <w:rStyle w:val="FactSheetEquationChar"/>
        </w:rPr>
        <w:t>d</w:t>
      </w:r>
      <w:r>
        <w:rPr>
          <w:rStyle w:val="FactSheetEquationChar"/>
          <w:vertAlign w:val="subscript"/>
        </w:rPr>
        <w:t>EFFECTIVE</w:t>
      </w:r>
    </w:p>
    <w:p w:rsidR="00FC34E0" w:rsidRDefault="00FC34E0" w:rsidP="00FC34E0">
      <w:pPr>
        <w:pStyle w:val="CheckBoxTableText"/>
      </w:pPr>
      <w:r>
        <w:t xml:space="preserve">Where: </w:t>
      </w:r>
    </w:p>
    <w:p w:rsidR="00FC34E0" w:rsidRDefault="00FC34E0" w:rsidP="00FC34E0">
      <w:pPr>
        <w:pStyle w:val="FactsheetBullets"/>
        <w:numPr>
          <w:ilvl w:val="0"/>
          <w:numId w:val="0"/>
        </w:numPr>
        <w:ind w:firstLine="360"/>
      </w:pPr>
      <w:r>
        <w:t>A = required infiltrating area, sq-ft (measured as the media surface area)</w:t>
      </w:r>
    </w:p>
    <w:p w:rsidR="00FC34E0" w:rsidRDefault="00FC34E0" w:rsidP="00FC34E0">
      <w:pPr>
        <w:pStyle w:val="FactsheetBullets"/>
        <w:numPr>
          <w:ilvl w:val="0"/>
          <w:numId w:val="0"/>
        </w:numPr>
        <w:ind w:firstLine="360"/>
      </w:pPr>
      <w:r>
        <w:t>DCV = design capture volume, cu-ft (see Step 1)</w:t>
      </w:r>
    </w:p>
    <w:p w:rsidR="00FC34E0" w:rsidRDefault="00FC34E0" w:rsidP="00FC34E0">
      <w:pPr>
        <w:pStyle w:val="FactSheetEquation"/>
      </w:pPr>
      <w:r>
        <w:t>d</w:t>
      </w:r>
      <w:r>
        <w:rPr>
          <w:vertAlign w:val="subscript"/>
        </w:rPr>
        <w:t>EFFECTIVE</w:t>
      </w:r>
      <w:r>
        <w:t xml:space="preserve"> = total effective depth of water stored in bioretention area, ft (from Step 3)</w:t>
      </w:r>
    </w:p>
    <w:p w:rsidR="00FC34E0" w:rsidRPr="009555AD" w:rsidRDefault="00FC34E0" w:rsidP="00FC34E0">
      <w:pPr>
        <w:pStyle w:val="CheckBoxTableText"/>
      </w:pPr>
      <w:r>
        <w:t xml:space="preserve">This does not include the side slopes, access roads, etc. which would increase bioretention footprint. </w:t>
      </w:r>
    </w:p>
    <w:p w:rsidR="00FC34E0" w:rsidRPr="00B53524" w:rsidRDefault="00FC34E0" w:rsidP="00FC34E0">
      <w:pPr>
        <w:pStyle w:val="FactsheetSubheading"/>
        <w:outlineLvl w:val="0"/>
      </w:pPr>
      <w:r>
        <w:t>Capture Efficiency Method for</w:t>
      </w:r>
      <w:r w:rsidRPr="00311A64">
        <w:t xml:space="preserve"> </w:t>
      </w:r>
      <w:r>
        <w:t>Bioretention with no Underdrain</w:t>
      </w:r>
    </w:p>
    <w:p w:rsidR="00FC34E0" w:rsidRDefault="00FC34E0" w:rsidP="00FC34E0">
      <w:pPr>
        <w:pStyle w:val="CheckBoxTableText"/>
      </w:pPr>
      <w:r>
        <w:t xml:space="preserve">If BMP geometry has already been defined and deviates from the 48 hour drawdown time, the designer can use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Capture Efficiency Method for Volume-Based, Constant Drawdown BMPs</w:t>
      </w:r>
      <w:r w:rsidR="00126F3D" w:rsidRPr="00126DE5">
        <w:rPr>
          <w:rFonts w:ascii="Book Antiqua" w:hAnsi="Book Antiqua"/>
          <w:b/>
          <w:color w:val="0070C0"/>
        </w:rPr>
        <w:fldChar w:fldCharType="end"/>
      </w:r>
      <w:r>
        <w:t xml:space="preserve"> (See </w:t>
      </w:r>
      <w:r w:rsidR="00524D76" w:rsidRPr="00524D76">
        <w:rPr>
          <w:b/>
        </w:rPr>
        <w:t>Appendix</w:t>
      </w:r>
      <w:r>
        <w:rPr>
          <w:b/>
          <w:color w:val="00B050"/>
        </w:rP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III.3.2</w:t>
      </w:r>
      <w:r w:rsidR="00126F3D" w:rsidRPr="00126DE5">
        <w:rPr>
          <w:rFonts w:ascii="Book Antiqua" w:hAnsi="Book Antiqua"/>
          <w:b/>
          <w:color w:val="0070C0"/>
        </w:rPr>
        <w:fldChar w:fldCharType="end"/>
      </w:r>
      <w:r>
        <w:t xml:space="preserve">) to determine the fraction of the DCV that must be provided to manage 80 percent of average annual runoff volume. This method accounts for drawdown time different than 48 hours. </w:t>
      </w:r>
    </w:p>
    <w:p w:rsidR="00FC34E0" w:rsidRDefault="00FC34E0" w:rsidP="00FC34E0">
      <w:pPr>
        <w:pStyle w:val="FSStepHeaders"/>
      </w:pPr>
      <w:r w:rsidRPr="00A211D0">
        <w:t xml:space="preserve">Step 1: </w:t>
      </w:r>
      <w:r>
        <w:t>Determine the drawdown time associated with the selected basin geometry</w:t>
      </w:r>
    </w:p>
    <w:p w:rsidR="00FC34E0" w:rsidRDefault="00FC34E0" w:rsidP="00FC34E0">
      <w:pPr>
        <w:pStyle w:val="FactSheetEquation"/>
      </w:pPr>
      <w:r w:rsidRPr="00311A64">
        <w:t xml:space="preserve">DD = </w:t>
      </w:r>
      <w:r>
        <w:t>(d</w:t>
      </w:r>
      <w:r>
        <w:rPr>
          <w:vertAlign w:val="subscript"/>
        </w:rPr>
        <w:t>EFFECTIVE</w:t>
      </w:r>
      <w:r>
        <w:t xml:space="preserve"> / K</w:t>
      </w:r>
      <w:r>
        <w:rPr>
          <w:vertAlign w:val="subscript"/>
        </w:rPr>
        <w:t>DESIGN</w:t>
      </w:r>
      <w:r>
        <w:t>) × 12 in/ft</w:t>
      </w:r>
    </w:p>
    <w:p w:rsidR="00FC34E0" w:rsidRPr="00A211D0" w:rsidRDefault="00FC34E0" w:rsidP="00FC34E0">
      <w:pPr>
        <w:pStyle w:val="CheckBoxTableText"/>
      </w:pPr>
      <w:r w:rsidRPr="00311A64">
        <w:t>Where</w:t>
      </w:r>
      <w:r w:rsidRPr="00A211D0">
        <w:t>:</w:t>
      </w:r>
    </w:p>
    <w:p w:rsidR="00FC34E0" w:rsidRDefault="00FC34E0" w:rsidP="00FC34E0">
      <w:pPr>
        <w:pStyle w:val="FactSheetEquation"/>
      </w:pPr>
      <w:r w:rsidRPr="00A211D0">
        <w:t xml:space="preserve">DD = </w:t>
      </w:r>
      <w:r w:rsidRPr="00311A64">
        <w:t xml:space="preserve">time to completely drain infiltration basin </w:t>
      </w:r>
      <w:r>
        <w:t>ponding depth</w:t>
      </w:r>
      <w:r w:rsidRPr="00311A64">
        <w:t>, hours</w:t>
      </w:r>
    </w:p>
    <w:p w:rsidR="00FC34E0" w:rsidRPr="0050469A" w:rsidRDefault="00FC34E0" w:rsidP="00FC34E0">
      <w:pPr>
        <w:pStyle w:val="FactSheetEquation"/>
      </w:pPr>
      <w:r>
        <w:t>d</w:t>
      </w:r>
      <w:r>
        <w:rPr>
          <w:vertAlign w:val="subscript"/>
        </w:rPr>
        <w:t xml:space="preserve">EFFECTIVE  </w:t>
      </w:r>
      <w:r>
        <w:t>≤ (d</w:t>
      </w:r>
      <w:r>
        <w:rPr>
          <w:vertAlign w:val="subscript"/>
        </w:rPr>
        <w:t>P</w:t>
      </w:r>
      <w:r>
        <w:t xml:space="preserve"> + n</w:t>
      </w:r>
      <w:r>
        <w:rPr>
          <w:vertAlign w:val="subscript"/>
        </w:rPr>
        <w:t>M</w:t>
      </w:r>
      <w:r>
        <w:t>d</w:t>
      </w:r>
      <w:r>
        <w:rPr>
          <w:vertAlign w:val="subscript"/>
        </w:rPr>
        <w:t>M</w:t>
      </w:r>
      <w:r>
        <w:t xml:space="preserve"> + n</w:t>
      </w:r>
      <w:r>
        <w:rPr>
          <w:vertAlign w:val="subscript"/>
        </w:rPr>
        <w:t>G</w:t>
      </w:r>
      <w:r>
        <w:t>d</w:t>
      </w:r>
      <w:r>
        <w:rPr>
          <w:vertAlign w:val="subscript"/>
        </w:rPr>
        <w:t>G</w:t>
      </w:r>
      <w:r>
        <w:t>)</w:t>
      </w:r>
    </w:p>
    <w:p w:rsidR="00FC34E0" w:rsidRPr="00213BB7" w:rsidRDefault="00FC34E0" w:rsidP="00FC34E0">
      <w:pPr>
        <w:pStyle w:val="FactSheetEquation"/>
        <w:ind w:left="720"/>
      </w:pPr>
      <w:r>
        <w:t>d</w:t>
      </w:r>
      <w:r w:rsidRPr="0050469A">
        <w:rPr>
          <w:vertAlign w:val="subscript"/>
        </w:rPr>
        <w:t>P</w:t>
      </w:r>
      <w:r>
        <w:rPr>
          <w:vertAlign w:val="subscript"/>
        </w:rPr>
        <w:t xml:space="preserve"> </w:t>
      </w:r>
      <w:r>
        <w:t>= bioretention ponding depth, ft (should be less than or equal to 1.5 ft)</w:t>
      </w:r>
    </w:p>
    <w:p w:rsidR="00FC34E0" w:rsidRDefault="00FC34E0" w:rsidP="00FC34E0">
      <w:pPr>
        <w:pStyle w:val="FactSheetEquation"/>
        <w:ind w:left="720"/>
      </w:pPr>
      <w:r>
        <w:t>n</w:t>
      </w:r>
      <w:r>
        <w:rPr>
          <w:vertAlign w:val="subscript"/>
        </w:rPr>
        <w:t>M</w:t>
      </w:r>
      <w:r>
        <w:t xml:space="preserve"> = bioretention media porosity </w:t>
      </w:r>
    </w:p>
    <w:p w:rsidR="00FC34E0" w:rsidRDefault="00FC34E0" w:rsidP="00FC34E0">
      <w:pPr>
        <w:pStyle w:val="FactSheetEquation"/>
        <w:ind w:left="720"/>
      </w:pPr>
      <w:r>
        <w:t>d</w:t>
      </w:r>
      <w:r>
        <w:rPr>
          <w:vertAlign w:val="subscript"/>
        </w:rPr>
        <w:t>M</w:t>
      </w:r>
      <w:r>
        <w:t xml:space="preserve"> = bioretention media depth, ft</w:t>
      </w:r>
    </w:p>
    <w:p w:rsidR="00FC34E0" w:rsidRDefault="00FC34E0" w:rsidP="00FC34E0">
      <w:pPr>
        <w:pStyle w:val="FactSheetEquation"/>
        <w:ind w:left="720"/>
      </w:pPr>
      <w:r>
        <w:t>n</w:t>
      </w:r>
      <w:r>
        <w:rPr>
          <w:vertAlign w:val="subscript"/>
        </w:rPr>
        <w:t xml:space="preserve">G </w:t>
      </w:r>
      <w:r>
        <w:t xml:space="preserve"> = bioretention gravel layer porosity; </w:t>
      </w:r>
      <w:r w:rsidRPr="00311A64">
        <w:t>0.35 may be assumed where other information is not available</w:t>
      </w:r>
    </w:p>
    <w:p w:rsidR="00FC34E0" w:rsidRDefault="00FC34E0" w:rsidP="00FC34E0">
      <w:pPr>
        <w:pStyle w:val="FactSheetEquation"/>
        <w:ind w:left="720"/>
      </w:pPr>
      <w:r>
        <w:t>d</w:t>
      </w:r>
      <w:r>
        <w:rPr>
          <w:vertAlign w:val="subscript"/>
        </w:rPr>
        <w:t>G</w:t>
      </w:r>
      <w:r>
        <w:t xml:space="preserve"> = bioretention gravel layer depth, ft</w:t>
      </w:r>
    </w:p>
    <w:p w:rsidR="00FC34E0" w:rsidRDefault="00FC34E0" w:rsidP="00FC34E0">
      <w:pPr>
        <w:pStyle w:val="FactSheetEquation"/>
      </w:pPr>
      <w:r>
        <w:t>K</w:t>
      </w:r>
      <w:r>
        <w:rPr>
          <w:vertAlign w:val="subscript"/>
        </w:rPr>
        <w:t>DESIGN</w:t>
      </w:r>
      <w:r>
        <w:t xml:space="preserve"> = basin design infiltration rate, in/hr (See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_Ref287704666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VII</w:t>
      </w:r>
      <w:r w:rsidR="00126F3D" w:rsidRPr="00126DE5">
        <w:rPr>
          <w:rFonts w:ascii="Book Antiqua" w:hAnsi="Book Antiqua"/>
          <w:b/>
          <w:color w:val="0070C0"/>
        </w:rPr>
        <w:fldChar w:fldCharType="end"/>
      </w:r>
      <w:r>
        <w:t xml:space="preserve">) </w:t>
      </w:r>
    </w:p>
    <w:p w:rsidR="00FC34E0" w:rsidRDefault="00FC34E0" w:rsidP="00FC34E0">
      <w:pPr>
        <w:pStyle w:val="FSStepHeaders"/>
      </w:pPr>
      <w:r>
        <w:t>Step 2: Determine the Required Adjusted DCV for this Drawdown Time</w:t>
      </w:r>
    </w:p>
    <w:p w:rsidR="00FC34E0" w:rsidRDefault="00FC34E0" w:rsidP="00FC34E0">
      <w:pPr>
        <w:pStyle w:val="CheckBoxTableText"/>
      </w:pPr>
      <w:r>
        <w:t xml:space="preserve">Use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Capture Efficiency Method for Volume-Based, Constant Drawdown BMPs</w:t>
      </w:r>
      <w:r w:rsidR="00126F3D" w:rsidRPr="00126DE5">
        <w:rPr>
          <w:rFonts w:ascii="Book Antiqua" w:hAnsi="Book Antiqua"/>
          <w:b/>
          <w:color w:val="0070C0"/>
        </w:rPr>
        <w:fldChar w:fldCharType="end"/>
      </w:r>
      <w:r>
        <w:t xml:space="preserve"> (See </w:t>
      </w:r>
      <w:r w:rsidR="00524D76" w:rsidRPr="00524D76">
        <w:rPr>
          <w:b/>
        </w:rPr>
        <w:t>Appendix</w:t>
      </w:r>
      <w:r>
        <w:rPr>
          <w:b/>
          <w:color w:val="00B050"/>
        </w:rP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III.3.2</w:t>
      </w:r>
      <w:r w:rsidR="00126F3D" w:rsidRPr="00126DE5">
        <w:rPr>
          <w:rFonts w:ascii="Book Antiqua" w:hAnsi="Book Antiqua"/>
          <w:b/>
          <w:color w:val="0070C0"/>
        </w:rPr>
        <w:fldChar w:fldCharType="end"/>
      </w:r>
      <w:r>
        <w:t>) to calculate the fraction of the DCV the basin must hold to achieve 80 percent capture of average annual stormwater runoff volume based on the basin drawdown time calculated above.</w:t>
      </w:r>
    </w:p>
    <w:p w:rsidR="00FC34E0" w:rsidRDefault="00FC34E0" w:rsidP="00FC34E0">
      <w:pPr>
        <w:pStyle w:val="FSStepHeaders"/>
      </w:pPr>
      <w:r>
        <w:t>Step 4: Check that the Bioretention Effective Depth Drains in no Greater than 96 Hours</w:t>
      </w:r>
    </w:p>
    <w:p w:rsidR="00FC34E0" w:rsidRDefault="00FC34E0" w:rsidP="00FC34E0">
      <w:pPr>
        <w:pStyle w:val="FactSheetEquation"/>
      </w:pPr>
      <w:r w:rsidRPr="00311A64">
        <w:t xml:space="preserve">DD = </w:t>
      </w:r>
      <w:r>
        <w:t>(d</w:t>
      </w:r>
      <w:r>
        <w:rPr>
          <w:vertAlign w:val="subscript"/>
        </w:rPr>
        <w:t>EFFECTIVE</w:t>
      </w:r>
      <w:r>
        <w:t xml:space="preserve"> / K</w:t>
      </w:r>
      <w:r>
        <w:rPr>
          <w:vertAlign w:val="subscript"/>
        </w:rPr>
        <w:t>DESIGN</w:t>
      </w:r>
      <w:r>
        <w:t>) × 12</w:t>
      </w:r>
    </w:p>
    <w:p w:rsidR="00FC34E0" w:rsidRPr="00A211D0" w:rsidRDefault="00FC34E0" w:rsidP="00FC34E0">
      <w:pPr>
        <w:pStyle w:val="CheckBoxTableText"/>
      </w:pPr>
      <w:r w:rsidRPr="00311A64">
        <w:t>Where</w:t>
      </w:r>
      <w:r w:rsidRPr="00A211D0">
        <w:t>:</w:t>
      </w:r>
    </w:p>
    <w:p w:rsidR="00FC34E0" w:rsidRDefault="00FC34E0" w:rsidP="00FC34E0">
      <w:pPr>
        <w:pStyle w:val="FactSheetEquation"/>
      </w:pPr>
      <w:r w:rsidRPr="00A211D0">
        <w:t xml:space="preserve">DD = </w:t>
      </w:r>
      <w:r w:rsidRPr="00311A64">
        <w:t xml:space="preserve">time to completely drain </w:t>
      </w:r>
      <w:r>
        <w:t>bioretention facility</w:t>
      </w:r>
      <w:r w:rsidRPr="00311A64">
        <w:t>, hours</w:t>
      </w:r>
    </w:p>
    <w:p w:rsidR="00FC34E0" w:rsidRPr="009555AD" w:rsidRDefault="00FC34E0" w:rsidP="00FC34E0">
      <w:pPr>
        <w:pStyle w:val="FactSheetEquation"/>
      </w:pPr>
      <w:r>
        <w:t>d</w:t>
      </w:r>
      <w:r>
        <w:rPr>
          <w:vertAlign w:val="subscript"/>
        </w:rPr>
        <w:t>EFFECTIVE</w:t>
      </w:r>
      <w:r>
        <w:t xml:space="preserve"> = total effective depth of water stored in bioretention area, ft (from Step 3)</w:t>
      </w:r>
    </w:p>
    <w:p w:rsidR="00FC34E0" w:rsidRDefault="00FC34E0" w:rsidP="00FC34E0">
      <w:pPr>
        <w:pStyle w:val="FactSheetEquation"/>
      </w:pPr>
      <w:r>
        <w:t>K</w:t>
      </w:r>
      <w:r>
        <w:rPr>
          <w:vertAlign w:val="subscript"/>
        </w:rPr>
        <w:t>DESIGN</w:t>
      </w:r>
      <w:r>
        <w:t xml:space="preserve"> = basin design infiltration rate, in/hr (See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_Ref287704666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VII</w:t>
      </w:r>
      <w:r w:rsidR="00126F3D" w:rsidRPr="00126DE5">
        <w:rPr>
          <w:rFonts w:ascii="Book Antiqua" w:hAnsi="Book Antiqua"/>
          <w:b/>
          <w:color w:val="0070C0"/>
        </w:rPr>
        <w:fldChar w:fldCharType="end"/>
      </w:r>
      <w:r>
        <w:t xml:space="preserve">) </w:t>
      </w:r>
    </w:p>
    <w:p w:rsidR="00FC34E0" w:rsidRDefault="00FC34E0" w:rsidP="00FC34E0">
      <w:pPr>
        <w:pStyle w:val="CheckBoxTableText"/>
      </w:pPr>
      <w:r>
        <w:t>If DD</w:t>
      </w:r>
      <w:r>
        <w:rPr>
          <w:vertAlign w:val="subscript"/>
        </w:rPr>
        <w:t xml:space="preserve">ALL </w:t>
      </w:r>
      <w:r>
        <w:t xml:space="preserve"> is greater than 96 hours, adjust bioretention media depth and/or gravel layer depth until DD</w:t>
      </w:r>
      <w:r>
        <w:rPr>
          <w:vertAlign w:val="subscript"/>
        </w:rPr>
        <w:t xml:space="preserve"> </w:t>
      </w:r>
      <w:r>
        <w:t>is less than 96 hours.  This duration is based on preventing extended periods of saturation from causing plant mortality.</w:t>
      </w:r>
    </w:p>
    <w:p w:rsidR="00FC34E0" w:rsidRPr="00A211D0" w:rsidRDefault="00FC34E0" w:rsidP="00FC34E0">
      <w:pPr>
        <w:pStyle w:val="FSStepHeaders"/>
      </w:pPr>
      <w:r>
        <w:t xml:space="preserve">Step 5: Determine the Basin Infiltrating Area Needed </w:t>
      </w:r>
    </w:p>
    <w:p w:rsidR="00FC34E0" w:rsidRDefault="00FC34E0" w:rsidP="00FC34E0">
      <w:pPr>
        <w:pStyle w:val="CheckBoxTableText"/>
      </w:pPr>
      <w:r>
        <w:t>The required infiltrating area (i.e. the surface area of the top of the media layer) can be calculated using the following equation:</w:t>
      </w:r>
    </w:p>
    <w:p w:rsidR="00FC34E0" w:rsidRPr="009070C1" w:rsidRDefault="00FC34E0" w:rsidP="00FC34E0">
      <w:pPr>
        <w:pStyle w:val="FactsheetBullets"/>
        <w:numPr>
          <w:ilvl w:val="0"/>
          <w:numId w:val="0"/>
        </w:numPr>
        <w:ind w:firstLine="360"/>
        <w:rPr>
          <w:vertAlign w:val="subscript"/>
        </w:rPr>
      </w:pPr>
      <w:r w:rsidRPr="00C54C96">
        <w:rPr>
          <w:rStyle w:val="FactSheetEquationChar"/>
        </w:rPr>
        <w:t xml:space="preserve">A = DCV/ </w:t>
      </w:r>
      <w:r>
        <w:rPr>
          <w:rStyle w:val="FactSheetEquationChar"/>
        </w:rPr>
        <w:t>d</w:t>
      </w:r>
      <w:r>
        <w:rPr>
          <w:rStyle w:val="FactSheetEquationChar"/>
          <w:vertAlign w:val="subscript"/>
        </w:rPr>
        <w:t>EFFECTIVE</w:t>
      </w:r>
    </w:p>
    <w:p w:rsidR="00FC34E0" w:rsidRDefault="00FC34E0" w:rsidP="00FC34E0">
      <w:pPr>
        <w:pStyle w:val="CheckBoxTableText"/>
      </w:pPr>
      <w:r>
        <w:t xml:space="preserve">Where: </w:t>
      </w:r>
    </w:p>
    <w:p w:rsidR="00FC34E0" w:rsidRDefault="00FC34E0" w:rsidP="00FC34E0">
      <w:pPr>
        <w:pStyle w:val="FactsheetBullets"/>
        <w:numPr>
          <w:ilvl w:val="0"/>
          <w:numId w:val="0"/>
        </w:numPr>
        <w:ind w:firstLine="360"/>
      </w:pPr>
      <w:r>
        <w:t>A = required infiltrating area, sq-ft (measured at the media surface)</w:t>
      </w:r>
    </w:p>
    <w:p w:rsidR="00FC34E0" w:rsidRDefault="00FC34E0" w:rsidP="00FC34E0">
      <w:pPr>
        <w:pStyle w:val="FactsheetBullets"/>
        <w:numPr>
          <w:ilvl w:val="0"/>
          <w:numId w:val="0"/>
        </w:numPr>
        <w:ind w:firstLine="360"/>
      </w:pPr>
      <w:r>
        <w:t>DCV = design capture volume, adjusted for drawdown time, cu-ft (see Step 1)</w:t>
      </w:r>
    </w:p>
    <w:p w:rsidR="00FC34E0" w:rsidRDefault="00FC34E0" w:rsidP="00FC34E0">
      <w:pPr>
        <w:pStyle w:val="FactSheetEquation"/>
      </w:pPr>
      <w:r>
        <w:t>d</w:t>
      </w:r>
      <w:r>
        <w:rPr>
          <w:vertAlign w:val="subscript"/>
        </w:rPr>
        <w:t>EFFECTIVE</w:t>
      </w:r>
      <w:r>
        <w:t xml:space="preserve"> = total effective depth of water stored in bioretention area, ft (from Step 3)</w:t>
      </w:r>
    </w:p>
    <w:p w:rsidR="00FC34E0" w:rsidRDefault="00FC34E0" w:rsidP="00FC34E0">
      <w:pPr>
        <w:pStyle w:val="CheckBoxTableText"/>
      </w:pPr>
      <w:r>
        <w:t xml:space="preserve">This does not include the side slopes, access roads, etc. which would increase bioretention footprint. If the area required is greater than the selected basin area, adjust surface area or adjust ponding depth and recalculate required area until the required area is achieved. </w:t>
      </w:r>
    </w:p>
    <w:p w:rsidR="00FC34E0" w:rsidRPr="00B53524" w:rsidRDefault="00FC34E0" w:rsidP="00FC34E0">
      <w:pPr>
        <w:pStyle w:val="FactsheetSubheading"/>
        <w:outlineLvl w:val="0"/>
      </w:pPr>
      <w:r w:rsidRPr="00311A64">
        <w:t>Configuration for Use in a Treatment Train</w:t>
      </w:r>
    </w:p>
    <w:p w:rsidR="00FC34E0" w:rsidRPr="00B53524" w:rsidRDefault="00FC34E0" w:rsidP="00FC34E0">
      <w:pPr>
        <w:pStyle w:val="FactsheetBullets"/>
        <w:numPr>
          <w:ilvl w:val="0"/>
          <w:numId w:val="1"/>
        </w:numPr>
      </w:pPr>
      <w:r w:rsidRPr="00311A64">
        <w:t xml:space="preserve">Bioretention areas may be preceeded in a treatment train by </w:t>
      </w:r>
      <w:r w:rsidR="003C7091">
        <w:t>HSC</w:t>
      </w:r>
      <w:r w:rsidRPr="00311A64">
        <w:t xml:space="preserve">s in the drainage area, which would reduce the required volume of the bioretention cell.  </w:t>
      </w:r>
    </w:p>
    <w:p w:rsidR="00FC34E0" w:rsidRPr="00B53524" w:rsidRDefault="00FC34E0" w:rsidP="00FC34E0">
      <w:pPr>
        <w:pStyle w:val="FactsheetBullets"/>
        <w:numPr>
          <w:ilvl w:val="0"/>
          <w:numId w:val="1"/>
        </w:numPr>
      </w:pPr>
      <w:r w:rsidRPr="00311A64">
        <w:t>Bioretention areas can be incorporated in a treatment train to provide enhanced water quality treatment and reductions in runoff volume and rate.  For example, runoff can be collected from a roadway in a vegetated swale that then flows to a bioretention area.  Similarly, bioretention could be used to manage overflow from a cistern.</w:t>
      </w:r>
    </w:p>
    <w:p w:rsidR="00FC34E0" w:rsidRPr="00B53524" w:rsidRDefault="00FC34E0" w:rsidP="00FC34E0">
      <w:pPr>
        <w:pStyle w:val="FactsheetSubheading"/>
        <w:outlineLvl w:val="0"/>
      </w:pPr>
      <w:r w:rsidRPr="00311A64">
        <w:t>Additional References for Design Guidance</w:t>
      </w:r>
    </w:p>
    <w:p w:rsidR="00FC34E0" w:rsidRPr="00B53524" w:rsidRDefault="00FC34E0" w:rsidP="00FC34E0">
      <w:pPr>
        <w:pStyle w:val="FactsheetBullets"/>
        <w:numPr>
          <w:ilvl w:val="0"/>
          <w:numId w:val="1"/>
        </w:numPr>
      </w:pPr>
      <w:r w:rsidRPr="00311A64">
        <w:t xml:space="preserve">CASQA BMP Handbook for New and Redevelopment: </w:t>
      </w:r>
      <w:hyperlink r:id="rId149" w:history="1">
        <w:r w:rsidRPr="00126DE5">
          <w:rPr>
            <w:rStyle w:val="Hyperlink"/>
            <w:rFonts w:ascii="Book Antiqua" w:hAnsi="Book Antiqua"/>
            <w:b/>
            <w:color w:val="0070C0"/>
          </w:rPr>
          <w:t>http://www.cabmphandbooks.com/Documents/Development/TC-32.pdf</w:t>
        </w:r>
      </w:hyperlink>
    </w:p>
    <w:p w:rsidR="00FC34E0" w:rsidRPr="00B53524" w:rsidRDefault="00FC34E0" w:rsidP="00FC34E0">
      <w:pPr>
        <w:pStyle w:val="FactsheetBullets"/>
        <w:numPr>
          <w:ilvl w:val="0"/>
          <w:numId w:val="1"/>
        </w:numPr>
      </w:pPr>
      <w:r w:rsidRPr="00311A64">
        <w:t xml:space="preserve">SMC LID Manual (pp 68): </w:t>
      </w:r>
      <w:hyperlink r:id="rId150" w:history="1">
        <w:r w:rsidRPr="00126DE5">
          <w:rPr>
            <w:rStyle w:val="Hyperlink"/>
            <w:rFonts w:ascii="Book Antiqua" w:hAnsi="Book Antiqua"/>
            <w:b/>
            <w:color w:val="0070C0"/>
          </w:rPr>
          <w:t>http://www.lowimpactdevelopment.org/guest75/pub/All_Projects/SoCal_LID_Manual/SoCalLID_Manual_FINAL_040910.pdf</w:t>
        </w:r>
      </w:hyperlink>
    </w:p>
    <w:p w:rsidR="00FC34E0" w:rsidRPr="00B53524" w:rsidRDefault="00FC34E0" w:rsidP="00FC34E0">
      <w:pPr>
        <w:pStyle w:val="FactsheetBullets"/>
        <w:numPr>
          <w:ilvl w:val="0"/>
          <w:numId w:val="1"/>
        </w:numPr>
      </w:pPr>
      <w:r w:rsidRPr="00311A64">
        <w:t xml:space="preserve">Los Angeles County Stormwater BMP </w:t>
      </w:r>
      <w:r>
        <w:t>Design and Maintenance Manual</w:t>
      </w:r>
      <w:r w:rsidRPr="00311A64">
        <w:t xml:space="preserve">, Chapter 5: </w:t>
      </w:r>
      <w:hyperlink r:id="rId151" w:history="1">
        <w:r w:rsidRPr="00126DE5">
          <w:rPr>
            <w:rStyle w:val="Hyperlink"/>
            <w:rFonts w:ascii="Book Antiqua" w:hAnsi="Book Antiqua"/>
            <w:b/>
            <w:color w:val="0070C0"/>
          </w:rPr>
          <w:t>http://dpw.lacounty.gov/DES/design_manuals/StormwaterBMPDesignandMaintenance.pdf</w:t>
        </w:r>
      </w:hyperlink>
    </w:p>
    <w:p w:rsidR="00FC34E0" w:rsidRPr="00B53524" w:rsidRDefault="00FC34E0" w:rsidP="00FC34E0">
      <w:pPr>
        <w:pStyle w:val="FactsheetBullets"/>
        <w:numPr>
          <w:ilvl w:val="0"/>
          <w:numId w:val="1"/>
        </w:numPr>
      </w:pPr>
      <w:r w:rsidRPr="00311A64">
        <w:t xml:space="preserve">San Diego County LID Handbook Appendix 4 (Factsheet 7):  </w:t>
      </w:r>
      <w:hyperlink r:id="rId152" w:history="1">
        <w:r w:rsidRPr="00126DE5">
          <w:rPr>
            <w:rStyle w:val="Hyperlink"/>
            <w:rFonts w:ascii="Book Antiqua" w:hAnsi="Book Antiqua"/>
            <w:b/>
            <w:color w:val="0070C0"/>
          </w:rPr>
          <w:t>http://www.sdcounty.ca.gov/dplu/docs/LID-Appendices.pdf</w:t>
        </w:r>
      </w:hyperlink>
    </w:p>
    <w:p w:rsidR="00FC34E0" w:rsidRPr="00B53524" w:rsidRDefault="00FC34E0" w:rsidP="00FC34E0">
      <w:pPr>
        <w:pStyle w:val="FactsheetBullets"/>
        <w:numPr>
          <w:ilvl w:val="0"/>
          <w:numId w:val="1"/>
        </w:numPr>
      </w:pPr>
      <w:r w:rsidRPr="00311A64">
        <w:t xml:space="preserve">Los Angeles Unified School District (LAUSD) </w:t>
      </w:r>
      <w:r w:rsidRPr="007B6C45">
        <w:t>Stormwater Technical Manual</w:t>
      </w:r>
      <w:r w:rsidRPr="00311A64">
        <w:t>, Chapter 4</w:t>
      </w:r>
      <w:r>
        <w:t xml:space="preserve">. </w:t>
      </w:r>
      <w:hyperlink r:id="rId153" w:history="1">
        <w:r w:rsidRPr="00126DE5">
          <w:rPr>
            <w:rStyle w:val="Hyperlink"/>
            <w:rFonts w:ascii="Book Antiqua" w:hAnsi="Book Antiqua"/>
            <w:b/>
            <w:color w:val="0070C0"/>
          </w:rPr>
          <w:t>http://www.laschools.org/employee/design/fs-studies-and-reports/download/white_paper_report_material/Storm_Water_Technical_Manual_2009-opt-red.pdf?version_id=76975850</w:t>
        </w:r>
      </w:hyperlink>
    </w:p>
    <w:p w:rsidR="00FC34E0" w:rsidRPr="007B6C45" w:rsidRDefault="00FC34E0" w:rsidP="00FC34E0">
      <w:pPr>
        <w:pStyle w:val="FactsheetBullets"/>
        <w:numPr>
          <w:ilvl w:val="0"/>
          <w:numId w:val="0"/>
        </w:numPr>
        <w:ind w:left="720"/>
        <w:rPr>
          <w:b/>
          <w:color w:val="0070C0"/>
        </w:rPr>
      </w:pPr>
      <w:r w:rsidRPr="00311A64">
        <w:t>County of Los Angeles Low Impact Development Standards Manual, Chapter 5:</w:t>
      </w:r>
      <w:r>
        <w:t xml:space="preserve"> </w:t>
      </w:r>
      <w:hyperlink r:id="rId154" w:history="1">
        <w:r w:rsidRPr="00126DE5">
          <w:rPr>
            <w:rStyle w:val="Hyperlink"/>
            <w:rFonts w:ascii="Book Antiqua" w:hAnsi="Book Antiqua"/>
            <w:b/>
            <w:color w:val="0070C0"/>
          </w:rPr>
          <w:t>http://dpw.lacounty.gov/wmd/LA_County_LID_Manual.pdf</w:t>
        </w:r>
      </w:hyperlink>
    </w:p>
    <w:p w:rsidR="00FC34E0" w:rsidRDefault="00FC34E0" w:rsidP="00FC34E0">
      <w:pPr>
        <w:spacing w:after="200"/>
      </w:pPr>
      <w:r>
        <w:br w:type="page"/>
      </w:r>
    </w:p>
    <w:p w:rsidR="00FC34E0" w:rsidRPr="00B53524" w:rsidRDefault="00126F3D" w:rsidP="00533A19">
      <w:pPr>
        <w:pStyle w:val="Heading3"/>
        <w:numPr>
          <w:ilvl w:val="0"/>
          <w:numId w:val="0"/>
        </w:numPr>
        <w:ind w:left="907" w:hanging="907"/>
      </w:pPr>
      <w:bookmarkStart w:id="831" w:name="_Bioinfiltration"/>
      <w:bookmarkStart w:id="832" w:name="_INF-4:_Bioinfiltration_Fact"/>
      <w:bookmarkStart w:id="833" w:name="_Ref287786628"/>
      <w:bookmarkEnd w:id="831"/>
      <w:bookmarkEnd w:id="832"/>
      <w:r w:rsidRPr="00126F3D">
        <w:rPr>
          <w:rFonts w:ascii="Arial" w:eastAsia="Times New Roman" w:hAnsi="Arial" w:cs="Arial"/>
          <w:noProof/>
          <w:sz w:val="20"/>
        </w:rPr>
        <w:pict>
          <v:shape id="Text Box 33" o:spid="_x0000_s1161" type="#_x0000_t202" style="position:absolute;left:0;text-align:left;margin-left:-158.4pt;margin-top:.35pt;width:158.4pt;height:52.5pt;z-index:251765760;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" fillcolor="#d8d8d8">
            <v:textbox style="mso-next-textbox:#Text Box 33">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Default="00853C9A" w:rsidP="009531AF">
                  <w:pPr>
                    <w:pStyle w:val="CDMBTEXT"/>
                    <w:numPr>
                      <w:ilvl w:val="0"/>
                      <w:numId w:val="67"/>
                    </w:numPr>
                    <w:spacing w:after="60" w:line="240" w:lineRule="auto"/>
                    <w:ind w:left="540"/>
                    <w:rPr>
                      <w:i/>
                    </w:rPr>
                  </w:pPr>
                  <w:r w:rsidRPr="00B150B9">
                    <w:rPr>
                      <w:i/>
                    </w:rPr>
                    <w:t>Rain gardens</w:t>
                  </w:r>
                </w:p>
                <w:p w:rsidR="00853C9A" w:rsidRPr="00B150B9" w:rsidRDefault="00853C9A" w:rsidP="009531AF">
                  <w:pPr>
                    <w:pStyle w:val="CDMBTEXT"/>
                    <w:numPr>
                      <w:ilvl w:val="0"/>
                      <w:numId w:val="67"/>
                    </w:numPr>
                    <w:spacing w:after="60" w:line="240" w:lineRule="auto"/>
                    <w:ind w:left="540"/>
                    <w:rPr>
                      <w:i/>
                    </w:rPr>
                  </w:pPr>
                  <w:r>
                    <w:rPr>
                      <w:i/>
                    </w:rPr>
                    <w:t>Infiltration planter</w:t>
                  </w:r>
                </w:p>
              </w:txbxContent>
            </v:textbox>
            <w10:wrap type="square" anchorx="margin" anchory="margin"/>
          </v:shape>
        </w:pict>
      </w:r>
      <w:bookmarkStart w:id="834" w:name="_Toc285589331"/>
      <w:r w:rsidR="00FC34E0">
        <w:t xml:space="preserve">INF-4: </w:t>
      </w:r>
      <w:r w:rsidR="00FC34E0" w:rsidRPr="00311A64">
        <w:t>Bio</w:t>
      </w:r>
      <w:r w:rsidR="00FC34E0">
        <w:t>infiltration</w:t>
      </w:r>
      <w:bookmarkEnd w:id="834"/>
      <w:r w:rsidR="00FC34E0">
        <w:t xml:space="preserve"> Fact Sheet</w:t>
      </w:r>
      <w:bookmarkEnd w:id="833"/>
    </w:p>
    <w:p w:rsidR="00FC34E0" w:rsidRPr="00B53524" w:rsidRDefault="00126F3D" w:rsidP="00FC34E0">
      <w:pPr>
        <w:pStyle w:val="CDMBTEXT"/>
        <w:rPr>
          <w:szCs w:val="22"/>
        </w:rPr>
      </w:pPr>
      <w:r w:rsidRPr="00126F3D">
        <w:rPr>
          <w:noProof/>
        </w:rPr>
        <w:pict>
          <v:shape id="Text Box 34" o:spid="_x0000_s1162" type="#_x0000_t202" style="position:absolute;margin-left:-158.4pt;margin-top:52.85pt;width:158.4pt;height:163.15pt;z-index:251766784;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" filled="f">
            <v:textbox style="mso-next-textbox:#Text Box 34" inset="0,0,0,0">
              <w:txbxContent>
                <w:p w:rsidR="00853C9A" w:rsidRDefault="00853C9A" w:rsidP="00FC34E0">
                  <w:pPr>
                    <w:ind w:left="-29" w:right="-29"/>
                    <w:rPr>
                      <w:rFonts w:ascii="Arial" w:hAnsi="Arial" w:cs="Arial"/>
                      <w:sz w:val="20"/>
                    </w:rPr>
                  </w:pPr>
                  <w:r w:rsidRPr="00C95370">
                    <w:rPr>
                      <w:rFonts w:ascii="Arial" w:hAnsi="Arial" w:cs="Arial"/>
                      <w:noProof/>
                      <w:sz w:val="20"/>
                    </w:rPr>
                    <w:drawing>
                      <wp:inline distT="0" distB="0" distL="0" distR="0">
                        <wp:extent cx="1994575" cy="1492329"/>
                        <wp:effectExtent l="19050" t="0" r="5675" b="0"/>
                        <wp:docPr id="8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screen"/>
                                <a:srcRect/>
                                <a:stretch>
                                  <a:fillRect/>
                                </a:stretch>
                              </pic:blipFill>
                              <pic:spPr bwMode="auto">
                                <a:xfrm>
                                  <a:off x="0" y="0"/>
                                  <a:ext cx="1996448" cy="1493730"/>
                                </a:xfrm>
                                <a:prstGeom prst="rect">
                                  <a:avLst/>
                                </a:prstGeom>
                                <a:noFill/>
                                <a:ln w="9525">
                                  <a:noFill/>
                                  <a:miter lim="800000"/>
                                  <a:headEnd/>
                                  <a:tailEnd/>
                                </a:ln>
                              </pic:spPr>
                            </pic:pic>
                          </a:graphicData>
                        </a:graphic>
                      </wp:inline>
                    </w:drawing>
                  </w:r>
                </w:p>
                <w:p w:rsidR="00853C9A" w:rsidRDefault="00853C9A" w:rsidP="00FC34E0">
                  <w:pPr>
                    <w:spacing w:after="0"/>
                    <w:ind w:left="187"/>
                    <w:rPr>
                      <w:rFonts w:ascii="Arial" w:hAnsi="Arial" w:cs="Arial"/>
                      <w:sz w:val="20"/>
                    </w:rPr>
                  </w:pPr>
                  <w:r>
                    <w:rPr>
                      <w:rFonts w:ascii="Arial" w:hAnsi="Arial" w:cs="Arial"/>
                      <w:sz w:val="20"/>
                    </w:rPr>
                    <w:t>Bioretention</w:t>
                  </w:r>
                </w:p>
                <w:p w:rsidR="00853C9A" w:rsidRPr="00336A84" w:rsidRDefault="00853C9A" w:rsidP="00FC34E0">
                  <w:pPr>
                    <w:spacing w:after="0"/>
                    <w:ind w:left="187"/>
                    <w:rPr>
                      <w:rFonts w:ascii="Arial" w:hAnsi="Arial" w:cs="Arial"/>
                      <w:i/>
                      <w:sz w:val="18"/>
                    </w:rPr>
                  </w:pPr>
                  <w:r w:rsidRPr="00336A84">
                    <w:rPr>
                      <w:rFonts w:ascii="Arial" w:hAnsi="Arial" w:cs="Arial"/>
                      <w:i/>
                      <w:sz w:val="18"/>
                    </w:rPr>
                    <w:t>Source: Geosyntec Consultants</w:t>
                  </w:r>
                </w:p>
              </w:txbxContent>
            </v:textbox>
            <w10:wrap type="square" anchorx="margin" anchory="margin"/>
          </v:shape>
        </w:pict>
      </w:r>
      <w:r w:rsidR="00FC34E0" w:rsidRPr="00311A64">
        <w:t>Bio</w:t>
      </w:r>
      <w:r w:rsidR="00FC34E0">
        <w:t xml:space="preserve">infiltration facilities are designed for partial infiltration of runoff and partial biotreatment.  These facilities are similar to bioretention devices with underdrains but they include a raised underdrain above a gravel sump designed to facilitate infiltration.  These facilities can be used in areas where there are no hazards associated with infiltration, but infiltration of the full DCV may not be feasible due to low infiltration rates or high depths of fill.  These facilities may not result in retention of the full DCV but they can be used to achieve the maximum feasible infiltration and ET. </w:t>
      </w:r>
    </w:p>
    <w:p w:rsidR="00FC34E0" w:rsidRPr="00B53524" w:rsidRDefault="00FC34E0" w:rsidP="00FC34E0">
      <w:pPr>
        <w:pStyle w:val="FactsheetSubheading"/>
        <w:outlineLvl w:val="0"/>
      </w:pPr>
      <w:r>
        <w:t>Feasibility Screening</w:t>
      </w:r>
      <w:r w:rsidRPr="00311A64">
        <w:t xml:space="preserve"> Considerations</w:t>
      </w:r>
    </w:p>
    <w:p w:rsidR="00FC34E0" w:rsidRDefault="00FC34E0" w:rsidP="00FC34E0">
      <w:pPr>
        <w:pStyle w:val="FactsheetBullets"/>
        <w:numPr>
          <w:ilvl w:val="0"/>
          <w:numId w:val="1"/>
        </w:numPr>
      </w:pPr>
      <w:r w:rsidRPr="00311A64">
        <w:t>Bio</w:t>
      </w:r>
      <w:r>
        <w:t>infiltration</w:t>
      </w:r>
      <w:r w:rsidRPr="00311A64">
        <w:t xml:space="preserve"> shall</w:t>
      </w:r>
      <w:r>
        <w:t xml:space="preserve"> pass infeasibility screening criteria for infiltration BMPs (</w:t>
      </w:r>
      <w:r w:rsidRPr="00A214BC">
        <w:rPr>
          <w:b/>
          <w:color w:val="00B050"/>
        </w:rPr>
        <w:t>TGD Section 2.4</w:t>
      </w:r>
      <w:r w:rsidRPr="00084459">
        <w:rPr>
          <w:b/>
          <w:color w:val="00B050"/>
        </w:rPr>
        <w:t>.2</w:t>
      </w:r>
      <w:r>
        <w:t xml:space="preserve">) to be considered for use. </w:t>
      </w:r>
    </w:p>
    <w:p w:rsidR="00FC34E0" w:rsidRPr="00B53524" w:rsidRDefault="00FC34E0" w:rsidP="00FC34E0">
      <w:pPr>
        <w:pStyle w:val="FactsheetBullets"/>
        <w:numPr>
          <w:ilvl w:val="0"/>
          <w:numId w:val="1"/>
        </w:numPr>
      </w:pPr>
      <w:r>
        <w:t>Infiltration rates are allowed to be less than 0.3 inches per hour.</w:t>
      </w:r>
      <w:r w:rsidRPr="00311A64">
        <w:t xml:space="preserve"> </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rsidRPr="00311A64">
        <w:t>Land use may include commercial, residential, mixed use, institutional, and subdivisions.  Bioretention may also be applied in parking lot islands, cul-de-sacs, traffic circles, road shoulders, and road medians.</w:t>
      </w:r>
    </w:p>
    <w:p w:rsidR="00FC34E0" w:rsidRPr="00B53524" w:rsidRDefault="00FC34E0" w:rsidP="00FC34E0">
      <w:pPr>
        <w:pStyle w:val="FactsheetBullets"/>
        <w:numPr>
          <w:ilvl w:val="0"/>
          <w:numId w:val="1"/>
        </w:numPr>
      </w:pPr>
      <w:r w:rsidRPr="00311A64">
        <w:t>Drainage area is ≤ 5 acres</w:t>
      </w:r>
      <w:r w:rsidRPr="00B53524">
        <w:t>, preferrably ≤ 1 acre</w:t>
      </w:r>
      <w:r w:rsidRPr="00311A64">
        <w:t>.</w:t>
      </w:r>
    </w:p>
    <w:p w:rsidR="00FC34E0" w:rsidRPr="00B53524" w:rsidRDefault="00FC34E0" w:rsidP="00FC34E0">
      <w:pPr>
        <w:pStyle w:val="FactsheetBullets"/>
        <w:numPr>
          <w:ilvl w:val="0"/>
          <w:numId w:val="1"/>
        </w:numPr>
      </w:pPr>
      <w:r>
        <w:t>Area is available for infiltration.</w:t>
      </w:r>
    </w:p>
    <w:p w:rsidR="00FC34E0" w:rsidRPr="00B53524" w:rsidRDefault="00FC34E0" w:rsidP="00FC34E0">
      <w:pPr>
        <w:pStyle w:val="FactsheetBullets"/>
        <w:numPr>
          <w:ilvl w:val="0"/>
          <w:numId w:val="1"/>
        </w:numPr>
      </w:pPr>
      <w:r w:rsidRPr="00311A64">
        <w:t>Site slope is less than 15 percent.</w:t>
      </w:r>
    </w:p>
    <w:p w:rsidR="00FC34E0" w:rsidRPr="00B53524" w:rsidRDefault="00FC34E0" w:rsidP="00FC34E0">
      <w:pPr>
        <w:pStyle w:val="FactsheetSubheading"/>
        <w:outlineLvl w:val="0"/>
      </w:pPr>
      <w:r w:rsidRPr="00311A64">
        <w:t>OC-Specific Design Criteria and Considerations</w:t>
      </w:r>
    </w:p>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0"/>
        <w:gridCol w:w="8730"/>
      </w:tblGrid>
      <w:tr w:rsidR="00FC34E0" w:rsidRPr="00B53524" w:rsidTr="00FC34E0">
        <w:trPr>
          <w:trHeight w:val="147"/>
        </w:trPr>
        <w:tc>
          <w:tcPr>
            <w:tcW w:w="720" w:type="dxa"/>
            <w:vAlign w:val="center"/>
          </w:tcPr>
          <w:p w:rsidR="00FC34E0" w:rsidRPr="00B53524" w:rsidRDefault="00FC34E0" w:rsidP="00FC34E0">
            <w:pPr>
              <w:pStyle w:val="CheckBoxList"/>
              <w:spacing w:after="60"/>
              <w:ind w:left="806" w:hanging="806"/>
            </w:pPr>
          </w:p>
        </w:tc>
        <w:tc>
          <w:tcPr>
            <w:tcW w:w="8730" w:type="dxa"/>
            <w:vAlign w:val="center"/>
          </w:tcPr>
          <w:p w:rsidR="00FC34E0" w:rsidRPr="00B53524" w:rsidRDefault="00FC34E0" w:rsidP="00FC34E0">
            <w:pPr>
              <w:pStyle w:val="CheckBoxTableText"/>
            </w:pPr>
            <w:r w:rsidRPr="00311A64">
              <w:t>Placement of BMPs should observe geotechnical recommendations with respect to geological hazards (e.g. landslides, liquefaction zones, erosion, etc.) and set-backs (e.g., foundations, utilities, roadways, etc.)</w:t>
            </w:r>
            <w:r>
              <w:t xml:space="preserve"> </w:t>
            </w:r>
          </w:p>
        </w:tc>
      </w:tr>
      <w:tr w:rsidR="00FC34E0" w:rsidRPr="00B53524" w:rsidTr="00FC34E0">
        <w:trPr>
          <w:trHeight w:val="147"/>
        </w:trPr>
        <w:tc>
          <w:tcPr>
            <w:tcW w:w="720" w:type="dxa"/>
            <w:vAlign w:val="center"/>
          </w:tcPr>
          <w:p w:rsidR="00FC34E0" w:rsidRPr="00B53524" w:rsidRDefault="00FC34E0" w:rsidP="00FC34E0">
            <w:pPr>
              <w:pStyle w:val="CheckBoxList"/>
              <w:spacing w:after="60"/>
              <w:ind w:left="806" w:hanging="806"/>
            </w:pPr>
          </w:p>
        </w:tc>
        <w:tc>
          <w:tcPr>
            <w:tcW w:w="8730" w:type="dxa"/>
            <w:vAlign w:val="center"/>
          </w:tcPr>
          <w:p w:rsidR="00FC34E0" w:rsidRPr="00311A64" w:rsidRDefault="00FC34E0" w:rsidP="00FC34E0">
            <w:pPr>
              <w:pStyle w:val="CheckBoxTableText"/>
            </w:pPr>
            <w:r>
              <w:t>Depth to mounded seasonally high groundwater shall not be less than 5 feet.</w:t>
            </w:r>
          </w:p>
        </w:tc>
      </w:tr>
      <w:tr w:rsidR="00FC34E0" w:rsidRPr="00B53524" w:rsidTr="00FC34E0">
        <w:trPr>
          <w:trHeight w:val="144"/>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If sheet flow is conveyed to the treatment area over stabilized grassed areas, the site must be graded in such a way that minimizes erosive conditions; sheet flow velocities should not exceed 1 foot per second.</w:t>
            </w:r>
          </w:p>
        </w:tc>
      </w:tr>
      <w:tr w:rsidR="00FC34E0" w:rsidRPr="00B53524" w:rsidTr="00FC34E0">
        <w:trPr>
          <w:trHeight w:val="144"/>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Ponding depth should not exceed 18 inches</w:t>
            </w:r>
            <w:r w:rsidRPr="00B53524">
              <w:t>; fencing may be required if ponding depth exceeds 6 inches</w:t>
            </w:r>
            <w:r>
              <w:t xml:space="preserve"> to mitigate the risk of drowning</w:t>
            </w:r>
            <w:r w:rsidRPr="00B53524">
              <w:t>.</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t xml:space="preserve">Planting/storage media shall be based on the recommendations contained in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_Ref287705023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MISC-1: Planting/Storage Media</w:t>
            </w:r>
            <w:r w:rsidR="00126F3D" w:rsidRPr="00126DE5">
              <w:rPr>
                <w:rFonts w:ascii="Book Antiqua" w:hAnsi="Book Antiqua"/>
                <w:b/>
                <w:color w:val="0070C0"/>
              </w:rPr>
              <w:fldChar w:fldCharType="end"/>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 xml:space="preserve">The minimum amended soil depth is </w:t>
            </w:r>
            <w:r>
              <w:t xml:space="preserve">1.5 </w:t>
            </w:r>
            <w:r w:rsidRPr="00311A64">
              <w:t xml:space="preserve">feet (3 feet is preferred). </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311A64" w:rsidRDefault="00FC34E0" w:rsidP="00FC34E0">
            <w:pPr>
              <w:pStyle w:val="CheckBoxTableText"/>
            </w:pPr>
            <w:r>
              <w:t xml:space="preserve">The depth of gravel below the underdrain elevation must be designed so that the effective depth that would infiltrate in 48 hours is stored in the gravel layer.  </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Default="00FC34E0" w:rsidP="00FC34E0">
            <w:pPr>
              <w:pStyle w:val="CheckBoxTableText"/>
            </w:pPr>
            <w:r>
              <w:t xml:space="preserve">Underdrain should be placed at the top of the gravel drainage layer to facilitate infiltration. </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Infiltration pathways may need to be restricted due to the close proximity of roads, foundations, or other infrastructure.  A geomembrane liner, or other equivalent water proofing, may be placed along the vertical walls to reduce lateral flows.  This liner should have a minimum thickness of 30 mils.</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990A72">
            <w:pPr>
              <w:pStyle w:val="CheckBoxTableText"/>
            </w:pPr>
            <w:r w:rsidRPr="00311A64">
              <w:t xml:space="preserve">Plant materials should be tolerant of summer drought, ponding fluctuations, and saturated soil conditions for 48 hours; native plant species and/or hardy cultivars that are not invasive and do not require chemical fertilizers or pesticides should be used to the maximum extent </w:t>
            </w:r>
            <w:r w:rsidR="00990A72">
              <w:t>feasible</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The bio</w:t>
            </w:r>
            <w:r>
              <w:t>infiltration</w:t>
            </w:r>
            <w:r w:rsidRPr="00311A64">
              <w:t xml:space="preserve"> area should be covered with 2-4 inches (average 3 inches) of mulch at startup and an additional placement of 1-2 inches of mulch should be added annually.</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Default="00FC34E0" w:rsidP="00FC34E0">
            <w:pPr>
              <w:pStyle w:val="CheckBoxTableText"/>
            </w:pPr>
            <w:r>
              <w:t xml:space="preserve">An overflow device is required at the top of the ponding depth. </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Default="00FC34E0" w:rsidP="00FC34E0">
            <w:pPr>
              <w:pStyle w:val="CheckBoxTableText"/>
            </w:pPr>
            <w:r>
              <w:t xml:space="preserve">Dispersed flow or energy dissipation (i.e. splash rocks) for piped inlets should be provided at basin inlet  to prevent erosion. </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t xml:space="preserve">Planting/storage media shall be based on the recommendations contained in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_Ref287705023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MISC-1: Planting/Storage Media</w:t>
            </w:r>
            <w:r w:rsidR="00126F3D" w:rsidRPr="00126DE5">
              <w:rPr>
                <w:rFonts w:ascii="Book Antiqua" w:hAnsi="Book Antiqua"/>
                <w:b/>
                <w:color w:val="0070C0"/>
              </w:rPr>
              <w:fldChar w:fldCharType="end"/>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Default="00FC34E0" w:rsidP="00FC34E0">
            <w:pPr>
              <w:pStyle w:val="CheckBoxTableText"/>
            </w:pPr>
            <w:r>
              <w:t>Ponding area side slopes shall be 3H:1V.</w:t>
            </w:r>
          </w:p>
        </w:tc>
      </w:tr>
    </w:tbl>
    <w:p w:rsidR="00FC34E0" w:rsidRPr="00B53524" w:rsidRDefault="00FC34E0" w:rsidP="00FC34E0">
      <w:pPr>
        <w:pStyle w:val="FactsheetSubheading"/>
      </w:pPr>
      <w:r>
        <w:t xml:space="preserve">Simple </w:t>
      </w:r>
      <w:r w:rsidRPr="00311A64">
        <w:t xml:space="preserve">Sizing </w:t>
      </w:r>
      <w:r>
        <w:t>Method</w:t>
      </w:r>
      <w:r w:rsidRPr="00311A64">
        <w:t xml:space="preserve"> for </w:t>
      </w:r>
      <w:r>
        <w:t xml:space="preserve">Bioinfiltration </w:t>
      </w:r>
    </w:p>
    <w:p w:rsidR="00FC34E0" w:rsidRDefault="00FC34E0" w:rsidP="00FC34E0">
      <w:pPr>
        <w:pStyle w:val="CheckBoxTableText"/>
      </w:pPr>
      <w:r>
        <w:t xml:space="preserve">If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Simple Design Capture Volume Sizing Method</w:t>
      </w:r>
      <w:r w:rsidR="00126F3D" w:rsidRPr="00126DE5">
        <w:rPr>
          <w:rFonts w:ascii="Book Antiqua" w:hAnsi="Book Antiqua"/>
          <w:b/>
          <w:color w:val="0070C0"/>
        </w:rPr>
        <w:fldChar w:fldCharType="end"/>
      </w:r>
      <w:r>
        <w:t xml:space="preserve"> described in </w:t>
      </w:r>
      <w:r w:rsidR="00524D76" w:rsidRPr="00524D76">
        <w:rPr>
          <w:b/>
        </w:rPr>
        <w:t>Appendix</w:t>
      </w:r>
      <w: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III.3.1</w:t>
      </w:r>
      <w:r w:rsidR="00126F3D" w:rsidRPr="00126DE5">
        <w:rPr>
          <w:rFonts w:ascii="Book Antiqua" w:hAnsi="Book Antiqua"/>
          <w:b/>
          <w:color w:val="0070C0"/>
        </w:rPr>
        <w:fldChar w:fldCharType="end"/>
      </w:r>
      <w:r>
        <w:t xml:space="preserve"> is used to size a bioinfiltration facility, the user selects the basin geometry and then determines the volume retained.  The sizing steps are as follows:</w:t>
      </w:r>
    </w:p>
    <w:p w:rsidR="00FC34E0" w:rsidRDefault="00FC34E0" w:rsidP="00FC34E0">
      <w:pPr>
        <w:pStyle w:val="FSStepHeaders"/>
      </w:pPr>
      <w:r>
        <w:t>Step 1: Select Bioinfiltration Geometry</w:t>
      </w:r>
    </w:p>
    <w:p w:rsidR="00FC34E0" w:rsidRDefault="00FC34E0" w:rsidP="00FC34E0">
      <w:pPr>
        <w:pStyle w:val="FactsheetBullets"/>
        <w:numPr>
          <w:ilvl w:val="0"/>
          <w:numId w:val="0"/>
        </w:numPr>
      </w:pPr>
      <w:r>
        <w:t xml:space="preserve">Determine the desired ponding depth (not to exceed 1.5 ft), gravel depth, surface area, and media saturated hydraulic conductivity.  A target media hydraulic conductivity of 5 inches per hour is recommended.  </w:t>
      </w:r>
    </w:p>
    <w:p w:rsidR="00FC34E0" w:rsidRDefault="00FC34E0" w:rsidP="00FC34E0">
      <w:pPr>
        <w:pStyle w:val="FSStepHeaders"/>
      </w:pPr>
      <w:r>
        <w:t>Step 2: Verify that the Ponding Depth will Draw Down within 48 Hours</w:t>
      </w:r>
    </w:p>
    <w:p w:rsidR="00FC34E0" w:rsidRDefault="00FC34E0" w:rsidP="00FC34E0">
      <w:pPr>
        <w:pStyle w:val="CheckBoxTableText"/>
      </w:pPr>
      <w:r>
        <w:t>The ponding area drawdown time can be calculated using the following equation:</w:t>
      </w:r>
    </w:p>
    <w:p w:rsidR="00FC34E0" w:rsidRDefault="00FC34E0" w:rsidP="00FC34E0">
      <w:pPr>
        <w:pStyle w:val="FactSheetEquation"/>
      </w:pPr>
      <w:r w:rsidRPr="00311A64">
        <w:t>DD</w:t>
      </w:r>
      <w:r>
        <w:rPr>
          <w:vertAlign w:val="subscript"/>
        </w:rPr>
        <w:t>P</w:t>
      </w:r>
      <w:r w:rsidRPr="00311A64">
        <w:t xml:space="preserve"> = </w:t>
      </w:r>
      <w:r>
        <w:t>(d</w:t>
      </w:r>
      <w:r>
        <w:rPr>
          <w:vertAlign w:val="subscript"/>
        </w:rPr>
        <w:t>P</w:t>
      </w:r>
      <w:r>
        <w:t xml:space="preserve"> / K</w:t>
      </w:r>
      <w:r>
        <w:rPr>
          <w:vertAlign w:val="subscript"/>
        </w:rPr>
        <w:t>MEDIA</w:t>
      </w:r>
      <w:r>
        <w:t>) × 12</w:t>
      </w:r>
    </w:p>
    <w:p w:rsidR="00FC34E0" w:rsidRPr="00A211D0" w:rsidRDefault="00FC34E0" w:rsidP="00FC34E0">
      <w:pPr>
        <w:pStyle w:val="CheckBoxTableText"/>
      </w:pPr>
      <w:r w:rsidRPr="00311A64">
        <w:t>Where</w:t>
      </w:r>
      <w:r w:rsidRPr="00A211D0">
        <w:t>:</w:t>
      </w:r>
    </w:p>
    <w:p w:rsidR="00FC34E0" w:rsidRDefault="00FC34E0" w:rsidP="00FC34E0">
      <w:pPr>
        <w:pStyle w:val="FactSheetEquation"/>
      </w:pPr>
      <w:r w:rsidRPr="00A211D0">
        <w:t>DD</w:t>
      </w:r>
      <w:r>
        <w:rPr>
          <w:vertAlign w:val="subscript"/>
        </w:rPr>
        <w:t>P</w:t>
      </w:r>
      <w:r w:rsidRPr="00A211D0">
        <w:t xml:space="preserve"> = </w:t>
      </w:r>
      <w:r w:rsidRPr="00311A64">
        <w:t xml:space="preserve">time to drain </w:t>
      </w:r>
      <w:r>
        <w:t>ponded water</w:t>
      </w:r>
      <w:r w:rsidRPr="00311A64">
        <w:t>, hours</w:t>
      </w:r>
    </w:p>
    <w:p w:rsidR="00FC34E0" w:rsidRPr="009555AD" w:rsidRDefault="00FC34E0" w:rsidP="00FC34E0">
      <w:pPr>
        <w:pStyle w:val="FactSheetEquation"/>
      </w:pPr>
      <w:r>
        <w:t>d</w:t>
      </w:r>
      <w:r>
        <w:rPr>
          <w:vertAlign w:val="subscript"/>
        </w:rPr>
        <w:t>EFFECTIVE</w:t>
      </w:r>
      <w:r>
        <w:t xml:space="preserve"> = total effective depth of water stored in bioretention area, ft (from Step 3)</w:t>
      </w:r>
    </w:p>
    <w:p w:rsidR="00FC34E0" w:rsidRDefault="00FC34E0" w:rsidP="00FC34E0">
      <w:pPr>
        <w:pStyle w:val="FactSheetEquation"/>
      </w:pPr>
      <w:r>
        <w:t>K</w:t>
      </w:r>
      <w:r>
        <w:rPr>
          <w:vertAlign w:val="subscript"/>
        </w:rPr>
        <w:t>MEDIA</w:t>
      </w:r>
      <w:r>
        <w:t xml:space="preserve"> = media design infiltration rate, in/hr (equivalent to the media hydraulic conductivity with a factor of safety of 2; K</w:t>
      </w:r>
      <w:r>
        <w:rPr>
          <w:vertAlign w:val="subscript"/>
        </w:rPr>
        <w:t xml:space="preserve">MEDIA </w:t>
      </w:r>
      <w:r>
        <w:t xml:space="preserve">of 2.5 in/hr should be used as a default unless other information is available to support an alternative value.) </w:t>
      </w:r>
    </w:p>
    <w:p w:rsidR="00FC34E0" w:rsidRDefault="00FC34E0" w:rsidP="00FC34E0">
      <w:pPr>
        <w:pStyle w:val="FactSheetEquation"/>
      </w:pPr>
      <w:r>
        <w:t xml:space="preserve">If the drawdown time exceeds 48 hours, adjust ponding depth and/or media filter until 48 hour drawdown time is achieved. </w:t>
      </w:r>
    </w:p>
    <w:p w:rsidR="00FC34E0" w:rsidRDefault="00FC34E0" w:rsidP="00FC34E0">
      <w:pPr>
        <w:pStyle w:val="FSStepHeaders"/>
      </w:pPr>
      <w:r>
        <w:t xml:space="preserve">Step 3: Verify That Gravel Depth is Designed for 48 Hour Drawdown </w:t>
      </w:r>
    </w:p>
    <w:p w:rsidR="00FC34E0" w:rsidRDefault="00FC34E0" w:rsidP="00FC34E0">
      <w:pPr>
        <w:pStyle w:val="FactSheetEquation"/>
        <w:tabs>
          <w:tab w:val="left" w:pos="0"/>
        </w:tabs>
        <w:ind w:left="0"/>
      </w:pPr>
      <w:r>
        <w:t>In order to demonstrate that bioinfiltration systems have been designed to achieve the maximum feasible retention (See</w:t>
      </w:r>
      <w:r>
        <w:rPr>
          <w:b/>
          <w:color w:val="00B050"/>
        </w:rP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_Ref287705622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XI</w:t>
      </w:r>
      <w:r w:rsidR="00126F3D" w:rsidRPr="00126DE5">
        <w:rPr>
          <w:rFonts w:ascii="Book Antiqua" w:hAnsi="Book Antiqua"/>
          <w:b/>
          <w:color w:val="0070C0"/>
        </w:rPr>
        <w:fldChar w:fldCharType="end"/>
      </w:r>
      <w:r>
        <w:t>), the gravel depth below the underdrains must be designed with a thickness such that it draws down in 48 hours.</w:t>
      </w:r>
    </w:p>
    <w:p w:rsidR="00FC34E0" w:rsidRDefault="00FC34E0" w:rsidP="00FC34E0">
      <w:pPr>
        <w:pStyle w:val="FactSheetEquation"/>
      </w:pPr>
      <w:r w:rsidRPr="00311A64">
        <w:t>DD</w:t>
      </w:r>
      <w:r>
        <w:rPr>
          <w:vertAlign w:val="subscript"/>
        </w:rPr>
        <w:t>G</w:t>
      </w:r>
      <w:r w:rsidRPr="00311A64">
        <w:t xml:space="preserve"> = </w:t>
      </w:r>
      <w:r>
        <w:t>((d</w:t>
      </w:r>
      <w:r>
        <w:rPr>
          <w:vertAlign w:val="subscript"/>
        </w:rPr>
        <w:t xml:space="preserve">G </w:t>
      </w:r>
      <w:r>
        <w:t>× n</w:t>
      </w:r>
      <w:r>
        <w:rPr>
          <w:vertAlign w:val="subscript"/>
        </w:rPr>
        <w:t>G</w:t>
      </w:r>
      <w:r>
        <w:t>) / K</w:t>
      </w:r>
      <w:r>
        <w:rPr>
          <w:vertAlign w:val="subscript"/>
        </w:rPr>
        <w:t>DESIGN</w:t>
      </w:r>
      <w:r>
        <w:t>) × 12</w:t>
      </w:r>
    </w:p>
    <w:p w:rsidR="00FC34E0" w:rsidRPr="00A211D0" w:rsidRDefault="00FC34E0" w:rsidP="00FC34E0">
      <w:pPr>
        <w:pStyle w:val="CheckBoxTableText"/>
      </w:pPr>
      <w:r w:rsidRPr="00311A64">
        <w:t>Where</w:t>
      </w:r>
      <w:r w:rsidRPr="00A211D0">
        <w:t>:</w:t>
      </w:r>
    </w:p>
    <w:p w:rsidR="00FC34E0" w:rsidRDefault="00FC34E0" w:rsidP="00FC34E0">
      <w:pPr>
        <w:pStyle w:val="FactSheetEquation"/>
      </w:pPr>
      <w:r w:rsidRPr="00A211D0">
        <w:t>DD</w:t>
      </w:r>
      <w:r>
        <w:rPr>
          <w:vertAlign w:val="subscript"/>
        </w:rPr>
        <w:t>G</w:t>
      </w:r>
      <w:r w:rsidRPr="00A211D0">
        <w:t xml:space="preserve"> = </w:t>
      </w:r>
      <w:r w:rsidRPr="00311A64">
        <w:t xml:space="preserve">time to </w:t>
      </w:r>
      <w:r>
        <w:t>drain gravel layer</w:t>
      </w:r>
      <w:r w:rsidRPr="00311A64">
        <w:t>, hours</w:t>
      </w:r>
    </w:p>
    <w:p w:rsidR="00FC34E0" w:rsidRDefault="00FC34E0" w:rsidP="00FC34E0">
      <w:pPr>
        <w:pStyle w:val="FactSheetEquation"/>
      </w:pPr>
      <w:r>
        <w:t>n</w:t>
      </w:r>
      <w:r>
        <w:rPr>
          <w:vertAlign w:val="subscript"/>
        </w:rPr>
        <w:t xml:space="preserve">G </w:t>
      </w:r>
      <w:r>
        <w:t xml:space="preserve"> = bioretention gravel layer porosity; </w:t>
      </w:r>
      <w:r w:rsidRPr="00311A64">
        <w:t>0.35 may be assumed where other information is not available</w:t>
      </w:r>
    </w:p>
    <w:p w:rsidR="00FC34E0" w:rsidRDefault="00FC34E0" w:rsidP="00FC34E0">
      <w:pPr>
        <w:pStyle w:val="FactSheetEquation"/>
      </w:pPr>
      <w:r>
        <w:t>d</w:t>
      </w:r>
      <w:r>
        <w:rPr>
          <w:vertAlign w:val="subscript"/>
        </w:rPr>
        <w:t>G</w:t>
      </w:r>
      <w:r>
        <w:t xml:space="preserve"> = bioretention gravel layer depth, ft</w:t>
      </w:r>
    </w:p>
    <w:p w:rsidR="00FC34E0" w:rsidRDefault="00FC34E0" w:rsidP="00FC34E0">
      <w:pPr>
        <w:pStyle w:val="FactSheetEquation"/>
      </w:pPr>
      <w:r>
        <w:t>K</w:t>
      </w:r>
      <w:r>
        <w:rPr>
          <w:vertAlign w:val="subscript"/>
        </w:rPr>
        <w:t>DESIGN</w:t>
      </w:r>
      <w:r>
        <w:t xml:space="preserve"> = bioretention design infiltration rate, in/hr (See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_Ref287704666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VII</w:t>
      </w:r>
      <w:r w:rsidR="00126F3D" w:rsidRPr="00126DE5">
        <w:rPr>
          <w:rFonts w:ascii="Book Antiqua" w:hAnsi="Book Antiqua"/>
          <w:b/>
          <w:color w:val="0070C0"/>
        </w:rPr>
        <w:fldChar w:fldCharType="end"/>
      </w:r>
      <w:r>
        <w:t xml:space="preserve">) </w:t>
      </w:r>
    </w:p>
    <w:p w:rsidR="00FC34E0" w:rsidRDefault="00FC34E0" w:rsidP="00FC34E0">
      <w:pPr>
        <w:pStyle w:val="FactSheetEquation"/>
      </w:pPr>
      <w:r>
        <w:t>If DD</w:t>
      </w:r>
      <w:r>
        <w:rPr>
          <w:vertAlign w:val="subscript"/>
        </w:rPr>
        <w:t>G</w:t>
      </w:r>
      <w:r>
        <w:t xml:space="preserve"> is less than 48 hours, adjust d</w:t>
      </w:r>
      <w:r>
        <w:rPr>
          <w:vertAlign w:val="subscript"/>
        </w:rPr>
        <w:t>G</w:t>
      </w:r>
      <w:r>
        <w:t xml:space="preserve"> until DD</w:t>
      </w:r>
      <w:r>
        <w:rPr>
          <w:vertAlign w:val="subscript"/>
        </w:rPr>
        <w:t>G</w:t>
      </w:r>
      <w:r>
        <w:t xml:space="preserve"> is at least 48 hours or greater.  </w:t>
      </w:r>
    </w:p>
    <w:p w:rsidR="00FC34E0" w:rsidRPr="00A211D0" w:rsidRDefault="00FC34E0" w:rsidP="00FC34E0">
      <w:pPr>
        <w:pStyle w:val="FSStepHeaders"/>
      </w:pPr>
      <w:r>
        <w:t xml:space="preserve">Step 4: Determine the BMP Area Needed </w:t>
      </w:r>
    </w:p>
    <w:p w:rsidR="00FC34E0" w:rsidRDefault="00FC34E0" w:rsidP="00FC34E0">
      <w:pPr>
        <w:pStyle w:val="CheckBoxTableText"/>
      </w:pPr>
      <w:r>
        <w:t>The required infiltrating area (i.e. the surface area of the top of the media layer) can be calculated using the following equation:</w:t>
      </w:r>
    </w:p>
    <w:p w:rsidR="00FC34E0" w:rsidRPr="009070C1" w:rsidRDefault="00FC34E0" w:rsidP="00FC34E0">
      <w:pPr>
        <w:pStyle w:val="FactsheetBullets"/>
        <w:numPr>
          <w:ilvl w:val="0"/>
          <w:numId w:val="0"/>
        </w:numPr>
        <w:ind w:firstLine="360"/>
        <w:rPr>
          <w:vertAlign w:val="subscript"/>
        </w:rPr>
      </w:pPr>
      <w:r w:rsidRPr="00C54C96">
        <w:rPr>
          <w:rStyle w:val="FactSheetEquationChar"/>
        </w:rPr>
        <w:t xml:space="preserve">A = DCV/ </w:t>
      </w:r>
      <w:r>
        <w:rPr>
          <w:rStyle w:val="FactSheetEquationChar"/>
        </w:rPr>
        <w:t>d</w:t>
      </w:r>
      <w:r>
        <w:rPr>
          <w:rStyle w:val="FactSheetEquationChar"/>
          <w:vertAlign w:val="subscript"/>
        </w:rPr>
        <w:t>EFFECTIVE</w:t>
      </w:r>
    </w:p>
    <w:p w:rsidR="00FC34E0" w:rsidRDefault="00FC34E0" w:rsidP="00FC34E0">
      <w:pPr>
        <w:pStyle w:val="CheckBoxTableText"/>
      </w:pPr>
      <w:r>
        <w:t xml:space="preserve">Where: </w:t>
      </w:r>
    </w:p>
    <w:p w:rsidR="00FC34E0" w:rsidRDefault="00FC34E0" w:rsidP="00FC34E0">
      <w:pPr>
        <w:pStyle w:val="FactsheetBullets"/>
        <w:numPr>
          <w:ilvl w:val="0"/>
          <w:numId w:val="0"/>
        </w:numPr>
        <w:ind w:firstLine="360"/>
      </w:pPr>
      <w:r>
        <w:t>A = required infiltrating area, sq-ft (measured at the media surface)</w:t>
      </w:r>
    </w:p>
    <w:p w:rsidR="00FC34E0" w:rsidRDefault="00FC34E0" w:rsidP="00FC34E0">
      <w:pPr>
        <w:pStyle w:val="FactsheetBullets"/>
        <w:numPr>
          <w:ilvl w:val="0"/>
          <w:numId w:val="0"/>
        </w:numPr>
        <w:ind w:firstLine="360"/>
      </w:pPr>
      <w:r>
        <w:t>DCV = design capture volume, cu-ft (see Step 1)</w:t>
      </w:r>
    </w:p>
    <w:p w:rsidR="00FC34E0" w:rsidRDefault="00FC34E0" w:rsidP="00FC34E0">
      <w:pPr>
        <w:pStyle w:val="FactSheetEquation"/>
      </w:pPr>
      <w:r>
        <w:t>d</w:t>
      </w:r>
      <w:r>
        <w:rPr>
          <w:vertAlign w:val="subscript"/>
        </w:rPr>
        <w:t>EFFECTIVE</w:t>
      </w:r>
      <w:r>
        <w:t xml:space="preserve"> = total effective depth of water stored in bioretention area, ft</w:t>
      </w:r>
    </w:p>
    <w:p w:rsidR="00FC34E0" w:rsidRPr="0050469A" w:rsidRDefault="00FC34E0" w:rsidP="00FC34E0">
      <w:pPr>
        <w:pStyle w:val="FactSheetEquation"/>
      </w:pPr>
      <w:r>
        <w:t>d</w:t>
      </w:r>
      <w:r>
        <w:rPr>
          <w:vertAlign w:val="subscript"/>
        </w:rPr>
        <w:t xml:space="preserve">EFFECTIVE  </w:t>
      </w:r>
      <w:r>
        <w:t>= (d</w:t>
      </w:r>
      <w:r>
        <w:rPr>
          <w:vertAlign w:val="subscript"/>
        </w:rPr>
        <w:t>P</w:t>
      </w:r>
      <w:r>
        <w:t xml:space="preserve"> + n</w:t>
      </w:r>
      <w:r>
        <w:rPr>
          <w:vertAlign w:val="subscript"/>
        </w:rPr>
        <w:t>M</w:t>
      </w:r>
      <w:r>
        <w:t>d</w:t>
      </w:r>
      <w:r>
        <w:rPr>
          <w:vertAlign w:val="subscript"/>
        </w:rPr>
        <w:t>M</w:t>
      </w:r>
      <w:r>
        <w:t xml:space="preserve"> + n</w:t>
      </w:r>
      <w:r>
        <w:rPr>
          <w:vertAlign w:val="subscript"/>
        </w:rPr>
        <w:t>G</w:t>
      </w:r>
      <w:r>
        <w:t>d</w:t>
      </w:r>
      <w:r>
        <w:rPr>
          <w:vertAlign w:val="subscript"/>
        </w:rPr>
        <w:t>G</w:t>
      </w:r>
      <w:r>
        <w:t>)</w:t>
      </w:r>
    </w:p>
    <w:p w:rsidR="00FC34E0" w:rsidRPr="00213BB7" w:rsidRDefault="00FC34E0" w:rsidP="00FC34E0">
      <w:pPr>
        <w:pStyle w:val="FactSheetEquation"/>
        <w:ind w:left="720"/>
      </w:pPr>
      <w:r>
        <w:t>d</w:t>
      </w:r>
      <w:r w:rsidRPr="0050469A">
        <w:rPr>
          <w:vertAlign w:val="subscript"/>
        </w:rPr>
        <w:t>P</w:t>
      </w:r>
      <w:r>
        <w:rPr>
          <w:vertAlign w:val="subscript"/>
        </w:rPr>
        <w:t xml:space="preserve"> </w:t>
      </w:r>
      <w:r>
        <w:t>= bioretention ponding depth, ft (should be less than or equal to 1.5 ft)</w:t>
      </w:r>
    </w:p>
    <w:p w:rsidR="00FC34E0" w:rsidRDefault="00FC34E0" w:rsidP="00FC34E0">
      <w:pPr>
        <w:pStyle w:val="FactSheetEquation"/>
        <w:ind w:left="720"/>
      </w:pPr>
      <w:r>
        <w:t>n</w:t>
      </w:r>
      <w:r>
        <w:rPr>
          <w:vertAlign w:val="subscript"/>
        </w:rPr>
        <w:t>M</w:t>
      </w:r>
      <w:r>
        <w:t xml:space="preserve"> = bioretention media porosity </w:t>
      </w:r>
    </w:p>
    <w:p w:rsidR="00FC34E0" w:rsidRDefault="00FC34E0" w:rsidP="00FC34E0">
      <w:pPr>
        <w:pStyle w:val="FactSheetEquation"/>
        <w:ind w:left="720"/>
      </w:pPr>
      <w:r>
        <w:t>d</w:t>
      </w:r>
      <w:r>
        <w:rPr>
          <w:vertAlign w:val="subscript"/>
        </w:rPr>
        <w:t>M</w:t>
      </w:r>
      <w:r>
        <w:t xml:space="preserve"> = bioretention media depth, ft</w:t>
      </w:r>
    </w:p>
    <w:p w:rsidR="00FC34E0" w:rsidRDefault="00FC34E0" w:rsidP="00FC34E0">
      <w:pPr>
        <w:pStyle w:val="FactSheetEquation"/>
        <w:ind w:left="720"/>
      </w:pPr>
      <w:r>
        <w:t>n</w:t>
      </w:r>
      <w:r>
        <w:rPr>
          <w:vertAlign w:val="subscript"/>
        </w:rPr>
        <w:t xml:space="preserve">G </w:t>
      </w:r>
      <w:r>
        <w:t xml:space="preserve"> = bioretention gravel layer porosity; </w:t>
      </w:r>
      <w:r w:rsidRPr="00311A64">
        <w:t>0.35 may be assumed where other information is not available</w:t>
      </w:r>
    </w:p>
    <w:p w:rsidR="00FC34E0" w:rsidRDefault="00FC34E0" w:rsidP="00FC34E0">
      <w:pPr>
        <w:pStyle w:val="FactSheetEquation"/>
        <w:ind w:left="720"/>
      </w:pPr>
      <w:r>
        <w:t>d</w:t>
      </w:r>
      <w:r>
        <w:rPr>
          <w:vertAlign w:val="subscript"/>
        </w:rPr>
        <w:t>G</w:t>
      </w:r>
      <w:r>
        <w:t xml:space="preserve"> = bioretention gravel layer depth, ft</w:t>
      </w:r>
    </w:p>
    <w:p w:rsidR="00FC34E0" w:rsidRDefault="00FC34E0" w:rsidP="00FC34E0">
      <w:pPr>
        <w:pStyle w:val="FactSheetEquation"/>
      </w:pPr>
      <w:r>
        <w:t>This does not include the side slopes, access roads, etc. which would increase bioretention footprint. If the area required is greater than the selected basin area, adjust surface area or adjust ponding depth and recalculate required area until the required area is achieved.</w:t>
      </w:r>
    </w:p>
    <w:p w:rsidR="00FC34E0" w:rsidRDefault="00FC34E0" w:rsidP="00FC34E0">
      <w:pPr>
        <w:pStyle w:val="FactSheetEquation"/>
      </w:pPr>
    </w:p>
    <w:p w:rsidR="00FC34E0" w:rsidRPr="00B53524" w:rsidRDefault="00FC34E0" w:rsidP="00FC34E0">
      <w:pPr>
        <w:pStyle w:val="FactsheetSubheading"/>
        <w:outlineLvl w:val="0"/>
      </w:pPr>
      <w:r>
        <w:t>Capture Efficiency Method for</w:t>
      </w:r>
      <w:r w:rsidRPr="00311A64">
        <w:t xml:space="preserve"> </w:t>
      </w:r>
      <w:r>
        <w:t>Bioinfiltration</w:t>
      </w:r>
      <w:r w:rsidRPr="00311A64">
        <w:t xml:space="preserve"> </w:t>
      </w:r>
    </w:p>
    <w:p w:rsidR="00FC34E0" w:rsidRDefault="00FC34E0" w:rsidP="00FC34E0">
      <w:pPr>
        <w:pStyle w:val="FSOptionHeader"/>
      </w:pPr>
      <w:r>
        <w:t>Option 1: Accounting for Retention plus Biotreatment in Capture Efficiency Calculation</w:t>
      </w:r>
    </w:p>
    <w:p w:rsidR="00FC34E0" w:rsidRDefault="00FC34E0" w:rsidP="00FC34E0">
      <w:pPr>
        <w:pStyle w:val="CheckBoxTableText"/>
      </w:pPr>
      <w:r>
        <w:t xml:space="preserve">To size bioinfiltration facilities using the Capture Efficiency Method, the system should be divided into its retention and biotreatment components and analyzed as a treatment train per instructions in </w:t>
      </w:r>
      <w:r w:rsidR="00524D76" w:rsidRPr="00524D76">
        <w:rPr>
          <w:b/>
        </w:rPr>
        <w:t>Appendix</w:t>
      </w:r>
      <w: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_Ref287705759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III.5</w:t>
      </w:r>
      <w:r w:rsidR="00126F3D" w:rsidRPr="00126DE5">
        <w:rPr>
          <w:rFonts w:ascii="Book Antiqua" w:hAnsi="Book Antiqua"/>
          <w:b/>
          <w:color w:val="0070C0"/>
        </w:rPr>
        <w:fldChar w:fldCharType="end"/>
      </w:r>
      <w:r>
        <w:rPr>
          <w:b/>
          <w:color w:val="00B050"/>
        </w:rP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_Ref287705762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Sizing Approaches for Treatment Trains and Hybrid Systems</w:t>
      </w:r>
      <w:r w:rsidR="00126F3D" w:rsidRPr="00126DE5">
        <w:rPr>
          <w:rFonts w:ascii="Book Antiqua" w:hAnsi="Book Antiqua"/>
          <w:b/>
          <w:color w:val="0070C0"/>
        </w:rPr>
        <w:fldChar w:fldCharType="end"/>
      </w:r>
      <w:r>
        <w:t xml:space="preserve">. </w:t>
      </w:r>
    </w:p>
    <w:p w:rsidR="00FC34E0" w:rsidRDefault="00FC34E0" w:rsidP="009531AF">
      <w:pPr>
        <w:pStyle w:val="CheckBoxTableText"/>
        <w:numPr>
          <w:ilvl w:val="0"/>
          <w:numId w:val="71"/>
        </w:numPr>
      </w:pPr>
      <w:r>
        <w:t>Retention Storage: Water stored in gravel below underdrains.</w:t>
      </w:r>
    </w:p>
    <w:p w:rsidR="00FC34E0" w:rsidRDefault="00FC34E0" w:rsidP="009531AF">
      <w:pPr>
        <w:pStyle w:val="CheckBoxTableText"/>
        <w:numPr>
          <w:ilvl w:val="0"/>
          <w:numId w:val="71"/>
        </w:numPr>
      </w:pPr>
      <w:r>
        <w:t>Biotreatment Storage: Water stored in surface ponding and media pore space.</w:t>
      </w:r>
    </w:p>
    <w:p w:rsidR="00FC34E0" w:rsidRDefault="00FC34E0" w:rsidP="00FC34E0">
      <w:pPr>
        <w:pStyle w:val="CheckBoxTableText"/>
        <w:ind w:left="720"/>
      </w:pPr>
    </w:p>
    <w:p w:rsidR="00FC34E0" w:rsidRDefault="00FC34E0" w:rsidP="00FC34E0">
      <w:pPr>
        <w:pStyle w:val="CheckBoxTableText"/>
      </w:pPr>
      <w:r>
        <w:t>The retention component should be analyzed as the first component of the treatment train, and will yield a capture efficiency that is used as an input to the biotreatment sizing approach.</w:t>
      </w:r>
    </w:p>
    <w:p w:rsidR="00FC34E0" w:rsidRDefault="00FC34E0" w:rsidP="00FC34E0">
      <w:pPr>
        <w:pStyle w:val="CheckBoxTableText"/>
      </w:pPr>
      <w:r>
        <w:t>The retention component should be sized such that the depth of gravel drains in 48 hours at the design infiltration rate.</w:t>
      </w:r>
    </w:p>
    <w:p w:rsidR="00FC34E0" w:rsidRDefault="00FC34E0" w:rsidP="00FC34E0">
      <w:pPr>
        <w:pStyle w:val="FSOptionHeader"/>
      </w:pPr>
      <w:r>
        <w:t>Option 2: Sizing of Biotreatment Only; Presumptive Approach for Retention</w:t>
      </w:r>
    </w:p>
    <w:p w:rsidR="00FC34E0" w:rsidRDefault="00FC34E0" w:rsidP="00FC34E0">
      <w:pPr>
        <w:pStyle w:val="CheckBoxTableText"/>
      </w:pPr>
      <w:r>
        <w:t xml:space="preserve">Alternatively, bioinfiltration BMPs can be sized accounting for only the capture efficiency of the biotreatment component (See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_Ref287705823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BIO-1: Bioretention with Underdrains</w:t>
      </w:r>
      <w:r w:rsidR="00126F3D" w:rsidRPr="00126DE5">
        <w:rPr>
          <w:rFonts w:ascii="Book Antiqua" w:hAnsi="Book Antiqua"/>
          <w:b/>
          <w:color w:val="0070C0"/>
        </w:rPr>
        <w:fldChar w:fldCharType="end"/>
      </w:r>
      <w:r>
        <w:t xml:space="preserve"> for sizing methods). The retention component should be sized such that the depth of gravel drains in 48 hours or greater at the design infiltration rate.  This provides presumption that water is infiltrated without quantifying the volume that is infiltrated. It is inherently a conservative sizing method.</w:t>
      </w:r>
    </w:p>
    <w:p w:rsidR="00FC34E0" w:rsidRDefault="00FC34E0" w:rsidP="00FC34E0">
      <w:pPr>
        <w:pStyle w:val="CheckBoxTableText"/>
      </w:pPr>
    </w:p>
    <w:p w:rsidR="00FC34E0" w:rsidRPr="00B53524" w:rsidRDefault="00FC34E0" w:rsidP="00FC34E0">
      <w:pPr>
        <w:pStyle w:val="FactsheetSubheading"/>
        <w:outlineLvl w:val="0"/>
      </w:pPr>
      <w:r w:rsidRPr="00311A64">
        <w:t>Configuration for Use in a Treatment Train</w:t>
      </w:r>
    </w:p>
    <w:p w:rsidR="00FC34E0" w:rsidRDefault="00FC34E0" w:rsidP="00FC34E0">
      <w:pPr>
        <w:pStyle w:val="FactsheetBullets"/>
        <w:numPr>
          <w:ilvl w:val="0"/>
          <w:numId w:val="1"/>
        </w:numPr>
      </w:pPr>
      <w:r>
        <w:t>Bioinfiltration areas are inherently a treatment train BMP because they include both retention and biotreatment components.</w:t>
      </w:r>
    </w:p>
    <w:p w:rsidR="00FC34E0" w:rsidRPr="00B53524" w:rsidRDefault="00FC34E0" w:rsidP="00FC34E0">
      <w:pPr>
        <w:pStyle w:val="FactsheetBullets"/>
        <w:numPr>
          <w:ilvl w:val="0"/>
          <w:numId w:val="1"/>
        </w:numPr>
      </w:pPr>
      <w:r w:rsidRPr="00311A64">
        <w:t>Bio</w:t>
      </w:r>
      <w:r>
        <w:t>infiltration</w:t>
      </w:r>
      <w:r w:rsidRPr="00311A64">
        <w:t xml:space="preserve"> areas may be preceded in a treatment train by </w:t>
      </w:r>
      <w:r w:rsidR="003C7091">
        <w:t>HSC</w:t>
      </w:r>
      <w:r w:rsidRPr="00311A64">
        <w:t xml:space="preserve">s in the drainage area, which would reduce the required volume of the bioretention cell.  </w:t>
      </w:r>
    </w:p>
    <w:p w:rsidR="00FC34E0" w:rsidRDefault="00FC34E0" w:rsidP="00FC34E0">
      <w:pPr>
        <w:pStyle w:val="FactsheetBullets"/>
        <w:numPr>
          <w:ilvl w:val="0"/>
          <w:numId w:val="1"/>
        </w:numPr>
      </w:pPr>
      <w:r w:rsidRPr="00311A64">
        <w:t>Bio</w:t>
      </w:r>
      <w:r>
        <w:t>infiltration</w:t>
      </w:r>
      <w:r w:rsidRPr="00311A64">
        <w:t xml:space="preserve"> areas can be incorporated in a treatment train to provide enhanced water quality treatment and reductions in runoff volume and rate.</w:t>
      </w:r>
    </w:p>
    <w:p w:rsidR="00FC34E0" w:rsidRPr="00B53524" w:rsidRDefault="00FC34E0" w:rsidP="00FC34E0">
      <w:pPr>
        <w:pStyle w:val="FactsheetSubheading"/>
        <w:outlineLvl w:val="0"/>
      </w:pPr>
      <w:r w:rsidRPr="00311A64">
        <w:t>Additional References for Design Guidance</w:t>
      </w:r>
    </w:p>
    <w:p w:rsidR="00FC34E0" w:rsidRPr="00B53524" w:rsidRDefault="00FC34E0" w:rsidP="00FC34E0">
      <w:pPr>
        <w:pStyle w:val="FactsheetBullets"/>
        <w:numPr>
          <w:ilvl w:val="0"/>
          <w:numId w:val="1"/>
        </w:numPr>
      </w:pPr>
      <w:r w:rsidRPr="00311A64">
        <w:t xml:space="preserve">CASQA BMP Handbook for New and Redevelopment: </w:t>
      </w:r>
      <w:hyperlink r:id="rId155" w:history="1">
        <w:r w:rsidRPr="00126DE5">
          <w:rPr>
            <w:rStyle w:val="Hyperlink"/>
            <w:rFonts w:ascii="Book Antiqua" w:hAnsi="Book Antiqua"/>
            <w:b/>
            <w:color w:val="0070C0"/>
          </w:rPr>
          <w:t>http://www.cabmphandbooks.com/Documents/Development/TC-32.pdf</w:t>
        </w:r>
      </w:hyperlink>
    </w:p>
    <w:p w:rsidR="00FC34E0" w:rsidRPr="00B53524" w:rsidRDefault="00FC34E0" w:rsidP="00FC34E0">
      <w:pPr>
        <w:pStyle w:val="FactsheetBullets"/>
        <w:numPr>
          <w:ilvl w:val="0"/>
          <w:numId w:val="1"/>
        </w:numPr>
      </w:pPr>
      <w:r w:rsidRPr="00311A64">
        <w:t xml:space="preserve">SMC LID Manual (pp 68): </w:t>
      </w:r>
      <w:hyperlink r:id="rId156" w:history="1">
        <w:r w:rsidRPr="00126DE5">
          <w:rPr>
            <w:rStyle w:val="Hyperlink"/>
            <w:rFonts w:ascii="Book Antiqua" w:hAnsi="Book Antiqua"/>
            <w:b/>
            <w:color w:val="0070C0"/>
          </w:rPr>
          <w:t>http://www.lowimpactdevelopment.org/guest75/pub/All_Projects/SoCal_LID_Manual/SoCalLID_Manual_FINAL_040910.pdf</w:t>
        </w:r>
      </w:hyperlink>
    </w:p>
    <w:p w:rsidR="00FC34E0" w:rsidRPr="00B53524" w:rsidRDefault="00FC34E0" w:rsidP="00FC34E0">
      <w:pPr>
        <w:pStyle w:val="FactsheetBullets"/>
        <w:numPr>
          <w:ilvl w:val="0"/>
          <w:numId w:val="1"/>
        </w:numPr>
      </w:pPr>
      <w:r w:rsidRPr="00311A64">
        <w:t xml:space="preserve">Los Angeles County Stormwater BMP </w:t>
      </w:r>
      <w:r>
        <w:t>Design and Maintenance Manual</w:t>
      </w:r>
      <w:r w:rsidRPr="00311A64">
        <w:t xml:space="preserve">, Chapter 5: </w:t>
      </w:r>
      <w:hyperlink r:id="rId157" w:history="1">
        <w:r w:rsidRPr="00126DE5">
          <w:rPr>
            <w:rStyle w:val="Hyperlink"/>
            <w:rFonts w:ascii="Book Antiqua" w:hAnsi="Book Antiqua"/>
            <w:b/>
            <w:color w:val="0070C0"/>
          </w:rPr>
          <w:t>http://dpw.lacounty.gov/DES/design_manuals/StormwaterBMPDesignandMaintenance.pdf</w:t>
        </w:r>
      </w:hyperlink>
    </w:p>
    <w:p w:rsidR="00FC34E0" w:rsidRPr="00B53524" w:rsidRDefault="00FC34E0" w:rsidP="00FC34E0">
      <w:pPr>
        <w:pStyle w:val="FactsheetBullets"/>
        <w:numPr>
          <w:ilvl w:val="0"/>
          <w:numId w:val="1"/>
        </w:numPr>
      </w:pPr>
      <w:r w:rsidRPr="00311A64">
        <w:t xml:space="preserve">San Diego County LID Handbook Appendix 4 (Factsheet 7):  </w:t>
      </w:r>
      <w:hyperlink r:id="rId158" w:history="1">
        <w:r w:rsidRPr="00126DE5">
          <w:rPr>
            <w:rStyle w:val="Hyperlink"/>
            <w:rFonts w:ascii="Book Antiqua" w:hAnsi="Book Antiqua"/>
            <w:b/>
            <w:color w:val="0070C0"/>
          </w:rPr>
          <w:t>http://www.sdcounty.ca.gov/dplu/docs/LID-Appendices.pdf</w:t>
        </w:r>
      </w:hyperlink>
    </w:p>
    <w:p w:rsidR="00FC34E0" w:rsidRPr="007B6C45" w:rsidRDefault="00FC34E0" w:rsidP="00FC34E0">
      <w:pPr>
        <w:pStyle w:val="FactsheetBullets"/>
        <w:numPr>
          <w:ilvl w:val="0"/>
          <w:numId w:val="1"/>
        </w:numPr>
        <w:rPr>
          <w:b/>
          <w:color w:val="0070C0"/>
        </w:rPr>
      </w:pPr>
      <w:r w:rsidRPr="00311A64">
        <w:t>Los Angeles Unified School District (LAUSD) Stormwater Technical Manual, Chapter 4:</w:t>
      </w:r>
      <w:r>
        <w:t xml:space="preserve"> </w:t>
      </w:r>
      <w:hyperlink r:id="rId159" w:history="1">
        <w:r w:rsidRPr="00126DE5">
          <w:rPr>
            <w:rStyle w:val="Hyperlink"/>
            <w:rFonts w:ascii="Book Antiqua" w:hAnsi="Book Antiqua"/>
            <w:b/>
            <w:color w:val="0070C0"/>
          </w:rPr>
          <w:t>http://www.laschools.org/employee/design/fs-studies-and-reports/download/white_paper_report_material/Storm_Water_Technical_Manual_2009-opt-red.pdf?version_id=76975850</w:t>
        </w:r>
      </w:hyperlink>
    </w:p>
    <w:p w:rsidR="00FC34E0" w:rsidRPr="007B6C45" w:rsidRDefault="00FC34E0" w:rsidP="00FC34E0">
      <w:pPr>
        <w:pStyle w:val="FactsheetBullets"/>
        <w:numPr>
          <w:ilvl w:val="0"/>
          <w:numId w:val="1"/>
        </w:numPr>
        <w:rPr>
          <w:b/>
          <w:color w:val="0070C0"/>
        </w:rPr>
      </w:pPr>
      <w:r w:rsidRPr="00311A64">
        <w:t>County of Los Angeles Low Impact Development Standards Manual, Chapter 5:</w:t>
      </w:r>
      <w:r>
        <w:t xml:space="preserve"> </w:t>
      </w:r>
      <w:hyperlink r:id="rId160" w:history="1">
        <w:r w:rsidRPr="00126DE5">
          <w:rPr>
            <w:rStyle w:val="Hyperlink"/>
            <w:rFonts w:ascii="Book Antiqua" w:hAnsi="Book Antiqua"/>
            <w:b/>
            <w:color w:val="0070C0"/>
          </w:rPr>
          <w:t>http://dpw.lacounty.gov/wmd/LA_County_LID_Manual.pdf</w:t>
        </w:r>
      </w:hyperlink>
    </w:p>
    <w:p w:rsidR="00FC34E0" w:rsidRDefault="00FC34E0" w:rsidP="00FC34E0">
      <w:pPr>
        <w:spacing w:after="200"/>
        <w:rPr>
          <w:rFonts w:ascii="Arial" w:eastAsia="Times New Roman" w:hAnsi="Arial" w:cs="Arial"/>
          <w:noProof/>
          <w:sz w:val="20"/>
          <w:lang w:eastAsia="zh-TW"/>
        </w:rPr>
      </w:pPr>
      <w:r>
        <w:rPr>
          <w:rFonts w:ascii="Arial" w:eastAsia="Times New Roman" w:hAnsi="Arial" w:cs="Arial"/>
          <w:noProof/>
          <w:sz w:val="20"/>
          <w:lang w:eastAsia="zh-TW"/>
        </w:rPr>
        <w:br w:type="page"/>
      </w:r>
    </w:p>
    <w:p w:rsidR="00FC34E0" w:rsidRPr="00B53524" w:rsidRDefault="00126F3D" w:rsidP="00533A19">
      <w:pPr>
        <w:pStyle w:val="Heading3"/>
        <w:numPr>
          <w:ilvl w:val="0"/>
          <w:numId w:val="0"/>
        </w:numPr>
        <w:ind w:left="907" w:hanging="907"/>
      </w:pPr>
      <w:bookmarkStart w:id="835" w:name="_Ref287794990"/>
      <w:r>
        <w:rPr>
          <w:noProof/>
        </w:rPr>
        <w:pict>
          <v:shape id="Text Box 27" o:spid="_x0000_s1163" type="#_x0000_t202" style="position:absolute;left:0;text-align:left;margin-left:-158.4pt;margin-top:2.2pt;width:158.4pt;height:107.45pt;z-index:251767808;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" fillcolor="#d8d8d8">
            <v:textbox style="mso-next-textbox:#Text Box 27">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Default="00853C9A" w:rsidP="009531AF">
                  <w:pPr>
                    <w:pStyle w:val="CDMBTEXT"/>
                    <w:numPr>
                      <w:ilvl w:val="0"/>
                      <w:numId w:val="67"/>
                    </w:numPr>
                    <w:spacing w:after="60" w:line="240" w:lineRule="auto"/>
                    <w:ind w:left="540"/>
                    <w:rPr>
                      <w:i/>
                    </w:rPr>
                  </w:pPr>
                  <w:r>
                    <w:rPr>
                      <w:i/>
                    </w:rPr>
                    <w:t>Soakaway Pits</w:t>
                  </w:r>
                </w:p>
                <w:p w:rsidR="00853C9A" w:rsidRDefault="00853C9A" w:rsidP="009531AF">
                  <w:pPr>
                    <w:pStyle w:val="CDMBTEXT"/>
                    <w:numPr>
                      <w:ilvl w:val="0"/>
                      <w:numId w:val="67"/>
                    </w:numPr>
                    <w:spacing w:after="60" w:line="240" w:lineRule="auto"/>
                    <w:ind w:left="540"/>
                    <w:rPr>
                      <w:i/>
                    </w:rPr>
                  </w:pPr>
                  <w:r>
                    <w:rPr>
                      <w:i/>
                    </w:rPr>
                    <w:t>Infiltration Sumps</w:t>
                  </w:r>
                </w:p>
                <w:p w:rsidR="00853C9A" w:rsidRDefault="00853C9A" w:rsidP="009531AF">
                  <w:pPr>
                    <w:pStyle w:val="CDMBTEXT"/>
                    <w:numPr>
                      <w:ilvl w:val="0"/>
                      <w:numId w:val="67"/>
                    </w:numPr>
                    <w:spacing w:after="60" w:line="240" w:lineRule="auto"/>
                    <w:ind w:left="540"/>
                    <w:rPr>
                      <w:i/>
                    </w:rPr>
                  </w:pPr>
                  <w:r>
                    <w:rPr>
                      <w:i/>
                    </w:rPr>
                    <w:t>Rock Sumps</w:t>
                  </w:r>
                </w:p>
                <w:p w:rsidR="00853C9A" w:rsidRPr="00384989" w:rsidRDefault="00853C9A" w:rsidP="009531AF">
                  <w:pPr>
                    <w:pStyle w:val="CDMBTEXT"/>
                    <w:numPr>
                      <w:ilvl w:val="0"/>
                      <w:numId w:val="67"/>
                    </w:numPr>
                    <w:spacing w:after="60" w:line="240" w:lineRule="auto"/>
                    <w:ind w:left="540"/>
                    <w:rPr>
                      <w:i/>
                    </w:rPr>
                  </w:pPr>
                  <w:r>
                    <w:rPr>
                      <w:i/>
                    </w:rPr>
                    <w:t>Underground Injection Controls</w:t>
                  </w:r>
                </w:p>
              </w:txbxContent>
            </v:textbox>
            <w10:wrap type="square" anchorx="margin" anchory="margin"/>
          </v:shape>
        </w:pict>
      </w:r>
      <w:bookmarkStart w:id="836" w:name="_Toc285589332"/>
      <w:r w:rsidR="00FC34E0">
        <w:t xml:space="preserve">INF-5: </w:t>
      </w:r>
      <w:r w:rsidR="00FC34E0" w:rsidRPr="00311A64">
        <w:t>Drywell</w:t>
      </w:r>
      <w:bookmarkEnd w:id="835"/>
      <w:bookmarkEnd w:id="836"/>
    </w:p>
    <w:p w:rsidR="00FC34E0" w:rsidRPr="00B53524" w:rsidRDefault="00126F3D" w:rsidP="00FC34E0">
      <w:pPr>
        <w:pStyle w:val="CDMBTEXT"/>
        <w:rPr>
          <w:rFonts w:eastAsia="Calibri"/>
        </w:rPr>
      </w:pPr>
      <w:r w:rsidRPr="00126F3D">
        <w:rPr>
          <w:noProof/>
        </w:rPr>
        <w:pict>
          <v:shape id="Text Box 28" o:spid="_x0000_s1164" type="#_x0000_t202" style="position:absolute;margin-left:-158.4pt;margin-top:109.1pt;width:158.4pt;height:171.8pt;z-index:251768832;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" filled="f">
            <v:textbox style="mso-next-textbox:#Text Box 28" inset="0,0,0,0">
              <w:txbxContent>
                <w:p w:rsidR="00853C9A" w:rsidRDefault="00853C9A" w:rsidP="00FC34E0">
                  <w:pPr>
                    <w:ind w:left="-29" w:right="-29"/>
                    <w:rPr>
                      <w:rFonts w:ascii="Arial" w:hAnsi="Arial" w:cs="Arial"/>
                      <w:sz w:val="20"/>
                    </w:rPr>
                  </w:pPr>
                  <w:r w:rsidRPr="009E67E6">
                    <w:rPr>
                      <w:rFonts w:ascii="Arial" w:hAnsi="Arial" w:cs="Arial"/>
                      <w:noProof/>
                      <w:sz w:val="20"/>
                    </w:rPr>
                    <w:drawing>
                      <wp:inline distT="0" distB="0" distL="0" distR="0">
                        <wp:extent cx="2004303" cy="1491759"/>
                        <wp:effectExtent l="19050" t="0" r="0" b="0"/>
                        <wp:docPr id="8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screen"/>
                                <a:srcRect/>
                                <a:stretch>
                                  <a:fillRect/>
                                </a:stretch>
                              </pic:blipFill>
                              <pic:spPr bwMode="auto">
                                <a:xfrm>
                                  <a:off x="0" y="0"/>
                                  <a:ext cx="2004303" cy="1491759"/>
                                </a:xfrm>
                                <a:prstGeom prst="rect">
                                  <a:avLst/>
                                </a:prstGeom>
                                <a:noFill/>
                                <a:ln w="9525">
                                  <a:noFill/>
                                  <a:miter lim="800000"/>
                                  <a:headEnd/>
                                  <a:tailEnd/>
                                </a:ln>
                              </pic:spPr>
                            </pic:pic>
                          </a:graphicData>
                        </a:graphic>
                      </wp:inline>
                    </w:drawing>
                  </w:r>
                </w:p>
                <w:p w:rsidR="00853C9A" w:rsidRDefault="00853C9A" w:rsidP="00FC34E0">
                  <w:pPr>
                    <w:spacing w:after="0"/>
                    <w:ind w:left="187"/>
                    <w:rPr>
                      <w:rFonts w:ascii="Arial" w:hAnsi="Arial" w:cs="Arial"/>
                      <w:sz w:val="20"/>
                    </w:rPr>
                  </w:pPr>
                  <w:r>
                    <w:rPr>
                      <w:rFonts w:ascii="Arial" w:hAnsi="Arial" w:cs="Arial"/>
                      <w:sz w:val="20"/>
                    </w:rPr>
                    <w:t>Drywell</w:t>
                  </w:r>
                  <w:r w:rsidRPr="00FA56FE">
                    <w:rPr>
                      <w:rFonts w:ascii="Arial" w:hAnsi="Arial" w:cs="Arial"/>
                      <w:sz w:val="20"/>
                    </w:rPr>
                    <w:t xml:space="preserve"> </w:t>
                  </w:r>
                </w:p>
                <w:p w:rsidR="00853C9A" w:rsidRPr="00336A84" w:rsidRDefault="00853C9A" w:rsidP="00FC34E0">
                  <w:pPr>
                    <w:spacing w:after="0"/>
                    <w:ind w:left="187"/>
                    <w:rPr>
                      <w:rFonts w:ascii="Arial" w:hAnsi="Arial" w:cs="Arial"/>
                      <w:i/>
                      <w:sz w:val="20"/>
                    </w:rPr>
                  </w:pPr>
                  <w:r w:rsidRPr="00336A84">
                    <w:rPr>
                      <w:rFonts w:ascii="Arial" w:hAnsi="Arial" w:cs="Arial"/>
                      <w:i/>
                      <w:sz w:val="18"/>
                    </w:rPr>
                    <w:t>Source: K&amp;A Enterprises</w:t>
                  </w:r>
                </w:p>
              </w:txbxContent>
            </v:textbox>
            <w10:wrap type="square" anchorx="margin" anchory="margin"/>
          </v:shape>
        </w:pict>
      </w:r>
      <w:r w:rsidR="00FC34E0" w:rsidRPr="00311A64">
        <w:rPr>
          <w:rFonts w:eastAsia="Calibri"/>
        </w:rPr>
        <w:t>Drywells are similar to infiltration trenches in their design and function</w:t>
      </w:r>
      <w:r w:rsidR="00FC34E0">
        <w:rPr>
          <w:rFonts w:eastAsia="Calibri"/>
        </w:rPr>
        <w:t>, but generally have a greater depth to footprint area ratio and can be installed at relatively large depths</w:t>
      </w:r>
      <w:r w:rsidR="00FC34E0" w:rsidRPr="00311A64">
        <w:rPr>
          <w:rFonts w:eastAsia="Calibri"/>
        </w:rPr>
        <w:t>.  A drywell is a subsurface storage facility designed to temporarily store and infiltrate runoff, primarily from rooftops or other impervious areas with low pollutant loading. A drywell may be either a small excavated pit filled with aggregate or a prefabricated storage chamber or pipe segment. Drywells can be used to reduce the volume of runoff from roofs and other relatively clean surfaces. While roofs are generally not a significant source of stormwater pollutants, they can be a major contributor of runoff volumes. Therefore, drywells can indirectly enhance water quality by reducing the water quality design volume that must be treated by other, downstream stormwater management facilities.</w:t>
      </w:r>
      <w:r w:rsidR="00FC34E0" w:rsidRPr="00311A64">
        <w:rPr>
          <w:noProof/>
        </w:rPr>
        <w:t xml:space="preserve">  </w:t>
      </w:r>
      <w:r w:rsidR="00FC34E0" w:rsidRPr="00311A64">
        <w:rPr>
          <w:rFonts w:eastAsia="Calibri"/>
          <w:i/>
        </w:rPr>
        <w:t>Note: A drywell is considered a "Class V Injection Wells" under the federal Underground Injection Control (UIC) Program regulated in California by U.S. EPA Region 9.  A UIC permit may be required (for details see http://www.epa.gov/region9/water/groundwater/uic-classv.html).</w:t>
      </w:r>
    </w:p>
    <w:p w:rsidR="00FC34E0" w:rsidRPr="00B53524" w:rsidRDefault="00FC34E0" w:rsidP="00FC34E0">
      <w:pPr>
        <w:pStyle w:val="FactsheetSubheading"/>
        <w:outlineLvl w:val="0"/>
      </w:pPr>
      <w:r>
        <w:t>Feasibility</w:t>
      </w:r>
      <w:r w:rsidRPr="00311A64">
        <w:t xml:space="preserve"> Screening Considerations</w:t>
      </w:r>
    </w:p>
    <w:p w:rsidR="00FC34E0" w:rsidRPr="00B53524" w:rsidRDefault="00FC34E0" w:rsidP="00FC34E0">
      <w:pPr>
        <w:pStyle w:val="FactsheetBullets"/>
        <w:numPr>
          <w:ilvl w:val="0"/>
          <w:numId w:val="1"/>
        </w:numPr>
      </w:pPr>
      <w:r w:rsidRPr="00311A64">
        <w:t xml:space="preserve">Drywells shall </w:t>
      </w:r>
      <w:r>
        <w:t>pass infiltration infeasibility screening criteria (</w:t>
      </w:r>
      <w:r w:rsidRPr="00A214BC">
        <w:rPr>
          <w:b/>
          <w:color w:val="00B050"/>
        </w:rPr>
        <w:t>TGD Section 2.4</w:t>
      </w:r>
      <w:r w:rsidRPr="00084459">
        <w:rPr>
          <w:b/>
          <w:color w:val="00B050"/>
        </w:rPr>
        <w:t>.2</w:t>
      </w:r>
      <w:r>
        <w:t>) to be considered for use</w:t>
      </w:r>
      <w:r w:rsidRPr="00311A64">
        <w:t>.</w:t>
      </w:r>
    </w:p>
    <w:p w:rsidR="00FC34E0" w:rsidRPr="00B53524" w:rsidRDefault="00FC34E0" w:rsidP="00FC34E0">
      <w:pPr>
        <w:pStyle w:val="FactsheetBullets"/>
        <w:numPr>
          <w:ilvl w:val="0"/>
          <w:numId w:val="1"/>
        </w:numPr>
      </w:pPr>
      <w:r>
        <w:t xml:space="preserve">Dry wells provide a more direct pathway for stormwater to groundwater, therefore pose a greater risk to groundwater quality than surface infiltration systems. </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rsidRPr="00311A64">
        <w:t>Drywells may be used to infiltrate roof runoff, either directly or from the overflow from a cistern.</w:t>
      </w:r>
    </w:p>
    <w:p w:rsidR="00FC34E0" w:rsidRPr="00B53524" w:rsidRDefault="00FC34E0" w:rsidP="00FC34E0">
      <w:pPr>
        <w:pStyle w:val="FactsheetBullets"/>
        <w:numPr>
          <w:ilvl w:val="0"/>
          <w:numId w:val="1"/>
        </w:numPr>
      </w:pPr>
      <w:r>
        <w:t>Soils are adequate for infiltration or can be amended to provide an adequate infiltration rate</w:t>
      </w:r>
      <w:r w:rsidRPr="00311A64">
        <w:t xml:space="preserve">.  </w:t>
      </w:r>
    </w:p>
    <w:p w:rsidR="00FC34E0" w:rsidRPr="00B53524" w:rsidRDefault="00FC34E0" w:rsidP="00FC34E0">
      <w:pPr>
        <w:pStyle w:val="FactsheetBullets"/>
        <w:numPr>
          <w:ilvl w:val="0"/>
          <w:numId w:val="1"/>
        </w:numPr>
      </w:pPr>
      <w:r w:rsidRPr="00311A64">
        <w:t>Space available for pretreatment (biotreatment or treatment control BMP as described below).</w:t>
      </w:r>
    </w:p>
    <w:p w:rsidR="00FC34E0" w:rsidRPr="00B53524" w:rsidRDefault="00FC34E0" w:rsidP="00FC34E0">
      <w:pPr>
        <w:pStyle w:val="FactsheetBullets"/>
        <w:numPr>
          <w:ilvl w:val="0"/>
          <w:numId w:val="1"/>
        </w:numPr>
      </w:pPr>
      <w:r w:rsidRPr="00311A64">
        <w:t>The drywell must be located in native soil; over-excavated by at least one foot in depth and replaced uniformly without compaction.</w:t>
      </w:r>
    </w:p>
    <w:p w:rsidR="00FC34E0" w:rsidRPr="00B53524" w:rsidRDefault="00FC34E0" w:rsidP="00FC34E0">
      <w:pPr>
        <w:pStyle w:val="FactsheetBullets"/>
        <w:numPr>
          <w:ilvl w:val="0"/>
          <w:numId w:val="1"/>
        </w:numPr>
      </w:pPr>
      <w:r w:rsidRPr="00311A64">
        <w:t xml:space="preserve">Potential for groundwater contamination can be mitigated through isolation of pollutant sources, </w:t>
      </w:r>
      <w:r>
        <w:t>pretreatment</w:t>
      </w:r>
      <w:r w:rsidRPr="00311A64">
        <w:t xml:space="preserve"> of inflow, and/or demonstration of adequate treatment capacity of underlying soils.</w:t>
      </w:r>
    </w:p>
    <w:p w:rsidR="00FC34E0" w:rsidRPr="00B53524" w:rsidRDefault="00FC34E0" w:rsidP="00FC34E0">
      <w:pPr>
        <w:pStyle w:val="FactsheetBullets"/>
        <w:numPr>
          <w:ilvl w:val="0"/>
          <w:numId w:val="1"/>
        </w:numPr>
      </w:pPr>
      <w:r w:rsidRPr="00311A64">
        <w:t xml:space="preserve">Infiltration is into native soil, or depth of engineered fill is ≤ 5 feet from the bottom of the facility to native material and infiltration into fill is approved by a geotechnical professional. </w:t>
      </w:r>
    </w:p>
    <w:p w:rsidR="00FC34E0" w:rsidRPr="00B53524" w:rsidRDefault="00FC34E0" w:rsidP="00FC34E0">
      <w:pPr>
        <w:pStyle w:val="FactsheetSubheading"/>
        <w:outlineLvl w:val="0"/>
      </w:pPr>
      <w:r w:rsidRPr="00311A64">
        <w:t>OC-Specific Design Criteria and Considerations</w:t>
      </w:r>
    </w:p>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0"/>
        <w:gridCol w:w="8730"/>
      </w:tblGrid>
      <w:tr w:rsidR="00FC34E0" w:rsidRPr="00B53524" w:rsidTr="00FC34E0">
        <w:trPr>
          <w:trHeight w:val="147"/>
        </w:trPr>
        <w:tc>
          <w:tcPr>
            <w:tcW w:w="720" w:type="dxa"/>
            <w:vAlign w:val="center"/>
          </w:tcPr>
          <w:p w:rsidR="00FC34E0" w:rsidRPr="00B53524" w:rsidRDefault="00FC34E0" w:rsidP="00FC34E0">
            <w:pPr>
              <w:pStyle w:val="CheckBoxList"/>
              <w:spacing w:after="60"/>
              <w:ind w:left="806" w:hanging="806"/>
            </w:pPr>
          </w:p>
        </w:tc>
        <w:tc>
          <w:tcPr>
            <w:tcW w:w="8730" w:type="dxa"/>
            <w:vAlign w:val="center"/>
          </w:tcPr>
          <w:p w:rsidR="00FC34E0" w:rsidRPr="00B53524" w:rsidRDefault="00FC34E0" w:rsidP="00FC34E0">
            <w:pPr>
              <w:pStyle w:val="CheckBoxTableText"/>
            </w:pPr>
            <w:r w:rsidRPr="00311A64">
              <w:t>Must comply with local, state, and federal UIC regulations; a permit may be required.</w:t>
            </w:r>
          </w:p>
        </w:tc>
      </w:tr>
      <w:tr w:rsidR="00FC34E0" w:rsidRPr="00B53524" w:rsidTr="00FC34E0">
        <w:trPr>
          <w:trHeight w:val="147"/>
        </w:trPr>
        <w:tc>
          <w:tcPr>
            <w:tcW w:w="720" w:type="dxa"/>
            <w:vAlign w:val="center"/>
          </w:tcPr>
          <w:p w:rsidR="00FC34E0" w:rsidRPr="00B53524" w:rsidRDefault="00FC34E0" w:rsidP="00FC34E0">
            <w:pPr>
              <w:pStyle w:val="CheckBoxList"/>
              <w:spacing w:after="60"/>
              <w:ind w:left="806" w:hanging="806"/>
            </w:pPr>
          </w:p>
        </w:tc>
        <w:tc>
          <w:tcPr>
            <w:tcW w:w="8730" w:type="dxa"/>
            <w:vAlign w:val="center"/>
          </w:tcPr>
          <w:p w:rsidR="00FC34E0" w:rsidRPr="00B53524" w:rsidRDefault="00FC34E0" w:rsidP="00FC34E0">
            <w:pPr>
              <w:pStyle w:val="CheckBoxTableText"/>
            </w:pPr>
            <w:r w:rsidRPr="00311A64">
              <w:t>Minimum set-backs from foundations and slopes should be observed</w:t>
            </w:r>
            <w:r>
              <w:t xml:space="preserve"> </w:t>
            </w:r>
          </w:p>
        </w:tc>
      </w:tr>
      <w:tr w:rsidR="00FC34E0" w:rsidRPr="00B53524" w:rsidTr="00FC34E0">
        <w:trPr>
          <w:trHeight w:val="144"/>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Infiltration should not cause geotechnical concerns related to slope stability, liquefaction, or erosion.</w:t>
            </w:r>
          </w:p>
        </w:tc>
      </w:tr>
      <w:tr w:rsidR="00FC34E0" w:rsidRPr="00B53524" w:rsidTr="00FC34E0">
        <w:trPr>
          <w:trHeight w:val="144"/>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311A64" w:rsidRDefault="00FC34E0" w:rsidP="00FC34E0">
            <w:pPr>
              <w:pStyle w:val="CheckBoxTableText"/>
            </w:pPr>
            <w:r>
              <w:t>Minimum separation to mounded seasonally high groundwater of 10 feet shall be observed.</w:t>
            </w:r>
          </w:p>
        </w:tc>
      </w:tr>
      <w:tr w:rsidR="00FC34E0" w:rsidRPr="00B53524" w:rsidTr="00FC34E0">
        <w:trPr>
          <w:trHeight w:val="144"/>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Drywells should not receive untreated stormwater runoff, except rooftop runoff</w:t>
            </w:r>
            <w:r>
              <w:t>. P</w:t>
            </w:r>
            <w:r w:rsidRPr="00311A64">
              <w:t>retreatment of runoff from other surfaces is necessary to prevent premature failure that results from clogging with fine sediment, and to prevent potential groundwater contamination due to nutrients, salts, and hydrocarbons.</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Design infiltration rate should be determined with an infiltration test at each drywell location.</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Drywell should be encased by 1 foot of coarse (3/4” to 2 ½”), round river rock on sides and bottom of facility.</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311A64" w:rsidRDefault="00FC34E0" w:rsidP="00FC34E0">
            <w:pPr>
              <w:pStyle w:val="CheckBoxTableText"/>
            </w:pPr>
            <w:r>
              <w:t xml:space="preserve">Maximum facility depth is 25 feet with the approval of a geotechnical professional; preferred depth less than 10 feet does not require geotechnical approval. </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Default="00FC34E0" w:rsidP="00FC34E0">
            <w:pPr>
              <w:pStyle w:val="CheckBoxTableText"/>
            </w:pPr>
            <w:r>
              <w:t>If inlet is an underground pipe, a fine mesh screen should be installed to prevent coarse solids from entering drywell.</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Default="00FC34E0" w:rsidP="00FC34E0">
            <w:pPr>
              <w:pStyle w:val="CheckBoxTableText"/>
            </w:pPr>
            <w:r>
              <w:t xml:space="preserve">An overflow route must be installed for flows that overtop facility. </w:t>
            </w:r>
          </w:p>
        </w:tc>
      </w:tr>
    </w:tbl>
    <w:p w:rsidR="00FC34E0" w:rsidRPr="00B53524" w:rsidRDefault="00FC34E0" w:rsidP="00FC34E0">
      <w:pPr>
        <w:pStyle w:val="FactsheetSubheading"/>
      </w:pPr>
      <w:r w:rsidRPr="00311A64">
        <w:t>Sizing Criteria for Drywells</w:t>
      </w:r>
    </w:p>
    <w:p w:rsidR="00FC34E0" w:rsidRDefault="00FC34E0" w:rsidP="00FC34E0">
      <w:pPr>
        <w:pStyle w:val="CheckBoxTableText"/>
      </w:pPr>
      <w:r>
        <w:t xml:space="preserve">Drywell sizing is highly site-specific.  Sizing calculations shall demonstrate via the methods described in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_Ref287706311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III</w:t>
      </w:r>
      <w:r w:rsidR="00126F3D" w:rsidRPr="00126DE5">
        <w:rPr>
          <w:rFonts w:ascii="Book Antiqua" w:hAnsi="Book Antiqua"/>
          <w:b/>
          <w:color w:val="0070C0"/>
        </w:rPr>
        <w:fldChar w:fldCharType="end"/>
      </w:r>
      <w:r>
        <w:t xml:space="preserve"> or via project-specific methods that the system captures and fully discharges the </w:t>
      </w:r>
      <w:r w:rsidR="003C7091">
        <w:t>DCV</w:t>
      </w:r>
      <w:r>
        <w:t xml:space="preserve"> within 48 hours following the end of precipitation, or captures and infiltrates 80 percent of average annual runoff volume. </w:t>
      </w:r>
    </w:p>
    <w:p w:rsidR="00FC34E0" w:rsidRPr="00B53524" w:rsidRDefault="00FC34E0" w:rsidP="00FC34E0">
      <w:pPr>
        <w:pStyle w:val="FactsheetSubheading"/>
        <w:outlineLvl w:val="0"/>
      </w:pPr>
      <w:r w:rsidRPr="00311A64">
        <w:t>Configuration for Use in a Treatment Train</w:t>
      </w:r>
    </w:p>
    <w:p w:rsidR="00FC34E0" w:rsidRPr="00B53524" w:rsidRDefault="00FC34E0" w:rsidP="00FC34E0">
      <w:pPr>
        <w:pStyle w:val="FactsheetBullets"/>
        <w:numPr>
          <w:ilvl w:val="0"/>
          <w:numId w:val="1"/>
        </w:numPr>
      </w:pPr>
      <w:r w:rsidRPr="00311A64">
        <w:t xml:space="preserve">Drywells may be preceded in a treatment train by </w:t>
      </w:r>
      <w:r w:rsidR="003C7091">
        <w:t>HSC</w:t>
      </w:r>
      <w:r w:rsidRPr="00311A64">
        <w:t xml:space="preserve">s in the drainage area, which would reduce the required volume of the drywell. </w:t>
      </w:r>
    </w:p>
    <w:p w:rsidR="00FC34E0" w:rsidRDefault="00FC34E0" w:rsidP="00FC34E0">
      <w:pPr>
        <w:pStyle w:val="FactsheetBullets"/>
        <w:numPr>
          <w:ilvl w:val="0"/>
          <w:numId w:val="1"/>
        </w:numPr>
      </w:pPr>
      <w:r w:rsidRPr="00311A64">
        <w:t xml:space="preserve">Drywells treating any areas other than roof tops must be preceded by a </w:t>
      </w:r>
      <w:r>
        <w:t xml:space="preserve">robust </w:t>
      </w:r>
      <w:r w:rsidRPr="00311A64">
        <w:t>biotreatment or conventional treatment</w:t>
      </w:r>
      <w:r>
        <w:t xml:space="preserve"> capable of addressing all potentially generated pollutants.</w:t>
      </w:r>
    </w:p>
    <w:p w:rsidR="00FC34E0" w:rsidRPr="00B53524" w:rsidRDefault="00FC34E0" w:rsidP="00FC34E0">
      <w:pPr>
        <w:pStyle w:val="FactsheetBullets"/>
        <w:numPr>
          <w:ilvl w:val="0"/>
          <w:numId w:val="1"/>
        </w:numPr>
      </w:pPr>
      <w:r w:rsidRPr="00311A64">
        <w:t>Drywells may be used in conjunction with other infiltration BMPs to increase the infiltration capacity of the entire treatment train system.</w:t>
      </w:r>
    </w:p>
    <w:p w:rsidR="00FC34E0" w:rsidRPr="00B53524" w:rsidRDefault="00FC34E0" w:rsidP="00FC34E0">
      <w:pPr>
        <w:pStyle w:val="FactsheetSubheading"/>
      </w:pPr>
      <w:r w:rsidRPr="00311A64">
        <w:t>Additional References for Design Guidance</w:t>
      </w:r>
    </w:p>
    <w:p w:rsidR="00FC34E0" w:rsidRPr="00B53524" w:rsidRDefault="00FC34E0" w:rsidP="00FC34E0">
      <w:pPr>
        <w:pStyle w:val="FactsheetBullets"/>
        <w:numPr>
          <w:ilvl w:val="0"/>
          <w:numId w:val="1"/>
        </w:numPr>
      </w:pPr>
      <w:r w:rsidRPr="00311A64">
        <w:t>Stormwater Management in Western Washington (Volume III: Hydrologic Analysis and Flow Control Design BMPs)</w:t>
      </w:r>
      <w:r>
        <w:t xml:space="preserve"> </w:t>
      </w:r>
      <w:hyperlink r:id="rId162" w:history="1">
        <w:r w:rsidRPr="00126DE5">
          <w:rPr>
            <w:rStyle w:val="Hyperlink"/>
            <w:rFonts w:ascii="Book Antiqua" w:hAnsi="Book Antiqua"/>
            <w:b/>
            <w:color w:val="0070C0"/>
          </w:rPr>
          <w:t>http://www.ecy.wa.gov/pubs/0510031.pdf</w:t>
        </w:r>
      </w:hyperlink>
    </w:p>
    <w:p w:rsidR="00FC34E0" w:rsidRPr="00B53524" w:rsidRDefault="00FC34E0" w:rsidP="00FC34E0">
      <w:pPr>
        <w:pStyle w:val="FactsheetBullets"/>
        <w:numPr>
          <w:ilvl w:val="0"/>
          <w:numId w:val="1"/>
        </w:numPr>
      </w:pPr>
      <w:r w:rsidRPr="00311A64">
        <w:t xml:space="preserve">Los Angeles Unified School District (LAUSD) Stormwater Technical Manual, Chapter 4: </w:t>
      </w:r>
      <w:hyperlink r:id="rId163" w:history="1">
        <w:r w:rsidRPr="00126DE5">
          <w:rPr>
            <w:rStyle w:val="Hyperlink"/>
            <w:rFonts w:ascii="Book Antiqua" w:hAnsi="Book Antiqua"/>
            <w:b/>
            <w:color w:val="0070C0"/>
          </w:rPr>
          <w:t>http://www.laschools.org/employee/design/fs-studies-and-reports/download/white_paper_report_material/Storm_Water_Technical_Manual_2009-opt-red.pdf?version_id=76975850</w:t>
        </w:r>
      </w:hyperlink>
    </w:p>
    <w:p w:rsidR="00FC34E0" w:rsidRPr="00B53524" w:rsidRDefault="00FC34E0" w:rsidP="00FC34E0">
      <w:pPr>
        <w:pStyle w:val="FactsheetBullets"/>
        <w:numPr>
          <w:ilvl w:val="0"/>
          <w:numId w:val="1"/>
        </w:numPr>
      </w:pPr>
      <w:r w:rsidRPr="00311A64">
        <w:t>City of Portland Stormwate</w:t>
      </w:r>
      <w:r>
        <w:t>r Management Manual (Drywell, page</w:t>
      </w:r>
      <w:r w:rsidRPr="00311A64">
        <w:t xml:space="preserve"> 2-87) </w:t>
      </w:r>
      <w:hyperlink r:id="rId164" w:history="1">
        <w:r w:rsidRPr="00126DE5">
          <w:rPr>
            <w:rStyle w:val="Hyperlink"/>
            <w:rFonts w:ascii="Book Antiqua" w:hAnsi="Book Antiqua"/>
            <w:b/>
            <w:color w:val="0070C0"/>
          </w:rPr>
          <w:t>http://www.portlandonline.com/bes/index.cfm?c=47954&amp;a=202883</w:t>
        </w:r>
      </w:hyperlink>
    </w:p>
    <w:p w:rsidR="00FC34E0" w:rsidRPr="00BE7A48" w:rsidRDefault="00FC34E0" w:rsidP="00FC34E0">
      <w:pPr>
        <w:pStyle w:val="FactsheetBullets"/>
        <w:numPr>
          <w:ilvl w:val="0"/>
          <w:numId w:val="1"/>
        </w:numPr>
        <w:rPr>
          <w:b/>
          <w:color w:val="0070C0"/>
        </w:rPr>
      </w:pPr>
      <w:r w:rsidRPr="00311A64">
        <w:t xml:space="preserve">San Diego County LID Handbook Appendix 4 (Factsheet 25):  </w:t>
      </w:r>
      <w:hyperlink r:id="rId165" w:history="1">
        <w:r w:rsidRPr="00126DE5">
          <w:rPr>
            <w:rStyle w:val="Hyperlink"/>
            <w:rFonts w:ascii="Book Antiqua" w:hAnsi="Book Antiqua"/>
            <w:b/>
            <w:color w:val="0070C0"/>
          </w:rPr>
          <w:t>http://www.sdcounty.ca.gov/dplu/docs/LID-Appendices.pdf</w:t>
        </w:r>
      </w:hyperlink>
    </w:p>
    <w:p w:rsidR="00FC34E0" w:rsidRPr="00BE7A48" w:rsidRDefault="00FC34E0" w:rsidP="00FC34E0">
      <w:pPr>
        <w:pStyle w:val="FactsheetBullets"/>
        <w:numPr>
          <w:ilvl w:val="0"/>
          <w:numId w:val="1"/>
        </w:numPr>
        <w:rPr>
          <w:b/>
          <w:color w:val="0070C0"/>
        </w:rPr>
      </w:pPr>
      <w:r w:rsidRPr="00311A64">
        <w:t>City of Santa Barbara Storm Water BMP Guidance Manual, Chapter 6:</w:t>
      </w:r>
      <w:r>
        <w:t xml:space="preserve"> </w:t>
      </w:r>
      <w:hyperlink r:id="rId166" w:history="1">
        <w:r w:rsidRPr="00126DE5">
          <w:rPr>
            <w:rStyle w:val="Hyperlink"/>
            <w:rFonts w:ascii="Book Antiqua" w:hAnsi="Book Antiqua"/>
            <w:b/>
            <w:color w:val="0070C0"/>
          </w:rPr>
          <w:t>http://www.santabarbaraca.gov/NR/rdonlyres/91D1FA75-C185-491E-A882-49EE17789DF8/0/Manual_071008_Final.pdf</w:t>
        </w:r>
      </w:hyperlink>
      <w:r w:rsidRPr="00BE7A48">
        <w:rPr>
          <w:b/>
          <w:color w:val="0070C0"/>
        </w:rPr>
        <w:br w:type="page"/>
      </w:r>
    </w:p>
    <w:p w:rsidR="00FC34E0" w:rsidRPr="00B53524" w:rsidRDefault="00FC34E0" w:rsidP="00533A19">
      <w:pPr>
        <w:pStyle w:val="Heading3"/>
        <w:numPr>
          <w:ilvl w:val="0"/>
          <w:numId w:val="0"/>
        </w:numPr>
        <w:ind w:left="907" w:hanging="907"/>
      </w:pPr>
      <w:bookmarkStart w:id="837" w:name="_Toc285589333"/>
      <w:bookmarkStart w:id="838" w:name="_Ref287786592"/>
      <w:bookmarkStart w:id="839" w:name="_Ref287794995"/>
      <w:r>
        <w:t xml:space="preserve">INF-6: </w:t>
      </w:r>
      <w:r w:rsidRPr="00311A64">
        <w:t>Permeable Pavement (concrete, asphalt, and pavers)</w:t>
      </w:r>
      <w:bookmarkEnd w:id="837"/>
      <w:bookmarkEnd w:id="838"/>
      <w:bookmarkEnd w:id="839"/>
    </w:p>
    <w:p w:rsidR="00FC34E0" w:rsidRPr="00B53524" w:rsidRDefault="00126F3D" w:rsidP="00FC34E0">
      <w:pPr>
        <w:pStyle w:val="CDMBTEXT"/>
        <w:rPr>
          <w:rFonts w:eastAsia="Calibri"/>
        </w:rPr>
      </w:pPr>
      <w:r w:rsidRPr="00126F3D">
        <w:rPr>
          <w:noProof/>
        </w:rPr>
        <w:pict>
          <v:shape id="Text Box 29" o:spid="_x0000_s1165" type="#_x0000_t202" style="position:absolute;margin-left:-158.4pt;margin-top:116.95pt;width:158.4pt;height:176.25pt;z-index:251769856;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" filled="f">
            <v:textbox style="mso-next-textbox:#Text Box 29" inset="0,0,0,0">
              <w:txbxContent>
                <w:p w:rsidR="00853C9A" w:rsidRDefault="00853C9A" w:rsidP="00FC34E0">
                  <w:pPr>
                    <w:ind w:left="-29" w:right="-29"/>
                    <w:rPr>
                      <w:rFonts w:ascii="Arial" w:hAnsi="Arial" w:cs="Arial"/>
                      <w:sz w:val="20"/>
                    </w:rPr>
                  </w:pPr>
                  <w:r w:rsidRPr="001D07DA">
                    <w:rPr>
                      <w:rFonts w:ascii="Arial" w:hAnsi="Arial" w:cs="Arial"/>
                      <w:noProof/>
                      <w:sz w:val="20"/>
                    </w:rPr>
                    <w:drawing>
                      <wp:inline distT="0" distB="0" distL="0" distR="0">
                        <wp:extent cx="2014031" cy="1504864"/>
                        <wp:effectExtent l="19050" t="0" r="5269" b="0"/>
                        <wp:docPr id="84"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screen"/>
                                <a:srcRect/>
                                <a:stretch>
                                  <a:fillRect/>
                                </a:stretch>
                              </pic:blipFill>
                              <pic:spPr bwMode="auto">
                                <a:xfrm>
                                  <a:off x="0" y="0"/>
                                  <a:ext cx="2017860" cy="1507725"/>
                                </a:xfrm>
                                <a:prstGeom prst="rect">
                                  <a:avLst/>
                                </a:prstGeom>
                                <a:noFill/>
                                <a:ln w="3175">
                                  <a:noFill/>
                                  <a:miter lim="800000"/>
                                  <a:headEnd/>
                                  <a:tailEnd/>
                                </a:ln>
                              </pic:spPr>
                            </pic:pic>
                          </a:graphicData>
                        </a:graphic>
                      </wp:inline>
                    </w:drawing>
                  </w:r>
                </w:p>
                <w:p w:rsidR="00853C9A" w:rsidRDefault="00853C9A" w:rsidP="00FC34E0">
                  <w:pPr>
                    <w:spacing w:after="0"/>
                    <w:ind w:left="187"/>
                    <w:rPr>
                      <w:rFonts w:ascii="Arial" w:hAnsi="Arial" w:cs="Arial"/>
                      <w:sz w:val="20"/>
                    </w:rPr>
                  </w:pPr>
                  <w:r>
                    <w:rPr>
                      <w:rFonts w:ascii="Arial" w:hAnsi="Arial" w:cs="Arial"/>
                      <w:sz w:val="20"/>
                    </w:rPr>
                    <w:t>Permeable Pavement</w:t>
                  </w:r>
                  <w:r w:rsidRPr="00FA56FE">
                    <w:rPr>
                      <w:rFonts w:ascii="Arial" w:hAnsi="Arial" w:cs="Arial"/>
                      <w:sz w:val="20"/>
                    </w:rPr>
                    <w:t xml:space="preserve"> </w:t>
                  </w:r>
                </w:p>
                <w:p w:rsidR="00853C9A" w:rsidRPr="00336A84" w:rsidRDefault="00853C9A" w:rsidP="00FC34E0">
                  <w:pPr>
                    <w:spacing w:after="0"/>
                    <w:ind w:left="187"/>
                    <w:rPr>
                      <w:rFonts w:ascii="Arial" w:hAnsi="Arial" w:cs="Arial"/>
                      <w:i/>
                      <w:sz w:val="20"/>
                    </w:rPr>
                  </w:pPr>
                  <w:r w:rsidRPr="00336A84">
                    <w:rPr>
                      <w:rFonts w:ascii="Arial" w:hAnsi="Arial" w:cs="Arial"/>
                      <w:i/>
                      <w:sz w:val="18"/>
                    </w:rPr>
                    <w:t>Source: Geosyntec Consultants</w:t>
                  </w:r>
                </w:p>
              </w:txbxContent>
            </v:textbox>
            <w10:wrap type="square" anchorx="margin" anchory="margin"/>
          </v:shape>
        </w:pict>
      </w:r>
      <w:r w:rsidRPr="00126F3D">
        <w:rPr>
          <w:noProof/>
        </w:rPr>
        <w:pict>
          <v:shape id="Text Box 30" o:spid="_x0000_s1166" type="#_x0000_t202" style="position:absolute;margin-left:-158.4pt;margin-top:25.05pt;width:158.4pt;height:91.9pt;z-index:251770880;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" fillcolor="#d8d8d8">
            <v:textbox style="mso-next-textbox:#Text Box 30">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Default="00853C9A" w:rsidP="009531AF">
                  <w:pPr>
                    <w:pStyle w:val="CDMBTEXT"/>
                    <w:numPr>
                      <w:ilvl w:val="0"/>
                      <w:numId w:val="67"/>
                    </w:numPr>
                    <w:spacing w:after="60" w:line="240" w:lineRule="auto"/>
                    <w:ind w:left="540"/>
                    <w:rPr>
                      <w:i/>
                    </w:rPr>
                  </w:pPr>
                  <w:r>
                    <w:rPr>
                      <w:i/>
                    </w:rPr>
                    <w:t>Pervious pavement</w:t>
                  </w:r>
                </w:p>
                <w:p w:rsidR="00853C9A" w:rsidRDefault="00853C9A" w:rsidP="009531AF">
                  <w:pPr>
                    <w:pStyle w:val="CDMBTEXT"/>
                    <w:numPr>
                      <w:ilvl w:val="0"/>
                      <w:numId w:val="67"/>
                    </w:numPr>
                    <w:spacing w:after="60" w:line="240" w:lineRule="auto"/>
                    <w:ind w:left="540"/>
                    <w:rPr>
                      <w:i/>
                    </w:rPr>
                  </w:pPr>
                  <w:r>
                    <w:rPr>
                      <w:i/>
                    </w:rPr>
                    <w:t>Porous concrete</w:t>
                  </w:r>
                </w:p>
                <w:p w:rsidR="00853C9A" w:rsidRDefault="00853C9A" w:rsidP="009531AF">
                  <w:pPr>
                    <w:pStyle w:val="CDMBTEXT"/>
                    <w:numPr>
                      <w:ilvl w:val="0"/>
                      <w:numId w:val="67"/>
                    </w:numPr>
                    <w:spacing w:after="60" w:line="240" w:lineRule="auto"/>
                    <w:ind w:left="540"/>
                    <w:rPr>
                      <w:i/>
                    </w:rPr>
                  </w:pPr>
                  <w:r>
                    <w:rPr>
                      <w:i/>
                    </w:rPr>
                    <w:t>Pavers</w:t>
                  </w:r>
                </w:p>
                <w:p w:rsidR="00853C9A" w:rsidRPr="00384989" w:rsidRDefault="00853C9A" w:rsidP="009531AF">
                  <w:pPr>
                    <w:pStyle w:val="CDMBTEXT"/>
                    <w:numPr>
                      <w:ilvl w:val="0"/>
                      <w:numId w:val="67"/>
                    </w:numPr>
                    <w:spacing w:after="60" w:line="240" w:lineRule="auto"/>
                    <w:ind w:left="540"/>
                    <w:rPr>
                      <w:i/>
                    </w:rPr>
                  </w:pPr>
                  <w:r>
                    <w:rPr>
                      <w:i/>
                    </w:rPr>
                    <w:t>Permeable asphalt</w:t>
                  </w:r>
                </w:p>
              </w:txbxContent>
            </v:textbox>
            <w10:wrap type="square" anchorx="margin" anchory="margin"/>
          </v:shape>
        </w:pict>
      </w:r>
      <w:r w:rsidR="00FC34E0" w:rsidRPr="00311A64">
        <w:rPr>
          <w:rFonts w:eastAsia="Calibri"/>
        </w:rPr>
        <w:t>Permeable pavements contain small voids that allow water to pass through to a gravel base. They come in a variety of forms; they may be a modular paving system (concrete pavers, grass-pave, or gravel-pave) or poured in place pavement (porous concrete, permeable asphalt). All permeable pavements treat stormwater and remove sediments and metals to some degree within the pavement pore space and gravel base. While conventional pavement result in increased rates and volumes of surface runoff, properly constructed and maintained porous pavements, allow stormwater to percolate through the pavement and enter the soil below. This facilitates groundwater recharge while providing the structural and functional features needed for the roadway, parking lot, or sidewalk. The paving surface, subgrade, and installation requirements of permeable pavements are more complex than those for conventional asphalt or concrete surfaces. For porous pavements to function properly over an expected life span of 15 to 20 years, they must be properly sited and carefully designed and installed, as well as periodically maintained. Failure to protect paved areas from construction-related sediment loads can result in their premature clogging and failure.</w:t>
      </w:r>
    </w:p>
    <w:p w:rsidR="00FC34E0" w:rsidRPr="00B53524" w:rsidRDefault="00FC34E0" w:rsidP="00FC34E0">
      <w:pPr>
        <w:pStyle w:val="FactsheetSubheading"/>
        <w:outlineLvl w:val="0"/>
      </w:pPr>
      <w:r>
        <w:t>Feasibility</w:t>
      </w:r>
      <w:r w:rsidRPr="00311A64">
        <w:t xml:space="preserve"> Screening Considerations</w:t>
      </w:r>
    </w:p>
    <w:p w:rsidR="00FC34E0" w:rsidRPr="00B53524" w:rsidRDefault="00FC34E0" w:rsidP="00FC34E0">
      <w:pPr>
        <w:pStyle w:val="FactsheetBullets"/>
        <w:numPr>
          <w:ilvl w:val="0"/>
          <w:numId w:val="1"/>
        </w:numPr>
      </w:pPr>
      <w:r w:rsidRPr="00311A64">
        <w:t>Permeable pavement shall</w:t>
      </w:r>
      <w:r>
        <w:t xml:space="preserve"> pass infiltration infeasibility screening to be considered for use.</w:t>
      </w:r>
      <w:r w:rsidRPr="00311A64">
        <w:t xml:space="preserve"> </w:t>
      </w:r>
    </w:p>
    <w:p w:rsidR="00FC34E0" w:rsidRPr="00B53524" w:rsidRDefault="00FC34E0" w:rsidP="00FC34E0">
      <w:pPr>
        <w:pStyle w:val="FactsheetBullets"/>
        <w:numPr>
          <w:ilvl w:val="0"/>
          <w:numId w:val="1"/>
        </w:numPr>
      </w:pPr>
      <w:r>
        <w:t>Permeable pavements pose a p</w:t>
      </w:r>
      <w:r w:rsidRPr="00311A64">
        <w:t xml:space="preserve">otential risk of groundwater contamination; </w:t>
      </w:r>
      <w:r>
        <w:t xml:space="preserve">they </w:t>
      </w:r>
      <w:r w:rsidRPr="00311A64">
        <w:t xml:space="preserve">may not provide significant attenuation of stormwater pollutants if underlying soils have high permeability. </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rsidRPr="00311A64">
        <w:t>Permeable pavement areas can be applied to individual lot driveways, walkways, parking lots, low-traffic roads, high-traffic (with low speeds) roads/lots, golf cart paths, within road right-of-ways, and in parks and along open space edges.</w:t>
      </w:r>
      <w:r>
        <w:t xml:space="preserve"> </w:t>
      </w:r>
      <w:r w:rsidRPr="00311A64">
        <w:t xml:space="preserve">Impervious surfaces draining to the BMP are limited to surfaces immediately adjacent to the permeable pavement, rooftop runoff, </w:t>
      </w:r>
      <w:r>
        <w:t>and</w:t>
      </w:r>
      <w:r w:rsidRPr="00311A64">
        <w:t xml:space="preserve"> other </w:t>
      </w:r>
      <w:r>
        <w:t xml:space="preserve">nearby </w:t>
      </w:r>
      <w:r w:rsidRPr="00311A64">
        <w:t>surfaces that do not contain significant sediment loads.</w:t>
      </w:r>
    </w:p>
    <w:p w:rsidR="00FC34E0" w:rsidRPr="00B53524" w:rsidRDefault="00FC34E0" w:rsidP="00FC34E0">
      <w:pPr>
        <w:pStyle w:val="FactsheetBullets"/>
        <w:numPr>
          <w:ilvl w:val="0"/>
          <w:numId w:val="1"/>
        </w:numPr>
      </w:pPr>
      <w:r>
        <w:t>Soils are adequate for infiltration or can be amended to provide an adequate infiltration rate</w:t>
      </w:r>
      <w:r w:rsidRPr="00311A64">
        <w:t xml:space="preserve">.  </w:t>
      </w:r>
    </w:p>
    <w:p w:rsidR="00FC34E0" w:rsidRPr="00B53524" w:rsidRDefault="00FC34E0" w:rsidP="00FC34E0">
      <w:pPr>
        <w:pStyle w:val="FactsheetBullets"/>
        <w:numPr>
          <w:ilvl w:val="0"/>
          <w:numId w:val="1"/>
        </w:numPr>
      </w:pPr>
      <w:r w:rsidRPr="00311A64">
        <w:t xml:space="preserve">Infiltration is into native soil, or depth of engineered fill is ≤ 5 feet from the bottom of the facility to native material and infiltration into fill is approved by a geotechnical professional. </w:t>
      </w:r>
    </w:p>
    <w:p w:rsidR="00FC34E0" w:rsidRPr="00B53524" w:rsidRDefault="00FC34E0" w:rsidP="00FC34E0">
      <w:pPr>
        <w:pStyle w:val="FactsheetSubheading"/>
        <w:outlineLvl w:val="0"/>
      </w:pPr>
      <w:r w:rsidRPr="00311A64">
        <w:t>OC-Specific Design Criteria and Considerations</w:t>
      </w:r>
    </w:p>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0"/>
        <w:gridCol w:w="8730"/>
      </w:tblGrid>
      <w:tr w:rsidR="00FC34E0" w:rsidRPr="00B53524" w:rsidTr="00FC34E0">
        <w:trPr>
          <w:trHeight w:val="147"/>
        </w:trPr>
        <w:tc>
          <w:tcPr>
            <w:tcW w:w="720" w:type="dxa"/>
            <w:vAlign w:val="center"/>
          </w:tcPr>
          <w:p w:rsidR="00FC34E0" w:rsidRPr="00B53524" w:rsidRDefault="00FC34E0" w:rsidP="00FC34E0">
            <w:pPr>
              <w:pStyle w:val="CheckBoxList"/>
              <w:spacing w:after="60"/>
              <w:ind w:left="806" w:hanging="806"/>
            </w:pPr>
          </w:p>
        </w:tc>
        <w:tc>
          <w:tcPr>
            <w:tcW w:w="8730" w:type="dxa"/>
            <w:vAlign w:val="center"/>
          </w:tcPr>
          <w:p w:rsidR="00FC34E0" w:rsidRPr="00B53524" w:rsidRDefault="00FC34E0" w:rsidP="00FC34E0">
            <w:pPr>
              <w:pStyle w:val="CheckBoxTableText"/>
            </w:pPr>
            <w:r w:rsidRPr="00311A64">
              <w:t>Placement of BMPs should observe geotechnical recommendations with respect to geological hazards (e.g. landslides, liquefaction zones, erosion, etc.) and set-backs (e.g., foundations, utilities, roadways, etc</w:t>
            </w:r>
            <w:r>
              <w:t>)</w:t>
            </w:r>
          </w:p>
        </w:tc>
      </w:tr>
      <w:tr w:rsidR="00FC34E0" w:rsidRPr="00B53524" w:rsidTr="00FC34E0">
        <w:trPr>
          <w:trHeight w:val="147"/>
        </w:trPr>
        <w:tc>
          <w:tcPr>
            <w:tcW w:w="720" w:type="dxa"/>
            <w:vAlign w:val="center"/>
          </w:tcPr>
          <w:p w:rsidR="00FC34E0" w:rsidRPr="00B53524" w:rsidRDefault="00FC34E0" w:rsidP="00FC34E0">
            <w:pPr>
              <w:pStyle w:val="CheckBoxList"/>
              <w:spacing w:after="60"/>
              <w:ind w:left="806" w:hanging="806"/>
            </w:pPr>
          </w:p>
        </w:tc>
        <w:tc>
          <w:tcPr>
            <w:tcW w:w="8730" w:type="dxa"/>
            <w:vAlign w:val="center"/>
          </w:tcPr>
          <w:p w:rsidR="00FC34E0" w:rsidRPr="00311A64" w:rsidRDefault="00FC34E0" w:rsidP="00FC34E0">
            <w:pPr>
              <w:pStyle w:val="CheckBoxTableText"/>
            </w:pPr>
            <w:r>
              <w:t>Minimum separation to mounded seasonally high groundwater of 5 feet shall be observed.</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A biotreatment BMP should be provided for all runoff from off-site sources that are not directly adjacent to the permeable pavement</w:t>
            </w:r>
            <w:r>
              <w:t>, with the exception of rooftops.</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Permeable pavement should not be used for drainage areas with high sediment production</w:t>
            </w:r>
            <w:r>
              <w:t xml:space="preserve"> </w:t>
            </w:r>
            <w:r w:rsidRPr="00311A64">
              <w:t xml:space="preserve">potential </w:t>
            </w:r>
            <w:r>
              <w:t>(e.g., landscape areas)</w:t>
            </w:r>
            <w:r w:rsidRPr="00311A64">
              <w:t xml:space="preserve"> unless preceded by full treatment control with a BMP effective for sediment removal</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311A64" w:rsidRDefault="00FC34E0" w:rsidP="00FC34E0">
            <w:pPr>
              <w:pStyle w:val="CheckBoxTableText"/>
            </w:pPr>
            <w:r>
              <w:t>All aggregate used to construct permeable pavement shall be thoroughly washed before being delivered to the construction site.</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311A64" w:rsidRDefault="00FC34E0" w:rsidP="00FC34E0">
            <w:pPr>
              <w:pStyle w:val="CheckBoxTableText"/>
            </w:pPr>
            <w:r>
              <w:t xml:space="preserve">The top or wearing layer course (permeable pavement course) should consist of asphalt or concrete with greater than normal percentage of voids, or paving stones. </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 xml:space="preserve">A layer of </w:t>
            </w:r>
            <w:r>
              <w:t>washed fine</w:t>
            </w:r>
            <w:r w:rsidRPr="00311A64">
              <w:t xml:space="preserve"> aggregate (e.g., No. 8) just under the </w:t>
            </w:r>
            <w:r>
              <w:t xml:space="preserve">permeable pavement course </w:t>
            </w:r>
            <w:r w:rsidRPr="00311A64">
              <w:t>may be installed to provide a level surface for installing the permeable pavement and also acts as a filter to trap particles and help prevent the reservoir layer from clogging</w:t>
            </w:r>
            <w:r>
              <w:t>.  This layer can also act as interstitial media between pavers.</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t>Below this layer, the b</w:t>
            </w:r>
            <w:r w:rsidRPr="00311A64">
              <w:t>edding</w:t>
            </w:r>
            <w:r>
              <w:t xml:space="preserve"> and filter course</w:t>
            </w:r>
            <w:r w:rsidRPr="00311A64">
              <w:t xml:space="preserve"> course should be 1.5 to 3 inches deep and may be underlain by choking stone to prevent the smaller sized aggregate from migrating into the large aggregate base layer</w:t>
            </w:r>
            <w:r>
              <w:t xml:space="preserve">. </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Default="00FC34E0" w:rsidP="00FC34E0">
            <w:pPr>
              <w:pStyle w:val="CheckBoxTableText"/>
            </w:pPr>
            <w:r>
              <w:t>The bedding, filter, and choke stone layers, as applicable, are referred to collectively as the bedding and filter course.</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 xml:space="preserve">The </w:t>
            </w:r>
            <w:r>
              <w:t>aggregate</w:t>
            </w:r>
            <w:r w:rsidRPr="00311A64">
              <w:t xml:space="preserve"> </w:t>
            </w:r>
            <w:r>
              <w:t xml:space="preserve">reservoir </w:t>
            </w:r>
            <w:r w:rsidRPr="00311A64">
              <w:t xml:space="preserve">layer should be designed to function as a support layer as well as a reservoir layer the reservoir layer </w:t>
            </w:r>
            <w:r>
              <w:t>should be</w:t>
            </w:r>
            <w:r w:rsidRPr="00311A64">
              <w:t xml:space="preserve"> washed, open-graded No. 57 aggregate without any fine sands</w:t>
            </w:r>
            <w:r>
              <w:t>.</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The type of pedestrian traffic should be considered when determining which type of permeable pavement to use in particular locations (e.g., pavers may not be a good option for locations where people</w:t>
            </w:r>
            <w:r>
              <w:t xml:space="preserve"> </w:t>
            </w:r>
            <w:r w:rsidRPr="00311A64">
              <w:t>wearing high heels will be walking)</w:t>
            </w:r>
            <w:r>
              <w:t>.</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311A64" w:rsidRDefault="00FC34E0" w:rsidP="00FC34E0">
            <w:pPr>
              <w:pStyle w:val="CheckBoxTableText"/>
            </w:pPr>
            <w:r>
              <w:t>An overflow device is required in the form of perimeter control or overflow pipes. This should generally be set at an elevation to prevent ponding of water into the bedding and filter course.</w:t>
            </w:r>
          </w:p>
        </w:tc>
      </w:tr>
    </w:tbl>
    <w:p w:rsidR="00FC34E0" w:rsidRDefault="00FC34E0" w:rsidP="00FC34E0">
      <w:pPr>
        <w:pStyle w:val="CheckBoxList"/>
        <w:numPr>
          <w:ilvl w:val="0"/>
          <w:numId w:val="0"/>
        </w:numPr>
        <w:ind w:left="734" w:hanging="547"/>
      </w:pPr>
    </w:p>
    <w:p w:rsidR="00FC34E0" w:rsidRDefault="00FC34E0" w:rsidP="00FC34E0">
      <w:pPr>
        <w:pStyle w:val="CheckBoxList"/>
        <w:numPr>
          <w:ilvl w:val="0"/>
          <w:numId w:val="0"/>
        </w:numPr>
        <w:ind w:left="734" w:hanging="547"/>
        <w:jc w:val="center"/>
      </w:pPr>
    </w:p>
    <w:p w:rsidR="00FC34E0" w:rsidRPr="00524D76" w:rsidRDefault="00FC34E0" w:rsidP="00647B99">
      <w:pPr>
        <w:pStyle w:val="Caption"/>
      </w:pPr>
      <w:bookmarkStart w:id="840" w:name="_Toc285589381"/>
      <w:bookmarkStart w:id="841" w:name="_Toc288555066"/>
      <w:r w:rsidRPr="00524D76">
        <w:t xml:space="preserve">Figure </w:t>
      </w:r>
      <w:fldSimple w:instr=" STYLEREF 1 \s ">
        <w:r w:rsidR="00524D76">
          <w:rPr>
            <w:noProof/>
          </w:rPr>
          <w:t>XIV</w:t>
        </w:r>
      </w:fldSimple>
      <w:r w:rsidR="00524D76">
        <w:t>.</w:t>
      </w:r>
      <w:fldSimple w:instr=" SEQ Figure \* ARABIC \s 1 ">
        <w:r w:rsidR="00524D76">
          <w:rPr>
            <w:noProof/>
          </w:rPr>
          <w:t>1</w:t>
        </w:r>
      </w:fldSimple>
      <w:r w:rsidRPr="00524D76">
        <w:t>: Schematic Diagram of Permeable Pavement without Underdrains</w:t>
      </w:r>
      <w:bookmarkEnd w:id="840"/>
      <w:bookmarkEnd w:id="841"/>
    </w:p>
    <w:p w:rsidR="00FC34E0" w:rsidRDefault="00FC34E0" w:rsidP="00FC34E0">
      <w:pPr>
        <w:pStyle w:val="CheckBoxList"/>
        <w:numPr>
          <w:ilvl w:val="0"/>
          <w:numId w:val="0"/>
        </w:numPr>
        <w:ind w:left="734" w:hanging="547"/>
      </w:pPr>
      <w:r>
        <w:rPr>
          <w:noProof/>
        </w:rPr>
        <w:drawing>
          <wp:inline distT="0" distB="0" distL="0" distR="0">
            <wp:extent cx="5676900" cy="2228850"/>
            <wp:effectExtent l="19050" t="19050" r="19050" b="19050"/>
            <wp:docPr id="13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8" cstate="email"/>
                    <a:srcRect t="-5687" b="-5213"/>
                    <a:stretch>
                      <a:fillRect/>
                    </a:stretch>
                  </pic:blipFill>
                  <pic:spPr bwMode="auto">
                    <a:xfrm>
                      <a:off x="0" y="0"/>
                      <a:ext cx="5676900" cy="2228850"/>
                    </a:xfrm>
                    <a:prstGeom prst="rect">
                      <a:avLst/>
                    </a:prstGeom>
                    <a:noFill/>
                    <a:ln>
                      <a:solidFill>
                        <a:schemeClr val="tx1"/>
                      </a:solidFill>
                    </a:ln>
                  </pic:spPr>
                </pic:pic>
              </a:graphicData>
            </a:graphic>
          </wp:inline>
        </w:drawing>
      </w:r>
    </w:p>
    <w:p w:rsidR="00FC34E0" w:rsidRDefault="00FC34E0" w:rsidP="00FC34E0">
      <w:pPr>
        <w:pStyle w:val="CheckBoxList"/>
        <w:numPr>
          <w:ilvl w:val="0"/>
          <w:numId w:val="0"/>
        </w:numPr>
        <w:ind w:left="734" w:hanging="547"/>
      </w:pPr>
    </w:p>
    <w:p w:rsidR="00FC34E0" w:rsidRDefault="00FC34E0" w:rsidP="00FC34E0">
      <w:pPr>
        <w:pStyle w:val="CheckBoxList"/>
        <w:numPr>
          <w:ilvl w:val="0"/>
          <w:numId w:val="0"/>
        </w:numPr>
        <w:ind w:left="734" w:hanging="547"/>
      </w:pPr>
    </w:p>
    <w:p w:rsidR="00FC34E0" w:rsidRPr="00B53524" w:rsidRDefault="00FC34E0" w:rsidP="00FC34E0">
      <w:pPr>
        <w:pStyle w:val="CheckBoxList"/>
        <w:numPr>
          <w:ilvl w:val="0"/>
          <w:numId w:val="0"/>
        </w:numPr>
        <w:ind w:left="734" w:hanging="547"/>
      </w:pPr>
    </w:p>
    <w:p w:rsidR="00FC34E0" w:rsidRPr="00B53524" w:rsidRDefault="00FC34E0" w:rsidP="00FC34E0">
      <w:pPr>
        <w:pStyle w:val="FactsheetSubheading"/>
      </w:pPr>
      <w:r>
        <w:t xml:space="preserve">Simple </w:t>
      </w:r>
      <w:r w:rsidRPr="00311A64">
        <w:t xml:space="preserve">Sizing </w:t>
      </w:r>
      <w:r>
        <w:t>Method</w:t>
      </w:r>
      <w:r w:rsidRPr="00311A64">
        <w:t xml:space="preserve"> </w:t>
      </w:r>
      <w:r>
        <w:t>for Permeable Pavement</w:t>
      </w:r>
    </w:p>
    <w:p w:rsidR="00FC34E0" w:rsidRDefault="00FC34E0" w:rsidP="00FC34E0">
      <w:pPr>
        <w:pStyle w:val="CheckBoxTableText"/>
      </w:pPr>
      <w:r>
        <w:t xml:space="preserve">Permeable pavement that manages only direct rainfall and runoff from adjacent impermeable surfaces less than 50 percent the size of the permeable pavement are are not required to conduct sizing calculations. These areas are assumed to be self-retaining for the purpose of drainage planning.For permeable pavement with larger tributary area ratios, sizing calculations must be performed. </w:t>
      </w:r>
    </w:p>
    <w:p w:rsidR="00FC34E0" w:rsidRDefault="00FC34E0" w:rsidP="00FC34E0">
      <w:pPr>
        <w:pStyle w:val="CheckBoxTableText"/>
      </w:pPr>
    </w:p>
    <w:p w:rsidR="00FC34E0" w:rsidRDefault="00FC34E0" w:rsidP="00FC34E0">
      <w:pPr>
        <w:pStyle w:val="CheckBoxTableText"/>
      </w:pPr>
      <w:r>
        <w:t xml:space="preserve">If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Simple Design Capture Volume Sizing Method</w:t>
      </w:r>
      <w:r w:rsidR="00126F3D" w:rsidRPr="00126DE5">
        <w:rPr>
          <w:rFonts w:ascii="Book Antiqua" w:hAnsi="Book Antiqua"/>
          <w:b/>
          <w:color w:val="0070C0"/>
        </w:rPr>
        <w:fldChar w:fldCharType="end"/>
      </w:r>
      <w:r>
        <w:t xml:space="preserve"> described in </w:t>
      </w:r>
      <w:r w:rsidR="00524D76" w:rsidRPr="00524D76">
        <w:rPr>
          <w:b/>
        </w:rPr>
        <w:t>Appendix</w:t>
      </w:r>
      <w: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III.3.1</w:t>
      </w:r>
      <w:r w:rsidR="00126F3D" w:rsidRPr="00126DE5">
        <w:rPr>
          <w:rFonts w:ascii="Book Antiqua" w:hAnsi="Book Antiqua"/>
          <w:b/>
          <w:color w:val="0070C0"/>
        </w:rPr>
        <w:fldChar w:fldCharType="end"/>
      </w:r>
      <w:r>
        <w:t xml:space="preserve"> is used to size permeable pavement, the user calculates the DCV, designs the geometry required to draw down the DCV in 48 hours, then determines the area that is needed for the BMP. The area of the porous pavement itself as well as the area of the tributary areas should be considered in calculating the DCV. The sizing steps are as follows:</w:t>
      </w:r>
    </w:p>
    <w:p w:rsidR="00FC34E0" w:rsidRDefault="00FC34E0" w:rsidP="00FC34E0">
      <w:pPr>
        <w:pStyle w:val="FSStepHeaders"/>
      </w:pPr>
      <w:r>
        <w:t>Step 1: Dete</w:t>
      </w:r>
      <w:r w:rsidRPr="0062364E">
        <w:rPr>
          <w:rStyle w:val="CheckBoxTableTextChar"/>
        </w:rPr>
        <w:t>r</w:t>
      </w:r>
      <w:r>
        <w:t xml:space="preserve">mine Permeable Pavement </w:t>
      </w:r>
      <w:r w:rsidR="003C7091">
        <w:t>DCV</w:t>
      </w:r>
    </w:p>
    <w:p w:rsidR="00FC34E0" w:rsidRDefault="00FC34E0" w:rsidP="00FC34E0">
      <w:pPr>
        <w:pStyle w:val="CheckBoxTableText"/>
      </w:pPr>
      <w:r>
        <w:t xml:space="preserve">Calculate the </w:t>
      </w:r>
      <w:r w:rsidR="003C7091">
        <w:t>DCV</w:t>
      </w:r>
      <w:r>
        <w:t xml:space="preserve"> using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Simple Design Capture Volume Sizing Method</w:t>
      </w:r>
      <w:r w:rsidR="00126F3D" w:rsidRPr="00126DE5">
        <w:rPr>
          <w:rFonts w:ascii="Book Antiqua" w:hAnsi="Book Antiqua"/>
          <w:b/>
          <w:color w:val="0070C0"/>
        </w:rPr>
        <w:fldChar w:fldCharType="end"/>
      </w:r>
      <w:r>
        <w:t xml:space="preserve"> described in </w:t>
      </w:r>
      <w:r w:rsidR="00524D76" w:rsidRPr="00524D76">
        <w:rPr>
          <w:b/>
        </w:rPr>
        <w:t>Appendix</w:t>
      </w:r>
      <w: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III.3.1</w:t>
      </w:r>
      <w:r w:rsidR="00126F3D" w:rsidRPr="00126DE5">
        <w:rPr>
          <w:rFonts w:ascii="Book Antiqua" w:hAnsi="Book Antiqua"/>
          <w:b/>
          <w:color w:val="0070C0"/>
        </w:rPr>
        <w:fldChar w:fldCharType="end"/>
      </w:r>
      <w:r>
        <w:t>.</w:t>
      </w:r>
    </w:p>
    <w:p w:rsidR="00FC34E0" w:rsidRDefault="00FC34E0" w:rsidP="00FC34E0">
      <w:pPr>
        <w:pStyle w:val="FSStepHeaders"/>
      </w:pPr>
      <w:r>
        <w:t>Step 2: Determine the 48-hour Effective Depth</w:t>
      </w:r>
    </w:p>
    <w:p w:rsidR="00FC34E0" w:rsidRDefault="00FC34E0" w:rsidP="00FC34E0">
      <w:pPr>
        <w:pStyle w:val="CheckBoxTableText"/>
      </w:pPr>
      <w:r>
        <w:t>The depth of water that can be drawn down in 48 hours can be calculated using the following equation:</w:t>
      </w:r>
    </w:p>
    <w:p w:rsidR="00FC34E0" w:rsidRDefault="00FC34E0" w:rsidP="00FC34E0">
      <w:pPr>
        <w:pStyle w:val="FactSheetEquation"/>
      </w:pPr>
      <w:r>
        <w:t>d</w:t>
      </w:r>
      <w:r>
        <w:rPr>
          <w:vertAlign w:val="subscript"/>
        </w:rPr>
        <w:t>48</w:t>
      </w:r>
      <w:r>
        <w:t xml:space="preserve"> = K</w:t>
      </w:r>
      <w:r>
        <w:rPr>
          <w:vertAlign w:val="subscript"/>
        </w:rPr>
        <w:t>DESIGN</w:t>
      </w:r>
      <w:r>
        <w:t xml:space="preserve"> × 48 hours × 1 ft/12 inches</w:t>
      </w:r>
    </w:p>
    <w:p w:rsidR="00FC34E0" w:rsidRDefault="00FC34E0" w:rsidP="00FC34E0">
      <w:pPr>
        <w:pStyle w:val="FactsheetBullets"/>
        <w:numPr>
          <w:ilvl w:val="0"/>
          <w:numId w:val="0"/>
        </w:numPr>
      </w:pPr>
      <w:r>
        <w:t>Where:</w:t>
      </w:r>
    </w:p>
    <w:p w:rsidR="00FC34E0" w:rsidRDefault="00FC34E0" w:rsidP="00FC34E0">
      <w:pPr>
        <w:pStyle w:val="FactSheetEquation"/>
      </w:pPr>
      <w:r>
        <w:t>d</w:t>
      </w:r>
      <w:r>
        <w:rPr>
          <w:vertAlign w:val="subscript"/>
        </w:rPr>
        <w:t>48</w:t>
      </w:r>
      <w:r>
        <w:t xml:space="preserve"> = pavement effective 48-hour drawdown depth, ft</w:t>
      </w:r>
    </w:p>
    <w:p w:rsidR="00FC34E0" w:rsidRDefault="00FC34E0" w:rsidP="00FC34E0">
      <w:pPr>
        <w:pStyle w:val="FactSheetEquation"/>
      </w:pPr>
      <w:r>
        <w:t>K</w:t>
      </w:r>
      <w:r>
        <w:rPr>
          <w:vertAlign w:val="subscript"/>
        </w:rPr>
        <w:t>DESIGN</w:t>
      </w:r>
      <w:r>
        <w:t xml:space="preserve"> = basin design infiltration rate, in/hr (See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_Ref287704666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VII</w:t>
      </w:r>
      <w:r w:rsidR="00126F3D" w:rsidRPr="00126DE5">
        <w:rPr>
          <w:rFonts w:ascii="Book Antiqua" w:hAnsi="Book Antiqua"/>
          <w:b/>
          <w:color w:val="0070C0"/>
        </w:rPr>
        <w:fldChar w:fldCharType="end"/>
      </w:r>
      <w:r>
        <w:t xml:space="preserve">) </w:t>
      </w:r>
    </w:p>
    <w:p w:rsidR="00FC34E0" w:rsidRDefault="00FC34E0" w:rsidP="00FC34E0">
      <w:pPr>
        <w:pStyle w:val="CheckBoxTableText"/>
      </w:pPr>
      <w:r>
        <w:t xml:space="preserve">This is the maximum effective depth of water storage in the aggregate reservoir to achieve drawdown in 48 hours.  </w:t>
      </w:r>
    </w:p>
    <w:p w:rsidR="00FC34E0" w:rsidRDefault="00FC34E0" w:rsidP="00FC34E0">
      <w:pPr>
        <w:pStyle w:val="FSStepHeaders"/>
      </w:pPr>
      <w:r>
        <w:t>Step 3: Determine the Aggregate Reservoir Depth</w:t>
      </w:r>
    </w:p>
    <w:p w:rsidR="00FC34E0" w:rsidRDefault="00FC34E0" w:rsidP="00FC34E0">
      <w:pPr>
        <w:pStyle w:val="CheckBoxTableText"/>
      </w:pPr>
      <w:r>
        <w:t>The depth of water stored in the gravel reservoir should be equal or less than d</w:t>
      </w:r>
      <w:r>
        <w:rPr>
          <w:vertAlign w:val="subscript"/>
        </w:rPr>
        <w:t>48</w:t>
      </w:r>
      <w:r>
        <w:t>. Determine the reservoir depth such that:</w:t>
      </w:r>
    </w:p>
    <w:p w:rsidR="00FC34E0" w:rsidRDefault="00FC34E0" w:rsidP="00FC34E0">
      <w:pPr>
        <w:pStyle w:val="FactSheetEquation"/>
      </w:pPr>
      <w:r>
        <w:t>d</w:t>
      </w:r>
      <w:r>
        <w:rPr>
          <w:vertAlign w:val="subscript"/>
        </w:rPr>
        <w:t>48</w:t>
      </w:r>
      <w:r>
        <w:t xml:space="preserve"> ≥ (n</w:t>
      </w:r>
      <w:r>
        <w:rPr>
          <w:vertAlign w:val="subscript"/>
        </w:rPr>
        <w:t xml:space="preserve">R </w:t>
      </w:r>
      <w:r>
        <w:t>× d</w:t>
      </w:r>
      <w:r>
        <w:rPr>
          <w:vertAlign w:val="subscript"/>
        </w:rPr>
        <w:t>R</w:t>
      </w:r>
      <w:r>
        <w:t>)</w:t>
      </w:r>
    </w:p>
    <w:p w:rsidR="00FC34E0" w:rsidRDefault="00FC34E0" w:rsidP="00FC34E0">
      <w:pPr>
        <w:pStyle w:val="FactsheetBullets"/>
        <w:numPr>
          <w:ilvl w:val="0"/>
          <w:numId w:val="0"/>
        </w:numPr>
      </w:pPr>
      <w:r>
        <w:t>Where:</w:t>
      </w:r>
    </w:p>
    <w:p w:rsidR="00FC34E0" w:rsidRDefault="00FC34E0" w:rsidP="00FC34E0">
      <w:pPr>
        <w:pStyle w:val="FactSheetEquation"/>
      </w:pPr>
      <w:r>
        <w:t>d</w:t>
      </w:r>
      <w:r>
        <w:rPr>
          <w:vertAlign w:val="subscript"/>
        </w:rPr>
        <w:t>48</w:t>
      </w:r>
      <w:r>
        <w:t xml:space="preserve"> = trench effective 48-hour depth, ft (from Step 2)</w:t>
      </w:r>
    </w:p>
    <w:p w:rsidR="00FC34E0" w:rsidRDefault="00FC34E0" w:rsidP="00FC34E0">
      <w:pPr>
        <w:pStyle w:val="FactSheetEquation"/>
      </w:pPr>
      <w:r>
        <w:t>n</w:t>
      </w:r>
      <w:r>
        <w:rPr>
          <w:vertAlign w:val="subscript"/>
        </w:rPr>
        <w:t>R</w:t>
      </w:r>
      <w:r>
        <w:t xml:space="preserve"> = </w:t>
      </w:r>
      <w:r w:rsidRPr="00311A64">
        <w:t>porosity</w:t>
      </w:r>
      <w:r>
        <w:t xml:space="preserve"> of aggregate reservoir fill; </w:t>
      </w:r>
      <w:r w:rsidRPr="00311A64">
        <w:t>0.35 may be assumed where other information is not available</w:t>
      </w:r>
    </w:p>
    <w:p w:rsidR="00FC34E0" w:rsidRDefault="00FC34E0" w:rsidP="00FC34E0">
      <w:pPr>
        <w:pStyle w:val="FactSheetEquation"/>
      </w:pPr>
      <w:r>
        <w:t>d</w:t>
      </w:r>
      <w:r>
        <w:rPr>
          <w:vertAlign w:val="subscript"/>
        </w:rPr>
        <w:t>R</w:t>
      </w:r>
      <w:r>
        <w:t xml:space="preserve"> = depth of trench fill, ft</w:t>
      </w:r>
    </w:p>
    <w:p w:rsidR="00FC34E0" w:rsidRDefault="00FC34E0" w:rsidP="00FC34E0">
      <w:pPr>
        <w:pStyle w:val="FSStepHeaders"/>
      </w:pPr>
      <w:r>
        <w:t>Step 4: Calculate the Required Infiltrating Area</w:t>
      </w:r>
    </w:p>
    <w:p w:rsidR="00FC34E0" w:rsidRDefault="00FC34E0" w:rsidP="00FC34E0">
      <w:pPr>
        <w:pStyle w:val="CheckBoxTableText"/>
      </w:pPr>
      <w:r>
        <w:t>The required infiltrating area can be calculated using the following equation:</w:t>
      </w:r>
    </w:p>
    <w:p w:rsidR="00FC34E0" w:rsidRDefault="00FC34E0" w:rsidP="00FC34E0">
      <w:pPr>
        <w:pStyle w:val="FactsheetBullets"/>
        <w:numPr>
          <w:ilvl w:val="0"/>
          <w:numId w:val="0"/>
        </w:numPr>
        <w:ind w:firstLine="360"/>
      </w:pPr>
      <w:r w:rsidRPr="00C54C96">
        <w:rPr>
          <w:rStyle w:val="FactSheetEquationChar"/>
        </w:rPr>
        <w:t>A = DCV</w:t>
      </w:r>
      <w:r>
        <w:rPr>
          <w:rStyle w:val="FactSheetEquationChar"/>
        </w:rPr>
        <w:t xml:space="preserve"> </w:t>
      </w:r>
      <w:r w:rsidRPr="00C54C96">
        <w:rPr>
          <w:rStyle w:val="FactSheetEquationChar"/>
        </w:rPr>
        <w:t xml:space="preserve">/ </w:t>
      </w:r>
      <w:r>
        <w:rPr>
          <w:rStyle w:val="FactSheetEquationChar"/>
        </w:rPr>
        <w:t>(n</w:t>
      </w:r>
      <w:r>
        <w:rPr>
          <w:rStyle w:val="FactSheetEquationChar"/>
          <w:vertAlign w:val="subscript"/>
        </w:rPr>
        <w:t xml:space="preserve">R </w:t>
      </w:r>
      <w:r>
        <w:rPr>
          <w:rStyle w:val="FactSheetEquationChar"/>
        </w:rPr>
        <w:t>× d</w:t>
      </w:r>
      <w:r>
        <w:rPr>
          <w:rStyle w:val="FactSheetEquationChar"/>
          <w:vertAlign w:val="subscript"/>
        </w:rPr>
        <w:t>R</w:t>
      </w:r>
      <w:r>
        <w:rPr>
          <w:rStyle w:val="FactSheetEquationChar"/>
        </w:rPr>
        <w:t>)</w:t>
      </w:r>
    </w:p>
    <w:p w:rsidR="00FC34E0" w:rsidRDefault="00FC34E0" w:rsidP="00FC34E0">
      <w:pPr>
        <w:pStyle w:val="CheckBoxTableText"/>
      </w:pPr>
      <w:r>
        <w:t xml:space="preserve">Where: </w:t>
      </w:r>
    </w:p>
    <w:p w:rsidR="00FC34E0" w:rsidRDefault="00FC34E0" w:rsidP="00FC34E0">
      <w:pPr>
        <w:pStyle w:val="FactsheetBullets"/>
        <w:numPr>
          <w:ilvl w:val="0"/>
          <w:numId w:val="0"/>
        </w:numPr>
        <w:ind w:firstLine="360"/>
      </w:pPr>
      <w:r>
        <w:t xml:space="preserve">A = required footprint area, sq-ft </w:t>
      </w:r>
    </w:p>
    <w:p w:rsidR="00FC34E0" w:rsidRDefault="00FC34E0" w:rsidP="00FC34E0">
      <w:pPr>
        <w:pStyle w:val="FactsheetBullets"/>
        <w:numPr>
          <w:ilvl w:val="0"/>
          <w:numId w:val="0"/>
        </w:numPr>
        <w:ind w:firstLine="360"/>
      </w:pPr>
      <w:r>
        <w:t>DCV = design capture volume, cu-ft (see Step 1)</w:t>
      </w:r>
    </w:p>
    <w:p w:rsidR="00FC34E0" w:rsidRDefault="00FC34E0" w:rsidP="00FC34E0">
      <w:pPr>
        <w:pStyle w:val="FactSheetEquation"/>
      </w:pPr>
      <w:r>
        <w:t>n</w:t>
      </w:r>
      <w:r>
        <w:rPr>
          <w:vertAlign w:val="subscript"/>
        </w:rPr>
        <w:t>R</w:t>
      </w:r>
      <w:r>
        <w:t xml:space="preserve"> = </w:t>
      </w:r>
      <w:r w:rsidRPr="00311A64">
        <w:t>porosity</w:t>
      </w:r>
      <w:r>
        <w:t xml:space="preserve"> of trench fill; </w:t>
      </w:r>
      <w:r w:rsidRPr="00311A64">
        <w:t>0.35 may be assumed where other information is not available</w:t>
      </w:r>
    </w:p>
    <w:p w:rsidR="00FC34E0" w:rsidRDefault="00FC34E0" w:rsidP="00FC34E0">
      <w:pPr>
        <w:pStyle w:val="FactSheetEquation"/>
      </w:pPr>
      <w:r>
        <w:t>d</w:t>
      </w:r>
      <w:r>
        <w:rPr>
          <w:vertAlign w:val="subscript"/>
        </w:rPr>
        <w:t>R</w:t>
      </w:r>
      <w:r>
        <w:t xml:space="preserve"> = depth of trench fill, ft</w:t>
      </w:r>
    </w:p>
    <w:p w:rsidR="00FC34E0" w:rsidRDefault="00FC34E0" w:rsidP="00FC34E0">
      <w:pPr>
        <w:pStyle w:val="CheckBoxTableText"/>
      </w:pPr>
      <w:r>
        <w:t xml:space="preserve">This area is equal to the required pavement area.  </w:t>
      </w:r>
    </w:p>
    <w:p w:rsidR="00FC34E0" w:rsidRPr="00B53524" w:rsidRDefault="00FC34E0" w:rsidP="00FC34E0">
      <w:pPr>
        <w:pStyle w:val="CheckBoxTableText"/>
      </w:pPr>
      <w:r>
        <w:t>The ratio total tributary area (including the porous pavement) to the area of the porous pavement should not exceed 4:1.</w:t>
      </w:r>
    </w:p>
    <w:p w:rsidR="00FC34E0" w:rsidRPr="00B53524" w:rsidRDefault="00FC34E0" w:rsidP="00FC34E0">
      <w:pPr>
        <w:pStyle w:val="FactsheetSubheading"/>
        <w:outlineLvl w:val="0"/>
      </w:pPr>
      <w:r>
        <w:t>Capture Efficiency Method for</w:t>
      </w:r>
      <w:r w:rsidRPr="00311A64">
        <w:t xml:space="preserve"> </w:t>
      </w:r>
      <w:r>
        <w:t>Permeable Pavement</w:t>
      </w:r>
      <w:r w:rsidRPr="00311A64">
        <w:t xml:space="preserve"> </w:t>
      </w:r>
    </w:p>
    <w:p w:rsidR="00FC34E0" w:rsidRPr="00FA3FF5" w:rsidRDefault="00FC34E0" w:rsidP="00FC34E0">
      <w:pPr>
        <w:pStyle w:val="CheckBoxTableText"/>
      </w:pPr>
      <w:r>
        <w:t xml:space="preserve">If BMP geometry has already been defined and deviates from the 48 hour drawdown time, the designer can use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Capture Efficiency Method for Volume-Based, Constant Drawdown BMPs</w:t>
      </w:r>
      <w:r w:rsidR="00126F3D" w:rsidRPr="00126DE5">
        <w:rPr>
          <w:rFonts w:ascii="Book Antiqua" w:hAnsi="Book Antiqua"/>
          <w:b/>
          <w:color w:val="0070C0"/>
        </w:rPr>
        <w:fldChar w:fldCharType="end"/>
      </w:r>
      <w:r>
        <w:t xml:space="preserve"> (See </w:t>
      </w:r>
      <w:r w:rsidR="00524D76" w:rsidRPr="00524D76">
        <w:rPr>
          <w:b/>
        </w:rPr>
        <w:t>Appendix</w:t>
      </w:r>
      <w:r>
        <w:rPr>
          <w:b/>
          <w:color w:val="00B050"/>
        </w:rP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III.3.2</w:t>
      </w:r>
      <w:r w:rsidR="00126F3D" w:rsidRPr="00126DE5">
        <w:rPr>
          <w:rFonts w:ascii="Book Antiqua" w:hAnsi="Book Antiqua"/>
          <w:b/>
          <w:color w:val="0070C0"/>
        </w:rPr>
        <w:fldChar w:fldCharType="end"/>
      </w:r>
      <w:r>
        <w:t xml:space="preserve">) to determine the fraction of the DCV that must be provided to manage 80 percent of average annual runoff volume. This method accounts for drawdown time different than 48 hours. </w:t>
      </w:r>
    </w:p>
    <w:p w:rsidR="00FC34E0" w:rsidRPr="00645813" w:rsidRDefault="00FC34E0" w:rsidP="00FC34E0">
      <w:pPr>
        <w:pStyle w:val="FSOptionHeader"/>
      </w:pPr>
      <w:r w:rsidRPr="00645813">
        <w:t xml:space="preserve">Option 1: </w:t>
      </w:r>
      <w:r>
        <w:t>Pavement</w:t>
      </w:r>
      <w:r w:rsidRPr="00645813">
        <w:t xml:space="preserve"> Geometry </w:t>
      </w:r>
      <w:r>
        <w:t>is Predefined</w:t>
      </w:r>
    </w:p>
    <w:p w:rsidR="00FC34E0" w:rsidRDefault="00FC34E0" w:rsidP="00FC34E0">
      <w:pPr>
        <w:pStyle w:val="FSStepHeaders"/>
      </w:pPr>
      <w:r w:rsidRPr="00A211D0">
        <w:t xml:space="preserve">Step 1: </w:t>
      </w:r>
      <w:r>
        <w:t>Determine the Drawdown Time Associated with the Selected Pavement Geometry</w:t>
      </w:r>
    </w:p>
    <w:p w:rsidR="00FC34E0" w:rsidRDefault="00FC34E0" w:rsidP="00FC34E0">
      <w:pPr>
        <w:pStyle w:val="FactSheetEquation"/>
      </w:pPr>
      <w:r w:rsidRPr="00311A64">
        <w:t xml:space="preserve">DD = </w:t>
      </w:r>
      <w:r>
        <w:t>((</w:t>
      </w:r>
      <w:r w:rsidRPr="00760226">
        <w:t>n</w:t>
      </w:r>
      <w:r>
        <w:rPr>
          <w:vertAlign w:val="subscript"/>
        </w:rPr>
        <w:t>R</w:t>
      </w:r>
      <w:r w:rsidRPr="00760226">
        <w:rPr>
          <w:vertAlign w:val="subscript"/>
        </w:rPr>
        <w:t xml:space="preserve"> </w:t>
      </w:r>
      <w:r w:rsidRPr="00760226">
        <w:t>× d</w:t>
      </w:r>
      <w:r>
        <w:rPr>
          <w:vertAlign w:val="subscript"/>
        </w:rPr>
        <w:t>R</w:t>
      </w:r>
      <w:r w:rsidRPr="00760226">
        <w:t>)</w:t>
      </w:r>
      <w:r>
        <w:t xml:space="preserve"> / K</w:t>
      </w:r>
      <w:r>
        <w:rPr>
          <w:vertAlign w:val="subscript"/>
        </w:rPr>
        <w:t>DESIGN</w:t>
      </w:r>
      <w:r>
        <w:t>) × 12 in/ft</w:t>
      </w:r>
    </w:p>
    <w:p w:rsidR="00FC34E0" w:rsidRPr="00A211D0" w:rsidRDefault="00FC34E0" w:rsidP="00FC34E0">
      <w:pPr>
        <w:pStyle w:val="CheckBoxTableText"/>
      </w:pPr>
      <w:r w:rsidRPr="00311A64">
        <w:t>Where</w:t>
      </w:r>
      <w:r w:rsidRPr="00A211D0">
        <w:t>:</w:t>
      </w:r>
    </w:p>
    <w:p w:rsidR="00FC34E0" w:rsidRDefault="00FC34E0" w:rsidP="00FC34E0">
      <w:pPr>
        <w:pStyle w:val="FactSheetEquation"/>
      </w:pPr>
      <w:r w:rsidRPr="00A211D0">
        <w:t xml:space="preserve">DD = </w:t>
      </w:r>
      <w:r w:rsidRPr="00311A64">
        <w:t xml:space="preserve">time to completely drain </w:t>
      </w:r>
      <w:r>
        <w:t>pavement</w:t>
      </w:r>
      <w:r w:rsidRPr="00311A64">
        <w:t>, hours</w:t>
      </w:r>
    </w:p>
    <w:p w:rsidR="00FC34E0" w:rsidRDefault="00FC34E0" w:rsidP="00FC34E0">
      <w:pPr>
        <w:pStyle w:val="FactSheetEquation"/>
      </w:pPr>
      <w:r>
        <w:t>n</w:t>
      </w:r>
      <w:r>
        <w:rPr>
          <w:vertAlign w:val="subscript"/>
        </w:rPr>
        <w:t>R</w:t>
      </w:r>
      <w:r>
        <w:t xml:space="preserve"> = </w:t>
      </w:r>
      <w:r w:rsidRPr="00311A64">
        <w:t>porosity</w:t>
      </w:r>
      <w:r>
        <w:t xml:space="preserve"> of reservoir fill; </w:t>
      </w:r>
      <w:r w:rsidRPr="00311A64">
        <w:t>0.35 may be assumed where other information is not available</w:t>
      </w:r>
    </w:p>
    <w:p w:rsidR="00FC34E0" w:rsidRDefault="00FC34E0" w:rsidP="00FC34E0">
      <w:pPr>
        <w:pStyle w:val="FactSheetEquation"/>
      </w:pPr>
      <w:r>
        <w:t>d</w:t>
      </w:r>
      <w:r>
        <w:rPr>
          <w:vertAlign w:val="subscript"/>
        </w:rPr>
        <w:t>R</w:t>
      </w:r>
      <w:r>
        <w:t xml:space="preserve"> = depth of reservoir, ft</w:t>
      </w:r>
    </w:p>
    <w:p w:rsidR="00FC34E0" w:rsidRDefault="00FC34E0" w:rsidP="00FC34E0">
      <w:pPr>
        <w:pStyle w:val="FactSheetEquation"/>
      </w:pPr>
      <w:r>
        <w:t>K</w:t>
      </w:r>
      <w:r>
        <w:rPr>
          <w:vertAlign w:val="subscript"/>
        </w:rPr>
        <w:t>DESIGN</w:t>
      </w:r>
      <w:r>
        <w:t xml:space="preserve"> = basin design infiltration rate, in/hr (See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_Ref287704666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VII</w:t>
      </w:r>
      <w:r w:rsidR="00126F3D" w:rsidRPr="00126DE5">
        <w:rPr>
          <w:rFonts w:ascii="Book Antiqua" w:hAnsi="Book Antiqua"/>
          <w:b/>
          <w:color w:val="0070C0"/>
        </w:rPr>
        <w:fldChar w:fldCharType="end"/>
      </w:r>
      <w:r>
        <w:t xml:space="preserve">) </w:t>
      </w:r>
    </w:p>
    <w:p w:rsidR="00FC34E0" w:rsidRDefault="00FC34E0" w:rsidP="00FC34E0">
      <w:pPr>
        <w:pStyle w:val="FSStepHeaders"/>
      </w:pPr>
      <w:r>
        <w:t>Step 2: Determine the Required Adjusted DCV for this Drawdown Time</w:t>
      </w:r>
    </w:p>
    <w:p w:rsidR="00FC34E0" w:rsidRDefault="00FC34E0" w:rsidP="00FC34E0">
      <w:pPr>
        <w:pStyle w:val="CheckBoxTableText"/>
      </w:pPr>
      <w:r>
        <w:t xml:space="preserve">Use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Capture Efficiency Method for Volume-Based, Constant Drawdown BMPs</w:t>
      </w:r>
      <w:r w:rsidR="00126F3D" w:rsidRPr="00126DE5">
        <w:rPr>
          <w:rFonts w:ascii="Book Antiqua" w:hAnsi="Book Antiqua"/>
          <w:b/>
          <w:color w:val="0070C0"/>
        </w:rPr>
        <w:fldChar w:fldCharType="end"/>
      </w:r>
      <w:r>
        <w:t xml:space="preserve"> (See </w:t>
      </w:r>
      <w:r w:rsidR="00524D76" w:rsidRPr="00524D76">
        <w:rPr>
          <w:b/>
        </w:rPr>
        <w:t>Appendix</w:t>
      </w:r>
      <w:r>
        <w:rPr>
          <w:b/>
          <w:color w:val="00B050"/>
        </w:rP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III.3.2</w:t>
      </w:r>
      <w:r w:rsidR="00126F3D" w:rsidRPr="00126DE5">
        <w:rPr>
          <w:rFonts w:ascii="Book Antiqua" w:hAnsi="Book Antiqua"/>
          <w:b/>
          <w:color w:val="0070C0"/>
        </w:rPr>
        <w:fldChar w:fldCharType="end"/>
      </w:r>
      <w:r>
        <w:t>) to calculate the draw-down adjusted DCV that the basin must hold to achieve 80 percent capture of average annual stormwater runoff volume based on the pavement drawdown time calculated above.</w:t>
      </w:r>
    </w:p>
    <w:p w:rsidR="00FC34E0" w:rsidRPr="00A211D0" w:rsidRDefault="00FC34E0" w:rsidP="00FC34E0">
      <w:pPr>
        <w:pStyle w:val="FSStepHeaders"/>
      </w:pPr>
      <w:r>
        <w:t xml:space="preserve">Step 3: Determine the Pavement Infiltrating Area Needed </w:t>
      </w:r>
    </w:p>
    <w:p w:rsidR="00FC34E0" w:rsidRDefault="00FC34E0" w:rsidP="00FC34E0">
      <w:pPr>
        <w:pStyle w:val="CheckBoxTableText"/>
      </w:pPr>
      <w:r>
        <w:t>The required infiltrating area can be calculated using the following equation:</w:t>
      </w:r>
    </w:p>
    <w:p w:rsidR="00FC34E0" w:rsidRDefault="00FC34E0" w:rsidP="00FC34E0">
      <w:pPr>
        <w:pStyle w:val="FactsheetBullets"/>
        <w:numPr>
          <w:ilvl w:val="0"/>
          <w:numId w:val="0"/>
        </w:numPr>
        <w:ind w:firstLine="360"/>
      </w:pPr>
      <w:r w:rsidRPr="00C54C96">
        <w:rPr>
          <w:rStyle w:val="FactSheetEquationChar"/>
        </w:rPr>
        <w:t xml:space="preserve">A = DCV/ </w:t>
      </w:r>
      <w:r>
        <w:t>(</w:t>
      </w:r>
      <w:r w:rsidRPr="00760226">
        <w:t>n</w:t>
      </w:r>
      <w:r>
        <w:rPr>
          <w:vertAlign w:val="subscript"/>
        </w:rPr>
        <w:t>R</w:t>
      </w:r>
      <w:r w:rsidRPr="00760226">
        <w:rPr>
          <w:vertAlign w:val="subscript"/>
        </w:rPr>
        <w:t xml:space="preserve"> </w:t>
      </w:r>
      <w:r w:rsidRPr="00760226">
        <w:t>× d</w:t>
      </w:r>
      <w:r>
        <w:rPr>
          <w:vertAlign w:val="subscript"/>
        </w:rPr>
        <w:t>R</w:t>
      </w:r>
      <w:r w:rsidRPr="00760226">
        <w:t>)</w:t>
      </w:r>
    </w:p>
    <w:p w:rsidR="00FC34E0" w:rsidRDefault="00FC34E0" w:rsidP="00FC34E0">
      <w:pPr>
        <w:pStyle w:val="CheckBoxTableText"/>
      </w:pPr>
      <w:r>
        <w:t xml:space="preserve">Where: </w:t>
      </w:r>
    </w:p>
    <w:p w:rsidR="00FC34E0" w:rsidRDefault="00FC34E0" w:rsidP="00FC34E0">
      <w:pPr>
        <w:pStyle w:val="FactsheetBullets"/>
        <w:numPr>
          <w:ilvl w:val="0"/>
          <w:numId w:val="0"/>
        </w:numPr>
        <w:ind w:firstLine="360"/>
      </w:pPr>
      <w:r>
        <w:t>A = required footprint area, sq-ft</w:t>
      </w:r>
    </w:p>
    <w:p w:rsidR="00FC34E0" w:rsidRDefault="00FC34E0" w:rsidP="00FC34E0">
      <w:pPr>
        <w:pStyle w:val="FactsheetBullets"/>
        <w:numPr>
          <w:ilvl w:val="0"/>
          <w:numId w:val="0"/>
        </w:numPr>
        <w:ind w:firstLine="360"/>
      </w:pPr>
      <w:r>
        <w:t>DCV = design capture volume, cu-ft (see Step 1)</w:t>
      </w:r>
    </w:p>
    <w:p w:rsidR="00FC34E0" w:rsidRDefault="00FC34E0" w:rsidP="00FC34E0">
      <w:pPr>
        <w:pStyle w:val="FactSheetEquation"/>
      </w:pPr>
      <w:r>
        <w:t>n</w:t>
      </w:r>
      <w:r>
        <w:rPr>
          <w:vertAlign w:val="subscript"/>
        </w:rPr>
        <w:t>R</w:t>
      </w:r>
      <w:r>
        <w:t xml:space="preserve"> = </w:t>
      </w:r>
      <w:r w:rsidRPr="00311A64">
        <w:t>porosity</w:t>
      </w:r>
      <w:r>
        <w:t xml:space="preserve"> of reservoir fill; </w:t>
      </w:r>
      <w:r w:rsidRPr="00311A64">
        <w:t>0.35 may be assumed where other information is not available</w:t>
      </w:r>
    </w:p>
    <w:p w:rsidR="00FC34E0" w:rsidRDefault="00FC34E0" w:rsidP="00FC34E0">
      <w:pPr>
        <w:pStyle w:val="FactSheetEquation"/>
      </w:pPr>
      <w:r>
        <w:t>d</w:t>
      </w:r>
      <w:r>
        <w:rPr>
          <w:vertAlign w:val="subscript"/>
        </w:rPr>
        <w:t>R</w:t>
      </w:r>
      <w:r>
        <w:t xml:space="preserve"> = depth of reservoir, ft </w:t>
      </w:r>
    </w:p>
    <w:p w:rsidR="00FC34E0" w:rsidRDefault="00FC34E0" w:rsidP="00FC34E0">
      <w:pPr>
        <w:pStyle w:val="CheckBoxTableText"/>
      </w:pPr>
      <w:r>
        <w:t xml:space="preserve">If the area required is greater than the selected pavement area, adjust reservoir depth and recalculate required area until the required area is achieved. </w:t>
      </w:r>
    </w:p>
    <w:p w:rsidR="00FC34E0" w:rsidRPr="00B53524" w:rsidRDefault="00FC34E0" w:rsidP="00FC34E0">
      <w:pPr>
        <w:pStyle w:val="CheckBoxTableText"/>
      </w:pPr>
    </w:p>
    <w:p w:rsidR="00FC34E0" w:rsidRPr="00B53524" w:rsidRDefault="00FC34E0" w:rsidP="00FC34E0">
      <w:pPr>
        <w:pStyle w:val="FactsheetSubheading"/>
        <w:outlineLvl w:val="0"/>
      </w:pPr>
      <w:r w:rsidRPr="00311A64">
        <w:t>Configuration for Use in a Treatment Train</w:t>
      </w:r>
    </w:p>
    <w:p w:rsidR="00FC34E0" w:rsidRPr="00B53524" w:rsidRDefault="00FC34E0" w:rsidP="00FC34E0">
      <w:pPr>
        <w:pStyle w:val="FactsheetBullets"/>
        <w:numPr>
          <w:ilvl w:val="0"/>
          <w:numId w:val="1"/>
        </w:numPr>
      </w:pPr>
      <w:r w:rsidRPr="00311A64">
        <w:t xml:space="preserve">Permeable pavement may be preceded in a treatment train by </w:t>
      </w:r>
      <w:r w:rsidR="003C7091">
        <w:t>HSC</w:t>
      </w:r>
      <w:r w:rsidRPr="00311A64">
        <w:t xml:space="preserve">s in the drainage area, which would reduce the runoff volume to be infiltrated by the permeable pavement  </w:t>
      </w:r>
    </w:p>
    <w:p w:rsidR="00FC34E0" w:rsidRPr="00B53524" w:rsidRDefault="00FC34E0" w:rsidP="00FC34E0">
      <w:pPr>
        <w:pStyle w:val="FactsheetBullets"/>
        <w:numPr>
          <w:ilvl w:val="0"/>
          <w:numId w:val="1"/>
        </w:numPr>
      </w:pPr>
      <w:r w:rsidRPr="00311A64">
        <w:t xml:space="preserve">Permeable pavement areas can be </w:t>
      </w:r>
      <w:r>
        <w:t>designed to be self-retaining to lessen the pollutant and volume load on downstream BMPs.</w:t>
      </w:r>
      <w:r w:rsidRPr="00311A64">
        <w:t xml:space="preserve">  </w:t>
      </w:r>
    </w:p>
    <w:p w:rsidR="00FC34E0" w:rsidRPr="00B53524" w:rsidRDefault="00FC34E0" w:rsidP="00FC34E0">
      <w:pPr>
        <w:pStyle w:val="FactsheetSubheading"/>
        <w:outlineLvl w:val="0"/>
      </w:pPr>
      <w:r w:rsidRPr="00311A64">
        <w:t>Additional References for Design Guidance</w:t>
      </w:r>
    </w:p>
    <w:p w:rsidR="00FC34E0" w:rsidRPr="00B53524" w:rsidRDefault="00FC34E0" w:rsidP="00FC34E0">
      <w:pPr>
        <w:pStyle w:val="FactsheetBullets"/>
        <w:numPr>
          <w:ilvl w:val="0"/>
          <w:numId w:val="1"/>
        </w:numPr>
      </w:pPr>
      <w:r>
        <w:t>SMC LID Manual (pp 84</w:t>
      </w:r>
      <w:r w:rsidRPr="00311A64">
        <w:t xml:space="preserve">): </w:t>
      </w:r>
      <w:hyperlink r:id="rId169" w:history="1">
        <w:r w:rsidRPr="00126DE5">
          <w:rPr>
            <w:rStyle w:val="Hyperlink"/>
            <w:rFonts w:ascii="Book Antiqua" w:hAnsi="Book Antiqua"/>
            <w:b/>
            <w:color w:val="0070C0"/>
          </w:rPr>
          <w:t>http://www.lowimpactdevelopment.org/guest75/pub/All_Projects/SoCal_LID_Manual/SoCalLID_Manual_FINAL_040910.pdf</w:t>
        </w:r>
      </w:hyperlink>
    </w:p>
    <w:p w:rsidR="00FC34E0" w:rsidRPr="00B53524" w:rsidRDefault="00FC34E0" w:rsidP="00FC34E0">
      <w:pPr>
        <w:pStyle w:val="FactsheetBullets"/>
        <w:numPr>
          <w:ilvl w:val="0"/>
          <w:numId w:val="1"/>
        </w:numPr>
      </w:pPr>
      <w:r w:rsidRPr="00311A64">
        <w:t>Los Angeles Unified School District (LAUSD) Stormw</w:t>
      </w:r>
      <w:r>
        <w:t>ater Technical Manual, Chapter 5</w:t>
      </w:r>
      <w:r w:rsidRPr="00311A64">
        <w:t xml:space="preserve">: </w:t>
      </w:r>
      <w:hyperlink r:id="rId170" w:history="1">
        <w:r w:rsidRPr="00126DE5">
          <w:rPr>
            <w:rStyle w:val="Hyperlink"/>
            <w:rFonts w:ascii="Book Antiqua" w:hAnsi="Book Antiqua"/>
            <w:b/>
            <w:color w:val="0070C0"/>
          </w:rPr>
          <w:t>http://www.laschools.org/employee/design/fs-studies-and-reports/download/white_paper_report_material/Storm_Water_Technical_Manual_2009-opt-red.pdf?version_id=76975850</w:t>
        </w:r>
      </w:hyperlink>
    </w:p>
    <w:p w:rsidR="00FC34E0" w:rsidRPr="00B53524" w:rsidRDefault="00FC34E0" w:rsidP="00FC34E0">
      <w:pPr>
        <w:pStyle w:val="FactsheetBullets"/>
        <w:numPr>
          <w:ilvl w:val="0"/>
          <w:numId w:val="1"/>
        </w:numPr>
      </w:pPr>
      <w:r w:rsidRPr="00311A64">
        <w:t>City of Portland Stormwater Managem</w:t>
      </w:r>
      <w:r>
        <w:t>ent Manual (Pervious Pavement, page</w:t>
      </w:r>
      <w:r w:rsidRPr="00311A64">
        <w:t xml:space="preserve"> 2-40) </w:t>
      </w:r>
      <w:hyperlink r:id="rId171" w:history="1">
        <w:r w:rsidRPr="00126DE5">
          <w:rPr>
            <w:rStyle w:val="Hyperlink"/>
            <w:rFonts w:ascii="Book Antiqua" w:hAnsi="Book Antiqua"/>
            <w:b/>
            <w:color w:val="0070C0"/>
          </w:rPr>
          <w:t>http://www.portlandonline.com/bes/index.cfm?c=47954&amp;a=202883</w:t>
        </w:r>
      </w:hyperlink>
    </w:p>
    <w:p w:rsidR="00FC34E0" w:rsidRPr="00426F34" w:rsidRDefault="00FC34E0" w:rsidP="00FC34E0">
      <w:pPr>
        <w:pStyle w:val="FactsheetBullets"/>
        <w:numPr>
          <w:ilvl w:val="0"/>
          <w:numId w:val="0"/>
        </w:numPr>
        <w:ind w:left="720"/>
        <w:rPr>
          <w:b/>
          <w:color w:val="0070C0"/>
        </w:rPr>
      </w:pPr>
      <w:r w:rsidRPr="00311A64">
        <w:t>San Diego County LID Handbook Appendix 4 (Factsheets 8, 9 &amp; 10):</w:t>
      </w:r>
      <w:r>
        <w:t xml:space="preserve"> </w:t>
      </w:r>
      <w:hyperlink r:id="rId172" w:history="1">
        <w:r w:rsidRPr="00126DE5">
          <w:rPr>
            <w:rStyle w:val="Hyperlink"/>
            <w:rFonts w:ascii="Book Antiqua" w:hAnsi="Book Antiqua"/>
            <w:b/>
            <w:color w:val="0070C0"/>
          </w:rPr>
          <w:t>http://www.sdcounty.ca.gov/dplu/docs/LID-Appendices.pdf</w:t>
        </w:r>
      </w:hyperlink>
    </w:p>
    <w:p w:rsidR="00FC34E0" w:rsidRPr="00426F34" w:rsidRDefault="00FC34E0" w:rsidP="00FC34E0">
      <w:pPr>
        <w:pStyle w:val="FactsheetBullets"/>
        <w:numPr>
          <w:ilvl w:val="0"/>
          <w:numId w:val="0"/>
        </w:numPr>
        <w:ind w:left="720"/>
        <w:rPr>
          <w:b/>
          <w:color w:val="0070C0"/>
        </w:rPr>
      </w:pPr>
      <w:r w:rsidRPr="00311A64">
        <w:t>City of Santa Barbara Storm Water BMP Guidance Manual, Chapter 6:</w:t>
      </w:r>
      <w:r>
        <w:t xml:space="preserve"> </w:t>
      </w:r>
      <w:hyperlink r:id="rId173" w:history="1">
        <w:r w:rsidRPr="00126DE5">
          <w:rPr>
            <w:rStyle w:val="Hyperlink"/>
            <w:rFonts w:ascii="Book Antiqua" w:hAnsi="Book Antiqua"/>
            <w:b/>
            <w:color w:val="0070C0"/>
          </w:rPr>
          <w:t>http://www.santabarbaraca.gov/NR/rdonlyres/91D1FA75-C185-491E-A882-49EE17789DF8/0/Manual_071008_Final.pdf</w:t>
        </w:r>
      </w:hyperlink>
    </w:p>
    <w:p w:rsidR="00FC34E0" w:rsidRPr="00426F34" w:rsidRDefault="00FC34E0" w:rsidP="00FC34E0">
      <w:pPr>
        <w:pStyle w:val="FactsheetBullets"/>
        <w:numPr>
          <w:ilvl w:val="0"/>
          <w:numId w:val="0"/>
        </w:numPr>
        <w:ind w:left="720"/>
        <w:rPr>
          <w:b/>
          <w:color w:val="0070C0"/>
        </w:rPr>
      </w:pPr>
      <w:r w:rsidRPr="00311A64">
        <w:t>County of Los Angeles Low Impact Development Standards Manual, Chapter 5:</w:t>
      </w:r>
      <w:r>
        <w:t xml:space="preserve"> </w:t>
      </w:r>
      <w:hyperlink r:id="rId174" w:history="1">
        <w:r w:rsidRPr="00126DE5">
          <w:rPr>
            <w:rStyle w:val="Hyperlink"/>
            <w:rFonts w:ascii="Book Antiqua" w:hAnsi="Book Antiqua"/>
            <w:b/>
            <w:color w:val="0070C0"/>
          </w:rPr>
          <w:t>http://dpw.lacounty.gov/wmd/LA_County_LID_Manual.pdf</w:t>
        </w:r>
      </w:hyperlink>
    </w:p>
    <w:p w:rsidR="00FC34E0" w:rsidRPr="00B53524" w:rsidRDefault="00FC34E0" w:rsidP="00533A19">
      <w:pPr>
        <w:pStyle w:val="Heading3"/>
        <w:numPr>
          <w:ilvl w:val="0"/>
          <w:numId w:val="0"/>
        </w:numPr>
        <w:ind w:left="907" w:hanging="907"/>
      </w:pPr>
      <w:r>
        <w:br w:type="page"/>
      </w:r>
      <w:bookmarkStart w:id="842" w:name="_Ref287794997"/>
      <w:r w:rsidR="00126F3D">
        <w:rPr>
          <w:noProof/>
        </w:rPr>
        <w:pict>
          <v:shape id="Text Box 31" o:spid="_x0000_s1167" type="#_x0000_t202" style="position:absolute;left:0;text-align:left;margin-left:-158.4pt;margin-top:14.6pt;width:158.4pt;height:53.25pt;z-index:251771904;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" fillcolor="#d8d8d8">
            <v:textbox style="mso-next-textbox:#Text Box 31">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Default="00853C9A" w:rsidP="009531AF">
                  <w:pPr>
                    <w:pStyle w:val="CDMBTEXT"/>
                    <w:numPr>
                      <w:ilvl w:val="0"/>
                      <w:numId w:val="67"/>
                    </w:numPr>
                    <w:spacing w:after="60" w:line="240" w:lineRule="auto"/>
                    <w:ind w:left="540"/>
                    <w:rPr>
                      <w:i/>
                    </w:rPr>
                  </w:pPr>
                  <w:r>
                    <w:rPr>
                      <w:i/>
                    </w:rPr>
                    <w:t>Infiltration vault</w:t>
                  </w:r>
                </w:p>
                <w:p w:rsidR="00853C9A" w:rsidRPr="00384989" w:rsidRDefault="00853C9A" w:rsidP="009531AF">
                  <w:pPr>
                    <w:pStyle w:val="CDMBTEXT"/>
                    <w:numPr>
                      <w:ilvl w:val="0"/>
                      <w:numId w:val="67"/>
                    </w:numPr>
                    <w:spacing w:after="60" w:line="240" w:lineRule="auto"/>
                    <w:ind w:left="540"/>
                    <w:rPr>
                      <w:i/>
                    </w:rPr>
                  </w:pPr>
                  <w:r>
                    <w:rPr>
                      <w:i/>
                    </w:rPr>
                    <w:t>Recharge vault</w:t>
                  </w:r>
                </w:p>
              </w:txbxContent>
            </v:textbox>
            <w10:wrap type="square" anchorx="margin" anchory="margin"/>
          </v:shape>
        </w:pict>
      </w:r>
      <w:bookmarkStart w:id="843" w:name="_Toc285589334"/>
      <w:r>
        <w:t xml:space="preserve">INF-7: </w:t>
      </w:r>
      <w:r w:rsidRPr="00311A64">
        <w:t>Underground Infiltration</w:t>
      </w:r>
      <w:bookmarkEnd w:id="842"/>
      <w:bookmarkEnd w:id="843"/>
    </w:p>
    <w:p w:rsidR="00FC34E0" w:rsidRPr="00B53524" w:rsidRDefault="00126F3D" w:rsidP="00FC34E0">
      <w:pPr>
        <w:autoSpaceDE w:val="0"/>
        <w:autoSpaceDN w:val="0"/>
        <w:adjustRightInd w:val="0"/>
        <w:jc w:val="both"/>
        <w:rPr>
          <w:rFonts w:eastAsia="Times New Roman"/>
          <w:noProof/>
        </w:rPr>
      </w:pPr>
      <w:r w:rsidRPr="00126F3D">
        <w:rPr>
          <w:rFonts w:cs="Arial"/>
          <w:noProof/>
        </w:rPr>
        <w:pict>
          <v:shape id="Text Box 32" o:spid="_x0000_s1168" type="#_x0000_t202" style="position:absolute;left:0;text-align:left;margin-left:-158.4pt;margin-top:67.85pt;width:158.4pt;height:160.7pt;z-index:251772928;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" filled="f">
            <v:textbox style="mso-next-textbox:#Text Box 32" inset="0,0,0,0">
              <w:txbxContent>
                <w:p w:rsidR="00853C9A" w:rsidRDefault="00853C9A" w:rsidP="00FC34E0">
                  <w:pPr>
                    <w:ind w:left="-29" w:right="-29"/>
                    <w:rPr>
                      <w:rFonts w:ascii="Arial" w:hAnsi="Arial" w:cs="Arial"/>
                      <w:sz w:val="20"/>
                    </w:rPr>
                  </w:pPr>
                  <w:r>
                    <w:rPr>
                      <w:rFonts w:ascii="Arial" w:hAnsi="Arial" w:cs="Arial"/>
                      <w:noProof/>
                      <w:sz w:val="20"/>
                    </w:rPr>
                    <w:drawing>
                      <wp:inline distT="0" distB="0" distL="0" distR="0">
                        <wp:extent cx="2002155" cy="1329207"/>
                        <wp:effectExtent l="19050" t="0" r="0" b="0"/>
                        <wp:docPr id="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5" cstate="screen"/>
                                <a:srcRect/>
                                <a:stretch>
                                  <a:fillRect/>
                                </a:stretch>
                              </pic:blipFill>
                              <pic:spPr bwMode="auto">
                                <a:xfrm>
                                  <a:off x="0" y="0"/>
                                  <a:ext cx="2002155" cy="1329207"/>
                                </a:xfrm>
                                <a:prstGeom prst="rect">
                                  <a:avLst/>
                                </a:prstGeom>
                                <a:noFill/>
                                <a:ln w="9525">
                                  <a:noFill/>
                                  <a:miter lim="800000"/>
                                  <a:headEnd/>
                                  <a:tailEnd/>
                                </a:ln>
                              </pic:spPr>
                            </pic:pic>
                          </a:graphicData>
                        </a:graphic>
                      </wp:inline>
                    </w:drawing>
                  </w:r>
                </w:p>
                <w:p w:rsidR="00853C9A" w:rsidRDefault="00853C9A" w:rsidP="00FC34E0">
                  <w:pPr>
                    <w:ind w:left="180"/>
                    <w:rPr>
                      <w:rFonts w:ascii="Arial" w:hAnsi="Arial" w:cs="Arial"/>
                      <w:sz w:val="20"/>
                    </w:rPr>
                  </w:pPr>
                  <w:r>
                    <w:rPr>
                      <w:rFonts w:ascii="Arial" w:hAnsi="Arial" w:cs="Arial"/>
                      <w:sz w:val="20"/>
                    </w:rPr>
                    <w:t xml:space="preserve">Underground Infiltration </w:t>
                  </w:r>
                </w:p>
                <w:p w:rsidR="00853C9A" w:rsidRPr="00C35793" w:rsidRDefault="00853C9A" w:rsidP="00FC34E0">
                  <w:pPr>
                    <w:ind w:left="180"/>
                    <w:rPr>
                      <w:rFonts w:ascii="Arial" w:hAnsi="Arial" w:cs="Arial"/>
                      <w:i/>
                      <w:sz w:val="18"/>
                    </w:rPr>
                  </w:pPr>
                  <w:r w:rsidRPr="00C35793">
                    <w:rPr>
                      <w:rFonts w:ascii="Arial" w:hAnsi="Arial" w:cs="Arial"/>
                      <w:i/>
                      <w:sz w:val="18"/>
                    </w:rPr>
                    <w:t xml:space="preserve">Source: </w:t>
                  </w:r>
                  <w:r w:rsidRPr="001E3C09">
                    <w:rPr>
                      <w:rFonts w:ascii="Arial" w:hAnsi="Arial" w:cs="Arial"/>
                      <w:i/>
                      <w:sz w:val="18"/>
                    </w:rPr>
                    <w:t>http://www.contech-cpi.com</w:t>
                  </w:r>
                </w:p>
              </w:txbxContent>
            </v:textbox>
            <w10:wrap type="square" anchorx="margin" anchory="margin"/>
          </v:shape>
        </w:pict>
      </w:r>
      <w:r w:rsidR="00FC34E0" w:rsidRPr="00311A64">
        <w:rPr>
          <w:rFonts w:cs="Arial"/>
        </w:rPr>
        <w:t xml:space="preserve">Underground infiltration is a vault or chamber with an open bottom that used to store runoff and percolate into the subsurface. </w:t>
      </w:r>
      <w:r w:rsidR="00FC34E0" w:rsidRPr="00311A64">
        <w:rPr>
          <w:rFonts w:eastAsia="Times New Roman" w:cs="Arial"/>
          <w:noProof/>
        </w:rPr>
        <w:t>A number of vendors offer proprietary infiltration products that allow for similar or enhanced rates of infiltration and subsurface storage while offering durable prefrabricated structures. There are many varieties of proprietary infiltration BMPs that can be used for roads and parking lots, parks and open spaces, single and mult</w:t>
      </w:r>
      <w:r w:rsidR="00FC34E0">
        <w:rPr>
          <w:rFonts w:eastAsia="Times New Roman" w:cs="Arial"/>
          <w:noProof/>
        </w:rPr>
        <w:t>i</w:t>
      </w:r>
      <w:r w:rsidR="00FC34E0" w:rsidRPr="00311A64">
        <w:rPr>
          <w:rFonts w:eastAsia="Times New Roman" w:cs="Arial"/>
          <w:noProof/>
        </w:rPr>
        <w:t xml:space="preserve">-family residential, or mixed-use and commercial uses. </w:t>
      </w:r>
    </w:p>
    <w:p w:rsidR="00FC34E0" w:rsidRPr="00B53524" w:rsidRDefault="00FC34E0" w:rsidP="00FC34E0">
      <w:pPr>
        <w:pStyle w:val="FactsheetSubheading"/>
      </w:pPr>
      <w:r>
        <w:t>Feasibility</w:t>
      </w:r>
      <w:r w:rsidRPr="00311A64">
        <w:t xml:space="preserve"> Screening Considerations</w:t>
      </w:r>
    </w:p>
    <w:p w:rsidR="00FC34E0" w:rsidRPr="00B53524" w:rsidRDefault="00FC34E0" w:rsidP="00FC34E0">
      <w:pPr>
        <w:pStyle w:val="FactsheetBullets"/>
        <w:numPr>
          <w:ilvl w:val="0"/>
          <w:numId w:val="1"/>
        </w:numPr>
      </w:pPr>
      <w:r w:rsidRPr="00311A64">
        <w:t>Infiltration bains shall</w:t>
      </w:r>
      <w:r>
        <w:t xml:space="preserve"> pass infeasible screening criteria to be considered for use.</w:t>
      </w:r>
      <w:r w:rsidRPr="00311A64">
        <w:t xml:space="preserve"> </w:t>
      </w:r>
    </w:p>
    <w:p w:rsidR="00FC34E0" w:rsidRPr="00B53524" w:rsidRDefault="00FC34E0" w:rsidP="00FC34E0">
      <w:pPr>
        <w:pStyle w:val="FactsheetBullets"/>
        <w:numPr>
          <w:ilvl w:val="0"/>
          <w:numId w:val="1"/>
        </w:numPr>
      </w:pPr>
      <w:r>
        <w:t>Underground infiltration galleries pose a p</w:t>
      </w:r>
      <w:r w:rsidRPr="00311A64">
        <w:t xml:space="preserve">otential risk of groundwater contamination; </w:t>
      </w:r>
      <w:r>
        <w:t>pretreatment should be used.</w:t>
      </w:r>
    </w:p>
    <w:p w:rsidR="00FC34E0" w:rsidRPr="00B53524" w:rsidRDefault="00FC34E0" w:rsidP="00FC34E0">
      <w:pPr>
        <w:pStyle w:val="FactsheetSubheading"/>
      </w:pPr>
      <w:r w:rsidRPr="00311A64">
        <w:t>Opportunity Criteria</w:t>
      </w:r>
    </w:p>
    <w:p w:rsidR="00FC34E0" w:rsidRPr="00B53524" w:rsidRDefault="00FC34E0" w:rsidP="00FC34E0">
      <w:pPr>
        <w:pStyle w:val="FactsheetBullets"/>
        <w:numPr>
          <w:ilvl w:val="0"/>
          <w:numId w:val="1"/>
        </w:numPr>
      </w:pPr>
      <w:r>
        <w:t>Soils are adequate for infiltration or can be amended to provide an adequate infiltration rate</w:t>
      </w:r>
      <w:r w:rsidRPr="00311A64">
        <w:t xml:space="preserve">.  </w:t>
      </w:r>
    </w:p>
    <w:p w:rsidR="00FC34E0" w:rsidRPr="00B53524" w:rsidRDefault="00FC34E0" w:rsidP="00FC34E0">
      <w:pPr>
        <w:pStyle w:val="FactsheetBullets"/>
        <w:numPr>
          <w:ilvl w:val="0"/>
          <w:numId w:val="1"/>
        </w:numPr>
      </w:pPr>
      <w:r w:rsidRPr="00311A64">
        <w:t xml:space="preserve">Appropriate for sites with limited surface space.  </w:t>
      </w:r>
    </w:p>
    <w:p w:rsidR="00FC34E0" w:rsidRPr="00B53524" w:rsidRDefault="00FC34E0" w:rsidP="00FC34E0">
      <w:pPr>
        <w:pStyle w:val="FactsheetBullets"/>
        <w:numPr>
          <w:ilvl w:val="0"/>
          <w:numId w:val="1"/>
        </w:numPr>
      </w:pPr>
      <w:r w:rsidRPr="00311A64">
        <w:t>Can be placed beneath roads, parking lots, parks, and athletic fields.</w:t>
      </w:r>
    </w:p>
    <w:p w:rsidR="00FC34E0" w:rsidRPr="00B53524" w:rsidRDefault="00FC34E0" w:rsidP="00FC34E0">
      <w:pPr>
        <w:pStyle w:val="FactsheetBullets"/>
        <w:numPr>
          <w:ilvl w:val="0"/>
          <w:numId w:val="1"/>
        </w:numPr>
      </w:pPr>
      <w:r w:rsidRPr="00311A64">
        <w:t xml:space="preserve">Potential for groundwater contamination can be mitigated through isolation of pollutant sources, </w:t>
      </w:r>
      <w:r>
        <w:t>pretreatment</w:t>
      </w:r>
      <w:r w:rsidRPr="00311A64">
        <w:t xml:space="preserve"> of inflow, and/or demonstration of adequate treatment capacity of underlying soils.</w:t>
      </w:r>
    </w:p>
    <w:p w:rsidR="00FC34E0" w:rsidRDefault="00FC34E0" w:rsidP="00FC34E0">
      <w:pPr>
        <w:pStyle w:val="FactsheetBullets"/>
        <w:numPr>
          <w:ilvl w:val="0"/>
          <w:numId w:val="1"/>
        </w:numPr>
      </w:pPr>
      <w:r w:rsidRPr="00311A64">
        <w:t xml:space="preserve">Infiltration is into native soil, or depth of engineered fill is ≤ 5 feet from the bottom of the facility to native material and infiltration into fill is approved by a geotechnical professional. </w:t>
      </w:r>
    </w:p>
    <w:p w:rsidR="00FC34E0" w:rsidRPr="00B53524" w:rsidRDefault="00FC34E0" w:rsidP="00FC34E0">
      <w:pPr>
        <w:pStyle w:val="FactsheetBullets"/>
        <w:numPr>
          <w:ilvl w:val="0"/>
          <w:numId w:val="1"/>
        </w:numPr>
      </w:pPr>
      <w:r>
        <w:t>Tributary area land uses include mixed-use and commercial, sngle-family and multi-family, roads and parking lots, and parks and open spaces.  High pollutant land uses should not be tributary to infiltration BMPs.</w:t>
      </w:r>
    </w:p>
    <w:p w:rsidR="00FC34E0" w:rsidRPr="00B53524" w:rsidRDefault="00FC34E0" w:rsidP="00FC34E0">
      <w:pPr>
        <w:pStyle w:val="FactsheetSubheading"/>
      </w:pPr>
      <w:r w:rsidRPr="00311A64">
        <w:t>OC-Specific Design Criteria and Considerations</w:t>
      </w:r>
    </w:p>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0"/>
        <w:gridCol w:w="8730"/>
      </w:tblGrid>
      <w:tr w:rsidR="00FC34E0" w:rsidRPr="00B53524" w:rsidTr="00FC34E0">
        <w:trPr>
          <w:trHeight w:val="147"/>
        </w:trPr>
        <w:tc>
          <w:tcPr>
            <w:tcW w:w="720" w:type="dxa"/>
            <w:vAlign w:val="center"/>
          </w:tcPr>
          <w:p w:rsidR="00FC34E0" w:rsidRPr="00B53524" w:rsidRDefault="00FC34E0" w:rsidP="00FC34E0">
            <w:pPr>
              <w:pStyle w:val="CheckBoxList"/>
              <w:spacing w:after="60"/>
              <w:ind w:left="806" w:hanging="806"/>
            </w:pPr>
          </w:p>
        </w:tc>
        <w:tc>
          <w:tcPr>
            <w:tcW w:w="8730" w:type="dxa"/>
            <w:vAlign w:val="center"/>
          </w:tcPr>
          <w:p w:rsidR="00FC34E0" w:rsidRPr="00B53524" w:rsidRDefault="00FC34E0" w:rsidP="00FC34E0">
            <w:pPr>
              <w:pStyle w:val="CheckBoxTableText"/>
            </w:pPr>
            <w:r w:rsidRPr="00311A64">
              <w:t>Placement of BMPs should observe geotechnical recommendations with respect to geological hazards (e.g. landslides, liquefaction zones, erosion, etc.) and set-backs (e.g., foundations, utilities, roadways, etc.)</w:t>
            </w:r>
            <w:r w:rsidDel="00CB21D8">
              <w:t xml:space="preserve"> </w:t>
            </w:r>
          </w:p>
        </w:tc>
      </w:tr>
      <w:tr w:rsidR="00FC34E0" w:rsidRPr="00B53524" w:rsidTr="00FC34E0">
        <w:trPr>
          <w:trHeight w:val="147"/>
        </w:trPr>
        <w:tc>
          <w:tcPr>
            <w:tcW w:w="720" w:type="dxa"/>
            <w:vAlign w:val="center"/>
          </w:tcPr>
          <w:p w:rsidR="00FC34E0" w:rsidRPr="00B53524" w:rsidRDefault="00FC34E0" w:rsidP="00FC34E0">
            <w:pPr>
              <w:pStyle w:val="CheckBoxList"/>
              <w:spacing w:after="60"/>
              <w:ind w:left="806" w:hanging="806"/>
            </w:pPr>
          </w:p>
        </w:tc>
        <w:tc>
          <w:tcPr>
            <w:tcW w:w="8730" w:type="dxa"/>
            <w:vAlign w:val="center"/>
          </w:tcPr>
          <w:p w:rsidR="00FC34E0" w:rsidRPr="00311A64" w:rsidRDefault="00FC34E0" w:rsidP="00FC34E0">
            <w:pPr>
              <w:pStyle w:val="CheckBoxTableText"/>
            </w:pPr>
            <w:r>
              <w:t>Minimum separation to mounded seasonally high groundwater of 10 feet shall be observed.</w:t>
            </w:r>
          </w:p>
        </w:tc>
      </w:tr>
      <w:tr w:rsidR="00FC34E0" w:rsidRPr="00B53524" w:rsidTr="00FC34E0">
        <w:trPr>
          <w:trHeight w:val="144"/>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 xml:space="preserve">Minimum </w:t>
            </w:r>
            <w:r>
              <w:t>pretreatment</w:t>
            </w:r>
            <w:r w:rsidRPr="00311A64">
              <w:t xml:space="preserve"> should be provided upstream of the infiltration facility, and water bypassing </w:t>
            </w:r>
            <w:r>
              <w:t>pretreatment</w:t>
            </w:r>
            <w:r w:rsidRPr="00311A64">
              <w:t xml:space="preserve"> should </w:t>
            </w:r>
            <w:r w:rsidRPr="00311A64">
              <w:rPr>
                <w:u w:val="single"/>
              </w:rPr>
              <w:t>not</w:t>
            </w:r>
            <w:r w:rsidRPr="00311A64">
              <w:t xml:space="preserve"> be directed to the facility.</w:t>
            </w:r>
          </w:p>
        </w:tc>
      </w:tr>
      <w:tr w:rsidR="00FC34E0" w:rsidRPr="00B53524" w:rsidTr="00FC34E0">
        <w:trPr>
          <w:trHeight w:val="144"/>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Underground infiltration should not be used for drainage areas with high sediment production potential unless preceded by full treatment control with a BMP effective for sediment removal.</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 xml:space="preserve">Design infiltration rate should be determined </w:t>
            </w:r>
            <w:r>
              <w:t>as described</w:t>
            </w:r>
            <w:r>
              <w:rPr>
                <w:b/>
                <w:color w:val="00B050"/>
              </w:rPr>
              <w:t xml:space="preserve"> in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_Ref287704666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VII</w:t>
            </w:r>
            <w:r w:rsidR="00126F3D" w:rsidRPr="00126DE5">
              <w:rPr>
                <w:rFonts w:ascii="Book Antiqua" w:hAnsi="Book Antiqua"/>
                <w:b/>
                <w:color w:val="0070C0"/>
              </w:rPr>
              <w:fldChar w:fldCharType="end"/>
            </w:r>
            <w:r>
              <w:t>.</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311A64" w:rsidRDefault="00FC34E0" w:rsidP="00FC34E0">
            <w:pPr>
              <w:pStyle w:val="CheckBoxTableText"/>
            </w:pPr>
            <w:r>
              <w:t>Inspection ports or similar design features shall be provided to verify continued system performance and identify need for major maintenance.</w:t>
            </w:r>
          </w:p>
        </w:tc>
      </w:tr>
      <w:tr w:rsidR="00FC34E0" w:rsidRPr="00B53524" w:rsidTr="00FC34E0">
        <w:trPr>
          <w:trHeight w:val="67"/>
        </w:trPr>
        <w:tc>
          <w:tcPr>
            <w:tcW w:w="720" w:type="dxa"/>
            <w:vAlign w:val="center"/>
          </w:tcPr>
          <w:p w:rsidR="00FC34E0" w:rsidRPr="00B53524" w:rsidRDefault="00FC34E0" w:rsidP="00FC34E0">
            <w:pPr>
              <w:pStyle w:val="CheckBoxList"/>
              <w:spacing w:after="60"/>
              <w:ind w:left="806" w:hanging="806"/>
              <w:rPr>
                <w:szCs w:val="32"/>
              </w:rPr>
            </w:pPr>
          </w:p>
        </w:tc>
        <w:tc>
          <w:tcPr>
            <w:tcW w:w="8730" w:type="dxa"/>
            <w:vAlign w:val="center"/>
          </w:tcPr>
          <w:p w:rsidR="00FC34E0" w:rsidRPr="00B53524" w:rsidRDefault="00FC34E0" w:rsidP="00FC34E0">
            <w:pPr>
              <w:pStyle w:val="CheckBoxTableText"/>
            </w:pPr>
            <w:r w:rsidRPr="00311A64">
              <w:t>For infiltration facilities beneath roads and parking areas, structural requirements should meet H</w:t>
            </w:r>
            <w:r w:rsidRPr="00311A64">
              <w:noBreakHyphen/>
              <w:t>20 load requirements.</w:t>
            </w:r>
          </w:p>
        </w:tc>
      </w:tr>
    </w:tbl>
    <w:p w:rsidR="00FC34E0" w:rsidRPr="00B53524" w:rsidRDefault="00FC34E0" w:rsidP="00FC34E0">
      <w:pPr>
        <w:pStyle w:val="FactsheetSubheading"/>
      </w:pPr>
      <w:r w:rsidRPr="00311A64">
        <w:t>Computing Underground Infiltration Device Size</w:t>
      </w:r>
    </w:p>
    <w:p w:rsidR="00FC34E0" w:rsidRDefault="00FC34E0" w:rsidP="00FC34E0">
      <w:pPr>
        <w:pStyle w:val="CheckBoxTableText"/>
      </w:pPr>
      <w:r w:rsidRPr="00311A64">
        <w:t xml:space="preserve">Underground infiltration devices </w:t>
      </w:r>
      <w:r>
        <w:t xml:space="preserve">vary by design and by proprietary designs. The sizing method selected for use must be based on the BMP type it most strongly resembles. </w:t>
      </w:r>
    </w:p>
    <w:p w:rsidR="00FC34E0" w:rsidRDefault="00FC34E0" w:rsidP="009531AF">
      <w:pPr>
        <w:pStyle w:val="CheckBoxTableText"/>
        <w:numPr>
          <w:ilvl w:val="0"/>
          <w:numId w:val="81"/>
        </w:numPr>
      </w:pPr>
      <w:r>
        <w:t>For underground infiltration devices with open pore volume (e.g., vaults, crates, pipe sections, etc), sizing will be most similar to infiltration basins.</w:t>
      </w:r>
    </w:p>
    <w:p w:rsidR="00FC34E0" w:rsidRDefault="00FC34E0" w:rsidP="009531AF">
      <w:pPr>
        <w:pStyle w:val="CheckBoxTableText"/>
        <w:numPr>
          <w:ilvl w:val="0"/>
          <w:numId w:val="81"/>
        </w:numPr>
      </w:pPr>
      <w:r>
        <w:t>For underground infiltration devices with pore space (e.g., aggregate reservoirs), sizing will be most similar to permeable pavement.</w:t>
      </w:r>
    </w:p>
    <w:p w:rsidR="00FC34E0" w:rsidRDefault="00FC34E0" w:rsidP="00FC34E0">
      <w:pPr>
        <w:pStyle w:val="FactsheetBullets"/>
        <w:numPr>
          <w:ilvl w:val="0"/>
          <w:numId w:val="0"/>
        </w:numPr>
      </w:pPr>
    </w:p>
    <w:p w:rsidR="00FC34E0" w:rsidRPr="00B53524" w:rsidRDefault="00FC34E0" w:rsidP="00FC34E0">
      <w:pPr>
        <w:pStyle w:val="FactsheetSubheading"/>
      </w:pPr>
      <w:r w:rsidRPr="00311A64">
        <w:t>Additional References for Design Guidance</w:t>
      </w:r>
    </w:p>
    <w:p w:rsidR="00FC34E0" w:rsidRPr="00426F34" w:rsidRDefault="00FC34E0" w:rsidP="00FC34E0">
      <w:pPr>
        <w:pStyle w:val="FactsheetBullets"/>
        <w:numPr>
          <w:ilvl w:val="0"/>
          <w:numId w:val="1"/>
        </w:numPr>
        <w:spacing w:after="200"/>
        <w:ind w:left="450"/>
        <w:rPr>
          <w:b/>
          <w:color w:val="0070C0"/>
        </w:rPr>
      </w:pPr>
      <w:r w:rsidRPr="00311A64">
        <w:t>Los Angeles Unified School District (LAUSD) Stormwater Technical Manual, Chapter 5:</w:t>
      </w:r>
      <w:r>
        <w:t xml:space="preserve"> </w:t>
      </w:r>
      <w:hyperlink r:id="rId176" w:history="1">
        <w:r w:rsidRPr="00126DE5">
          <w:rPr>
            <w:rStyle w:val="Hyperlink"/>
            <w:rFonts w:ascii="Book Antiqua" w:hAnsi="Book Antiqua"/>
            <w:b/>
            <w:color w:val="0070C0"/>
          </w:rPr>
          <w:t>http://www.laschools.org/employee/design/fs-studies-and-reports/download/white_paper_report_material/Storm_Water_Technical_Manual_2009-opt-red.pdf?version_id=76975850</w:t>
        </w:r>
      </w:hyperlink>
    </w:p>
    <w:p w:rsidR="00FC34E0" w:rsidRPr="00B53524" w:rsidRDefault="00FC34E0" w:rsidP="00FC34E0">
      <w:pPr>
        <w:spacing w:after="200"/>
        <w:ind w:left="450"/>
        <w:rPr>
          <w:rFonts w:ascii="Arial" w:eastAsia="Times New Roman" w:hAnsi="Arial" w:cs="Arial"/>
          <w:b/>
          <w:bCs/>
          <w:i/>
          <w:iCs/>
          <w:sz w:val="20"/>
        </w:rPr>
      </w:pPr>
      <w:r w:rsidRPr="00311A64">
        <w:rPr>
          <w:rFonts w:ascii="Arial" w:hAnsi="Arial" w:cs="Arial"/>
          <w:sz w:val="20"/>
        </w:rPr>
        <w:br w:type="page"/>
      </w:r>
    </w:p>
    <w:p w:rsidR="00FC34E0" w:rsidRPr="003C19F9" w:rsidRDefault="00FC34E0" w:rsidP="00A52883">
      <w:pPr>
        <w:pStyle w:val="Heading2"/>
      </w:pPr>
      <w:bookmarkStart w:id="844" w:name="_Harvest_and_Use"/>
      <w:bookmarkStart w:id="845" w:name="_Toc285522605"/>
      <w:bookmarkStart w:id="846" w:name="_Ref285552630"/>
      <w:bookmarkStart w:id="847" w:name="_Toc285589335"/>
      <w:bookmarkStart w:id="848" w:name="_Ref287698673"/>
      <w:bookmarkStart w:id="849" w:name="_Toc288541124"/>
      <w:bookmarkStart w:id="850" w:name="_Toc293937180"/>
      <w:bookmarkStart w:id="851" w:name="_Toc262462880"/>
      <w:bookmarkEnd w:id="844"/>
      <w:r w:rsidRPr="003C19F9">
        <w:t xml:space="preserve">Harvest and Use </w:t>
      </w:r>
      <w:bookmarkEnd w:id="845"/>
      <w:bookmarkEnd w:id="846"/>
      <w:bookmarkEnd w:id="847"/>
      <w:r w:rsidRPr="003C19F9">
        <w:t>BMP Fact Sheets (HU)</w:t>
      </w:r>
      <w:bookmarkEnd w:id="848"/>
      <w:bookmarkEnd w:id="849"/>
      <w:bookmarkEnd w:id="850"/>
    </w:p>
    <w:p w:rsidR="00FC34E0" w:rsidRPr="003559D0" w:rsidRDefault="00126F3D" w:rsidP="00533A19">
      <w:pPr>
        <w:pStyle w:val="Heading3"/>
        <w:numPr>
          <w:ilvl w:val="0"/>
          <w:numId w:val="0"/>
        </w:numPr>
        <w:ind w:left="907" w:hanging="907"/>
      </w:pPr>
      <w:r>
        <w:rPr>
          <w:noProof/>
        </w:rPr>
        <w:pict>
          <v:shape id="Text Box 36" o:spid="_x0000_s1169" type="#_x0000_t202" style="position:absolute;left:0;text-align:left;margin-left:-158.4pt;margin-top:223.3pt;width:158.4pt;height:147.75pt;z-index:251773952;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" filled="f">
            <v:textbox style="mso-next-textbox:#Text Box 36" inset="0,0,0,0">
              <w:txbxContent>
                <w:p w:rsidR="00853C9A" w:rsidRDefault="00853C9A" w:rsidP="00FC34E0">
                  <w:pPr>
                    <w:spacing w:after="0"/>
                    <w:ind w:left="-29" w:right="-29"/>
                    <w:rPr>
                      <w:rFonts w:ascii="Arial" w:hAnsi="Arial" w:cs="Arial"/>
                      <w:sz w:val="20"/>
                    </w:rPr>
                  </w:pPr>
                  <w:r w:rsidRPr="00392A03">
                    <w:rPr>
                      <w:rFonts w:ascii="Arial" w:hAnsi="Arial" w:cs="Arial"/>
                      <w:noProof/>
                      <w:sz w:val="20"/>
                    </w:rPr>
                    <w:drawing>
                      <wp:inline distT="0" distB="0" distL="0" distR="0">
                        <wp:extent cx="2019300" cy="1495425"/>
                        <wp:effectExtent l="19050" t="0" r="0" b="0"/>
                        <wp:docPr id="8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webtecgeos.com/files/images/full/img75.jpg"/>
                                <pic:cNvPicPr>
                                  <a:picLocks noChangeAspect="1" noChangeArrowheads="1"/>
                                </pic:cNvPicPr>
                              </pic:nvPicPr>
                              <pic:blipFill>
                                <a:blip r:embed="rId177" r:link="rId178" cstate="screen"/>
                                <a:srcRect/>
                                <a:stretch>
                                  <a:fillRect/>
                                </a:stretch>
                              </pic:blipFill>
                              <pic:spPr bwMode="auto">
                                <a:xfrm>
                                  <a:off x="0" y="0"/>
                                  <a:ext cx="2023751" cy="1498721"/>
                                </a:xfrm>
                                <a:prstGeom prst="rect">
                                  <a:avLst/>
                                </a:prstGeom>
                                <a:noFill/>
                                <a:ln w="6350">
                                  <a:noFill/>
                                  <a:miter lim="800000"/>
                                  <a:headEnd/>
                                  <a:tailEnd/>
                                </a:ln>
                                <a:effectLst/>
                              </pic:spPr>
                            </pic:pic>
                          </a:graphicData>
                        </a:graphic>
                      </wp:inline>
                    </w:drawing>
                  </w:r>
                </w:p>
                <w:p w:rsidR="00853C9A" w:rsidRPr="00FA56FE" w:rsidRDefault="00853C9A" w:rsidP="00FC34E0">
                  <w:pPr>
                    <w:ind w:left="180"/>
                    <w:rPr>
                      <w:rFonts w:ascii="Arial" w:hAnsi="Arial" w:cs="Arial"/>
                      <w:sz w:val="20"/>
                    </w:rPr>
                  </w:pPr>
                  <w:r>
                    <w:rPr>
                      <w:rFonts w:ascii="Arial" w:hAnsi="Arial" w:cs="Arial"/>
                      <w:sz w:val="20"/>
                    </w:rPr>
                    <w:t>Underground detention tank</w:t>
                  </w:r>
                  <w:r w:rsidRPr="00FA56FE">
                    <w:rPr>
                      <w:rFonts w:ascii="Arial" w:hAnsi="Arial" w:cs="Arial"/>
                      <w:sz w:val="20"/>
                    </w:rPr>
                    <w:t xml:space="preserve"> </w:t>
                  </w:r>
                  <w:r w:rsidRPr="00336A84">
                    <w:rPr>
                      <w:rFonts w:ascii="Arial" w:hAnsi="Arial" w:cs="Arial"/>
                      <w:i/>
                      <w:sz w:val="18"/>
                    </w:rPr>
                    <w:t>Source: www.webtecgeos.com</w:t>
                  </w:r>
                </w:p>
              </w:txbxContent>
            </v:textbox>
            <w10:wrap type="square" anchorx="margin" anchory="margin"/>
          </v:shape>
        </w:pict>
      </w:r>
      <w:r>
        <w:rPr>
          <w:noProof/>
        </w:rPr>
        <w:pict>
          <v:shape id="Text Box 35" o:spid="_x0000_s1170" type="#_x0000_t202" style="position:absolute;left:0;text-align:left;margin-left:-158.4pt;margin-top:35.1pt;width:158.4pt;height:188.2pt;z-index:251774976;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" filled="f">
            <v:textbox style="mso-next-textbox:#Text Box 35" inset="0,0,0,0">
              <w:txbxContent>
                <w:p w:rsidR="00853C9A" w:rsidRDefault="00853C9A" w:rsidP="00FC34E0">
                  <w:pPr>
                    <w:spacing w:after="0"/>
                    <w:ind w:left="-29" w:right="-29"/>
                    <w:rPr>
                      <w:rFonts w:ascii="Arial" w:hAnsi="Arial" w:cs="Arial"/>
                      <w:sz w:val="20"/>
                    </w:rPr>
                  </w:pPr>
                  <w:r w:rsidRPr="00145CD8">
                    <w:rPr>
                      <w:rFonts w:ascii="Arial" w:hAnsi="Arial" w:cs="Arial"/>
                      <w:noProof/>
                      <w:sz w:val="20"/>
                    </w:rPr>
                    <w:drawing>
                      <wp:inline distT="0" distB="0" distL="0" distR="0">
                        <wp:extent cx="1998896" cy="1847850"/>
                        <wp:effectExtent l="19050" t="0" r="1354" b="0"/>
                        <wp:docPr id="87"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9" cstate="screen"/>
                                <a:srcRect/>
                                <a:stretch>
                                  <a:fillRect/>
                                </a:stretch>
                              </pic:blipFill>
                              <pic:spPr bwMode="auto">
                                <a:xfrm>
                                  <a:off x="0" y="0"/>
                                  <a:ext cx="2004303" cy="1852848"/>
                                </a:xfrm>
                                <a:prstGeom prst="rect">
                                  <a:avLst/>
                                </a:prstGeom>
                                <a:noFill/>
                                <a:ln w="9525">
                                  <a:noFill/>
                                  <a:miter lim="800000"/>
                                  <a:headEnd/>
                                  <a:tailEnd/>
                                </a:ln>
                              </pic:spPr>
                            </pic:pic>
                          </a:graphicData>
                        </a:graphic>
                      </wp:inline>
                    </w:drawing>
                  </w:r>
                </w:p>
                <w:p w:rsidR="00853C9A" w:rsidRDefault="00853C9A" w:rsidP="00FC34E0">
                  <w:pPr>
                    <w:spacing w:after="0"/>
                    <w:ind w:left="187"/>
                    <w:rPr>
                      <w:rFonts w:ascii="Arial" w:hAnsi="Arial" w:cs="Arial"/>
                      <w:sz w:val="20"/>
                    </w:rPr>
                  </w:pPr>
                  <w:r>
                    <w:rPr>
                      <w:rFonts w:ascii="Arial" w:hAnsi="Arial" w:cs="Arial"/>
                      <w:sz w:val="20"/>
                    </w:rPr>
                    <w:t>Above-Ground Cisterns</w:t>
                  </w:r>
                </w:p>
                <w:p w:rsidR="00853C9A" w:rsidRPr="00336A84" w:rsidRDefault="00853C9A" w:rsidP="00FC34E0">
                  <w:pPr>
                    <w:spacing w:after="0"/>
                    <w:ind w:left="187"/>
                    <w:rPr>
                      <w:rFonts w:ascii="Arial" w:hAnsi="Arial" w:cs="Arial"/>
                      <w:i/>
                      <w:sz w:val="20"/>
                    </w:rPr>
                  </w:pPr>
                  <w:r w:rsidRPr="00336A84">
                    <w:rPr>
                      <w:rFonts w:ascii="Arial" w:hAnsi="Arial" w:cs="Arial"/>
                      <w:i/>
                      <w:sz w:val="18"/>
                    </w:rPr>
                    <w:t>Source: Sunset Publishing Corporation</w:t>
                  </w:r>
                </w:p>
              </w:txbxContent>
            </v:textbox>
            <w10:wrap type="square" anchorx="margin" anchory="margin"/>
          </v:shape>
        </w:pict>
      </w:r>
      <w:bookmarkStart w:id="852" w:name="_Toc285522606"/>
      <w:bookmarkStart w:id="853" w:name="_Ref287795280"/>
      <w:r w:rsidR="00533A19">
        <w:t xml:space="preserve">HU-1: </w:t>
      </w:r>
      <w:r w:rsidR="00FC34E0">
        <w:t xml:space="preserve">Above-Ground </w:t>
      </w:r>
      <w:r w:rsidR="00FC34E0" w:rsidRPr="003559D0">
        <w:t>Cisterns</w:t>
      </w:r>
      <w:bookmarkEnd w:id="852"/>
      <w:bookmarkEnd w:id="853"/>
    </w:p>
    <w:p w:rsidR="00FC34E0" w:rsidRDefault="00FC34E0" w:rsidP="00FC34E0">
      <w:pPr>
        <w:pStyle w:val="CDMBTEXT"/>
        <w:rPr>
          <w:noProof/>
        </w:rPr>
      </w:pPr>
      <w:r w:rsidRPr="00311A64">
        <w:rPr>
          <w:noProof/>
        </w:rPr>
        <w:t xml:space="preserve">Cisterns are large rain barrels.  While rain barrels are less than 100 gallons, cisterns range from 100 to </w:t>
      </w:r>
      <w:r>
        <w:rPr>
          <w:noProof/>
        </w:rPr>
        <w:t xml:space="preserve">more than </w:t>
      </w:r>
      <w:r w:rsidRPr="00311A64">
        <w:rPr>
          <w:noProof/>
        </w:rPr>
        <w:t>10,000 gallons in capacity.  Cisterns collect and temporarily store runoff from rooftops for later use as irrigation and/or other non-potable uses. The following components are generally required for installing and utilizing a cistern: (1) pipes that divert rooftop runoff to the cistern, (2) an overflow for when the cistern i</w:t>
      </w:r>
      <w:r>
        <w:rPr>
          <w:noProof/>
        </w:rPr>
        <w:t>s</w:t>
      </w:r>
      <w:r w:rsidRPr="00311A64">
        <w:rPr>
          <w:noProof/>
        </w:rPr>
        <w:t xml:space="preserve"> full, (3) a pump, and (4) a distribution system to supply the intended end uses.  </w:t>
      </w:r>
    </w:p>
    <w:p w:rsidR="00FC34E0" w:rsidRDefault="00FC34E0" w:rsidP="00FC34E0">
      <w:pPr>
        <w:pStyle w:val="CDMBTEXT"/>
        <w:rPr>
          <w:noProof/>
        </w:rPr>
      </w:pPr>
      <w:r>
        <w:rPr>
          <w:noProof/>
        </w:rPr>
        <w:t>Feasibility screening consideration, opportunity criteria, design criteria, etc. for this BMP are listed below under HU-2: Underground Detention.</w:t>
      </w:r>
    </w:p>
    <w:p w:rsidR="00FC34E0" w:rsidRPr="003559D0" w:rsidRDefault="00FC34E0" w:rsidP="00533A19">
      <w:pPr>
        <w:pStyle w:val="Heading3"/>
        <w:numPr>
          <w:ilvl w:val="0"/>
          <w:numId w:val="0"/>
        </w:numPr>
        <w:ind w:left="907" w:hanging="907"/>
        <w:rPr>
          <w:noProof/>
        </w:rPr>
      </w:pPr>
      <w:bookmarkStart w:id="854" w:name="_Ref287795282"/>
      <w:r>
        <w:t xml:space="preserve">HU-2: </w:t>
      </w:r>
      <w:r w:rsidRPr="003559D0">
        <w:rPr>
          <w:noProof/>
        </w:rPr>
        <w:t>Underground Detention</w:t>
      </w:r>
      <w:bookmarkEnd w:id="854"/>
    </w:p>
    <w:p w:rsidR="00FC34E0" w:rsidRPr="00B53524" w:rsidRDefault="00FC34E0" w:rsidP="00FC34E0">
      <w:pPr>
        <w:pStyle w:val="CDMBTEXT"/>
        <w:rPr>
          <w:noProof/>
        </w:rPr>
      </w:pPr>
      <w:r w:rsidRPr="00311A64">
        <w:rPr>
          <w:noProof/>
        </w:rPr>
        <w:t xml:space="preserve">Underground detention facilities are subsurface tanks, vaults, or oversized pipes that store stormwater runoff. Similar to cisterns, underground detention facilities can store water for later use as irrigation and/or other non-potable uses.  </w:t>
      </w:r>
    </w:p>
    <w:p w:rsidR="00FC34E0" w:rsidRPr="00B53524" w:rsidRDefault="00FC34E0" w:rsidP="00FC34E0">
      <w:pPr>
        <w:pStyle w:val="FactsheetSubheading"/>
        <w:outlineLvl w:val="0"/>
      </w:pPr>
      <w:r>
        <w:t>Feasibility</w:t>
      </w:r>
      <w:r w:rsidRPr="00311A64">
        <w:t xml:space="preserve"> Screening Considerations</w:t>
      </w:r>
    </w:p>
    <w:p w:rsidR="00FC34E0" w:rsidRDefault="00FC34E0" w:rsidP="00FC34E0">
      <w:pPr>
        <w:pStyle w:val="FactsheetBullets"/>
        <w:numPr>
          <w:ilvl w:val="0"/>
          <w:numId w:val="1"/>
        </w:numPr>
      </w:pPr>
      <w:r>
        <w:t xml:space="preserve">The primary feasibility considerations for harvest and use systems for stormwater management is the presence of consistent and reliable demand that is sufficient to drain the systems relatively quickly between storms.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_Ref287982656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X</w:t>
      </w:r>
      <w:r w:rsidR="00126F3D" w:rsidRPr="00126DE5">
        <w:rPr>
          <w:rFonts w:ascii="Book Antiqua" w:hAnsi="Book Antiqua"/>
          <w:b/>
          <w:color w:val="0070C0"/>
        </w:rPr>
        <w:fldChar w:fldCharType="end"/>
      </w:r>
      <w:r>
        <w:t xml:space="preserve"> provides guidance for calculating harvested water demand.</w:t>
      </w:r>
    </w:p>
    <w:p w:rsidR="00FC34E0" w:rsidRDefault="00FC34E0" w:rsidP="00FC34E0">
      <w:pPr>
        <w:pStyle w:val="FactsheetBullets"/>
        <w:numPr>
          <w:ilvl w:val="0"/>
          <w:numId w:val="1"/>
        </w:numPr>
      </w:pPr>
      <w:r>
        <w:t>Use of harvested water should not conflict with applicable plumbing and health codes at the time of project application.</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t>C</w:t>
      </w:r>
      <w:r w:rsidRPr="00311A64">
        <w:t>ist</w:t>
      </w:r>
      <w:r>
        <w:t>erns may collect rooftop runoff, and if located underground, may collect ground-level runoff.</w:t>
      </w:r>
    </w:p>
    <w:p w:rsidR="00FC34E0" w:rsidRDefault="00FC34E0" w:rsidP="00FC34E0">
      <w:pPr>
        <w:pStyle w:val="FactsheetBullets"/>
        <w:numPr>
          <w:ilvl w:val="0"/>
          <w:numId w:val="1"/>
        </w:numPr>
      </w:pPr>
      <w:r>
        <w:t>C</w:t>
      </w:r>
      <w:r w:rsidRPr="00311A64">
        <w:t>isterns may be installed in any type of land use provided space is available and adequate water demand exists.</w:t>
      </w:r>
    </w:p>
    <w:p w:rsidR="00FC34E0" w:rsidRPr="00B53524" w:rsidRDefault="00FC34E0" w:rsidP="00FC34E0">
      <w:pPr>
        <w:pStyle w:val="FactsheetBullets"/>
        <w:numPr>
          <w:ilvl w:val="0"/>
          <w:numId w:val="1"/>
        </w:numPr>
      </w:pPr>
      <w:r>
        <w:t>Stored water</w:t>
      </w:r>
      <w:r w:rsidRPr="00311A64">
        <w:t xml:space="preserve"> may supply non-potable water use demands such as irrigation and toilet flushing.</w:t>
      </w:r>
    </w:p>
    <w:p w:rsidR="00FC34E0" w:rsidRPr="00B53524" w:rsidRDefault="00FC34E0" w:rsidP="00FC34E0">
      <w:pPr>
        <w:pStyle w:val="FactsheetBullets"/>
        <w:numPr>
          <w:ilvl w:val="0"/>
          <w:numId w:val="1"/>
        </w:numPr>
      </w:pPr>
      <w:r>
        <w:t xml:space="preserve">Cisterns and underground detention facilities may also be </w:t>
      </w:r>
      <w:r w:rsidRPr="00311A64">
        <w:t xml:space="preserve">used for </w:t>
      </w:r>
      <w:r>
        <w:t xml:space="preserve">peak </w:t>
      </w:r>
      <w:r w:rsidRPr="00311A64">
        <w:t>flow control</w:t>
      </w:r>
      <w:r>
        <w:t xml:space="preserve"> if active storage volume and hydraulic controls are provided above the retained storage or systems are operated with advanced controllers</w:t>
      </w:r>
      <w:r w:rsidRPr="00311A64">
        <w:t>.</w:t>
      </w:r>
    </w:p>
    <w:p w:rsidR="00FC34E0" w:rsidRPr="00B53524" w:rsidRDefault="00FC34E0" w:rsidP="00FC34E0">
      <w:pPr>
        <w:pStyle w:val="FactsheetSubheading"/>
        <w:outlineLvl w:val="0"/>
      </w:pPr>
      <w:r w:rsidRPr="00311A64">
        <w:t>OC-Specific Design Criteria and Considerations</w:t>
      </w:r>
      <w:r>
        <w:t xml:space="preserve"> for Above-Ground Cisterns</w:t>
      </w:r>
    </w:p>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0"/>
        <w:gridCol w:w="8730"/>
      </w:tblGrid>
      <w:tr w:rsidR="00FC34E0" w:rsidRPr="00B53524" w:rsidTr="00FC34E0">
        <w:trPr>
          <w:trHeight w:val="147"/>
        </w:trPr>
        <w:tc>
          <w:tcPr>
            <w:tcW w:w="72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pStyle w:val="CheckBoxList"/>
              <w:numPr>
                <w:ilvl w:val="0"/>
                <w:numId w:val="0"/>
              </w:numPr>
              <w:rPr>
                <w:rFonts w:cs="Arial"/>
              </w:rPr>
            </w:pPr>
            <w:r w:rsidRPr="00311A64">
              <w:rPr>
                <w:rFonts w:cs="Arial"/>
              </w:rPr>
              <w:t>Cistern</w:t>
            </w:r>
            <w:r>
              <w:rPr>
                <w:rFonts w:cs="Arial"/>
              </w:rPr>
              <w:t xml:space="preserve"> system</w:t>
            </w:r>
            <w:r w:rsidRPr="00311A64">
              <w:rPr>
                <w:rFonts w:cs="Arial"/>
              </w:rPr>
              <w:t xml:space="preserve">s should </w:t>
            </w:r>
            <w:r>
              <w:rPr>
                <w:rFonts w:cs="Arial"/>
              </w:rPr>
              <w:t>include prescreening in the form of</w:t>
            </w:r>
            <w:r w:rsidRPr="00311A64">
              <w:rPr>
                <w:rFonts w:cs="Arial"/>
              </w:rPr>
              <w:t xml:space="preserve"> screens on gutters and downspouts to remove vegetative debris and sediment from the runoff prior to entering the cistern. </w:t>
            </w:r>
          </w:p>
        </w:tc>
      </w:tr>
      <w:tr w:rsidR="00FC34E0" w:rsidRPr="00B53524" w:rsidTr="00FC34E0">
        <w:trPr>
          <w:trHeight w:val="144"/>
        </w:trPr>
        <w:tc>
          <w:tcPr>
            <w:tcW w:w="72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pStyle w:val="CheckBoxList"/>
              <w:numPr>
                <w:ilvl w:val="0"/>
                <w:numId w:val="0"/>
              </w:numPr>
              <w:rPr>
                <w:rFonts w:cs="Arial"/>
              </w:rPr>
            </w:pPr>
            <w:r w:rsidRPr="00311A64">
              <w:rPr>
                <w:rFonts w:cs="Arial"/>
              </w:rPr>
              <w:t>Above-ground cisterns should be secured in place</w:t>
            </w:r>
            <w:r>
              <w:rPr>
                <w:rFonts w:cs="Arial"/>
              </w:rPr>
              <w:t xml:space="preserve"> and comply with applicable building codes</w:t>
            </w:r>
            <w:r w:rsidRPr="00311A64">
              <w:rPr>
                <w:rFonts w:cs="Arial"/>
              </w:rPr>
              <w:t>.</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pStyle w:val="CheckBoxList"/>
              <w:numPr>
                <w:ilvl w:val="0"/>
                <w:numId w:val="0"/>
              </w:numPr>
              <w:rPr>
                <w:rFonts w:cs="Arial"/>
              </w:rPr>
            </w:pPr>
            <w:r w:rsidRPr="00311A64">
              <w:rPr>
                <w:rFonts w:cs="Arial"/>
              </w:rPr>
              <w:t>Above-ground cisterns should not be located on uneven or sloped surfaces; if installed on a sloped surface, the base where the cistern will be installed should be leveled and designed for the weight of the filled cistern prior to installation.</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pStyle w:val="CheckBoxList"/>
              <w:numPr>
                <w:ilvl w:val="0"/>
                <w:numId w:val="0"/>
              </w:numPr>
              <w:rPr>
                <w:rFonts w:cs="Arial"/>
              </w:rPr>
            </w:pPr>
            <w:r w:rsidRPr="00311A64">
              <w:rPr>
                <w:rFonts w:cs="Arial"/>
              </w:rPr>
              <w:t>Child-resistant covers and mosquito screens should be placed on all water entry holes.</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pStyle w:val="CheckBoxList"/>
              <w:numPr>
                <w:ilvl w:val="0"/>
                <w:numId w:val="0"/>
              </w:numPr>
              <w:rPr>
                <w:rFonts w:cs="Arial"/>
              </w:rPr>
            </w:pPr>
            <w:r w:rsidRPr="00311A64">
              <w:rPr>
                <w:rFonts w:cs="Arial"/>
              </w:rPr>
              <w:t>A first flush diverter may be installed so that initial runoff bypasses the cistern.</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pStyle w:val="CheckBoxList"/>
              <w:numPr>
                <w:ilvl w:val="0"/>
                <w:numId w:val="0"/>
              </w:numPr>
              <w:rPr>
                <w:rFonts w:cs="Arial"/>
              </w:rPr>
            </w:pPr>
            <w:r w:rsidRPr="00311A64">
              <w:rPr>
                <w:rFonts w:cs="Arial"/>
              </w:rPr>
              <w:t>Above-ground cisterns should be installed in a location with easy access for maintenance or replacement.</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pStyle w:val="CheckBoxList"/>
              <w:numPr>
                <w:ilvl w:val="0"/>
                <w:numId w:val="0"/>
              </w:numPr>
              <w:rPr>
                <w:rFonts w:cs="Arial"/>
              </w:rPr>
            </w:pPr>
            <w:r w:rsidRPr="00311A64">
              <w:rPr>
                <w:rFonts w:cs="Arial"/>
              </w:rPr>
              <w:t>Plumbing systems should be installed in accordance with the current California Building and Plumbing Codes (CBC – part of California Code of Regulations, Title 24).</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311A64" w:rsidRDefault="00FC34E0" w:rsidP="00FC34E0">
            <w:pPr>
              <w:pStyle w:val="FactSheetEquation"/>
              <w:ind w:left="-18"/>
            </w:pPr>
            <w:r>
              <w:t>When a potable water supply line is connected to a cistern system to provide dry-season make-up water, c</w:t>
            </w:r>
            <w:r w:rsidRPr="00D461E7">
              <w:t>ross-contamination should be prevented</w:t>
            </w:r>
            <w:r>
              <w:t xml:space="preserve"> by providing a </w:t>
            </w:r>
            <w:r w:rsidRPr="00D461E7">
              <w:t>backflow prevention system on the potable water supply line and/or an air gap</w:t>
            </w:r>
            <w:r>
              <w:t>.</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spacing w:before="60" w:after="60"/>
              <w:rPr>
                <w:rFonts w:ascii="Arial" w:hAnsi="Arial" w:cs="Arial"/>
              </w:rPr>
            </w:pPr>
            <w:r w:rsidRPr="00311A64">
              <w:rPr>
                <w:rFonts w:ascii="Arial" w:hAnsi="Arial" w:cs="Arial"/>
              </w:rPr>
              <w:t xml:space="preserve">In cases where there is non-potable indoor use demand, proper </w:t>
            </w:r>
            <w:r>
              <w:rPr>
                <w:rFonts w:ascii="Arial" w:hAnsi="Arial" w:cs="Arial"/>
              </w:rPr>
              <w:t>pretreatment</w:t>
            </w:r>
            <w:r w:rsidRPr="00311A64">
              <w:rPr>
                <w:rFonts w:ascii="Arial" w:hAnsi="Arial" w:cs="Arial"/>
              </w:rPr>
              <w:t xml:space="preserve"> measures should be installed such as pre-filtration, cartridge filtration, and/or disinfection.</w:t>
            </w:r>
          </w:p>
        </w:tc>
      </w:tr>
    </w:tbl>
    <w:p w:rsidR="00FC34E0" w:rsidRPr="00B53524" w:rsidRDefault="00FC34E0" w:rsidP="00FC34E0">
      <w:pPr>
        <w:pStyle w:val="FactsheetSubheading"/>
        <w:outlineLvl w:val="0"/>
      </w:pPr>
      <w:r w:rsidRPr="00311A64">
        <w:t>OC-Specific Design Criteria and Considerations</w:t>
      </w:r>
      <w:r>
        <w:t xml:space="preserve"> for Underground Cisterns/Detention Systems</w:t>
      </w:r>
    </w:p>
    <w:tbl>
      <w:tblPr>
        <w:tblStyle w:val="TableGrid"/>
        <w:tblW w:w="945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0"/>
        <w:gridCol w:w="8730"/>
      </w:tblGrid>
      <w:tr w:rsidR="00FC34E0" w:rsidRPr="00B53524" w:rsidTr="00FC34E0">
        <w:trPr>
          <w:trHeight w:val="147"/>
        </w:trPr>
        <w:tc>
          <w:tcPr>
            <w:tcW w:w="72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pStyle w:val="CheckBoxTableText"/>
            </w:pPr>
            <w:r w:rsidRPr="00311A64">
              <w:t>Access entry covers (36” diameter minimum) should be locking and within 50 feet of all areas of the detention tank.</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In cases where the detention facility provides sediment containment, the facility should be laid flat and there should be at least ½ foot of dead storage within the tank or vault.</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Outlet structures should be designed using the 100-year storm as overflow and should be easily accessible for maintenance activities.</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For detention facilities beneath roads and parking areas, structural requirements should meet H</w:t>
            </w:r>
            <w:r w:rsidRPr="00311A64">
              <w:noBreakHyphen/>
              <w:t>20 load requirements.</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 xml:space="preserve">In cases where </w:t>
            </w:r>
            <w:r>
              <w:t xml:space="preserve">shallow </w:t>
            </w:r>
            <w:r w:rsidRPr="00311A64">
              <w:t xml:space="preserve">groundwater may cause flotation, </w:t>
            </w:r>
            <w:r>
              <w:t>buoyant</w:t>
            </w:r>
            <w:r w:rsidRPr="00311A64">
              <w:t xml:space="preserve"> forces should be counteracted with backfill, anchors, or other measures.</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Underground detention facilities should be installed on consolidated and stable native soil; if the facility is constructed in fill slopes, a geotechnical analysis should be performed to ensure stability.</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Plumbing systems should be installed in accordance with the current California Building and Plumbing Codes (CBC – part of California Code of Regulations, Title 24).</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311A64" w:rsidRDefault="00FC34E0" w:rsidP="00FC34E0">
            <w:pPr>
              <w:pStyle w:val="CheckBoxTableText"/>
            </w:pPr>
            <w:r>
              <w:t>When a potable water supply line is connected to a cistern system to provide dry-season make-up water, c</w:t>
            </w:r>
            <w:r w:rsidRPr="00D461E7">
              <w:t>ross-contamination should be prevented</w:t>
            </w:r>
            <w:r>
              <w:t xml:space="preserve"> by providing a </w:t>
            </w:r>
            <w:r w:rsidRPr="00D461E7">
              <w:t>backflow prevention system on the potable water supply line and/or an air gap</w:t>
            </w:r>
            <w:r>
              <w:t>.</w:t>
            </w:r>
          </w:p>
        </w:tc>
      </w:tr>
      <w:tr w:rsidR="00FC34E0" w:rsidRPr="00B53524" w:rsidTr="00FC34E0">
        <w:trPr>
          <w:trHeight w:val="67"/>
        </w:trPr>
        <w:tc>
          <w:tcPr>
            <w:tcW w:w="72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 xml:space="preserve">In cases where there is non-potable indoor reuse demand, proper </w:t>
            </w:r>
            <w:r>
              <w:t>pretreatment</w:t>
            </w:r>
            <w:r w:rsidRPr="00311A64">
              <w:t xml:space="preserve"> measures should be installed such as pre-filtration, cartridge filtration, and/or disinfection.</w:t>
            </w:r>
          </w:p>
        </w:tc>
      </w:tr>
    </w:tbl>
    <w:p w:rsidR="00FC34E0" w:rsidRPr="00B53524" w:rsidRDefault="00FC34E0" w:rsidP="00FC34E0">
      <w:pPr>
        <w:pStyle w:val="FactsheetSubheading"/>
      </w:pPr>
      <w:r>
        <w:t xml:space="preserve">Types of Harvested Water </w:t>
      </w:r>
      <w:r w:rsidRPr="00311A64">
        <w:t>Demands</w:t>
      </w:r>
    </w:p>
    <w:p w:rsidR="00FC34E0" w:rsidRDefault="00FC34E0" w:rsidP="00FC34E0">
      <w:pPr>
        <w:pStyle w:val="FactSheetEquation"/>
      </w:pPr>
      <w:r w:rsidRPr="00D461E7">
        <w:t xml:space="preserve">Harvested rainwater can be used for irrigation and other non-potable uses (if local, State, </w:t>
      </w:r>
      <w:r>
        <w:t xml:space="preserve">and Federal ordinances allow). </w:t>
      </w:r>
      <w:r w:rsidRPr="00D461E7">
        <w:t>The use of captured stormwater allows a reduced deman</w:t>
      </w:r>
      <w:r>
        <w:t>d on the potable water supply.</w:t>
      </w:r>
    </w:p>
    <w:p w:rsidR="00FC34E0" w:rsidRPr="00B53524" w:rsidRDefault="00FC34E0" w:rsidP="00FC34E0">
      <w:pPr>
        <w:pStyle w:val="FSStepHeaders"/>
      </w:pPr>
      <w:r w:rsidRPr="00311A64">
        <w:t>Irrigation Use</w:t>
      </w:r>
    </w:p>
    <w:p w:rsidR="00FC34E0" w:rsidRPr="00B53524" w:rsidRDefault="00FC34E0" w:rsidP="00FC34E0">
      <w:pPr>
        <w:pStyle w:val="FactsheetBullets"/>
        <w:numPr>
          <w:ilvl w:val="0"/>
          <w:numId w:val="1"/>
        </w:numPr>
      </w:pPr>
      <w:r w:rsidRPr="00311A64">
        <w:t xml:space="preserve">Subsurface (or drip) irrigation should not require disinfection </w:t>
      </w:r>
      <w:r>
        <w:t>pretreatment</w:t>
      </w:r>
      <w:r w:rsidRPr="00311A64">
        <w:t xml:space="preserve"> prior to use; other irrigation types, such as spray irrigation, may require additional </w:t>
      </w:r>
      <w:r>
        <w:t>pretreatment</w:t>
      </w:r>
      <w:r w:rsidRPr="00311A64">
        <w:t xml:space="preserve"> prior to use</w:t>
      </w:r>
    </w:p>
    <w:p w:rsidR="00FC34E0" w:rsidRPr="00B53524" w:rsidRDefault="00FC34E0" w:rsidP="00FC34E0">
      <w:pPr>
        <w:pStyle w:val="FactsheetBullets"/>
        <w:numPr>
          <w:ilvl w:val="0"/>
          <w:numId w:val="1"/>
        </w:numPr>
      </w:pPr>
      <w:r w:rsidRPr="00311A64">
        <w:t>Selecting native and/or drought tolerant plants for landscaped area will reduce irrigation demand, there</w:t>
      </w:r>
      <w:r>
        <w:t>by</w:t>
      </w:r>
      <w:r w:rsidRPr="00311A64">
        <w:t xml:space="preserve"> reducing the needed size of the storage facility</w:t>
      </w:r>
      <w:r>
        <w:t xml:space="preserve"> and the amount of tributary area that can be successfully managed with a harvest and use system.</w:t>
      </w:r>
    </w:p>
    <w:p w:rsidR="00FC34E0" w:rsidRPr="00B53524" w:rsidRDefault="00FC34E0" w:rsidP="00FC34E0">
      <w:pPr>
        <w:pStyle w:val="FSStepHeaders"/>
      </w:pPr>
      <w:r>
        <w:t>Indoor</w:t>
      </w:r>
      <w:r w:rsidRPr="00311A64">
        <w:t xml:space="preserve"> Use</w:t>
      </w:r>
    </w:p>
    <w:p w:rsidR="00FC34E0" w:rsidRDefault="00FC34E0" w:rsidP="00FC34E0">
      <w:pPr>
        <w:pStyle w:val="FactsheetBullets"/>
        <w:numPr>
          <w:ilvl w:val="0"/>
          <w:numId w:val="1"/>
        </w:numPr>
      </w:pPr>
      <w:r>
        <w:t xml:space="preserve">Indoor uses generally require filtration and disinfection and should only be considered if permitted by </w:t>
      </w:r>
      <w:r w:rsidRPr="00311A64">
        <w:t xml:space="preserve">local, State, </w:t>
      </w:r>
      <w:r>
        <w:t>or Federal codes and ordinances.</w:t>
      </w:r>
    </w:p>
    <w:p w:rsidR="00FC34E0" w:rsidRDefault="00FC34E0" w:rsidP="00FC34E0">
      <w:pPr>
        <w:pStyle w:val="FactsheetBullets"/>
        <w:numPr>
          <w:ilvl w:val="0"/>
          <w:numId w:val="1"/>
        </w:numPr>
      </w:pPr>
      <w:r w:rsidRPr="00311A64">
        <w:t>Domestic uses</w:t>
      </w:r>
      <w:r>
        <w:t xml:space="preserve"> (single-family uses) may include toilet flushing.</w:t>
      </w:r>
    </w:p>
    <w:p w:rsidR="00FC34E0" w:rsidRPr="00B53524" w:rsidRDefault="00FC34E0" w:rsidP="00FC34E0">
      <w:pPr>
        <w:pStyle w:val="FactsheetBullets"/>
        <w:numPr>
          <w:ilvl w:val="0"/>
          <w:numId w:val="1"/>
        </w:numPr>
      </w:pPr>
      <w:r>
        <w:t>Offices, commercial developments, and industrial facility indoor uses may use cisterns for toilet and urinal flushing.   Demands for these specific  land uses are include in</w:t>
      </w:r>
      <w:r>
        <w:rPr>
          <w:b/>
          <w:color w:val="00B050"/>
        </w:rP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_Ref287784765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X</w:t>
      </w:r>
      <w:r w:rsidR="00126F3D" w:rsidRPr="00126DE5">
        <w:rPr>
          <w:rFonts w:ascii="Book Antiqua" w:hAnsi="Book Antiqua"/>
          <w:b/>
          <w:color w:val="0070C0"/>
        </w:rPr>
        <w:fldChar w:fldCharType="end"/>
      </w:r>
      <w:r>
        <w:t xml:space="preserve">. </w:t>
      </w:r>
    </w:p>
    <w:p w:rsidR="00FC34E0" w:rsidRPr="00B53524" w:rsidRDefault="00FC34E0" w:rsidP="00FC34E0">
      <w:pPr>
        <w:pStyle w:val="FactsheetBullets"/>
        <w:numPr>
          <w:ilvl w:val="0"/>
          <w:numId w:val="1"/>
        </w:numPr>
      </w:pPr>
      <w:r>
        <w:t>Pretreatment</w:t>
      </w:r>
      <w:r w:rsidRPr="00311A64">
        <w:t xml:space="preserve"> requirements per local, State, or Federal codes and ordinances should be applied</w:t>
      </w:r>
    </w:p>
    <w:p w:rsidR="00FC34E0" w:rsidRPr="00D461E7" w:rsidRDefault="00FC34E0" w:rsidP="00FC34E0">
      <w:pPr>
        <w:pStyle w:val="FSStepHeaders"/>
      </w:pPr>
      <w:r w:rsidRPr="00D461E7">
        <w:t>Other Non-Potable Uses</w:t>
      </w:r>
    </w:p>
    <w:p w:rsidR="00FC34E0" w:rsidRPr="00B53524" w:rsidRDefault="00FC34E0" w:rsidP="00FC34E0">
      <w:pPr>
        <w:pStyle w:val="FactsheetBullets"/>
        <w:numPr>
          <w:ilvl w:val="0"/>
          <w:numId w:val="1"/>
        </w:numPr>
      </w:pPr>
      <w:r w:rsidRPr="00311A64">
        <w:t>Other non-potable uses may include vehicle/equipment washing, evaporative cooling, industrial processes, and dilution water for recycled water systems (if local, State, and Federal ordinances allow)</w:t>
      </w:r>
    </w:p>
    <w:p w:rsidR="00FC34E0" w:rsidRDefault="00FC34E0" w:rsidP="00FC34E0">
      <w:pPr>
        <w:pStyle w:val="FactsheetBullets"/>
        <w:numPr>
          <w:ilvl w:val="0"/>
          <w:numId w:val="1"/>
        </w:numPr>
      </w:pPr>
      <w:r>
        <w:t>Pretreatment</w:t>
      </w:r>
      <w:r w:rsidRPr="00311A64">
        <w:t xml:space="preserve"> requirements per local, State, or Federal codes and ordinances should be applied</w:t>
      </w:r>
    </w:p>
    <w:p w:rsidR="00FC34E0" w:rsidRDefault="00FC34E0" w:rsidP="00FC34E0">
      <w:pPr>
        <w:pStyle w:val="FactsheetSubheading"/>
      </w:pPr>
      <w:r>
        <w:t>Harvested Water Demand Calculations and Feasibility Thresholds</w:t>
      </w:r>
    </w:p>
    <w:p w:rsidR="00FC34E0" w:rsidRPr="00B53524" w:rsidRDefault="00126F3D" w:rsidP="00FC34E0">
      <w:pPr>
        <w:pStyle w:val="FactsheetBullets"/>
        <w:numPr>
          <w:ilvl w:val="0"/>
          <w:numId w:val="0"/>
        </w:numPr>
      </w:pPr>
      <w:r w:rsidRPr="00126DE5">
        <w:rPr>
          <w:rFonts w:ascii="Book Antiqua" w:hAnsi="Book Antiqua"/>
          <w:b/>
          <w:color w:val="0070C0"/>
        </w:rPr>
        <w:fldChar w:fldCharType="begin"/>
      </w:r>
      <w:r w:rsidR="00FC34E0" w:rsidRPr="00126DE5">
        <w:rPr>
          <w:rFonts w:ascii="Book Antiqua" w:hAnsi="Book Antiqua"/>
          <w:b/>
          <w:color w:val="0070C0"/>
        </w:rPr>
        <w:instrText xml:space="preserve"> REF _Ref287706761 \r \h </w:instrText>
      </w:r>
      <w:r w:rsidRPr="00126DE5">
        <w:rPr>
          <w:rFonts w:ascii="Book Antiqua" w:hAnsi="Book Antiqua"/>
          <w:b/>
          <w:color w:val="0070C0"/>
        </w:rPr>
      </w:r>
      <w:r w:rsidRPr="00126DE5">
        <w:rPr>
          <w:rFonts w:ascii="Book Antiqua" w:hAnsi="Book Antiqua"/>
          <w:b/>
          <w:color w:val="0070C0"/>
        </w:rPr>
        <w:fldChar w:fldCharType="separate"/>
      </w:r>
      <w:r w:rsidR="00126DE5" w:rsidRPr="00126DE5">
        <w:rPr>
          <w:rFonts w:ascii="Book Antiqua" w:hAnsi="Book Antiqua"/>
          <w:b/>
          <w:color w:val="0070C0"/>
        </w:rPr>
        <w:t>Appendix X</w:t>
      </w:r>
      <w:r w:rsidRPr="00126DE5">
        <w:rPr>
          <w:rFonts w:ascii="Book Antiqua" w:hAnsi="Book Antiqua"/>
          <w:b/>
          <w:color w:val="0070C0"/>
        </w:rPr>
        <w:fldChar w:fldCharType="end"/>
      </w:r>
      <w:r w:rsidR="00FC34E0">
        <w:rPr>
          <w:b/>
          <w:color w:val="00B050"/>
        </w:rPr>
        <w:t xml:space="preserve"> </w:t>
      </w:r>
      <w:r w:rsidR="00FC34E0">
        <w:t xml:space="preserve">provides guidance for estimating harvesting water demand and determining whether demand is potentially sufficient to provide a significant benefit for stormwater management. </w:t>
      </w:r>
    </w:p>
    <w:p w:rsidR="00FC34E0" w:rsidRPr="00B53524" w:rsidRDefault="00FC34E0" w:rsidP="00FC34E0">
      <w:pPr>
        <w:pStyle w:val="FactsheetSubheading"/>
      </w:pPr>
      <w:r>
        <w:t xml:space="preserve">Simple </w:t>
      </w:r>
      <w:r w:rsidRPr="00311A64">
        <w:t xml:space="preserve">Sizing </w:t>
      </w:r>
      <w:r>
        <w:t>Method</w:t>
      </w:r>
      <w:r w:rsidRPr="00311A64">
        <w:t xml:space="preserve"> </w:t>
      </w:r>
      <w:r>
        <w:t>for Cisterns</w:t>
      </w:r>
    </w:p>
    <w:p w:rsidR="00FC34E0" w:rsidRDefault="00FC34E0" w:rsidP="00FC34E0">
      <w:pPr>
        <w:pStyle w:val="CheckBoxTableText"/>
      </w:pPr>
      <w:r>
        <w:t xml:space="preserve">If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Simple Design Capture Volume Sizing Method</w:t>
      </w:r>
      <w:r w:rsidR="00126F3D" w:rsidRPr="00126DE5">
        <w:rPr>
          <w:rFonts w:ascii="Book Antiqua" w:hAnsi="Book Antiqua"/>
          <w:b/>
          <w:color w:val="0070C0"/>
        </w:rPr>
        <w:fldChar w:fldCharType="end"/>
      </w:r>
      <w:r>
        <w:t xml:space="preserve"> described in </w:t>
      </w:r>
      <w:r w:rsidR="00524D76" w:rsidRPr="00524D76">
        <w:rPr>
          <w:b/>
        </w:rPr>
        <w:t>Appendix</w:t>
      </w:r>
      <w: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III.3.1</w:t>
      </w:r>
      <w:r w:rsidR="00126F3D" w:rsidRPr="00126DE5">
        <w:rPr>
          <w:rFonts w:ascii="Book Antiqua" w:hAnsi="Book Antiqua"/>
          <w:b/>
          <w:color w:val="0070C0"/>
        </w:rPr>
        <w:fldChar w:fldCharType="end"/>
      </w:r>
      <w:r>
        <w:t xml:space="preserve"> is used to size harvest and use systems, the user calculates the DCV and determines whether demand is sufficient to drain the tank in 48 hours following the end of rainfall.  The sizing steps are as follows:</w:t>
      </w:r>
    </w:p>
    <w:p w:rsidR="00FC34E0" w:rsidRDefault="00FC34E0" w:rsidP="00FC34E0">
      <w:pPr>
        <w:pStyle w:val="FSStepHeaders"/>
      </w:pPr>
      <w:r>
        <w:t>Step 1: Dete</w:t>
      </w:r>
      <w:r w:rsidRPr="005267E6">
        <w:t>r</w:t>
      </w:r>
      <w:r>
        <w:t xml:space="preserve">mine Cistern </w:t>
      </w:r>
      <w:r w:rsidR="003C7091">
        <w:t>DCV</w:t>
      </w:r>
    </w:p>
    <w:p w:rsidR="00FC34E0" w:rsidRDefault="00FC34E0" w:rsidP="00FC34E0">
      <w:pPr>
        <w:pStyle w:val="CheckBoxTableText"/>
      </w:pPr>
      <w:r>
        <w:t xml:space="preserve">Calculate the </w:t>
      </w:r>
      <w:r w:rsidR="003C7091">
        <w:t>DCV</w:t>
      </w:r>
      <w:r>
        <w:t xml:space="preserve"> using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Simple Design Capture Volume Sizing Method</w:t>
      </w:r>
      <w:r w:rsidR="00126F3D" w:rsidRPr="00126DE5">
        <w:rPr>
          <w:rFonts w:ascii="Book Antiqua" w:hAnsi="Book Antiqua"/>
          <w:b/>
          <w:color w:val="0070C0"/>
        </w:rPr>
        <w:fldChar w:fldCharType="end"/>
      </w:r>
      <w:r>
        <w:t xml:space="preserve"> described in </w:t>
      </w:r>
      <w:r w:rsidR="00524D76" w:rsidRPr="00524D76">
        <w:rPr>
          <w:b/>
        </w:rPr>
        <w:t>Appendix</w:t>
      </w:r>
      <w: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III.3.1</w:t>
      </w:r>
      <w:r w:rsidR="00126F3D" w:rsidRPr="00126DE5">
        <w:rPr>
          <w:rFonts w:ascii="Book Antiqua" w:hAnsi="Book Antiqua"/>
          <w:b/>
          <w:color w:val="0070C0"/>
        </w:rPr>
        <w:fldChar w:fldCharType="end"/>
      </w:r>
      <w:r>
        <w:t>. This is the required cistern size.</w:t>
      </w:r>
    </w:p>
    <w:p w:rsidR="00FC34E0" w:rsidRDefault="00FC34E0" w:rsidP="00FC34E0">
      <w:pPr>
        <w:pStyle w:val="FSStepHeaders"/>
      </w:pPr>
      <w:r>
        <w:t>Step 2: Determine the 48-hour Required Demand</w:t>
      </w:r>
    </w:p>
    <w:p w:rsidR="00FC34E0" w:rsidRDefault="00FC34E0" w:rsidP="00FC34E0">
      <w:pPr>
        <w:pStyle w:val="CheckBoxTableText"/>
      </w:pPr>
      <w:r>
        <w:t>Calculate the daily demand needed to draw down the DCV in 48 hours using the following equation:</w:t>
      </w:r>
    </w:p>
    <w:p w:rsidR="00FC34E0" w:rsidRDefault="00FC34E0" w:rsidP="00FC34E0">
      <w:pPr>
        <w:pStyle w:val="FactSheetEquation"/>
      </w:pPr>
      <w:r>
        <w:t>Demand</w:t>
      </w:r>
      <w:r>
        <w:rPr>
          <w:vertAlign w:val="subscript"/>
        </w:rPr>
        <w:t>48</w:t>
      </w:r>
      <w:r>
        <w:t xml:space="preserve"> = (DCV/2)*7.48</w:t>
      </w:r>
    </w:p>
    <w:p w:rsidR="00FC34E0" w:rsidRDefault="00FC34E0" w:rsidP="00FC34E0">
      <w:pPr>
        <w:pStyle w:val="FactsheetBullets"/>
        <w:numPr>
          <w:ilvl w:val="0"/>
          <w:numId w:val="0"/>
        </w:numPr>
      </w:pPr>
      <w:r>
        <w:t>Where:</w:t>
      </w:r>
    </w:p>
    <w:p w:rsidR="00FC34E0" w:rsidRDefault="00FC34E0" w:rsidP="00FC34E0">
      <w:pPr>
        <w:pStyle w:val="FactSheetEquation"/>
      </w:pPr>
      <w:r>
        <w:t>Demand</w:t>
      </w:r>
      <w:r>
        <w:rPr>
          <w:vertAlign w:val="subscript"/>
        </w:rPr>
        <w:t>48</w:t>
      </w:r>
      <w:r>
        <w:t xml:space="preserve"> = daily demand required (gal/day)</w:t>
      </w:r>
    </w:p>
    <w:p w:rsidR="00FC34E0" w:rsidRDefault="00FC34E0" w:rsidP="00FC34E0">
      <w:pPr>
        <w:pStyle w:val="FactSheetEquation"/>
      </w:pPr>
      <w:r>
        <w:t>DCV = design capture volume, cu-ft</w:t>
      </w:r>
    </w:p>
    <w:p w:rsidR="00FC34E0" w:rsidRPr="00B53524" w:rsidRDefault="00FC34E0" w:rsidP="00FC34E0">
      <w:pPr>
        <w:pStyle w:val="CheckBoxTableText"/>
      </w:pPr>
      <w:r>
        <w:t xml:space="preserve">Use the guidance in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_Ref287706761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X</w:t>
      </w:r>
      <w:r w:rsidR="00126F3D" w:rsidRPr="00126DE5">
        <w:rPr>
          <w:rFonts w:ascii="Book Antiqua" w:hAnsi="Book Antiqua"/>
          <w:b/>
          <w:color w:val="0070C0"/>
        </w:rPr>
        <w:fldChar w:fldCharType="end"/>
      </w:r>
      <w:r>
        <w:rPr>
          <w:b/>
          <w:color w:val="00B050"/>
        </w:rPr>
        <w:t xml:space="preserve"> </w:t>
      </w:r>
      <w:r>
        <w:t>determine the non-potable uses needed to generate the required demand.</w:t>
      </w:r>
    </w:p>
    <w:p w:rsidR="00FC34E0" w:rsidRPr="00B53524" w:rsidRDefault="00FC34E0" w:rsidP="00FC34E0">
      <w:pPr>
        <w:pStyle w:val="FactsheetSubheading"/>
        <w:pBdr>
          <w:bottom w:val="single" w:sz="4" w:space="0" w:color="auto"/>
        </w:pBdr>
        <w:outlineLvl w:val="0"/>
      </w:pPr>
      <w:r>
        <w:t>Designing Cisterns to Achieve the Maximum Feasible Retention Volume</w:t>
      </w:r>
    </w:p>
    <w:p w:rsidR="00FC34E0" w:rsidRDefault="00FC34E0" w:rsidP="00FC34E0">
      <w:pPr>
        <w:pStyle w:val="CheckBoxTableText"/>
      </w:pPr>
      <w:r>
        <w:t>It is rare that cisterns can be sized to capture the full DCV and use this volume in 48 hours. However, if the demand exceeds minimum harvested water demand thresholds, cisterns should be sized to achieve at least 40 percent capture of average annual runoff volume.</w:t>
      </w:r>
    </w:p>
    <w:p w:rsidR="00FC34E0" w:rsidRDefault="00FC34E0" w:rsidP="00FC34E0">
      <w:pPr>
        <w:pStyle w:val="FSStepHeaders"/>
      </w:pPr>
      <w:r w:rsidRPr="00A211D0">
        <w:t xml:space="preserve">Step 1: </w:t>
      </w:r>
      <w:r>
        <w:t>Determine if the Project Meets the Minimum Harvested Water Demand Thresholds</w:t>
      </w:r>
    </w:p>
    <w:p w:rsidR="00FC34E0" w:rsidRDefault="00FC34E0" w:rsidP="00FC34E0">
      <w:pPr>
        <w:pStyle w:val="FactSheetEquation"/>
      </w:pPr>
      <w:r>
        <w:t>Determine the Project’s design capture storm depth, then use the TUTIA thresholds table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_Ref287706761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X</w:t>
      </w:r>
      <w:r w:rsidR="00126F3D" w:rsidRPr="00126DE5">
        <w:rPr>
          <w:rFonts w:ascii="Book Antiqua" w:hAnsi="Book Antiqua"/>
          <w:b/>
          <w:color w:val="0070C0"/>
        </w:rPr>
        <w:fldChar w:fldCharType="end"/>
      </w:r>
      <w:r>
        <w:t>) for indoor uses, or the Irrigated Area thresholds table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_Ref287706761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X</w:t>
      </w:r>
      <w:r w:rsidR="00126F3D" w:rsidRPr="00126DE5">
        <w:rPr>
          <w:rFonts w:ascii="Book Antiqua" w:hAnsi="Book Antiqua"/>
          <w:b/>
          <w:color w:val="0070C0"/>
        </w:rPr>
        <w:fldChar w:fldCharType="end"/>
      </w:r>
      <w:r>
        <w:t xml:space="preserve">) for outdoor uses, to determine whether the project meets the minimum harvested water demand thresholds. If the project does not meet the minimum harvested water demand thresholds, harvest and use does not meet the minimum incremental benefit required to such that its use must be evaluated. .  </w:t>
      </w:r>
    </w:p>
    <w:p w:rsidR="00FC34E0" w:rsidRDefault="00FC34E0" w:rsidP="00FC34E0">
      <w:pPr>
        <w:pStyle w:val="FactSheetEquation"/>
      </w:pPr>
      <w:r>
        <w:t xml:space="preserve">If the project meets or exceeds the minimum harvested water demand thresholds, continue to Step 2 </w:t>
      </w:r>
      <w:r w:rsidRPr="00655B5F">
        <w:rPr>
          <w:b/>
        </w:rPr>
        <w:t xml:space="preserve">or </w:t>
      </w:r>
      <w:r>
        <w:t>Step 3 (equally-allowable pathways).</w:t>
      </w:r>
    </w:p>
    <w:p w:rsidR="00FC34E0" w:rsidRDefault="00FC34E0" w:rsidP="00FC34E0">
      <w:pPr>
        <w:pStyle w:val="FSStepHeaders"/>
      </w:pPr>
      <w:r>
        <w:t>Step 2: Iteratively Determine the Cistern Volume for 80 percent capture of average annual stormwater runoff volume</w:t>
      </w:r>
    </w:p>
    <w:p w:rsidR="00FC34E0" w:rsidRDefault="00FC34E0" w:rsidP="00FC34E0">
      <w:pPr>
        <w:pStyle w:val="CheckBoxTableText"/>
      </w:pPr>
      <w:r>
        <w:t xml:space="preserve">Cisterns can be sized using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Capture Efficiency Method for Volume-Based, Constant Drawdown BMPs</w:t>
      </w:r>
      <w:r w:rsidR="00126F3D" w:rsidRPr="00126DE5">
        <w:rPr>
          <w:rFonts w:ascii="Book Antiqua" w:hAnsi="Book Antiqua"/>
          <w:b/>
          <w:color w:val="0070C0"/>
        </w:rPr>
        <w:fldChar w:fldCharType="end"/>
      </w:r>
      <w:r>
        <w:t xml:space="preserve"> (See </w:t>
      </w:r>
      <w:r w:rsidR="00524D76" w:rsidRPr="00524D76">
        <w:rPr>
          <w:b/>
        </w:rPr>
        <w:t>Appendix</w:t>
      </w:r>
      <w:r>
        <w:rPr>
          <w:b/>
          <w:color w:val="00B050"/>
        </w:rP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III.3.2</w:t>
      </w:r>
      <w:r w:rsidR="00126F3D" w:rsidRPr="00126DE5">
        <w:rPr>
          <w:rFonts w:ascii="Book Antiqua" w:hAnsi="Book Antiqua"/>
          <w:b/>
          <w:color w:val="0070C0"/>
        </w:rPr>
        <w:fldChar w:fldCharType="end"/>
      </w:r>
      <w:r>
        <w:t xml:space="preserve">). This approach requires an iterative sizing process in which the user selects the initial cistern size and the project harvested water demand, then calculates the time required for the cistern to drain. Based on the drain time, the cistern size is increased or decreased and the calculations are done again until the initially assumed size and the required size are within 10 percent. </w:t>
      </w:r>
    </w:p>
    <w:p w:rsidR="00FC34E0" w:rsidRDefault="00FC34E0" w:rsidP="00FC34E0">
      <w:pPr>
        <w:pStyle w:val="CheckBoxTableText"/>
      </w:pPr>
    </w:p>
    <w:p w:rsidR="00FC34E0" w:rsidRDefault="00FC34E0" w:rsidP="009531AF">
      <w:pPr>
        <w:pStyle w:val="CheckBoxTableText"/>
        <w:numPr>
          <w:ilvl w:val="0"/>
          <w:numId w:val="82"/>
        </w:numPr>
        <w:spacing w:before="120"/>
        <w:ind w:left="720"/>
      </w:pPr>
      <w:r>
        <w:t xml:space="preserve">Calculate wet season harvested water demand using guidance contained in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_Ref287706761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X</w:t>
      </w:r>
      <w:r w:rsidR="00126F3D" w:rsidRPr="00126DE5">
        <w:rPr>
          <w:rFonts w:ascii="Book Antiqua" w:hAnsi="Book Antiqua"/>
          <w:b/>
          <w:color w:val="0070C0"/>
        </w:rPr>
        <w:fldChar w:fldCharType="end"/>
      </w:r>
      <w:r>
        <w:t>.</w:t>
      </w:r>
    </w:p>
    <w:p w:rsidR="00FC34E0" w:rsidRDefault="00FC34E0" w:rsidP="009531AF">
      <w:pPr>
        <w:pStyle w:val="CheckBoxTableText"/>
        <w:numPr>
          <w:ilvl w:val="0"/>
          <w:numId w:val="82"/>
        </w:numPr>
        <w:spacing w:before="120"/>
        <w:ind w:left="720"/>
      </w:pPr>
      <w:r>
        <w:t xml:space="preserve">Select cistern size in terms of the design rainfall depth. </w:t>
      </w:r>
    </w:p>
    <w:p w:rsidR="00FC34E0" w:rsidRDefault="00FC34E0" w:rsidP="009531AF">
      <w:pPr>
        <w:pStyle w:val="CheckBoxTableText"/>
        <w:numPr>
          <w:ilvl w:val="0"/>
          <w:numId w:val="82"/>
        </w:numPr>
        <w:spacing w:before="120"/>
        <w:ind w:left="720"/>
      </w:pPr>
      <w:r>
        <w:t xml:space="preserve">Calculate the cistern volume using hydrologic method described in </w:t>
      </w:r>
      <w:r w:rsidR="00524D76" w:rsidRPr="00524D76">
        <w:rPr>
          <w:b/>
        </w:rPr>
        <w:t>Appendix</w:t>
      </w:r>
      <w: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_Ref285114903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III.1.1</w:t>
      </w:r>
      <w:r w:rsidR="00126F3D" w:rsidRPr="00126DE5">
        <w:rPr>
          <w:rFonts w:ascii="Book Antiqua" w:hAnsi="Book Antiqua"/>
          <w:b/>
          <w:color w:val="0070C0"/>
        </w:rPr>
        <w:fldChar w:fldCharType="end"/>
      </w:r>
      <w:r>
        <w:t>.</w:t>
      </w:r>
    </w:p>
    <w:p w:rsidR="00FC34E0" w:rsidRDefault="00FC34E0" w:rsidP="009531AF">
      <w:pPr>
        <w:pStyle w:val="CheckBoxTableText"/>
        <w:numPr>
          <w:ilvl w:val="0"/>
          <w:numId w:val="82"/>
        </w:numPr>
        <w:spacing w:before="120"/>
        <w:ind w:left="720"/>
      </w:pPr>
      <w:r>
        <w:t>Compute the drawdown time of the cistern as:</w:t>
      </w:r>
    </w:p>
    <w:p w:rsidR="00FC34E0" w:rsidRDefault="00FC34E0" w:rsidP="00FC34E0">
      <w:pPr>
        <w:pStyle w:val="CheckBoxTableText"/>
        <w:spacing w:before="120"/>
        <w:ind w:left="720"/>
      </w:pPr>
      <w:r>
        <w:t>Drawdown Time (hr)  = [Volume (cu-ft) × 7.48 gal/cu-ft× 24hr/day]/[Demand (gpd)]</w:t>
      </w:r>
    </w:p>
    <w:p w:rsidR="00FC34E0" w:rsidRDefault="00FC34E0" w:rsidP="009531AF">
      <w:pPr>
        <w:pStyle w:val="CheckBoxTableText"/>
        <w:numPr>
          <w:ilvl w:val="0"/>
          <w:numId w:val="82"/>
        </w:numPr>
        <w:spacing w:before="120"/>
        <w:ind w:left="720"/>
      </w:pPr>
      <w:r>
        <w:t xml:space="preserve">Based on design rainfall depth and drawdown time using guidance provided in </w:t>
      </w:r>
      <w:r w:rsidR="00524D76" w:rsidRPr="00524D76">
        <w:rPr>
          <w:b/>
        </w:rPr>
        <w:t>Appendix</w:t>
      </w:r>
      <w:r>
        <w:t xml:space="preserve"> III to calculate long term average capture efficiency. </w:t>
      </w:r>
    </w:p>
    <w:p w:rsidR="00FC34E0" w:rsidRDefault="00FC34E0" w:rsidP="009531AF">
      <w:pPr>
        <w:pStyle w:val="CheckBoxTableText"/>
        <w:numPr>
          <w:ilvl w:val="0"/>
          <w:numId w:val="82"/>
        </w:numPr>
        <w:spacing w:before="120"/>
        <w:ind w:left="720"/>
      </w:pPr>
      <w:r>
        <w:t xml:space="preserve">If capture is between 75 and 85 percent, further iterations are not required. </w:t>
      </w:r>
    </w:p>
    <w:p w:rsidR="00FC34E0" w:rsidRDefault="00FC34E0" w:rsidP="009531AF">
      <w:pPr>
        <w:pStyle w:val="CheckBoxTableText"/>
        <w:numPr>
          <w:ilvl w:val="0"/>
          <w:numId w:val="82"/>
        </w:numPr>
        <w:spacing w:before="120"/>
        <w:ind w:left="720"/>
      </w:pPr>
      <w:r>
        <w:t xml:space="preserve">If capture is less than 80 percent capture of average annual stormwater runoff volume, return to Step (b) and increase design rainfall depth. </w:t>
      </w:r>
    </w:p>
    <w:p w:rsidR="00FC34E0" w:rsidRDefault="00FC34E0" w:rsidP="009531AF">
      <w:pPr>
        <w:pStyle w:val="CheckBoxTableText"/>
        <w:numPr>
          <w:ilvl w:val="0"/>
          <w:numId w:val="82"/>
        </w:numPr>
        <w:spacing w:before="120"/>
        <w:ind w:left="720"/>
      </w:pPr>
      <w:r>
        <w:t>If capture is greater than 80 percent,</w:t>
      </w:r>
      <w:r w:rsidRPr="001A633D">
        <w:t xml:space="preserve"> </w:t>
      </w:r>
      <w:r>
        <w:t>return to Step (b) and increase design rainfall depth.</w:t>
      </w:r>
    </w:p>
    <w:p w:rsidR="00FC34E0" w:rsidRDefault="00FC34E0" w:rsidP="00FC34E0">
      <w:pPr>
        <w:pStyle w:val="FactSheetEquation"/>
      </w:pPr>
    </w:p>
    <w:p w:rsidR="00FC34E0" w:rsidRDefault="00FC34E0" w:rsidP="00FC34E0">
      <w:pPr>
        <w:pStyle w:val="FSStepHeaders"/>
      </w:pPr>
      <w:r>
        <w:t>Step 3: Determine Cistern Volume and Drawdown to Achieve Maximum Practicable Capture Efficiency</w:t>
      </w:r>
    </w:p>
    <w:p w:rsidR="00FC34E0" w:rsidRDefault="00FC34E0" w:rsidP="00FC34E0">
      <w:pPr>
        <w:pStyle w:val="FactSheetEquation"/>
      </w:pPr>
      <w:r>
        <w:t>The applicant is not required to provide a cistern greater than the DCV to demonstrate that BMPs have been designed to achieve the maximum feasible retention. The following steps should be used to compute the maximum feasible fraction of stormwater than can be retained with harvest and use BMPs:</w:t>
      </w:r>
    </w:p>
    <w:p w:rsidR="00FC34E0" w:rsidRDefault="00FC34E0" w:rsidP="009531AF">
      <w:pPr>
        <w:pStyle w:val="CheckBoxTableText"/>
        <w:numPr>
          <w:ilvl w:val="0"/>
          <w:numId w:val="83"/>
        </w:numPr>
        <w:spacing w:before="120"/>
        <w:ind w:left="720"/>
      </w:pPr>
      <w:r>
        <w:t xml:space="preserve">Calculate wet season harvested water demand using guiance contained in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_Ref287706761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Appendix X</w:t>
      </w:r>
      <w:r w:rsidR="00126F3D" w:rsidRPr="00126DE5">
        <w:rPr>
          <w:rFonts w:ascii="Book Antiqua" w:hAnsi="Book Antiqua"/>
          <w:b/>
          <w:color w:val="0070C0"/>
        </w:rPr>
        <w:fldChar w:fldCharType="end"/>
      </w:r>
      <w:r>
        <w:t>, accounting for all applicable demands.</w:t>
      </w:r>
    </w:p>
    <w:p w:rsidR="00FC34E0" w:rsidRDefault="00FC34E0" w:rsidP="009531AF">
      <w:pPr>
        <w:pStyle w:val="CheckBoxTableText"/>
        <w:numPr>
          <w:ilvl w:val="0"/>
          <w:numId w:val="83"/>
        </w:numPr>
        <w:spacing w:before="120"/>
        <w:ind w:left="720"/>
      </w:pPr>
      <w:r>
        <w:t xml:space="preserve">Calculate the DCV using hydrologic method described in </w:t>
      </w:r>
      <w:r w:rsidR="00524D76" w:rsidRPr="00524D76">
        <w:rPr>
          <w:b/>
        </w:rPr>
        <w:t>Appendix</w:t>
      </w:r>
      <w: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_Ref285114903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III.1.1</w:t>
      </w:r>
      <w:r w:rsidR="00126F3D" w:rsidRPr="00126DE5">
        <w:rPr>
          <w:rFonts w:ascii="Book Antiqua" w:hAnsi="Book Antiqua"/>
          <w:b/>
          <w:color w:val="0070C0"/>
        </w:rPr>
        <w:fldChar w:fldCharType="end"/>
      </w:r>
      <w:r>
        <w:t xml:space="preserve"> and size the cistern for this volume.</w:t>
      </w:r>
    </w:p>
    <w:p w:rsidR="00FC34E0" w:rsidRDefault="00FC34E0" w:rsidP="009531AF">
      <w:pPr>
        <w:pStyle w:val="CheckBoxTableText"/>
        <w:numPr>
          <w:ilvl w:val="0"/>
          <w:numId w:val="83"/>
        </w:numPr>
        <w:spacing w:before="120"/>
        <w:ind w:left="720"/>
      </w:pPr>
      <w:r>
        <w:t>Compute the drawdown time of the cistern as:</w:t>
      </w:r>
    </w:p>
    <w:p w:rsidR="00FC34E0" w:rsidRDefault="00FC34E0" w:rsidP="00FC34E0">
      <w:pPr>
        <w:pStyle w:val="CheckBoxTableText"/>
        <w:spacing w:before="120"/>
        <w:ind w:left="720"/>
      </w:pPr>
      <w:r>
        <w:t>Drawdown Time (hr)  = [Volume (cu-ft) × 7.48 gal/cu-ft× 24hr/day]/[Demand (gpd)]</w:t>
      </w:r>
    </w:p>
    <w:p w:rsidR="00FC34E0" w:rsidRDefault="00FC34E0" w:rsidP="009531AF">
      <w:pPr>
        <w:pStyle w:val="CheckBoxTableText"/>
        <w:numPr>
          <w:ilvl w:val="0"/>
          <w:numId w:val="83"/>
        </w:numPr>
        <w:spacing w:before="120"/>
        <w:ind w:left="720"/>
      </w:pPr>
      <w:r>
        <w:t xml:space="preserve">Based on 1.0 × design capture storm depth and the drawdown time computed in Step I, calculate the long term average capture efficiency using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Capture Efficiency Method for Volume-Based, Constant Drawdown BMPs</w:t>
      </w:r>
      <w:r w:rsidR="00126F3D" w:rsidRPr="00126DE5">
        <w:rPr>
          <w:rFonts w:ascii="Book Antiqua" w:hAnsi="Book Antiqua"/>
          <w:b/>
          <w:color w:val="0070C0"/>
        </w:rPr>
        <w:fldChar w:fldCharType="end"/>
      </w:r>
      <w:r>
        <w:t xml:space="preserve"> (See </w:t>
      </w:r>
      <w:r w:rsidR="00524D76" w:rsidRPr="00524D76">
        <w:rPr>
          <w:b/>
        </w:rPr>
        <w:t>Appendix</w:t>
      </w:r>
      <w:r>
        <w:rPr>
          <w:b/>
          <w:color w:val="00B050"/>
        </w:rP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III.3.2</w:t>
      </w:r>
      <w:r w:rsidR="00126F3D" w:rsidRPr="00126DE5">
        <w:rPr>
          <w:rFonts w:ascii="Book Antiqua" w:hAnsi="Book Antiqua"/>
          <w:b/>
          <w:color w:val="0070C0"/>
        </w:rPr>
        <w:fldChar w:fldCharType="end"/>
      </w:r>
      <w:r>
        <w:t>).</w:t>
      </w:r>
    </w:p>
    <w:p w:rsidR="00FC34E0" w:rsidRDefault="00FC34E0" w:rsidP="009531AF">
      <w:pPr>
        <w:pStyle w:val="CheckBoxTableText"/>
        <w:numPr>
          <w:ilvl w:val="0"/>
          <w:numId w:val="83"/>
        </w:numPr>
        <w:spacing w:before="120"/>
        <w:ind w:left="720"/>
      </w:pPr>
      <w:r>
        <w:t xml:space="preserve">If capture efficiency is less than 40 percent, harvest and use is not required to be considered for use on the project. </w:t>
      </w:r>
    </w:p>
    <w:p w:rsidR="00FC34E0" w:rsidRDefault="00FC34E0" w:rsidP="009531AF">
      <w:pPr>
        <w:pStyle w:val="CheckBoxTableText"/>
        <w:numPr>
          <w:ilvl w:val="0"/>
          <w:numId w:val="83"/>
        </w:numPr>
        <w:spacing w:before="120"/>
        <w:ind w:left="720"/>
      </w:pPr>
      <w:r>
        <w:t xml:space="preserve">If capture efficiency is greater than 40 percent, provide a cistern sized for the DCV and provide volume or flowate to treat the remaining volume up to 80 percent total average annual capture using biotreatment BMP. </w:t>
      </w:r>
    </w:p>
    <w:p w:rsidR="00FC34E0" w:rsidRDefault="00FC34E0" w:rsidP="00FC34E0">
      <w:pPr>
        <w:pStyle w:val="FactSheetEquation"/>
      </w:pPr>
    </w:p>
    <w:p w:rsidR="00FC34E0" w:rsidRPr="00B53524" w:rsidRDefault="00FC34E0" w:rsidP="00FC34E0">
      <w:pPr>
        <w:pStyle w:val="FactsheetSubheading"/>
        <w:outlineLvl w:val="0"/>
      </w:pPr>
      <w:r w:rsidRPr="00311A64">
        <w:t>Configuration for Use in a Treatment Train</w:t>
      </w:r>
    </w:p>
    <w:p w:rsidR="00FC34E0" w:rsidRPr="00B53524" w:rsidRDefault="00FC34E0" w:rsidP="00FC34E0">
      <w:pPr>
        <w:pStyle w:val="FactsheetBullets"/>
        <w:numPr>
          <w:ilvl w:val="0"/>
          <w:numId w:val="1"/>
        </w:numPr>
      </w:pPr>
      <w:r w:rsidRPr="00311A64">
        <w:t xml:space="preserve">Cisterns can be combined into a treatment train to provide enhanced water quality treatment and reductions in the runoff volume and rate.  For example, if a green roof is placed upgradient of a cistern, the rate and volume of water flowing to the cistern can be reduced and the water quality enhanced.  </w:t>
      </w:r>
    </w:p>
    <w:p w:rsidR="00FC34E0" w:rsidRPr="00B53524" w:rsidRDefault="00FC34E0" w:rsidP="00FC34E0">
      <w:pPr>
        <w:pStyle w:val="FactsheetBullets"/>
        <w:numPr>
          <w:ilvl w:val="0"/>
          <w:numId w:val="1"/>
        </w:numPr>
      </w:pPr>
      <w:r w:rsidRPr="00311A64">
        <w:t>Cisterns can be incorporated into the landscape design of a site and can be aesthetically pleasing as well as functional for irrigation purposes.</w:t>
      </w:r>
    </w:p>
    <w:p w:rsidR="00FC34E0" w:rsidRDefault="00FC34E0" w:rsidP="00FC34E0">
      <w:pPr>
        <w:pStyle w:val="FactsheetBullets"/>
        <w:numPr>
          <w:ilvl w:val="0"/>
          <w:numId w:val="1"/>
        </w:numPr>
      </w:pPr>
      <w:r w:rsidRPr="00311A64">
        <w:t>Treatment of the captured rainwater (i.e. disinfection) may be required depending on the end use of the water.</w:t>
      </w:r>
    </w:p>
    <w:p w:rsidR="00FC34E0" w:rsidRPr="00B53524" w:rsidRDefault="00FC34E0" w:rsidP="00FC34E0">
      <w:pPr>
        <w:pStyle w:val="FactsheetBullets"/>
        <w:numPr>
          <w:ilvl w:val="0"/>
          <w:numId w:val="1"/>
        </w:numPr>
      </w:pPr>
      <w:r>
        <w:t>Cisterns can be designed to overflow to biotreatment BMPs.</w:t>
      </w:r>
    </w:p>
    <w:p w:rsidR="00FC34E0" w:rsidRPr="00B53524" w:rsidRDefault="00FC34E0" w:rsidP="00FC34E0">
      <w:pPr>
        <w:pStyle w:val="FactsheetSubheading"/>
        <w:outlineLvl w:val="0"/>
      </w:pPr>
      <w:r w:rsidRPr="00311A64">
        <w:t>Additional References for Design Guidance</w:t>
      </w:r>
    </w:p>
    <w:p w:rsidR="00FC34E0" w:rsidRPr="00581B92" w:rsidRDefault="00FC34E0" w:rsidP="00FC34E0">
      <w:pPr>
        <w:pStyle w:val="FactsheetBullets"/>
        <w:numPr>
          <w:ilvl w:val="0"/>
          <w:numId w:val="0"/>
        </w:numPr>
        <w:ind w:left="720"/>
        <w:rPr>
          <w:b/>
          <w:color w:val="0070C0"/>
        </w:rPr>
      </w:pPr>
      <w:r w:rsidRPr="00311A64">
        <w:t>Santa Barbara BMP Guidance Manual, Chapter 6:</w:t>
      </w:r>
      <w:r>
        <w:t xml:space="preserve"> </w:t>
      </w:r>
      <w:hyperlink r:id="rId180" w:history="1">
        <w:r w:rsidRPr="00126DE5">
          <w:rPr>
            <w:rStyle w:val="Hyperlink"/>
            <w:rFonts w:ascii="Book Antiqua" w:hAnsi="Book Antiqua"/>
            <w:b/>
            <w:color w:val="0070C0"/>
          </w:rPr>
          <w:t>http://www.santabarbaraca.gov/NR/rdonlyres/91D1FA75-C185-491E-A882-49EE17789DF8/0/Manual_071008_Final.pdf</w:t>
        </w:r>
      </w:hyperlink>
    </w:p>
    <w:p w:rsidR="00FC34E0" w:rsidRDefault="00FC34E0" w:rsidP="00FC34E0">
      <w:pPr>
        <w:pStyle w:val="FactsheetBullets"/>
        <w:numPr>
          <w:ilvl w:val="0"/>
          <w:numId w:val="1"/>
        </w:numPr>
      </w:pPr>
      <w:r w:rsidRPr="00311A64">
        <w:t xml:space="preserve">County of Los Angeles Low Impact Development Standards Manual, Chapter 5: </w:t>
      </w:r>
      <w:hyperlink r:id="rId181" w:history="1">
        <w:r w:rsidRPr="00126DE5">
          <w:rPr>
            <w:rStyle w:val="Hyperlink"/>
            <w:rFonts w:ascii="Book Antiqua" w:hAnsi="Book Antiqua"/>
            <w:b/>
            <w:color w:val="0070C0"/>
          </w:rPr>
          <w:t>http://dpw.lacounty.gov/wmd/LA_County_LID_Manual.pdf</w:t>
        </w:r>
      </w:hyperlink>
    </w:p>
    <w:p w:rsidR="00FC34E0" w:rsidRDefault="00FC34E0" w:rsidP="00FC34E0">
      <w:pPr>
        <w:pStyle w:val="FactsheetBullets"/>
        <w:numPr>
          <w:ilvl w:val="0"/>
          <w:numId w:val="1"/>
        </w:numPr>
      </w:pPr>
      <w:r w:rsidRPr="00311A64">
        <w:t xml:space="preserve">SMC LID Manual (pp 114): </w:t>
      </w:r>
      <w:hyperlink r:id="rId182" w:history="1">
        <w:r w:rsidRPr="00126DE5">
          <w:rPr>
            <w:rStyle w:val="Hyperlink"/>
            <w:rFonts w:ascii="Book Antiqua" w:hAnsi="Book Antiqua"/>
            <w:b/>
            <w:color w:val="0070C0"/>
          </w:rPr>
          <w:t>http://www.lowimpactdevelopment.org/guest75/pub/All_Projects/SoCal_LID_Manual/SoCalLID_Manual_FINAL_040910.pdf</w:t>
        </w:r>
      </w:hyperlink>
    </w:p>
    <w:p w:rsidR="00FC34E0" w:rsidRPr="00B53524" w:rsidRDefault="00FC34E0" w:rsidP="00FC34E0">
      <w:pPr>
        <w:pStyle w:val="FactsheetBullets"/>
        <w:numPr>
          <w:ilvl w:val="0"/>
          <w:numId w:val="0"/>
        </w:numPr>
        <w:spacing w:after="200" w:line="276" w:lineRule="auto"/>
        <w:ind w:left="720"/>
      </w:pPr>
      <w:r w:rsidRPr="00311A64">
        <w:t xml:space="preserve">San Diego County LID Handbook Appendix 4 (Factsheet 26):  </w:t>
      </w:r>
      <w:hyperlink r:id="rId183" w:history="1">
        <w:r w:rsidRPr="00126DE5">
          <w:rPr>
            <w:rStyle w:val="Hyperlink"/>
            <w:rFonts w:ascii="Book Antiqua" w:hAnsi="Book Antiqua"/>
            <w:b/>
            <w:color w:val="0070C0"/>
          </w:rPr>
          <w:t>http://www.sdcounty.ca.gov/dplu/docs/LID-Appendices.pdf</w:t>
        </w:r>
      </w:hyperlink>
      <w:r w:rsidRPr="00311A64">
        <w:br w:type="page"/>
      </w:r>
    </w:p>
    <w:bookmarkEnd w:id="851"/>
    <w:p w:rsidR="00FC34E0" w:rsidRPr="00B53524" w:rsidRDefault="00FC34E0" w:rsidP="00FC34E0">
      <w:pPr>
        <w:pStyle w:val="FactsheetBullets"/>
        <w:numPr>
          <w:ilvl w:val="0"/>
          <w:numId w:val="0"/>
        </w:numPr>
      </w:pPr>
    </w:p>
    <w:p w:rsidR="00FC34E0" w:rsidRPr="003C19F9" w:rsidRDefault="00FC34E0" w:rsidP="00A52883">
      <w:pPr>
        <w:pStyle w:val="Heading2"/>
      </w:pPr>
      <w:bookmarkStart w:id="855" w:name="_Biotreatment_BMPs"/>
      <w:bookmarkStart w:id="856" w:name="_Ref257892138"/>
      <w:bookmarkStart w:id="857" w:name="_Toc260996782"/>
      <w:bookmarkStart w:id="858" w:name="_Ref261769544"/>
      <w:bookmarkStart w:id="859" w:name="_Ref261769681"/>
      <w:bookmarkStart w:id="860" w:name="_Ref261769798"/>
      <w:bookmarkStart w:id="861" w:name="_Toc285589336"/>
      <w:bookmarkStart w:id="862" w:name="_Ref287698674"/>
      <w:bookmarkStart w:id="863" w:name="_Toc288541125"/>
      <w:bookmarkStart w:id="864" w:name="_Toc293937181"/>
      <w:bookmarkEnd w:id="855"/>
      <w:r w:rsidRPr="003C19F9">
        <w:t>Biotreatment BMP</w:t>
      </w:r>
      <w:bookmarkEnd w:id="856"/>
      <w:bookmarkEnd w:id="857"/>
      <w:bookmarkEnd w:id="858"/>
      <w:bookmarkEnd w:id="859"/>
      <w:bookmarkEnd w:id="860"/>
      <w:bookmarkEnd w:id="861"/>
      <w:r w:rsidRPr="003C19F9">
        <w:t xml:space="preserve"> Fact Sheets (BIO)</w:t>
      </w:r>
      <w:bookmarkEnd w:id="862"/>
      <w:bookmarkEnd w:id="863"/>
      <w:bookmarkEnd w:id="864"/>
    </w:p>
    <w:p w:rsidR="00FC34E0" w:rsidRPr="00B53524" w:rsidRDefault="00FC34E0" w:rsidP="00FC34E0">
      <w:pPr>
        <w:pStyle w:val="ReportBodyText"/>
        <w:spacing w:after="240" w:line="280" w:lineRule="exact"/>
      </w:pPr>
      <w:r>
        <w:t>Conceptual criteria for biotreatment BMP selection, design, and maintenance</w:t>
      </w:r>
      <w:r w:rsidR="00533A19">
        <w:t xml:space="preserve"> are contained in</w:t>
      </w:r>
      <w:r>
        <w:t xml:space="preserve"> </w:t>
      </w:r>
      <w:r w:rsidR="00126F3D" w:rsidRPr="00126DE5">
        <w:rPr>
          <w:b/>
          <w:color w:val="0070C0"/>
          <w:sz w:val="20"/>
        </w:rPr>
        <w:fldChar w:fldCharType="begin"/>
      </w:r>
      <w:r w:rsidRPr="00126DE5">
        <w:rPr>
          <w:b/>
          <w:color w:val="0070C0"/>
          <w:sz w:val="20"/>
        </w:rPr>
        <w:instrText xml:space="preserve"> REF _Ref285288960 \r \h </w:instrText>
      </w:r>
      <w:r w:rsidR="00126F3D" w:rsidRPr="00126DE5">
        <w:rPr>
          <w:b/>
          <w:color w:val="0070C0"/>
          <w:sz w:val="20"/>
        </w:rPr>
      </w:r>
      <w:r w:rsidR="00126F3D" w:rsidRPr="00126DE5">
        <w:rPr>
          <w:b/>
          <w:color w:val="0070C0"/>
          <w:sz w:val="20"/>
        </w:rPr>
        <w:fldChar w:fldCharType="separate"/>
      </w:r>
      <w:r w:rsidR="00126DE5" w:rsidRPr="00126DE5">
        <w:rPr>
          <w:b/>
          <w:color w:val="0070C0"/>
          <w:sz w:val="20"/>
        </w:rPr>
        <w:t>Appendix XII</w:t>
      </w:r>
      <w:r w:rsidR="00126F3D" w:rsidRPr="00126DE5">
        <w:rPr>
          <w:b/>
          <w:color w:val="0070C0"/>
          <w:sz w:val="20"/>
        </w:rPr>
        <w:fldChar w:fldCharType="end"/>
      </w:r>
      <w:r>
        <w:t xml:space="preserve">.  These criteria are generally applicable to the design of biotreatment BMPs in Orange County and BMP-specific guidance is provided in the following fact sheets. </w:t>
      </w:r>
    </w:p>
    <w:p w:rsidR="00FC34E0" w:rsidRPr="00B53524" w:rsidRDefault="00126F3D" w:rsidP="00FC34E0">
      <w:pPr>
        <w:pStyle w:val="ReportBodyText"/>
        <w:spacing w:after="240" w:line="280" w:lineRule="exact"/>
        <w:rPr>
          <w:i/>
        </w:rPr>
      </w:pPr>
      <w:r w:rsidRPr="00126F3D">
        <w:rPr>
          <w:noProof/>
        </w:rPr>
        <w:pict>
          <v:shape id="Text Box 52" o:spid="_x0000_s1172" type="#_x0000_t202" style="position:absolute;margin-left:-158.4pt;margin-top:229.35pt;width:158.4pt;height:156.55pt;z-index:251777024;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" filled="f">
            <v:textbox style="mso-next-textbox:#Text Box 52" inset="0,0,0,0">
              <w:txbxContent>
                <w:p w:rsidR="00853C9A" w:rsidRDefault="00853C9A" w:rsidP="00FC34E0">
                  <w:pPr>
                    <w:spacing w:after="120"/>
                    <w:ind w:left="-29" w:right="-29"/>
                    <w:rPr>
                      <w:rFonts w:ascii="Arial" w:hAnsi="Arial" w:cs="Arial"/>
                      <w:noProof/>
                      <w:sz w:val="20"/>
                    </w:rPr>
                  </w:pPr>
                  <w:r w:rsidRPr="00D25460">
                    <w:rPr>
                      <w:rFonts w:ascii="Arial" w:hAnsi="Arial" w:cs="Arial"/>
                      <w:noProof/>
                      <w:sz w:val="20"/>
                    </w:rPr>
                    <w:drawing>
                      <wp:inline distT="0" distB="0" distL="0" distR="0">
                        <wp:extent cx="2002155" cy="1518079"/>
                        <wp:effectExtent l="19050" t="0" r="0" b="0"/>
                        <wp:docPr id="8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cstate="screen"/>
                                <a:srcRect/>
                                <a:stretch>
                                  <a:fillRect/>
                                </a:stretch>
                              </pic:blipFill>
                              <pic:spPr bwMode="auto">
                                <a:xfrm>
                                  <a:off x="0" y="0"/>
                                  <a:ext cx="2002155" cy="1518079"/>
                                </a:xfrm>
                                <a:prstGeom prst="rect">
                                  <a:avLst/>
                                </a:prstGeom>
                                <a:noFill/>
                                <a:ln w="9525">
                                  <a:noFill/>
                                  <a:miter lim="800000"/>
                                  <a:headEnd/>
                                  <a:tailEnd/>
                                </a:ln>
                              </pic:spPr>
                            </pic:pic>
                          </a:graphicData>
                        </a:graphic>
                      </wp:inline>
                    </w:drawing>
                  </w:r>
                </w:p>
                <w:p w:rsidR="00853C9A" w:rsidRDefault="00853C9A" w:rsidP="00FC34E0">
                  <w:pPr>
                    <w:spacing w:after="0"/>
                    <w:ind w:left="187" w:right="-29"/>
                    <w:rPr>
                      <w:rFonts w:ascii="Arial" w:hAnsi="Arial" w:cs="Arial"/>
                      <w:sz w:val="20"/>
                    </w:rPr>
                  </w:pPr>
                  <w:r>
                    <w:rPr>
                      <w:rFonts w:ascii="Arial" w:hAnsi="Arial" w:cs="Arial"/>
                      <w:sz w:val="20"/>
                    </w:rPr>
                    <w:t>Bioretention</w:t>
                  </w:r>
                </w:p>
                <w:p w:rsidR="00853C9A" w:rsidRPr="00D25460" w:rsidRDefault="00853C9A" w:rsidP="00FC34E0">
                  <w:pPr>
                    <w:spacing w:after="0"/>
                    <w:ind w:left="187" w:right="-29"/>
                    <w:rPr>
                      <w:rFonts w:ascii="Arial" w:hAnsi="Arial" w:cs="Arial"/>
                      <w:i/>
                      <w:sz w:val="20"/>
                    </w:rPr>
                  </w:pPr>
                  <w:r w:rsidRPr="00D25460">
                    <w:rPr>
                      <w:rFonts w:ascii="Arial" w:hAnsi="Arial" w:cs="Arial"/>
                      <w:i/>
                      <w:sz w:val="18"/>
                    </w:rPr>
                    <w:t>Source: Geosyntec Consultants</w:t>
                  </w:r>
                </w:p>
              </w:txbxContent>
            </v:textbox>
            <w10:wrap type="square" anchorx="margin" anchory="margin"/>
          </v:shape>
        </w:pict>
      </w:r>
      <w:r w:rsidRPr="00126F3D">
        <w:rPr>
          <w:noProof/>
        </w:rPr>
        <w:pict>
          <v:shape id="Text Box 51" o:spid="_x0000_s1171" type="#_x0000_t202" style="position:absolute;margin-left:-158.4pt;margin-top:142.9pt;width:158.4pt;height:86.45pt;z-index:251776000;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" fillcolor="#d8d8d8">
            <v:textbox style="mso-next-textbox:#Text Box 51">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Default="00853C9A" w:rsidP="009531AF">
                  <w:pPr>
                    <w:pStyle w:val="CDMBTEXT"/>
                    <w:numPr>
                      <w:ilvl w:val="0"/>
                      <w:numId w:val="67"/>
                    </w:numPr>
                    <w:spacing w:after="60" w:line="240" w:lineRule="auto"/>
                    <w:ind w:left="540"/>
                    <w:rPr>
                      <w:i/>
                    </w:rPr>
                  </w:pPr>
                  <w:r w:rsidRPr="00B150B9">
                    <w:rPr>
                      <w:i/>
                    </w:rPr>
                    <w:t>Rain gardens</w:t>
                  </w:r>
                  <w:r>
                    <w:rPr>
                      <w:i/>
                    </w:rPr>
                    <w:t xml:space="preserve"> with underdrains</w:t>
                  </w:r>
                </w:p>
                <w:p w:rsidR="00853C9A" w:rsidRDefault="00853C9A" w:rsidP="009531AF">
                  <w:pPr>
                    <w:pStyle w:val="CDMBTEXT"/>
                    <w:numPr>
                      <w:ilvl w:val="0"/>
                      <w:numId w:val="67"/>
                    </w:numPr>
                    <w:spacing w:after="60" w:line="240" w:lineRule="auto"/>
                    <w:ind w:left="540"/>
                    <w:rPr>
                      <w:i/>
                    </w:rPr>
                  </w:pPr>
                  <w:r>
                    <w:rPr>
                      <w:i/>
                    </w:rPr>
                    <w:t>Vegetated media filter</w:t>
                  </w:r>
                </w:p>
                <w:p w:rsidR="00853C9A" w:rsidRPr="009F707D" w:rsidRDefault="00853C9A" w:rsidP="009531AF">
                  <w:pPr>
                    <w:pStyle w:val="CDMBTEXT"/>
                    <w:numPr>
                      <w:ilvl w:val="0"/>
                      <w:numId w:val="67"/>
                    </w:numPr>
                    <w:spacing w:after="60" w:line="240" w:lineRule="auto"/>
                    <w:ind w:left="540"/>
                    <w:rPr>
                      <w:i/>
                    </w:rPr>
                  </w:pPr>
                  <w:r>
                    <w:rPr>
                      <w:i/>
                    </w:rPr>
                    <w:t>Downspout planter boxes</w:t>
                  </w:r>
                </w:p>
              </w:txbxContent>
            </v:textbox>
            <w10:wrap type="square" anchorx="margin" anchory="margin"/>
          </v:shape>
        </w:pict>
      </w:r>
      <w:r w:rsidR="00FC34E0" w:rsidRPr="00311A64">
        <w:rPr>
          <w:i/>
        </w:rPr>
        <w:t xml:space="preserve">Note: Biotreatment BMPs </w:t>
      </w:r>
      <w:r w:rsidR="00FC34E0">
        <w:rPr>
          <w:i/>
        </w:rPr>
        <w:t xml:space="preserve">shall be designed to provide the maximum feasible infiltration and ET based on criteria contained in </w:t>
      </w:r>
      <w:r w:rsidR="00524D76" w:rsidRPr="00524D76">
        <w:rPr>
          <w:b/>
          <w:i/>
        </w:rPr>
        <w:t>Appendix</w:t>
      </w:r>
      <w:r w:rsidR="00FC34E0">
        <w:rPr>
          <w:i/>
        </w:rPr>
        <w:t xml:space="preserve"> </w:t>
      </w:r>
      <w:r w:rsidRPr="00126DE5">
        <w:rPr>
          <w:b/>
          <w:color w:val="0070C0"/>
          <w:sz w:val="20"/>
        </w:rPr>
        <w:fldChar w:fldCharType="begin"/>
      </w:r>
      <w:r w:rsidR="00FC34E0" w:rsidRPr="00126DE5">
        <w:rPr>
          <w:b/>
          <w:color w:val="0070C0"/>
          <w:sz w:val="20"/>
        </w:rPr>
        <w:instrText xml:space="preserve"> REF _Ref285291708 \r \h </w:instrText>
      </w:r>
      <w:r w:rsidRPr="00126DE5">
        <w:rPr>
          <w:b/>
          <w:color w:val="0070C0"/>
          <w:sz w:val="20"/>
        </w:rPr>
      </w:r>
      <w:r w:rsidRPr="00126DE5">
        <w:rPr>
          <w:b/>
          <w:color w:val="0070C0"/>
          <w:sz w:val="20"/>
        </w:rPr>
        <w:fldChar w:fldCharType="separate"/>
      </w:r>
      <w:r w:rsidR="00126DE5" w:rsidRPr="00126DE5">
        <w:rPr>
          <w:b/>
          <w:color w:val="0070C0"/>
          <w:sz w:val="20"/>
        </w:rPr>
        <w:t>XI.2</w:t>
      </w:r>
      <w:r w:rsidRPr="00126DE5">
        <w:rPr>
          <w:b/>
          <w:color w:val="0070C0"/>
          <w:sz w:val="20"/>
        </w:rPr>
        <w:fldChar w:fldCharType="end"/>
      </w:r>
      <w:r w:rsidR="00FC34E0">
        <w:rPr>
          <w:i/>
        </w:rPr>
        <w:t>.</w:t>
      </w:r>
    </w:p>
    <w:p w:rsidR="00FC34E0" w:rsidRPr="00B53524" w:rsidRDefault="00FC34E0" w:rsidP="00533A19">
      <w:pPr>
        <w:pStyle w:val="Heading3"/>
        <w:numPr>
          <w:ilvl w:val="0"/>
          <w:numId w:val="0"/>
        </w:numPr>
        <w:ind w:left="907" w:hanging="907"/>
      </w:pPr>
      <w:bookmarkStart w:id="865" w:name="_Bioretention_with_Underdrains"/>
      <w:bookmarkStart w:id="866" w:name="_BIO-1:_Bioretention_with"/>
      <w:bookmarkStart w:id="867" w:name="_Toc285522609"/>
      <w:bookmarkStart w:id="868" w:name="_Ref287705823"/>
      <w:bookmarkStart w:id="869" w:name="_Toc285589337"/>
      <w:bookmarkEnd w:id="865"/>
      <w:bookmarkEnd w:id="866"/>
      <w:r>
        <w:t xml:space="preserve">BIO-1: </w:t>
      </w:r>
      <w:r w:rsidRPr="00311A64">
        <w:t>Bioretention with Underdrain</w:t>
      </w:r>
      <w:bookmarkEnd w:id="867"/>
      <w:r>
        <w:t>s</w:t>
      </w:r>
      <w:bookmarkEnd w:id="868"/>
      <w:bookmarkEnd w:id="869"/>
    </w:p>
    <w:p w:rsidR="00FC34E0" w:rsidRPr="00B53524" w:rsidRDefault="00FC34E0" w:rsidP="00FC34E0">
      <w:r w:rsidRPr="00311A64">
        <w:t xml:space="preserve">Bioretention stormwater treatment facilities are landscaped shallow depressions that capture and filter stormwater runoff. These facilities function as a soil and plant-based filtration device that removes pollutants through a variety of physical, biological, and chemical treatment processes. The facilities normally consist of a ponding area, mulch layer, planting soils, and plants. As stormwater passes down through the planting soil, pollutants are filtered, adsorbed, biodegraded, and sequestered by the soil and plants. Bioretention with an underdrain are utilized for areas with low permeability native soils or steep slopes where the underdrain system that routes the treated runoff to the storm drain system rather than depending entirely on infiltration. </w:t>
      </w:r>
      <w:hyperlink w:anchor="_INF-3:_Bioretention_with" w:history="1">
        <w:r w:rsidRPr="00126DE5">
          <w:rPr>
            <w:rStyle w:val="Hyperlink"/>
            <w:rFonts w:cs="Arial"/>
            <w:b/>
            <w:color w:val="0070C0"/>
            <w:sz w:val="20"/>
          </w:rPr>
          <w:t>Bioretention must be designed without an underdrain</w:t>
        </w:r>
      </w:hyperlink>
      <w:r w:rsidRPr="00311A64">
        <w:t xml:space="preserve"> in areas of high soil permeability</w:t>
      </w:r>
      <w:r>
        <w:t>.</w:t>
      </w:r>
    </w:p>
    <w:p w:rsidR="00FC34E0" w:rsidRPr="00B53524" w:rsidRDefault="00FC34E0" w:rsidP="00FC34E0">
      <w:pPr>
        <w:pStyle w:val="FactsheetSubheading"/>
        <w:outlineLvl w:val="0"/>
      </w:pPr>
      <w:r>
        <w:t>Feasibility</w:t>
      </w:r>
      <w:r w:rsidRPr="00311A64">
        <w:t xml:space="preserve"> Screening Considerations</w:t>
      </w:r>
    </w:p>
    <w:p w:rsidR="00FC34E0" w:rsidRDefault="00FC34E0" w:rsidP="00FC34E0">
      <w:pPr>
        <w:pStyle w:val="FactsheetBullets"/>
        <w:numPr>
          <w:ilvl w:val="0"/>
          <w:numId w:val="1"/>
        </w:numPr>
      </w:pPr>
      <w:r>
        <w:t xml:space="preserve">If there are no hazards associated with infiltration (such as groundwater concerns, contaminant plumes or geotechnical concerns), </w:t>
      </w:r>
      <w:hyperlink w:anchor="_INF-4:_Bioinfiltration_Fact" w:history="1">
        <w:r w:rsidRPr="00126DE5">
          <w:rPr>
            <w:rStyle w:val="Hyperlink"/>
            <w:rFonts w:ascii="Book Antiqua" w:hAnsi="Book Antiqua"/>
            <w:b/>
            <w:color w:val="0070C0"/>
          </w:rPr>
          <w:t>bioinfiltration facilities</w:t>
        </w:r>
      </w:hyperlink>
      <w:r>
        <w:t xml:space="preserve">, which achieve partial infiltration, should be used to maximize infiltration.  </w:t>
      </w:r>
    </w:p>
    <w:p w:rsidR="00FC34E0" w:rsidRDefault="00FC34E0" w:rsidP="00FC34E0">
      <w:pPr>
        <w:pStyle w:val="FactsheetBullets"/>
        <w:numPr>
          <w:ilvl w:val="0"/>
          <w:numId w:val="1"/>
        </w:numPr>
      </w:pPr>
      <w:r>
        <w:t xml:space="preserve">Bioretention with underdrain facilities should be lined if contaminant plumes or geotechnical concerns exist.  If high groundwater is the reason for infiltration infeasibility, bioretention facilities with underdrains do not need to be lined. </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rsidRPr="00311A64">
        <w:t>Land use may include commercial, residential, mixed use, institutional, and subdivisions.  Bioretention may also be applied in parking lot islands, cul-de-sacs, traffic circles, road shoulders, road medians, and next to buildings in planter boxes.</w:t>
      </w:r>
    </w:p>
    <w:p w:rsidR="00FC34E0" w:rsidRPr="00B53524" w:rsidRDefault="00FC34E0" w:rsidP="00FC34E0">
      <w:pPr>
        <w:pStyle w:val="FactsheetBullets"/>
        <w:numPr>
          <w:ilvl w:val="0"/>
          <w:numId w:val="1"/>
        </w:numPr>
      </w:pPr>
      <w:r w:rsidRPr="00311A64">
        <w:t>Drainage area is ≤ 5 acres.</w:t>
      </w:r>
    </w:p>
    <w:p w:rsidR="00FC34E0" w:rsidRDefault="00FC34E0" w:rsidP="00FC34E0">
      <w:pPr>
        <w:pStyle w:val="FactsheetBullets"/>
        <w:numPr>
          <w:ilvl w:val="0"/>
          <w:numId w:val="1"/>
        </w:numPr>
      </w:pPr>
      <w:r w:rsidRPr="00480481">
        <w:t>Area is available for infiltration.</w:t>
      </w:r>
    </w:p>
    <w:p w:rsidR="00FC34E0" w:rsidRPr="00B53524" w:rsidRDefault="00FC34E0" w:rsidP="00FC34E0">
      <w:pPr>
        <w:pStyle w:val="FactsheetBullets"/>
        <w:numPr>
          <w:ilvl w:val="0"/>
          <w:numId w:val="1"/>
        </w:numPr>
      </w:pPr>
      <w:r w:rsidRPr="00311A64">
        <w:t>Site must have adequate relief between land surface and the stormwater conveyance system to permit vertical percolation through the soil media and collection and conveyance in underdrain to stormwater conveyance system.</w:t>
      </w:r>
    </w:p>
    <w:p w:rsidR="00FC34E0" w:rsidRPr="00B53524" w:rsidRDefault="00FC34E0" w:rsidP="00FC34E0">
      <w:pPr>
        <w:pStyle w:val="FactsheetSubheading"/>
        <w:outlineLvl w:val="0"/>
      </w:pPr>
      <w:r w:rsidRPr="00311A64">
        <w:t>OC-Specific Design Criteria and Considerations</w:t>
      </w:r>
    </w:p>
    <w:tbl>
      <w:tblPr>
        <w:tblStyle w:val="TableGrid"/>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
        <w:gridCol w:w="8730"/>
      </w:tblGrid>
      <w:tr w:rsidR="00FC34E0" w:rsidRPr="00B53524" w:rsidTr="00FC34E0">
        <w:trPr>
          <w:trHeight w:val="147"/>
        </w:trPr>
        <w:tc>
          <w:tcPr>
            <w:tcW w:w="450" w:type="dxa"/>
            <w:tcMar>
              <w:top w:w="29" w:type="dxa"/>
              <w:left w:w="115" w:type="dxa"/>
              <w:bottom w:w="29" w:type="dxa"/>
              <w:right w:w="115" w:type="dxa"/>
            </w:tcMar>
            <w:vAlign w:val="center"/>
          </w:tcPr>
          <w:p w:rsidR="00FC34E0" w:rsidRPr="00B53524" w:rsidRDefault="00FC34E0" w:rsidP="00FC34E0">
            <w:pPr>
              <w:pStyle w:val="CheckBoxList"/>
              <w:spacing w:before="60" w:after="60"/>
              <w:ind w:left="806" w:hanging="806"/>
            </w:pPr>
          </w:p>
        </w:tc>
        <w:tc>
          <w:tcPr>
            <w:tcW w:w="8730" w:type="dxa"/>
            <w:tcMar>
              <w:top w:w="29" w:type="dxa"/>
              <w:left w:w="115" w:type="dxa"/>
              <w:bottom w:w="29" w:type="dxa"/>
              <w:right w:w="115" w:type="dxa"/>
            </w:tcMar>
            <w:vAlign w:val="center"/>
          </w:tcPr>
          <w:p w:rsidR="00FC34E0" w:rsidRPr="00B53524" w:rsidRDefault="00FC34E0" w:rsidP="00FC34E0">
            <w:pPr>
              <w:pStyle w:val="CheckBoxList"/>
              <w:numPr>
                <w:ilvl w:val="0"/>
                <w:numId w:val="0"/>
              </w:numPr>
            </w:pPr>
            <w:r w:rsidRPr="00311A64">
              <w:t>Ponding depth should not exceed 18 inches; fencing may be required if ponding depth is greater than 6 inches</w:t>
            </w:r>
            <w:r>
              <w:t xml:space="preserve"> to mitigate drowning</w:t>
            </w:r>
            <w:r w:rsidRPr="00311A64">
              <w:t>.</w:t>
            </w:r>
          </w:p>
        </w:tc>
      </w:tr>
      <w:tr w:rsidR="00FC34E0" w:rsidRPr="00B53524" w:rsidTr="00FC34E0">
        <w:trPr>
          <w:trHeight w:val="67"/>
        </w:trPr>
        <w:tc>
          <w:tcPr>
            <w:tcW w:w="450" w:type="dxa"/>
            <w:tcMar>
              <w:top w:w="29" w:type="dxa"/>
              <w:left w:w="115" w:type="dxa"/>
              <w:bottom w:w="29" w:type="dxa"/>
              <w:right w:w="115" w:type="dxa"/>
            </w:tcMar>
            <w:vAlign w:val="center"/>
          </w:tcPr>
          <w:p w:rsidR="00FC34E0" w:rsidRPr="00B53524" w:rsidRDefault="00FC34E0" w:rsidP="00FC34E0">
            <w:pPr>
              <w:pStyle w:val="CheckBoxList"/>
              <w:spacing w:before="60" w:after="60"/>
              <w:ind w:left="806" w:hanging="806"/>
              <w:rPr>
                <w:szCs w:val="32"/>
              </w:rPr>
            </w:pPr>
          </w:p>
        </w:tc>
        <w:tc>
          <w:tcPr>
            <w:tcW w:w="8730" w:type="dxa"/>
            <w:tcMar>
              <w:top w:w="29" w:type="dxa"/>
              <w:left w:w="115" w:type="dxa"/>
              <w:bottom w:w="29" w:type="dxa"/>
              <w:right w:w="115" w:type="dxa"/>
            </w:tcMar>
            <w:vAlign w:val="center"/>
          </w:tcPr>
          <w:p w:rsidR="00FC34E0" w:rsidRPr="00B53524" w:rsidRDefault="00FC34E0" w:rsidP="00FC34E0">
            <w:pPr>
              <w:pStyle w:val="CheckBoxList"/>
              <w:numPr>
                <w:ilvl w:val="0"/>
                <w:numId w:val="0"/>
              </w:numPr>
            </w:pPr>
            <w:r w:rsidRPr="00311A64">
              <w:t>The minimum soil depth is</w:t>
            </w:r>
            <w:r>
              <w:t xml:space="preserve"> 2 </w:t>
            </w:r>
            <w:r w:rsidRPr="00311A64">
              <w:t>feet (3 feet is preferred).</w:t>
            </w:r>
          </w:p>
        </w:tc>
      </w:tr>
      <w:tr w:rsidR="00FC34E0" w:rsidRPr="00B53524" w:rsidTr="00FC34E0">
        <w:trPr>
          <w:trHeight w:val="666"/>
        </w:trPr>
        <w:tc>
          <w:tcPr>
            <w:tcW w:w="450" w:type="dxa"/>
            <w:tcMar>
              <w:top w:w="29" w:type="dxa"/>
              <w:left w:w="115" w:type="dxa"/>
              <w:bottom w:w="29" w:type="dxa"/>
              <w:right w:w="115" w:type="dxa"/>
            </w:tcMar>
            <w:vAlign w:val="center"/>
          </w:tcPr>
          <w:p w:rsidR="00FC34E0" w:rsidRPr="00B53524" w:rsidRDefault="00FC34E0" w:rsidP="00FC34E0">
            <w:pPr>
              <w:pStyle w:val="CheckBoxList"/>
              <w:spacing w:before="60" w:after="60"/>
              <w:ind w:left="806" w:hanging="806"/>
              <w:rPr>
                <w:szCs w:val="32"/>
              </w:rPr>
            </w:pPr>
          </w:p>
        </w:tc>
        <w:tc>
          <w:tcPr>
            <w:tcW w:w="8730" w:type="dxa"/>
            <w:tcMar>
              <w:top w:w="29" w:type="dxa"/>
              <w:left w:w="115" w:type="dxa"/>
              <w:bottom w:w="29" w:type="dxa"/>
              <w:right w:w="115" w:type="dxa"/>
            </w:tcMar>
            <w:vAlign w:val="center"/>
          </w:tcPr>
          <w:p w:rsidR="00FC34E0" w:rsidRPr="00B53524" w:rsidRDefault="00FC34E0" w:rsidP="00FC34E0">
            <w:pPr>
              <w:pStyle w:val="CheckBoxList"/>
              <w:numPr>
                <w:ilvl w:val="0"/>
                <w:numId w:val="0"/>
              </w:numPr>
            </w:pPr>
            <w:r w:rsidRPr="00311A64">
              <w:t xml:space="preserve">The maximum drawdown time of the </w:t>
            </w:r>
            <w:r>
              <w:t xml:space="preserve">bioretention ponding area </w:t>
            </w:r>
            <w:r w:rsidRPr="00311A64">
              <w:t xml:space="preserve">is 48 hours.  The maximum drawdown time of the </w:t>
            </w:r>
            <w:r>
              <w:t xml:space="preserve">planting media and </w:t>
            </w:r>
            <w:r w:rsidRPr="00311A64">
              <w:t xml:space="preserve">gravel drainage layer is </w:t>
            </w:r>
            <w:r>
              <w:t>96</w:t>
            </w:r>
            <w:r w:rsidRPr="00311A64">
              <w:t xml:space="preserve"> hours, if applicable.</w:t>
            </w:r>
          </w:p>
        </w:tc>
      </w:tr>
      <w:tr w:rsidR="00FC34E0" w:rsidRPr="00B53524" w:rsidTr="00FC34E0">
        <w:trPr>
          <w:trHeight w:val="67"/>
        </w:trPr>
        <w:tc>
          <w:tcPr>
            <w:tcW w:w="450" w:type="dxa"/>
            <w:tcMar>
              <w:top w:w="29" w:type="dxa"/>
              <w:left w:w="115" w:type="dxa"/>
              <w:bottom w:w="29" w:type="dxa"/>
              <w:right w:w="115" w:type="dxa"/>
            </w:tcMar>
            <w:vAlign w:val="center"/>
          </w:tcPr>
          <w:p w:rsidR="00FC34E0" w:rsidRPr="00B53524" w:rsidRDefault="00FC34E0" w:rsidP="00FC34E0">
            <w:pPr>
              <w:pStyle w:val="CheckBoxList"/>
              <w:spacing w:before="60" w:after="60"/>
              <w:ind w:left="806" w:hanging="806"/>
              <w:rPr>
                <w:szCs w:val="32"/>
              </w:rPr>
            </w:pPr>
          </w:p>
        </w:tc>
        <w:tc>
          <w:tcPr>
            <w:tcW w:w="8730" w:type="dxa"/>
            <w:tcMar>
              <w:top w:w="29" w:type="dxa"/>
              <w:left w:w="115" w:type="dxa"/>
              <w:bottom w:w="29" w:type="dxa"/>
              <w:right w:w="115" w:type="dxa"/>
            </w:tcMar>
            <w:vAlign w:val="center"/>
          </w:tcPr>
          <w:p w:rsidR="00FC34E0" w:rsidRPr="00B53524" w:rsidRDefault="00FC34E0" w:rsidP="00FC34E0">
            <w:pPr>
              <w:pStyle w:val="CheckBoxList"/>
              <w:numPr>
                <w:ilvl w:val="0"/>
                <w:numId w:val="0"/>
              </w:numPr>
            </w:pPr>
            <w:r w:rsidRPr="00311A64">
              <w:t>Infiltration pathways may need to be restricted due to the close proximity of roads, foundations, or other infrastructure.  A geomembrane liner, or other equivalent water proofing, may be placed along the vertical walls to reduce lateral flows.  This liner should have a minimum thickness of 30 mils.</w:t>
            </w:r>
          </w:p>
        </w:tc>
      </w:tr>
      <w:tr w:rsidR="00FC34E0" w:rsidRPr="00B53524" w:rsidTr="00FC34E0">
        <w:trPr>
          <w:trHeight w:val="67"/>
        </w:trPr>
        <w:tc>
          <w:tcPr>
            <w:tcW w:w="450" w:type="dxa"/>
            <w:tcMar>
              <w:top w:w="29" w:type="dxa"/>
              <w:left w:w="115" w:type="dxa"/>
              <w:bottom w:w="29" w:type="dxa"/>
              <w:right w:w="115" w:type="dxa"/>
            </w:tcMar>
            <w:vAlign w:val="center"/>
          </w:tcPr>
          <w:p w:rsidR="00FC34E0" w:rsidRPr="00B53524" w:rsidRDefault="00FC34E0" w:rsidP="00FC34E0">
            <w:pPr>
              <w:pStyle w:val="CheckBoxList"/>
              <w:spacing w:before="60" w:after="60"/>
              <w:ind w:left="806" w:hanging="806"/>
              <w:rPr>
                <w:szCs w:val="32"/>
              </w:rPr>
            </w:pPr>
          </w:p>
        </w:tc>
        <w:tc>
          <w:tcPr>
            <w:tcW w:w="8730" w:type="dxa"/>
            <w:tcMar>
              <w:top w:w="29" w:type="dxa"/>
              <w:left w:w="115" w:type="dxa"/>
              <w:bottom w:w="29" w:type="dxa"/>
              <w:right w:w="115" w:type="dxa"/>
            </w:tcMar>
            <w:vAlign w:val="center"/>
          </w:tcPr>
          <w:p w:rsidR="00FC34E0" w:rsidRPr="00311A64" w:rsidRDefault="00FC34E0" w:rsidP="00FC34E0">
            <w:pPr>
              <w:pStyle w:val="CheckBoxList"/>
              <w:numPr>
                <w:ilvl w:val="0"/>
                <w:numId w:val="0"/>
              </w:numPr>
            </w:pPr>
            <w:r>
              <w:t xml:space="preserve">If infiltration in bioretention location is hazardous due to groundwater or geotechnical concerns, a geomembrane liner must be installed at the base of the bioretention facility.  </w:t>
            </w:r>
            <w:r w:rsidRPr="00311A64">
              <w:t>This liner should have a minimum thickness of 30 mils.</w:t>
            </w:r>
          </w:p>
        </w:tc>
      </w:tr>
      <w:tr w:rsidR="00FC34E0" w:rsidRPr="00B53524" w:rsidTr="00FC34E0">
        <w:trPr>
          <w:trHeight w:val="67"/>
        </w:trPr>
        <w:tc>
          <w:tcPr>
            <w:tcW w:w="450" w:type="dxa"/>
            <w:tcMar>
              <w:top w:w="29" w:type="dxa"/>
              <w:left w:w="115" w:type="dxa"/>
              <w:bottom w:w="29" w:type="dxa"/>
              <w:right w:w="115" w:type="dxa"/>
            </w:tcMar>
            <w:vAlign w:val="center"/>
          </w:tcPr>
          <w:p w:rsidR="00FC34E0" w:rsidRPr="00B53524" w:rsidRDefault="00FC34E0" w:rsidP="00FC34E0">
            <w:pPr>
              <w:pStyle w:val="CheckBoxList"/>
              <w:spacing w:before="60" w:after="60"/>
              <w:ind w:left="806" w:hanging="806"/>
              <w:rPr>
                <w:szCs w:val="32"/>
              </w:rPr>
            </w:pPr>
          </w:p>
        </w:tc>
        <w:tc>
          <w:tcPr>
            <w:tcW w:w="8730" w:type="dxa"/>
            <w:tcMar>
              <w:top w:w="29" w:type="dxa"/>
              <w:left w:w="115" w:type="dxa"/>
              <w:bottom w:w="29" w:type="dxa"/>
              <w:right w:w="115" w:type="dxa"/>
            </w:tcMar>
            <w:vAlign w:val="center"/>
          </w:tcPr>
          <w:p w:rsidR="00FC34E0" w:rsidRPr="00B53524" w:rsidRDefault="00FC34E0" w:rsidP="00FC34E0">
            <w:pPr>
              <w:pStyle w:val="CheckBoxList"/>
              <w:numPr>
                <w:ilvl w:val="0"/>
                <w:numId w:val="0"/>
              </w:numPr>
            </w:pPr>
            <w:r w:rsidRPr="00311A64">
              <w:t>The planting media placed in the cell sh</w:t>
            </w:r>
            <w:r>
              <w:t>all</w:t>
            </w:r>
            <w:r w:rsidRPr="00311A64">
              <w:t xml:space="preserve"> </w:t>
            </w:r>
            <w:r>
              <w:t xml:space="preserve">be designed per the recommendations contained in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_Ref287705023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MISC-1: Planting/Storage Media</w:t>
            </w:r>
            <w:r w:rsidR="00126F3D" w:rsidRPr="00126DE5">
              <w:rPr>
                <w:rFonts w:ascii="Book Antiqua" w:hAnsi="Book Antiqua"/>
                <w:b/>
                <w:color w:val="0070C0"/>
              </w:rPr>
              <w:fldChar w:fldCharType="end"/>
            </w:r>
          </w:p>
        </w:tc>
      </w:tr>
      <w:tr w:rsidR="00FC34E0" w:rsidRPr="00B53524" w:rsidTr="00FC34E0">
        <w:trPr>
          <w:trHeight w:val="67"/>
        </w:trPr>
        <w:tc>
          <w:tcPr>
            <w:tcW w:w="450" w:type="dxa"/>
            <w:tcMar>
              <w:top w:w="29" w:type="dxa"/>
              <w:left w:w="115" w:type="dxa"/>
              <w:bottom w:w="29" w:type="dxa"/>
              <w:right w:w="115" w:type="dxa"/>
            </w:tcMar>
            <w:vAlign w:val="center"/>
          </w:tcPr>
          <w:p w:rsidR="00FC34E0" w:rsidRPr="00B53524" w:rsidRDefault="00FC34E0" w:rsidP="00FC34E0">
            <w:pPr>
              <w:pStyle w:val="CheckBoxList"/>
              <w:spacing w:before="60" w:after="60"/>
              <w:ind w:left="806" w:hanging="806"/>
              <w:rPr>
                <w:szCs w:val="32"/>
              </w:rPr>
            </w:pPr>
          </w:p>
        </w:tc>
        <w:tc>
          <w:tcPr>
            <w:tcW w:w="8730" w:type="dxa"/>
            <w:tcMar>
              <w:top w:w="29" w:type="dxa"/>
              <w:left w:w="115" w:type="dxa"/>
              <w:bottom w:w="29" w:type="dxa"/>
              <w:right w:w="115" w:type="dxa"/>
            </w:tcMar>
            <w:vAlign w:val="center"/>
          </w:tcPr>
          <w:p w:rsidR="00FC34E0" w:rsidRPr="00B53524" w:rsidRDefault="00FC34E0" w:rsidP="00990A72">
            <w:pPr>
              <w:pStyle w:val="CheckBoxList"/>
              <w:numPr>
                <w:ilvl w:val="0"/>
                <w:numId w:val="0"/>
              </w:numPr>
            </w:pPr>
            <w:r w:rsidRPr="00311A64">
              <w:t xml:space="preserve">Plant materials should be tolerant of summer drought, ponding fluctuations, and saturated soil conditions for 48 hours; native place species and/or hardy cultivars that are not invasive and do not require chemical inputs should be used to the maximum extent </w:t>
            </w:r>
            <w:r w:rsidR="00990A72">
              <w:t>feasible</w:t>
            </w:r>
          </w:p>
        </w:tc>
      </w:tr>
      <w:tr w:rsidR="00FC34E0" w:rsidRPr="00B53524" w:rsidTr="00FC34E0">
        <w:trPr>
          <w:trHeight w:val="630"/>
        </w:trPr>
        <w:tc>
          <w:tcPr>
            <w:tcW w:w="450" w:type="dxa"/>
            <w:tcMar>
              <w:top w:w="29" w:type="dxa"/>
              <w:left w:w="115" w:type="dxa"/>
              <w:bottom w:w="29" w:type="dxa"/>
              <w:right w:w="115" w:type="dxa"/>
            </w:tcMar>
            <w:vAlign w:val="center"/>
          </w:tcPr>
          <w:p w:rsidR="00FC34E0" w:rsidRPr="00B53524" w:rsidRDefault="00FC34E0" w:rsidP="00FC34E0">
            <w:pPr>
              <w:pStyle w:val="CheckBoxList"/>
              <w:spacing w:before="60" w:after="60"/>
              <w:ind w:left="806" w:hanging="806"/>
              <w:rPr>
                <w:szCs w:val="32"/>
              </w:rPr>
            </w:pPr>
          </w:p>
        </w:tc>
        <w:tc>
          <w:tcPr>
            <w:tcW w:w="8730" w:type="dxa"/>
            <w:tcMar>
              <w:top w:w="29" w:type="dxa"/>
              <w:left w:w="115" w:type="dxa"/>
              <w:bottom w:w="29" w:type="dxa"/>
              <w:right w:w="115" w:type="dxa"/>
            </w:tcMar>
            <w:vAlign w:val="center"/>
          </w:tcPr>
          <w:p w:rsidR="00FC34E0" w:rsidRPr="00B53524" w:rsidRDefault="00FC34E0" w:rsidP="00FC34E0">
            <w:pPr>
              <w:pStyle w:val="CheckBoxList"/>
              <w:numPr>
                <w:ilvl w:val="0"/>
                <w:numId w:val="0"/>
              </w:numPr>
            </w:pPr>
            <w:r w:rsidRPr="00311A64">
              <w:t>The bioretention area should be covered with 2-4 inches (average 3 inches) or mulch at the start and an additional placement of 1-2 inches of mulch should be added annually.</w:t>
            </w:r>
          </w:p>
        </w:tc>
      </w:tr>
      <w:tr w:rsidR="00FC34E0" w:rsidRPr="00B53524" w:rsidTr="00FC34E0">
        <w:trPr>
          <w:trHeight w:val="67"/>
        </w:trPr>
        <w:tc>
          <w:tcPr>
            <w:tcW w:w="450" w:type="dxa"/>
            <w:tcMar>
              <w:top w:w="29" w:type="dxa"/>
              <w:left w:w="115" w:type="dxa"/>
              <w:bottom w:w="29" w:type="dxa"/>
              <w:right w:w="115" w:type="dxa"/>
            </w:tcMar>
            <w:vAlign w:val="center"/>
          </w:tcPr>
          <w:p w:rsidR="00FC34E0" w:rsidRPr="00B53524" w:rsidRDefault="00FC34E0" w:rsidP="00FC34E0">
            <w:pPr>
              <w:pStyle w:val="CheckBoxList"/>
              <w:spacing w:before="60" w:after="60"/>
              <w:ind w:left="806" w:hanging="806"/>
              <w:rPr>
                <w:szCs w:val="32"/>
              </w:rPr>
            </w:pPr>
          </w:p>
        </w:tc>
        <w:tc>
          <w:tcPr>
            <w:tcW w:w="8730" w:type="dxa"/>
            <w:tcMar>
              <w:top w:w="29" w:type="dxa"/>
              <w:left w:w="115" w:type="dxa"/>
              <w:bottom w:w="29" w:type="dxa"/>
              <w:right w:w="115" w:type="dxa"/>
            </w:tcMar>
            <w:vAlign w:val="center"/>
          </w:tcPr>
          <w:p w:rsidR="00FC34E0" w:rsidRPr="00B53524" w:rsidRDefault="00FC34E0" w:rsidP="00FC34E0">
            <w:pPr>
              <w:pStyle w:val="CheckBoxList"/>
              <w:numPr>
                <w:ilvl w:val="0"/>
                <w:numId w:val="0"/>
              </w:numPr>
            </w:pPr>
            <w:r w:rsidRPr="00311A64">
              <w:t>Underdrain should be sized with a 6 inch minimum diameter and have a 0.5% minimum slope.  Underdrain should be slotted polyvinyl chloride (PVC) pipe; underdrain pipe should be more than 5 feet from tree locations (if space allows).</w:t>
            </w:r>
          </w:p>
        </w:tc>
      </w:tr>
      <w:tr w:rsidR="00FC34E0" w:rsidRPr="00B53524" w:rsidTr="00FC34E0">
        <w:trPr>
          <w:trHeight w:val="67"/>
        </w:trPr>
        <w:tc>
          <w:tcPr>
            <w:tcW w:w="450" w:type="dxa"/>
            <w:tcMar>
              <w:top w:w="29" w:type="dxa"/>
              <w:left w:w="115" w:type="dxa"/>
              <w:bottom w:w="29" w:type="dxa"/>
              <w:right w:w="115" w:type="dxa"/>
            </w:tcMar>
            <w:vAlign w:val="center"/>
          </w:tcPr>
          <w:p w:rsidR="00FC34E0" w:rsidRPr="00B53524" w:rsidRDefault="00FC34E0" w:rsidP="00FC34E0">
            <w:pPr>
              <w:pStyle w:val="CheckBoxList"/>
              <w:spacing w:before="60" w:after="60"/>
              <w:ind w:left="806" w:hanging="806"/>
              <w:rPr>
                <w:szCs w:val="32"/>
              </w:rPr>
            </w:pPr>
          </w:p>
        </w:tc>
        <w:tc>
          <w:tcPr>
            <w:tcW w:w="8730" w:type="dxa"/>
            <w:tcMar>
              <w:top w:w="29" w:type="dxa"/>
              <w:left w:w="115" w:type="dxa"/>
              <w:bottom w:w="29" w:type="dxa"/>
              <w:right w:w="115" w:type="dxa"/>
            </w:tcMar>
            <w:vAlign w:val="center"/>
          </w:tcPr>
          <w:p w:rsidR="00FC34E0" w:rsidRPr="00311A64" w:rsidRDefault="00FC34E0" w:rsidP="00FC34E0">
            <w:pPr>
              <w:pStyle w:val="CheckBoxList"/>
              <w:numPr>
                <w:ilvl w:val="0"/>
                <w:numId w:val="0"/>
              </w:numPr>
            </w:pPr>
            <w:r>
              <w:t>A gravel blanket or bedding is required for the underdrain pipe(s).  At least 0.5 feet of washed aggregate must be placed below, to the top, and to the sides of the underdrain pipe(s).</w:t>
            </w:r>
          </w:p>
        </w:tc>
      </w:tr>
      <w:tr w:rsidR="00FC34E0" w:rsidRPr="00B53524" w:rsidTr="00FC34E0">
        <w:trPr>
          <w:trHeight w:val="67"/>
        </w:trPr>
        <w:tc>
          <w:tcPr>
            <w:tcW w:w="450" w:type="dxa"/>
            <w:tcMar>
              <w:top w:w="29" w:type="dxa"/>
              <w:left w:w="115" w:type="dxa"/>
              <w:bottom w:w="29" w:type="dxa"/>
              <w:right w:w="115" w:type="dxa"/>
            </w:tcMar>
            <w:vAlign w:val="center"/>
          </w:tcPr>
          <w:p w:rsidR="00FC34E0" w:rsidRPr="00B53524" w:rsidRDefault="00FC34E0" w:rsidP="00FC34E0">
            <w:pPr>
              <w:pStyle w:val="CheckBoxList"/>
              <w:spacing w:before="60" w:after="60"/>
              <w:ind w:left="806" w:hanging="806"/>
              <w:rPr>
                <w:szCs w:val="32"/>
              </w:rPr>
            </w:pPr>
          </w:p>
        </w:tc>
        <w:tc>
          <w:tcPr>
            <w:tcW w:w="8730" w:type="dxa"/>
            <w:tcMar>
              <w:top w:w="29" w:type="dxa"/>
              <w:left w:w="115" w:type="dxa"/>
              <w:bottom w:w="29" w:type="dxa"/>
              <w:right w:w="115" w:type="dxa"/>
            </w:tcMar>
            <w:vAlign w:val="center"/>
          </w:tcPr>
          <w:p w:rsidR="00FC34E0" w:rsidRPr="00311A64" w:rsidRDefault="00FC34E0" w:rsidP="00FC34E0">
            <w:pPr>
              <w:pStyle w:val="CheckBoxList"/>
              <w:numPr>
                <w:ilvl w:val="0"/>
                <w:numId w:val="0"/>
              </w:numPr>
            </w:pPr>
            <w:r>
              <w:t xml:space="preserve">An overflow device is required at the top of the bioretention area ponding depth. </w:t>
            </w:r>
          </w:p>
        </w:tc>
      </w:tr>
      <w:tr w:rsidR="00FC34E0" w:rsidRPr="00B53524" w:rsidTr="00FC34E0">
        <w:trPr>
          <w:trHeight w:val="67"/>
        </w:trPr>
        <w:tc>
          <w:tcPr>
            <w:tcW w:w="450" w:type="dxa"/>
            <w:tcMar>
              <w:top w:w="29" w:type="dxa"/>
              <w:left w:w="115" w:type="dxa"/>
              <w:bottom w:w="29" w:type="dxa"/>
              <w:right w:w="115" w:type="dxa"/>
            </w:tcMar>
            <w:vAlign w:val="center"/>
          </w:tcPr>
          <w:p w:rsidR="00FC34E0" w:rsidRPr="00B53524" w:rsidRDefault="00FC34E0" w:rsidP="00FC34E0">
            <w:pPr>
              <w:pStyle w:val="CheckBoxList"/>
              <w:spacing w:before="60" w:after="60"/>
              <w:ind w:left="806" w:hanging="806"/>
              <w:rPr>
                <w:szCs w:val="32"/>
              </w:rPr>
            </w:pPr>
          </w:p>
        </w:tc>
        <w:tc>
          <w:tcPr>
            <w:tcW w:w="8730" w:type="dxa"/>
            <w:tcMar>
              <w:top w:w="29" w:type="dxa"/>
              <w:left w:w="115" w:type="dxa"/>
              <w:bottom w:w="29" w:type="dxa"/>
              <w:right w:w="115" w:type="dxa"/>
            </w:tcMar>
            <w:vAlign w:val="center"/>
          </w:tcPr>
          <w:p w:rsidR="00FC34E0" w:rsidRPr="00311A64" w:rsidRDefault="00FC34E0" w:rsidP="00FC34E0">
            <w:pPr>
              <w:pStyle w:val="CheckBoxList"/>
              <w:numPr>
                <w:ilvl w:val="0"/>
                <w:numId w:val="0"/>
              </w:numPr>
            </w:pPr>
            <w:r>
              <w:t xml:space="preserve">Dispersed flow or energy dissipation (i.e. splash rocks) for piped inlets should be provided at basin inlet to prevent erosion. </w:t>
            </w:r>
          </w:p>
        </w:tc>
      </w:tr>
      <w:tr w:rsidR="00FC34E0" w:rsidRPr="00B53524" w:rsidTr="00FC34E0">
        <w:trPr>
          <w:trHeight w:val="67"/>
        </w:trPr>
        <w:tc>
          <w:tcPr>
            <w:tcW w:w="450" w:type="dxa"/>
            <w:tcMar>
              <w:top w:w="29" w:type="dxa"/>
              <w:left w:w="115" w:type="dxa"/>
              <w:bottom w:w="29" w:type="dxa"/>
              <w:right w:w="115" w:type="dxa"/>
            </w:tcMar>
            <w:vAlign w:val="center"/>
          </w:tcPr>
          <w:p w:rsidR="00FC34E0" w:rsidRPr="00B53524" w:rsidRDefault="00FC34E0" w:rsidP="00FC34E0">
            <w:pPr>
              <w:pStyle w:val="CheckBoxList"/>
              <w:spacing w:before="60" w:after="60"/>
              <w:ind w:left="806" w:hanging="806"/>
              <w:rPr>
                <w:szCs w:val="32"/>
              </w:rPr>
            </w:pPr>
          </w:p>
        </w:tc>
        <w:tc>
          <w:tcPr>
            <w:tcW w:w="8730" w:type="dxa"/>
            <w:tcMar>
              <w:top w:w="29" w:type="dxa"/>
              <w:left w:w="115" w:type="dxa"/>
              <w:bottom w:w="29" w:type="dxa"/>
              <w:right w:w="115" w:type="dxa"/>
            </w:tcMar>
            <w:vAlign w:val="center"/>
          </w:tcPr>
          <w:p w:rsidR="00FC34E0" w:rsidRPr="00311A64" w:rsidRDefault="00FC34E0" w:rsidP="00FC34E0">
            <w:pPr>
              <w:pStyle w:val="CheckBoxList"/>
              <w:numPr>
                <w:ilvl w:val="0"/>
                <w:numId w:val="0"/>
              </w:numPr>
            </w:pPr>
            <w:r>
              <w:t>Ponding area side slopes shall be no steeper than 3:1 (H</w:t>
            </w:r>
            <w:proofErr w:type="gramStart"/>
            <w:r>
              <w:t>:V</w:t>
            </w:r>
            <w:proofErr w:type="gramEnd"/>
            <w:r>
              <w:t>) unless designed as a planter box BMP with appropriate consideration for trip and fall hazards.</w:t>
            </w:r>
          </w:p>
        </w:tc>
      </w:tr>
    </w:tbl>
    <w:p w:rsidR="00FC34E0" w:rsidRPr="00B53524" w:rsidRDefault="00FC34E0" w:rsidP="00FC34E0">
      <w:pPr>
        <w:pStyle w:val="CheckBoxList"/>
        <w:numPr>
          <w:ilvl w:val="0"/>
          <w:numId w:val="0"/>
        </w:numPr>
        <w:ind w:left="734" w:hanging="547"/>
      </w:pPr>
    </w:p>
    <w:p w:rsidR="00FC34E0" w:rsidRPr="00B53524" w:rsidRDefault="00FC34E0" w:rsidP="00FC34E0">
      <w:pPr>
        <w:pStyle w:val="FactsheetSubheading"/>
      </w:pPr>
      <w:r>
        <w:t xml:space="preserve">Simple </w:t>
      </w:r>
      <w:r w:rsidRPr="00311A64">
        <w:t xml:space="preserve">Sizing </w:t>
      </w:r>
      <w:r>
        <w:t>Method</w:t>
      </w:r>
      <w:r w:rsidRPr="00311A64">
        <w:t xml:space="preserve"> for </w:t>
      </w:r>
      <w:r>
        <w:t xml:space="preserve">Bioretention with Underdrain </w:t>
      </w:r>
    </w:p>
    <w:p w:rsidR="00FC34E0" w:rsidRDefault="00FC34E0" w:rsidP="00FC34E0">
      <w:pPr>
        <w:pStyle w:val="CheckBoxTableText"/>
      </w:pPr>
      <w:r>
        <w:t xml:space="preserve"> If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Simple Design Capture Volume Sizing Method</w:t>
      </w:r>
      <w:r w:rsidR="00126F3D" w:rsidRPr="00126DE5">
        <w:rPr>
          <w:rFonts w:ascii="Book Antiqua" w:hAnsi="Book Antiqua"/>
          <w:b/>
          <w:color w:val="0070C0"/>
        </w:rPr>
        <w:fldChar w:fldCharType="end"/>
      </w:r>
      <w:r>
        <w:t xml:space="preserve"> described in </w:t>
      </w:r>
      <w:r w:rsidR="00524D76" w:rsidRPr="00524D76">
        <w:rPr>
          <w:b/>
        </w:rPr>
        <w:t>Appendix</w:t>
      </w:r>
      <w: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III.3.1</w:t>
      </w:r>
      <w:r w:rsidR="00126F3D" w:rsidRPr="00126DE5">
        <w:rPr>
          <w:rFonts w:ascii="Book Antiqua" w:hAnsi="Book Antiqua"/>
          <w:b/>
          <w:color w:val="0070C0"/>
        </w:rPr>
        <w:fldChar w:fldCharType="end"/>
      </w:r>
      <w:r>
        <w:t xml:space="preserve"> is used to size a bioretention with underdrain facility, the user selects the basin depth and then determines the appropriate surface area to capture the </w:t>
      </w:r>
      <w:r w:rsidR="003C7091">
        <w:t>DCV</w:t>
      </w:r>
      <w:r>
        <w:t>.  The sizing steps are as follows:</w:t>
      </w:r>
    </w:p>
    <w:p w:rsidR="00FC34E0" w:rsidRDefault="00FC34E0" w:rsidP="00FC34E0">
      <w:pPr>
        <w:pStyle w:val="FSStepHeaders"/>
      </w:pPr>
      <w:r>
        <w:t xml:space="preserve">Step 1: Determine </w:t>
      </w:r>
      <w:r w:rsidR="003C7091">
        <w:t>DCV</w:t>
      </w:r>
    </w:p>
    <w:p w:rsidR="00FC34E0" w:rsidRDefault="00FC34E0" w:rsidP="00FC34E0">
      <w:pPr>
        <w:pStyle w:val="CheckBoxTableText"/>
      </w:pPr>
      <w:r>
        <w:t xml:space="preserve">Calculate the </w:t>
      </w:r>
      <w:r w:rsidR="003C7091">
        <w:t>DCV</w:t>
      </w:r>
      <w:r>
        <w:t xml:space="preserve"> using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Simple Design Capture Volume Sizing Method</w:t>
      </w:r>
      <w:r w:rsidR="00126F3D" w:rsidRPr="00126DE5">
        <w:rPr>
          <w:rFonts w:ascii="Book Antiqua" w:hAnsi="Book Antiqua"/>
          <w:b/>
          <w:color w:val="0070C0"/>
        </w:rPr>
        <w:fldChar w:fldCharType="end"/>
      </w:r>
      <w:r>
        <w:t xml:space="preserve"> described in </w:t>
      </w:r>
      <w:r w:rsidR="00524D76" w:rsidRPr="00524D76">
        <w:rPr>
          <w:b/>
        </w:rPr>
        <w:t>Appendix</w:t>
      </w:r>
      <w: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III.3.1</w:t>
      </w:r>
      <w:r w:rsidR="00126F3D" w:rsidRPr="00126DE5">
        <w:rPr>
          <w:rFonts w:ascii="Book Antiqua" w:hAnsi="Book Antiqua"/>
          <w:b/>
          <w:color w:val="0070C0"/>
        </w:rPr>
        <w:fldChar w:fldCharType="end"/>
      </w:r>
      <w:r>
        <w:t xml:space="preserve">. </w:t>
      </w:r>
    </w:p>
    <w:p w:rsidR="00FC34E0" w:rsidRDefault="00FC34E0" w:rsidP="00FC34E0">
      <w:pPr>
        <w:pStyle w:val="FSStepHeaders"/>
      </w:pPr>
      <w:r>
        <w:t>Step 2: Verify that the Ponding Depth will Draw Down within 48 Hours</w:t>
      </w:r>
    </w:p>
    <w:p w:rsidR="00FC34E0" w:rsidRDefault="00FC34E0" w:rsidP="00FC34E0">
      <w:pPr>
        <w:pStyle w:val="CheckBoxTableText"/>
      </w:pPr>
      <w:r>
        <w:t>The ponding area drawdown time can be calculated using the following equation:</w:t>
      </w:r>
    </w:p>
    <w:p w:rsidR="00FC34E0" w:rsidRDefault="00FC34E0" w:rsidP="00FC34E0">
      <w:pPr>
        <w:pStyle w:val="FactSheetEquation"/>
      </w:pPr>
      <w:r w:rsidRPr="00311A64">
        <w:t>DD</w:t>
      </w:r>
      <w:r>
        <w:rPr>
          <w:vertAlign w:val="subscript"/>
        </w:rPr>
        <w:t>P</w:t>
      </w:r>
      <w:r w:rsidRPr="00311A64">
        <w:t xml:space="preserve"> = </w:t>
      </w:r>
      <w:r>
        <w:t>(d</w:t>
      </w:r>
      <w:r>
        <w:rPr>
          <w:vertAlign w:val="subscript"/>
        </w:rPr>
        <w:t>P</w:t>
      </w:r>
      <w:r>
        <w:t xml:space="preserve"> / K</w:t>
      </w:r>
      <w:r>
        <w:rPr>
          <w:vertAlign w:val="subscript"/>
        </w:rPr>
        <w:t>MEDIA</w:t>
      </w:r>
      <w:r>
        <w:t>) × 12 in/ft</w:t>
      </w:r>
    </w:p>
    <w:p w:rsidR="00FC34E0" w:rsidRPr="00A211D0" w:rsidRDefault="00FC34E0" w:rsidP="00FC34E0">
      <w:pPr>
        <w:pStyle w:val="CheckBoxTableText"/>
      </w:pPr>
      <w:r w:rsidRPr="00311A64">
        <w:t>Where</w:t>
      </w:r>
      <w:r w:rsidRPr="00A211D0">
        <w:t>:</w:t>
      </w:r>
    </w:p>
    <w:p w:rsidR="00FC34E0" w:rsidRDefault="00FC34E0" w:rsidP="00FC34E0">
      <w:pPr>
        <w:pStyle w:val="FactSheetEquation"/>
      </w:pPr>
      <w:r w:rsidRPr="00A211D0">
        <w:t>DD</w:t>
      </w:r>
      <w:r>
        <w:rPr>
          <w:vertAlign w:val="subscript"/>
        </w:rPr>
        <w:t>P</w:t>
      </w:r>
      <w:r w:rsidRPr="00A211D0">
        <w:t xml:space="preserve"> = </w:t>
      </w:r>
      <w:r w:rsidRPr="00311A64">
        <w:t xml:space="preserve">time to drain </w:t>
      </w:r>
      <w:r>
        <w:t>ponded water</w:t>
      </w:r>
      <w:r w:rsidRPr="00311A64">
        <w:t>, hours</w:t>
      </w:r>
    </w:p>
    <w:p w:rsidR="00FC34E0" w:rsidRDefault="00FC34E0" w:rsidP="00FC34E0">
      <w:pPr>
        <w:pStyle w:val="FactSheetEquation"/>
      </w:pPr>
      <w:r>
        <w:t>d</w:t>
      </w:r>
      <w:r>
        <w:rPr>
          <w:vertAlign w:val="subscript"/>
        </w:rPr>
        <w:t>P</w:t>
      </w:r>
      <w:r>
        <w:t xml:space="preserve"> = depth of ponding above bioretention area, ft (not to exceed 1.5 ft)</w:t>
      </w:r>
    </w:p>
    <w:p w:rsidR="00FC34E0" w:rsidRDefault="00FC34E0" w:rsidP="00FC34E0">
      <w:pPr>
        <w:pStyle w:val="FactSheetEquation"/>
      </w:pPr>
      <w:r>
        <w:t>K</w:t>
      </w:r>
      <w:r>
        <w:rPr>
          <w:vertAlign w:val="subscript"/>
        </w:rPr>
        <w:t>MEDIA</w:t>
      </w:r>
      <w:r>
        <w:t xml:space="preserve"> = media design infiltration rate, in/hr (equivalent to the media hydraulic conductivity with a factor of safety of 2; K</w:t>
      </w:r>
      <w:r>
        <w:rPr>
          <w:vertAlign w:val="subscript"/>
        </w:rPr>
        <w:t xml:space="preserve">MEDIA </w:t>
      </w:r>
      <w:r>
        <w:t xml:space="preserve">of 2.5 in/hr should be used unless other information is available) </w:t>
      </w:r>
    </w:p>
    <w:p w:rsidR="00FC34E0" w:rsidRDefault="00FC34E0" w:rsidP="00FC34E0">
      <w:pPr>
        <w:pStyle w:val="FactSheetEquation"/>
      </w:pPr>
      <w:r>
        <w:t xml:space="preserve">If the drawdown time exceeds 48 hours, adjust ponding depth and/or media infiltration rate until 48 hour drawdown time is achieved. </w:t>
      </w:r>
    </w:p>
    <w:p w:rsidR="00FC34E0" w:rsidRDefault="00FC34E0" w:rsidP="00FC34E0">
      <w:pPr>
        <w:pStyle w:val="FSStepHeaders"/>
      </w:pPr>
      <w:r>
        <w:t xml:space="preserve">Step 3: Determine the Depth of Water Filtered During Design Capture Storm </w:t>
      </w:r>
    </w:p>
    <w:p w:rsidR="00FC34E0" w:rsidRDefault="00FC34E0" w:rsidP="00FC34E0">
      <w:pPr>
        <w:pStyle w:val="FactSheetEquation"/>
        <w:ind w:left="0"/>
      </w:pPr>
      <w:r>
        <w:t xml:space="preserve">The depth of water filtered during the design capture storm can be estimated as the amount routed through the media during the storm, or the ponding depth, whichever is smaller. </w:t>
      </w:r>
    </w:p>
    <w:p w:rsidR="00FC34E0" w:rsidRDefault="00FC34E0" w:rsidP="00FC34E0">
      <w:pPr>
        <w:pStyle w:val="FactSheetEquation"/>
      </w:pPr>
      <w:r>
        <w:t>d</w:t>
      </w:r>
      <w:r>
        <w:rPr>
          <w:vertAlign w:val="subscript"/>
        </w:rPr>
        <w:t>FILTERED</w:t>
      </w:r>
      <w:r>
        <w:t xml:space="preserve"> = Minimum [ ((K</w:t>
      </w:r>
      <w:r>
        <w:rPr>
          <w:vertAlign w:val="subscript"/>
        </w:rPr>
        <w:t>MEDIA</w:t>
      </w:r>
      <w:r>
        <w:t xml:space="preserve"> × T</w:t>
      </w:r>
      <w:r>
        <w:rPr>
          <w:vertAlign w:val="subscript"/>
        </w:rPr>
        <w:t>ROUTING</w:t>
      </w:r>
      <w:r>
        <w:t>)/12), d</w:t>
      </w:r>
      <w:r>
        <w:rPr>
          <w:vertAlign w:val="subscript"/>
        </w:rPr>
        <w:t>P</w:t>
      </w:r>
      <w:r>
        <w:t>]</w:t>
      </w:r>
    </w:p>
    <w:p w:rsidR="00FC34E0" w:rsidRPr="00A211D0" w:rsidRDefault="00FC34E0" w:rsidP="00FC34E0">
      <w:pPr>
        <w:pStyle w:val="CheckBoxTableText"/>
      </w:pPr>
      <w:r w:rsidRPr="00311A64">
        <w:t>Where</w:t>
      </w:r>
      <w:r w:rsidRPr="00A211D0">
        <w:t>:</w:t>
      </w:r>
    </w:p>
    <w:p w:rsidR="00FC34E0" w:rsidRDefault="00FC34E0" w:rsidP="00FC34E0">
      <w:pPr>
        <w:pStyle w:val="FactSheetEquation"/>
      </w:pPr>
      <w:r>
        <w:t>d</w:t>
      </w:r>
      <w:r>
        <w:rPr>
          <w:vertAlign w:val="subscript"/>
        </w:rPr>
        <w:t>FILTERED</w:t>
      </w:r>
      <w:r>
        <w:t xml:space="preserve"> = depth of water that may be considered to be filtered during the design storm event, ft</w:t>
      </w:r>
    </w:p>
    <w:p w:rsidR="00FC34E0" w:rsidRDefault="00FC34E0" w:rsidP="00FC34E0">
      <w:pPr>
        <w:pStyle w:val="FactSheetEquation"/>
      </w:pPr>
      <w:r>
        <w:t>K</w:t>
      </w:r>
      <w:r>
        <w:rPr>
          <w:vertAlign w:val="subscript"/>
        </w:rPr>
        <w:t>MEDIA</w:t>
      </w:r>
      <w:r>
        <w:t xml:space="preserve"> = media design infiltration rate, in/hr (equivalent to the media hydraulic conductivity with a factor of safety of 2; K</w:t>
      </w:r>
      <w:r>
        <w:rPr>
          <w:vertAlign w:val="subscript"/>
        </w:rPr>
        <w:t xml:space="preserve">MEDIA </w:t>
      </w:r>
      <w:r>
        <w:t xml:space="preserve">of 2.5 in/hr should be used unless other information is available) </w:t>
      </w:r>
    </w:p>
    <w:p w:rsidR="00FC34E0" w:rsidRPr="00E73AF6" w:rsidRDefault="00FC34E0" w:rsidP="00FC34E0">
      <w:pPr>
        <w:pStyle w:val="FactSheetEquation"/>
      </w:pPr>
      <w:r>
        <w:t>T</w:t>
      </w:r>
      <w:r>
        <w:rPr>
          <w:vertAlign w:val="subscript"/>
        </w:rPr>
        <w:t>ROUTING</w:t>
      </w:r>
      <w:r>
        <w:t xml:space="preserve"> = storm duration that may be assumed </w:t>
      </w:r>
      <w:r w:rsidRPr="00E73AF6">
        <w:t>for</w:t>
      </w:r>
      <w:r>
        <w:t xml:space="preserve"> routing calculations; this should be assumed to be no greater than 3 hours. If the designer desires to account for further routing effects,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Capture Efficiency Method for Volume-Based, Constant Drawdown BMPs</w:t>
      </w:r>
      <w:r w:rsidR="00126F3D" w:rsidRPr="00126DE5">
        <w:rPr>
          <w:rFonts w:ascii="Book Antiqua" w:hAnsi="Book Antiqua"/>
          <w:b/>
          <w:color w:val="0070C0"/>
        </w:rPr>
        <w:fldChar w:fldCharType="end"/>
      </w:r>
      <w:r>
        <w:t xml:space="preserve"> (See </w:t>
      </w:r>
      <w:r w:rsidR="00524D76" w:rsidRPr="00524D76">
        <w:rPr>
          <w:b/>
        </w:rPr>
        <w:t>Appendix</w:t>
      </w:r>
      <w:r>
        <w:rPr>
          <w:b/>
          <w:color w:val="00B050"/>
        </w:rP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III.3.2</w:t>
      </w:r>
      <w:r w:rsidR="00126F3D" w:rsidRPr="00126DE5">
        <w:rPr>
          <w:rFonts w:ascii="Book Antiqua" w:hAnsi="Book Antiqua"/>
          <w:b/>
          <w:color w:val="0070C0"/>
        </w:rPr>
        <w:fldChar w:fldCharType="end"/>
      </w:r>
      <w:r>
        <w:t>) should be used.</w:t>
      </w:r>
    </w:p>
    <w:p w:rsidR="00FC34E0" w:rsidRDefault="00FC34E0" w:rsidP="00FC34E0">
      <w:pPr>
        <w:pStyle w:val="FactSheetEquation"/>
      </w:pPr>
      <w:r>
        <w:t>d</w:t>
      </w:r>
      <w:r>
        <w:rPr>
          <w:vertAlign w:val="subscript"/>
        </w:rPr>
        <w:t>P</w:t>
      </w:r>
      <w:r>
        <w:t xml:space="preserve"> = depth of ponding above bioretention area, ft (not to exceed 1.5 ft)</w:t>
      </w:r>
    </w:p>
    <w:p w:rsidR="00FC34E0" w:rsidRDefault="00FC34E0" w:rsidP="00FC34E0">
      <w:pPr>
        <w:pStyle w:val="FSStepHeaders"/>
      </w:pPr>
      <w:r>
        <w:t>Step 4: Determine the Facility Surface Area</w:t>
      </w:r>
    </w:p>
    <w:p w:rsidR="00FC34E0" w:rsidRDefault="00FC34E0" w:rsidP="00FC34E0">
      <w:pPr>
        <w:pStyle w:val="FactSheetEquation"/>
      </w:pPr>
      <w:r>
        <w:t>A = DCV/ (d</w:t>
      </w:r>
      <w:r>
        <w:rPr>
          <w:vertAlign w:val="subscript"/>
        </w:rPr>
        <w:t>P</w:t>
      </w:r>
      <w:r>
        <w:t xml:space="preserve"> + d</w:t>
      </w:r>
      <w:r>
        <w:rPr>
          <w:vertAlign w:val="subscript"/>
        </w:rPr>
        <w:t>FILTERED</w:t>
      </w:r>
      <w:r>
        <w:t>)</w:t>
      </w:r>
    </w:p>
    <w:p w:rsidR="00FC34E0" w:rsidRDefault="00FC34E0" w:rsidP="00FC34E0">
      <w:pPr>
        <w:pStyle w:val="FactsheetBullets"/>
        <w:numPr>
          <w:ilvl w:val="0"/>
          <w:numId w:val="0"/>
        </w:numPr>
      </w:pPr>
      <w:r>
        <w:t>Where:</w:t>
      </w:r>
    </w:p>
    <w:p w:rsidR="00FC34E0" w:rsidRPr="0050469A" w:rsidRDefault="00FC34E0" w:rsidP="00FC34E0">
      <w:pPr>
        <w:pStyle w:val="FactSheetEquation"/>
      </w:pPr>
      <w:r>
        <w:t>A = required area of bioretention facility, sq-ft</w:t>
      </w:r>
    </w:p>
    <w:p w:rsidR="00FC34E0" w:rsidRDefault="00FC34E0" w:rsidP="00FC34E0">
      <w:pPr>
        <w:pStyle w:val="FactSheetEquation"/>
      </w:pPr>
      <w:r>
        <w:t>DCV = design capture volume, cu-ft</w:t>
      </w:r>
    </w:p>
    <w:p w:rsidR="00FC34E0" w:rsidRDefault="00FC34E0" w:rsidP="00FC34E0">
      <w:pPr>
        <w:pStyle w:val="FactSheetEquation"/>
      </w:pPr>
      <w:r>
        <w:t>d</w:t>
      </w:r>
      <w:r>
        <w:rPr>
          <w:vertAlign w:val="subscript"/>
        </w:rPr>
        <w:t>FILTERED</w:t>
      </w:r>
      <w:r>
        <w:t xml:space="preserve"> = depth of water that may be considered to be filtered during the design storm event, ft</w:t>
      </w:r>
    </w:p>
    <w:p w:rsidR="00FC34E0" w:rsidRPr="009555AD" w:rsidRDefault="00FC34E0" w:rsidP="00FC34E0">
      <w:pPr>
        <w:pStyle w:val="FactSheetEquation"/>
      </w:pPr>
      <w:r>
        <w:t>d</w:t>
      </w:r>
      <w:r>
        <w:rPr>
          <w:vertAlign w:val="subscript"/>
        </w:rPr>
        <w:t>P</w:t>
      </w:r>
      <w:r>
        <w:t xml:space="preserve"> = depth of ponding above bioretention area, ft (not to exceed 1.5 ft)</w:t>
      </w:r>
    </w:p>
    <w:p w:rsidR="00FC34E0" w:rsidRPr="00B53524" w:rsidRDefault="00FC34E0" w:rsidP="00FC34E0">
      <w:pPr>
        <w:pStyle w:val="FactsheetSubheading"/>
        <w:outlineLvl w:val="0"/>
      </w:pPr>
      <w:r>
        <w:t>Capture Efficiency Method for</w:t>
      </w:r>
      <w:r w:rsidRPr="00311A64">
        <w:t xml:space="preserve"> </w:t>
      </w:r>
      <w:r>
        <w:t>Bioretention with Underdrains</w:t>
      </w:r>
    </w:p>
    <w:p w:rsidR="00FC34E0" w:rsidRDefault="00FC34E0" w:rsidP="00FC34E0">
      <w:pPr>
        <w:pStyle w:val="CheckBoxTableText"/>
      </w:pPr>
      <w:r>
        <w:t xml:space="preserve">If the bioretention geometry has already been defined and the user wishes to account more explicitly for routing, the user can determine the required footprint area using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Capture Efficiency Method for Volume-Based, Constant Drawdown BMPs</w:t>
      </w:r>
      <w:r w:rsidR="00126F3D" w:rsidRPr="00126DE5">
        <w:rPr>
          <w:rFonts w:ascii="Book Antiqua" w:hAnsi="Book Antiqua"/>
          <w:b/>
          <w:color w:val="0070C0"/>
        </w:rPr>
        <w:fldChar w:fldCharType="end"/>
      </w:r>
      <w:r>
        <w:t xml:space="preserve"> (See </w:t>
      </w:r>
      <w:r w:rsidR="00524D76" w:rsidRPr="001958AC">
        <w:rPr>
          <w:b/>
          <w:color w:val="0070C0"/>
        </w:rPr>
        <w:t>Appendix</w:t>
      </w:r>
      <w:r w:rsidRPr="001958AC">
        <w:rPr>
          <w:b/>
          <w:color w:val="0070C0"/>
        </w:rPr>
        <w:t xml:space="preserve"> </w:t>
      </w:r>
      <w:fldSimple w:instr=" REF _Ref285384680 \r \h  \* MERGEFORMAT ">
        <w:r w:rsidR="00126DE5" w:rsidRPr="001958AC">
          <w:rPr>
            <w:rFonts w:ascii="Book Antiqua" w:hAnsi="Book Antiqua"/>
            <w:b/>
            <w:color w:val="0070C0"/>
          </w:rPr>
          <w:t>III.3.2</w:t>
        </w:r>
      </w:fldSimple>
      <w:r>
        <w:t xml:space="preserve">) to determine the fraction of the DCV that must be provided to manage 80 percent of average annual runoff volume. This method accounts for drawdown time different than 48 hours. </w:t>
      </w:r>
    </w:p>
    <w:p w:rsidR="00FC34E0" w:rsidRDefault="00FC34E0" w:rsidP="00FC34E0">
      <w:pPr>
        <w:pStyle w:val="FSStepHeaders"/>
      </w:pPr>
      <w:r w:rsidRPr="00A211D0">
        <w:t xml:space="preserve">Step 1: </w:t>
      </w:r>
      <w:r>
        <w:t>Determine the drawdown time associated with the selected basin geometry</w:t>
      </w:r>
    </w:p>
    <w:p w:rsidR="00FC34E0" w:rsidRDefault="00FC34E0" w:rsidP="00FC34E0">
      <w:pPr>
        <w:pStyle w:val="FactSheetEquation"/>
      </w:pPr>
      <w:r w:rsidRPr="00311A64">
        <w:t xml:space="preserve">DD = </w:t>
      </w:r>
      <w:r>
        <w:t>(d</w:t>
      </w:r>
      <w:r>
        <w:rPr>
          <w:vertAlign w:val="subscript"/>
        </w:rPr>
        <w:t>p</w:t>
      </w:r>
      <w:r>
        <w:t xml:space="preserve"> / K</w:t>
      </w:r>
      <w:r>
        <w:rPr>
          <w:vertAlign w:val="subscript"/>
        </w:rPr>
        <w:t>DESIGN</w:t>
      </w:r>
      <w:r>
        <w:t>) × 12 in/ft</w:t>
      </w:r>
    </w:p>
    <w:p w:rsidR="00FC34E0" w:rsidRPr="00A211D0" w:rsidRDefault="00FC34E0" w:rsidP="00FC34E0">
      <w:pPr>
        <w:pStyle w:val="CheckBoxTableText"/>
      </w:pPr>
      <w:r w:rsidRPr="00311A64">
        <w:t>Where</w:t>
      </w:r>
      <w:r w:rsidRPr="00A211D0">
        <w:t>:</w:t>
      </w:r>
    </w:p>
    <w:p w:rsidR="00FC34E0" w:rsidRDefault="00FC34E0" w:rsidP="00FC34E0">
      <w:pPr>
        <w:pStyle w:val="FactSheetEquation"/>
      </w:pPr>
      <w:r w:rsidRPr="00A211D0">
        <w:t xml:space="preserve">DD = </w:t>
      </w:r>
      <w:r w:rsidRPr="00311A64">
        <w:t xml:space="preserve">time to completely drain infiltration basin </w:t>
      </w:r>
      <w:r>
        <w:t>ponding depth</w:t>
      </w:r>
      <w:r w:rsidRPr="00311A64">
        <w:t>, hours</w:t>
      </w:r>
    </w:p>
    <w:p w:rsidR="00FC34E0" w:rsidRPr="00213BB7" w:rsidRDefault="00FC34E0" w:rsidP="00FC34E0">
      <w:pPr>
        <w:pStyle w:val="FactSheetEquation"/>
      </w:pPr>
      <w:r>
        <w:t>d</w:t>
      </w:r>
      <w:r w:rsidRPr="0050469A">
        <w:rPr>
          <w:vertAlign w:val="subscript"/>
        </w:rPr>
        <w:t>P</w:t>
      </w:r>
      <w:r>
        <w:rPr>
          <w:vertAlign w:val="subscript"/>
        </w:rPr>
        <w:t xml:space="preserve"> </w:t>
      </w:r>
      <w:r>
        <w:t>= bioretention ponding depth, ft (should be less than or equal to 1.5 ft)</w:t>
      </w:r>
    </w:p>
    <w:p w:rsidR="00FC34E0" w:rsidRDefault="00FC34E0" w:rsidP="00FC34E0">
      <w:pPr>
        <w:pStyle w:val="FactSheetEquation"/>
      </w:pPr>
      <w:r>
        <w:t>K</w:t>
      </w:r>
      <w:r>
        <w:rPr>
          <w:vertAlign w:val="subscript"/>
        </w:rPr>
        <w:t>DESIGN</w:t>
      </w:r>
      <w:r>
        <w:t xml:space="preserve"> = design media infiltration rate, in/hr (assume 2.5 inches per hour unless otherwise proposed)</w:t>
      </w:r>
    </w:p>
    <w:p w:rsidR="00FC34E0" w:rsidRDefault="00FC34E0" w:rsidP="00FC34E0">
      <w:pPr>
        <w:pStyle w:val="FactSheetEquation"/>
      </w:pPr>
      <w:r>
        <w:t xml:space="preserve">If drawdown is less than 3 hours, the drawdown time should be rounded to 3 hours or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_Ref287707497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Capture Efficiency Method for Flow-based BMPs</w:t>
      </w:r>
      <w:r w:rsidR="00126F3D" w:rsidRPr="00126DE5">
        <w:rPr>
          <w:rFonts w:ascii="Book Antiqua" w:hAnsi="Book Antiqua"/>
          <w:b/>
          <w:color w:val="0070C0"/>
        </w:rPr>
        <w:fldChar w:fldCharType="end"/>
      </w:r>
      <w:r>
        <w:rPr>
          <w:b/>
          <w:color w:val="00B050"/>
        </w:rPr>
        <w:t xml:space="preserve"> </w:t>
      </w:r>
      <w:r w:rsidR="001958AC">
        <w:t xml:space="preserve">(See </w:t>
      </w:r>
      <w:r w:rsidR="001958AC" w:rsidRPr="001958AC">
        <w:rPr>
          <w:b/>
          <w:color w:val="0070C0"/>
        </w:rPr>
        <w:t xml:space="preserve">Appendix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_Ref287707497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III.3.3</w:t>
      </w:r>
      <w:r w:rsidR="00126F3D" w:rsidRPr="00126DE5">
        <w:rPr>
          <w:rFonts w:ascii="Book Antiqua" w:hAnsi="Book Antiqua"/>
          <w:b/>
          <w:color w:val="0070C0"/>
        </w:rPr>
        <w:fldChar w:fldCharType="end"/>
      </w:r>
      <w:r>
        <w:rPr>
          <w:b/>
          <w:color w:val="00B050"/>
        </w:rPr>
        <w:t xml:space="preserve">) </w:t>
      </w:r>
      <w:r>
        <w:t>shall be used.</w:t>
      </w:r>
    </w:p>
    <w:p w:rsidR="00FC34E0" w:rsidRDefault="00FC34E0" w:rsidP="00FC34E0">
      <w:pPr>
        <w:pStyle w:val="FSStepHeaders"/>
      </w:pPr>
      <w:r>
        <w:t>Step 2: Determine the Required Adjusted DCV for this Drawdown Time</w:t>
      </w:r>
    </w:p>
    <w:p w:rsidR="00FC34E0" w:rsidRDefault="00FC34E0" w:rsidP="00FC34E0">
      <w:pPr>
        <w:pStyle w:val="CheckBoxTableText"/>
      </w:pPr>
      <w:r>
        <w:t xml:space="preserve">Use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Capture Efficiency Method for Volume-Based, Constant Drawdown BMPs</w:t>
      </w:r>
      <w:r w:rsidR="00126F3D" w:rsidRPr="00126DE5">
        <w:rPr>
          <w:rFonts w:ascii="Book Antiqua" w:hAnsi="Book Antiqua"/>
          <w:b/>
          <w:color w:val="0070C0"/>
        </w:rPr>
        <w:fldChar w:fldCharType="end"/>
      </w:r>
      <w:r>
        <w:t xml:space="preserve"> (</w:t>
      </w:r>
      <w:r w:rsidR="001958AC">
        <w:t xml:space="preserve">See </w:t>
      </w:r>
      <w:r w:rsidR="001958AC" w:rsidRPr="001958AC">
        <w:rPr>
          <w:b/>
          <w:color w:val="0070C0"/>
        </w:rPr>
        <w:t xml:space="preserve">Appendix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III.3.2</w:t>
      </w:r>
      <w:r w:rsidR="00126F3D" w:rsidRPr="00126DE5">
        <w:rPr>
          <w:rFonts w:ascii="Book Antiqua" w:hAnsi="Book Antiqua"/>
          <w:b/>
          <w:color w:val="0070C0"/>
        </w:rPr>
        <w:fldChar w:fldCharType="end"/>
      </w:r>
      <w:r>
        <w:t>) to calculate the fraction of the DCV the basin must hold to achieve 80 percent capture of average annual stormwater runoff volume  based on the basin drawdown time calculated above.</w:t>
      </w:r>
    </w:p>
    <w:p w:rsidR="00FC34E0" w:rsidRPr="00A211D0" w:rsidRDefault="00FC34E0" w:rsidP="00FC34E0">
      <w:pPr>
        <w:pStyle w:val="FSStepHeaders"/>
      </w:pPr>
      <w:r>
        <w:t xml:space="preserve">Step 3: Determine the Basin Infiltrating Area Needed </w:t>
      </w:r>
    </w:p>
    <w:p w:rsidR="00FC34E0" w:rsidRDefault="00FC34E0" w:rsidP="00FC34E0">
      <w:pPr>
        <w:pStyle w:val="CheckBoxTableText"/>
      </w:pPr>
      <w:r>
        <w:t>The required infiltrating area (i.e. the surface area of the top of the media layer) can be calculated using the following equation:</w:t>
      </w:r>
    </w:p>
    <w:p w:rsidR="00FC34E0" w:rsidRPr="009070C1" w:rsidRDefault="00FC34E0" w:rsidP="00FC34E0">
      <w:pPr>
        <w:pStyle w:val="FactsheetBullets"/>
        <w:numPr>
          <w:ilvl w:val="0"/>
          <w:numId w:val="0"/>
        </w:numPr>
        <w:ind w:firstLine="360"/>
        <w:rPr>
          <w:vertAlign w:val="subscript"/>
        </w:rPr>
      </w:pPr>
      <w:r w:rsidRPr="00C54C96">
        <w:rPr>
          <w:rStyle w:val="FactSheetEquationChar"/>
        </w:rPr>
        <w:t xml:space="preserve">A = </w:t>
      </w:r>
      <w:r>
        <w:rPr>
          <w:rStyle w:val="FactSheetEquationChar"/>
        </w:rPr>
        <w:t xml:space="preserve">Design Volume </w:t>
      </w:r>
      <w:r w:rsidRPr="00C54C96">
        <w:rPr>
          <w:rStyle w:val="FactSheetEquationChar"/>
        </w:rPr>
        <w:t xml:space="preserve">/ </w:t>
      </w:r>
      <w:r>
        <w:rPr>
          <w:rStyle w:val="FactSheetEquationChar"/>
        </w:rPr>
        <w:t>d</w:t>
      </w:r>
      <w:r>
        <w:rPr>
          <w:rStyle w:val="FactSheetEquationChar"/>
          <w:vertAlign w:val="subscript"/>
        </w:rPr>
        <w:t>p</w:t>
      </w:r>
    </w:p>
    <w:p w:rsidR="00FC34E0" w:rsidRDefault="00FC34E0" w:rsidP="00FC34E0">
      <w:pPr>
        <w:pStyle w:val="CheckBoxTableText"/>
      </w:pPr>
      <w:r>
        <w:t xml:space="preserve">Where: </w:t>
      </w:r>
    </w:p>
    <w:p w:rsidR="00FC34E0" w:rsidRDefault="00FC34E0" w:rsidP="00FC34E0">
      <w:pPr>
        <w:pStyle w:val="FactsheetBullets"/>
        <w:numPr>
          <w:ilvl w:val="0"/>
          <w:numId w:val="0"/>
        </w:numPr>
        <w:ind w:firstLine="360"/>
      </w:pPr>
      <w:r>
        <w:t>A = required infiltrating area, sq-ft (measured at the media surface)</w:t>
      </w:r>
    </w:p>
    <w:p w:rsidR="00FC34E0" w:rsidRDefault="00FC34E0" w:rsidP="00FC34E0">
      <w:pPr>
        <w:pStyle w:val="FactsheetBullets"/>
        <w:numPr>
          <w:ilvl w:val="0"/>
          <w:numId w:val="0"/>
        </w:numPr>
        <w:ind w:firstLine="360"/>
      </w:pPr>
      <w:r>
        <w:t>Design Volume = fraction of DCV, adjusted for drawdown, cu-ft (see Step 2)</w:t>
      </w:r>
    </w:p>
    <w:p w:rsidR="00FC34E0" w:rsidRDefault="00FC34E0" w:rsidP="00FC34E0">
      <w:pPr>
        <w:pStyle w:val="FactSheetEquation"/>
      </w:pPr>
      <w:r>
        <w:t>d</w:t>
      </w:r>
      <w:r>
        <w:rPr>
          <w:vertAlign w:val="subscript"/>
        </w:rPr>
        <w:t>p</w:t>
      </w:r>
      <w:r>
        <w:t xml:space="preserve"> = ponding depth of water stored in bioretention area, ft (from Step 1)</w:t>
      </w:r>
    </w:p>
    <w:p w:rsidR="00FC34E0" w:rsidRDefault="00FC34E0" w:rsidP="00FC34E0">
      <w:pPr>
        <w:pStyle w:val="CheckBoxTableText"/>
      </w:pPr>
      <w:r>
        <w:t>This does not include the side slopes, access roads, etc. which would increase bioretention footprint. If the area required is greater than the selected basin area, adjust surface area or adjust ponding depth and recalculate required area until the required area is achieved.</w:t>
      </w:r>
    </w:p>
    <w:p w:rsidR="00FC34E0" w:rsidRDefault="00FC34E0" w:rsidP="00FC34E0">
      <w:pPr>
        <w:pStyle w:val="CheckBoxTableText"/>
      </w:pPr>
      <w:r w:rsidRPr="00311A64">
        <w:t xml:space="preserve"> </w:t>
      </w:r>
    </w:p>
    <w:p w:rsidR="00FC34E0" w:rsidRPr="00B53524" w:rsidRDefault="00FC34E0" w:rsidP="00FC34E0">
      <w:pPr>
        <w:pStyle w:val="FactsheetSubheading"/>
        <w:outlineLvl w:val="0"/>
      </w:pPr>
      <w:r w:rsidRPr="00311A64">
        <w:t>Configuration for Use in a Treatment Train</w:t>
      </w:r>
    </w:p>
    <w:p w:rsidR="00FC34E0" w:rsidRPr="00B53524" w:rsidRDefault="00FC34E0" w:rsidP="00FC34E0">
      <w:pPr>
        <w:pStyle w:val="FactsheetBullets"/>
        <w:numPr>
          <w:ilvl w:val="0"/>
          <w:numId w:val="1"/>
        </w:numPr>
      </w:pPr>
      <w:r w:rsidRPr="00311A64">
        <w:t xml:space="preserve">Bioretention areas may be preceeded in a treatment train by </w:t>
      </w:r>
      <w:r w:rsidR="003C7091">
        <w:t>HSC</w:t>
      </w:r>
      <w:r w:rsidRPr="00311A64">
        <w:t xml:space="preserve">s in the drainage area, which would reduce the required design volume of the bioretention cell.  </w:t>
      </w:r>
      <w:r>
        <w:t>For example,</w:t>
      </w:r>
      <w:r w:rsidRPr="00311A64">
        <w:t xml:space="preserve"> bioretention could be used to manage overflow from a cistern.</w:t>
      </w:r>
    </w:p>
    <w:p w:rsidR="00FC34E0" w:rsidRPr="00B53524" w:rsidRDefault="00FC34E0" w:rsidP="00FC34E0">
      <w:pPr>
        <w:pStyle w:val="FactsheetBullets"/>
        <w:numPr>
          <w:ilvl w:val="0"/>
          <w:numId w:val="1"/>
        </w:numPr>
      </w:pPr>
      <w:r>
        <w:t>Bioretention areas can be used to provide pretreatment for underground infiltration systems.</w:t>
      </w:r>
    </w:p>
    <w:p w:rsidR="00FC34E0" w:rsidRPr="00B53524" w:rsidRDefault="00FC34E0" w:rsidP="00FC34E0">
      <w:pPr>
        <w:pStyle w:val="FactsheetSubheading"/>
        <w:outlineLvl w:val="0"/>
      </w:pPr>
      <w:r w:rsidRPr="00311A64">
        <w:t>Additional References for Design Guidance</w:t>
      </w:r>
    </w:p>
    <w:p w:rsidR="00FC34E0" w:rsidRPr="00B53524" w:rsidRDefault="00FC34E0" w:rsidP="00FC34E0">
      <w:pPr>
        <w:pStyle w:val="FactsheetBullets"/>
        <w:numPr>
          <w:ilvl w:val="0"/>
          <w:numId w:val="1"/>
        </w:numPr>
      </w:pPr>
      <w:r w:rsidRPr="00311A64">
        <w:t xml:space="preserve">CASQA BMP Handbook for New and Redevelopment: </w:t>
      </w:r>
      <w:hyperlink r:id="rId185" w:history="1">
        <w:r w:rsidRPr="00126DE5">
          <w:rPr>
            <w:rStyle w:val="Hyperlink"/>
            <w:rFonts w:ascii="Book Antiqua" w:hAnsi="Book Antiqua"/>
            <w:b/>
            <w:color w:val="0070C0"/>
          </w:rPr>
          <w:t>http://www.cabmphandbooks.com/Documents/Development/TC-32.pdf</w:t>
        </w:r>
      </w:hyperlink>
    </w:p>
    <w:p w:rsidR="00FC34E0" w:rsidRPr="00B53524" w:rsidRDefault="00FC34E0" w:rsidP="00FC34E0">
      <w:pPr>
        <w:pStyle w:val="FactsheetBullets"/>
        <w:numPr>
          <w:ilvl w:val="0"/>
          <w:numId w:val="1"/>
        </w:numPr>
      </w:pPr>
      <w:r w:rsidRPr="00311A64">
        <w:t xml:space="preserve">SMC LID Manual (pp 68): </w:t>
      </w:r>
      <w:hyperlink r:id="rId186" w:history="1">
        <w:r w:rsidRPr="00126DE5">
          <w:rPr>
            <w:rStyle w:val="Hyperlink"/>
            <w:rFonts w:ascii="Book Antiqua" w:hAnsi="Book Antiqua"/>
            <w:b/>
            <w:color w:val="0070C0"/>
          </w:rPr>
          <w:t>http://www.lowimpactdevelopment.org/guest75/pub/All_Projects/SoCal_LID_Manual/SoCalLID_Manual_FINAL_040910.pdf</w:t>
        </w:r>
      </w:hyperlink>
    </w:p>
    <w:p w:rsidR="00FC34E0" w:rsidRPr="00B53524" w:rsidRDefault="00FC34E0" w:rsidP="00FC34E0">
      <w:pPr>
        <w:pStyle w:val="FactsheetBullets"/>
        <w:numPr>
          <w:ilvl w:val="0"/>
          <w:numId w:val="1"/>
        </w:numPr>
      </w:pPr>
      <w:r w:rsidRPr="00311A64">
        <w:t xml:space="preserve">Los Angeles County Stormwater BMP </w:t>
      </w:r>
      <w:r>
        <w:t>Design and Maintenance Manual</w:t>
      </w:r>
      <w:r w:rsidRPr="00311A64">
        <w:t xml:space="preserve">, Chapter 5: </w:t>
      </w:r>
      <w:hyperlink r:id="rId187" w:history="1">
        <w:r w:rsidRPr="00126DE5">
          <w:rPr>
            <w:rStyle w:val="Hyperlink"/>
            <w:rFonts w:ascii="Book Antiqua" w:hAnsi="Book Antiqua"/>
            <w:b/>
            <w:color w:val="0070C0"/>
          </w:rPr>
          <w:t>http://dpw.lacounty.gov/DES/design_manuals/StormwaterBMPDesignandMaintenance.pdf</w:t>
        </w:r>
      </w:hyperlink>
    </w:p>
    <w:p w:rsidR="00FC34E0" w:rsidRPr="00B53524" w:rsidRDefault="00FC34E0" w:rsidP="00FC34E0">
      <w:pPr>
        <w:pStyle w:val="FactsheetBullets"/>
        <w:numPr>
          <w:ilvl w:val="0"/>
          <w:numId w:val="1"/>
        </w:numPr>
      </w:pPr>
      <w:r w:rsidRPr="00311A64">
        <w:t xml:space="preserve">San Diego County LID Handbook Appendix 4 (Factsheet 7):  </w:t>
      </w:r>
      <w:hyperlink r:id="rId188" w:history="1">
        <w:r w:rsidRPr="00126DE5">
          <w:rPr>
            <w:rStyle w:val="Hyperlink"/>
            <w:rFonts w:ascii="Book Antiqua" w:hAnsi="Book Antiqua"/>
            <w:b/>
            <w:color w:val="0070C0"/>
          </w:rPr>
          <w:t>http://www.sdcounty.ca.gov/dplu/docs/LID-Appendices.pdf</w:t>
        </w:r>
      </w:hyperlink>
    </w:p>
    <w:p w:rsidR="00FC34E0" w:rsidRPr="00581B92" w:rsidRDefault="00FC34E0" w:rsidP="00FC34E0">
      <w:pPr>
        <w:pStyle w:val="FactsheetBullets"/>
        <w:numPr>
          <w:ilvl w:val="0"/>
          <w:numId w:val="0"/>
        </w:numPr>
        <w:ind w:left="720"/>
        <w:rPr>
          <w:b/>
          <w:color w:val="0070C0"/>
        </w:rPr>
      </w:pPr>
      <w:r w:rsidRPr="00311A64">
        <w:t>Los Angeles Unified School District (LAUSD) Stormwater Technical Manual, Chapter 4:</w:t>
      </w:r>
      <w:r>
        <w:t xml:space="preserve"> </w:t>
      </w:r>
      <w:hyperlink r:id="rId189" w:history="1">
        <w:r w:rsidRPr="00126DE5">
          <w:rPr>
            <w:rStyle w:val="Hyperlink"/>
            <w:rFonts w:ascii="Book Antiqua" w:hAnsi="Book Antiqua"/>
            <w:b/>
            <w:color w:val="0070C0"/>
          </w:rPr>
          <w:t>http://www.laschools.org/employee/design/fs-studies-and-reports/download/white_paper_report_material/Storm_Water_Technical_Manual_2009-opt-red.pdf?version_id=76975850</w:t>
        </w:r>
      </w:hyperlink>
    </w:p>
    <w:p w:rsidR="00FC34E0" w:rsidRPr="00581B92" w:rsidRDefault="00FC34E0" w:rsidP="00FC34E0">
      <w:pPr>
        <w:pStyle w:val="FactsheetBullets"/>
        <w:numPr>
          <w:ilvl w:val="0"/>
          <w:numId w:val="1"/>
        </w:numPr>
        <w:spacing w:after="200"/>
        <w:rPr>
          <w:rFonts w:eastAsiaTheme="majorEastAsia" w:cstheme="majorBidi"/>
          <w:b/>
          <w:bCs/>
          <w:i/>
          <w:iCs/>
        </w:rPr>
      </w:pPr>
      <w:r w:rsidRPr="00311A64">
        <w:t>County of Los Angeles Low Impact Development Standards Manual, Chapter 5:</w:t>
      </w:r>
      <w:r>
        <w:t xml:space="preserve"> </w:t>
      </w:r>
      <w:hyperlink r:id="rId190" w:history="1">
        <w:r w:rsidRPr="00126DE5">
          <w:rPr>
            <w:rStyle w:val="Hyperlink"/>
            <w:rFonts w:ascii="Book Antiqua" w:hAnsi="Book Antiqua"/>
            <w:b/>
            <w:color w:val="0070C0"/>
          </w:rPr>
          <w:t>http://dpw.lacounty.gov/wmd/LA_County_LID_Manual.pdf</w:t>
        </w:r>
      </w:hyperlink>
      <w:r>
        <w:br w:type="page"/>
      </w:r>
    </w:p>
    <w:p w:rsidR="00FC34E0" w:rsidRPr="00B53524" w:rsidRDefault="00126F3D" w:rsidP="00533A19">
      <w:pPr>
        <w:pStyle w:val="Heading3"/>
        <w:numPr>
          <w:ilvl w:val="0"/>
          <w:numId w:val="0"/>
        </w:numPr>
        <w:ind w:left="907" w:hanging="907"/>
      </w:pPr>
      <w:bookmarkStart w:id="870" w:name="_Toc285522610"/>
      <w:bookmarkStart w:id="871" w:name="_Ref287795156"/>
      <w:r w:rsidRPr="00126F3D">
        <w:rPr>
          <w:i/>
          <w:iCs/>
          <w:noProof/>
        </w:rPr>
        <w:pict>
          <v:shape id="Text Box 54" o:spid="_x0000_s1173" type="#_x0000_t202" style="position:absolute;left:0;text-align:left;margin-left:-158.4pt;margin-top:-2.1pt;width:158.4pt;height:71.7pt;z-index:251778048;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" fillcolor="#d8d8d8">
            <v:textbox style="mso-next-textbox:#Text Box 54">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Default="00853C9A" w:rsidP="009531AF">
                  <w:pPr>
                    <w:pStyle w:val="CDMBTEXT"/>
                    <w:numPr>
                      <w:ilvl w:val="0"/>
                      <w:numId w:val="67"/>
                    </w:numPr>
                    <w:spacing w:after="60" w:line="240" w:lineRule="auto"/>
                    <w:ind w:left="540"/>
                    <w:rPr>
                      <w:i/>
                    </w:rPr>
                  </w:pPr>
                  <w:r>
                    <w:rPr>
                      <w:i/>
                    </w:rPr>
                    <w:t>Bioswale</w:t>
                  </w:r>
                </w:p>
                <w:p w:rsidR="00853C9A" w:rsidRDefault="00853C9A" w:rsidP="009531AF">
                  <w:pPr>
                    <w:pStyle w:val="CDMBTEXT"/>
                    <w:numPr>
                      <w:ilvl w:val="0"/>
                      <w:numId w:val="67"/>
                    </w:numPr>
                    <w:spacing w:after="60" w:line="240" w:lineRule="auto"/>
                    <w:ind w:left="540"/>
                    <w:rPr>
                      <w:i/>
                    </w:rPr>
                  </w:pPr>
                  <w:r>
                    <w:rPr>
                      <w:i/>
                    </w:rPr>
                    <w:t>Biofiltration swale</w:t>
                  </w:r>
                </w:p>
                <w:p w:rsidR="00853C9A" w:rsidRPr="009F707D" w:rsidRDefault="00853C9A" w:rsidP="009531AF">
                  <w:pPr>
                    <w:pStyle w:val="CDMBTEXT"/>
                    <w:numPr>
                      <w:ilvl w:val="0"/>
                      <w:numId w:val="67"/>
                    </w:numPr>
                    <w:spacing w:after="60" w:line="240" w:lineRule="auto"/>
                    <w:ind w:left="540"/>
                    <w:rPr>
                      <w:i/>
                    </w:rPr>
                  </w:pPr>
                  <w:r>
                    <w:rPr>
                      <w:i/>
                    </w:rPr>
                    <w:t>Grass swale</w:t>
                  </w:r>
                </w:p>
              </w:txbxContent>
            </v:textbox>
            <w10:wrap type="square" anchorx="margin" anchory="margin"/>
          </v:shape>
        </w:pict>
      </w:r>
      <w:bookmarkStart w:id="872" w:name="_Toc285589338"/>
      <w:r w:rsidR="00FC34E0">
        <w:t xml:space="preserve">BIO-2: </w:t>
      </w:r>
      <w:r w:rsidR="00FC34E0" w:rsidRPr="00311A64">
        <w:t>Vegetated Swale</w:t>
      </w:r>
      <w:bookmarkEnd w:id="870"/>
      <w:bookmarkEnd w:id="871"/>
      <w:bookmarkEnd w:id="872"/>
      <w:r w:rsidR="00FC34E0" w:rsidRPr="00311A64">
        <w:t xml:space="preserve"> </w:t>
      </w:r>
    </w:p>
    <w:p w:rsidR="00FC34E0" w:rsidRPr="00B53524" w:rsidRDefault="00126F3D" w:rsidP="00FC34E0">
      <w:pPr>
        <w:autoSpaceDE w:val="0"/>
        <w:autoSpaceDN w:val="0"/>
        <w:adjustRightInd w:val="0"/>
        <w:jc w:val="both"/>
        <w:rPr>
          <w:rFonts w:eastAsia="Times New Roman"/>
          <w:noProof/>
        </w:rPr>
      </w:pPr>
      <w:r w:rsidRPr="00126F3D">
        <w:rPr>
          <w:b/>
          <w:bCs/>
          <w:i/>
          <w:iCs/>
          <w:noProof/>
        </w:rPr>
        <w:pict>
          <v:shape id="Text Box 53" o:spid="_x0000_s1174" type="#_x0000_t202" style="position:absolute;left:0;text-align:left;margin-left:-158.4pt;margin-top:69.6pt;width:158.4pt;height:167.55pt;z-index:251779072;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" filled="f">
            <v:textbox style="mso-next-textbox:#Text Box 53" inset="0,0,0,0">
              <w:txbxContent>
                <w:p w:rsidR="00853C9A" w:rsidRDefault="00853C9A" w:rsidP="00FC34E0">
                  <w:pPr>
                    <w:ind w:left="-29" w:right="-29"/>
                    <w:rPr>
                      <w:rFonts w:ascii="Arial" w:hAnsi="Arial" w:cs="Arial"/>
                      <w:noProof/>
                      <w:sz w:val="20"/>
                    </w:rPr>
                  </w:pPr>
                  <w:r w:rsidRPr="007F0B7E">
                    <w:rPr>
                      <w:rFonts w:ascii="Arial" w:hAnsi="Arial" w:cs="Arial"/>
                      <w:noProof/>
                      <w:sz w:val="20"/>
                    </w:rPr>
                    <w:drawing>
                      <wp:inline distT="0" distB="0" distL="0" distR="0">
                        <wp:extent cx="2002155" cy="1598110"/>
                        <wp:effectExtent l="19050" t="0" r="0" b="0"/>
                        <wp:docPr id="89" name="Picture 2" descr="DSC00368"/>
                        <wp:cNvGraphicFramePr/>
                        <a:graphic xmlns:a="http://schemas.openxmlformats.org/drawingml/2006/main">
                          <a:graphicData uri="http://schemas.openxmlformats.org/drawingml/2006/picture">
                            <pic:pic xmlns:pic="http://schemas.openxmlformats.org/drawingml/2006/picture">
                              <pic:nvPicPr>
                                <pic:cNvPr id="6148" name="Picture 3" descr="DSC00368"/>
                                <pic:cNvPicPr>
                                  <a:picLocks noChangeAspect="1" noChangeArrowheads="1"/>
                                </pic:cNvPicPr>
                              </pic:nvPicPr>
                              <pic:blipFill>
                                <a:blip r:embed="rId191" cstate="screen"/>
                                <a:srcRect/>
                                <a:stretch>
                                  <a:fillRect/>
                                </a:stretch>
                              </pic:blipFill>
                              <pic:spPr bwMode="auto">
                                <a:xfrm>
                                  <a:off x="0" y="0"/>
                                  <a:ext cx="2002155" cy="1598110"/>
                                </a:xfrm>
                                <a:prstGeom prst="rect">
                                  <a:avLst/>
                                </a:prstGeom>
                                <a:noFill/>
                                <a:ln w="9525">
                                  <a:noFill/>
                                  <a:miter lim="800000"/>
                                  <a:headEnd/>
                                  <a:tailEnd/>
                                </a:ln>
                              </pic:spPr>
                            </pic:pic>
                          </a:graphicData>
                        </a:graphic>
                      </wp:inline>
                    </w:drawing>
                  </w:r>
                </w:p>
                <w:p w:rsidR="00853C9A" w:rsidRPr="00FA56FE" w:rsidRDefault="00853C9A" w:rsidP="00FC34E0">
                  <w:pPr>
                    <w:ind w:left="180" w:right="-29"/>
                    <w:rPr>
                      <w:rFonts w:ascii="Arial" w:hAnsi="Arial" w:cs="Arial"/>
                      <w:sz w:val="20"/>
                    </w:rPr>
                  </w:pPr>
                  <w:r>
                    <w:rPr>
                      <w:rFonts w:ascii="Arial" w:hAnsi="Arial" w:cs="Arial"/>
                      <w:sz w:val="20"/>
                    </w:rPr>
                    <w:t>Vegetated Swale</w:t>
                  </w:r>
                  <w:r w:rsidRPr="00FA56FE">
                    <w:rPr>
                      <w:rFonts w:ascii="Arial" w:hAnsi="Arial" w:cs="Arial"/>
                      <w:sz w:val="20"/>
                    </w:rPr>
                    <w:t xml:space="preserve"> </w:t>
                  </w:r>
                  <w:r>
                    <w:rPr>
                      <w:rFonts w:ascii="Arial" w:hAnsi="Arial" w:cs="Arial"/>
                      <w:sz w:val="20"/>
                    </w:rPr>
                    <w:br/>
                  </w:r>
                  <w:r w:rsidRPr="00891F95">
                    <w:rPr>
                      <w:rFonts w:ascii="Arial" w:hAnsi="Arial" w:cs="Arial"/>
                      <w:i/>
                      <w:sz w:val="18"/>
                    </w:rPr>
                    <w:t>Source: Geosyntec Consultants</w:t>
                  </w:r>
                </w:p>
              </w:txbxContent>
            </v:textbox>
            <w10:wrap type="square" anchorx="margin" anchory="margin"/>
          </v:shape>
        </w:pict>
      </w:r>
      <w:r w:rsidR="00FC34E0" w:rsidRPr="00311A64">
        <w:rPr>
          <w:rFonts w:eastAsia="Times New Roman"/>
          <w:noProof/>
        </w:rPr>
        <w:t xml:space="preserve">Vegetated swale filters (vegetated swales) are open, shallow channels with low-lying vegetation covering the side slopes and bottom that collect and slowly convey runoff flow to downstream discharge points. Vegetated swales provide pollutant removal through settling and filtration in the vegetation (usually grasses) lining the channels. In addition, they provide the opportunity for volume reduction through infiltration and </w:t>
      </w:r>
      <w:r w:rsidR="00FD5274">
        <w:rPr>
          <w:rFonts w:eastAsia="Times New Roman"/>
          <w:noProof/>
        </w:rPr>
        <w:t>ET</w:t>
      </w:r>
      <w:r w:rsidR="00FC34E0" w:rsidRPr="00311A64">
        <w:rPr>
          <w:rFonts w:eastAsia="Times New Roman"/>
          <w:noProof/>
        </w:rPr>
        <w:t xml:space="preserve">, and reduce the flow velocity in addition to conveying storm water runoff. Where soil conditions allow, volume reduction in vegetated swales can be enhanced by adding a gravel drainage layer underneath the swale allowing additional flows to be retained and infiltrated. Where slopes are shallow and soil conditions limit or prohibit infiltration, an underdrain system or low flow channel for dry weather flows may be required to minimize ponding and convey treated and/or dry weather flows to an acceptable discharge point.  An effective vegetated swale achieves uniform sheet flow through a densely vegetated area for a period of several minutes. The vegetation in the swale can vary depending on its location within the project area and is </w:t>
      </w:r>
      <w:r w:rsidR="00FC34E0">
        <w:rPr>
          <w:rFonts w:eastAsia="Times New Roman"/>
          <w:noProof/>
        </w:rPr>
        <w:t xml:space="preserve">generally </w:t>
      </w:r>
      <w:r w:rsidR="00FC34E0" w:rsidRPr="00311A64">
        <w:rPr>
          <w:rFonts w:eastAsia="Times New Roman"/>
          <w:noProof/>
        </w:rPr>
        <w:t xml:space="preserve">the choice of the designer, </w:t>
      </w:r>
      <w:r w:rsidR="00FC34E0">
        <w:rPr>
          <w:rFonts w:eastAsia="Times New Roman"/>
          <w:noProof/>
        </w:rPr>
        <w:t>subject to</w:t>
      </w:r>
      <w:r w:rsidR="00FC34E0" w:rsidRPr="00311A64">
        <w:rPr>
          <w:rFonts w:eastAsia="Times New Roman"/>
          <w:noProof/>
        </w:rPr>
        <w:t xml:space="preserve"> the design criteria outlined in this section.</w:t>
      </w:r>
    </w:p>
    <w:p w:rsidR="00FC34E0" w:rsidRPr="00B53524" w:rsidRDefault="00FC34E0" w:rsidP="00FC34E0">
      <w:pPr>
        <w:pStyle w:val="FactsheetSubheading"/>
        <w:outlineLvl w:val="0"/>
      </w:pPr>
      <w:r>
        <w:t>Feasibility</w:t>
      </w:r>
      <w:r w:rsidRPr="00311A64">
        <w:t xml:space="preserve"> Screening Considerations</w:t>
      </w:r>
    </w:p>
    <w:p w:rsidR="00FC34E0" w:rsidRPr="00B53524" w:rsidRDefault="00FC34E0" w:rsidP="00FC34E0">
      <w:pPr>
        <w:pStyle w:val="FactsheetBullets"/>
        <w:numPr>
          <w:ilvl w:val="0"/>
          <w:numId w:val="1"/>
        </w:numPr>
      </w:pPr>
      <w:r w:rsidRPr="00311A64">
        <w:t>Swales may cause incidental infiltration</w:t>
      </w:r>
      <w:r>
        <w:rPr>
          <w:rFonts w:ascii="Tahoma" w:hAnsi="Tahoma" w:cs="Tahoma"/>
          <w:color w:val="000000"/>
        </w:rPr>
        <w:t>; however, infiltration is not a mandatory mechanism for pollutant removal for swales and it may create hazards in some circumstances</w:t>
      </w:r>
      <w:r w:rsidRPr="00311A64">
        <w:t xml:space="preserve">.  Therefore, </w:t>
      </w:r>
      <w:r>
        <w:t>conditions should be evaluated to determine</w:t>
      </w:r>
      <w:r w:rsidRPr="00311A64">
        <w:t xml:space="preserve"> whether </w:t>
      </w:r>
      <w:r>
        <w:t>circumstances require</w:t>
      </w:r>
      <w:r w:rsidRPr="00311A64">
        <w:t xml:space="preserve"> an impermeable liner to avoid infiltration into the subsurface. </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rsidRPr="00311A64">
        <w:t>Open areas are needed for vegetated swales, including, but not limited to, road shoulders, road medians, park</w:t>
      </w:r>
      <w:r>
        <w:t>s</w:t>
      </w:r>
      <w:r w:rsidRPr="00311A64">
        <w:t xml:space="preserve"> and athletic field</w:t>
      </w:r>
      <w:r>
        <w:t>s</w:t>
      </w:r>
      <w:r w:rsidRPr="00311A64">
        <w:t xml:space="preserve"> and can be constructed in residential or commercial areas.</w:t>
      </w:r>
    </w:p>
    <w:p w:rsidR="00FC34E0" w:rsidRPr="00B53524" w:rsidRDefault="00FC34E0" w:rsidP="00FC34E0">
      <w:pPr>
        <w:pStyle w:val="FactsheetBullets"/>
        <w:numPr>
          <w:ilvl w:val="0"/>
          <w:numId w:val="1"/>
        </w:numPr>
      </w:pPr>
      <w:r w:rsidRPr="00311A64">
        <w:t>Site</w:t>
      </w:r>
      <w:r>
        <w:t xml:space="preserve"> slope is less than 10 percent.</w:t>
      </w:r>
      <w:r w:rsidRPr="00311A64">
        <w:t xml:space="preserve"> </w:t>
      </w:r>
    </w:p>
    <w:p w:rsidR="00FC34E0" w:rsidRPr="00B53524" w:rsidRDefault="00FC34E0" w:rsidP="00FC34E0">
      <w:pPr>
        <w:pStyle w:val="FactsheetBullets"/>
        <w:numPr>
          <w:ilvl w:val="0"/>
          <w:numId w:val="1"/>
        </w:numPr>
      </w:pPr>
      <w:r w:rsidRPr="00311A64">
        <w:t xml:space="preserve">Drainage area is ≤ 5 acres. </w:t>
      </w:r>
    </w:p>
    <w:p w:rsidR="00FC34E0" w:rsidRPr="00B53524" w:rsidRDefault="00FC34E0" w:rsidP="00FC34E0">
      <w:pPr>
        <w:pStyle w:val="FactsheetBullets"/>
        <w:numPr>
          <w:ilvl w:val="0"/>
          <w:numId w:val="1"/>
        </w:numPr>
      </w:pPr>
      <w:r w:rsidRPr="00311A64">
        <w:t>Vegetated swales must not interfere with flood control functions of existing conveyance and detention structures.</w:t>
      </w:r>
    </w:p>
    <w:p w:rsidR="00FC34E0" w:rsidRPr="00B53524" w:rsidRDefault="00FC34E0" w:rsidP="00FC34E0">
      <w:pPr>
        <w:pStyle w:val="FactsheetSubheading"/>
        <w:outlineLvl w:val="0"/>
      </w:pPr>
      <w:r w:rsidRPr="00311A64">
        <w:t>OC-Specific Design Criteria and Considerations</w:t>
      </w:r>
    </w:p>
    <w:tbl>
      <w:tblPr>
        <w:tblStyle w:val="TableGrid"/>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
        <w:gridCol w:w="8730"/>
      </w:tblGrid>
      <w:tr w:rsidR="00FC34E0" w:rsidRPr="00B53524" w:rsidTr="00FC34E0">
        <w:trPr>
          <w:trHeight w:val="147"/>
        </w:trPr>
        <w:tc>
          <w:tcPr>
            <w:tcW w:w="45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pStyle w:val="CheckBoxTableText"/>
            </w:pPr>
            <w:r w:rsidRPr="00311A64">
              <w:t>Swales should have a minimum bottom width of 2 feet and a maximum bottom width of 10 feet.  Swale dividers should be used if the bottom width must exceed 10 feet</w:t>
            </w:r>
            <w:r>
              <w:t xml:space="preserve"> to promote even distribution of flow across the swale</w:t>
            </w:r>
            <w:r w:rsidRPr="00311A64">
              <w:t xml:space="preserve">. </w:t>
            </w:r>
            <w:r>
              <w:t>Local juridictions may require larger minimum widths based on maintenance requirements.</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The channel side slope should not exceed 2:1 (H:V) for a total swale depth of 1 foot or less. For deeper swales or mowed grass swales, the maximum channel side slope should be 3:1. Where space is constrained, swales may have vertical concrete or block walls provided that slope stability, maintenance access and public safety considerations are met.</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t>The</w:t>
            </w:r>
            <w:r w:rsidRPr="00311A64">
              <w:t xml:space="preserve"> minimum </w:t>
            </w:r>
            <w:r>
              <w:t xml:space="preserve">swale </w:t>
            </w:r>
            <w:r w:rsidRPr="00311A64">
              <w:t xml:space="preserve">length </w:t>
            </w:r>
            <w:r>
              <w:t>for biotreatment applications is</w:t>
            </w:r>
            <w:r w:rsidRPr="00311A64">
              <w:t xml:space="preserve"> 100 feet. Th</w:t>
            </w:r>
            <w:r>
              <w:t xml:space="preserve">e minimum residence time for flows in the swale is </w:t>
            </w:r>
            <w:r w:rsidRPr="00311A64">
              <w:t xml:space="preserve">10 minutes. </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Default="00FC34E0" w:rsidP="00FC34E0">
            <w:pPr>
              <w:pStyle w:val="CheckBoxTableText"/>
            </w:pPr>
            <w:r>
              <w:t>If slope is less than 1.5%, underdrains should be provided for the length of the swale</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311A64" w:rsidRDefault="00FC34E0" w:rsidP="00FC34E0">
            <w:pPr>
              <w:pStyle w:val="CheckBoxTableText"/>
            </w:pPr>
            <w:r>
              <w:t>A gravel blanket or bedding is required around the underdrain pipe(s).  At least 0.5 feet of washed aggregate must be placed below, to the top, and to the sides of the underdrain pipe(s).</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If an underdrain is included, an amended soil layer of 1 foot minimum thickness must be provided above the underdrain</w:t>
            </w:r>
            <w:r>
              <w:t xml:space="preserve"> meeting the specifications of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_Ref287705023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MISC-1: Planting/Storage Media</w:t>
            </w:r>
            <w:r w:rsidR="00126F3D" w:rsidRPr="00126DE5">
              <w:rPr>
                <w:rFonts w:ascii="Book Antiqua" w:hAnsi="Book Antiqua"/>
                <w:b/>
                <w:color w:val="0070C0"/>
              </w:rPr>
              <w:fldChar w:fldCharType="end"/>
            </w:r>
            <w:r w:rsidRPr="00311A64">
              <w:t>.</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The maximum bed slope in flow direction should not exceed 6% (unles check dams are provided)</w:t>
            </w:r>
            <w:r>
              <w:t>.</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 xml:space="preserve">The maximum flow velocity should not exceed 1.0 ft/sec for water quality treatment swales. </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For infrequently mowed swales, a maximum flow depth of 4 inches should be implemented. For frequently mowed turf swales, the maximum flow depth is 2 inches.</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The vegetation height should be maintained between 4 to 6 inches.</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Gradual meandering bends in the swale are desirable for aesthetic purposes and to promote slower flow and particulate settling.</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311A64" w:rsidRDefault="00FC34E0" w:rsidP="00FC34E0">
            <w:pPr>
              <w:pStyle w:val="CheckBoxTableText"/>
            </w:pPr>
            <w:r>
              <w:rPr>
                <w:rFonts w:ascii="Tahoma" w:hAnsi="Tahoma" w:cs="Tahoma"/>
                <w:color w:val="000000"/>
              </w:rPr>
              <w:t>Blockages in the swale that result in uneven flow distribution and points of concentrated flow should be avoided.  Blockages that should be avoided include trees, bushes, light pole piers, and utility vaults or pads.</w:t>
            </w:r>
          </w:p>
        </w:tc>
      </w:tr>
    </w:tbl>
    <w:p w:rsidR="00FC34E0" w:rsidRPr="00B53524" w:rsidRDefault="00FC34E0" w:rsidP="00FC34E0">
      <w:pPr>
        <w:pStyle w:val="FactsheetSubheading"/>
      </w:pPr>
      <w:r>
        <w:t>Sizing Method</w:t>
      </w:r>
      <w:r w:rsidRPr="00311A64">
        <w:t xml:space="preserve"> for Vegetated Swales</w:t>
      </w:r>
    </w:p>
    <w:p w:rsidR="00FC34E0" w:rsidRDefault="00FC34E0" w:rsidP="00FC34E0">
      <w:pPr>
        <w:pStyle w:val="CheckBoxTableText"/>
      </w:pPr>
      <w:r>
        <w:t>The Design Capture Method for Flow-based BMPs should be used to determine the design flowrate for a vegetated swale. The user then selects the design flow depth and longitudinal slope and uses the sizing steps below to determine the length and width of the swale. The sizing steps are as follows:</w:t>
      </w:r>
    </w:p>
    <w:p w:rsidR="00FC34E0" w:rsidRDefault="00FC34E0" w:rsidP="00FC34E0">
      <w:pPr>
        <w:pStyle w:val="FSStepHeaders"/>
      </w:pPr>
      <w:r>
        <w:t>Step 1: Determine Design Flowrate (Q)</w:t>
      </w:r>
    </w:p>
    <w:p w:rsidR="00FC34E0" w:rsidRDefault="00FC34E0" w:rsidP="00FC34E0">
      <w:pPr>
        <w:pStyle w:val="CheckBoxTableText"/>
      </w:pPr>
      <w:r>
        <w:t xml:space="preserve">Calculate the Design Flowrate (Q) using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_Ref287707497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Capture Efficiency Method for Flow-based BMPs</w:t>
      </w:r>
      <w:r w:rsidR="00126F3D" w:rsidRPr="00126DE5">
        <w:rPr>
          <w:rFonts w:ascii="Book Antiqua" w:hAnsi="Book Antiqua"/>
          <w:b/>
          <w:color w:val="0070C0"/>
        </w:rPr>
        <w:fldChar w:fldCharType="end"/>
      </w:r>
      <w:r>
        <w:rPr>
          <w:b/>
          <w:color w:val="00B050"/>
        </w:rPr>
        <w:t xml:space="preserve"> </w:t>
      </w:r>
      <w:r w:rsidR="001958AC">
        <w:t xml:space="preserve">(See </w:t>
      </w:r>
      <w:r w:rsidR="001958AC" w:rsidRPr="001958AC">
        <w:rPr>
          <w:b/>
          <w:color w:val="0070C0"/>
        </w:rPr>
        <w:t xml:space="preserve">Appendix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_Ref287707497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III.3.3</w:t>
      </w:r>
      <w:r w:rsidR="00126F3D" w:rsidRPr="00126DE5">
        <w:rPr>
          <w:rFonts w:ascii="Book Antiqua" w:hAnsi="Book Antiqua"/>
          <w:b/>
          <w:color w:val="0070C0"/>
        </w:rPr>
        <w:fldChar w:fldCharType="end"/>
      </w:r>
      <w:r w:rsidRPr="001958AC">
        <w:t>)</w:t>
      </w:r>
      <w:r>
        <w:t>. Inputs include the time of concentration of the catchment (</w:t>
      </w:r>
      <w:r w:rsidRPr="002365B9">
        <w:t>T</w:t>
      </w:r>
      <w:r w:rsidRPr="002365B9">
        <w:rPr>
          <w:vertAlign w:val="subscript"/>
        </w:rPr>
        <w:t>c</w:t>
      </w:r>
      <w:r>
        <w:t>) and the capture efficiency achieved upstream by HSCs or other BMPs.</w:t>
      </w:r>
    </w:p>
    <w:p w:rsidR="00FC34E0" w:rsidRDefault="00FC34E0" w:rsidP="00FC34E0">
      <w:pPr>
        <w:pStyle w:val="FSStepHeaders"/>
      </w:pPr>
      <w:r>
        <w:t>Step 2: Estimate the Swale Bottom Width</w:t>
      </w:r>
    </w:p>
    <w:p w:rsidR="00FC34E0" w:rsidRDefault="00FC34E0" w:rsidP="00FC34E0">
      <w:pPr>
        <w:pStyle w:val="CheckBoxTableText"/>
      </w:pPr>
      <w:r>
        <w:t>For shallow flow depths, channel side slopes can be ignored and the bottom width can be calculated using a simplified form of Manning’s formula:</w:t>
      </w:r>
    </w:p>
    <w:p w:rsidR="00FC34E0" w:rsidRDefault="00FC34E0" w:rsidP="00FC34E0">
      <w:pPr>
        <w:pStyle w:val="FactSheetEquation"/>
      </w:pPr>
      <w:r>
        <w:t>b = (Q × n</w:t>
      </w:r>
      <w:r>
        <w:rPr>
          <w:vertAlign w:val="subscript"/>
        </w:rPr>
        <w:t>WQ</w:t>
      </w:r>
      <w:r>
        <w:t>) / (1.49 × y</w:t>
      </w:r>
      <w:r>
        <w:rPr>
          <w:vertAlign w:val="superscript"/>
        </w:rPr>
        <w:t>1.67</w:t>
      </w:r>
      <w:r>
        <w:rPr>
          <w:vertAlign w:val="subscript"/>
        </w:rPr>
        <w:t xml:space="preserve"> </w:t>
      </w:r>
      <w:r>
        <w:t>× s</w:t>
      </w:r>
      <w:r>
        <w:rPr>
          <w:vertAlign w:val="superscript"/>
        </w:rPr>
        <w:t>0.5</w:t>
      </w:r>
      <w:r>
        <w:t>)</w:t>
      </w:r>
    </w:p>
    <w:p w:rsidR="00FC34E0" w:rsidRDefault="00FC34E0" w:rsidP="00FC34E0">
      <w:pPr>
        <w:pStyle w:val="CheckBoxTableText"/>
      </w:pPr>
      <w:r>
        <w:t>Where:</w:t>
      </w:r>
    </w:p>
    <w:p w:rsidR="00FC34E0" w:rsidRDefault="00FC34E0" w:rsidP="00FC34E0">
      <w:pPr>
        <w:pStyle w:val="FactSheetEquation"/>
      </w:pPr>
      <w:r>
        <w:t>b = estimated swale bottom width, ft</w:t>
      </w:r>
    </w:p>
    <w:p w:rsidR="00FC34E0" w:rsidRDefault="00FC34E0" w:rsidP="00FC34E0">
      <w:pPr>
        <w:pStyle w:val="FactSheetEquation"/>
      </w:pPr>
      <w:r>
        <w:t>Q = design flowrate, cfs</w:t>
      </w:r>
    </w:p>
    <w:p w:rsidR="00FC34E0" w:rsidRDefault="00FC34E0" w:rsidP="00FC34E0">
      <w:pPr>
        <w:pStyle w:val="FactSheetEquation"/>
      </w:pPr>
      <w:r>
        <w:t>n</w:t>
      </w:r>
      <w:r>
        <w:rPr>
          <w:vertAlign w:val="subscript"/>
        </w:rPr>
        <w:t>WQ</w:t>
      </w:r>
      <w:r>
        <w:t xml:space="preserve"> = Manning’s roughness coefficient for shallow flow conditions, use 0.2 unless other information is available</w:t>
      </w:r>
    </w:p>
    <w:p w:rsidR="00FC34E0" w:rsidRDefault="00FC34E0" w:rsidP="00FC34E0">
      <w:pPr>
        <w:pStyle w:val="FactSheetEquation"/>
      </w:pPr>
      <w:r>
        <w:t>y = design flow depth, ft (not to exceed 4 inches or 0.33 ft)</w:t>
      </w:r>
    </w:p>
    <w:p w:rsidR="00FC34E0" w:rsidRDefault="00FC34E0" w:rsidP="00FC34E0">
      <w:pPr>
        <w:pStyle w:val="FactSheetEquation"/>
      </w:pPr>
      <w:r>
        <w:t xml:space="preserve">s = longitudinal slope in flow direction, ft/ft (not to exceed 0.06) </w:t>
      </w:r>
    </w:p>
    <w:p w:rsidR="00FC34E0" w:rsidRDefault="00FC34E0" w:rsidP="00FC34E0">
      <w:pPr>
        <w:pStyle w:val="CheckBoxTableText"/>
      </w:pPr>
      <w:r>
        <w:t xml:space="preserve">If b is between 2 and 10 feet, proceed to step 3. </w:t>
      </w:r>
    </w:p>
    <w:p w:rsidR="00FC34E0" w:rsidRDefault="00FC34E0" w:rsidP="00FC34E0">
      <w:pPr>
        <w:pStyle w:val="CheckBoxTableText"/>
      </w:pPr>
      <w:r>
        <w:t>If b is less than 2 feet, increase b to 2 feet and recalculate design flow depth using the following:</w:t>
      </w:r>
    </w:p>
    <w:p w:rsidR="00FC34E0" w:rsidRDefault="00FC34E0" w:rsidP="00FC34E0">
      <w:pPr>
        <w:pStyle w:val="FactSheetEquation"/>
        <w:rPr>
          <w:vertAlign w:val="superscript"/>
        </w:rPr>
      </w:pPr>
      <w:r>
        <w:t>y = ((Q × n</w:t>
      </w:r>
      <w:r>
        <w:rPr>
          <w:vertAlign w:val="subscript"/>
        </w:rPr>
        <w:t>WQ</w:t>
      </w:r>
      <w:r>
        <w:t>) / (1.49 × b × s</w:t>
      </w:r>
      <w:r>
        <w:rPr>
          <w:vertAlign w:val="superscript"/>
        </w:rPr>
        <w:t>0.5</w:t>
      </w:r>
      <w:r>
        <w:t>))</w:t>
      </w:r>
      <w:r>
        <w:rPr>
          <w:vertAlign w:val="superscript"/>
        </w:rPr>
        <w:t>0.6</w:t>
      </w:r>
    </w:p>
    <w:p w:rsidR="00FC34E0" w:rsidRDefault="00FC34E0" w:rsidP="00FC34E0">
      <w:pPr>
        <w:pStyle w:val="CheckBoxTableText"/>
      </w:pPr>
      <w:r>
        <w:t>If b is greater than 10 feet, one of the following steps is necessary:</w:t>
      </w:r>
    </w:p>
    <w:p w:rsidR="00FC34E0" w:rsidRDefault="00FC34E0" w:rsidP="00FC34E0">
      <w:pPr>
        <w:pStyle w:val="FactsheetBullets"/>
        <w:numPr>
          <w:ilvl w:val="0"/>
          <w:numId w:val="1"/>
        </w:numPr>
      </w:pPr>
      <w:r>
        <w:t>Increase longitudinal slope to a maximum of 6% or 0.06, and recalculate b</w:t>
      </w:r>
    </w:p>
    <w:p w:rsidR="00FC34E0" w:rsidRDefault="00FC34E0" w:rsidP="00FC34E0">
      <w:pPr>
        <w:pStyle w:val="FactsheetBullets"/>
        <w:numPr>
          <w:ilvl w:val="0"/>
          <w:numId w:val="1"/>
        </w:numPr>
      </w:pPr>
      <w:r>
        <w:t>Increase design flow depth to a maximum of 4 inches or 0.33 ft, and recalculate b</w:t>
      </w:r>
    </w:p>
    <w:p w:rsidR="00FC34E0" w:rsidRDefault="00FC34E0" w:rsidP="00FC34E0">
      <w:pPr>
        <w:pStyle w:val="FactsheetBullets"/>
        <w:numPr>
          <w:ilvl w:val="0"/>
          <w:numId w:val="1"/>
        </w:numPr>
      </w:pPr>
      <w:r>
        <w:t xml:space="preserve">Install a divider lengthwise along swale bottom at least three-quarters of the swale length, beginning at the inlet. The swale width can be increased to 16 feet if a divider is provided.  </w:t>
      </w:r>
    </w:p>
    <w:p w:rsidR="00FC34E0" w:rsidRDefault="00FC34E0" w:rsidP="00FC34E0">
      <w:pPr>
        <w:pStyle w:val="FSStepHeaders"/>
      </w:pPr>
      <w:r>
        <w:t>Step 3: Determine Design Flow Velocity</w:t>
      </w:r>
    </w:p>
    <w:p w:rsidR="00FC34E0" w:rsidRDefault="00FC34E0" w:rsidP="00FC34E0">
      <w:pPr>
        <w:pStyle w:val="CheckBoxTableText"/>
      </w:pPr>
      <w:r>
        <w:t>Calculate the design flow velocity using the following equation:</w:t>
      </w:r>
    </w:p>
    <w:p w:rsidR="00FC34E0" w:rsidRDefault="00FC34E0" w:rsidP="00FC34E0">
      <w:pPr>
        <w:pStyle w:val="FactSheetEquation"/>
      </w:pPr>
      <w:r>
        <w:t>V</w:t>
      </w:r>
      <w:r>
        <w:rPr>
          <w:vertAlign w:val="subscript"/>
        </w:rPr>
        <w:t>WQ</w:t>
      </w:r>
      <w:r>
        <w:t xml:space="preserve"> = Q / A</w:t>
      </w:r>
      <w:r>
        <w:rPr>
          <w:vertAlign w:val="subscript"/>
        </w:rPr>
        <w:t>WQ</w:t>
      </w:r>
      <w:r>
        <w:t xml:space="preserve"> </w:t>
      </w:r>
    </w:p>
    <w:p w:rsidR="00FC34E0" w:rsidRDefault="00FC34E0" w:rsidP="00FC34E0">
      <w:pPr>
        <w:pStyle w:val="CheckBoxTableText"/>
      </w:pPr>
      <w:r>
        <w:t>Where:</w:t>
      </w:r>
    </w:p>
    <w:p w:rsidR="00FC34E0" w:rsidRDefault="00FC34E0" w:rsidP="00FC34E0">
      <w:pPr>
        <w:pStyle w:val="FactSheetEquation"/>
      </w:pPr>
      <w:r>
        <w:t>V</w:t>
      </w:r>
      <w:r>
        <w:rPr>
          <w:vertAlign w:val="subscript"/>
        </w:rPr>
        <w:t>WQ</w:t>
      </w:r>
      <w:r>
        <w:t xml:space="preserve"> = design flow velocity, fps</w:t>
      </w:r>
    </w:p>
    <w:p w:rsidR="00FC34E0" w:rsidRDefault="00FC34E0" w:rsidP="00FC34E0">
      <w:pPr>
        <w:pStyle w:val="FactSheetEquation"/>
      </w:pPr>
      <w:r>
        <w:t>Q = design flowrate, cfs</w:t>
      </w:r>
    </w:p>
    <w:p w:rsidR="00FC34E0" w:rsidRDefault="00FC34E0" w:rsidP="00FC34E0">
      <w:pPr>
        <w:pStyle w:val="FactSheetEquation"/>
      </w:pPr>
      <w:r>
        <w:t>A</w:t>
      </w:r>
      <w:r>
        <w:rPr>
          <w:vertAlign w:val="subscript"/>
        </w:rPr>
        <w:t>WQ</w:t>
      </w:r>
      <w:r>
        <w:t xml:space="preserve"> = by + Zy</w:t>
      </w:r>
      <w:r>
        <w:rPr>
          <w:vertAlign w:val="superscript"/>
        </w:rPr>
        <w:t>2</w:t>
      </w:r>
      <w:r>
        <w:t>, cross sectional area of flow at design depth</w:t>
      </w:r>
    </w:p>
    <w:p w:rsidR="00FC34E0" w:rsidRDefault="00FC34E0" w:rsidP="00FC34E0">
      <w:pPr>
        <w:pStyle w:val="FactSheetEquation"/>
      </w:pPr>
      <w:r>
        <w:t>Z = side slope length per unit height</w:t>
      </w:r>
    </w:p>
    <w:p w:rsidR="00FC34E0" w:rsidRDefault="00FC34E0" w:rsidP="00FC34E0">
      <w:pPr>
        <w:pStyle w:val="CheckBoxTableText"/>
      </w:pPr>
      <w:r>
        <w:t>If the design flow velocity exceeds 1 foot per second, design parameters in Step 2 should be adjusted (slope, bottom width, or design flow depth) until V</w:t>
      </w:r>
      <w:r>
        <w:rPr>
          <w:vertAlign w:val="subscript"/>
        </w:rPr>
        <w:t xml:space="preserve">WQ </w:t>
      </w:r>
      <w:r>
        <w:t xml:space="preserve"> is equal or less than 1 fps. </w:t>
      </w:r>
    </w:p>
    <w:p w:rsidR="00FC34E0" w:rsidRDefault="00FC34E0" w:rsidP="00FC34E0">
      <w:pPr>
        <w:pStyle w:val="FSStepHeaders"/>
      </w:pPr>
      <w:r>
        <w:t>Step 4: Calculate Swale Length</w:t>
      </w:r>
    </w:p>
    <w:p w:rsidR="00FC34E0" w:rsidRDefault="00FC34E0" w:rsidP="00FC34E0">
      <w:pPr>
        <w:pStyle w:val="CheckBoxTableText"/>
      </w:pPr>
      <w:r>
        <w:t>Calculate the swale length needed to achieve a minimum hydraulic residence time of 10 minutes using the following equation:</w:t>
      </w:r>
    </w:p>
    <w:p w:rsidR="00FC34E0" w:rsidRDefault="00FC34E0" w:rsidP="00FC34E0">
      <w:pPr>
        <w:pStyle w:val="FactSheetEquation"/>
      </w:pPr>
      <w:r>
        <w:t>L = 60 × t</w:t>
      </w:r>
      <w:r>
        <w:rPr>
          <w:vertAlign w:val="subscript"/>
        </w:rPr>
        <w:t>HR</w:t>
      </w:r>
      <w:r>
        <w:t xml:space="preserve"> × V</w:t>
      </w:r>
      <w:r>
        <w:rPr>
          <w:vertAlign w:val="subscript"/>
        </w:rPr>
        <w:t>WQ</w:t>
      </w:r>
      <w:r>
        <w:t xml:space="preserve"> </w:t>
      </w:r>
    </w:p>
    <w:p w:rsidR="00FC34E0" w:rsidRDefault="00FC34E0" w:rsidP="00FC34E0">
      <w:pPr>
        <w:pStyle w:val="CheckBoxTableText"/>
      </w:pPr>
      <w:r>
        <w:t>Where:</w:t>
      </w:r>
    </w:p>
    <w:p w:rsidR="00FC34E0" w:rsidRDefault="00FC34E0" w:rsidP="00FC34E0">
      <w:pPr>
        <w:pStyle w:val="FactSheetEquation"/>
      </w:pPr>
      <w:r>
        <w:t>L = swale length, ft</w:t>
      </w:r>
    </w:p>
    <w:p w:rsidR="00FC34E0" w:rsidRPr="005712EC" w:rsidRDefault="00FC34E0" w:rsidP="00FC34E0">
      <w:pPr>
        <w:pStyle w:val="FactSheetEquation"/>
      </w:pPr>
      <w:r>
        <w:t>t</w:t>
      </w:r>
      <w:r>
        <w:rPr>
          <w:vertAlign w:val="subscript"/>
        </w:rPr>
        <w:t>HR</w:t>
      </w:r>
      <w:r>
        <w:t xml:space="preserve"> = hydraulic residence time, min (minimum 10 minutes)</w:t>
      </w:r>
    </w:p>
    <w:p w:rsidR="00FC34E0" w:rsidRDefault="00FC34E0" w:rsidP="00FC34E0">
      <w:pPr>
        <w:pStyle w:val="FactSheetEquation"/>
      </w:pPr>
      <w:r>
        <w:t>V</w:t>
      </w:r>
      <w:r>
        <w:rPr>
          <w:vertAlign w:val="subscript"/>
        </w:rPr>
        <w:t>WQ</w:t>
      </w:r>
      <w:r>
        <w:t xml:space="preserve"> = design flow velocity, fps</w:t>
      </w:r>
    </w:p>
    <w:p w:rsidR="00FC34E0" w:rsidRDefault="00FC34E0" w:rsidP="00FC34E0">
      <w:pPr>
        <w:pStyle w:val="FSStepHeaders"/>
      </w:pPr>
      <w:r>
        <w:t>Step 5: If Needed, Adjust Swale Length to Site Constraints</w:t>
      </w:r>
    </w:p>
    <w:p w:rsidR="00FC34E0" w:rsidRDefault="00FC34E0" w:rsidP="00FC34E0">
      <w:pPr>
        <w:pStyle w:val="CheckBoxTableText"/>
      </w:pPr>
      <w:r>
        <w:t>Note that oftentimes swale length can be accomodated by providing a meandering swale.  However, if swale length is too large for the site, the length can be adjusted as follows:</w:t>
      </w:r>
    </w:p>
    <w:p w:rsidR="00FC34E0" w:rsidRDefault="00FC34E0" w:rsidP="00FC34E0">
      <w:pPr>
        <w:pStyle w:val="FactsheetBullets"/>
        <w:numPr>
          <w:ilvl w:val="0"/>
          <w:numId w:val="1"/>
        </w:numPr>
      </w:pPr>
      <w:r>
        <w:t xml:space="preserve">Calculate the swale </w:t>
      </w:r>
      <w:r w:rsidRPr="00725AF0">
        <w:t>treatment</w:t>
      </w:r>
      <w:r>
        <w:t xml:space="preserve"> top area (</w:t>
      </w:r>
      <w:r w:rsidRPr="005B51F3">
        <w:rPr>
          <w:i/>
        </w:rPr>
        <w:t>A</w:t>
      </w:r>
      <w:r w:rsidRPr="005B51F3">
        <w:rPr>
          <w:i/>
          <w:vertAlign w:val="subscript"/>
        </w:rPr>
        <w:t>top</w:t>
      </w:r>
      <w:r>
        <w:t xml:space="preserve">), based on the swale length calculated in Step 4: </w:t>
      </w:r>
    </w:p>
    <w:p w:rsidR="00FC34E0" w:rsidRDefault="00FC34E0" w:rsidP="00FC34E0">
      <w:pPr>
        <w:pStyle w:val="FactSheetEquation"/>
        <w:rPr>
          <w:vertAlign w:val="subscript"/>
        </w:rPr>
      </w:pPr>
      <w:r>
        <w:t>A</w:t>
      </w:r>
      <w:r>
        <w:rPr>
          <w:vertAlign w:val="subscript"/>
        </w:rPr>
        <w:t xml:space="preserve">TOP </w:t>
      </w:r>
      <w:r>
        <w:t>= (b</w:t>
      </w:r>
      <w:r>
        <w:rPr>
          <w:vertAlign w:val="subscript"/>
        </w:rPr>
        <w:t xml:space="preserve">i </w:t>
      </w:r>
      <w:r>
        <w:t>+ b</w:t>
      </w:r>
      <w:r>
        <w:rPr>
          <w:vertAlign w:val="subscript"/>
        </w:rPr>
        <w:t>SLOPE</w:t>
      </w:r>
      <w:r>
        <w:t>) × L</w:t>
      </w:r>
      <w:r>
        <w:rPr>
          <w:vertAlign w:val="subscript"/>
        </w:rPr>
        <w:t>i</w:t>
      </w:r>
    </w:p>
    <w:p w:rsidR="00FC34E0" w:rsidRDefault="00FC34E0" w:rsidP="00FC34E0">
      <w:pPr>
        <w:pStyle w:val="CheckBoxTableText"/>
        <w:ind w:firstLine="360"/>
      </w:pPr>
      <w:r>
        <w:t xml:space="preserve">Where: </w:t>
      </w:r>
    </w:p>
    <w:p w:rsidR="00FC34E0" w:rsidRDefault="00FC34E0" w:rsidP="00FC34E0">
      <w:pPr>
        <w:pStyle w:val="FactSheetEquation"/>
      </w:pPr>
      <w:r w:rsidRPr="005E1563">
        <w:t>A</w:t>
      </w:r>
      <w:r>
        <w:rPr>
          <w:vertAlign w:val="subscript"/>
        </w:rPr>
        <w:t xml:space="preserve">TOP </w:t>
      </w:r>
      <w:r>
        <w:t>= top area (ft</w:t>
      </w:r>
      <w:r w:rsidRPr="00485D53">
        <w:rPr>
          <w:vertAlign w:val="superscript"/>
        </w:rPr>
        <w:t>2</w:t>
      </w:r>
      <w:r>
        <w:t xml:space="preserve">) at the design treatment depth </w:t>
      </w:r>
    </w:p>
    <w:p w:rsidR="00FC34E0" w:rsidRDefault="00FC34E0" w:rsidP="00FC34E0">
      <w:pPr>
        <w:pStyle w:val="FactSheetEquation"/>
      </w:pPr>
      <w:r w:rsidRPr="005E1563">
        <w:t>b</w:t>
      </w:r>
      <w:r w:rsidRPr="005E1563">
        <w:rPr>
          <w:vertAlign w:val="subscript"/>
        </w:rPr>
        <w:t>i</w:t>
      </w:r>
      <w:r w:rsidRPr="005712EC">
        <w:t xml:space="preserve"> </w:t>
      </w:r>
      <w:r>
        <w:t xml:space="preserve"> =  bottom width (ft), calculated in Step 2 </w:t>
      </w:r>
    </w:p>
    <w:p w:rsidR="00FC34E0" w:rsidRDefault="00FC34E0" w:rsidP="00FC34E0">
      <w:pPr>
        <w:pStyle w:val="FactSheetEquation"/>
      </w:pPr>
      <w:r w:rsidRPr="005E1563">
        <w:t>b</w:t>
      </w:r>
      <w:r>
        <w:rPr>
          <w:vertAlign w:val="subscript"/>
        </w:rPr>
        <w:t>SLOPE</w:t>
      </w:r>
      <w:r w:rsidRPr="005712EC">
        <w:t xml:space="preserve"> </w:t>
      </w:r>
      <w:r>
        <w:t xml:space="preserve"> =  the additional top width (ft) above the side slope for the design water depth (for 3:1 side slopes and a 4-inch water depth, b</w:t>
      </w:r>
      <w:r w:rsidRPr="00A2379D">
        <w:rPr>
          <w:vertAlign w:val="subscript"/>
        </w:rPr>
        <w:t>slope</w:t>
      </w:r>
      <w:r>
        <w:t xml:space="preserve"> = 2 feet) </w:t>
      </w:r>
    </w:p>
    <w:p w:rsidR="00FC34E0" w:rsidRDefault="00FC34E0" w:rsidP="00FC34E0">
      <w:pPr>
        <w:pStyle w:val="FactSheetEquation"/>
      </w:pPr>
      <w:r w:rsidRPr="005E1563">
        <w:t>L</w:t>
      </w:r>
      <w:r w:rsidRPr="005E1563">
        <w:rPr>
          <w:vertAlign w:val="subscript"/>
        </w:rPr>
        <w:t>i</w:t>
      </w:r>
      <w:r w:rsidRPr="005712EC">
        <w:t xml:space="preserve">  </w:t>
      </w:r>
      <w:r>
        <w:t xml:space="preserve">= initial length (ft) calculated in Step 4 </w:t>
      </w:r>
    </w:p>
    <w:p w:rsidR="00FC34E0" w:rsidRDefault="00FC34E0" w:rsidP="00FC34E0">
      <w:pPr>
        <w:pStyle w:val="FactsheetBullets"/>
        <w:numPr>
          <w:ilvl w:val="0"/>
          <w:numId w:val="1"/>
        </w:numPr>
      </w:pPr>
      <w:r>
        <w:t>Use the swale top area and a reduced swale length (L</w:t>
      </w:r>
      <w:r w:rsidRPr="00A2379D">
        <w:rPr>
          <w:vertAlign w:val="subscript"/>
        </w:rPr>
        <w:t>f</w:t>
      </w:r>
      <w:r>
        <w:t xml:space="preserve">) to increase the bottom width, using the </w:t>
      </w:r>
      <w:r w:rsidRPr="00725AF0">
        <w:t>following</w:t>
      </w:r>
      <w:r>
        <w:t xml:space="preserve"> equation: </w:t>
      </w:r>
    </w:p>
    <w:p w:rsidR="00FC34E0" w:rsidRDefault="00FC34E0" w:rsidP="00FC34E0">
      <w:pPr>
        <w:pStyle w:val="FactSheetEquation"/>
      </w:pPr>
      <w:r>
        <w:t>L</w:t>
      </w:r>
      <w:r>
        <w:rPr>
          <w:vertAlign w:val="subscript"/>
        </w:rPr>
        <w:t>F</w:t>
      </w:r>
      <w:r>
        <w:t xml:space="preserve"> = A</w:t>
      </w:r>
      <w:r>
        <w:rPr>
          <w:vertAlign w:val="subscript"/>
        </w:rPr>
        <w:t>TOP</w:t>
      </w:r>
      <w:r>
        <w:t xml:space="preserve"> / (b</w:t>
      </w:r>
      <w:r>
        <w:rPr>
          <w:vertAlign w:val="subscript"/>
        </w:rPr>
        <w:t>F</w:t>
      </w:r>
      <w:r>
        <w:t xml:space="preserve"> + b</w:t>
      </w:r>
      <w:r>
        <w:rPr>
          <w:vertAlign w:val="subscript"/>
        </w:rPr>
        <w:t>SLOPE</w:t>
      </w:r>
      <w:r>
        <w:t>)</w:t>
      </w:r>
    </w:p>
    <w:p w:rsidR="00FC34E0" w:rsidRDefault="00FC34E0" w:rsidP="00FC34E0">
      <w:pPr>
        <w:pStyle w:val="CheckBoxTableText"/>
        <w:ind w:firstLine="360"/>
      </w:pPr>
      <w:r>
        <w:t xml:space="preserve">Where: </w:t>
      </w:r>
    </w:p>
    <w:p w:rsidR="00FC34E0" w:rsidRDefault="00FC34E0" w:rsidP="00FC34E0">
      <w:pPr>
        <w:pStyle w:val="FactSheetEquation"/>
      </w:pPr>
      <w:r w:rsidRPr="005E1563">
        <w:t>L</w:t>
      </w:r>
      <w:r>
        <w:rPr>
          <w:vertAlign w:val="subscript"/>
        </w:rPr>
        <w:t>F</w:t>
      </w:r>
      <w:r w:rsidRPr="00E37995">
        <w:t xml:space="preserve"> </w:t>
      </w:r>
      <w:r>
        <w:t xml:space="preserve">= reduced swale length (ft) </w:t>
      </w:r>
    </w:p>
    <w:p w:rsidR="00FC34E0" w:rsidRDefault="00FC34E0" w:rsidP="00FC34E0">
      <w:pPr>
        <w:pStyle w:val="FactSheetEquation"/>
      </w:pPr>
      <w:r>
        <w:t>b</w:t>
      </w:r>
      <w:r>
        <w:rPr>
          <w:vertAlign w:val="subscript"/>
        </w:rPr>
        <w:t>F</w:t>
      </w:r>
      <w:r w:rsidRPr="00E37995">
        <w:t xml:space="preserve"> </w:t>
      </w:r>
      <w:r>
        <w:t xml:space="preserve">= increased bottom width (ft) </w:t>
      </w:r>
    </w:p>
    <w:p w:rsidR="00FC34E0" w:rsidRDefault="00FC34E0" w:rsidP="00FC34E0">
      <w:pPr>
        <w:pStyle w:val="FactsheetBullets"/>
        <w:numPr>
          <w:ilvl w:val="0"/>
          <w:numId w:val="1"/>
        </w:numPr>
      </w:pPr>
      <w:r>
        <w:t xml:space="preserve">Recalculate </w:t>
      </w:r>
      <w:r w:rsidRPr="005E1563">
        <w:t>V</w:t>
      </w:r>
      <w:r>
        <w:rPr>
          <w:vertAlign w:val="subscript"/>
        </w:rPr>
        <w:t>WQ</w:t>
      </w:r>
      <w:r w:rsidRPr="00E37995">
        <w:t xml:space="preserve"> </w:t>
      </w:r>
      <w:r>
        <w:t xml:space="preserve">according to Step 3 using the revised cross-sectional area </w:t>
      </w:r>
      <w:r w:rsidRPr="005E1563">
        <w:t>A</w:t>
      </w:r>
      <w:r>
        <w:rPr>
          <w:vertAlign w:val="subscript"/>
        </w:rPr>
        <w:t>WQ</w:t>
      </w:r>
      <w:r w:rsidRPr="00E37995">
        <w:t xml:space="preserve"> </w:t>
      </w:r>
      <w:r>
        <w:t>based on the increased bottom width (</w:t>
      </w:r>
      <w:r w:rsidRPr="005E1563">
        <w:t>b</w:t>
      </w:r>
      <w:r>
        <w:rPr>
          <w:vertAlign w:val="subscript"/>
        </w:rPr>
        <w:t>F</w:t>
      </w:r>
      <w:r>
        <w:t xml:space="preserve">).  Revise the design as necessary if the design flow velocity exceeds 1 foot per second. </w:t>
      </w:r>
    </w:p>
    <w:p w:rsidR="00FC34E0" w:rsidRDefault="00FC34E0" w:rsidP="00FC34E0">
      <w:pPr>
        <w:pStyle w:val="FactsheetBullets"/>
        <w:numPr>
          <w:ilvl w:val="0"/>
          <w:numId w:val="1"/>
        </w:numPr>
      </w:pPr>
      <w:r>
        <w:t>Recalculate to en</w:t>
      </w:r>
      <w:r w:rsidRPr="00725AF0">
        <w:t>sure</w:t>
      </w:r>
      <w:r>
        <w:t xml:space="preserve"> that the 10 minute retention time is retained. </w:t>
      </w:r>
      <w:r w:rsidRPr="00311A64">
        <w:t xml:space="preserve"> </w:t>
      </w:r>
    </w:p>
    <w:p w:rsidR="00FC34E0" w:rsidRPr="00B53524" w:rsidRDefault="00FC34E0" w:rsidP="00FC34E0">
      <w:pPr>
        <w:pStyle w:val="FactsheetSubheading"/>
        <w:outlineLvl w:val="0"/>
      </w:pPr>
      <w:r w:rsidRPr="00311A64">
        <w:t>Configuration for Use in a Treatment Train</w:t>
      </w:r>
    </w:p>
    <w:p w:rsidR="00FC34E0" w:rsidRPr="00B53524" w:rsidRDefault="00FC34E0" w:rsidP="00FC34E0">
      <w:pPr>
        <w:pStyle w:val="FactsheetBullets"/>
        <w:numPr>
          <w:ilvl w:val="0"/>
          <w:numId w:val="1"/>
        </w:numPr>
      </w:pPr>
      <w:r w:rsidRPr="00311A64">
        <w:t>Vegetated swales can be incorporated in a treatment train to provide enhanced water quality treatment and reduct</w:t>
      </w:r>
      <w:r>
        <w:t>ions in runoff volume and rate.</w:t>
      </w:r>
      <w:r w:rsidRPr="00311A64">
        <w:t xml:space="preserve"> For example, if a vegetated swale is placed upgradient of a dry extended detention (ED) basin, the rate and volume of water flowing to the dry ED basin can be reduced and the water quality enhanced. As another example, dry ED basins may be placed upstream a vegetated swale to reduce the size of the vegetated swale.</w:t>
      </w:r>
    </w:p>
    <w:p w:rsidR="00FC34E0" w:rsidRDefault="00FC34E0" w:rsidP="00FC34E0">
      <w:pPr>
        <w:pStyle w:val="FactsheetBullets"/>
        <w:numPr>
          <w:ilvl w:val="0"/>
          <w:numId w:val="1"/>
        </w:numPr>
      </w:pPr>
      <w:r>
        <w:t>Vegetated swales can be used as pretreatment for infiltration BMPs.</w:t>
      </w:r>
    </w:p>
    <w:p w:rsidR="00FC34E0" w:rsidRDefault="00FC34E0" w:rsidP="00FC34E0">
      <w:pPr>
        <w:pStyle w:val="FactsheetBullets"/>
        <w:numPr>
          <w:ilvl w:val="0"/>
          <w:numId w:val="1"/>
        </w:numPr>
      </w:pPr>
      <w:r>
        <w:t xml:space="preserve">If designed with an infiltration sump, vegetated “bioinfiltration” swales can provide retention and biotreatment capacity. </w:t>
      </w:r>
    </w:p>
    <w:p w:rsidR="00FC34E0" w:rsidRPr="00B53524" w:rsidRDefault="00FC34E0" w:rsidP="00FC34E0">
      <w:pPr>
        <w:pStyle w:val="FactsheetSubheading"/>
        <w:outlineLvl w:val="0"/>
      </w:pPr>
      <w:r w:rsidRPr="00311A64">
        <w:t>Additional References for Design Guidance</w:t>
      </w:r>
    </w:p>
    <w:p w:rsidR="00FC34E0" w:rsidRPr="00581B92" w:rsidRDefault="00FC34E0" w:rsidP="00FC34E0">
      <w:pPr>
        <w:pStyle w:val="FactsheetBullets"/>
        <w:numPr>
          <w:ilvl w:val="0"/>
          <w:numId w:val="0"/>
        </w:numPr>
        <w:ind w:left="720"/>
        <w:rPr>
          <w:rStyle w:val="Hyperlink"/>
          <w:b/>
          <w:color w:val="0070C0"/>
        </w:rPr>
      </w:pPr>
      <w:r w:rsidRPr="00311A64">
        <w:t>Los Angeles Unified School District (LAUSD) Stormwater Technical Manual, Chapter 4:</w:t>
      </w:r>
      <w:r>
        <w:t xml:space="preserve"> </w:t>
      </w:r>
      <w:hyperlink r:id="rId192" w:history="1">
        <w:r w:rsidRPr="00126DE5">
          <w:rPr>
            <w:rStyle w:val="Hyperlink"/>
            <w:rFonts w:ascii="Book Antiqua" w:hAnsi="Book Antiqua"/>
            <w:b/>
            <w:color w:val="0070C0"/>
          </w:rPr>
          <w:t>http://www.laschools.org/employee/design/fs-studies-and-reports/download/white_paper_report_material/Storm_Water_Technical_Manual_2009-opt-red.pdf?version_id=76975850</w:t>
        </w:r>
      </w:hyperlink>
    </w:p>
    <w:p w:rsidR="00FC34E0" w:rsidRPr="00581B92" w:rsidRDefault="00FC34E0" w:rsidP="00FC34E0">
      <w:pPr>
        <w:pStyle w:val="FactsheetBullets"/>
        <w:numPr>
          <w:ilvl w:val="0"/>
          <w:numId w:val="0"/>
        </w:numPr>
        <w:ind w:left="720"/>
        <w:rPr>
          <w:b/>
          <w:color w:val="0070C0"/>
        </w:rPr>
      </w:pPr>
      <w:r w:rsidRPr="00311A64">
        <w:t>Santa Barbara BMP Guidance Manual, Chapter 6:</w:t>
      </w:r>
      <w:r>
        <w:t xml:space="preserve"> </w:t>
      </w:r>
      <w:hyperlink r:id="rId193" w:history="1">
        <w:r w:rsidRPr="00126DE5">
          <w:rPr>
            <w:rStyle w:val="Hyperlink"/>
            <w:rFonts w:ascii="Book Antiqua" w:hAnsi="Book Antiqua"/>
            <w:b/>
            <w:color w:val="0070C0"/>
          </w:rPr>
          <w:t>http://www.santabarbaraca.gov/NR/rdonlyres/91D1FA75-C185-491E-A882-49EE17789DF8/0/Manual_071008_Final.pdf</w:t>
        </w:r>
      </w:hyperlink>
    </w:p>
    <w:p w:rsidR="00FC34E0" w:rsidRPr="00FA3C5C" w:rsidRDefault="00FC34E0" w:rsidP="00FC34E0">
      <w:pPr>
        <w:pStyle w:val="FactsheetBullets"/>
        <w:numPr>
          <w:ilvl w:val="0"/>
          <w:numId w:val="1"/>
        </w:numPr>
        <w:rPr>
          <w:rStyle w:val="Hyperlink"/>
          <w:color w:val="auto"/>
          <w:u w:val="none"/>
        </w:rPr>
      </w:pPr>
      <w:r w:rsidRPr="00311A64">
        <w:t xml:space="preserve">County of San Diego Drainage Design Manual for design criteria, Section 5.5: </w:t>
      </w:r>
      <w:r>
        <w:t xml:space="preserve">  </w:t>
      </w:r>
      <w:hyperlink r:id="rId194" w:history="1">
        <w:r w:rsidRPr="00126DE5">
          <w:rPr>
            <w:rStyle w:val="Hyperlink"/>
            <w:rFonts w:ascii="Book Antiqua" w:eastAsia="Calibri" w:hAnsi="Book Antiqua"/>
            <w:b/>
            <w:color w:val="0070C0"/>
          </w:rPr>
          <w:t>http://www.co.san-diego.ca.us/dpw/floodcontrol/floodcontrolpdf/drainage-designmanual05.pdf</w:t>
        </w:r>
      </w:hyperlink>
      <w:r w:rsidRPr="00FA3C5C">
        <w:rPr>
          <w:rStyle w:val="Hyperlink"/>
          <w:rFonts w:eastAsia="Calibri"/>
        </w:rPr>
        <w:t xml:space="preserve"> </w:t>
      </w:r>
    </w:p>
    <w:p w:rsidR="00FC34E0" w:rsidRPr="00FA3C5C" w:rsidRDefault="00FC34E0" w:rsidP="00FC34E0">
      <w:pPr>
        <w:pStyle w:val="FactsheetBullets"/>
        <w:numPr>
          <w:ilvl w:val="0"/>
          <w:numId w:val="0"/>
        </w:numPr>
        <w:ind w:left="720"/>
        <w:rPr>
          <w:b/>
          <w:color w:val="0070C0"/>
        </w:rPr>
      </w:pPr>
      <w:r w:rsidRPr="00311A64">
        <w:t>County of Los Angeles Low Impact Development Standards Manual, Chapter 5:</w:t>
      </w:r>
      <w:r>
        <w:t xml:space="preserve"> </w:t>
      </w:r>
      <w:hyperlink r:id="rId195" w:history="1">
        <w:r w:rsidRPr="00126DE5">
          <w:rPr>
            <w:rStyle w:val="Hyperlink"/>
            <w:rFonts w:ascii="Book Antiqua" w:hAnsi="Book Antiqua"/>
            <w:b/>
            <w:color w:val="0070C0"/>
          </w:rPr>
          <w:t>http://dpw.lacounty.gov/wmd/LA_County_LID_Manual.pdf</w:t>
        </w:r>
      </w:hyperlink>
    </w:p>
    <w:p w:rsidR="00FC34E0" w:rsidRPr="00B53524" w:rsidRDefault="00FC34E0" w:rsidP="00FC34E0">
      <w:pPr>
        <w:pStyle w:val="FactsheetBullets"/>
        <w:numPr>
          <w:ilvl w:val="0"/>
          <w:numId w:val="1"/>
        </w:numPr>
      </w:pPr>
      <w:r w:rsidRPr="00311A64">
        <w:t>Los Angeles County Stormwater BMP Design a</w:t>
      </w:r>
      <w:r>
        <w:t>nd Maintenance Manual</w:t>
      </w:r>
      <w:r w:rsidRPr="00311A64">
        <w:t xml:space="preserve">: </w:t>
      </w:r>
      <w:hyperlink r:id="rId196" w:history="1">
        <w:r w:rsidRPr="00126DE5">
          <w:rPr>
            <w:rStyle w:val="Hyperlink"/>
            <w:rFonts w:ascii="Book Antiqua" w:hAnsi="Book Antiqua"/>
            <w:b/>
            <w:color w:val="0070C0"/>
          </w:rPr>
          <w:t>http://dpw.lacounty.gov/DES/design_manuals/StormwaterBMPDesignandMaintenance.pdf</w:t>
        </w:r>
      </w:hyperlink>
      <w:r w:rsidRPr="00311A64">
        <w:br w:type="page"/>
      </w:r>
    </w:p>
    <w:p w:rsidR="00FC34E0" w:rsidRPr="00B53524" w:rsidRDefault="00126F3D" w:rsidP="00533A19">
      <w:pPr>
        <w:pStyle w:val="Heading3"/>
        <w:numPr>
          <w:ilvl w:val="0"/>
          <w:numId w:val="0"/>
        </w:numPr>
        <w:ind w:left="907" w:hanging="907"/>
      </w:pPr>
      <w:bookmarkStart w:id="873" w:name="_Toc285522611"/>
      <w:bookmarkStart w:id="874" w:name="_Ref287795158"/>
      <w:r>
        <w:rPr>
          <w:noProof/>
        </w:rPr>
        <w:pict>
          <v:shape id="Text Box 55" o:spid="_x0000_s1175" type="#_x0000_t202" style="position:absolute;left:0;text-align:left;margin-left:-154pt;margin-top:1.7pt;width:158.4pt;height:55.15pt;z-index:251780096;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" fillcolor="#d8d8d8">
            <v:textbox style="mso-next-textbox:#Text Box 55">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Default="00853C9A" w:rsidP="009531AF">
                  <w:pPr>
                    <w:pStyle w:val="CDMBTEXT"/>
                    <w:numPr>
                      <w:ilvl w:val="0"/>
                      <w:numId w:val="67"/>
                    </w:numPr>
                    <w:spacing w:after="60" w:line="240" w:lineRule="auto"/>
                    <w:ind w:left="540"/>
                    <w:rPr>
                      <w:i/>
                    </w:rPr>
                  </w:pPr>
                  <w:r>
                    <w:rPr>
                      <w:i/>
                    </w:rPr>
                    <w:t>Buffer strip</w:t>
                  </w:r>
                </w:p>
                <w:p w:rsidR="00853C9A" w:rsidRPr="009F707D" w:rsidRDefault="00853C9A" w:rsidP="009531AF">
                  <w:pPr>
                    <w:pStyle w:val="CDMBTEXT"/>
                    <w:numPr>
                      <w:ilvl w:val="0"/>
                      <w:numId w:val="67"/>
                    </w:numPr>
                    <w:spacing w:after="60" w:line="240" w:lineRule="auto"/>
                    <w:ind w:left="540"/>
                    <w:rPr>
                      <w:i/>
                    </w:rPr>
                  </w:pPr>
                  <w:r>
                    <w:rPr>
                      <w:i/>
                    </w:rPr>
                    <w:t>Vegetated buffer</w:t>
                  </w:r>
                </w:p>
              </w:txbxContent>
            </v:textbox>
            <w10:wrap type="square" anchorx="margin" anchory="margin"/>
          </v:shape>
        </w:pict>
      </w:r>
      <w:r>
        <w:rPr>
          <w:noProof/>
        </w:rPr>
        <w:pict>
          <v:shape id="Text Box 56" o:spid="_x0000_s1176" type="#_x0000_t202" style="position:absolute;left:0;text-align:left;margin-left:-154pt;margin-top:56.85pt;width:158.4pt;height:206.55pt;z-index:251781120;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" filled="f">
            <v:textbox style="mso-next-textbox:#Text Box 56" inset="0,0,0,0">
              <w:txbxContent>
                <w:p w:rsidR="00853C9A" w:rsidRDefault="00853C9A" w:rsidP="00FC34E0">
                  <w:pPr>
                    <w:ind w:left="-29" w:right="-29"/>
                    <w:rPr>
                      <w:rFonts w:ascii="Arial" w:hAnsi="Arial" w:cs="Arial"/>
                      <w:noProof/>
                      <w:sz w:val="20"/>
                    </w:rPr>
                  </w:pPr>
                  <w:r w:rsidRPr="0044287B">
                    <w:rPr>
                      <w:rFonts w:ascii="Arial" w:hAnsi="Arial" w:cs="Arial"/>
                      <w:noProof/>
                      <w:sz w:val="20"/>
                    </w:rPr>
                    <w:drawing>
                      <wp:inline distT="0" distB="0" distL="0" distR="0">
                        <wp:extent cx="2002155" cy="1819906"/>
                        <wp:effectExtent l="19050" t="0" r="0" b="0"/>
                        <wp:docPr id="90"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wsdot.wa.gov/NR/rdonlyres/3552FCF3-34BC-4B85-9494-D7EABE4595BA/24042/PreConstruction.jpg"/>
                                <pic:cNvPicPr>
                                  <a:picLocks noChangeAspect="1" noChangeArrowheads="1"/>
                                </pic:cNvPicPr>
                              </pic:nvPicPr>
                              <pic:blipFill>
                                <a:blip r:embed="rId197" cstate="screen"/>
                                <a:srcRect/>
                                <a:stretch>
                                  <a:fillRect/>
                                </a:stretch>
                              </pic:blipFill>
                              <pic:spPr bwMode="auto">
                                <a:xfrm>
                                  <a:off x="0" y="0"/>
                                  <a:ext cx="2002155" cy="1819906"/>
                                </a:xfrm>
                                <a:prstGeom prst="rect">
                                  <a:avLst/>
                                </a:prstGeom>
                                <a:noFill/>
                                <a:ln w="9525">
                                  <a:noFill/>
                                  <a:miter lim="800000"/>
                                  <a:headEnd/>
                                  <a:tailEnd/>
                                </a:ln>
                              </pic:spPr>
                            </pic:pic>
                          </a:graphicData>
                        </a:graphic>
                      </wp:inline>
                    </w:drawing>
                  </w:r>
                </w:p>
                <w:p w:rsidR="00853C9A" w:rsidRDefault="00853C9A" w:rsidP="00FC34E0">
                  <w:pPr>
                    <w:spacing w:after="0"/>
                    <w:ind w:left="187" w:right="-29"/>
                    <w:rPr>
                      <w:rFonts w:ascii="Arial" w:hAnsi="Arial" w:cs="Arial"/>
                      <w:sz w:val="20"/>
                    </w:rPr>
                  </w:pPr>
                  <w:r>
                    <w:rPr>
                      <w:rFonts w:ascii="Arial" w:hAnsi="Arial" w:cs="Arial"/>
                      <w:sz w:val="20"/>
                    </w:rPr>
                    <w:t>Vegetated filter strip.</w:t>
                  </w:r>
                  <w:r w:rsidRPr="00FA56FE">
                    <w:rPr>
                      <w:rFonts w:ascii="Arial" w:hAnsi="Arial" w:cs="Arial"/>
                      <w:sz w:val="20"/>
                    </w:rPr>
                    <w:t xml:space="preserve"> </w:t>
                  </w:r>
                </w:p>
                <w:p w:rsidR="00853C9A" w:rsidRPr="00EB3998" w:rsidRDefault="00853C9A" w:rsidP="00FC34E0">
                  <w:pPr>
                    <w:spacing w:after="0"/>
                    <w:ind w:left="187" w:right="-29"/>
                    <w:rPr>
                      <w:rFonts w:ascii="Arial" w:hAnsi="Arial" w:cs="Arial"/>
                      <w:i/>
                      <w:sz w:val="16"/>
                      <w:szCs w:val="16"/>
                    </w:rPr>
                  </w:pPr>
                  <w:r w:rsidRPr="005E1563">
                    <w:rPr>
                      <w:rFonts w:ascii="Arial" w:hAnsi="Arial" w:cs="Arial"/>
                      <w:i/>
                      <w:sz w:val="16"/>
                      <w:szCs w:val="16"/>
                    </w:rPr>
                    <w:t xml:space="preserve">Source: </w:t>
                  </w:r>
                  <w:hyperlink r:id="rId198" w:history="1">
                    <w:r w:rsidRPr="005E1563">
                      <w:rPr>
                        <w:rFonts w:ascii="Arial" w:hAnsi="Arial" w:cs="Arial"/>
                        <w:i/>
                        <w:sz w:val="16"/>
                        <w:szCs w:val="16"/>
                      </w:rPr>
                      <w:t>http://www.wsdot.wa.gov/Environment/WaterQuality/Research/Reports.htm</w:t>
                    </w:r>
                  </w:hyperlink>
                </w:p>
              </w:txbxContent>
            </v:textbox>
            <w10:wrap type="square" anchorx="margin" anchory="margin"/>
          </v:shape>
        </w:pict>
      </w:r>
      <w:bookmarkStart w:id="875" w:name="_Toc285589339"/>
      <w:r w:rsidR="00FC34E0">
        <w:t xml:space="preserve">BIO-3: </w:t>
      </w:r>
      <w:r w:rsidR="00FC34E0" w:rsidRPr="00311A64">
        <w:t>Vegetated Filter Strip</w:t>
      </w:r>
      <w:bookmarkEnd w:id="873"/>
      <w:bookmarkEnd w:id="874"/>
      <w:bookmarkEnd w:id="875"/>
    </w:p>
    <w:p w:rsidR="00FC34E0" w:rsidRPr="00B53524" w:rsidRDefault="00FC34E0" w:rsidP="00FC34E0">
      <w:pPr>
        <w:autoSpaceDE w:val="0"/>
        <w:autoSpaceDN w:val="0"/>
        <w:adjustRightInd w:val="0"/>
        <w:jc w:val="both"/>
        <w:rPr>
          <w:rFonts w:eastAsia="Times New Roman"/>
          <w:noProof/>
        </w:rPr>
      </w:pPr>
      <w:r w:rsidRPr="00311A64">
        <w:rPr>
          <w:rFonts w:eastAsia="Times New Roman"/>
          <w:noProof/>
        </w:rPr>
        <w:t xml:space="preserve">Vegetated filter strips are designed to treat sheet flow runoff from adjacent impervious surfaces or intensive landscaped areas such as golf courses. Filter strips decrease runoff velocity, filter out total suspended solids and associated pollutants, and provide some infiltration into underlying soils. While some assimilation of dissolved constituents may occur, filter strips are generally more effective in trapping sediment and particulate-bound metals, nutrients, and pesticides. Filter strips are more effective when the runoff passes through the vegetation and thatch layer in the form of shallow, uniform flow. Biological and chemical processes may help break down pesticides, uptake metals, and utilize nutrients that are trapped in the filter. </w:t>
      </w:r>
    </w:p>
    <w:p w:rsidR="00FC34E0" w:rsidRPr="00B53524" w:rsidRDefault="00FC34E0" w:rsidP="00FC34E0">
      <w:pPr>
        <w:pStyle w:val="FactsheetSubheading"/>
        <w:outlineLvl w:val="0"/>
      </w:pPr>
      <w:r>
        <w:t>Feasibility</w:t>
      </w:r>
      <w:r w:rsidRPr="00311A64">
        <w:t xml:space="preserve"> Screening Considerations</w:t>
      </w:r>
    </w:p>
    <w:p w:rsidR="00FC34E0" w:rsidRPr="00B53524" w:rsidRDefault="00FC34E0" w:rsidP="00FC34E0">
      <w:pPr>
        <w:pStyle w:val="FactsheetBullets"/>
        <w:numPr>
          <w:ilvl w:val="0"/>
          <w:numId w:val="1"/>
        </w:numPr>
      </w:pPr>
      <w:r w:rsidRPr="00311A64">
        <w:t xml:space="preserve">Vegetated filter strips may cause incidental infiltration.  Therefore, </w:t>
      </w:r>
      <w:r>
        <w:t>an evaluation of site conditions</w:t>
      </w:r>
      <w:r w:rsidRPr="00311A64">
        <w:t xml:space="preserve"> should be conducted to evaluate whether the BMP should include an impermeable liner to avoid infiltration into the subsurface.</w:t>
      </w:r>
    </w:p>
    <w:p w:rsidR="00FC34E0" w:rsidRPr="00B53524" w:rsidRDefault="00FC34E0" w:rsidP="00FC34E0">
      <w:pPr>
        <w:pStyle w:val="FactsheetSubheading"/>
        <w:outlineLvl w:val="0"/>
      </w:pPr>
      <w:r w:rsidRPr="00311A64">
        <w:t>Opportunity Criteria</w:t>
      </w:r>
    </w:p>
    <w:p w:rsidR="00FC34E0" w:rsidRDefault="00FC34E0" w:rsidP="00FC34E0">
      <w:pPr>
        <w:pStyle w:val="FactsheetBullets"/>
        <w:numPr>
          <w:ilvl w:val="0"/>
          <w:numId w:val="1"/>
        </w:numPr>
      </w:pPr>
      <w:r w:rsidRPr="00311A64">
        <w:t xml:space="preserve">Filter strips provide an attractive and inexpensive vegetative storm water runoff BMP that can be easily incorporated into the landscape design of a site. </w:t>
      </w:r>
    </w:p>
    <w:p w:rsidR="00FC34E0" w:rsidRPr="00B53524" w:rsidRDefault="00FC34E0" w:rsidP="00FC34E0">
      <w:pPr>
        <w:pStyle w:val="FactsheetBullets"/>
        <w:numPr>
          <w:ilvl w:val="0"/>
          <w:numId w:val="1"/>
        </w:numPr>
      </w:pPr>
      <w:r w:rsidRPr="00311A64">
        <w:t>Open areas are needed for vegetated filter strips, including road and highway shoulders, small parking lots, and residential, commercial, or institutional landscaped areas.</w:t>
      </w:r>
    </w:p>
    <w:p w:rsidR="00FC34E0" w:rsidRPr="00B53524" w:rsidRDefault="00FC34E0" w:rsidP="00FC34E0">
      <w:pPr>
        <w:pStyle w:val="FactsheetBullets"/>
        <w:numPr>
          <w:ilvl w:val="0"/>
          <w:numId w:val="1"/>
        </w:numPr>
      </w:pPr>
      <w:r w:rsidRPr="00311A64">
        <w:t>Must be sited adjacent to impervious surfaces</w:t>
      </w:r>
      <w:r>
        <w:t xml:space="preserve"> which can sheet flow onto filter strips.</w:t>
      </w:r>
    </w:p>
    <w:p w:rsidR="00FC34E0" w:rsidRPr="00B53524" w:rsidRDefault="00FC34E0" w:rsidP="00FC34E0">
      <w:pPr>
        <w:pStyle w:val="FactsheetBullets"/>
        <w:numPr>
          <w:ilvl w:val="0"/>
          <w:numId w:val="1"/>
        </w:numPr>
      </w:pPr>
      <w:r w:rsidRPr="00311A64">
        <w:t>Shallow, evenly distributed flow across entire width of strip is recommended.</w:t>
      </w:r>
    </w:p>
    <w:p w:rsidR="00FC34E0" w:rsidRPr="00B53524" w:rsidRDefault="00FC34E0" w:rsidP="00FC34E0">
      <w:pPr>
        <w:pStyle w:val="FactsheetBullets"/>
        <w:numPr>
          <w:ilvl w:val="0"/>
          <w:numId w:val="1"/>
        </w:numPr>
      </w:pPr>
      <w:r w:rsidRPr="00311A64">
        <w:t>Steep terrain and/or a large tributary area may cause concentrated, erosive flows. The site slope should not exceed 5%.</w:t>
      </w:r>
    </w:p>
    <w:p w:rsidR="00FC34E0" w:rsidRPr="00B53524" w:rsidRDefault="00FC34E0" w:rsidP="00FC34E0">
      <w:pPr>
        <w:pStyle w:val="FactsheetBullets"/>
        <w:numPr>
          <w:ilvl w:val="0"/>
          <w:numId w:val="1"/>
        </w:numPr>
      </w:pPr>
      <w:r w:rsidRPr="00311A64">
        <w:t xml:space="preserve">Drainage area is ≤ 2 acres with a maximum length (in the direction of flow towards the filter strip) of 150 feet. </w:t>
      </w:r>
    </w:p>
    <w:p w:rsidR="00FC34E0" w:rsidRPr="00B53524" w:rsidRDefault="00FC34E0" w:rsidP="00FC34E0">
      <w:pPr>
        <w:pStyle w:val="FactsheetSubheading"/>
        <w:outlineLvl w:val="0"/>
      </w:pPr>
      <w:r w:rsidRPr="00311A64">
        <w:t>OC-Specific Design Criteria and Considerations</w:t>
      </w:r>
    </w:p>
    <w:tbl>
      <w:tblPr>
        <w:tblStyle w:val="TableGrid"/>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
        <w:gridCol w:w="8730"/>
      </w:tblGrid>
      <w:tr w:rsidR="00FC34E0" w:rsidRPr="00B53524" w:rsidTr="00FC34E0">
        <w:trPr>
          <w:trHeight w:val="147"/>
        </w:trPr>
        <w:tc>
          <w:tcPr>
            <w:tcW w:w="45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pStyle w:val="CheckBoxTableText"/>
            </w:pPr>
            <w:r>
              <w:t>For biotreatment applications, the</w:t>
            </w:r>
            <w:r w:rsidRPr="00311A64">
              <w:t xml:space="preserve"> minimum length in the flow direction </w:t>
            </w:r>
            <w:r>
              <w:t xml:space="preserve">is </w:t>
            </w:r>
            <w:r w:rsidRPr="00311A64">
              <w:t>15 feet</w:t>
            </w:r>
            <w:r>
              <w:t>, and</w:t>
            </w:r>
            <w:r w:rsidRPr="00311A64">
              <w:t xml:space="preserve"> </w:t>
            </w:r>
            <w:r>
              <w:t>t</w:t>
            </w:r>
            <w:r w:rsidRPr="00311A64">
              <w:t>he maximum length in the flow direction is 150 feet.</w:t>
            </w:r>
            <w:r>
              <w:t xml:space="preserve">  If filter strip is used for pretreatment, the minimum filter strip length is 7.5 feet. </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 xml:space="preserve">The width of the filter strip should extend across the full width of the tributary area, with the upstream boundary of the filter strip located contiguous to the developed area. </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A minimum design residence time of 10 minutes is recommended</w:t>
            </w:r>
            <w:r>
              <w:t xml:space="preserve"> for biotreatment applications, or 5 minutes for pretreatment uses</w:t>
            </w:r>
            <w:r w:rsidRPr="00311A64">
              <w:t>.</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The bed slope in flow direction should be between 2 - 6%.</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311A64" w:rsidRDefault="00FC34E0" w:rsidP="00FC34E0">
            <w:pPr>
              <w:pStyle w:val="CheckBoxTableText"/>
            </w:pPr>
            <w:r>
              <w:t xml:space="preserve">The slope in the direction perpendicular to flow should not exceed 4%. </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The m</w:t>
            </w:r>
            <w:r>
              <w:t>aximum</w:t>
            </w:r>
            <w:r w:rsidRPr="00311A64">
              <w:t xml:space="preserve"> design flow depth should be 1 inch.</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The design f</w:t>
            </w:r>
            <w:r>
              <w:t>l</w:t>
            </w:r>
            <w:r w:rsidRPr="00311A64">
              <w:t xml:space="preserve">ow velocity should not exceed 1 ft/sec. </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 xml:space="preserve">Irrigated turf grass or approved equal should be used for vegetation. Grass height should be maintained between 2 – 4 inches. </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The top of the strip should be installed 2 to 5 inches below the adjacent pavement to allow for vegetation and sediment accumulation at the edge of the strip. A beveled transition is acceptable and may be required per roadside design specifications</w:t>
            </w:r>
          </w:p>
        </w:tc>
      </w:tr>
    </w:tbl>
    <w:p w:rsidR="00FC34E0" w:rsidRPr="00B53524" w:rsidRDefault="00FC34E0" w:rsidP="00FC34E0">
      <w:pPr>
        <w:pStyle w:val="FactsheetSubheading"/>
      </w:pPr>
      <w:r>
        <w:t>Sizing Approach</w:t>
      </w:r>
      <w:r w:rsidRPr="00311A64">
        <w:t xml:space="preserve"> for Vegetated </w:t>
      </w:r>
      <w:r>
        <w:t>Filter Strip</w:t>
      </w:r>
    </w:p>
    <w:p w:rsidR="00FC34E0" w:rsidRDefault="00FC34E0" w:rsidP="00FC34E0">
      <w:pPr>
        <w:pStyle w:val="CheckBoxTableText"/>
      </w:pPr>
      <w:r>
        <w:t>The Design Capture Method for Flow-based BMPs should be used to determine the design flowrate for a vegetated filter strip. The user then selects the design flow depth and longitudinal slope and uses the sizing steps below to determine the length and width of the swale. The sizing steps are as follows:</w:t>
      </w:r>
    </w:p>
    <w:p w:rsidR="00FC34E0" w:rsidRDefault="00FC34E0" w:rsidP="00FC34E0">
      <w:pPr>
        <w:pStyle w:val="FSStepHeaders"/>
      </w:pPr>
      <w:r>
        <w:t>Step 1: Determine Design Flowrate (Q)</w:t>
      </w:r>
    </w:p>
    <w:p w:rsidR="00FC34E0" w:rsidRDefault="00FC34E0" w:rsidP="00FC34E0">
      <w:pPr>
        <w:pStyle w:val="CheckBoxTableText"/>
      </w:pPr>
      <w:r>
        <w:t xml:space="preserve">Calculate the Design Flowrate (Q) using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_Ref287707497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Capture Efficiency Method for Flow-based BMPs</w:t>
      </w:r>
      <w:r w:rsidR="00126F3D" w:rsidRPr="00126DE5">
        <w:rPr>
          <w:rFonts w:ascii="Book Antiqua" w:hAnsi="Book Antiqua"/>
          <w:b/>
          <w:color w:val="0070C0"/>
        </w:rPr>
        <w:fldChar w:fldCharType="end"/>
      </w:r>
      <w:r>
        <w:rPr>
          <w:b/>
          <w:color w:val="00B050"/>
        </w:rPr>
        <w:t xml:space="preserve"> </w:t>
      </w:r>
      <w:r w:rsidRPr="001958AC">
        <w:t>(See</w:t>
      </w:r>
      <w:r>
        <w:rPr>
          <w:b/>
          <w:color w:val="00B050"/>
        </w:rPr>
        <w:t xml:space="preserve"> </w:t>
      </w:r>
      <w:r w:rsidR="00524D76" w:rsidRPr="001958AC">
        <w:rPr>
          <w:b/>
          <w:color w:val="0070C0"/>
        </w:rPr>
        <w:t>Appendix</w:t>
      </w:r>
      <w:r w:rsidRPr="001958AC">
        <w:rPr>
          <w:b/>
          <w:color w:val="0070C0"/>
        </w:rPr>
        <w:t xml:space="preserve"> </w:t>
      </w:r>
      <w:fldSimple w:instr=" REF _Ref287707497 \r \h  \* MERGEFORMAT ">
        <w:r w:rsidR="00126DE5" w:rsidRPr="001958AC">
          <w:rPr>
            <w:rFonts w:ascii="Book Antiqua" w:hAnsi="Book Antiqua"/>
            <w:b/>
            <w:color w:val="0070C0"/>
          </w:rPr>
          <w:t>III.3.3</w:t>
        </w:r>
      </w:fldSimple>
      <w:r w:rsidRPr="001958AC">
        <w:t>).</w:t>
      </w:r>
      <w:r>
        <w:t xml:space="preserve"> Inputs include the time of concentration of the catchment (</w:t>
      </w:r>
      <w:r w:rsidRPr="002365B9">
        <w:t>T</w:t>
      </w:r>
      <w:r w:rsidRPr="002365B9">
        <w:rPr>
          <w:vertAlign w:val="subscript"/>
        </w:rPr>
        <w:t>c</w:t>
      </w:r>
      <w:r>
        <w:t>) and the capture efficiency achieved upstream by HSCs or other BMPs.</w:t>
      </w:r>
    </w:p>
    <w:p w:rsidR="00FC34E0" w:rsidRDefault="00FC34E0" w:rsidP="00FC34E0">
      <w:pPr>
        <w:pStyle w:val="FSStepHeaders"/>
      </w:pPr>
      <w:r>
        <w:t>Step 2: Calculate the Minimum Filter Strip Width</w:t>
      </w:r>
    </w:p>
    <w:p w:rsidR="00FC34E0" w:rsidRDefault="00FC34E0" w:rsidP="00FC34E0">
      <w:pPr>
        <w:pStyle w:val="FactSheetEquation"/>
      </w:pPr>
      <w:r w:rsidRPr="005133C1">
        <w:t>W</w:t>
      </w:r>
      <w:r>
        <w:rPr>
          <w:vertAlign w:val="subscript"/>
        </w:rPr>
        <w:t>MIN</w:t>
      </w:r>
      <w:r>
        <w:t xml:space="preserve"> = Q / </w:t>
      </w:r>
      <w:r w:rsidRPr="008638CD">
        <w:t>q</w:t>
      </w:r>
      <w:r>
        <w:rPr>
          <w:vertAlign w:val="subscript"/>
        </w:rPr>
        <w:t>A,MIN</w:t>
      </w:r>
    </w:p>
    <w:p w:rsidR="00FC34E0" w:rsidRDefault="00FC34E0" w:rsidP="00FC34E0">
      <w:pPr>
        <w:pStyle w:val="CheckBoxTableText"/>
      </w:pPr>
      <w:r>
        <w:t>Where:</w:t>
      </w:r>
    </w:p>
    <w:p w:rsidR="00FC34E0" w:rsidRDefault="00FC34E0" w:rsidP="00FC34E0">
      <w:pPr>
        <w:pStyle w:val="FactSheetEquation"/>
      </w:pPr>
      <w:r w:rsidRPr="005E1563">
        <w:t>W</w:t>
      </w:r>
      <w:r>
        <w:rPr>
          <w:vertAlign w:val="subscript"/>
        </w:rPr>
        <w:t>MIN</w:t>
      </w:r>
      <w:r w:rsidRPr="005E1563">
        <w:t xml:space="preserve"> </w:t>
      </w:r>
      <w:r w:rsidRPr="00427E5C">
        <w:t>= minimum width of filter strip</w:t>
      </w:r>
      <w:r>
        <w:t xml:space="preserve"> (and tributary area), ft</w:t>
      </w:r>
    </w:p>
    <w:p w:rsidR="00FC34E0" w:rsidRDefault="00FC34E0" w:rsidP="00FC34E0">
      <w:pPr>
        <w:pStyle w:val="FactSheetEquation"/>
      </w:pPr>
      <w:r w:rsidRPr="005E1563">
        <w:t>Q</w:t>
      </w:r>
      <w:r>
        <w:t xml:space="preserve"> =</w:t>
      </w:r>
      <w:r>
        <w:tab/>
        <w:t>design flow, cfs</w:t>
      </w:r>
    </w:p>
    <w:p w:rsidR="00FC34E0" w:rsidRDefault="00FC34E0" w:rsidP="00FC34E0">
      <w:pPr>
        <w:pStyle w:val="FactSheetEquation"/>
        <w:rPr>
          <w:rFonts w:cs="Tahoma"/>
        </w:rPr>
      </w:pPr>
      <w:r>
        <w:t>q</w:t>
      </w:r>
      <w:r>
        <w:rPr>
          <w:vertAlign w:val="subscript"/>
        </w:rPr>
        <w:t>A,MIN</w:t>
      </w:r>
      <w:r>
        <w:rPr>
          <w:i/>
          <w:vertAlign w:val="subscript"/>
        </w:rPr>
        <w:t xml:space="preserve"> </w:t>
      </w:r>
      <w:r>
        <w:t>= minimum linear unit application rate, 0.005 cfs/ft</w:t>
      </w:r>
    </w:p>
    <w:p w:rsidR="00FC34E0" w:rsidRDefault="00FC34E0" w:rsidP="00FC34E0">
      <w:pPr>
        <w:pStyle w:val="FSStepHeaders"/>
      </w:pPr>
      <w:r>
        <w:t>Step 3: Calculate the Design Flow Depth</w:t>
      </w:r>
    </w:p>
    <w:p w:rsidR="00FC34E0" w:rsidRDefault="00FC34E0" w:rsidP="00FC34E0">
      <w:pPr>
        <w:pStyle w:val="FactSheetEquation"/>
        <w:rPr>
          <w:vertAlign w:val="superscript"/>
        </w:rPr>
      </w:pPr>
      <w:r>
        <w:t>d</w:t>
      </w:r>
      <w:r>
        <w:rPr>
          <w:vertAlign w:val="subscript"/>
        </w:rPr>
        <w:t>F</w:t>
      </w:r>
      <w:r>
        <w:t xml:space="preserve"> = 12 × ((Q × n</w:t>
      </w:r>
      <w:r>
        <w:rPr>
          <w:vertAlign w:val="subscript"/>
        </w:rPr>
        <w:t>WQ</w:t>
      </w:r>
      <w:r>
        <w:t>) / (1.49 × W</w:t>
      </w:r>
      <w:r>
        <w:rPr>
          <w:vertAlign w:val="subscript"/>
        </w:rPr>
        <w:t>TRIB</w:t>
      </w:r>
      <w:r>
        <w:t xml:space="preserve"> × s</w:t>
      </w:r>
      <w:r>
        <w:rPr>
          <w:vertAlign w:val="superscript"/>
        </w:rPr>
        <w:t>0.5</w:t>
      </w:r>
      <w:r>
        <w:t>))</w:t>
      </w:r>
      <w:r>
        <w:rPr>
          <w:vertAlign w:val="superscript"/>
        </w:rPr>
        <w:t>0.6</w:t>
      </w:r>
    </w:p>
    <w:p w:rsidR="00FC34E0" w:rsidRDefault="00FC34E0" w:rsidP="00FC34E0">
      <w:pPr>
        <w:pStyle w:val="CheckBoxTableText"/>
      </w:pPr>
      <w:r>
        <w:t xml:space="preserve">Where: </w:t>
      </w:r>
    </w:p>
    <w:p w:rsidR="00FC34E0" w:rsidRDefault="00FC34E0" w:rsidP="00FC34E0">
      <w:pPr>
        <w:pStyle w:val="FactSheetEquation"/>
      </w:pPr>
      <w:r>
        <w:t>d</w:t>
      </w:r>
      <w:r>
        <w:rPr>
          <w:vertAlign w:val="subscript"/>
        </w:rPr>
        <w:t>F</w:t>
      </w:r>
      <w:r>
        <w:t xml:space="preserve"> = design flow depth, in</w:t>
      </w:r>
    </w:p>
    <w:p w:rsidR="00FC34E0" w:rsidRDefault="00FC34E0" w:rsidP="00FC34E0">
      <w:pPr>
        <w:pStyle w:val="FactSheetEquation"/>
      </w:pPr>
      <w:r w:rsidRPr="00E36562">
        <w:t>Q</w:t>
      </w:r>
      <w:r>
        <w:t xml:space="preserve"> =</w:t>
      </w:r>
      <w:r>
        <w:tab/>
        <w:t>design flow, cfs</w:t>
      </w:r>
    </w:p>
    <w:p w:rsidR="00FC34E0" w:rsidRDefault="00FC34E0" w:rsidP="00FC34E0">
      <w:pPr>
        <w:pStyle w:val="FactSheetEquation"/>
      </w:pPr>
      <w:r>
        <w:t>n</w:t>
      </w:r>
      <w:r>
        <w:rPr>
          <w:vertAlign w:val="subscript"/>
        </w:rPr>
        <w:t>WQ</w:t>
      </w:r>
      <w:r>
        <w:t xml:space="preserve"> = Manning’s roughness coefficient for shallow flow conditions, use 0.2 unless other information is available</w:t>
      </w:r>
    </w:p>
    <w:p w:rsidR="00FC34E0" w:rsidRPr="006C08B2" w:rsidRDefault="00FC34E0" w:rsidP="00FC34E0">
      <w:pPr>
        <w:pStyle w:val="FactSheetEquation"/>
      </w:pPr>
      <w:r>
        <w:t>W = width of strip (and tributary area), ft (should be equal or greater than W</w:t>
      </w:r>
      <w:r>
        <w:rPr>
          <w:vertAlign w:val="subscript"/>
        </w:rPr>
        <w:t>MIN</w:t>
      </w:r>
      <w:r>
        <w:t>)</w:t>
      </w:r>
    </w:p>
    <w:p w:rsidR="00FC34E0" w:rsidRPr="0050099C" w:rsidRDefault="00FC34E0" w:rsidP="00FC34E0">
      <w:pPr>
        <w:pStyle w:val="FactSheetEquation"/>
      </w:pPr>
      <w:r>
        <w:t xml:space="preserve">s = longitudinal slope in flow direction, ft/ft (not to exceed 0.06) </w:t>
      </w:r>
    </w:p>
    <w:p w:rsidR="00FC34E0" w:rsidRDefault="00FC34E0" w:rsidP="00FC34E0">
      <w:pPr>
        <w:pStyle w:val="FSStepHeaders"/>
      </w:pPr>
      <w:r>
        <w:t>Step 4: Calculate the Filter Strip Design Velocity</w:t>
      </w:r>
    </w:p>
    <w:p w:rsidR="00FC34E0" w:rsidRDefault="00FC34E0" w:rsidP="00FC34E0">
      <w:pPr>
        <w:pStyle w:val="CheckBoxTableText"/>
      </w:pPr>
      <w:r>
        <w:t>Calculate the filter strip design velocity using the following equation:</w:t>
      </w:r>
    </w:p>
    <w:p w:rsidR="00FC34E0" w:rsidRDefault="00FC34E0" w:rsidP="00FC34E0">
      <w:pPr>
        <w:pStyle w:val="FactSheetEquation"/>
      </w:pPr>
      <w:r>
        <w:t>V</w:t>
      </w:r>
      <w:r>
        <w:rPr>
          <w:vertAlign w:val="subscript"/>
        </w:rPr>
        <w:t>WQ</w:t>
      </w:r>
      <w:r>
        <w:t xml:space="preserve"> = Q / (d</w:t>
      </w:r>
      <w:r>
        <w:rPr>
          <w:vertAlign w:val="subscript"/>
        </w:rPr>
        <w:t xml:space="preserve">F </w:t>
      </w:r>
      <w:r>
        <w:t>× W)</w:t>
      </w:r>
    </w:p>
    <w:p w:rsidR="00FC34E0" w:rsidRDefault="00FC34E0" w:rsidP="00FC34E0">
      <w:pPr>
        <w:pStyle w:val="CheckBoxTableText"/>
      </w:pPr>
      <w:r>
        <w:t xml:space="preserve">Where: </w:t>
      </w:r>
    </w:p>
    <w:p w:rsidR="00FC34E0" w:rsidRPr="006C08B2" w:rsidRDefault="00FC34E0" w:rsidP="00FC34E0">
      <w:pPr>
        <w:pStyle w:val="FactSheetEquation"/>
      </w:pPr>
      <w:r>
        <w:t>V</w:t>
      </w:r>
      <w:r>
        <w:rPr>
          <w:vertAlign w:val="subscript"/>
        </w:rPr>
        <w:t>WQ</w:t>
      </w:r>
      <w:r>
        <w:t xml:space="preserve"> = filter strip design flow velocity, fps</w:t>
      </w:r>
    </w:p>
    <w:p w:rsidR="00FC34E0" w:rsidRDefault="00FC34E0" w:rsidP="00FC34E0">
      <w:pPr>
        <w:pStyle w:val="FactSheetEquation"/>
      </w:pPr>
      <w:r>
        <w:t>d</w:t>
      </w:r>
      <w:r>
        <w:rPr>
          <w:vertAlign w:val="subscript"/>
        </w:rPr>
        <w:t>F</w:t>
      </w:r>
      <w:r>
        <w:t xml:space="preserve"> = design flow depth, in</w:t>
      </w:r>
    </w:p>
    <w:p w:rsidR="00FC34E0" w:rsidRDefault="00FC34E0" w:rsidP="00FC34E0">
      <w:pPr>
        <w:pStyle w:val="FactSheetEquation"/>
      </w:pPr>
      <w:r w:rsidRPr="00E36562">
        <w:t>Q</w:t>
      </w:r>
      <w:r>
        <w:t xml:space="preserve"> =</w:t>
      </w:r>
      <w:r>
        <w:tab/>
        <w:t>design flow, cfs</w:t>
      </w:r>
    </w:p>
    <w:p w:rsidR="00FC34E0" w:rsidRDefault="00FC34E0" w:rsidP="00FC34E0">
      <w:pPr>
        <w:pStyle w:val="FactSheetEquation"/>
      </w:pPr>
      <w:r>
        <w:t xml:space="preserve">W = width of strip (and tributary area), ft </w:t>
      </w:r>
    </w:p>
    <w:p w:rsidR="00FC34E0" w:rsidRDefault="00FC34E0" w:rsidP="00FC34E0">
      <w:pPr>
        <w:pStyle w:val="FactsheetBullets"/>
        <w:numPr>
          <w:ilvl w:val="0"/>
          <w:numId w:val="0"/>
        </w:numPr>
      </w:pPr>
      <w:r>
        <w:t xml:space="preserve">The design flow velocity should not exceed 1 foot per second.  If the velocity exceeds 1 fps, adjust the strip longitudinal slope to decrease the velocity. </w:t>
      </w:r>
    </w:p>
    <w:p w:rsidR="00FC34E0" w:rsidRDefault="00FC34E0" w:rsidP="00FC34E0">
      <w:pPr>
        <w:pStyle w:val="FSStepHeaders"/>
      </w:pPr>
      <w:r>
        <w:t>Step 5: Calculate Filter Strip Length</w:t>
      </w:r>
    </w:p>
    <w:p w:rsidR="00FC34E0" w:rsidRDefault="00FC34E0" w:rsidP="00FC34E0">
      <w:pPr>
        <w:pStyle w:val="CheckBoxTableText"/>
      </w:pPr>
      <w:r>
        <w:t>Calculate the filter strip length required to achieve the required minimum residence time using the following equation:</w:t>
      </w:r>
    </w:p>
    <w:p w:rsidR="00FC34E0" w:rsidRDefault="00FC34E0" w:rsidP="00FC34E0">
      <w:pPr>
        <w:pStyle w:val="FactSheetEquation"/>
      </w:pPr>
      <w:r>
        <w:t>L = 60 × t</w:t>
      </w:r>
      <w:r>
        <w:rPr>
          <w:vertAlign w:val="subscript"/>
        </w:rPr>
        <w:t>HR</w:t>
      </w:r>
      <w:r>
        <w:t xml:space="preserve"> × V</w:t>
      </w:r>
      <w:r>
        <w:rPr>
          <w:vertAlign w:val="subscript"/>
        </w:rPr>
        <w:t>WQ</w:t>
      </w:r>
      <w:r>
        <w:t xml:space="preserve"> </w:t>
      </w:r>
    </w:p>
    <w:p w:rsidR="00FC34E0" w:rsidRDefault="00FC34E0" w:rsidP="00FC34E0">
      <w:pPr>
        <w:pStyle w:val="CheckBoxTableText"/>
      </w:pPr>
      <w:r>
        <w:t>Where:</w:t>
      </w:r>
    </w:p>
    <w:p w:rsidR="00FC34E0" w:rsidRDefault="00FC34E0" w:rsidP="00FC34E0">
      <w:pPr>
        <w:pStyle w:val="FactSheetEquation"/>
      </w:pPr>
      <w:r>
        <w:t>L = filter strip length, ft (must be 15 ft to 150 ft for biotreatment)</w:t>
      </w:r>
    </w:p>
    <w:p w:rsidR="00FC34E0" w:rsidRPr="005712EC" w:rsidRDefault="00FC34E0" w:rsidP="00FC34E0">
      <w:pPr>
        <w:pStyle w:val="FactSheetEquation"/>
      </w:pPr>
      <w:r>
        <w:t>t</w:t>
      </w:r>
      <w:r>
        <w:rPr>
          <w:vertAlign w:val="subscript"/>
        </w:rPr>
        <w:t>HR</w:t>
      </w:r>
      <w:r>
        <w:t xml:space="preserve"> = hydraulic residence time, min (minimum 10 minutes for biotreatment)</w:t>
      </w:r>
    </w:p>
    <w:p w:rsidR="00FC34E0" w:rsidRDefault="00FC34E0" w:rsidP="00FC34E0">
      <w:pPr>
        <w:pStyle w:val="FactSheetEquation"/>
      </w:pPr>
      <w:r>
        <w:t>V</w:t>
      </w:r>
      <w:r>
        <w:rPr>
          <w:vertAlign w:val="subscript"/>
        </w:rPr>
        <w:t>WQ</w:t>
      </w:r>
      <w:r>
        <w:t xml:space="preserve"> = design flow velocity, fps</w:t>
      </w:r>
    </w:p>
    <w:p w:rsidR="00FC34E0" w:rsidRDefault="00FC34E0" w:rsidP="00FC34E0">
      <w:pPr>
        <w:pStyle w:val="FactsheetBullets"/>
        <w:numPr>
          <w:ilvl w:val="0"/>
          <w:numId w:val="0"/>
        </w:numPr>
      </w:pPr>
    </w:p>
    <w:p w:rsidR="00FC34E0" w:rsidRPr="00B53524" w:rsidRDefault="00FC34E0" w:rsidP="00FC34E0">
      <w:pPr>
        <w:pStyle w:val="FactsheetSubheading"/>
        <w:outlineLvl w:val="0"/>
      </w:pPr>
      <w:r w:rsidRPr="00311A64">
        <w:t>Configuration for Use in a Treatment Train</w:t>
      </w:r>
    </w:p>
    <w:p w:rsidR="00FC34E0" w:rsidRPr="00B53524" w:rsidRDefault="00FC34E0" w:rsidP="00FC34E0">
      <w:pPr>
        <w:pStyle w:val="FactsheetBullets"/>
        <w:numPr>
          <w:ilvl w:val="0"/>
          <w:numId w:val="1"/>
        </w:numPr>
      </w:pPr>
      <w:r w:rsidRPr="00311A64">
        <w:t xml:space="preserve">Filter strips are often used as </w:t>
      </w:r>
      <w:r>
        <w:t>pretreatment</w:t>
      </w:r>
      <w:r w:rsidRPr="00311A64">
        <w:t xml:space="preserve"> devices for other larger capacity BMPs such as bioretention areas and assist by filtering sediment and associated pollutants prior to entering the larger capacity BMP, preventing clogging and reducing the maintenance requirements for larger capacity BMPs.</w:t>
      </w:r>
      <w:r w:rsidRPr="00311A64">
        <w:rPr>
          <w:rFonts w:eastAsia="Calibri"/>
          <w:szCs w:val="22"/>
        </w:rPr>
        <w:t xml:space="preserve"> </w:t>
      </w:r>
    </w:p>
    <w:p w:rsidR="00FC34E0" w:rsidRPr="00B53524" w:rsidRDefault="00FC34E0" w:rsidP="00FC34E0">
      <w:pPr>
        <w:pStyle w:val="FactsheetSubheading"/>
        <w:outlineLvl w:val="0"/>
      </w:pPr>
      <w:r w:rsidRPr="00311A64">
        <w:t>Additional References for Design Guidance</w:t>
      </w:r>
    </w:p>
    <w:p w:rsidR="00FC34E0" w:rsidRPr="007B23B7" w:rsidRDefault="00FC34E0" w:rsidP="00FC34E0">
      <w:pPr>
        <w:pStyle w:val="FactsheetBullets"/>
        <w:numPr>
          <w:ilvl w:val="0"/>
          <w:numId w:val="1"/>
        </w:numPr>
        <w:rPr>
          <w:b/>
          <w:color w:val="0070C0"/>
        </w:rPr>
      </w:pPr>
      <w:r w:rsidRPr="00311A64">
        <w:t>Santa Barbara BMP Guidance Manual, Chapter 6:</w:t>
      </w:r>
      <w:r>
        <w:t xml:space="preserve"> </w:t>
      </w:r>
      <w:hyperlink r:id="rId199" w:history="1">
        <w:r w:rsidRPr="00126DE5">
          <w:rPr>
            <w:rStyle w:val="Hyperlink"/>
            <w:rFonts w:ascii="Book Antiqua" w:hAnsi="Book Antiqua"/>
            <w:b/>
            <w:color w:val="0070C0"/>
          </w:rPr>
          <w:t>http://www.santabarbaraca.gov/NR/rdonlyres/91D1FA75-C185-491E-A882-49EE17789DF8/0/Manual_071008_Final.pdf</w:t>
        </w:r>
      </w:hyperlink>
    </w:p>
    <w:p w:rsidR="00FC34E0" w:rsidRPr="00B53524" w:rsidRDefault="00FC34E0" w:rsidP="00FC34E0">
      <w:pPr>
        <w:pStyle w:val="FactsheetBullets"/>
        <w:numPr>
          <w:ilvl w:val="0"/>
          <w:numId w:val="1"/>
        </w:numPr>
        <w:rPr>
          <w:rStyle w:val="Hyperlink"/>
        </w:rPr>
      </w:pPr>
      <w:r w:rsidRPr="00311A64">
        <w:t xml:space="preserve">Los Angeles County Stormwater BMP Design and Maintenance Manual, Chapter 4: </w:t>
      </w:r>
      <w:hyperlink r:id="rId200" w:history="1">
        <w:r w:rsidRPr="00126DE5">
          <w:rPr>
            <w:rStyle w:val="Hyperlink"/>
            <w:rFonts w:ascii="Book Antiqua" w:hAnsi="Book Antiqua"/>
            <w:b/>
            <w:color w:val="0070C0"/>
          </w:rPr>
          <w:t>http://dpw.lacounty.gov/DES/design_manuals/StormwaterBMPDesignandMaintenance.pdf</w:t>
        </w:r>
      </w:hyperlink>
    </w:p>
    <w:p w:rsidR="00FC34E0" w:rsidRPr="007B23B7" w:rsidRDefault="00FC34E0" w:rsidP="00FC34E0">
      <w:pPr>
        <w:pStyle w:val="FactsheetBullets"/>
        <w:numPr>
          <w:ilvl w:val="0"/>
          <w:numId w:val="1"/>
        </w:numPr>
        <w:rPr>
          <w:rStyle w:val="Hyperlink"/>
          <w:b/>
          <w:color w:val="0070C0"/>
        </w:rPr>
      </w:pPr>
      <w:r w:rsidRPr="00311A64">
        <w:t>Los Angeles Unified School District (LAUSD) Stormwater Technical Manual, Chapter 4:</w:t>
      </w:r>
      <w:r>
        <w:t xml:space="preserve"> </w:t>
      </w:r>
      <w:hyperlink r:id="rId201" w:history="1">
        <w:r w:rsidRPr="00126DE5">
          <w:rPr>
            <w:rStyle w:val="Hyperlink"/>
            <w:rFonts w:ascii="Book Antiqua" w:hAnsi="Book Antiqua"/>
            <w:b/>
            <w:color w:val="0070C0"/>
          </w:rPr>
          <w:t>http://www.laschools.org/employee/design/fs-studies-and-reports/download/white_paper_report_material/Storm_Water_Technical_Manual_2009-opt-red.pdf?version_id=76975850</w:t>
        </w:r>
      </w:hyperlink>
    </w:p>
    <w:p w:rsidR="00FC34E0" w:rsidRPr="00B53524" w:rsidRDefault="00FC34E0" w:rsidP="00FC34E0">
      <w:pPr>
        <w:pStyle w:val="FactsheetBullets"/>
        <w:numPr>
          <w:ilvl w:val="0"/>
          <w:numId w:val="1"/>
        </w:numPr>
      </w:pPr>
      <w:r w:rsidRPr="00311A64">
        <w:t xml:space="preserve">SMC LID Manual (pp 135): </w:t>
      </w:r>
      <w:hyperlink r:id="rId202" w:history="1">
        <w:r w:rsidRPr="00126DE5">
          <w:rPr>
            <w:rStyle w:val="Hyperlink"/>
            <w:rFonts w:ascii="Book Antiqua" w:hAnsi="Book Antiqua"/>
            <w:b/>
            <w:color w:val="0070C0"/>
          </w:rPr>
          <w:t>http://www.lowimpactdevelopment.org/guest75/pub/All_Projects/SoCal_LID_Manual/SoCalLID_Manual_FINAL_040910.pdf</w:t>
        </w:r>
      </w:hyperlink>
    </w:p>
    <w:p w:rsidR="00FC34E0" w:rsidRPr="00B53524" w:rsidRDefault="00FC34E0" w:rsidP="00533A19">
      <w:pPr>
        <w:pStyle w:val="Heading3"/>
        <w:numPr>
          <w:ilvl w:val="0"/>
          <w:numId w:val="0"/>
        </w:numPr>
        <w:ind w:left="907" w:hanging="907"/>
      </w:pPr>
      <w:r w:rsidRPr="00311A64">
        <w:br w:type="page"/>
      </w:r>
      <w:bookmarkStart w:id="876" w:name="_Toc285522612"/>
      <w:bookmarkStart w:id="877" w:name="_Toc285589340"/>
      <w:bookmarkStart w:id="878" w:name="_Ref287795159"/>
      <w:r>
        <w:t xml:space="preserve">BIO-4: </w:t>
      </w:r>
      <w:r w:rsidRPr="00311A64">
        <w:t>Wet Detention Basin</w:t>
      </w:r>
      <w:bookmarkEnd w:id="876"/>
      <w:bookmarkEnd w:id="877"/>
      <w:bookmarkEnd w:id="878"/>
    </w:p>
    <w:p w:rsidR="00FC34E0" w:rsidRPr="00B53524" w:rsidRDefault="00126F3D" w:rsidP="00FC34E0">
      <w:pPr>
        <w:pStyle w:val="CDMBTEXT"/>
      </w:pPr>
      <w:r>
        <w:rPr>
          <w:noProof/>
        </w:rPr>
        <w:pict>
          <v:shape id="Text Box 58" o:spid="_x0000_s1177" type="#_x0000_t202" style="position:absolute;margin-left:-159.3pt;margin-top:87.05pt;width:158.4pt;height:183.1pt;z-index:251782144;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" filled="f">
            <v:textbox style="mso-next-textbox:#Text Box 58" inset="0,0,0,0">
              <w:txbxContent>
                <w:p w:rsidR="00853C9A" w:rsidRDefault="00853C9A" w:rsidP="00FC34E0">
                  <w:pPr>
                    <w:ind w:left="-29" w:right="-29"/>
                    <w:rPr>
                      <w:rFonts w:ascii="Arial" w:hAnsi="Arial" w:cs="Arial"/>
                      <w:noProof/>
                      <w:sz w:val="20"/>
                    </w:rPr>
                  </w:pPr>
                  <w:r w:rsidRPr="00B81CA1">
                    <w:rPr>
                      <w:rFonts w:ascii="Arial" w:hAnsi="Arial" w:cs="Arial"/>
                      <w:noProof/>
                      <w:sz w:val="20"/>
                    </w:rPr>
                    <w:drawing>
                      <wp:inline distT="0" distB="0" distL="0" distR="0">
                        <wp:extent cx="2002155" cy="1655030"/>
                        <wp:effectExtent l="19050" t="0" r="0" b="0"/>
                        <wp:docPr id="91"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Jan 08 042"/>
                                <pic:cNvPicPr>
                                  <a:picLocks noChangeAspect="1" noChangeArrowheads="1"/>
                                </pic:cNvPicPr>
                              </pic:nvPicPr>
                              <pic:blipFill>
                                <a:blip r:embed="rId203" cstate="screen"/>
                                <a:srcRect/>
                                <a:stretch>
                                  <a:fillRect/>
                                </a:stretch>
                              </pic:blipFill>
                              <pic:spPr bwMode="auto">
                                <a:xfrm>
                                  <a:off x="0" y="0"/>
                                  <a:ext cx="2002155" cy="1655030"/>
                                </a:xfrm>
                                <a:prstGeom prst="rect">
                                  <a:avLst/>
                                </a:prstGeom>
                                <a:noFill/>
                                <a:ln w="9525">
                                  <a:noFill/>
                                  <a:miter lim="800000"/>
                                  <a:headEnd/>
                                  <a:tailEnd/>
                                </a:ln>
                              </pic:spPr>
                            </pic:pic>
                          </a:graphicData>
                        </a:graphic>
                      </wp:inline>
                    </w:drawing>
                  </w:r>
                </w:p>
                <w:p w:rsidR="00853C9A" w:rsidRDefault="00853C9A" w:rsidP="00FC34E0">
                  <w:pPr>
                    <w:spacing w:after="0"/>
                    <w:ind w:left="187" w:right="-29"/>
                    <w:rPr>
                      <w:rFonts w:ascii="Arial" w:hAnsi="Arial" w:cs="Arial"/>
                      <w:sz w:val="20"/>
                    </w:rPr>
                  </w:pPr>
                  <w:r>
                    <w:rPr>
                      <w:rFonts w:ascii="Arial" w:hAnsi="Arial" w:cs="Arial"/>
                      <w:sz w:val="20"/>
                    </w:rPr>
                    <w:t>Wet Detention Basin</w:t>
                  </w:r>
                </w:p>
                <w:p w:rsidR="00853C9A" w:rsidRPr="0044287B" w:rsidRDefault="00853C9A" w:rsidP="00FC34E0">
                  <w:pPr>
                    <w:spacing w:after="0"/>
                    <w:ind w:left="187" w:right="-29"/>
                    <w:rPr>
                      <w:rFonts w:ascii="Arial" w:hAnsi="Arial" w:cs="Arial"/>
                      <w:i/>
                      <w:sz w:val="18"/>
                    </w:rPr>
                  </w:pPr>
                  <w:r w:rsidRPr="00B134FC">
                    <w:rPr>
                      <w:rFonts w:ascii="Arial" w:hAnsi="Arial" w:cs="Arial"/>
                      <w:i/>
                      <w:sz w:val="18"/>
                    </w:rPr>
                    <w:t>Source: Geosyntec Consultants</w:t>
                  </w:r>
                </w:p>
              </w:txbxContent>
            </v:textbox>
            <w10:wrap type="square" anchorx="margin" anchory="margin"/>
          </v:shape>
        </w:pict>
      </w:r>
      <w:r>
        <w:rPr>
          <w:noProof/>
        </w:rPr>
        <w:pict>
          <v:shape id="Text Box 57" o:spid="_x0000_s1178" type="#_x0000_t202" style="position:absolute;margin-left:-159.3pt;margin-top:26.6pt;width:158.4pt;height:60.45pt;z-index:251783168;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" fillcolor="#d8d8d8">
            <v:textbox style="mso-next-textbox:#Text Box 57">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Default="00853C9A" w:rsidP="009531AF">
                  <w:pPr>
                    <w:pStyle w:val="CDMBTEXT"/>
                    <w:numPr>
                      <w:ilvl w:val="0"/>
                      <w:numId w:val="67"/>
                    </w:numPr>
                    <w:spacing w:after="60" w:line="240" w:lineRule="auto"/>
                    <w:ind w:left="540"/>
                    <w:rPr>
                      <w:i/>
                    </w:rPr>
                  </w:pPr>
                  <w:r>
                    <w:rPr>
                      <w:i/>
                    </w:rPr>
                    <w:t>Wet Ponds</w:t>
                  </w:r>
                </w:p>
                <w:p w:rsidR="00853C9A" w:rsidRPr="009F707D" w:rsidRDefault="00853C9A" w:rsidP="009531AF">
                  <w:pPr>
                    <w:pStyle w:val="CDMBTEXT"/>
                    <w:numPr>
                      <w:ilvl w:val="0"/>
                      <w:numId w:val="67"/>
                    </w:numPr>
                    <w:spacing w:after="60" w:line="240" w:lineRule="auto"/>
                    <w:ind w:left="540"/>
                    <w:rPr>
                      <w:i/>
                    </w:rPr>
                  </w:pPr>
                  <w:r>
                    <w:rPr>
                      <w:i/>
                    </w:rPr>
                    <w:t>Retention Ponds</w:t>
                  </w:r>
                </w:p>
              </w:txbxContent>
            </v:textbox>
            <w10:wrap type="square" anchorx="margin" anchory="margin"/>
          </v:shape>
        </w:pict>
      </w:r>
      <w:r w:rsidR="00FC34E0" w:rsidRPr="00311A64">
        <w:t xml:space="preserve">Wet detention basins are constructed, naturalistic ponds with a permanent or seasonal pool of water (also called a </w:t>
      </w:r>
      <w:r w:rsidR="00FC34E0">
        <w:t xml:space="preserve">“wet pool” or “dead storage”). </w:t>
      </w:r>
      <w:r w:rsidR="00FC34E0" w:rsidRPr="00311A64">
        <w:t>Aquascape facilities, such as artificial lakes, are a special form of wet pool facility that can incorporate innovative design elements to allow them to function as a stormwater treatment facility in addition to an aesthetic water feature. Wet ponds require base flows to exceed or match losses through evaporation and/or infiltration, and they must be designed with the outlet positioned and/or operated in such a way as to maintain a permanent pool. Wet ponds can be designed to provide extended detention of incoming flows using the volume above the permanent pool surface.</w:t>
      </w:r>
    </w:p>
    <w:p w:rsidR="00FC34E0" w:rsidRPr="00B53524" w:rsidRDefault="00FC34E0" w:rsidP="00FC34E0">
      <w:pPr>
        <w:pStyle w:val="FactsheetSubheading"/>
        <w:outlineLvl w:val="0"/>
      </w:pPr>
      <w:r>
        <w:t>Feasibility</w:t>
      </w:r>
      <w:r w:rsidRPr="00311A64">
        <w:t xml:space="preserve"> Screening Considerations</w:t>
      </w:r>
    </w:p>
    <w:p w:rsidR="00FC34E0" w:rsidRPr="00B53524" w:rsidRDefault="00FC34E0" w:rsidP="00FC34E0">
      <w:pPr>
        <w:pStyle w:val="FactsheetBullets"/>
        <w:numPr>
          <w:ilvl w:val="0"/>
          <w:numId w:val="1"/>
        </w:numPr>
      </w:pPr>
      <w:r>
        <w:t>F</w:t>
      </w:r>
      <w:r w:rsidRPr="00311A64">
        <w:t>easibility screening is not applicable to wet ponds; however the potential risk of groundwater contamination should be considered in selection and design.</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rsidRPr="00311A64">
        <w:t>Can provide aesthetic/recreational value for a project.</w:t>
      </w:r>
    </w:p>
    <w:p w:rsidR="00FC34E0" w:rsidRPr="00B53524" w:rsidRDefault="00FC34E0" w:rsidP="00FC34E0">
      <w:pPr>
        <w:pStyle w:val="FactsheetBullets"/>
        <w:numPr>
          <w:ilvl w:val="0"/>
          <w:numId w:val="1"/>
        </w:numPr>
      </w:pPr>
      <w:r w:rsidRPr="00311A64">
        <w:t xml:space="preserve">Requires relatively large open space area at outlet of drainage area.  </w:t>
      </w:r>
    </w:p>
    <w:p w:rsidR="00FC34E0" w:rsidRPr="00B53524" w:rsidRDefault="00FC34E0" w:rsidP="00FC34E0">
      <w:pPr>
        <w:pStyle w:val="FactsheetBullets"/>
        <w:numPr>
          <w:ilvl w:val="0"/>
          <w:numId w:val="1"/>
        </w:numPr>
      </w:pPr>
      <w:r w:rsidRPr="00311A64">
        <w:t>Generally most applicable for drainage areas larger than 10 acres; however may be applied to smaller drainage areas.</w:t>
      </w:r>
    </w:p>
    <w:p w:rsidR="00FC34E0" w:rsidRPr="00B53524" w:rsidRDefault="00FC34E0" w:rsidP="00FC34E0">
      <w:pPr>
        <w:pStyle w:val="FactsheetBullets"/>
        <w:numPr>
          <w:ilvl w:val="0"/>
          <w:numId w:val="1"/>
        </w:numPr>
      </w:pPr>
      <w:r w:rsidRPr="00311A64">
        <w:t>Applicable in drainage areas with source of base flow to maintain water level.</w:t>
      </w:r>
    </w:p>
    <w:p w:rsidR="00FC34E0" w:rsidRPr="00B53524" w:rsidRDefault="00FC34E0" w:rsidP="00FC34E0">
      <w:pPr>
        <w:pStyle w:val="FactsheetSubheading"/>
        <w:outlineLvl w:val="0"/>
      </w:pPr>
      <w:r w:rsidRPr="00311A64">
        <w:t>OC-Specific Design Criteria and Considerations</w:t>
      </w:r>
    </w:p>
    <w:tbl>
      <w:tblPr>
        <w:tblStyle w:val="TableGrid"/>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
        <w:gridCol w:w="8730"/>
      </w:tblGrid>
      <w:tr w:rsidR="00FC34E0" w:rsidRPr="00B53524" w:rsidTr="00FC34E0">
        <w:trPr>
          <w:trHeight w:val="147"/>
        </w:trPr>
        <w:tc>
          <w:tcPr>
            <w:tcW w:w="45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pStyle w:val="CheckBoxTableText"/>
            </w:pPr>
            <w:r w:rsidRPr="00311A64">
              <w:t>Minimum set-backs from foundations and slopes should be observed</w:t>
            </w:r>
            <w:r>
              <w:t>.</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Retention of permanent pool volume should not cause geotechnical concer</w:t>
            </w:r>
            <w:r>
              <w:t xml:space="preserve">ns related to slope stability. </w:t>
            </w:r>
            <w:r w:rsidRPr="00311A64">
              <w:t>Proposed basins in areas with slopes greater than 15 percent or within 200 feet from the top of a hazardous slope or landslide area require geotechnical investigation.</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Design should include a sediment forebay to remove coarse solids.</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Flow path length to width ratio is 2:1 (minimum) and 3:1 or greater (preferred).</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Maximum side slope (H:V) should be 4:1 interior and 3:1 exterior, unless protected from public access by fencing and approved for stability by a geotechnical professional.</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 xml:space="preserve">Wetland vegetation </w:t>
            </w:r>
            <w:r>
              <w:t>must not occupy</w:t>
            </w:r>
            <w:r w:rsidRPr="00311A64">
              <w:t xml:space="preserve"> more than 25% of surface area.</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311A64" w:rsidRDefault="00FC34E0" w:rsidP="00FC34E0">
            <w:pPr>
              <w:pStyle w:val="CheckBoxTableText"/>
            </w:pPr>
            <w:r>
              <w:t>A b</w:t>
            </w:r>
            <w:r w:rsidRPr="00311A64">
              <w:t xml:space="preserve">uffer zone </w:t>
            </w:r>
            <w:r>
              <w:t>with</w:t>
            </w:r>
            <w:r w:rsidRPr="00311A64">
              <w:t xml:space="preserve"> a minimum </w:t>
            </w:r>
            <w:r>
              <w:t xml:space="preserve">width </w:t>
            </w:r>
            <w:r w:rsidRPr="00311A64">
              <w:t>of 25 feet</w:t>
            </w:r>
            <w:r>
              <w:t xml:space="preserve"> should be provided around the top perimeter of the wet detention basin</w:t>
            </w:r>
            <w:r w:rsidRPr="00311A64">
              <w:t>.</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311A64" w:rsidRDefault="00FC34E0" w:rsidP="00FC34E0">
            <w:pPr>
              <w:pStyle w:val="CheckBoxTableText"/>
            </w:pPr>
            <w:r>
              <w:t xml:space="preserve">Inlets and outlets should be positioned to maximize flowpaths through the facility.  All inlets should enter the first cell of the wet detention basin. </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Default="00FC34E0" w:rsidP="00FC34E0">
            <w:pPr>
              <w:pStyle w:val="CheckBoxTableText"/>
            </w:pPr>
            <w:r>
              <w:t xml:space="preserve">The inlet to wet detention basin should be submerged to dissipate the energy of incoming flow.  Energy dissipation should also be used at the outlet of the basin. </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311A64" w:rsidRDefault="00FC34E0" w:rsidP="00FC34E0">
            <w:pPr>
              <w:pStyle w:val="CheckBoxTableText"/>
            </w:pPr>
            <w:r>
              <w:t xml:space="preserve">Minimum freeboard should be 1 foot (2 feet preferred) above the maximum water surface elevation for on-line basins and 1 foot maximum for off-line basins. </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Default="00FC34E0" w:rsidP="00FC34E0">
            <w:pPr>
              <w:pStyle w:val="CheckBoxTableText"/>
            </w:pPr>
            <w:r>
              <w:t xml:space="preserve">Maximum basin residence time for dry weather flows is 7 days. </w:t>
            </w:r>
          </w:p>
        </w:tc>
      </w:tr>
    </w:tbl>
    <w:p w:rsidR="00FC34E0" w:rsidRDefault="00FC34E0" w:rsidP="00FC34E0">
      <w:pPr>
        <w:pStyle w:val="FactsheetSubheading"/>
      </w:pPr>
      <w:r w:rsidRPr="00311A64">
        <w:t>Computing Sizing Criteria for Wet Detention Basins</w:t>
      </w:r>
    </w:p>
    <w:p w:rsidR="00FC34E0" w:rsidRPr="00B53524" w:rsidRDefault="00FC34E0" w:rsidP="00FC34E0">
      <w:pPr>
        <w:pStyle w:val="FactsheetBullets"/>
        <w:numPr>
          <w:ilvl w:val="0"/>
          <w:numId w:val="1"/>
        </w:numPr>
      </w:pPr>
      <w:r w:rsidRPr="00311A64">
        <w:t xml:space="preserve">This document does not provide specific sizing guidance for wet detention basins. Wet basins should be designed by a team of specialists that understand wetland ecology and biology and are </w:t>
      </w:r>
      <w:r>
        <w:t>familiar with</w:t>
      </w:r>
      <w:r w:rsidRPr="00311A64">
        <w:t xml:space="preserve"> methods to avoid stagnation, odors, and vector issues associated with maintaining a permanent pool.  The BMP designer(s) must demonstrate that the facility is sized to capture and treat the volume of runoff not being addressed by upstream BMPs such that </w:t>
      </w:r>
      <w:r>
        <w:t>80</w:t>
      </w:r>
      <w:r w:rsidRPr="00311A64">
        <w:t xml:space="preserve"> percent </w:t>
      </w:r>
      <w:r>
        <w:t>of average annual stormwater runoff volume from the site is retained or biotreated.</w:t>
      </w:r>
      <w:r w:rsidRPr="00311A64">
        <w:t xml:space="preserve"> </w:t>
      </w:r>
    </w:p>
    <w:p w:rsidR="00FC34E0" w:rsidRDefault="00FC34E0" w:rsidP="00FC34E0">
      <w:pPr>
        <w:pStyle w:val="FactsheetBullets"/>
        <w:numPr>
          <w:ilvl w:val="0"/>
          <w:numId w:val="1"/>
        </w:numPr>
      </w:pPr>
      <w:r w:rsidRPr="00311A64">
        <w:t>The retention volume within a wet detention basin is the equal to the permanent pool volume.  The drawdown time criteria, or the rate at which the retention volume becomes available, does not</w:t>
      </w:r>
      <w:r>
        <w:t xml:space="preserve"> apply to wet detention basins.</w:t>
      </w:r>
      <w:r w:rsidRPr="00311A64">
        <w:t xml:space="preserve"> All runoff in excess of the retention volume that flows through the basin is considered biotreated.</w:t>
      </w:r>
    </w:p>
    <w:p w:rsidR="00FC34E0" w:rsidRPr="00165A29" w:rsidRDefault="00FC34E0" w:rsidP="00FC34E0">
      <w:pPr>
        <w:pStyle w:val="FactsheetBullets"/>
        <w:numPr>
          <w:ilvl w:val="0"/>
          <w:numId w:val="1"/>
        </w:numPr>
      </w:pPr>
      <w:r>
        <w:t>The permanent pool volume should be at least 50 percent of the volume of active (extended detention) storage.</w:t>
      </w:r>
    </w:p>
    <w:p w:rsidR="00FC34E0" w:rsidRPr="00B53524" w:rsidRDefault="00FC34E0" w:rsidP="00FC34E0">
      <w:pPr>
        <w:pStyle w:val="FactsheetSubheading"/>
        <w:outlineLvl w:val="0"/>
      </w:pPr>
      <w:r w:rsidRPr="00311A64">
        <w:t>Configuration for Use in a Treatment Train</w:t>
      </w:r>
    </w:p>
    <w:p w:rsidR="00FC34E0" w:rsidRPr="00B53524" w:rsidRDefault="00FC34E0" w:rsidP="00FC34E0">
      <w:pPr>
        <w:pStyle w:val="FactsheetBullets"/>
        <w:numPr>
          <w:ilvl w:val="0"/>
          <w:numId w:val="1"/>
        </w:numPr>
      </w:pPr>
      <w:r w:rsidRPr="00311A64">
        <w:t>Wet detention basins would generally be designed to serve as the final BMP before discharging runoff off-site.</w:t>
      </w:r>
    </w:p>
    <w:p w:rsidR="00FC34E0" w:rsidRPr="00B53524" w:rsidRDefault="00FC34E0" w:rsidP="00FC34E0">
      <w:pPr>
        <w:pStyle w:val="FactsheetBullets"/>
        <w:numPr>
          <w:ilvl w:val="0"/>
          <w:numId w:val="1"/>
        </w:numPr>
      </w:pPr>
      <w:r w:rsidRPr="00311A64">
        <w:t xml:space="preserve">Wet detention basins may be preceeded in a treatment train by </w:t>
      </w:r>
      <w:r w:rsidR="003C7091">
        <w:t>HSC</w:t>
      </w:r>
      <w:r w:rsidRPr="00311A64">
        <w:t>s and LID BMPs in the drainage area, which would reduce the pollutant load and volume of runoff entering the basin, thereby reducing the sizing requirments of the wet detention basin.</w:t>
      </w:r>
    </w:p>
    <w:p w:rsidR="00FC34E0" w:rsidRPr="00B53524" w:rsidRDefault="00FC34E0" w:rsidP="00FC34E0">
      <w:pPr>
        <w:pStyle w:val="FactsheetBullets"/>
        <w:numPr>
          <w:ilvl w:val="0"/>
          <w:numId w:val="1"/>
        </w:numPr>
      </w:pPr>
      <w:r w:rsidRPr="00311A64">
        <w:t xml:space="preserve">Wet detention basins can be designed to precede other LID or treatment control BMPs, providing equalization and </w:t>
      </w:r>
      <w:r>
        <w:t>pretreatment</w:t>
      </w:r>
      <w:r w:rsidRPr="00311A64">
        <w:t xml:space="preserve">.  </w:t>
      </w:r>
    </w:p>
    <w:p w:rsidR="00FC34E0" w:rsidRPr="00B53524" w:rsidRDefault="00FC34E0" w:rsidP="00FC34E0">
      <w:pPr>
        <w:pStyle w:val="FactsheetSubheading"/>
        <w:outlineLvl w:val="0"/>
      </w:pPr>
      <w:r w:rsidRPr="00311A64">
        <w:t>Additional References for Design Guidance</w:t>
      </w:r>
    </w:p>
    <w:p w:rsidR="00FC34E0" w:rsidRPr="00B53524" w:rsidRDefault="00FC34E0" w:rsidP="00FC34E0">
      <w:pPr>
        <w:pStyle w:val="FactsheetBullets"/>
        <w:numPr>
          <w:ilvl w:val="0"/>
          <w:numId w:val="1"/>
        </w:numPr>
      </w:pPr>
      <w:r w:rsidRPr="00311A64">
        <w:t xml:space="preserve">CASQA BMP Handbook for New and Redevelopment: </w:t>
      </w:r>
      <w:hyperlink r:id="rId204" w:history="1">
        <w:r w:rsidRPr="00126DE5">
          <w:rPr>
            <w:rStyle w:val="Hyperlink"/>
            <w:rFonts w:ascii="Book Antiqua" w:hAnsi="Book Antiqua"/>
            <w:b/>
            <w:color w:val="0070C0"/>
          </w:rPr>
          <w:t>http://www.cabmphandbooks.com/Documents/Development/TC-20.pdf</w:t>
        </w:r>
      </w:hyperlink>
    </w:p>
    <w:p w:rsidR="00FC34E0" w:rsidRPr="00B53524" w:rsidRDefault="00FC34E0" w:rsidP="00FC34E0">
      <w:pPr>
        <w:pStyle w:val="FactsheetBullets"/>
        <w:numPr>
          <w:ilvl w:val="0"/>
          <w:numId w:val="1"/>
        </w:numPr>
      </w:pPr>
      <w:r w:rsidRPr="00311A64">
        <w:t xml:space="preserve">Los Angeles County Stormwater BMP </w:t>
      </w:r>
      <w:r>
        <w:t>Design and Maintenance Manual</w:t>
      </w:r>
      <w:r w:rsidRPr="00311A64">
        <w:t xml:space="preserve">: </w:t>
      </w:r>
      <w:hyperlink r:id="rId205" w:history="1">
        <w:r w:rsidRPr="00126DE5">
          <w:rPr>
            <w:rStyle w:val="Hyperlink"/>
            <w:rFonts w:ascii="Book Antiqua" w:hAnsi="Book Antiqua"/>
            <w:b/>
            <w:color w:val="0070C0"/>
          </w:rPr>
          <w:t>http://dpw.lacounty.gov/DES/design_manuals/StormwaterBMPDesignandMaintenance.pdf</w:t>
        </w:r>
      </w:hyperlink>
    </w:p>
    <w:p w:rsidR="00FC34E0" w:rsidRPr="00B53524" w:rsidRDefault="00FC34E0" w:rsidP="00FC34E0">
      <w:pPr>
        <w:pStyle w:val="FactsheetBullets"/>
        <w:numPr>
          <w:ilvl w:val="0"/>
          <w:numId w:val="1"/>
        </w:numPr>
      </w:pPr>
      <w:r>
        <w:t xml:space="preserve">LA County LID Manual, Chapter </w:t>
      </w:r>
      <w:r w:rsidRPr="00311A64">
        <w:t>5:</w:t>
      </w:r>
      <w:r>
        <w:t xml:space="preserve"> </w:t>
      </w:r>
      <w:hyperlink r:id="rId206" w:history="1">
        <w:r w:rsidRPr="00126DE5">
          <w:rPr>
            <w:rStyle w:val="Hyperlink"/>
            <w:rFonts w:ascii="Book Antiqua" w:hAnsi="Book Antiqua"/>
            <w:b/>
            <w:color w:val="0070C0"/>
          </w:rPr>
          <w:t>http://dpw.lacounty.gov/wmd/LA_County_LID_Manual.pdf</w:t>
        </w:r>
      </w:hyperlink>
    </w:p>
    <w:p w:rsidR="00FC34E0" w:rsidRPr="00B53524" w:rsidRDefault="00FC34E0" w:rsidP="00FC34E0">
      <w:pPr>
        <w:pStyle w:val="FactsheetBullets"/>
        <w:numPr>
          <w:ilvl w:val="0"/>
          <w:numId w:val="1"/>
        </w:numPr>
      </w:pPr>
      <w:r w:rsidRPr="00311A64">
        <w:t>Portland Stormwater Management</w:t>
      </w:r>
      <w:r>
        <w:t xml:space="preserve"> </w:t>
      </w:r>
      <w:r w:rsidRPr="00311A64">
        <w:t>Manual:</w:t>
      </w:r>
      <w:r>
        <w:t xml:space="preserve"> </w:t>
      </w:r>
      <w:hyperlink r:id="rId207" w:history="1">
        <w:r w:rsidRPr="00126DE5">
          <w:rPr>
            <w:rStyle w:val="Hyperlink"/>
            <w:rFonts w:ascii="Book Antiqua" w:hAnsi="Book Antiqua"/>
            <w:b/>
            <w:color w:val="0070C0"/>
          </w:rPr>
          <w:t>http://www.portlandonline.com/bes/index.cfm?c=47953&amp;</w:t>
        </w:r>
      </w:hyperlink>
    </w:p>
    <w:p w:rsidR="00FC34E0" w:rsidRPr="00B53524" w:rsidRDefault="00FC34E0" w:rsidP="00FC34E0">
      <w:pPr>
        <w:pStyle w:val="FactsheetBullets"/>
        <w:numPr>
          <w:ilvl w:val="0"/>
          <w:numId w:val="1"/>
        </w:numPr>
      </w:pPr>
      <w:r w:rsidRPr="00311A64">
        <w:t>Western Washington Stormwater Manag</w:t>
      </w:r>
      <w:r>
        <w:t>ement Manual, Volume V, Chapter 1</w:t>
      </w:r>
      <w:r w:rsidRPr="00311A64">
        <w:t>0:</w:t>
      </w:r>
      <w:r>
        <w:t xml:space="preserve"> </w:t>
      </w:r>
      <w:r w:rsidRPr="00311A64">
        <w:t xml:space="preserve"> </w:t>
      </w:r>
      <w:hyperlink r:id="rId208" w:history="1">
        <w:r w:rsidRPr="00126DE5">
          <w:rPr>
            <w:rStyle w:val="Hyperlink"/>
            <w:rFonts w:ascii="Book Antiqua" w:hAnsi="Book Antiqua"/>
            <w:b/>
            <w:color w:val="0070C0"/>
          </w:rPr>
          <w:t>http://www.ecy.wa.gov/pubs/0510033.pdf</w:t>
        </w:r>
      </w:hyperlink>
    </w:p>
    <w:p w:rsidR="00344DD2" w:rsidRDefault="00344DD2" w:rsidP="00533A19">
      <w:pPr>
        <w:pStyle w:val="Heading3"/>
        <w:numPr>
          <w:ilvl w:val="0"/>
          <w:numId w:val="0"/>
        </w:numPr>
        <w:ind w:left="907" w:hanging="907"/>
      </w:pPr>
    </w:p>
    <w:p w:rsidR="00FC34E0" w:rsidRPr="00B53524" w:rsidRDefault="00FC34E0" w:rsidP="00533A19">
      <w:pPr>
        <w:pStyle w:val="Heading3"/>
        <w:numPr>
          <w:ilvl w:val="0"/>
          <w:numId w:val="0"/>
        </w:numPr>
        <w:ind w:left="907" w:hanging="907"/>
      </w:pPr>
      <w:r w:rsidRPr="00311A64">
        <w:br w:type="page"/>
      </w:r>
      <w:bookmarkStart w:id="879" w:name="_Toc285522613"/>
      <w:bookmarkStart w:id="880" w:name="_Toc285589341"/>
      <w:bookmarkStart w:id="881" w:name="_Ref287795162"/>
      <w:r>
        <w:t xml:space="preserve">BIO-5: </w:t>
      </w:r>
      <w:r w:rsidRPr="00311A64">
        <w:t>Constructed Wetland</w:t>
      </w:r>
      <w:bookmarkEnd w:id="879"/>
      <w:bookmarkEnd w:id="880"/>
      <w:bookmarkEnd w:id="881"/>
    </w:p>
    <w:p w:rsidR="00FC34E0" w:rsidRPr="00B53524" w:rsidRDefault="00126F3D" w:rsidP="00FC34E0">
      <w:pPr>
        <w:pStyle w:val="CDMBTEXT"/>
      </w:pPr>
      <w:r>
        <w:rPr>
          <w:noProof/>
        </w:rPr>
        <w:pict>
          <v:shape id="Text Box 60" o:spid="_x0000_s1179" type="#_x0000_t202" style="position:absolute;margin-left:-162.25pt;margin-top:83.25pt;width:158.4pt;height:138.15pt;z-index:251784192;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" filled="f">
            <v:textbox style="mso-next-textbox:#Text Box 60" inset="0,0,0,0">
              <w:txbxContent>
                <w:p w:rsidR="00853C9A" w:rsidRDefault="00853C9A" w:rsidP="00FC34E0">
                  <w:pPr>
                    <w:spacing w:after="120"/>
                    <w:ind w:left="-29" w:right="-29"/>
                    <w:rPr>
                      <w:rFonts w:ascii="Arial" w:hAnsi="Arial" w:cs="Arial"/>
                      <w:noProof/>
                      <w:sz w:val="20"/>
                    </w:rPr>
                  </w:pPr>
                  <w:r>
                    <w:rPr>
                      <w:rFonts w:ascii="Arial" w:hAnsi="Arial" w:cs="Arial"/>
                      <w:noProof/>
                      <w:sz w:val="20"/>
                    </w:rPr>
                    <w:drawing>
                      <wp:inline distT="0" distB="0" distL="0" distR="0">
                        <wp:extent cx="2000250" cy="1283532"/>
                        <wp:effectExtent l="19050" t="0" r="0" b="0"/>
                        <wp:docPr id="92" name="Picture 90" descr="PV FWM - P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V FWM - Pan (2).jpg"/>
                                <pic:cNvPicPr/>
                              </pic:nvPicPr>
                              <pic:blipFill>
                                <a:blip r:embed="rId209" cstate="screen"/>
                                <a:srcRect r="15401"/>
                                <a:stretch>
                                  <a:fillRect/>
                                </a:stretch>
                              </pic:blipFill>
                              <pic:spPr>
                                <a:xfrm>
                                  <a:off x="0" y="0"/>
                                  <a:ext cx="2000250" cy="1283532"/>
                                </a:xfrm>
                                <a:prstGeom prst="rect">
                                  <a:avLst/>
                                </a:prstGeom>
                              </pic:spPr>
                            </pic:pic>
                          </a:graphicData>
                        </a:graphic>
                      </wp:inline>
                    </w:drawing>
                  </w:r>
                </w:p>
                <w:p w:rsidR="00853C9A" w:rsidRDefault="00853C9A" w:rsidP="00FC34E0">
                  <w:pPr>
                    <w:spacing w:after="0"/>
                    <w:ind w:left="187" w:right="-29"/>
                    <w:rPr>
                      <w:rFonts w:ascii="Arial" w:hAnsi="Arial" w:cs="Arial"/>
                      <w:sz w:val="20"/>
                    </w:rPr>
                  </w:pPr>
                  <w:r>
                    <w:rPr>
                      <w:rFonts w:ascii="Arial" w:hAnsi="Arial" w:cs="Arial"/>
                      <w:sz w:val="20"/>
                    </w:rPr>
                    <w:t>Constructed Wetland</w:t>
                  </w:r>
                </w:p>
                <w:p w:rsidR="00853C9A" w:rsidRPr="0044287B" w:rsidRDefault="00853C9A" w:rsidP="00FC34E0">
                  <w:pPr>
                    <w:spacing w:after="0"/>
                    <w:ind w:left="187" w:right="-29"/>
                    <w:rPr>
                      <w:rFonts w:ascii="Arial" w:hAnsi="Arial" w:cs="Arial"/>
                      <w:i/>
                      <w:sz w:val="18"/>
                    </w:rPr>
                  </w:pPr>
                  <w:r w:rsidRPr="00B134FC">
                    <w:rPr>
                      <w:rFonts w:ascii="Arial" w:hAnsi="Arial" w:cs="Arial"/>
                      <w:i/>
                      <w:sz w:val="18"/>
                    </w:rPr>
                    <w:t>Source: Geosyntec Consultants</w:t>
                  </w:r>
                </w:p>
              </w:txbxContent>
            </v:textbox>
            <w10:wrap type="square" anchorx="margin" anchory="margin"/>
          </v:shape>
        </w:pict>
      </w:r>
      <w:r>
        <w:rPr>
          <w:noProof/>
        </w:rPr>
        <w:pict>
          <v:shape id="Text Box 59" o:spid="_x0000_s1180" type="#_x0000_t202" style="position:absolute;margin-left:-162.25pt;margin-top:12.7pt;width:158.4pt;height:70.55pt;z-index:251785216;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" fillcolor="#d8d8d8">
            <v:textbox style="mso-next-textbox:#Text Box 59">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Default="00853C9A" w:rsidP="009531AF">
                  <w:pPr>
                    <w:pStyle w:val="CDMBTEXT"/>
                    <w:numPr>
                      <w:ilvl w:val="0"/>
                      <w:numId w:val="67"/>
                    </w:numPr>
                    <w:spacing w:after="60" w:line="240" w:lineRule="auto"/>
                    <w:ind w:left="540"/>
                    <w:rPr>
                      <w:i/>
                    </w:rPr>
                  </w:pPr>
                  <w:r>
                    <w:rPr>
                      <w:i/>
                    </w:rPr>
                    <w:t>Stormwater Wetlands</w:t>
                  </w:r>
                </w:p>
                <w:p w:rsidR="00853C9A" w:rsidRDefault="00853C9A" w:rsidP="009531AF">
                  <w:pPr>
                    <w:pStyle w:val="CDMBTEXT"/>
                    <w:numPr>
                      <w:ilvl w:val="0"/>
                      <w:numId w:val="67"/>
                    </w:numPr>
                    <w:spacing w:after="60" w:line="240" w:lineRule="auto"/>
                    <w:ind w:left="540"/>
                    <w:rPr>
                      <w:i/>
                    </w:rPr>
                  </w:pPr>
                  <w:r>
                    <w:rPr>
                      <w:i/>
                    </w:rPr>
                    <w:t>Wetland Basins</w:t>
                  </w:r>
                </w:p>
                <w:p w:rsidR="00853C9A" w:rsidRPr="009F707D" w:rsidRDefault="00853C9A" w:rsidP="009531AF">
                  <w:pPr>
                    <w:pStyle w:val="CDMBTEXT"/>
                    <w:numPr>
                      <w:ilvl w:val="0"/>
                      <w:numId w:val="67"/>
                    </w:numPr>
                    <w:spacing w:after="60" w:line="240" w:lineRule="auto"/>
                    <w:ind w:left="540"/>
                    <w:rPr>
                      <w:i/>
                    </w:rPr>
                  </w:pPr>
                  <w:r>
                    <w:rPr>
                      <w:i/>
                    </w:rPr>
                    <w:t>Treatment Wetland</w:t>
                  </w:r>
                </w:p>
              </w:txbxContent>
            </v:textbox>
            <w10:wrap type="square" anchorx="margin" anchory="margin"/>
          </v:shape>
        </w:pict>
      </w:r>
      <w:r w:rsidR="00FC34E0" w:rsidRPr="00311A64">
        <w:t>A constructed wetland is a system consisting of a sediment forebay and one or more permanent micro-pools with aquatic vegetation covering a significant portion of the basin. Constructed treatment wetlands typically include components such as an inlet with energy dissipation, a sediment forebay for settling out coarse solids and to facilitate maintenance, shallow sections (1 to 2 feet deep) planted with emergent vegetation, deeper areas or micro pools (3 to 5 feet deep), and a water quality outlet structure. The interactions between the incoming stormwater runoff, aquatic vegetation, wetland soils, and the associated physical, chemical, and biological unit processes are a fundamental part of constructed wetlands.</w:t>
      </w:r>
      <w:r w:rsidR="00FC34E0" w:rsidRPr="00311A64">
        <w:rPr>
          <w:noProof/>
        </w:rPr>
        <w:t xml:space="preserve"> </w:t>
      </w:r>
    </w:p>
    <w:p w:rsidR="00FC34E0" w:rsidRPr="00B53524" w:rsidRDefault="00FC34E0" w:rsidP="00FC34E0">
      <w:pPr>
        <w:pStyle w:val="FactsheetSubheading"/>
        <w:outlineLvl w:val="0"/>
      </w:pPr>
      <w:r>
        <w:t>Feasibility</w:t>
      </w:r>
      <w:r w:rsidRPr="00311A64">
        <w:t xml:space="preserve"> Screening Considerations</w:t>
      </w:r>
    </w:p>
    <w:p w:rsidR="00FC34E0" w:rsidRPr="00B53524" w:rsidRDefault="00FC34E0" w:rsidP="00FC34E0">
      <w:pPr>
        <w:pStyle w:val="FactsheetBullets"/>
        <w:numPr>
          <w:ilvl w:val="0"/>
          <w:numId w:val="1"/>
        </w:numPr>
      </w:pPr>
      <w:r>
        <w:t>F</w:t>
      </w:r>
      <w:r w:rsidRPr="00311A64">
        <w:t>easibility screening is not applicable to constructed wetlands; however the potential risk of groundwater contamination should be considered in selection and design.</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rsidRPr="00311A64">
        <w:t>Potential regional treatment for</w:t>
      </w:r>
      <w:r>
        <w:t xml:space="preserve"> a relatively large watershed</w:t>
      </w:r>
      <w:r w:rsidRPr="00311A64">
        <w:t xml:space="preserve"> drainage area.</w:t>
      </w:r>
    </w:p>
    <w:p w:rsidR="00FC34E0" w:rsidRPr="00B53524" w:rsidRDefault="00FC34E0" w:rsidP="00FC34E0">
      <w:pPr>
        <w:pStyle w:val="FactsheetBullets"/>
        <w:numPr>
          <w:ilvl w:val="0"/>
          <w:numId w:val="1"/>
        </w:numPr>
      </w:pPr>
      <w:r w:rsidRPr="00311A64">
        <w:t>Applicable for use with projects involving roads, highways, commercial residences, parks, open spaces, or golf courses.</w:t>
      </w:r>
    </w:p>
    <w:p w:rsidR="00FC34E0" w:rsidRPr="00B53524" w:rsidRDefault="00FC34E0" w:rsidP="00FC34E0">
      <w:pPr>
        <w:pStyle w:val="FactsheetBullets"/>
        <w:numPr>
          <w:ilvl w:val="0"/>
          <w:numId w:val="1"/>
        </w:numPr>
      </w:pPr>
      <w:r w:rsidRPr="00311A64">
        <w:t>Requires large footprint area.  Applicable for drainage areas treating areas larger than 10 acres and less than 10 square miles.</w:t>
      </w:r>
    </w:p>
    <w:p w:rsidR="00FC34E0" w:rsidRPr="00B53524" w:rsidRDefault="00FC34E0" w:rsidP="00FC34E0">
      <w:pPr>
        <w:pStyle w:val="FactsheetBullets"/>
        <w:numPr>
          <w:ilvl w:val="0"/>
          <w:numId w:val="1"/>
        </w:numPr>
      </w:pPr>
      <w:r w:rsidRPr="00311A64">
        <w:t>Applicable in drainage areas with source of base flow to maintain water level.</w:t>
      </w:r>
    </w:p>
    <w:p w:rsidR="00FC34E0" w:rsidRPr="00B53524" w:rsidRDefault="00FC34E0" w:rsidP="00FC34E0">
      <w:pPr>
        <w:pStyle w:val="FactsheetBullets"/>
        <w:numPr>
          <w:ilvl w:val="0"/>
          <w:numId w:val="1"/>
        </w:numPr>
      </w:pPr>
      <w:r w:rsidRPr="00311A64">
        <w:t>Wetlands present potential safety concerns and habitat for mosquito and midge breeding.</w:t>
      </w:r>
    </w:p>
    <w:p w:rsidR="00FC34E0" w:rsidRPr="00B53524" w:rsidRDefault="00FC34E0" w:rsidP="00FC34E0">
      <w:pPr>
        <w:pStyle w:val="FactsheetSubheading"/>
        <w:outlineLvl w:val="0"/>
      </w:pPr>
      <w:r w:rsidRPr="00311A64">
        <w:t>OC-Specific Design Criteria and Considerations</w:t>
      </w:r>
    </w:p>
    <w:tbl>
      <w:tblPr>
        <w:tblStyle w:val="TableGrid"/>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
        <w:gridCol w:w="8730"/>
      </w:tblGrid>
      <w:tr w:rsidR="00FC34E0" w:rsidRPr="00B53524" w:rsidTr="00FC34E0">
        <w:trPr>
          <w:trHeight w:val="147"/>
        </w:trPr>
        <w:tc>
          <w:tcPr>
            <w:tcW w:w="45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pStyle w:val="CheckBoxTableText"/>
            </w:pPr>
            <w:r w:rsidRPr="00311A64">
              <w:t>Minimum set-backs from foundations and slopes should be observed</w:t>
            </w:r>
            <w:r>
              <w:t>.</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Infiltration should not cause geotechnical concerns related to slope stability or erosion.  Proposed basins in areas with slopes greater than 7 percent or within 200 feet from the top of a hazardous slope or landslide area require geotechical investigation and report completed by licensed civil engineer.</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311A64" w:rsidRDefault="00FC34E0" w:rsidP="00FC34E0">
            <w:pPr>
              <w:pStyle w:val="CheckBoxTableText"/>
            </w:pPr>
            <w:r>
              <w:t xml:space="preserve">A natural shape and range of intermixed depths is recommended for constructed wetland geometry. </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 xml:space="preserve">Design includes sediment forebay to remove coarse solids.  </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Maximum residence time equals 7 days (dry weather).</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Flow path length to width ratio is 3:1 (minimum) and 4:1 or greater (preferred).</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M</w:t>
            </w:r>
            <w:r>
              <w:t>inimum</w:t>
            </w:r>
            <w:r w:rsidRPr="00311A64">
              <w:t xml:space="preserve"> side slope </w:t>
            </w:r>
            <w:r>
              <w:t xml:space="preserve">ratio </w:t>
            </w:r>
            <w:r w:rsidRPr="00311A64">
              <w:t xml:space="preserve">(H:V) </w:t>
            </w:r>
            <w:r>
              <w:t>should be</w:t>
            </w:r>
            <w:r w:rsidRPr="00311A64">
              <w:t xml:space="preserve"> 4:1 </w:t>
            </w:r>
            <w:r>
              <w:t xml:space="preserve">for </w:t>
            </w:r>
            <w:r w:rsidRPr="00311A64">
              <w:t>interior</w:t>
            </w:r>
            <w:r>
              <w:t xml:space="preserve"> side slopes</w:t>
            </w:r>
            <w:r w:rsidRPr="00311A64">
              <w:t xml:space="preserve">, 2:1 </w:t>
            </w:r>
            <w:r>
              <w:t xml:space="preserve">for </w:t>
            </w:r>
            <w:r w:rsidRPr="00311A64">
              <w:t>exterior</w:t>
            </w:r>
            <w:r>
              <w:t xml:space="preserve"> sideslopes</w:t>
            </w:r>
            <w:r w:rsidRPr="00311A64">
              <w:t xml:space="preserve">, </w:t>
            </w:r>
            <w:r>
              <w:t xml:space="preserve">and </w:t>
            </w:r>
            <w:r w:rsidRPr="00311A64">
              <w:t xml:space="preserve">3:1 </w:t>
            </w:r>
            <w:r>
              <w:t xml:space="preserve">for </w:t>
            </w:r>
            <w:r w:rsidRPr="00311A64">
              <w:t>landscaped</w:t>
            </w:r>
            <w:r>
              <w:t xml:space="preserve"> slopes</w:t>
            </w:r>
            <w:r w:rsidRPr="00311A64">
              <w:t>.</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t>A b</w:t>
            </w:r>
            <w:r w:rsidRPr="00311A64">
              <w:t xml:space="preserve">uffer zone </w:t>
            </w:r>
            <w:r>
              <w:t>with</w:t>
            </w:r>
            <w:r w:rsidRPr="00311A64">
              <w:t xml:space="preserve"> a minimum </w:t>
            </w:r>
            <w:r>
              <w:t xml:space="preserve">width </w:t>
            </w:r>
            <w:r w:rsidRPr="00311A64">
              <w:t>of 25 feet</w:t>
            </w:r>
            <w:r>
              <w:t xml:space="preserve"> should be provided around the top perimeter of the constructed treatment wetlands</w:t>
            </w:r>
            <w:r w:rsidRPr="00311A64">
              <w:t>.</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A source of water should be provided if water balance indicates losses will exceed inputs.</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311A64" w:rsidRDefault="00FC34E0" w:rsidP="00FC34E0">
            <w:pPr>
              <w:pStyle w:val="CheckBoxTableText"/>
            </w:pPr>
            <w:r>
              <w:t xml:space="preserve">Inlets and outlets should be positioned to maximize flowpaths through the facility.  All inlets should enter the first cell of the wet detention basin. </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311A64" w:rsidRDefault="00FC34E0" w:rsidP="00FC34E0">
            <w:pPr>
              <w:pStyle w:val="CheckBoxTableText"/>
            </w:pPr>
            <w:r>
              <w:t xml:space="preserve">Minimum freeboard should be 1 foot above the maximum water surface elevation. </w:t>
            </w:r>
          </w:p>
        </w:tc>
      </w:tr>
    </w:tbl>
    <w:p w:rsidR="00FC34E0" w:rsidRPr="00B53524" w:rsidRDefault="00FC34E0" w:rsidP="00FC34E0">
      <w:pPr>
        <w:pStyle w:val="FactsheetSubheading"/>
      </w:pPr>
      <w:r w:rsidRPr="00311A64">
        <w:t>Computing Sizing Criteria for Constructed Wetlands</w:t>
      </w:r>
    </w:p>
    <w:p w:rsidR="00FC34E0" w:rsidRPr="00B53524" w:rsidRDefault="00FC34E0" w:rsidP="00FC34E0">
      <w:pPr>
        <w:pStyle w:val="FactsheetBullets"/>
        <w:numPr>
          <w:ilvl w:val="0"/>
          <w:numId w:val="0"/>
        </w:numPr>
      </w:pPr>
      <w:r w:rsidRPr="00311A64">
        <w:t xml:space="preserve">This document does not provide specific sizing guidance for constructed wetlands. Wetlands should be designed by a team of wetland specialists that understand wetland ecology and biology and are </w:t>
      </w:r>
      <w:r>
        <w:t xml:space="preserve">familiar with </w:t>
      </w:r>
      <w:r w:rsidRPr="00311A64">
        <w:t xml:space="preserve">methods to avoid stagnation, odors, and vector issues associated with maintaining a permanent pool.  The BMP designer(s) must demonstrate that the facility is sized to capture and treat the volume of runoff not being addressed by upstream BMPs such that 80 percent of the total average annual runoff from the site is retained or treated. </w:t>
      </w:r>
    </w:p>
    <w:p w:rsidR="00FC34E0" w:rsidRPr="00B53524" w:rsidRDefault="00FC34E0" w:rsidP="00FC34E0">
      <w:pPr>
        <w:pStyle w:val="FactsheetBullets"/>
        <w:numPr>
          <w:ilvl w:val="0"/>
          <w:numId w:val="0"/>
        </w:numPr>
      </w:pPr>
      <w:r w:rsidRPr="00311A64">
        <w:t>The retention volume within a constructed wetland is the equal to the permanent pool volume. The drawdown time criteria, or the rate at which the retention volume becomes available, does not apply to constructed wetlands.  All runoff in excess of the retention volume that flows through the wetland is considered biotreated.</w:t>
      </w:r>
    </w:p>
    <w:p w:rsidR="00FC34E0" w:rsidRPr="00B53524" w:rsidRDefault="00FC34E0" w:rsidP="00FC34E0">
      <w:pPr>
        <w:pStyle w:val="FactsheetSubheading"/>
        <w:outlineLvl w:val="0"/>
      </w:pPr>
      <w:r w:rsidRPr="00311A64">
        <w:t>Configuration for Use in a Treatment Train</w:t>
      </w:r>
    </w:p>
    <w:p w:rsidR="00FC34E0" w:rsidRPr="00B53524" w:rsidRDefault="00FC34E0" w:rsidP="00FC34E0">
      <w:pPr>
        <w:pStyle w:val="FactsheetBullets"/>
        <w:numPr>
          <w:ilvl w:val="0"/>
          <w:numId w:val="1"/>
        </w:numPr>
      </w:pPr>
      <w:r w:rsidRPr="00311A64">
        <w:t>Constructed wetland basins would generally be designed to serve as the final BMP before discharging runoff off-site.</w:t>
      </w:r>
    </w:p>
    <w:p w:rsidR="00FC34E0" w:rsidRPr="00B53524" w:rsidRDefault="00FC34E0" w:rsidP="00FC34E0">
      <w:pPr>
        <w:pStyle w:val="FactsheetBullets"/>
        <w:numPr>
          <w:ilvl w:val="0"/>
          <w:numId w:val="1"/>
        </w:numPr>
      </w:pPr>
      <w:r w:rsidRPr="00311A64">
        <w:t xml:space="preserve">Constructed wetland basins may be preceded in a treatment train by </w:t>
      </w:r>
      <w:r w:rsidR="003C7091">
        <w:t>HSC</w:t>
      </w:r>
      <w:r w:rsidRPr="00311A64">
        <w:t>s and LID BMPs in the drainage area, which would reduce the pollutant load and volume of runoff entering the basin, thereby reducing the sizing requirments of the wet detention basin.</w:t>
      </w:r>
    </w:p>
    <w:p w:rsidR="00FC34E0" w:rsidRPr="00B53524" w:rsidRDefault="00FC34E0" w:rsidP="00FC34E0">
      <w:pPr>
        <w:pStyle w:val="FactsheetSubheading"/>
        <w:outlineLvl w:val="0"/>
      </w:pPr>
      <w:r w:rsidRPr="00311A64">
        <w:t>Additional References for Design Guidance</w:t>
      </w:r>
    </w:p>
    <w:p w:rsidR="00344DD2" w:rsidRDefault="00344DD2" w:rsidP="00344DD2">
      <w:pPr>
        <w:pStyle w:val="FactsheetBullets"/>
      </w:pPr>
      <w:bookmarkStart w:id="882" w:name="_Ref287795163"/>
      <w:r>
        <w:t xml:space="preserve">Western Washington Stormwater Management Manual, Volume V, Chapter 10:  </w:t>
      </w:r>
      <w:hyperlink r:id="rId210" w:history="1">
        <w:r w:rsidRPr="00126DE5">
          <w:rPr>
            <w:rStyle w:val="Hyperlink"/>
            <w:rFonts w:ascii="Book Antiqua" w:hAnsi="Book Antiqua"/>
            <w:b/>
            <w:color w:val="0070C0"/>
          </w:rPr>
          <w:t>http://www.ecy.wa.gov/pubs/0510033.pdf</w:t>
        </w:r>
      </w:hyperlink>
      <w:r>
        <w:t xml:space="preserve"> </w:t>
      </w:r>
    </w:p>
    <w:p w:rsidR="00344DD2" w:rsidRDefault="00344DD2" w:rsidP="00344DD2">
      <w:pPr>
        <w:pStyle w:val="FactsheetBullets"/>
      </w:pPr>
      <w:r>
        <w:t xml:space="preserve">CASQA BMP Handbook for New and Redevelopment: </w:t>
      </w:r>
      <w:hyperlink r:id="rId211" w:history="1">
        <w:r w:rsidRPr="00126DE5">
          <w:rPr>
            <w:rStyle w:val="Hyperlink"/>
            <w:rFonts w:ascii="Book Antiqua" w:hAnsi="Book Antiqua"/>
            <w:b/>
            <w:color w:val="0070C0"/>
          </w:rPr>
          <w:t>http://www.cabmphandbooks.com/Documents/Development/TC-21.pdf</w:t>
        </w:r>
      </w:hyperlink>
      <w:r>
        <w:t xml:space="preserve"> </w:t>
      </w:r>
    </w:p>
    <w:p w:rsidR="00344DD2" w:rsidRDefault="00344DD2" w:rsidP="00344DD2">
      <w:pPr>
        <w:pStyle w:val="FactsheetBullets"/>
      </w:pPr>
      <w:r>
        <w:t xml:space="preserve">Los Angeles County Stormwater BMP Design and Maintenance Manual, Chapter 7: </w:t>
      </w:r>
      <w:hyperlink r:id="rId212" w:history="1">
        <w:r w:rsidRPr="00126DE5">
          <w:rPr>
            <w:rStyle w:val="Hyperlink"/>
            <w:rFonts w:ascii="Book Antiqua" w:hAnsi="Book Antiqua"/>
            <w:b/>
            <w:color w:val="0070C0"/>
          </w:rPr>
          <w:t>http://dpw.lacounty.gov/DES/design_manuals/StormwaterBMPDesignandMaintenance.pdf</w:t>
        </w:r>
      </w:hyperlink>
      <w:r>
        <w:t xml:space="preserve"> </w:t>
      </w:r>
    </w:p>
    <w:p w:rsidR="00344DD2" w:rsidRDefault="00344DD2" w:rsidP="00344DD2">
      <w:pPr>
        <w:pStyle w:val="FactsheetBullets"/>
      </w:pPr>
      <w:r>
        <w:t xml:space="preserve">LA County LID Manual, Chapter 5: </w:t>
      </w:r>
      <w:hyperlink r:id="rId213" w:history="1">
        <w:r w:rsidRPr="00126DE5">
          <w:rPr>
            <w:rStyle w:val="Hyperlink"/>
            <w:rFonts w:ascii="Book Antiqua" w:hAnsi="Book Antiqua"/>
            <w:b/>
            <w:color w:val="0070C0"/>
          </w:rPr>
          <w:t>http://dpw.lacounty.gov/wmd/LA_County_LID_Manual.pdf</w:t>
        </w:r>
      </w:hyperlink>
      <w:r>
        <w:t xml:space="preserve"> </w:t>
      </w:r>
    </w:p>
    <w:p w:rsidR="00344DD2" w:rsidRDefault="00344DD2" w:rsidP="00344DD2">
      <w:pPr>
        <w:pStyle w:val="FactsheetBullets"/>
      </w:pPr>
      <w:r>
        <w:t xml:space="preserve">SMC LID Manual: </w:t>
      </w:r>
      <w:hyperlink r:id="rId214" w:history="1">
        <w:r w:rsidRPr="00126DE5">
          <w:rPr>
            <w:rStyle w:val="Hyperlink"/>
            <w:rFonts w:ascii="Book Antiqua" w:hAnsi="Book Antiqua"/>
            <w:b/>
            <w:color w:val="0070C0"/>
          </w:rPr>
          <w:t>http://www.lowimpactdevelopment.org/guest75/pub/All_Projects/SoCal_LID_Manual/SoCalLID_Manual_FINAL_040910.pdf</w:t>
        </w:r>
      </w:hyperlink>
      <w:r>
        <w:t xml:space="preserve"> </w:t>
      </w:r>
    </w:p>
    <w:p w:rsidR="005E57C9" w:rsidRPr="00344DD2" w:rsidRDefault="005E57C9" w:rsidP="00344DD2"/>
    <w:p w:rsidR="00344DD2" w:rsidRPr="00344DD2" w:rsidRDefault="00344DD2" w:rsidP="00344DD2"/>
    <w:p w:rsidR="00344DD2" w:rsidRPr="00344DD2" w:rsidRDefault="00344DD2" w:rsidP="00344DD2"/>
    <w:p w:rsidR="00FC34E0" w:rsidRPr="00344DD2" w:rsidRDefault="00126F3D" w:rsidP="00344DD2">
      <w:pPr>
        <w:pStyle w:val="Heading3"/>
        <w:numPr>
          <w:ilvl w:val="0"/>
          <w:numId w:val="0"/>
        </w:numPr>
        <w:ind w:left="907" w:hanging="907"/>
      </w:pPr>
      <w:bookmarkStart w:id="883" w:name="_Ref288544244"/>
      <w:r>
        <w:pict>
          <v:shape id="Text Box 64" o:spid="_x0000_s1181" type="#_x0000_t202" style="position:absolute;left:0;text-align:left;margin-left:-156.95pt;margin-top:78.95pt;width:158.4pt;height:145.4pt;z-index:251786240;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" filled="f">
            <v:textbox style="mso-next-textbox:#Text Box 64" inset="0,0,0,0">
              <w:txbxContent>
                <w:p w:rsidR="00853C9A" w:rsidRDefault="00853C9A" w:rsidP="00FC34E0">
                  <w:pPr>
                    <w:ind w:left="-29" w:right="-29"/>
                    <w:rPr>
                      <w:rFonts w:ascii="Arial" w:hAnsi="Arial" w:cs="Arial"/>
                      <w:noProof/>
                      <w:sz w:val="20"/>
                    </w:rPr>
                  </w:pPr>
                  <w:r w:rsidRPr="00B134FC">
                    <w:rPr>
                      <w:rFonts w:ascii="Arial" w:hAnsi="Arial" w:cs="Arial"/>
                      <w:noProof/>
                      <w:sz w:val="20"/>
                    </w:rPr>
                    <w:drawing>
                      <wp:inline distT="0" distB="0" distL="0" distR="0">
                        <wp:extent cx="2002155" cy="1499430"/>
                        <wp:effectExtent l="19050" t="0" r="0" b="0"/>
                        <wp:docPr id="93"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hotos&amp;Graphics\Photos\BMP_Photos\Retention and Detention BMPs\Combination Basin Gresham 5.jpg"/>
                                <pic:cNvPicPr>
                                  <a:picLocks noChangeAspect="1" noChangeArrowheads="1"/>
                                </pic:cNvPicPr>
                              </pic:nvPicPr>
                              <pic:blipFill>
                                <a:blip r:embed="rId215" cstate="screen"/>
                                <a:srcRect/>
                                <a:stretch>
                                  <a:fillRect/>
                                </a:stretch>
                              </pic:blipFill>
                              <pic:spPr bwMode="auto">
                                <a:xfrm flipH="1">
                                  <a:off x="0" y="0"/>
                                  <a:ext cx="2002155" cy="1499430"/>
                                </a:xfrm>
                                <a:prstGeom prst="rect">
                                  <a:avLst/>
                                </a:prstGeom>
                                <a:noFill/>
                                <a:ln w="9525">
                                  <a:noFill/>
                                  <a:miter lim="800000"/>
                                  <a:headEnd/>
                                  <a:tailEnd/>
                                </a:ln>
                              </pic:spPr>
                            </pic:pic>
                          </a:graphicData>
                        </a:graphic>
                      </wp:inline>
                    </w:drawing>
                  </w:r>
                </w:p>
                <w:p w:rsidR="00853C9A" w:rsidRPr="0044287B" w:rsidRDefault="00853C9A" w:rsidP="00FC34E0">
                  <w:pPr>
                    <w:ind w:left="180" w:right="-29"/>
                    <w:rPr>
                      <w:rFonts w:ascii="Arial" w:hAnsi="Arial" w:cs="Arial"/>
                      <w:i/>
                      <w:sz w:val="18"/>
                    </w:rPr>
                  </w:pPr>
                  <w:r>
                    <w:rPr>
                      <w:rFonts w:ascii="Arial" w:hAnsi="Arial" w:cs="Arial"/>
                      <w:sz w:val="20"/>
                    </w:rPr>
                    <w:t>Dry Extended Detention Basin</w:t>
                  </w:r>
                  <w:r w:rsidRPr="00FA56FE">
                    <w:rPr>
                      <w:rFonts w:ascii="Arial" w:hAnsi="Arial" w:cs="Arial"/>
                      <w:sz w:val="20"/>
                    </w:rPr>
                    <w:t xml:space="preserve">, </w:t>
                  </w:r>
                  <w:r w:rsidRPr="00B134FC">
                    <w:rPr>
                      <w:rFonts w:ascii="Arial" w:hAnsi="Arial" w:cs="Arial"/>
                      <w:i/>
                      <w:sz w:val="18"/>
                    </w:rPr>
                    <w:t>Source: Geosyntec Consultants</w:t>
                  </w:r>
                </w:p>
              </w:txbxContent>
            </v:textbox>
            <w10:wrap type="square" anchorx="margin" anchory="margin"/>
          </v:shape>
        </w:pict>
      </w:r>
      <w:r>
        <w:pict>
          <v:shape id="Text Box 63" o:spid="_x0000_s1182" type="#_x0000_t202" style="position:absolute;left:0;text-align:left;margin-left:-156.95pt;margin-top:23.8pt;width:158.4pt;height:55.15pt;z-index:251787264;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" fillcolor="#d8d8d8">
            <v:textbox style="mso-next-textbox:#Text Box 63">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Default="00853C9A" w:rsidP="009531AF">
                  <w:pPr>
                    <w:pStyle w:val="CDMBTEXT"/>
                    <w:numPr>
                      <w:ilvl w:val="0"/>
                      <w:numId w:val="67"/>
                    </w:numPr>
                    <w:spacing w:after="60" w:line="240" w:lineRule="auto"/>
                    <w:ind w:left="540"/>
                    <w:rPr>
                      <w:i/>
                    </w:rPr>
                  </w:pPr>
                  <w:r>
                    <w:rPr>
                      <w:i/>
                    </w:rPr>
                    <w:t>Dry Ponds</w:t>
                  </w:r>
                </w:p>
                <w:p w:rsidR="00853C9A" w:rsidRPr="009F707D" w:rsidRDefault="00853C9A" w:rsidP="009531AF">
                  <w:pPr>
                    <w:pStyle w:val="CDMBTEXT"/>
                    <w:numPr>
                      <w:ilvl w:val="0"/>
                      <w:numId w:val="67"/>
                    </w:numPr>
                    <w:spacing w:after="60" w:line="240" w:lineRule="auto"/>
                    <w:ind w:left="540"/>
                    <w:rPr>
                      <w:i/>
                    </w:rPr>
                  </w:pPr>
                  <w:r>
                    <w:rPr>
                      <w:i/>
                    </w:rPr>
                    <w:t>Detention Ponds</w:t>
                  </w:r>
                </w:p>
              </w:txbxContent>
            </v:textbox>
            <w10:wrap type="square" anchorx="margin" anchory="margin"/>
          </v:shape>
        </w:pict>
      </w:r>
      <w:bookmarkStart w:id="884" w:name="_Toc285589342"/>
      <w:r w:rsidR="00FC34E0" w:rsidRPr="00344DD2">
        <w:t>BIO-6: Dry Extended Detention Basin</w:t>
      </w:r>
      <w:bookmarkEnd w:id="882"/>
      <w:bookmarkEnd w:id="883"/>
      <w:bookmarkEnd w:id="884"/>
    </w:p>
    <w:p w:rsidR="00FC34E0" w:rsidRDefault="00FC34E0" w:rsidP="00FC34E0">
      <w:pPr>
        <w:pStyle w:val="CDMBTEXT"/>
      </w:pPr>
      <w:r w:rsidRPr="00311A64">
        <w:t xml:space="preserve">Dry extended detention basins (DEDBs) are basins whose outlets have been designed to detain the stormwater quality design volume, SQDV, for 36 to 48 hours to allow particulates and associated pollutants to settle out.  DEDBs do not have a permanent pool; they are designed to drain completely between storm events. They can also be used to provide hydromodification and/or flood control by modifying the outlet control structure and providing additional detention storage. The slopes, bottom, and forebay of DEDBs are typically vegetated. Considerable stormwater volume reduction can occur in DEDBs when they are located in permeable soils and are not lined with an impermeable barrier. </w:t>
      </w:r>
    </w:p>
    <w:p w:rsidR="00FC34E0" w:rsidRDefault="00FC34E0" w:rsidP="00FC34E0">
      <w:pPr>
        <w:pStyle w:val="CDMBTEXT"/>
      </w:pPr>
      <w:r>
        <w:t>For dry extended detention basins to be considered as biotreatment BMPs, they must meet all applicable guidelines described in this Fact Sheet and in</w:t>
      </w:r>
      <w:r>
        <w:rPr>
          <w:b/>
          <w:color w:val="00B050"/>
        </w:rPr>
        <w:t xml:space="preserve"> </w:t>
      </w:r>
      <w:r w:rsidR="00126F3D" w:rsidRPr="00126DE5">
        <w:rPr>
          <w:b/>
          <w:color w:val="0070C0"/>
          <w:sz w:val="20"/>
        </w:rPr>
        <w:fldChar w:fldCharType="begin"/>
      </w:r>
      <w:r w:rsidRPr="00126DE5">
        <w:rPr>
          <w:b/>
          <w:color w:val="0070C0"/>
          <w:sz w:val="20"/>
        </w:rPr>
        <w:instrText xml:space="preserve"> REF _Ref285288960 \r \h </w:instrText>
      </w:r>
      <w:r w:rsidR="00126F3D" w:rsidRPr="00126DE5">
        <w:rPr>
          <w:b/>
          <w:color w:val="0070C0"/>
          <w:sz w:val="20"/>
        </w:rPr>
      </w:r>
      <w:r w:rsidR="00126F3D" w:rsidRPr="00126DE5">
        <w:rPr>
          <w:b/>
          <w:color w:val="0070C0"/>
          <w:sz w:val="20"/>
        </w:rPr>
        <w:fldChar w:fldCharType="separate"/>
      </w:r>
      <w:r w:rsidR="00126DE5" w:rsidRPr="00126DE5">
        <w:rPr>
          <w:b/>
          <w:color w:val="0070C0"/>
          <w:sz w:val="20"/>
        </w:rPr>
        <w:t>Appendix XII</w:t>
      </w:r>
      <w:r w:rsidR="00126F3D" w:rsidRPr="00126DE5">
        <w:rPr>
          <w:b/>
          <w:color w:val="0070C0"/>
          <w:sz w:val="20"/>
        </w:rPr>
        <w:fldChar w:fldCharType="end"/>
      </w:r>
      <w:r>
        <w:t xml:space="preserve">. </w:t>
      </w:r>
    </w:p>
    <w:p w:rsidR="00FC34E0" w:rsidRPr="00533A19" w:rsidRDefault="00FC34E0" w:rsidP="00533A19">
      <w:pPr>
        <w:autoSpaceDE w:val="0"/>
        <w:autoSpaceDN w:val="0"/>
        <w:adjustRightInd w:val="0"/>
        <w:spacing w:after="0" w:line="240" w:lineRule="auto"/>
        <w:rPr>
          <w:rFonts w:ascii="Tahoma" w:hAnsi="Tahoma" w:cs="Tahoma"/>
          <w:sz w:val="20"/>
          <w:szCs w:val="20"/>
        </w:rPr>
      </w:pPr>
      <w:r>
        <w:t xml:space="preserve">If dry extended detention basins do not meet these guidelines, they shall be considered treatment control BMPs. </w:t>
      </w:r>
      <w:r>
        <w:rPr>
          <w:rFonts w:ascii="Tahoma" w:hAnsi="Tahoma" w:cs="Tahoma"/>
          <w:color w:val="000000"/>
          <w:sz w:val="20"/>
          <w:szCs w:val="20"/>
        </w:rPr>
        <w:t xml:space="preserve"> </w:t>
      </w:r>
    </w:p>
    <w:p w:rsidR="00FC34E0" w:rsidRPr="00B53524" w:rsidRDefault="00FC34E0" w:rsidP="00FC34E0">
      <w:pPr>
        <w:pStyle w:val="FactsheetSubheading"/>
        <w:outlineLvl w:val="0"/>
      </w:pPr>
      <w:r w:rsidRPr="00311A64">
        <w:t>Level 1 Screening Considerations</w:t>
      </w:r>
    </w:p>
    <w:p w:rsidR="00FC34E0" w:rsidRDefault="00FC34E0" w:rsidP="00FC34E0">
      <w:pPr>
        <w:pStyle w:val="FactsheetBullets"/>
        <w:numPr>
          <w:ilvl w:val="0"/>
          <w:numId w:val="1"/>
        </w:numPr>
      </w:pPr>
      <w:r>
        <w:t>Infiltration feasibility</w:t>
      </w:r>
      <w:r w:rsidRPr="00311A64">
        <w:t xml:space="preserve"> is not</w:t>
      </w:r>
      <w:r>
        <w:t xml:space="preserve"> generally</w:t>
      </w:r>
      <w:r w:rsidRPr="00311A64">
        <w:t xml:space="preserve"> applicable to DEDBs; however</w:t>
      </w:r>
      <w:r>
        <w:t xml:space="preserve"> some incidental infiltration will occur. </w:t>
      </w:r>
    </w:p>
    <w:p w:rsidR="00FC34E0" w:rsidRPr="00B53524" w:rsidRDefault="00FC34E0" w:rsidP="00FC34E0">
      <w:pPr>
        <w:pStyle w:val="FactsheetBullets"/>
        <w:numPr>
          <w:ilvl w:val="0"/>
          <w:numId w:val="1"/>
        </w:numPr>
      </w:pPr>
      <w:r>
        <w:t>The</w:t>
      </w:r>
      <w:r w:rsidRPr="00311A64">
        <w:t xml:space="preserve"> potential risk of groundwater contamination</w:t>
      </w:r>
      <w:r>
        <w:t xml:space="preserve"> and geotechnical hazards</w:t>
      </w:r>
      <w:r w:rsidRPr="00311A64">
        <w:t xml:space="preserve"> should be considered in </w:t>
      </w:r>
      <w:r>
        <w:t>determining whether a liner is needed.</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rsidRPr="00311A64">
        <w:t xml:space="preserve">Most applicable for larger drainage areas where significant area is available at the downstream end of the drainage area. </w:t>
      </w:r>
    </w:p>
    <w:p w:rsidR="00FC34E0" w:rsidRPr="00B53524" w:rsidRDefault="00FC34E0" w:rsidP="00FC34E0">
      <w:pPr>
        <w:pStyle w:val="FactsheetBullets"/>
        <w:numPr>
          <w:ilvl w:val="0"/>
          <w:numId w:val="1"/>
        </w:numPr>
      </w:pPr>
      <w:r w:rsidRPr="00311A64">
        <w:t>Can be integrated into open areas or play fields.</w:t>
      </w:r>
    </w:p>
    <w:p w:rsidR="00FC34E0" w:rsidRPr="00B53524" w:rsidRDefault="00FC34E0" w:rsidP="00FC34E0">
      <w:pPr>
        <w:pStyle w:val="FactsheetBullets"/>
        <w:numPr>
          <w:ilvl w:val="0"/>
          <w:numId w:val="1"/>
        </w:numPr>
      </w:pPr>
      <w:r w:rsidRPr="00311A64">
        <w:t>Not ideal in areas where high seasonal groundwater would limit depth or require lining.</w:t>
      </w:r>
    </w:p>
    <w:p w:rsidR="00FC34E0" w:rsidRPr="00B53524" w:rsidRDefault="00FC34E0" w:rsidP="00FC34E0">
      <w:pPr>
        <w:pStyle w:val="FactsheetBullets"/>
        <w:numPr>
          <w:ilvl w:val="0"/>
          <w:numId w:val="1"/>
        </w:numPr>
      </w:pPr>
      <w:r w:rsidRPr="00311A64">
        <w:t>Can be integrated into flood control facilities where essential functions of flood control facilities are not compromised.</w:t>
      </w:r>
    </w:p>
    <w:p w:rsidR="00FC34E0" w:rsidRPr="00B53524" w:rsidRDefault="00FC34E0" w:rsidP="00FC34E0">
      <w:pPr>
        <w:pStyle w:val="FactsheetSubheading"/>
        <w:outlineLvl w:val="0"/>
      </w:pPr>
      <w:r w:rsidRPr="00311A64">
        <w:t xml:space="preserve">Criteria for Categorization </w:t>
      </w:r>
      <w:r w:rsidRPr="00B53524">
        <w:t xml:space="preserve">of DEDBs </w:t>
      </w:r>
      <w:r w:rsidRPr="00311A64">
        <w:t>as Biotreatment BMP</w:t>
      </w:r>
    </w:p>
    <w:p w:rsidR="00FC34E0" w:rsidRDefault="00FC34E0" w:rsidP="00FC34E0">
      <w:pPr>
        <w:pStyle w:val="FactsheetBullets"/>
        <w:numPr>
          <w:ilvl w:val="0"/>
          <w:numId w:val="0"/>
        </w:numPr>
        <w:ind w:left="86"/>
      </w:pPr>
      <w:r w:rsidRPr="00311A64">
        <w:t xml:space="preserve">In order to to be categorized as </w:t>
      </w:r>
      <w:r>
        <w:t>B</w:t>
      </w:r>
      <w:r w:rsidRPr="00311A64">
        <w:t>iotreatment BMPs, DEDBs should be designed to meet the following minimum criteria. DEDBs not meeting these criteria but meeting the OC-Specific design criteria listed next are categorized as treatment control BMPs.</w:t>
      </w:r>
    </w:p>
    <w:tbl>
      <w:tblPr>
        <w:tblStyle w:val="TableGrid"/>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
        <w:gridCol w:w="8730"/>
      </w:tblGrid>
      <w:tr w:rsidR="00FC34E0" w:rsidRPr="00B53524" w:rsidTr="00FC34E0">
        <w:trPr>
          <w:trHeight w:val="147"/>
        </w:trPr>
        <w:tc>
          <w:tcPr>
            <w:tcW w:w="45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pStyle w:val="CheckBoxTableText"/>
            </w:pPr>
            <w:r w:rsidRPr="00311A64">
              <w:t>Maximum treatment depth should be 6 feet</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 xml:space="preserve">Robust, diverse, and extensive vegetation should be designed and maintained to an average height not less than &gt; 12 inches. Soils should be amended per soil amendment criteria contained in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_Ref285549901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MISC-2: Amended Soils</w:t>
            </w:r>
            <w:r w:rsidR="00126F3D" w:rsidRPr="00126DE5">
              <w:rPr>
                <w:rFonts w:ascii="Book Antiqua" w:hAnsi="Book Antiqua"/>
                <w:b/>
                <w:color w:val="0070C0"/>
              </w:rPr>
              <w:fldChar w:fldCharType="end"/>
            </w:r>
            <w:r>
              <w:t xml:space="preserve"> </w:t>
            </w:r>
            <w:r w:rsidRPr="00311A64">
              <w:t>if vegetation cannot be readily established.</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Hardscape within basin should be limited to essential access roads.</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Design should include a vegetated sediment forebay that encompasses between 20 and 30 percent of the basin volume.</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The basin should be designed to draw down over 48 to 72 hours. The basin should be designed such that drawdown time for the bottom 50 percent of the treatment volume is not less than 2/3 of the entire drawdown time.</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The L:W ratio of the basin should meet or exceed 2:1.</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A micropool should be provided upstream of the outlet structure and/or media filtration should be integrated with the outlet structure.</w:t>
            </w:r>
          </w:p>
        </w:tc>
      </w:tr>
    </w:tbl>
    <w:p w:rsidR="00FC34E0" w:rsidRPr="00B53524" w:rsidRDefault="00FC34E0" w:rsidP="00FC34E0">
      <w:pPr>
        <w:pStyle w:val="FactsheetSubheading"/>
      </w:pPr>
      <w:r w:rsidRPr="00311A64">
        <w:t>OC-Specific Design Criteria and Considerations</w:t>
      </w:r>
    </w:p>
    <w:tbl>
      <w:tblPr>
        <w:tblStyle w:val="TableGrid"/>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
        <w:gridCol w:w="8730"/>
      </w:tblGrid>
      <w:tr w:rsidR="00FC34E0" w:rsidRPr="00B53524" w:rsidTr="00FC34E0">
        <w:trPr>
          <w:trHeight w:val="147"/>
        </w:trPr>
        <w:tc>
          <w:tcPr>
            <w:tcW w:w="45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pStyle w:val="CheckBoxTableText"/>
            </w:pPr>
            <w:r w:rsidRPr="00311A64">
              <w:t>Minimum set-backs from foundations and slopes should be observed</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Infiltration should not cause geotechnical concerns related to slope stability or erosion.  Proposed basins in areas with slopes greater than 15 percent or within 200 feet from the top of a hazardous slope or landslide area require geotechnical investigation.</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Depth from bottom of facility to seasonal high groundwater table should be ≥ 2 feet.</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DEDBs are preferrably off-line, designed to bypass peak flows.</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Minimum freeboard equals 1 foot for offline facilities and 2 feet for online facilities.</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Maximum side slope (H:V) preferably equals 4:1 interior and 3:1 exterior; steeper slopes permitted with fencing and geotechnical analysis.</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Longitudinal slope preferably 0%-2%.</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 xml:space="preserve">Low flow channel with gravel infiltration trench preferably provided where infiltration is allowable; designed to eliminate maximum estimated dry weather flowrate.  </w:t>
            </w:r>
          </w:p>
        </w:tc>
      </w:tr>
    </w:tbl>
    <w:p w:rsidR="00FC34E0" w:rsidRPr="00B53524" w:rsidRDefault="00FC34E0" w:rsidP="00FC34E0">
      <w:pPr>
        <w:pStyle w:val="FactsheetSubheading"/>
      </w:pPr>
      <w:r w:rsidRPr="00311A64">
        <w:t>Computing Sizing Criteria for Dry Extended Detention Basins</w:t>
      </w:r>
    </w:p>
    <w:p w:rsidR="00FC34E0" w:rsidRDefault="00FC34E0" w:rsidP="00FC34E0">
      <w:pPr>
        <w:pStyle w:val="FactsheetBullets"/>
        <w:numPr>
          <w:ilvl w:val="0"/>
          <w:numId w:val="1"/>
        </w:numPr>
      </w:pPr>
      <w:r w:rsidRPr="00311A64">
        <w:t xml:space="preserve">DEDBs should be sized for the </w:t>
      </w:r>
      <w:r w:rsidR="003C7091">
        <w:t>DCV</w:t>
      </w:r>
      <w:r>
        <w:t xml:space="preserve">, calculated per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Simple Design Capture Volume Sizing Method</w:t>
      </w:r>
      <w:r w:rsidR="00126F3D" w:rsidRPr="00126DE5">
        <w:rPr>
          <w:rFonts w:ascii="Book Antiqua" w:hAnsi="Book Antiqua"/>
          <w:b/>
          <w:color w:val="0070C0"/>
        </w:rPr>
        <w:fldChar w:fldCharType="end"/>
      </w:r>
      <w:r>
        <w:t>.</w:t>
      </w:r>
    </w:p>
    <w:p w:rsidR="00FC34E0" w:rsidRDefault="00FC34E0" w:rsidP="00FC34E0">
      <w:pPr>
        <w:pStyle w:val="FactsheetBullets"/>
        <w:numPr>
          <w:ilvl w:val="0"/>
          <w:numId w:val="1"/>
        </w:numPr>
      </w:pPr>
      <w:r>
        <w:t xml:space="preserve">Routing calculations should demonstrate that the outlet structure is designed to acheve the target drawdown time and pattern: </w:t>
      </w:r>
      <w:r w:rsidRPr="00311A64">
        <w:t>The basin should be designed to draw down over 48 to 72 hours. The basin should be designed such that drawdown time for the bottom 50 percent of the treatment volume is not less than 2/3 of the entire drawdown time.</w:t>
      </w:r>
    </w:p>
    <w:p w:rsidR="00FC34E0" w:rsidRPr="00B53524" w:rsidRDefault="00FC34E0" w:rsidP="00FC34E0">
      <w:pPr>
        <w:pStyle w:val="FactsheetSubheading"/>
        <w:outlineLvl w:val="0"/>
      </w:pPr>
      <w:r w:rsidRPr="00311A64">
        <w:t>Configuration for Use in a Treatment Train</w:t>
      </w:r>
    </w:p>
    <w:p w:rsidR="00FC34E0" w:rsidRPr="00B53524" w:rsidRDefault="00FC34E0" w:rsidP="00FC34E0">
      <w:pPr>
        <w:pStyle w:val="FactsheetBullets"/>
        <w:numPr>
          <w:ilvl w:val="0"/>
          <w:numId w:val="1"/>
        </w:numPr>
      </w:pPr>
      <w:r w:rsidRPr="00311A64">
        <w:t xml:space="preserve">Dry extended detention basins may be preceeded in a treatment train by </w:t>
      </w:r>
      <w:r w:rsidR="003C7091">
        <w:t>HSC</w:t>
      </w:r>
      <w:r w:rsidRPr="00311A64">
        <w:t>s and LID BMPs in the drainage area, which would reduce the remaining biotreatment/treatment control requirements and allow the basin to be smaller in volume.</w:t>
      </w:r>
    </w:p>
    <w:p w:rsidR="00FC34E0" w:rsidRPr="00B53524" w:rsidRDefault="00FC34E0" w:rsidP="00FC34E0">
      <w:pPr>
        <w:pStyle w:val="FactsheetBullets"/>
        <w:numPr>
          <w:ilvl w:val="0"/>
          <w:numId w:val="1"/>
        </w:numPr>
      </w:pPr>
      <w:r w:rsidRPr="00311A64">
        <w:t>Dry extended detention basins can be located upstream of LID or treatment control BMPs to provide peak flow equalization.</w:t>
      </w:r>
    </w:p>
    <w:p w:rsidR="00FC34E0" w:rsidRPr="00B53524" w:rsidRDefault="00FC34E0" w:rsidP="00FC34E0">
      <w:pPr>
        <w:pStyle w:val="FactsheetSubheading"/>
        <w:outlineLvl w:val="0"/>
      </w:pPr>
      <w:r w:rsidRPr="00311A64">
        <w:t>Additional References for Design Guidance</w:t>
      </w:r>
    </w:p>
    <w:p w:rsidR="00FC34E0" w:rsidRPr="00B53524" w:rsidRDefault="00FC34E0" w:rsidP="00FC34E0">
      <w:pPr>
        <w:pStyle w:val="FactsheetBullets"/>
        <w:numPr>
          <w:ilvl w:val="0"/>
          <w:numId w:val="1"/>
        </w:numPr>
      </w:pPr>
      <w:r w:rsidRPr="00311A64">
        <w:t xml:space="preserve">CASQA BMP Handbook for New and Redevelopment: </w:t>
      </w:r>
      <w:hyperlink r:id="rId216" w:history="1">
        <w:r w:rsidRPr="00126DE5">
          <w:rPr>
            <w:rStyle w:val="Hyperlink"/>
            <w:rFonts w:ascii="Book Antiqua" w:hAnsi="Book Antiqua"/>
            <w:b/>
            <w:color w:val="0070C0"/>
          </w:rPr>
          <w:t>http://www.cabmphandbooks.com/Documents/Development/TC-22.pdf</w:t>
        </w:r>
      </w:hyperlink>
    </w:p>
    <w:p w:rsidR="00FC34E0" w:rsidRPr="00B53524" w:rsidRDefault="00FC34E0" w:rsidP="00FC34E0">
      <w:pPr>
        <w:pStyle w:val="FactsheetBullets"/>
        <w:numPr>
          <w:ilvl w:val="0"/>
          <w:numId w:val="1"/>
        </w:numPr>
      </w:pPr>
      <w:r w:rsidRPr="00311A64">
        <w:t xml:space="preserve">SMC LID Manual (pp 145): </w:t>
      </w:r>
      <w:hyperlink r:id="rId217" w:history="1">
        <w:r w:rsidRPr="00126DE5">
          <w:rPr>
            <w:rStyle w:val="Hyperlink"/>
            <w:rFonts w:ascii="Book Antiqua" w:hAnsi="Book Antiqua"/>
            <w:b/>
            <w:color w:val="0070C0"/>
          </w:rPr>
          <w:t>http://www.lowimpactdevelopment.org/guest75/pub/All_Projects/SoCal_LID_Manual/SoCalLID_Manual_FINAL_040910.pdf</w:t>
        </w:r>
      </w:hyperlink>
    </w:p>
    <w:p w:rsidR="00FC34E0" w:rsidRPr="00B53524" w:rsidRDefault="00FC34E0" w:rsidP="00FC34E0">
      <w:pPr>
        <w:pStyle w:val="FactsheetBullets"/>
        <w:numPr>
          <w:ilvl w:val="0"/>
          <w:numId w:val="1"/>
        </w:numPr>
      </w:pPr>
      <w:r w:rsidRPr="00311A64">
        <w:t xml:space="preserve">Los Angeles </w:t>
      </w:r>
      <w:r>
        <w:t>County Stormwater BMP Design</w:t>
      </w:r>
      <w:r w:rsidRPr="00311A64">
        <w:t xml:space="preserve"> and Maintenance Manual, Chapter 2: </w:t>
      </w:r>
      <w:hyperlink r:id="rId218" w:history="1">
        <w:r w:rsidRPr="00126DE5">
          <w:rPr>
            <w:rStyle w:val="Hyperlink"/>
            <w:rFonts w:ascii="Book Antiqua" w:hAnsi="Book Antiqua"/>
            <w:b/>
            <w:color w:val="0070C0"/>
          </w:rPr>
          <w:t>http://dpw.lacounty.gov/DES/design_manuals/StormwaterBMPDesignandMaintenance.pdf</w:t>
        </w:r>
      </w:hyperlink>
    </w:p>
    <w:p w:rsidR="00FC34E0" w:rsidRPr="00B53524" w:rsidRDefault="00FC34E0" w:rsidP="00FC34E0">
      <w:pPr>
        <w:pStyle w:val="FactsheetBullets"/>
        <w:numPr>
          <w:ilvl w:val="0"/>
          <w:numId w:val="1"/>
        </w:numPr>
      </w:pPr>
      <w:r w:rsidRPr="00311A64">
        <w:t>City of Portland Stormw</w:t>
      </w:r>
      <w:r>
        <w:t>ater Management Manual (Pond, page</w:t>
      </w:r>
      <w:r w:rsidRPr="00311A64">
        <w:t xml:space="preserve"> 2-68) </w:t>
      </w:r>
      <w:hyperlink r:id="rId219" w:history="1">
        <w:r w:rsidRPr="00126DE5">
          <w:rPr>
            <w:rStyle w:val="Hyperlink"/>
            <w:rFonts w:ascii="Book Antiqua" w:hAnsi="Book Antiqua"/>
            <w:b/>
            <w:color w:val="0070C0"/>
          </w:rPr>
          <w:t>http://www.portlandonline.com/bes/index.cfm?c=47954&amp;a=202883</w:t>
        </w:r>
      </w:hyperlink>
    </w:p>
    <w:p w:rsidR="00FC34E0" w:rsidRPr="00B53524" w:rsidRDefault="00FC34E0" w:rsidP="00FC34E0">
      <w:pPr>
        <w:pStyle w:val="FactsheetBullets"/>
        <w:numPr>
          <w:ilvl w:val="0"/>
          <w:numId w:val="1"/>
        </w:numPr>
      </w:pPr>
      <w:r w:rsidRPr="00311A64">
        <w:t xml:space="preserve">San Diego County LID Handbook Appendix 4 (Factsheet 3):  </w:t>
      </w:r>
      <w:hyperlink r:id="rId220" w:history="1">
        <w:r w:rsidRPr="00126DE5">
          <w:rPr>
            <w:rStyle w:val="Hyperlink"/>
            <w:rFonts w:ascii="Book Antiqua" w:hAnsi="Book Antiqua"/>
            <w:b/>
            <w:color w:val="0070C0"/>
          </w:rPr>
          <w:t>http://www.sdcounty.ca.gov/dplu/docs/LID-Appendices.pdf</w:t>
        </w:r>
      </w:hyperlink>
    </w:p>
    <w:p w:rsidR="00FC34E0" w:rsidRDefault="00FC34E0" w:rsidP="00FC34E0">
      <w:pPr>
        <w:pStyle w:val="FactsheetBullets"/>
        <w:numPr>
          <w:ilvl w:val="0"/>
          <w:numId w:val="1"/>
        </w:numPr>
      </w:pPr>
      <w:r>
        <w:br w:type="page"/>
      </w:r>
    </w:p>
    <w:p w:rsidR="00FC34E0" w:rsidRPr="00B53524" w:rsidRDefault="00126F3D" w:rsidP="00533A19">
      <w:pPr>
        <w:pStyle w:val="Heading3"/>
        <w:numPr>
          <w:ilvl w:val="0"/>
          <w:numId w:val="0"/>
        </w:numPr>
        <w:ind w:left="907" w:hanging="907"/>
      </w:pPr>
      <w:bookmarkStart w:id="885" w:name="_Ref287795164"/>
      <w:r w:rsidRPr="00126F3D">
        <w:rPr>
          <w:rFonts w:eastAsia="Times New Roman"/>
          <w:noProof/>
        </w:rPr>
        <w:pict>
          <v:shape id="Text Box 61" o:spid="_x0000_s1183" type="#_x0000_t202" style="position:absolute;left:0;text-align:left;margin-left:-158.4pt;margin-top:18.55pt;width:158.4pt;height:70.7pt;z-index:251788288;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" fillcolor="#d8d8d8">
            <v:textbox style="mso-next-textbox:#Text Box 61">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Default="00853C9A" w:rsidP="009531AF">
                  <w:pPr>
                    <w:pStyle w:val="CDMBTEXT"/>
                    <w:numPr>
                      <w:ilvl w:val="0"/>
                      <w:numId w:val="67"/>
                    </w:numPr>
                    <w:spacing w:after="60" w:line="240" w:lineRule="auto"/>
                    <w:ind w:left="540"/>
                    <w:rPr>
                      <w:i/>
                    </w:rPr>
                  </w:pPr>
                  <w:r>
                    <w:rPr>
                      <w:i/>
                    </w:rPr>
                    <w:t>Catch basin planter box</w:t>
                  </w:r>
                </w:p>
                <w:p w:rsidR="00853C9A" w:rsidRDefault="00853C9A" w:rsidP="009531AF">
                  <w:pPr>
                    <w:pStyle w:val="CDMBTEXT"/>
                    <w:numPr>
                      <w:ilvl w:val="0"/>
                      <w:numId w:val="67"/>
                    </w:numPr>
                    <w:spacing w:after="60" w:line="240" w:lineRule="auto"/>
                    <w:ind w:left="540"/>
                    <w:rPr>
                      <w:i/>
                    </w:rPr>
                  </w:pPr>
                  <w:r>
                    <w:rPr>
                      <w:i/>
                    </w:rPr>
                    <w:t>Bioretention vault</w:t>
                  </w:r>
                </w:p>
                <w:p w:rsidR="00853C9A" w:rsidRPr="009F707D" w:rsidRDefault="00853C9A" w:rsidP="009531AF">
                  <w:pPr>
                    <w:pStyle w:val="CDMBTEXT"/>
                    <w:numPr>
                      <w:ilvl w:val="0"/>
                      <w:numId w:val="67"/>
                    </w:numPr>
                    <w:spacing w:after="60" w:line="240" w:lineRule="auto"/>
                    <w:ind w:left="540"/>
                    <w:rPr>
                      <w:i/>
                    </w:rPr>
                  </w:pPr>
                  <w:r>
                    <w:rPr>
                      <w:i/>
                    </w:rPr>
                    <w:t>Tree box filter</w:t>
                  </w:r>
                </w:p>
              </w:txbxContent>
            </v:textbox>
            <w10:wrap type="square" anchorx="margin" anchory="margin"/>
          </v:shape>
        </w:pict>
      </w:r>
      <w:bookmarkStart w:id="886" w:name="_Toc285522614"/>
      <w:bookmarkStart w:id="887" w:name="_Toc285589343"/>
      <w:r w:rsidR="00FC34E0">
        <w:t xml:space="preserve">BIO-7: </w:t>
      </w:r>
      <w:r w:rsidR="00FC34E0" w:rsidRPr="00311A64">
        <w:t>Proprietary Biotreatment</w:t>
      </w:r>
      <w:bookmarkEnd w:id="885"/>
      <w:bookmarkEnd w:id="886"/>
      <w:bookmarkEnd w:id="887"/>
    </w:p>
    <w:p w:rsidR="00FC34E0" w:rsidRPr="00B53524" w:rsidRDefault="00126F3D" w:rsidP="00FC34E0">
      <w:pPr>
        <w:autoSpaceDE w:val="0"/>
        <w:autoSpaceDN w:val="0"/>
        <w:adjustRightInd w:val="0"/>
        <w:jc w:val="both"/>
        <w:rPr>
          <w:rFonts w:eastAsia="Times New Roman"/>
          <w:noProof/>
        </w:rPr>
      </w:pPr>
      <w:r>
        <w:rPr>
          <w:rFonts w:eastAsia="Times New Roman"/>
          <w:noProof/>
        </w:rPr>
        <w:pict>
          <v:shape id="Text Box 62" o:spid="_x0000_s1184" type="#_x0000_t202" style="position:absolute;left:0;text-align:left;margin-left:-158.25pt;margin-top:89.2pt;width:158.4pt;height:182.25pt;z-index:251789312;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" filled="f">
            <v:textbox style="mso-next-textbox:#Text Box 62" inset="0,0,0,0">
              <w:txbxContent>
                <w:p w:rsidR="00853C9A" w:rsidRDefault="00853C9A" w:rsidP="00FC34E0">
                  <w:pPr>
                    <w:ind w:left="-29" w:right="-29"/>
                    <w:rPr>
                      <w:rFonts w:ascii="Arial" w:hAnsi="Arial" w:cs="Arial"/>
                      <w:noProof/>
                      <w:sz w:val="20"/>
                    </w:rPr>
                  </w:pPr>
                  <w:r w:rsidRPr="00591C81">
                    <w:rPr>
                      <w:rFonts w:ascii="Arial" w:hAnsi="Arial" w:cs="Arial"/>
                      <w:noProof/>
                      <w:sz w:val="20"/>
                    </w:rPr>
                    <w:drawing>
                      <wp:inline distT="0" distB="0" distL="0" distR="0">
                        <wp:extent cx="2002155" cy="1385885"/>
                        <wp:effectExtent l="19050" t="0" r="0" b="0"/>
                        <wp:docPr id="160"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1" cstate="screen"/>
                                <a:srcRect/>
                                <a:stretch>
                                  <a:fillRect/>
                                </a:stretch>
                              </pic:blipFill>
                              <pic:spPr bwMode="auto">
                                <a:xfrm>
                                  <a:off x="0" y="0"/>
                                  <a:ext cx="2002155" cy="1385885"/>
                                </a:xfrm>
                                <a:prstGeom prst="rect">
                                  <a:avLst/>
                                </a:prstGeom>
                                <a:noFill/>
                                <a:ln w="9525">
                                  <a:noFill/>
                                  <a:miter lim="800000"/>
                                  <a:headEnd/>
                                  <a:tailEnd/>
                                </a:ln>
                              </pic:spPr>
                            </pic:pic>
                          </a:graphicData>
                        </a:graphic>
                      </wp:inline>
                    </w:drawing>
                  </w:r>
                </w:p>
                <w:p w:rsidR="00853C9A" w:rsidRDefault="00853C9A" w:rsidP="00FC34E0">
                  <w:pPr>
                    <w:spacing w:after="0"/>
                    <w:ind w:left="274"/>
                    <w:rPr>
                      <w:rFonts w:ascii="Arial" w:hAnsi="Arial" w:cs="Arial"/>
                      <w:sz w:val="20"/>
                    </w:rPr>
                  </w:pPr>
                  <w:r>
                    <w:rPr>
                      <w:rFonts w:ascii="Arial" w:hAnsi="Arial" w:cs="Arial"/>
                      <w:sz w:val="20"/>
                    </w:rPr>
                    <w:t>Proprietary biotreatment</w:t>
                  </w:r>
                </w:p>
                <w:p w:rsidR="00853C9A" w:rsidRDefault="00853C9A" w:rsidP="00FC34E0">
                  <w:pPr>
                    <w:spacing w:after="0"/>
                    <w:ind w:left="274"/>
                    <w:rPr>
                      <w:rFonts w:ascii="Arial" w:hAnsi="Arial" w:cs="Arial"/>
                      <w:i/>
                      <w:sz w:val="18"/>
                      <w:szCs w:val="18"/>
                    </w:rPr>
                  </w:pPr>
                  <w:r w:rsidRPr="00591C81">
                    <w:rPr>
                      <w:rFonts w:ascii="Arial" w:hAnsi="Arial" w:cs="Arial"/>
                      <w:i/>
                      <w:sz w:val="18"/>
                    </w:rPr>
                    <w:t xml:space="preserve">Source: </w:t>
                  </w:r>
                  <w:r w:rsidRPr="00591C81">
                    <w:rPr>
                      <w:rFonts w:ascii="Arial" w:hAnsi="Arial" w:cs="Arial"/>
                      <w:i/>
                      <w:sz w:val="18"/>
                      <w:szCs w:val="18"/>
                    </w:rPr>
                    <w:t>http://www.americastusa.com</w:t>
                  </w:r>
                </w:p>
                <w:p w:rsidR="00853C9A" w:rsidRPr="0044287B" w:rsidRDefault="00853C9A" w:rsidP="00FC34E0">
                  <w:pPr>
                    <w:spacing w:after="0"/>
                    <w:ind w:left="274"/>
                    <w:rPr>
                      <w:rFonts w:ascii="Arial" w:hAnsi="Arial" w:cs="Arial"/>
                      <w:i/>
                      <w:sz w:val="18"/>
                    </w:rPr>
                  </w:pPr>
                  <w:r w:rsidRPr="00591C81">
                    <w:rPr>
                      <w:rFonts w:ascii="Arial" w:hAnsi="Arial" w:cs="Arial"/>
                      <w:i/>
                      <w:sz w:val="18"/>
                      <w:szCs w:val="18"/>
                    </w:rPr>
                    <w:t>/index.php/</w:t>
                  </w:r>
                  <w:proofErr w:type="spellStart"/>
                  <w:r w:rsidRPr="00591C81">
                    <w:rPr>
                      <w:rFonts w:ascii="Arial" w:hAnsi="Arial" w:cs="Arial"/>
                      <w:i/>
                      <w:sz w:val="18"/>
                      <w:szCs w:val="18"/>
                    </w:rPr>
                    <w:t>filterra</w:t>
                  </w:r>
                  <w:proofErr w:type="spellEnd"/>
                  <w:r w:rsidRPr="00591C81">
                    <w:rPr>
                      <w:rFonts w:ascii="Arial" w:hAnsi="Arial" w:cs="Arial"/>
                      <w:i/>
                      <w:sz w:val="18"/>
                      <w:szCs w:val="18"/>
                    </w:rPr>
                    <w:t>/</w:t>
                  </w:r>
                  <w:r w:rsidRPr="00F01AAB">
                    <w:t xml:space="preserve"> </w:t>
                  </w:r>
                </w:p>
              </w:txbxContent>
            </v:textbox>
            <w10:wrap type="square" anchorx="margin" anchory="margin"/>
          </v:shape>
        </w:pict>
      </w:r>
      <w:r w:rsidR="00FC34E0" w:rsidRPr="00311A64">
        <w:rPr>
          <w:rFonts w:eastAsia="Times New Roman"/>
          <w:noProof/>
        </w:rPr>
        <w:t xml:space="preserve">Proprietary biotreatment devices are devices that are manufactured to mimic natural systems such as bioretention areas by incorporating plants, soil, and microbes engineered to provide treatment at higher flow rates or volumes and with smaller footprints than their natural counterparts. Incoming flows are typically filtered through a planting media (mulch, compost, soil, plants, microbes, etc.) and either infiltrated or collected by an underdrain and delivered to the storm water conveyance system. Tree box filters are an increasingly common type of proprietary biotreatment device that are installed at curb level and filled with a bioretention type soil. For low to moderate flows they operate similarly to bioretention systems and are bypassed during high flows. Tree box filters are highly adaptable solutions that can be used in all types of development and in all types of soils but are especially applicable to dense urban parking lots, street, and roadways. </w:t>
      </w:r>
    </w:p>
    <w:p w:rsidR="00FC34E0" w:rsidRPr="00B53524" w:rsidRDefault="00FC34E0" w:rsidP="00FC34E0">
      <w:pPr>
        <w:pStyle w:val="FactsheetSubheading"/>
      </w:pPr>
      <w:r>
        <w:t>Feasibility</w:t>
      </w:r>
      <w:r w:rsidRPr="00311A64">
        <w:t xml:space="preserve"> Screening Considerations</w:t>
      </w:r>
    </w:p>
    <w:p w:rsidR="00FC34E0" w:rsidRPr="00B53524" w:rsidRDefault="00FC34E0" w:rsidP="00FC34E0">
      <w:pPr>
        <w:pStyle w:val="FactsheetBullets"/>
        <w:numPr>
          <w:ilvl w:val="0"/>
          <w:numId w:val="1"/>
        </w:numPr>
      </w:pPr>
      <w:r w:rsidRPr="00311A64">
        <w:t>Proprietary biotreatment devices that are unlined may cause incidental infiltration.  Therefore,</w:t>
      </w:r>
      <w:r>
        <w:t xml:space="preserve"> an evaluation of site conditions </w:t>
      </w:r>
      <w:r w:rsidRPr="00311A64">
        <w:t>should be conducted to evaluate whether the BMP should include an impermeable liner to avoid infiltration into the subsurface.</w:t>
      </w:r>
    </w:p>
    <w:p w:rsidR="00FC34E0" w:rsidRPr="00B53524" w:rsidRDefault="00FC34E0" w:rsidP="00FC34E0">
      <w:pPr>
        <w:pStyle w:val="FactsheetSubheading"/>
      </w:pPr>
      <w:r w:rsidRPr="00311A64">
        <w:t>Opportunity Criteria</w:t>
      </w:r>
    </w:p>
    <w:p w:rsidR="00FC34E0" w:rsidRPr="00B53524" w:rsidRDefault="00FC34E0" w:rsidP="00FC34E0">
      <w:pPr>
        <w:pStyle w:val="FactsheetBullets"/>
        <w:numPr>
          <w:ilvl w:val="0"/>
          <w:numId w:val="1"/>
        </w:numPr>
      </w:pPr>
      <w:r w:rsidRPr="00311A64">
        <w:t>Drainage areas of 0.25 to 1.0 acres.</w:t>
      </w:r>
    </w:p>
    <w:p w:rsidR="00FC34E0" w:rsidRPr="00B53524" w:rsidRDefault="00FC34E0" w:rsidP="00FC34E0">
      <w:pPr>
        <w:pStyle w:val="FactsheetBullets"/>
        <w:numPr>
          <w:ilvl w:val="0"/>
          <w:numId w:val="1"/>
        </w:numPr>
      </w:pPr>
      <w:r w:rsidRPr="00311A64">
        <w:t>Land use may include commercial, residential, mixed use, institutional, and subdivisions.  Proprietary biotreatment facilities may also be applied in parking lot islands, traffic circles, road shoulders, and road medians.</w:t>
      </w:r>
    </w:p>
    <w:p w:rsidR="00FC34E0" w:rsidRDefault="00FC34E0" w:rsidP="00FC34E0">
      <w:pPr>
        <w:pStyle w:val="FactsheetBullets"/>
        <w:numPr>
          <w:ilvl w:val="0"/>
          <w:numId w:val="1"/>
        </w:numPr>
      </w:pPr>
      <w:r w:rsidRPr="00311A64">
        <w:t>Must not adversely affect the level of flood protection provided by the drainage system.</w:t>
      </w:r>
    </w:p>
    <w:p w:rsidR="00FC34E0" w:rsidRPr="00B53524" w:rsidRDefault="00FC34E0" w:rsidP="00FC34E0">
      <w:pPr>
        <w:pStyle w:val="FactsheetSubheading"/>
      </w:pPr>
      <w:r w:rsidRPr="00311A64">
        <w:t>OC-Specific Design Criteria and Considerations</w:t>
      </w:r>
    </w:p>
    <w:tbl>
      <w:tblPr>
        <w:tblStyle w:val="TableGrid"/>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
        <w:gridCol w:w="8730"/>
      </w:tblGrid>
      <w:tr w:rsidR="00FC34E0" w:rsidRPr="00B53524" w:rsidTr="00FC34E0">
        <w:trPr>
          <w:trHeight w:val="147"/>
        </w:trPr>
        <w:tc>
          <w:tcPr>
            <w:tcW w:w="45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pStyle w:val="CheckBoxTableText"/>
            </w:pPr>
            <w:r w:rsidRPr="00311A64">
              <w:t>Frequent maintenance and the use of screens and grates to keep trash out may decrease the likelihood of clogging and prevent obstruction and bypass of incoming flows.</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Consult proprietors for specific criteria concerning the design and performance.</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Proprietary biotreatment may include specific media to address pollutants of concern.  However, for proprietary device to be considered a biotreatment device the media must be capable of supporting rigorous growth of vegetation.</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311A64" w:rsidRDefault="00FC34E0" w:rsidP="00FC34E0">
            <w:pPr>
              <w:pStyle w:val="CheckBoxTableText"/>
            </w:pPr>
            <w:r>
              <w:t>Proprietary systems must be acceptable to the reviewing agency.  Reviewing agencies shall have the discretion to request performance information.  Reviewing agencies shall have the discretion to deny the use of a proprietary BMP on the grounds of performance, maintenance considerations, or other relevant factors.</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Default="00FC34E0" w:rsidP="00FC34E0">
            <w:pPr>
              <w:pStyle w:val="CheckBoxTableText"/>
            </w:pPr>
            <w:r>
              <w:t>In right</w:t>
            </w:r>
            <w:r w:rsidRPr="006854DC">
              <w:t xml:space="preserve"> of way areas, plant selection should not impair traffic lines of site.  Local jurisdictions may also limit plant selection in keeping with landscaping themes.</w:t>
            </w:r>
          </w:p>
        </w:tc>
      </w:tr>
    </w:tbl>
    <w:p w:rsidR="00FC34E0" w:rsidRPr="00B53524" w:rsidRDefault="00FC34E0" w:rsidP="00FC34E0">
      <w:pPr>
        <w:pStyle w:val="FactsheetSubheading"/>
      </w:pPr>
      <w:r w:rsidRPr="00311A64">
        <w:t>Computing Siz</w:t>
      </w:r>
      <w:r>
        <w:t>ing</w:t>
      </w:r>
      <w:r w:rsidRPr="00311A64">
        <w:t xml:space="preserve"> Criteria for Proprietary Biotreatment Device</w:t>
      </w:r>
    </w:p>
    <w:p w:rsidR="00FC34E0" w:rsidRPr="00B53524" w:rsidRDefault="00FC34E0" w:rsidP="00FC34E0">
      <w:pPr>
        <w:pStyle w:val="FactsheetBullets"/>
        <w:numPr>
          <w:ilvl w:val="0"/>
          <w:numId w:val="1"/>
        </w:numPr>
      </w:pPr>
      <w:r w:rsidRPr="00311A64">
        <w:t xml:space="preserve">Proprietary biotreatment devices can be volume based or flow-based BMPs. </w:t>
      </w:r>
    </w:p>
    <w:p w:rsidR="00FC34E0" w:rsidRPr="00B53524" w:rsidRDefault="00FC34E0" w:rsidP="00FC34E0">
      <w:pPr>
        <w:pStyle w:val="FactsheetBullets"/>
        <w:numPr>
          <w:ilvl w:val="0"/>
          <w:numId w:val="1"/>
        </w:numPr>
      </w:pPr>
      <w:r w:rsidRPr="00311A64">
        <w:t xml:space="preserve">Volume-based proprietary devices should be sized </w:t>
      </w:r>
      <w:r>
        <w:t xml:space="preserve">using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Simple Design Capture Volume Sizing Method</w:t>
      </w:r>
      <w:r w:rsidR="00126F3D" w:rsidRPr="00126DE5">
        <w:rPr>
          <w:rFonts w:ascii="Book Antiqua" w:hAnsi="Book Antiqua"/>
          <w:b/>
          <w:color w:val="0070C0"/>
        </w:rPr>
        <w:fldChar w:fldCharType="end"/>
      </w:r>
      <w:r>
        <w:t xml:space="preserve"> described in </w:t>
      </w:r>
      <w:r w:rsidR="00524D76" w:rsidRPr="001958AC">
        <w:rPr>
          <w:b/>
          <w:color w:val="0070C0"/>
        </w:rPr>
        <w:t>Appendix</w:t>
      </w:r>
      <w:r w:rsidRPr="001958AC">
        <w:rPr>
          <w:color w:val="0070C0"/>
        </w:rP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_Ref287704619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III.3.1</w:t>
      </w:r>
      <w:r w:rsidR="00126F3D" w:rsidRPr="00126DE5">
        <w:rPr>
          <w:rFonts w:ascii="Book Antiqua" w:hAnsi="Book Antiqua"/>
          <w:b/>
          <w:color w:val="0070C0"/>
        </w:rPr>
        <w:fldChar w:fldCharType="end"/>
      </w:r>
      <w:r>
        <w:t xml:space="preserve"> or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Capture Efficiency Method for Volume-Based, Constant Drawdown BMPs</w:t>
      </w:r>
      <w:r w:rsidR="00126F3D" w:rsidRPr="00126DE5">
        <w:rPr>
          <w:rFonts w:ascii="Book Antiqua" w:hAnsi="Book Antiqua"/>
          <w:b/>
          <w:color w:val="0070C0"/>
        </w:rPr>
        <w:fldChar w:fldCharType="end"/>
      </w:r>
      <w:r>
        <w:t xml:space="preserve"> described in </w:t>
      </w:r>
      <w:r w:rsidR="00524D76" w:rsidRPr="001958AC">
        <w:rPr>
          <w:b/>
          <w:color w:val="0070C0"/>
        </w:rPr>
        <w:t>Appendix</w:t>
      </w:r>
      <w:r w:rsidRPr="001958AC">
        <w:rPr>
          <w:b/>
          <w:color w:val="0070C0"/>
        </w:rP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_Ref285384680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III.3.2</w:t>
      </w:r>
      <w:r w:rsidR="00126F3D" w:rsidRPr="00126DE5">
        <w:rPr>
          <w:rFonts w:ascii="Book Antiqua" w:hAnsi="Book Antiqua"/>
          <w:b/>
          <w:color w:val="0070C0"/>
        </w:rPr>
        <w:fldChar w:fldCharType="end"/>
      </w:r>
      <w:r>
        <w:t>.</w:t>
      </w:r>
    </w:p>
    <w:p w:rsidR="00FC34E0" w:rsidRPr="00B53524" w:rsidRDefault="00FC34E0" w:rsidP="00FC34E0">
      <w:pPr>
        <w:pStyle w:val="FactsheetBullets"/>
        <w:numPr>
          <w:ilvl w:val="0"/>
          <w:numId w:val="1"/>
        </w:numPr>
      </w:pPr>
      <w:r>
        <w:t>The required design flowrate for f</w:t>
      </w:r>
      <w:r w:rsidRPr="00311A64">
        <w:t xml:space="preserve">low-based proprietary devices should be </w:t>
      </w:r>
      <w:r>
        <w:t>computed</w:t>
      </w:r>
      <w:r w:rsidRPr="00311A64">
        <w:t xml:space="preserve"> </w:t>
      </w:r>
      <w:r>
        <w:t xml:space="preserve">using the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_Ref287707497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Capture Efficiency Method for Flow-based BMPs</w:t>
      </w:r>
      <w:r w:rsidR="00126F3D" w:rsidRPr="00126DE5">
        <w:rPr>
          <w:rFonts w:ascii="Book Antiqua" w:hAnsi="Book Antiqua"/>
          <w:b/>
          <w:color w:val="0070C0"/>
        </w:rPr>
        <w:fldChar w:fldCharType="end"/>
      </w:r>
      <w:r w:rsidRPr="001958AC">
        <w:t xml:space="preserve"> described in</w:t>
      </w:r>
      <w:r>
        <w:rPr>
          <w:b/>
          <w:color w:val="00B050"/>
        </w:rPr>
        <w:t xml:space="preserve"> </w:t>
      </w:r>
      <w:r w:rsidR="00524D76" w:rsidRPr="001958AC">
        <w:rPr>
          <w:b/>
          <w:color w:val="0070C0"/>
        </w:rPr>
        <w:t>Appendix</w:t>
      </w:r>
      <w:r w:rsidRPr="001958AC">
        <w:rPr>
          <w:b/>
          <w:color w:val="0070C0"/>
        </w:rPr>
        <w:t xml:space="preserve"> </w:t>
      </w:r>
      <w:r w:rsidR="00126F3D" w:rsidRPr="00126DE5">
        <w:rPr>
          <w:rFonts w:ascii="Book Antiqua" w:hAnsi="Book Antiqua"/>
          <w:b/>
          <w:color w:val="0070C0"/>
        </w:rPr>
        <w:fldChar w:fldCharType="begin"/>
      </w:r>
      <w:r w:rsidRPr="00126DE5">
        <w:rPr>
          <w:rFonts w:ascii="Book Antiqua" w:hAnsi="Book Antiqua"/>
          <w:b/>
          <w:color w:val="0070C0"/>
        </w:rPr>
        <w:instrText xml:space="preserve"> REF _Ref287707497 \r \h </w:instrText>
      </w:r>
      <w:r w:rsidR="00126F3D" w:rsidRPr="00126DE5">
        <w:rPr>
          <w:rFonts w:ascii="Book Antiqua" w:hAnsi="Book Antiqua"/>
          <w:b/>
          <w:color w:val="0070C0"/>
        </w:rPr>
      </w:r>
      <w:r w:rsidR="00126F3D" w:rsidRPr="00126DE5">
        <w:rPr>
          <w:rFonts w:ascii="Book Antiqua" w:hAnsi="Book Antiqua"/>
          <w:b/>
          <w:color w:val="0070C0"/>
        </w:rPr>
        <w:fldChar w:fldCharType="separate"/>
      </w:r>
      <w:r w:rsidR="00126DE5" w:rsidRPr="00126DE5">
        <w:rPr>
          <w:rFonts w:ascii="Book Antiqua" w:hAnsi="Book Antiqua"/>
          <w:b/>
          <w:color w:val="0070C0"/>
        </w:rPr>
        <w:t>III.3.3</w:t>
      </w:r>
      <w:r w:rsidR="00126F3D" w:rsidRPr="00126DE5">
        <w:rPr>
          <w:rFonts w:ascii="Book Antiqua" w:hAnsi="Book Antiqua"/>
          <w:b/>
          <w:color w:val="0070C0"/>
        </w:rPr>
        <w:fldChar w:fldCharType="end"/>
      </w:r>
      <w:r>
        <w:rPr>
          <w:b/>
          <w:color w:val="00B050"/>
        </w:rPr>
        <w:t>)</w:t>
      </w:r>
      <w:r>
        <w:t>.</w:t>
      </w:r>
    </w:p>
    <w:p w:rsidR="00FC34E0" w:rsidRPr="00B53524" w:rsidRDefault="00FC34E0" w:rsidP="00FC34E0">
      <w:pPr>
        <w:pStyle w:val="FactsheetSubheading"/>
      </w:pPr>
      <w:r w:rsidRPr="00311A64">
        <w:t>Additional References for Design Guidance</w:t>
      </w:r>
    </w:p>
    <w:p w:rsidR="00FC34E0" w:rsidRPr="00B53524" w:rsidRDefault="00FC34E0" w:rsidP="00FC34E0">
      <w:pPr>
        <w:pStyle w:val="FactsheetBullets"/>
        <w:numPr>
          <w:ilvl w:val="0"/>
          <w:numId w:val="1"/>
        </w:numPr>
        <w:rPr>
          <w:rStyle w:val="Hyperlink"/>
        </w:rPr>
      </w:pPr>
      <w:r w:rsidRPr="00311A64">
        <w:t>Los Angeles Unified School District (LAUSD) Stormw</w:t>
      </w:r>
      <w:r>
        <w:t>ater Technical Manual, Chapter 4</w:t>
      </w:r>
      <w:r w:rsidRPr="00311A64">
        <w:t xml:space="preserve">: </w:t>
      </w:r>
      <w:hyperlink r:id="rId222" w:history="1">
        <w:r w:rsidRPr="00126DE5">
          <w:rPr>
            <w:rStyle w:val="Hyperlink"/>
            <w:rFonts w:ascii="Book Antiqua" w:hAnsi="Book Antiqua"/>
            <w:b/>
            <w:color w:val="0070C0"/>
          </w:rPr>
          <w:t>http://www.laschools.org/employee/design/fs-studies-and-reports/download/white_paper_report_material/Storm_Water_Technical_Manual_2009-opt-red.pdf?version_id=76975850</w:t>
        </w:r>
      </w:hyperlink>
    </w:p>
    <w:p w:rsidR="00FC34E0" w:rsidRPr="00103E98" w:rsidRDefault="00FC34E0" w:rsidP="00FC34E0">
      <w:pPr>
        <w:pStyle w:val="FactsheetBullets"/>
        <w:numPr>
          <w:ilvl w:val="0"/>
          <w:numId w:val="1"/>
        </w:numPr>
        <w:rPr>
          <w:rStyle w:val="Hyperlink"/>
        </w:rPr>
      </w:pPr>
      <w:r w:rsidRPr="00311A64">
        <w:t xml:space="preserve">Los Angeles County Stormwater BMP Design and Maintenance Manual, Chapter 9: </w:t>
      </w:r>
      <w:hyperlink r:id="rId223" w:history="1">
        <w:r w:rsidRPr="00126DE5">
          <w:rPr>
            <w:rStyle w:val="Hyperlink"/>
            <w:rFonts w:ascii="Book Antiqua" w:hAnsi="Book Antiqua"/>
            <w:b/>
            <w:color w:val="0070C0"/>
          </w:rPr>
          <w:t>http://dpw.lacounty.gov/DES/design_manuals/StormwaterBMPDesignandMaintenance.pdf</w:t>
        </w:r>
      </w:hyperlink>
    </w:p>
    <w:p w:rsidR="00FC34E0" w:rsidRPr="00103E98" w:rsidRDefault="00FC34E0" w:rsidP="00FC34E0">
      <w:pPr>
        <w:pStyle w:val="FactsheetBullets"/>
        <w:numPr>
          <w:ilvl w:val="0"/>
          <w:numId w:val="1"/>
        </w:numPr>
        <w:rPr>
          <w:rStyle w:val="Hyperlink"/>
        </w:rPr>
      </w:pPr>
      <w:r w:rsidRPr="00311A64">
        <w:t>Santa Barbara BMP Guidance Manual, Chapter 6:</w:t>
      </w:r>
      <w:r>
        <w:t xml:space="preserve"> </w:t>
      </w:r>
      <w:hyperlink r:id="rId224" w:history="1">
        <w:r w:rsidRPr="00126DE5">
          <w:rPr>
            <w:rStyle w:val="Hyperlink"/>
            <w:rFonts w:ascii="Book Antiqua" w:hAnsi="Book Antiqua"/>
            <w:b/>
            <w:color w:val="0070C0"/>
          </w:rPr>
          <w:t>http://www.santabarbaraca.gov/NR/rdonlyres/91D1FA75-C185-491E-A882-49EE17789DF8/0/Manual_071008_Final.pdf</w:t>
        </w:r>
      </w:hyperlink>
    </w:p>
    <w:p w:rsidR="00FC34E0" w:rsidRPr="003C19F9" w:rsidRDefault="00FC34E0" w:rsidP="00A52883">
      <w:pPr>
        <w:pStyle w:val="Heading2"/>
      </w:pPr>
      <w:bookmarkStart w:id="888" w:name="_Toc260943011"/>
      <w:bookmarkStart w:id="889" w:name="_Toc260943240"/>
      <w:bookmarkStart w:id="890" w:name="_Bioretention_with_Underdrain"/>
      <w:bookmarkEnd w:id="888"/>
      <w:bookmarkEnd w:id="889"/>
      <w:bookmarkEnd w:id="890"/>
      <w:r w:rsidRPr="003C19F9">
        <w:br w:type="page"/>
      </w:r>
      <w:bookmarkStart w:id="891" w:name="_Ref260941759"/>
      <w:bookmarkStart w:id="892" w:name="_Toc260996788"/>
      <w:bookmarkStart w:id="893" w:name="_Toc285589344"/>
      <w:bookmarkStart w:id="894" w:name="_Ref287698676"/>
      <w:bookmarkStart w:id="895" w:name="_Toc288541126"/>
      <w:bookmarkStart w:id="896" w:name="_Toc293937182"/>
      <w:bookmarkStart w:id="897" w:name="_Ref257791311"/>
      <w:r w:rsidRPr="003C19F9">
        <w:t>Treatment Control BMP</w:t>
      </w:r>
      <w:bookmarkEnd w:id="891"/>
      <w:bookmarkEnd w:id="892"/>
      <w:bookmarkEnd w:id="893"/>
      <w:r w:rsidRPr="003C19F9">
        <w:t xml:space="preserve"> Fact Sheets (TRT)</w:t>
      </w:r>
      <w:bookmarkEnd w:id="894"/>
      <w:bookmarkEnd w:id="895"/>
      <w:bookmarkEnd w:id="896"/>
    </w:p>
    <w:p w:rsidR="00FC34E0" w:rsidRPr="00B53524" w:rsidRDefault="00126F3D" w:rsidP="00533A19">
      <w:pPr>
        <w:pStyle w:val="Heading3"/>
        <w:numPr>
          <w:ilvl w:val="0"/>
          <w:numId w:val="0"/>
        </w:numPr>
        <w:ind w:left="907" w:hanging="907"/>
      </w:pPr>
      <w:r>
        <w:rPr>
          <w:noProof/>
        </w:rPr>
        <w:pict>
          <v:shape id="Text Box 65" o:spid="_x0000_s1185" type="#_x0000_t202" style="position:absolute;left:0;text-align:left;margin-left:-151.85pt;margin-top:30.35pt;width:158.4pt;height:38.4pt;z-index:251790336;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" fillcolor="#d8d8d8">
            <v:textbox style="mso-next-textbox:#Text Box 65">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Pr="007870C2" w:rsidRDefault="00853C9A" w:rsidP="009531AF">
                  <w:pPr>
                    <w:pStyle w:val="CDMBTEXT"/>
                    <w:numPr>
                      <w:ilvl w:val="0"/>
                      <w:numId w:val="67"/>
                    </w:numPr>
                    <w:spacing w:after="60" w:line="240" w:lineRule="auto"/>
                    <w:ind w:left="540"/>
                    <w:rPr>
                      <w:i/>
                    </w:rPr>
                  </w:pPr>
                  <w:r>
                    <w:rPr>
                      <w:i/>
                    </w:rPr>
                    <w:t xml:space="preserve">Bed Media </w:t>
                  </w:r>
                  <w:r w:rsidRPr="007870C2">
                    <w:rPr>
                      <w:i/>
                    </w:rPr>
                    <w:t>Filter</w:t>
                  </w:r>
                </w:p>
              </w:txbxContent>
            </v:textbox>
            <w10:wrap type="square" anchorx="margin" anchory="margin"/>
          </v:shape>
        </w:pict>
      </w:r>
      <w:r>
        <w:rPr>
          <w:noProof/>
        </w:rPr>
        <w:pict>
          <v:shape id="Text Box 66" o:spid="_x0000_s1186" type="#_x0000_t202" style="position:absolute;left:0;text-align:left;margin-left:-151.85pt;margin-top:68.75pt;width:158.4pt;height:142.25pt;z-index:251791360;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" filled="f">
            <v:textbox style="mso-next-textbox:#Text Box 66" inset="0,0,0,0">
              <w:txbxContent>
                <w:p w:rsidR="00853C9A" w:rsidRDefault="00853C9A" w:rsidP="00FC34E0">
                  <w:pPr>
                    <w:spacing w:after="120"/>
                    <w:ind w:left="-29" w:right="-29"/>
                    <w:rPr>
                      <w:rFonts w:ascii="Arial" w:hAnsi="Arial" w:cs="Arial"/>
                      <w:noProof/>
                      <w:sz w:val="20"/>
                    </w:rPr>
                  </w:pPr>
                  <w:r w:rsidRPr="007870C2">
                    <w:rPr>
                      <w:rFonts w:ascii="Arial" w:hAnsi="Arial" w:cs="Arial"/>
                      <w:noProof/>
                      <w:sz w:val="20"/>
                    </w:rPr>
                    <w:drawing>
                      <wp:inline distT="0" distB="0" distL="0" distR="0">
                        <wp:extent cx="2002155" cy="1286594"/>
                        <wp:effectExtent l="19050" t="0" r="0" b="0"/>
                        <wp:docPr id="94"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5" cstate="screen"/>
                                <a:srcRect/>
                                <a:stretch>
                                  <a:fillRect/>
                                </a:stretch>
                              </pic:blipFill>
                              <pic:spPr bwMode="auto">
                                <a:xfrm>
                                  <a:off x="0" y="0"/>
                                  <a:ext cx="2002155" cy="1286594"/>
                                </a:xfrm>
                                <a:prstGeom prst="rect">
                                  <a:avLst/>
                                </a:prstGeom>
                                <a:noFill/>
                                <a:ln w="9525">
                                  <a:noFill/>
                                  <a:miter lim="800000"/>
                                  <a:headEnd/>
                                  <a:tailEnd/>
                                </a:ln>
                              </pic:spPr>
                            </pic:pic>
                          </a:graphicData>
                        </a:graphic>
                      </wp:inline>
                    </w:drawing>
                  </w:r>
                </w:p>
                <w:p w:rsidR="00853C9A" w:rsidRPr="007870C2" w:rsidRDefault="00853C9A" w:rsidP="00FC34E0">
                  <w:pPr>
                    <w:spacing w:after="0"/>
                    <w:ind w:left="274"/>
                    <w:rPr>
                      <w:rFonts w:ascii="Arial" w:hAnsi="Arial" w:cs="Arial"/>
                      <w:sz w:val="20"/>
                      <w:szCs w:val="18"/>
                    </w:rPr>
                  </w:pPr>
                  <w:r w:rsidRPr="007870C2">
                    <w:rPr>
                      <w:rFonts w:ascii="Arial" w:hAnsi="Arial" w:cs="Arial"/>
                      <w:sz w:val="20"/>
                      <w:szCs w:val="18"/>
                    </w:rPr>
                    <w:t>Media Filter</w:t>
                  </w:r>
                </w:p>
                <w:p w:rsidR="00853C9A" w:rsidRPr="007870C2" w:rsidRDefault="00853C9A" w:rsidP="00FC34E0">
                  <w:pPr>
                    <w:spacing w:after="0"/>
                    <w:ind w:left="274"/>
                    <w:rPr>
                      <w:rFonts w:ascii="Arial" w:hAnsi="Arial" w:cs="Arial"/>
                      <w:i/>
                      <w:sz w:val="18"/>
                      <w:szCs w:val="18"/>
                    </w:rPr>
                  </w:pPr>
                  <w:r w:rsidRPr="007870C2">
                    <w:rPr>
                      <w:rFonts w:ascii="Arial" w:hAnsi="Arial" w:cs="Arial"/>
                      <w:i/>
                      <w:sz w:val="18"/>
                      <w:szCs w:val="18"/>
                    </w:rPr>
                    <w:t>Source: CABMPHB, TC-40</w:t>
                  </w:r>
                </w:p>
              </w:txbxContent>
            </v:textbox>
            <w10:wrap type="square" anchorx="margin" anchory="margin"/>
          </v:shape>
        </w:pict>
      </w:r>
      <w:bookmarkStart w:id="898" w:name="_Toc285589345"/>
      <w:bookmarkStart w:id="899" w:name="_Ref287795175"/>
      <w:r w:rsidR="00FC34E0">
        <w:t>TRT-1: Sand</w:t>
      </w:r>
      <w:r w:rsidR="00FC34E0" w:rsidRPr="00311A64">
        <w:t xml:space="preserve"> Filters</w:t>
      </w:r>
      <w:bookmarkEnd w:id="898"/>
      <w:bookmarkEnd w:id="899"/>
      <w:r w:rsidR="00FC34E0" w:rsidRPr="00311A64">
        <w:t xml:space="preserve"> </w:t>
      </w:r>
    </w:p>
    <w:p w:rsidR="00FC34E0" w:rsidRPr="00B53524" w:rsidRDefault="00FC34E0" w:rsidP="00FC34E0">
      <w:pPr>
        <w:pStyle w:val="CDMBTEXT"/>
        <w:rPr>
          <w:noProof/>
        </w:rPr>
      </w:pPr>
      <w:r>
        <w:t>Sand</w:t>
      </w:r>
      <w:r w:rsidRPr="00311A64">
        <w:t xml:space="preserve"> </w:t>
      </w:r>
      <w:r w:rsidRPr="00311A64">
        <w:rPr>
          <w:noProof/>
        </w:rPr>
        <w:t>filters operate by filtering stormwater through a constructed media bed (generally sand) with an underdrain system. Runoff enters the filter and spreads over the surface. As flows increase, water backs up on the surface of the filter where it is held until it can percolate through the sand. The treatment pathway is vertical (downward through the media) to an engineered underdrain system that is connected to the downstream storm drainage system. As stormwater passes through the sand, pollutants are trapped on the surface of the filter, in the small pore spaces between sand grains, or are adsorbed to the sand surface.</w:t>
      </w:r>
      <w:r w:rsidRPr="00311A64">
        <w:t xml:space="preserve"> </w:t>
      </w:r>
    </w:p>
    <w:p w:rsidR="00FC34E0" w:rsidRPr="00B53524" w:rsidRDefault="00FC34E0" w:rsidP="00FC34E0">
      <w:pPr>
        <w:pStyle w:val="FactsheetSubheading"/>
        <w:outlineLvl w:val="0"/>
      </w:pPr>
      <w:r>
        <w:t>Feasibility</w:t>
      </w:r>
    </w:p>
    <w:p w:rsidR="00FC34E0" w:rsidRPr="00B53524" w:rsidRDefault="00FC34E0" w:rsidP="00FC34E0">
      <w:pPr>
        <w:pStyle w:val="FactsheetBullets"/>
        <w:numPr>
          <w:ilvl w:val="0"/>
          <w:numId w:val="1"/>
        </w:numPr>
      </w:pPr>
      <w:r>
        <w:t>Site conditions should be assess to determine if systems should be lined to prevent incidental infiltration.</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rsidRPr="00311A64">
        <w:t>Intended for use when retention and biotreatment options are infeasible.</w:t>
      </w:r>
    </w:p>
    <w:p w:rsidR="00FC34E0" w:rsidRPr="00B53524" w:rsidRDefault="00FC34E0" w:rsidP="00FC34E0">
      <w:pPr>
        <w:pStyle w:val="FactsheetBullets"/>
        <w:numPr>
          <w:ilvl w:val="0"/>
          <w:numId w:val="1"/>
        </w:numPr>
      </w:pPr>
      <w:r w:rsidRPr="00311A64">
        <w:t>Locate away from trees producing leaf litter or areas contributing significant sediment that could cause clogging.</w:t>
      </w:r>
    </w:p>
    <w:p w:rsidR="00FC34E0" w:rsidRPr="00B53524" w:rsidRDefault="00FC34E0" w:rsidP="00FC34E0">
      <w:pPr>
        <w:pStyle w:val="FactsheetBullets"/>
        <w:numPr>
          <w:ilvl w:val="0"/>
          <w:numId w:val="1"/>
        </w:numPr>
      </w:pPr>
      <w:r w:rsidRPr="00311A64">
        <w:t xml:space="preserve">Pretreatment is necessary to eliminate significant sediment load or other large particles that could reduce the infiltration capacity of the filter.  Refer to </w:t>
      </w:r>
      <w:r w:rsidR="001958AC" w:rsidRPr="001958AC">
        <w:rPr>
          <w:b/>
          <w:color w:val="0070C0"/>
        </w:rPr>
        <w:t>Appendix</w:t>
      </w:r>
      <w:r w:rsidRPr="001958AC">
        <w:rPr>
          <w:b/>
          <w:color w:val="0070C0"/>
        </w:rPr>
        <w:t xml:space="preserve"> </w:t>
      </w:r>
      <w:fldSimple w:instr=" REF _Ref260941884 \r \h  \* MERGEFORMAT ">
        <w:r w:rsidR="00126DE5" w:rsidRPr="001958AC">
          <w:rPr>
            <w:rFonts w:ascii="Book Antiqua" w:hAnsi="Book Antiqua"/>
            <w:b/>
            <w:color w:val="0070C0"/>
          </w:rPr>
          <w:t>XIV.7</w:t>
        </w:r>
      </w:fldSimple>
      <w:r w:rsidRPr="00311A64">
        <w:t xml:space="preserve"> for information on pretreatment devices. Pretreatment can also be performed in a sedimentation chamber, which preced</w:t>
      </w:r>
      <w:r>
        <w:t>e</w:t>
      </w:r>
      <w:r w:rsidRPr="00311A64">
        <w:t>s the filter bed.</w:t>
      </w:r>
    </w:p>
    <w:p w:rsidR="00FC34E0" w:rsidRPr="00B53524" w:rsidRDefault="00FC34E0" w:rsidP="00FC34E0">
      <w:pPr>
        <w:pStyle w:val="FactsheetBullets"/>
        <w:numPr>
          <w:ilvl w:val="0"/>
          <w:numId w:val="1"/>
        </w:numPr>
      </w:pPr>
      <w:r w:rsidRPr="00311A64">
        <w:t>Drainage area topography and downstream drainage configuration must have adequate relief to allow for percolation through the sand and collection and co</w:t>
      </w:r>
      <w:r>
        <w:t>n</w:t>
      </w:r>
      <w:r w:rsidRPr="00311A64">
        <w:t>veyance through the underdrain stormwater conveyance system; four feet is recommended between inlet and outlet of filter.</w:t>
      </w:r>
    </w:p>
    <w:p w:rsidR="00FC34E0" w:rsidRDefault="00FC34E0" w:rsidP="00FC34E0">
      <w:pPr>
        <w:pStyle w:val="FactsheetBullets"/>
        <w:numPr>
          <w:ilvl w:val="0"/>
          <w:numId w:val="1"/>
        </w:numPr>
      </w:pPr>
      <w:r w:rsidRPr="00311A64">
        <w:t xml:space="preserve">Not applicable in areas of permanent or seasonal high groundwater (less than five feet below ground surface) </w:t>
      </w:r>
    </w:p>
    <w:p w:rsidR="00FC34E0" w:rsidRDefault="00FC34E0" w:rsidP="00FC34E0">
      <w:pPr>
        <w:pStyle w:val="ListParagraph"/>
        <w:numPr>
          <w:ilvl w:val="0"/>
          <w:numId w:val="1"/>
        </w:numPr>
        <w:autoSpaceDE w:val="0"/>
        <w:autoSpaceDN w:val="0"/>
        <w:adjustRightInd w:val="0"/>
        <w:spacing w:after="0" w:line="240" w:lineRule="auto"/>
        <w:rPr>
          <w:rFonts w:ascii="Tahoma" w:hAnsi="Tahoma" w:cs="Tahoma"/>
        </w:rPr>
      </w:pPr>
      <w:r w:rsidRPr="006B7567">
        <w:rPr>
          <w:rFonts w:ascii="Tahoma" w:hAnsi="Tahoma" w:cs="Tahoma"/>
          <w:color w:val="000000"/>
          <w:sz w:val="20"/>
          <w:szCs w:val="20"/>
        </w:rPr>
        <w:t xml:space="preserve">Open bed sand filters should not be placed in areas subject to seed sources and where hydrologic conditions promote prolific germination of plants in the media.  </w:t>
      </w:r>
      <w:r>
        <w:rPr>
          <w:rFonts w:ascii="Tahoma" w:hAnsi="Tahoma" w:cs="Tahoma"/>
          <w:color w:val="000000"/>
          <w:sz w:val="20"/>
          <w:szCs w:val="20"/>
        </w:rPr>
        <w:t>Undesired plant growth</w:t>
      </w:r>
      <w:r w:rsidRPr="006B7567">
        <w:rPr>
          <w:rFonts w:ascii="Tahoma" w:hAnsi="Tahoma" w:cs="Tahoma"/>
          <w:color w:val="000000"/>
          <w:sz w:val="20"/>
          <w:szCs w:val="20"/>
        </w:rPr>
        <w:t xml:space="preserve"> will substantially increase maintenance costs and threaten to damage the filter or impair its performance.</w:t>
      </w:r>
    </w:p>
    <w:p w:rsidR="00FC34E0" w:rsidRPr="00B53524" w:rsidRDefault="00FC34E0" w:rsidP="00FC34E0">
      <w:pPr>
        <w:pStyle w:val="FactsheetSubheading"/>
        <w:outlineLvl w:val="0"/>
      </w:pPr>
      <w:r w:rsidRPr="00311A64">
        <w:t>OC-Specific Design Criteria and Considerations</w:t>
      </w:r>
    </w:p>
    <w:tbl>
      <w:tblPr>
        <w:tblStyle w:val="TableGrid"/>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
        <w:gridCol w:w="8730"/>
      </w:tblGrid>
      <w:tr w:rsidR="00FC34E0" w:rsidRPr="00B53524" w:rsidTr="00FC34E0">
        <w:trPr>
          <w:trHeight w:val="147"/>
        </w:trPr>
        <w:tc>
          <w:tcPr>
            <w:tcW w:w="45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pStyle w:val="CheckBoxTableText"/>
            </w:pPr>
            <w:r w:rsidRPr="00311A64">
              <w:t>Where incidental infiltration would potentially cause geotechnical concerns, systems should be lined with an impermeable membrane or layer.</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Minimum set-backs from foundations and slopes should be observed if the facility is not lined.</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Filter bed depth (i.e., media thickness) is at least 24 inches, but 36 inches preferred.</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Max ponding depth above filter should not exceed 6 feet.</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Saturated hydraulic conductivity of media should be selected to address pollutants of concern and factors of safety in design should be set to account for deterioration of performance between maintenance.</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Side slopes should not exceed and 2:1 H:V unless stabilization approved by licensed geotechnical engineer.</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 xml:space="preserve">Minimum </w:t>
            </w:r>
            <w:r>
              <w:t>pretreatment</w:t>
            </w:r>
            <w:r w:rsidRPr="00311A64">
              <w:t xml:space="preserve"> should be provided upstream of the filter, and water bypassing </w:t>
            </w:r>
            <w:r>
              <w:t>pretreatment</w:t>
            </w:r>
            <w:r w:rsidRPr="00311A64">
              <w:t xml:space="preserve"> should </w:t>
            </w:r>
            <w:r w:rsidRPr="00311A64">
              <w:rPr>
                <w:u w:val="single"/>
              </w:rPr>
              <w:t>not</w:t>
            </w:r>
            <w:r w:rsidRPr="00311A64">
              <w:t xml:space="preserve"> be directed to the filter.</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Filters should be designed and maintained such that ponded water should not persist for longer than 72 hours following a storm event.</w:t>
            </w:r>
          </w:p>
        </w:tc>
      </w:tr>
    </w:tbl>
    <w:p w:rsidR="00FC34E0" w:rsidRPr="00B53524" w:rsidRDefault="00FC34E0" w:rsidP="00FC34E0">
      <w:pPr>
        <w:pStyle w:val="FactsheetSubheading"/>
      </w:pPr>
      <w:r w:rsidRPr="00311A64">
        <w:t>Computing Sizing Criteria for Media Filter</w:t>
      </w:r>
    </w:p>
    <w:p w:rsidR="00FC34E0" w:rsidRDefault="00FC34E0" w:rsidP="00FC34E0">
      <w:pPr>
        <w:pStyle w:val="FactsheetBullets"/>
        <w:numPr>
          <w:ilvl w:val="0"/>
          <w:numId w:val="1"/>
        </w:numPr>
      </w:pPr>
      <w:r w:rsidRPr="00311A64">
        <w:t>Media filters with significant surface storage should be sized as volume-based BMP</w:t>
      </w:r>
      <w:r>
        <w:t>s</w:t>
      </w:r>
      <w:r w:rsidRPr="00311A64">
        <w:t xml:space="preserve">. </w:t>
      </w:r>
    </w:p>
    <w:p w:rsidR="00FC34E0" w:rsidRDefault="00FC34E0" w:rsidP="00FC34E0">
      <w:pPr>
        <w:pStyle w:val="FactsheetBullets"/>
        <w:numPr>
          <w:ilvl w:val="0"/>
          <w:numId w:val="1"/>
        </w:numPr>
      </w:pPr>
      <w:r w:rsidRPr="00311A64">
        <w:t>Alternatively, media filters may be sized as flow-based BMPs when storage is not significant.</w:t>
      </w:r>
    </w:p>
    <w:p w:rsidR="00FC34E0" w:rsidRPr="00B53524" w:rsidRDefault="00FC34E0" w:rsidP="00FC34E0">
      <w:pPr>
        <w:pStyle w:val="FactsheetSubheading"/>
        <w:outlineLvl w:val="0"/>
      </w:pPr>
      <w:r w:rsidRPr="00311A64">
        <w:t>Calculating Sand Filter Drawdown Rate for Volume-based Sizing Calculations</w:t>
      </w:r>
    </w:p>
    <w:p w:rsidR="00FC34E0" w:rsidRDefault="00FC34E0" w:rsidP="00FC34E0">
      <w:pPr>
        <w:pStyle w:val="FactSheetEquation"/>
      </w:pPr>
      <w:r>
        <w:t xml:space="preserve">Volume-based sizing of sand filters should be conducted identically to </w:t>
      </w:r>
      <w:hyperlink w:anchor="_BIO-1:_Bioretention_with" w:history="1">
        <w:r w:rsidRPr="00126DE5">
          <w:rPr>
            <w:rStyle w:val="Hyperlink"/>
            <w:rFonts w:ascii="Book Antiqua" w:hAnsi="Book Antiqua"/>
            <w:b/>
            <w:color w:val="0070C0"/>
          </w:rPr>
          <w:t>bioretention with underdrains</w:t>
        </w:r>
      </w:hyperlink>
      <w:r>
        <w:t>.</w:t>
      </w:r>
    </w:p>
    <w:p w:rsidR="00FC34E0" w:rsidRPr="008D657D" w:rsidRDefault="00FC34E0" w:rsidP="00FC34E0">
      <w:pPr>
        <w:pStyle w:val="FactSheetEquation"/>
      </w:pPr>
      <w:r>
        <w:t>Maximum ponding depth should be increased to 6 feet in this sizing calculation.</w:t>
      </w:r>
    </w:p>
    <w:p w:rsidR="00FC34E0" w:rsidRPr="00B53524" w:rsidRDefault="00FC34E0" w:rsidP="00FC34E0">
      <w:pPr>
        <w:pStyle w:val="FactsheetSubheading"/>
        <w:outlineLvl w:val="0"/>
      </w:pPr>
      <w:r w:rsidRPr="00311A64">
        <w:t xml:space="preserve">Calculating </w:t>
      </w:r>
      <w:r>
        <w:t>Sand</w:t>
      </w:r>
      <w:r w:rsidRPr="00311A64">
        <w:t xml:space="preserve"> Filter Design Flowrate Rate if Sized as Flow-based BMP</w:t>
      </w:r>
    </w:p>
    <w:p w:rsidR="00FC34E0" w:rsidRDefault="00FC34E0" w:rsidP="00FC34E0">
      <w:pPr>
        <w:pStyle w:val="CDMBBULLET"/>
        <w:tabs>
          <w:tab w:val="clear" w:pos="240"/>
          <w:tab w:val="clear" w:pos="360"/>
        </w:tabs>
        <w:spacing w:after="120"/>
        <w:ind w:left="0" w:firstLine="0"/>
        <w:rPr>
          <w:rFonts w:ascii="Arial" w:hAnsi="Arial" w:cs="Arial"/>
          <w:sz w:val="20"/>
        </w:rPr>
      </w:pPr>
      <w:r>
        <w:rPr>
          <w:rFonts w:ascii="Arial" w:hAnsi="Arial" w:cs="Arial"/>
          <w:sz w:val="20"/>
        </w:rPr>
        <w:t xml:space="preserve">The required design flowrate should be calculated based on the </w:t>
      </w:r>
      <w:fldSimple w:instr=" REF _Ref287707497 \h  \* MERGEFORMAT ">
        <w:r w:rsidR="00126DE5" w:rsidRPr="00126DE5">
          <w:rPr>
            <w:rFonts w:cs="Arial"/>
            <w:b/>
            <w:color w:val="0070C0"/>
            <w:sz w:val="20"/>
          </w:rPr>
          <w:t>Capture Efficiency Method for Flow-based BMPs</w:t>
        </w:r>
      </w:fldSimple>
      <w:r w:rsidRPr="00296C2D">
        <w:rPr>
          <w:rFonts w:ascii="Arial" w:hAnsi="Arial" w:cs="Arial"/>
          <w:b/>
          <w:sz w:val="20"/>
        </w:rPr>
        <w:t xml:space="preserve"> (</w:t>
      </w:r>
      <w:r w:rsidRPr="00296C2D">
        <w:rPr>
          <w:rFonts w:ascii="Arial" w:hAnsi="Arial" w:cs="Arial"/>
          <w:sz w:val="20"/>
        </w:rPr>
        <w:t xml:space="preserve">See </w:t>
      </w:r>
      <w:r w:rsidR="00524D76" w:rsidRPr="001958AC">
        <w:rPr>
          <w:rFonts w:ascii="Arial" w:hAnsi="Arial" w:cs="Arial"/>
          <w:b/>
          <w:color w:val="0070C0"/>
          <w:sz w:val="20"/>
        </w:rPr>
        <w:t>Appendix</w:t>
      </w:r>
      <w:r w:rsidRPr="00296C2D">
        <w:rPr>
          <w:rFonts w:ascii="Arial" w:hAnsi="Arial" w:cs="Arial"/>
          <w:b/>
          <w:sz w:val="20"/>
        </w:rPr>
        <w:t xml:space="preserve"> </w:t>
      </w:r>
      <w:fldSimple w:instr=" REF _Ref287707497 \r \h  \* MERGEFORMAT ">
        <w:r w:rsidR="00126DE5" w:rsidRPr="00126DE5">
          <w:rPr>
            <w:rFonts w:cs="Arial"/>
            <w:b/>
            <w:color w:val="0070C0"/>
            <w:sz w:val="20"/>
          </w:rPr>
          <w:t>III.3.3</w:t>
        </w:r>
      </w:fldSimple>
      <w:r w:rsidRPr="00296C2D">
        <w:rPr>
          <w:rFonts w:ascii="Arial" w:hAnsi="Arial" w:cs="Arial"/>
          <w:b/>
          <w:sz w:val="20"/>
        </w:rPr>
        <w:t>)</w:t>
      </w:r>
      <w:r w:rsidRPr="00296C2D">
        <w:rPr>
          <w:rFonts w:ascii="Arial" w:hAnsi="Arial" w:cs="Arial"/>
          <w:sz w:val="20"/>
        </w:rPr>
        <w:t>.</w:t>
      </w:r>
    </w:p>
    <w:p w:rsidR="00FC34E0" w:rsidRPr="00B53524" w:rsidRDefault="00FC34E0" w:rsidP="00FC34E0">
      <w:pPr>
        <w:pStyle w:val="CDMBBULLET"/>
        <w:tabs>
          <w:tab w:val="clear" w:pos="240"/>
          <w:tab w:val="clear" w:pos="360"/>
        </w:tabs>
        <w:spacing w:after="120"/>
        <w:ind w:left="0" w:firstLine="0"/>
        <w:rPr>
          <w:rFonts w:ascii="Arial" w:hAnsi="Arial" w:cs="Arial"/>
          <w:sz w:val="20"/>
        </w:rPr>
      </w:pPr>
      <w:r>
        <w:rPr>
          <w:rFonts w:ascii="Arial" w:hAnsi="Arial" w:cs="Arial"/>
          <w:sz w:val="20"/>
        </w:rPr>
        <w:t>The flow-based</w:t>
      </w:r>
      <w:r w:rsidRPr="00311A64">
        <w:rPr>
          <w:rFonts w:ascii="Arial" w:hAnsi="Arial" w:cs="Arial"/>
          <w:sz w:val="20"/>
        </w:rPr>
        <w:t xml:space="preserve"> </w:t>
      </w:r>
      <w:r>
        <w:rPr>
          <w:rFonts w:ascii="Arial" w:hAnsi="Arial" w:cs="Arial"/>
          <w:sz w:val="20"/>
        </w:rPr>
        <w:t>treatment capacity of a sand filter</w:t>
      </w:r>
      <w:r w:rsidRPr="00311A64">
        <w:rPr>
          <w:rFonts w:ascii="Arial" w:hAnsi="Arial" w:cs="Arial"/>
          <w:sz w:val="20"/>
        </w:rPr>
        <w:t xml:space="preserve"> may be estimated as:</w:t>
      </w:r>
      <w:r>
        <w:rPr>
          <w:rFonts w:ascii="Arial" w:hAnsi="Arial" w:cs="Arial"/>
          <w:sz w:val="20"/>
        </w:rPr>
        <w:t xml:space="preserve"> </w:t>
      </w:r>
    </w:p>
    <w:p w:rsidR="00FC34E0" w:rsidRPr="00B53524" w:rsidRDefault="00FC34E0" w:rsidP="00FC34E0">
      <w:pPr>
        <w:pStyle w:val="FactSheetEquation"/>
      </w:pPr>
      <w:r w:rsidRPr="00311A64">
        <w:t>Q</w:t>
      </w:r>
      <w:r>
        <w:rPr>
          <w:vertAlign w:val="subscript"/>
        </w:rPr>
        <w:t>capacity</w:t>
      </w:r>
      <w:r w:rsidRPr="00311A64">
        <w:t>= K</w:t>
      </w:r>
      <w:r w:rsidRPr="00311A64">
        <w:rPr>
          <w:vertAlign w:val="subscript"/>
        </w:rPr>
        <w:t>sat</w:t>
      </w:r>
      <w:r w:rsidRPr="00311A64">
        <w:t xml:space="preserve"> × I</w:t>
      </w:r>
      <w:r w:rsidRPr="00311A64">
        <w:rPr>
          <w:vertAlign w:val="subscript"/>
        </w:rPr>
        <w:t>full</w:t>
      </w:r>
      <w:r w:rsidRPr="00311A64">
        <w:t xml:space="preserve"> × A / [24 hr/day]</w:t>
      </w:r>
    </w:p>
    <w:p w:rsidR="00FC34E0" w:rsidRPr="00B53524" w:rsidRDefault="00FC34E0" w:rsidP="00FC34E0">
      <w:pPr>
        <w:pStyle w:val="CDMBBULLET"/>
        <w:tabs>
          <w:tab w:val="clear" w:pos="240"/>
          <w:tab w:val="clear" w:pos="360"/>
        </w:tabs>
        <w:spacing w:after="120"/>
        <w:ind w:left="0" w:firstLine="0"/>
        <w:rPr>
          <w:rFonts w:ascii="Arial" w:hAnsi="Arial" w:cs="Arial"/>
          <w:sz w:val="20"/>
        </w:rPr>
      </w:pPr>
      <w:r w:rsidRPr="00311A64">
        <w:rPr>
          <w:rFonts w:ascii="Arial" w:hAnsi="Arial" w:cs="Arial"/>
          <w:sz w:val="20"/>
        </w:rPr>
        <w:t>Where,</w:t>
      </w:r>
    </w:p>
    <w:p w:rsidR="00FC34E0" w:rsidRPr="00B53524" w:rsidRDefault="00FC34E0" w:rsidP="00FC34E0">
      <w:pPr>
        <w:pStyle w:val="FactSheetEquation"/>
      </w:pPr>
      <w:r w:rsidRPr="00311A64">
        <w:t>K</w:t>
      </w:r>
      <w:r w:rsidRPr="00311A64">
        <w:rPr>
          <w:vertAlign w:val="subscript"/>
        </w:rPr>
        <w:t>sat</w:t>
      </w:r>
      <w:r w:rsidRPr="00311A64">
        <w:t xml:space="preserve"> = design saturated hydraulic conductivity, feet/day (set to account for long-term deterioration of performance)</w:t>
      </w:r>
    </w:p>
    <w:p w:rsidR="00FC34E0" w:rsidRPr="00B53524" w:rsidRDefault="00FC34E0" w:rsidP="00FC34E0">
      <w:pPr>
        <w:pStyle w:val="FactSheetEquation"/>
      </w:pPr>
      <w:r w:rsidRPr="00311A64">
        <w:t>I</w:t>
      </w:r>
      <w:r w:rsidRPr="00311A64">
        <w:rPr>
          <w:vertAlign w:val="subscript"/>
        </w:rPr>
        <w:t>full</w:t>
      </w:r>
      <w:r w:rsidRPr="00311A64">
        <w:t xml:space="preserve"> = gradient across filter bed when storage is full = (depth of water at overflow + depth of media bed)/(depth of media bed)</w:t>
      </w:r>
    </w:p>
    <w:p w:rsidR="00FC34E0" w:rsidRPr="00B53524" w:rsidRDefault="00FC34E0" w:rsidP="00FC34E0">
      <w:pPr>
        <w:pStyle w:val="FactSheetEquation"/>
      </w:pPr>
      <w:r w:rsidRPr="00311A64">
        <w:t>A = surface area of media bed, sq-ft</w:t>
      </w:r>
    </w:p>
    <w:p w:rsidR="00FC34E0" w:rsidRPr="00B53524" w:rsidRDefault="00FC34E0" w:rsidP="00FC34E0">
      <w:pPr>
        <w:pStyle w:val="FactsheetSubheading"/>
        <w:outlineLvl w:val="0"/>
      </w:pPr>
      <w:r w:rsidRPr="00311A64">
        <w:t>Configuration for Use in a Treatment Train</w:t>
      </w:r>
    </w:p>
    <w:p w:rsidR="00FC34E0" w:rsidRPr="00B53524" w:rsidRDefault="00FC34E0" w:rsidP="00FC34E0">
      <w:pPr>
        <w:pStyle w:val="FactsheetBullets"/>
        <w:numPr>
          <w:ilvl w:val="0"/>
          <w:numId w:val="1"/>
        </w:numPr>
      </w:pPr>
      <w:r>
        <w:t>Sand filters</w:t>
      </w:r>
      <w:r w:rsidRPr="00311A64">
        <w:t xml:space="preserve"> may be preceded in a treatment train by </w:t>
      </w:r>
      <w:r w:rsidR="003C7091">
        <w:t>HSC</w:t>
      </w:r>
      <w:r w:rsidRPr="00311A64">
        <w:t xml:space="preserve">s and LID BMPs in the drainage area, which would reduce the required size of the filter.  </w:t>
      </w:r>
    </w:p>
    <w:p w:rsidR="00FC34E0" w:rsidRPr="00B53524" w:rsidRDefault="00FC34E0" w:rsidP="00FC34E0">
      <w:pPr>
        <w:pStyle w:val="FactsheetBullets"/>
        <w:numPr>
          <w:ilvl w:val="0"/>
          <w:numId w:val="1"/>
        </w:numPr>
      </w:pPr>
      <w:r>
        <w:t>Sand filters</w:t>
      </w:r>
      <w:r w:rsidRPr="00311A64">
        <w:t xml:space="preserve"> should be preceded by some form of pretreatment which will remove the largest particles before entering and potentially clogging the sand filter.</w:t>
      </w:r>
    </w:p>
    <w:p w:rsidR="00FC34E0" w:rsidRPr="00B53524" w:rsidRDefault="00FC34E0" w:rsidP="00FC34E0">
      <w:pPr>
        <w:pStyle w:val="FactsheetBullets"/>
        <w:numPr>
          <w:ilvl w:val="0"/>
          <w:numId w:val="1"/>
        </w:numPr>
      </w:pPr>
      <w:r>
        <w:t>Sand filters</w:t>
      </w:r>
      <w:r w:rsidRPr="00311A64">
        <w:t xml:space="preserve"> can be used to provide pretreatment for infiltration basins or other LID infiltration BMPs.</w:t>
      </w:r>
    </w:p>
    <w:p w:rsidR="00FC34E0" w:rsidRPr="00B53524" w:rsidRDefault="00FC34E0" w:rsidP="00FC34E0">
      <w:pPr>
        <w:pStyle w:val="FactsheetSubheading"/>
        <w:outlineLvl w:val="0"/>
      </w:pPr>
      <w:r w:rsidRPr="00311A64">
        <w:t>Additional References for Design Guidance</w:t>
      </w:r>
    </w:p>
    <w:p w:rsidR="00FC34E0" w:rsidRPr="00B53524" w:rsidRDefault="00FC34E0" w:rsidP="00FC34E0">
      <w:pPr>
        <w:pStyle w:val="FactsheetBullets"/>
        <w:numPr>
          <w:ilvl w:val="0"/>
          <w:numId w:val="1"/>
        </w:numPr>
      </w:pPr>
      <w:r w:rsidRPr="00311A64">
        <w:t xml:space="preserve">CASQA BMP Handbook for New and Redevelopment: </w:t>
      </w:r>
      <w:hyperlink r:id="rId226" w:history="1">
        <w:r w:rsidRPr="00126DE5">
          <w:rPr>
            <w:rStyle w:val="Hyperlink"/>
            <w:rFonts w:ascii="Book Antiqua" w:hAnsi="Book Antiqua"/>
            <w:b/>
            <w:color w:val="0070C0"/>
          </w:rPr>
          <w:t>http://www.cabmphandbooks.com/Documents/Development/TC-40.pdf</w:t>
        </w:r>
      </w:hyperlink>
    </w:p>
    <w:p w:rsidR="00FC34E0" w:rsidRPr="00B53524" w:rsidRDefault="00FC34E0" w:rsidP="00FC34E0">
      <w:pPr>
        <w:pStyle w:val="FactsheetBullets"/>
        <w:numPr>
          <w:ilvl w:val="0"/>
          <w:numId w:val="1"/>
        </w:numPr>
      </w:pPr>
      <w:r w:rsidRPr="00311A64">
        <w:t xml:space="preserve">Los Angeles County Stormwater BMP </w:t>
      </w:r>
      <w:r>
        <w:t>Design and Maintenance Manual, Chapter 8</w:t>
      </w:r>
      <w:r w:rsidRPr="00311A64">
        <w:t xml:space="preserve">: </w:t>
      </w:r>
      <w:hyperlink r:id="rId227" w:history="1">
        <w:r w:rsidRPr="00126DE5">
          <w:rPr>
            <w:rStyle w:val="Hyperlink"/>
            <w:rFonts w:ascii="Book Antiqua" w:hAnsi="Book Antiqua"/>
            <w:b/>
            <w:color w:val="0070C0"/>
          </w:rPr>
          <w:t>http://dpw.lacounty.gov/DES/design_manuals/StormwaterBMPDesignandMaintenance.pdf</w:t>
        </w:r>
      </w:hyperlink>
    </w:p>
    <w:p w:rsidR="00FC34E0" w:rsidRPr="00B53524" w:rsidRDefault="00FC34E0" w:rsidP="00FC34E0">
      <w:pPr>
        <w:pStyle w:val="FactsheetBullets"/>
        <w:numPr>
          <w:ilvl w:val="0"/>
          <w:numId w:val="1"/>
        </w:numPr>
      </w:pPr>
      <w:r w:rsidRPr="00311A64">
        <w:t xml:space="preserve">LA County LID Manual:  </w:t>
      </w:r>
      <w:hyperlink r:id="rId228" w:history="1">
        <w:r w:rsidRPr="00126DE5">
          <w:rPr>
            <w:rStyle w:val="Hyperlink"/>
            <w:rFonts w:ascii="Book Antiqua" w:hAnsi="Book Antiqua"/>
            <w:b/>
            <w:color w:val="0070C0"/>
          </w:rPr>
          <w:t>http://dpw.lacounty.gov/wmd/LA_County_LID_Manual.pdf</w:t>
        </w:r>
      </w:hyperlink>
    </w:p>
    <w:p w:rsidR="00FC34E0" w:rsidRPr="00B53524" w:rsidRDefault="00FC34E0" w:rsidP="00FC34E0">
      <w:pPr>
        <w:pStyle w:val="FactsheetBullets"/>
        <w:numPr>
          <w:ilvl w:val="0"/>
          <w:numId w:val="1"/>
        </w:numPr>
      </w:pPr>
      <w:r w:rsidRPr="00311A64">
        <w:t>San Diego County LID Hand</w:t>
      </w:r>
      <w:r>
        <w:t xml:space="preserve">book Appendix 4 (Factsheet 6): </w:t>
      </w:r>
      <w:hyperlink r:id="rId229" w:history="1">
        <w:r w:rsidRPr="00126DE5">
          <w:rPr>
            <w:rStyle w:val="Hyperlink"/>
            <w:rFonts w:ascii="Book Antiqua" w:hAnsi="Book Antiqua"/>
            <w:b/>
            <w:color w:val="0070C0"/>
          </w:rPr>
          <w:t>http://www.sdcounty.ca.gov/dplu/docs/LID-Appendices.pdf</w:t>
        </w:r>
      </w:hyperlink>
    </w:p>
    <w:p w:rsidR="00FC34E0" w:rsidRPr="00B53524" w:rsidRDefault="00FC34E0" w:rsidP="00FC34E0">
      <w:pPr>
        <w:pStyle w:val="FactsheetBullets"/>
        <w:numPr>
          <w:ilvl w:val="0"/>
          <w:numId w:val="1"/>
        </w:numPr>
      </w:pPr>
      <w:r w:rsidRPr="00311A64">
        <w:t xml:space="preserve">SMC LID Manual: </w:t>
      </w:r>
      <w:hyperlink r:id="rId230" w:history="1">
        <w:r w:rsidRPr="00126DE5">
          <w:rPr>
            <w:rStyle w:val="Hyperlink"/>
            <w:rFonts w:ascii="Book Antiqua" w:hAnsi="Book Antiqua"/>
            <w:b/>
            <w:color w:val="0070C0"/>
          </w:rPr>
          <w:t>http://www.lowimpactdevelopment.org/guest75/pub/All_Projects/SoCal_LID_Manual/SoCalLID_Manual_FINAL_040910.pdf</w:t>
        </w:r>
      </w:hyperlink>
    </w:p>
    <w:p w:rsidR="00FC34E0" w:rsidRPr="00B53524" w:rsidRDefault="00FC34E0" w:rsidP="00FC34E0">
      <w:pPr>
        <w:pStyle w:val="FactsheetBullets"/>
        <w:numPr>
          <w:ilvl w:val="0"/>
          <w:numId w:val="1"/>
        </w:numPr>
      </w:pPr>
      <w:r w:rsidRPr="00311A64">
        <w:t xml:space="preserve">LA County LID Manual:  </w:t>
      </w:r>
      <w:hyperlink r:id="rId231" w:history="1">
        <w:r w:rsidRPr="00126DE5">
          <w:rPr>
            <w:rStyle w:val="Hyperlink"/>
            <w:rFonts w:ascii="Book Antiqua" w:hAnsi="Book Antiqua"/>
            <w:b/>
            <w:color w:val="0070C0"/>
          </w:rPr>
          <w:t>http://dpw.lacounty.gov/wmd/LA_County_LID_Manual.pdf</w:t>
        </w:r>
      </w:hyperlink>
    </w:p>
    <w:p w:rsidR="00FC34E0" w:rsidRPr="00B53524" w:rsidRDefault="00FC34E0" w:rsidP="00FC34E0">
      <w:pPr>
        <w:pStyle w:val="FactsheetBullets"/>
        <w:numPr>
          <w:ilvl w:val="0"/>
          <w:numId w:val="1"/>
        </w:numPr>
      </w:pPr>
      <w:r w:rsidRPr="00311A64">
        <w:t xml:space="preserve">Portland Stormwater Management Manual:  </w:t>
      </w:r>
      <w:hyperlink r:id="rId232" w:history="1">
        <w:r w:rsidRPr="00126DE5">
          <w:rPr>
            <w:rStyle w:val="Hyperlink"/>
            <w:rFonts w:ascii="Book Antiqua" w:hAnsi="Book Antiqua"/>
            <w:b/>
            <w:color w:val="0070C0"/>
          </w:rPr>
          <w:t>http://www.portlandonline.com/bes/index.cfm?c=47953&amp;</w:t>
        </w:r>
      </w:hyperlink>
    </w:p>
    <w:p w:rsidR="00FC34E0" w:rsidRPr="00B53524" w:rsidRDefault="00FC34E0" w:rsidP="00FC34E0">
      <w:pPr>
        <w:pStyle w:val="FactsheetBullets"/>
        <w:numPr>
          <w:ilvl w:val="0"/>
          <w:numId w:val="1"/>
        </w:numPr>
      </w:pPr>
      <w:r w:rsidRPr="00311A64">
        <w:t>Western Washington</w:t>
      </w:r>
      <w:r>
        <w:t xml:space="preserve"> Stormwater Management Manual:  </w:t>
      </w:r>
      <w:hyperlink r:id="rId233" w:history="1">
        <w:r w:rsidRPr="00126DE5">
          <w:rPr>
            <w:rStyle w:val="Hyperlink"/>
            <w:rFonts w:ascii="Book Antiqua" w:hAnsi="Book Antiqua"/>
            <w:b/>
            <w:color w:val="0070C0"/>
          </w:rPr>
          <w:t>http://www.ecy.wa.gov/pubs/0510033.pdf</w:t>
        </w:r>
      </w:hyperlink>
    </w:p>
    <w:p w:rsidR="00FC34E0" w:rsidRPr="00B53524" w:rsidRDefault="00FC34E0" w:rsidP="00533A19">
      <w:pPr>
        <w:pStyle w:val="Heading3"/>
        <w:numPr>
          <w:ilvl w:val="0"/>
          <w:numId w:val="0"/>
        </w:numPr>
        <w:ind w:left="907" w:hanging="907"/>
      </w:pPr>
      <w:r w:rsidRPr="00311A64">
        <w:br w:type="page"/>
      </w:r>
      <w:bookmarkStart w:id="900" w:name="_Ref261885398"/>
      <w:bookmarkStart w:id="901" w:name="_Toc285589346"/>
      <w:r>
        <w:t xml:space="preserve">TRT-2: </w:t>
      </w:r>
      <w:r w:rsidRPr="00311A64">
        <w:t>Cartridge Media Filter</w:t>
      </w:r>
      <w:bookmarkEnd w:id="900"/>
      <w:bookmarkEnd w:id="901"/>
    </w:p>
    <w:p w:rsidR="00FC34E0" w:rsidRPr="00B53524" w:rsidRDefault="00126F3D" w:rsidP="00FC34E0">
      <w:pPr>
        <w:pStyle w:val="CDMBTEXT"/>
        <w:rPr>
          <w:noProof/>
        </w:rPr>
      </w:pPr>
      <w:r>
        <w:rPr>
          <w:noProof/>
        </w:rPr>
        <w:pict>
          <v:shape id="Text Box 16" o:spid="_x0000_s1187" type="#_x0000_t202" style="position:absolute;margin-left:-158.95pt;margin-top:56.4pt;width:158.4pt;height:171.75pt;z-index:251792384;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" filled="f">
            <v:textbox style="mso-next-textbox:#Text Box 16" inset="0,0,0,0">
              <w:txbxContent>
                <w:p w:rsidR="00853C9A" w:rsidRDefault="00853C9A" w:rsidP="00FC34E0">
                  <w:pPr>
                    <w:ind w:left="-29" w:right="-29"/>
                    <w:rPr>
                      <w:rFonts w:ascii="Arial" w:hAnsi="Arial" w:cs="Arial"/>
                      <w:noProof/>
                      <w:sz w:val="20"/>
                    </w:rPr>
                  </w:pPr>
                  <w:r w:rsidRPr="00354E9F">
                    <w:rPr>
                      <w:rFonts w:ascii="Arial" w:hAnsi="Arial" w:cs="Arial"/>
                      <w:noProof/>
                      <w:sz w:val="20"/>
                    </w:rPr>
                    <w:drawing>
                      <wp:inline distT="0" distB="0" distL="0" distR="0">
                        <wp:extent cx="2036618" cy="1543400"/>
                        <wp:effectExtent l="19050" t="0" r="1732" b="0"/>
                        <wp:docPr id="95"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00557"/>
                                <pic:cNvPicPr>
                                  <a:picLocks noChangeAspect="1" noChangeArrowheads="1"/>
                                </pic:cNvPicPr>
                              </pic:nvPicPr>
                              <pic:blipFill>
                                <a:blip r:embed="rId234" cstate="screen"/>
                                <a:srcRect/>
                                <a:stretch>
                                  <a:fillRect/>
                                </a:stretch>
                              </pic:blipFill>
                              <pic:spPr bwMode="auto">
                                <a:xfrm>
                                  <a:off x="0" y="0"/>
                                  <a:ext cx="2036618" cy="1543400"/>
                                </a:xfrm>
                                <a:prstGeom prst="rect">
                                  <a:avLst/>
                                </a:prstGeom>
                                <a:noFill/>
                                <a:ln w="9525">
                                  <a:noFill/>
                                  <a:miter lim="800000"/>
                                  <a:headEnd/>
                                  <a:tailEnd/>
                                </a:ln>
                              </pic:spPr>
                            </pic:pic>
                          </a:graphicData>
                        </a:graphic>
                      </wp:inline>
                    </w:drawing>
                  </w:r>
                </w:p>
                <w:p w:rsidR="00853C9A" w:rsidRDefault="00853C9A" w:rsidP="00FC34E0">
                  <w:pPr>
                    <w:spacing w:after="0"/>
                    <w:ind w:left="187"/>
                    <w:rPr>
                      <w:rFonts w:ascii="Arial" w:hAnsi="Arial" w:cs="Arial"/>
                      <w:sz w:val="18"/>
                      <w:szCs w:val="18"/>
                    </w:rPr>
                  </w:pPr>
                  <w:r>
                    <w:rPr>
                      <w:rFonts w:ascii="Arial" w:hAnsi="Arial" w:cs="Arial"/>
                      <w:sz w:val="18"/>
                      <w:szCs w:val="18"/>
                    </w:rPr>
                    <w:t>Cartridge Media</w:t>
                  </w:r>
                  <w:r w:rsidRPr="004D1488">
                    <w:rPr>
                      <w:rFonts w:ascii="Arial" w:hAnsi="Arial" w:cs="Arial"/>
                      <w:sz w:val="18"/>
                      <w:szCs w:val="18"/>
                    </w:rPr>
                    <w:t xml:space="preserve"> Filter</w:t>
                  </w:r>
                </w:p>
                <w:p w:rsidR="00853C9A" w:rsidRPr="00354E9F" w:rsidRDefault="00853C9A" w:rsidP="00FC34E0">
                  <w:pPr>
                    <w:spacing w:after="0"/>
                    <w:ind w:left="187"/>
                    <w:rPr>
                      <w:rFonts w:ascii="Arial" w:hAnsi="Arial" w:cs="Arial"/>
                      <w:i/>
                      <w:sz w:val="18"/>
                    </w:rPr>
                  </w:pPr>
                  <w:r w:rsidRPr="00354E9F">
                    <w:rPr>
                      <w:rFonts w:ascii="Arial" w:hAnsi="Arial" w:cs="Arial"/>
                      <w:i/>
                      <w:sz w:val="18"/>
                      <w:szCs w:val="18"/>
                    </w:rPr>
                    <w:t>Source: Contech Stormwater Solution, Inc.</w:t>
                  </w:r>
                </w:p>
              </w:txbxContent>
            </v:textbox>
            <w10:wrap type="square" anchorx="margin" anchory="margin"/>
          </v:shape>
        </w:pict>
      </w:r>
      <w:r>
        <w:rPr>
          <w:noProof/>
        </w:rPr>
        <w:pict>
          <v:shape id="Text Box 15" o:spid="_x0000_s1188" type="#_x0000_t202" style="position:absolute;margin-left:-158.95pt;margin-top:5.45pt;width:158.4pt;height:50.95pt;z-index:251793408;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" fillcolor="#d8d8d8">
            <v:textbox style="mso-next-textbox:#Text Box 15">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Pr="009F707D" w:rsidRDefault="00853C9A" w:rsidP="009531AF">
                  <w:pPr>
                    <w:pStyle w:val="CDMBTEXT"/>
                    <w:numPr>
                      <w:ilvl w:val="0"/>
                      <w:numId w:val="67"/>
                    </w:numPr>
                    <w:spacing w:after="60" w:line="240" w:lineRule="auto"/>
                    <w:ind w:left="540"/>
                    <w:rPr>
                      <w:i/>
                    </w:rPr>
                  </w:pPr>
                  <w:r w:rsidRPr="004070E5">
                    <w:rPr>
                      <w:i/>
                    </w:rPr>
                    <w:t>Manufactured Media Filters</w:t>
                  </w:r>
                </w:p>
              </w:txbxContent>
            </v:textbox>
            <w10:wrap type="square" anchorx="margin" anchory="margin"/>
          </v:shape>
        </w:pict>
      </w:r>
      <w:r w:rsidR="00FC34E0" w:rsidRPr="00311A64">
        <w:t>Cartridge media filters (CMFs) are manufactured devices that consist of a series of modular filters packed with engineered media that can be contained in a catch basin, manhole, or vault that provide treatment through filtration and sedimentation. The manhole or vault may be divided into multiple chambers where the first chamber acts as a pre-settling basin for removal of coarse sediment while another chamber acts as the filter bay and houses the filter cartridges.  A variety of media types are available from various manufacturers which can target pollutants of concern.</w:t>
      </w:r>
    </w:p>
    <w:p w:rsidR="00FC34E0" w:rsidRPr="00B53524" w:rsidRDefault="00FC34E0" w:rsidP="00FC34E0">
      <w:pPr>
        <w:pStyle w:val="FactsheetSubheading"/>
        <w:outlineLvl w:val="0"/>
      </w:pPr>
      <w:r>
        <w:t>Feasibility Screening</w:t>
      </w:r>
      <w:r w:rsidRPr="00311A64">
        <w:t xml:space="preserve"> Considerations</w:t>
      </w:r>
    </w:p>
    <w:p w:rsidR="00FC34E0" w:rsidRPr="00B53524" w:rsidRDefault="00FC34E0" w:rsidP="00FC34E0">
      <w:pPr>
        <w:pStyle w:val="FactsheetBullets"/>
        <w:numPr>
          <w:ilvl w:val="0"/>
          <w:numId w:val="1"/>
        </w:numPr>
      </w:pPr>
      <w:r w:rsidRPr="00311A64">
        <w:t>Not applicable</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rsidRPr="00311A64">
        <w:t>Intended for use when retention and biotreatment options are infeasible.</w:t>
      </w:r>
    </w:p>
    <w:p w:rsidR="00FC34E0" w:rsidRPr="00B53524" w:rsidRDefault="00FC34E0" w:rsidP="00FC34E0">
      <w:pPr>
        <w:pStyle w:val="FactsheetBullets"/>
        <w:numPr>
          <w:ilvl w:val="0"/>
          <w:numId w:val="1"/>
        </w:numPr>
      </w:pPr>
      <w:r w:rsidRPr="00311A64">
        <w:t xml:space="preserve">Recommended for drainage area with limited available surface area or where surface BMPs would restrict uses. </w:t>
      </w:r>
    </w:p>
    <w:p w:rsidR="00FC34E0" w:rsidRDefault="00FC34E0" w:rsidP="00FC34E0">
      <w:pPr>
        <w:pStyle w:val="FactsheetBullets"/>
        <w:numPr>
          <w:ilvl w:val="0"/>
          <w:numId w:val="1"/>
        </w:numPr>
      </w:pPr>
      <w:r w:rsidRPr="00311A64">
        <w:t xml:space="preserve">For drainage areas with significant areas of non-stabilized soil, permanent soil stablization must be achieved before before cartridge media filters are installed and put on line to minimize risk of clogging.  </w:t>
      </w:r>
    </w:p>
    <w:p w:rsidR="00FC34E0" w:rsidRPr="00B53524" w:rsidRDefault="00FC34E0" w:rsidP="00FC34E0">
      <w:pPr>
        <w:pStyle w:val="FactsheetBullets"/>
        <w:numPr>
          <w:ilvl w:val="0"/>
          <w:numId w:val="1"/>
        </w:numPr>
      </w:pPr>
      <w:r>
        <w:rPr>
          <w:rFonts w:ascii="Tahoma" w:hAnsi="Tahoma" w:cs="Tahoma"/>
          <w:color w:val="000000"/>
        </w:rPr>
        <w:t>Depending on the number of cartridges, maintenance events can have long durations.  Care should be exercised in siting these facilities so that maintenance events will not significantly disrupt businesses or traffic.</w:t>
      </w:r>
    </w:p>
    <w:p w:rsidR="00FC34E0" w:rsidRPr="00B53524" w:rsidRDefault="00FC34E0" w:rsidP="00FC34E0">
      <w:pPr>
        <w:pStyle w:val="FactsheetSubheading"/>
        <w:outlineLvl w:val="0"/>
      </w:pPr>
      <w:r w:rsidRPr="00311A64">
        <w:t>OC-Specific Design Criteria and Considerations</w:t>
      </w:r>
    </w:p>
    <w:tbl>
      <w:tblPr>
        <w:tblStyle w:val="TableGrid"/>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
        <w:gridCol w:w="8730"/>
      </w:tblGrid>
      <w:tr w:rsidR="00FC34E0" w:rsidRPr="00B53524" w:rsidTr="00FC34E0">
        <w:trPr>
          <w:trHeight w:val="147"/>
        </w:trPr>
        <w:tc>
          <w:tcPr>
            <w:tcW w:w="45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pStyle w:val="CheckBoxTableText"/>
            </w:pPr>
            <w:r w:rsidRPr="00311A64">
              <w:t xml:space="preserve">Cartridge media filter BMP vendors </w:t>
            </w:r>
            <w:r>
              <w:t>should</w:t>
            </w:r>
            <w:r w:rsidRPr="00311A64">
              <w:t xml:space="preserve"> be consulted regarding design and specifications.  </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Filter media should be selected to target pollutants of concern.  A combination of media may be appropriate to remove a variety of pollutants.</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 xml:space="preserve">If CMF are integrated with a vault for equalization, the system should be designed to completely drain the vault within </w:t>
            </w:r>
            <w:r>
              <w:t>96</w:t>
            </w:r>
            <w:r w:rsidRPr="00311A64">
              <w:t xml:space="preserve"> hours of storm event or otherwise protect against standing water and mosquito breeding concerns.</w:t>
            </w:r>
          </w:p>
        </w:tc>
      </w:tr>
    </w:tbl>
    <w:p w:rsidR="00FC34E0" w:rsidRPr="00B53524" w:rsidRDefault="00FC34E0" w:rsidP="00FC34E0">
      <w:pPr>
        <w:pStyle w:val="FactsheetSubheading"/>
      </w:pPr>
      <w:r w:rsidRPr="00311A64">
        <w:t xml:space="preserve">Computing Sizing Criteria for </w:t>
      </w:r>
      <w:r>
        <w:t>Cartridge</w:t>
      </w:r>
      <w:r w:rsidRPr="00311A64">
        <w:t xml:space="preserve"> Media Filter</w:t>
      </w:r>
      <w:r>
        <w:t>s</w:t>
      </w:r>
      <w:r w:rsidRPr="00311A64">
        <w:t xml:space="preserve"> </w:t>
      </w:r>
    </w:p>
    <w:p w:rsidR="00FC34E0" w:rsidRDefault="00FC34E0" w:rsidP="00FC34E0">
      <w:pPr>
        <w:pStyle w:val="CDMBBULLET"/>
        <w:tabs>
          <w:tab w:val="clear" w:pos="240"/>
          <w:tab w:val="clear" w:pos="360"/>
        </w:tabs>
        <w:spacing w:after="120"/>
        <w:ind w:left="0" w:firstLine="0"/>
        <w:rPr>
          <w:rFonts w:ascii="Arial" w:hAnsi="Arial" w:cs="Arial"/>
          <w:sz w:val="20"/>
        </w:rPr>
      </w:pPr>
      <w:r>
        <w:rPr>
          <w:rFonts w:ascii="Arial" w:hAnsi="Arial" w:cs="Arial"/>
          <w:sz w:val="20"/>
        </w:rPr>
        <w:t xml:space="preserve">The required design flowrate should be calculated based on the </w:t>
      </w:r>
      <w:fldSimple w:instr=" REF _Ref287707497 \h  \* MERGEFORMAT ">
        <w:r w:rsidR="00126DE5" w:rsidRPr="00126DE5">
          <w:rPr>
            <w:rFonts w:cs="Arial"/>
            <w:b/>
            <w:color w:val="0070C0"/>
            <w:sz w:val="20"/>
          </w:rPr>
          <w:t>Capture Efficiency Method for Flow-based BMPs</w:t>
        </w:r>
      </w:fldSimple>
      <w:r w:rsidRPr="00296C2D">
        <w:rPr>
          <w:rFonts w:ascii="Arial" w:hAnsi="Arial" w:cs="Arial"/>
          <w:sz w:val="20"/>
        </w:rPr>
        <w:t xml:space="preserve"> (See </w:t>
      </w:r>
      <w:r w:rsidR="00524D76" w:rsidRPr="001958AC">
        <w:rPr>
          <w:rFonts w:ascii="Arial" w:hAnsi="Arial" w:cs="Arial"/>
          <w:b/>
          <w:color w:val="0070C0"/>
          <w:sz w:val="20"/>
        </w:rPr>
        <w:t>Appendix</w:t>
      </w:r>
      <w:r w:rsidRPr="001958AC">
        <w:rPr>
          <w:rFonts w:ascii="Arial" w:hAnsi="Arial" w:cs="Arial"/>
          <w:color w:val="0070C0"/>
          <w:sz w:val="20"/>
        </w:rPr>
        <w:t xml:space="preserve"> </w:t>
      </w:r>
      <w:fldSimple w:instr=" REF _Ref287707497 \r \h  \* MERGEFORMAT ">
        <w:r w:rsidR="00126DE5" w:rsidRPr="00126DE5">
          <w:rPr>
            <w:rFonts w:cs="Arial"/>
            <w:b/>
            <w:color w:val="0070C0"/>
            <w:sz w:val="20"/>
          </w:rPr>
          <w:t>III.3.3</w:t>
        </w:r>
      </w:fldSimple>
      <w:r w:rsidRPr="00296C2D">
        <w:rPr>
          <w:rFonts w:ascii="Arial" w:hAnsi="Arial" w:cs="Arial"/>
          <w:sz w:val="20"/>
        </w:rPr>
        <w:t>).</w:t>
      </w:r>
    </w:p>
    <w:p w:rsidR="00FC34E0" w:rsidRPr="00B53524" w:rsidRDefault="00FC34E0" w:rsidP="00FC34E0">
      <w:pPr>
        <w:pStyle w:val="FactsheetSubheading"/>
        <w:outlineLvl w:val="0"/>
      </w:pPr>
      <w:r w:rsidRPr="00311A64">
        <w:t>Additional References for Design Guidance</w:t>
      </w:r>
    </w:p>
    <w:p w:rsidR="00FC34E0" w:rsidRDefault="00FC34E0" w:rsidP="00FC34E0">
      <w:pPr>
        <w:pStyle w:val="FactsheetBullets"/>
        <w:numPr>
          <w:ilvl w:val="0"/>
          <w:numId w:val="1"/>
        </w:numPr>
      </w:pPr>
      <w:r w:rsidRPr="00311A64">
        <w:t xml:space="preserve">Los Angeles County Stormwater BMP </w:t>
      </w:r>
      <w:r>
        <w:t>Design and Maintenance Manual</w:t>
      </w:r>
      <w:r w:rsidRPr="00311A64">
        <w:t xml:space="preserve">, Chapter 9: </w:t>
      </w:r>
      <w:hyperlink r:id="rId235" w:history="1">
        <w:r w:rsidRPr="00126DE5">
          <w:rPr>
            <w:rStyle w:val="Hyperlink"/>
            <w:rFonts w:ascii="Book Antiqua" w:hAnsi="Book Antiqua"/>
            <w:b/>
            <w:color w:val="0070C0"/>
          </w:rPr>
          <w:t>http://dpw.lacounty.gov/DES/design_manuals/StormwaterBMPDesignandMaintenance.pdf</w:t>
        </w:r>
      </w:hyperlink>
    </w:p>
    <w:p w:rsidR="00FC34E0" w:rsidRDefault="00FC34E0" w:rsidP="00FC34E0">
      <w:pPr>
        <w:pStyle w:val="FactsheetBullets"/>
        <w:numPr>
          <w:ilvl w:val="0"/>
          <w:numId w:val="1"/>
        </w:numPr>
      </w:pPr>
      <w:r w:rsidRPr="00311A64">
        <w:t xml:space="preserve">SMC LID </w:t>
      </w:r>
      <w:r>
        <w:t>M</w:t>
      </w:r>
      <w:r w:rsidRPr="00311A64">
        <w:t xml:space="preserve">anual: </w:t>
      </w:r>
      <w:hyperlink r:id="rId236" w:history="1">
        <w:r w:rsidRPr="00126DE5">
          <w:rPr>
            <w:rStyle w:val="Hyperlink"/>
            <w:rFonts w:ascii="Book Antiqua" w:hAnsi="Book Antiqua"/>
            <w:b/>
            <w:color w:val="0070C0"/>
          </w:rPr>
          <w:t>http://www.lowimpactdevelopment.org/guest75/pub/All_Projects/SoCal_LID_Manual/SoCalLID_Manual_FINAL_040910.pdf</w:t>
        </w:r>
      </w:hyperlink>
    </w:p>
    <w:p w:rsidR="00FC34E0" w:rsidRPr="009D6B99" w:rsidRDefault="00FC34E0" w:rsidP="00FC34E0">
      <w:pPr>
        <w:pStyle w:val="FactsheetBullets"/>
        <w:numPr>
          <w:ilvl w:val="0"/>
          <w:numId w:val="1"/>
        </w:numPr>
        <w:spacing w:after="200" w:line="276" w:lineRule="auto"/>
      </w:pPr>
      <w:r w:rsidRPr="00311A64">
        <w:t>Western Washington Stormwater Management</w:t>
      </w:r>
      <w:r>
        <w:t xml:space="preserve"> Manual, Volume V, Chapter 12: </w:t>
      </w:r>
      <w:hyperlink r:id="rId237" w:history="1">
        <w:r w:rsidRPr="00126DE5">
          <w:rPr>
            <w:rStyle w:val="Hyperlink"/>
            <w:rFonts w:ascii="Book Antiqua" w:hAnsi="Book Antiqua"/>
            <w:b/>
            <w:color w:val="0070C0"/>
          </w:rPr>
          <w:t>http://www.ecy.wa.gov/pubs/0510033.pdf</w:t>
        </w:r>
      </w:hyperlink>
      <w:r>
        <w:br w:type="page"/>
      </w:r>
    </w:p>
    <w:p w:rsidR="00FC34E0" w:rsidRDefault="00FC34E0" w:rsidP="00FC34E0">
      <w:pPr>
        <w:pStyle w:val="FactsheetBullets"/>
        <w:numPr>
          <w:ilvl w:val="0"/>
          <w:numId w:val="0"/>
        </w:numPr>
        <w:ind w:left="720" w:hanging="360"/>
        <w:rPr>
          <w:i/>
        </w:rPr>
      </w:pPr>
    </w:p>
    <w:p w:rsidR="00FC34E0" w:rsidRPr="003C19F9" w:rsidRDefault="00FC34E0" w:rsidP="00A52883">
      <w:pPr>
        <w:pStyle w:val="Heading2"/>
      </w:pPr>
      <w:bookmarkStart w:id="902" w:name="_Toc260943020"/>
      <w:bookmarkStart w:id="903" w:name="_Toc260943249"/>
      <w:bookmarkStart w:id="904" w:name="_Toc260943021"/>
      <w:bookmarkStart w:id="905" w:name="_Toc260943250"/>
      <w:bookmarkStart w:id="906" w:name="_Toc260943022"/>
      <w:bookmarkStart w:id="907" w:name="_Toc260943251"/>
      <w:bookmarkStart w:id="908" w:name="_Toc260943023"/>
      <w:bookmarkStart w:id="909" w:name="_Toc260943252"/>
      <w:bookmarkStart w:id="910" w:name="_Toc260943024"/>
      <w:bookmarkStart w:id="911" w:name="_Toc260943253"/>
      <w:bookmarkStart w:id="912" w:name="_Toc260943025"/>
      <w:bookmarkStart w:id="913" w:name="_Toc260943254"/>
      <w:bookmarkStart w:id="914" w:name="_Toc260943026"/>
      <w:bookmarkStart w:id="915" w:name="_Toc260943255"/>
      <w:bookmarkStart w:id="916" w:name="_Toc260943027"/>
      <w:bookmarkStart w:id="917" w:name="_Toc260943256"/>
      <w:bookmarkStart w:id="918" w:name="_Toc260943028"/>
      <w:bookmarkStart w:id="919" w:name="_Toc260943257"/>
      <w:bookmarkStart w:id="920" w:name="_Ref260941884"/>
      <w:bookmarkStart w:id="921" w:name="_Toc260996790"/>
      <w:bookmarkStart w:id="922" w:name="_Toc285589347"/>
      <w:bookmarkStart w:id="923" w:name="_Ref287698677"/>
      <w:bookmarkStart w:id="924" w:name="_Toc288541127"/>
      <w:bookmarkStart w:id="925" w:name="_Toc293937183"/>
      <w:bookmarkEnd w:id="897"/>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r w:rsidRPr="003C19F9">
        <w:t>Pretreatment/Gross Solids Removal BMP</w:t>
      </w:r>
      <w:bookmarkEnd w:id="920"/>
      <w:bookmarkEnd w:id="921"/>
      <w:bookmarkEnd w:id="922"/>
      <w:r w:rsidRPr="003C19F9">
        <w:t xml:space="preserve"> Fact Sheets (PRE)</w:t>
      </w:r>
      <w:bookmarkEnd w:id="923"/>
      <w:bookmarkEnd w:id="924"/>
      <w:bookmarkEnd w:id="925"/>
    </w:p>
    <w:p w:rsidR="00FC34E0" w:rsidRPr="00B53524" w:rsidRDefault="00126F3D" w:rsidP="00533A19">
      <w:pPr>
        <w:pStyle w:val="Heading3"/>
        <w:numPr>
          <w:ilvl w:val="0"/>
          <w:numId w:val="0"/>
        </w:numPr>
        <w:ind w:left="907" w:hanging="907"/>
      </w:pPr>
      <w:r>
        <w:rPr>
          <w:noProof/>
        </w:rPr>
        <w:pict>
          <v:shape id="Text Box 18" o:spid="_x0000_s1189" type="#_x0000_t202" style="position:absolute;left:0;text-align:left;margin-left:-155.65pt;margin-top:129.5pt;width:158.4pt;height:195.4pt;z-index:251794432;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" filled="f">
            <v:textbox style="mso-next-textbox:#Text Box 18" inset="0,0,0,0">
              <w:txbxContent>
                <w:p w:rsidR="00853C9A" w:rsidRDefault="00853C9A" w:rsidP="00FC34E0">
                  <w:pPr>
                    <w:ind w:left="-29" w:right="-29"/>
                    <w:rPr>
                      <w:rFonts w:ascii="Arial" w:hAnsi="Arial" w:cs="Arial"/>
                      <w:noProof/>
                      <w:sz w:val="20"/>
                    </w:rPr>
                  </w:pPr>
                  <w:r w:rsidRPr="00005588">
                    <w:rPr>
                      <w:rFonts w:ascii="Arial" w:hAnsi="Arial" w:cs="Arial"/>
                      <w:noProof/>
                      <w:sz w:val="20"/>
                    </w:rPr>
                    <w:drawing>
                      <wp:inline distT="0" distB="0" distL="0" distR="0">
                        <wp:extent cx="2002155" cy="1834410"/>
                        <wp:effectExtent l="19050" t="0" r="0" b="0"/>
                        <wp:docPr id="128"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8" cstate="screen"/>
                                <a:srcRect/>
                                <a:stretch>
                                  <a:fillRect/>
                                </a:stretch>
                              </pic:blipFill>
                              <pic:spPr bwMode="auto">
                                <a:xfrm>
                                  <a:off x="0" y="0"/>
                                  <a:ext cx="2002155" cy="1834410"/>
                                </a:xfrm>
                                <a:prstGeom prst="rect">
                                  <a:avLst/>
                                </a:prstGeom>
                                <a:noFill/>
                                <a:ln w="9525">
                                  <a:noFill/>
                                  <a:miter lim="800000"/>
                                  <a:headEnd/>
                                  <a:tailEnd/>
                                </a:ln>
                              </pic:spPr>
                            </pic:pic>
                          </a:graphicData>
                        </a:graphic>
                      </wp:inline>
                    </w:drawing>
                  </w:r>
                </w:p>
                <w:p w:rsidR="00853C9A" w:rsidRDefault="00853C9A" w:rsidP="00FC34E0">
                  <w:pPr>
                    <w:spacing w:after="0"/>
                    <w:ind w:left="187"/>
                    <w:rPr>
                      <w:rFonts w:ascii="Arial" w:hAnsi="Arial" w:cs="Arial"/>
                      <w:sz w:val="18"/>
                      <w:szCs w:val="18"/>
                    </w:rPr>
                  </w:pPr>
                  <w:r>
                    <w:rPr>
                      <w:rFonts w:ascii="Arial" w:hAnsi="Arial" w:cs="Arial"/>
                      <w:sz w:val="18"/>
                      <w:szCs w:val="18"/>
                    </w:rPr>
                    <w:t>Hydrodynamic Separation Device</w:t>
                  </w:r>
                </w:p>
                <w:p w:rsidR="00853C9A" w:rsidRPr="00354E9F" w:rsidRDefault="00853C9A" w:rsidP="00FC34E0">
                  <w:pPr>
                    <w:spacing w:after="0"/>
                    <w:ind w:left="187"/>
                    <w:rPr>
                      <w:rFonts w:ascii="Arial" w:hAnsi="Arial" w:cs="Arial"/>
                      <w:i/>
                      <w:sz w:val="18"/>
                    </w:rPr>
                  </w:pPr>
                  <w:r w:rsidRPr="00354E9F">
                    <w:rPr>
                      <w:rFonts w:ascii="Arial" w:hAnsi="Arial" w:cs="Arial"/>
                      <w:i/>
                      <w:sz w:val="18"/>
                      <w:szCs w:val="18"/>
                    </w:rPr>
                    <w:t>Source: Contech Stormwater Solution, Inc.</w:t>
                  </w:r>
                </w:p>
              </w:txbxContent>
            </v:textbox>
            <w10:wrap type="square" anchorx="margin" anchory="margin"/>
          </v:shape>
        </w:pict>
      </w:r>
      <w:r>
        <w:rPr>
          <w:noProof/>
        </w:rPr>
        <w:pict>
          <v:shape id="Text Box 17" o:spid="_x0000_s1190" type="#_x0000_t202" style="position:absolute;left:0;text-align:left;margin-left:-155.65pt;margin-top:47.15pt;width:158.4pt;height:82.35pt;z-index:251795456;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" fillcolor="#d8d8d8">
            <v:textbox style="mso-next-textbox:#Text Box 17">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Default="00853C9A" w:rsidP="009531AF">
                  <w:pPr>
                    <w:pStyle w:val="CDMBTEXT"/>
                    <w:numPr>
                      <w:ilvl w:val="0"/>
                      <w:numId w:val="67"/>
                    </w:numPr>
                    <w:spacing w:after="60" w:line="240" w:lineRule="auto"/>
                    <w:ind w:left="540"/>
                    <w:rPr>
                      <w:i/>
                    </w:rPr>
                  </w:pPr>
                  <w:r>
                    <w:rPr>
                      <w:i/>
                    </w:rPr>
                    <w:t>Vortex Separators</w:t>
                  </w:r>
                </w:p>
                <w:p w:rsidR="00853C9A" w:rsidRDefault="00853C9A" w:rsidP="009531AF">
                  <w:pPr>
                    <w:pStyle w:val="CDMBTEXT"/>
                    <w:numPr>
                      <w:ilvl w:val="0"/>
                      <w:numId w:val="67"/>
                    </w:numPr>
                    <w:spacing w:after="60" w:line="240" w:lineRule="auto"/>
                    <w:ind w:left="540"/>
                    <w:rPr>
                      <w:i/>
                    </w:rPr>
                  </w:pPr>
                  <w:r>
                    <w:rPr>
                      <w:i/>
                    </w:rPr>
                    <w:t>Swirl Concentrators</w:t>
                  </w:r>
                </w:p>
                <w:p w:rsidR="00853C9A" w:rsidRPr="009F707D" w:rsidRDefault="00853C9A" w:rsidP="009531AF">
                  <w:pPr>
                    <w:pStyle w:val="CDMBTEXT"/>
                    <w:numPr>
                      <w:ilvl w:val="0"/>
                      <w:numId w:val="67"/>
                    </w:numPr>
                    <w:spacing w:after="60" w:line="240" w:lineRule="auto"/>
                    <w:ind w:left="540"/>
                    <w:rPr>
                      <w:i/>
                    </w:rPr>
                  </w:pPr>
                  <w:r>
                    <w:rPr>
                      <w:i/>
                    </w:rPr>
                    <w:t>Gross solids removal devices (GSRDs)</w:t>
                  </w:r>
                </w:p>
              </w:txbxContent>
            </v:textbox>
            <w10:wrap type="square" anchorx="margin" anchory="margin"/>
          </v:shape>
        </w:pict>
      </w:r>
      <w:bookmarkStart w:id="926" w:name="_Toc285589348"/>
      <w:bookmarkStart w:id="927" w:name="_Ref287795183"/>
      <w:r w:rsidR="00FC34E0">
        <w:t xml:space="preserve">PRE-1: </w:t>
      </w:r>
      <w:r w:rsidR="00FC34E0" w:rsidRPr="00311A64">
        <w:t>Hydrodynamic Separation Device</w:t>
      </w:r>
      <w:bookmarkEnd w:id="926"/>
      <w:bookmarkEnd w:id="927"/>
    </w:p>
    <w:p w:rsidR="00FC34E0" w:rsidRPr="00B53524" w:rsidRDefault="00FC34E0" w:rsidP="00FC34E0">
      <w:r w:rsidRPr="00311A64">
        <w:t xml:space="preserve">Hydrodynamic separation devices are inline pretreatment units designed to remove trash, debris, and coarse sediment using screening, gravity settling, and centrifugal forces generated by forcing the influent into a circular motion. Several companies manufacture units with a variety of design components including separate chambers, baffles, sorbent media, screens, and flow control orifices.  Therefore, additional constituents may be targeted depending on the design; however, the short residence time and potential for captured materials to be released during high flows limits the acceptable use of this BMP type as a standalone treatment control BMP. </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rsidRPr="00311A64">
        <w:t>Hydrodynamic separation devices are effective for the removal of co</w:t>
      </w:r>
      <w:r>
        <w:t>a</w:t>
      </w:r>
      <w:r w:rsidRPr="00311A64">
        <w:t>rse sediment, trash, and debris, and are useful as pretreatment in combination with other BMP types that target smaller particle sizes.  They are most effective in urban areas where co</w:t>
      </w:r>
      <w:r>
        <w:t>a</w:t>
      </w:r>
      <w:r w:rsidRPr="00311A64">
        <w:t>rse sediment, trash, and debris are pollutants of concern.</w:t>
      </w:r>
    </w:p>
    <w:p w:rsidR="00FC34E0" w:rsidRPr="00B53524" w:rsidRDefault="00FC34E0" w:rsidP="00FC34E0">
      <w:pPr>
        <w:pStyle w:val="FactsheetBullets"/>
        <w:numPr>
          <w:ilvl w:val="0"/>
          <w:numId w:val="1"/>
        </w:numPr>
      </w:pPr>
      <w:r w:rsidRPr="00311A64">
        <w:t>Hydrodynamic devices represent a wide range of device types that have different unit processes and design elements (e.g., storage versus flow-through designs, inclusion of media filtration, etc.) that vary significantly within the category. These design features likely have significant effects on BMP performance; therefore, generalized performance data for hydrodynamic devices is not practical.</w:t>
      </w:r>
    </w:p>
    <w:p w:rsidR="00FC34E0" w:rsidRPr="00B53524" w:rsidRDefault="00FC34E0" w:rsidP="00FC34E0">
      <w:pPr>
        <w:pStyle w:val="FactsheetSubheading"/>
        <w:outlineLvl w:val="0"/>
      </w:pPr>
      <w:r w:rsidRPr="00311A64">
        <w:t>OC-Specific Design Criteria and Considerations</w:t>
      </w:r>
    </w:p>
    <w:tbl>
      <w:tblPr>
        <w:tblStyle w:val="TableGrid"/>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
        <w:gridCol w:w="8730"/>
      </w:tblGrid>
      <w:tr w:rsidR="00FC34E0" w:rsidRPr="00B53524" w:rsidTr="00FC34E0">
        <w:trPr>
          <w:trHeight w:val="147"/>
        </w:trPr>
        <w:tc>
          <w:tcPr>
            <w:tcW w:w="450" w:type="dxa"/>
          </w:tcPr>
          <w:p w:rsidR="00FC34E0" w:rsidRPr="00B53524" w:rsidRDefault="00FC34E0" w:rsidP="00FC34E0">
            <w:pPr>
              <w:pStyle w:val="CheckBoxList"/>
              <w:spacing w:before="60" w:after="60"/>
              <w:ind w:left="806" w:hanging="806"/>
            </w:pPr>
          </w:p>
        </w:tc>
        <w:tc>
          <w:tcPr>
            <w:tcW w:w="8730" w:type="dxa"/>
          </w:tcPr>
          <w:p w:rsidR="00FC34E0" w:rsidRPr="00B53524" w:rsidRDefault="00FC34E0" w:rsidP="00FC34E0">
            <w:pPr>
              <w:pStyle w:val="CheckBoxTableText"/>
            </w:pPr>
            <w:r w:rsidRPr="00311A64">
              <w:t>Proprietary hydrodynamic device BMP vendors are constantly updating and expanding their product lines so refer to the latest design guidance from each of the vendors. General guidelines on the performance, operations and maintenance of proprietary devices are provided by the vendors.</w:t>
            </w:r>
          </w:p>
        </w:tc>
      </w:tr>
      <w:tr w:rsidR="00FC34E0" w:rsidRPr="00B53524" w:rsidTr="00FC34E0">
        <w:trPr>
          <w:trHeight w:val="67"/>
        </w:trPr>
        <w:tc>
          <w:tcPr>
            <w:tcW w:w="450" w:type="dxa"/>
          </w:tcPr>
          <w:p w:rsidR="00FC34E0" w:rsidRPr="00B53524" w:rsidRDefault="00FC34E0" w:rsidP="00FC34E0">
            <w:pPr>
              <w:pStyle w:val="CheckBoxList"/>
              <w:spacing w:before="60" w:after="60"/>
              <w:ind w:left="806" w:hanging="806"/>
              <w:rPr>
                <w:szCs w:val="32"/>
              </w:rPr>
            </w:pPr>
          </w:p>
        </w:tc>
        <w:tc>
          <w:tcPr>
            <w:tcW w:w="8730" w:type="dxa"/>
          </w:tcPr>
          <w:p w:rsidR="00FC34E0" w:rsidRPr="00B53524" w:rsidRDefault="00FC34E0" w:rsidP="00FC34E0">
            <w:pPr>
              <w:pStyle w:val="CheckBoxTableText"/>
            </w:pPr>
            <w:r w:rsidRPr="00311A64">
              <w:t>Operations and maintenance requirements include:  clearing trash, debris, and sediment around insert grate and inside chamber, and repairing screens and media if damaged or severely clogged.</w:t>
            </w:r>
          </w:p>
        </w:tc>
      </w:tr>
    </w:tbl>
    <w:p w:rsidR="00FC34E0" w:rsidRPr="00B53524" w:rsidRDefault="00FC34E0" w:rsidP="00FC34E0">
      <w:pPr>
        <w:pStyle w:val="FactsheetSubheading"/>
      </w:pPr>
      <w:r w:rsidRPr="00311A64">
        <w:t>Computing Sizing Criteria for Hydrodynamic Devices</w:t>
      </w:r>
    </w:p>
    <w:p w:rsidR="00FC34E0" w:rsidRDefault="00FC34E0" w:rsidP="00FC34E0">
      <w:pPr>
        <w:pStyle w:val="FactsheetBullets"/>
        <w:numPr>
          <w:ilvl w:val="0"/>
          <w:numId w:val="1"/>
        </w:numPr>
      </w:pPr>
      <w:r w:rsidRPr="00311A64">
        <w:t xml:space="preserve">Hydrodynamic separation devices should be adequately sized to pretreat the entire design volume or design flow rate of the downstream BMP. </w:t>
      </w:r>
    </w:p>
    <w:p w:rsidR="00FC34E0" w:rsidRDefault="00FC34E0" w:rsidP="00FC34E0">
      <w:pPr>
        <w:pStyle w:val="FactsheetBullets"/>
        <w:numPr>
          <w:ilvl w:val="0"/>
          <w:numId w:val="1"/>
        </w:numPr>
      </w:pPr>
      <w:r>
        <w:t xml:space="preserve">The required design flowrate should be calculated based on the Capture Efficiency Method for Flow-based BMPs (See </w:t>
      </w:r>
      <w:r w:rsidR="00524D76" w:rsidRPr="00524D76">
        <w:rPr>
          <w:b/>
        </w:rPr>
        <w:t>Appendix</w:t>
      </w:r>
      <w:r>
        <w:t xml:space="preserve"> III) to achieve 80 percent capture of the average annual stormwater runoff volume.</w:t>
      </w:r>
    </w:p>
    <w:p w:rsidR="00FC34E0" w:rsidRPr="00B53524" w:rsidRDefault="00FC34E0" w:rsidP="00FC34E0">
      <w:pPr>
        <w:pStyle w:val="FactsheetSubheading"/>
        <w:outlineLvl w:val="0"/>
      </w:pPr>
      <w:r w:rsidRPr="00311A64">
        <w:t>Proprietary Hydrodynamic Device Manufacturer Websites</w:t>
      </w:r>
    </w:p>
    <w:p w:rsidR="00FC34E0" w:rsidRDefault="00126F3D" w:rsidP="00FC34E0">
      <w:pPr>
        <w:pStyle w:val="FactsheetBullets"/>
        <w:numPr>
          <w:ilvl w:val="0"/>
          <w:numId w:val="1"/>
        </w:numPr>
      </w:pPr>
      <w:fldSimple w:instr=" REF _Ref261611994 \h  \* MERGEFORMAT ">
        <w:r w:rsidR="00126DE5" w:rsidRPr="00126DE5">
          <w:rPr>
            <w:rFonts w:ascii="Book Antiqua" w:hAnsi="Book Antiqua"/>
            <w:b/>
            <w:color w:val="0070C0"/>
          </w:rPr>
          <w:t>Table XIV.1</w:t>
        </w:r>
      </w:fldSimple>
      <w:r w:rsidR="00FC34E0" w:rsidRPr="00311A64">
        <w:t xml:space="preserve"> is a list of manufacturers that provide hydrodynamic separation devices.  The inclusion of these manufacturers does not represent an endorse of their products.  Other devices and manufacturers may be acceptable for pretreatment. </w:t>
      </w:r>
    </w:p>
    <w:tbl>
      <w:tblPr>
        <w:tblW w:w="9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33"/>
        <w:gridCol w:w="3593"/>
        <w:gridCol w:w="2850"/>
      </w:tblGrid>
      <w:tr w:rsidR="00FC34E0" w:rsidRPr="00B53524" w:rsidTr="00533A19">
        <w:trPr>
          <w:trHeight w:val="485"/>
          <w:jc w:val="center"/>
        </w:trPr>
        <w:tc>
          <w:tcPr>
            <w:tcW w:w="9276" w:type="dxa"/>
            <w:gridSpan w:val="3"/>
            <w:tcBorders>
              <w:top w:val="nil"/>
              <w:left w:val="nil"/>
              <w:bottom w:val="nil"/>
              <w:right w:val="nil"/>
            </w:tcBorders>
            <w:shd w:val="clear" w:color="auto" w:fill="auto"/>
            <w:vAlign w:val="bottom"/>
            <w:hideMark/>
          </w:tcPr>
          <w:p w:rsidR="00FC34E0" w:rsidRPr="00524D76" w:rsidRDefault="00FC34E0" w:rsidP="00647B99">
            <w:pPr>
              <w:pStyle w:val="Caption"/>
            </w:pPr>
            <w:bookmarkStart w:id="928" w:name="_Ref261611994"/>
            <w:bookmarkStart w:id="929" w:name="_Toc285589378"/>
            <w:bookmarkStart w:id="930" w:name="_Toc288554396"/>
            <w:r w:rsidRPr="00524D76">
              <w:t xml:space="preserve">Table </w:t>
            </w:r>
            <w:r w:rsidR="00126F3D" w:rsidRPr="00524D76">
              <w:rPr>
                <w:rFonts w:cs="Arial"/>
              </w:rPr>
              <w:fldChar w:fldCharType="begin"/>
            </w:r>
            <w:r w:rsidRPr="00524D76">
              <w:rPr>
                <w:rFonts w:cs="Arial"/>
              </w:rPr>
              <w:instrText xml:space="preserve"> STYLEREF 1 \s </w:instrText>
            </w:r>
            <w:r w:rsidR="00126F3D" w:rsidRPr="00524D76">
              <w:rPr>
                <w:rFonts w:cs="Arial"/>
              </w:rPr>
              <w:fldChar w:fldCharType="separate"/>
            </w:r>
            <w:r w:rsidR="00126DE5" w:rsidRPr="00524D76">
              <w:rPr>
                <w:rFonts w:cs="Arial"/>
                <w:noProof/>
              </w:rPr>
              <w:t>XIV</w:t>
            </w:r>
            <w:r w:rsidR="00126F3D" w:rsidRPr="00524D76">
              <w:rPr>
                <w:rFonts w:cs="Arial"/>
              </w:rPr>
              <w:fldChar w:fldCharType="end"/>
            </w:r>
            <w:r w:rsidRPr="00524D76">
              <w:t>.</w:t>
            </w:r>
            <w:r w:rsidR="00126F3D" w:rsidRPr="00524D76">
              <w:rPr>
                <w:rFonts w:cs="Arial"/>
              </w:rPr>
              <w:fldChar w:fldCharType="begin"/>
            </w:r>
            <w:r w:rsidRPr="00524D76">
              <w:rPr>
                <w:rFonts w:cs="Arial"/>
              </w:rPr>
              <w:instrText xml:space="preserve"> SEQ Table \* ARABIC \s 1 </w:instrText>
            </w:r>
            <w:r w:rsidR="00126F3D" w:rsidRPr="00524D76">
              <w:rPr>
                <w:rFonts w:cs="Arial"/>
              </w:rPr>
              <w:fldChar w:fldCharType="separate"/>
            </w:r>
            <w:r w:rsidR="00126DE5" w:rsidRPr="00524D76">
              <w:rPr>
                <w:rFonts w:cs="Arial"/>
                <w:noProof/>
              </w:rPr>
              <w:t>1</w:t>
            </w:r>
            <w:r w:rsidR="00126F3D" w:rsidRPr="00524D76">
              <w:rPr>
                <w:rFonts w:cs="Arial"/>
              </w:rPr>
              <w:fldChar w:fldCharType="end"/>
            </w:r>
            <w:bookmarkEnd w:id="928"/>
            <w:r w:rsidR="00533A19" w:rsidRPr="00524D76">
              <w:t xml:space="preserve">: </w:t>
            </w:r>
            <w:r w:rsidRPr="00524D76">
              <w:t>Proprietary Hydrodynamic Device Manufacturer Websites</w:t>
            </w:r>
            <w:bookmarkEnd w:id="929"/>
            <w:bookmarkEnd w:id="930"/>
          </w:p>
        </w:tc>
      </w:tr>
      <w:tr w:rsidR="00FC34E0" w:rsidRPr="00B53524" w:rsidTr="00533A19">
        <w:trPr>
          <w:trHeight w:val="288"/>
          <w:jc w:val="center"/>
        </w:trPr>
        <w:tc>
          <w:tcPr>
            <w:tcW w:w="2838" w:type="dxa"/>
            <w:tcBorders>
              <w:top w:val="nil"/>
            </w:tcBorders>
            <w:shd w:val="clear" w:color="auto" w:fill="D9D9D9" w:themeFill="background1" w:themeFillShade="D9"/>
            <w:vAlign w:val="bottom"/>
            <w:hideMark/>
          </w:tcPr>
          <w:p w:rsidR="00FC34E0" w:rsidRPr="00B53524" w:rsidRDefault="00FC34E0" w:rsidP="00FC34E0">
            <w:pPr>
              <w:spacing w:after="0"/>
              <w:rPr>
                <w:rFonts w:ascii="Arial" w:hAnsi="Arial" w:cs="Arial"/>
                <w:b/>
                <w:bCs/>
                <w:sz w:val="20"/>
              </w:rPr>
            </w:pPr>
            <w:r w:rsidRPr="00311A64">
              <w:rPr>
                <w:rFonts w:ascii="Arial" w:hAnsi="Arial" w:cs="Arial"/>
                <w:b/>
                <w:bCs/>
                <w:sz w:val="20"/>
              </w:rPr>
              <w:t>Device</w:t>
            </w:r>
          </w:p>
        </w:tc>
        <w:tc>
          <w:tcPr>
            <w:tcW w:w="3601" w:type="dxa"/>
            <w:tcBorders>
              <w:top w:val="nil"/>
            </w:tcBorders>
            <w:shd w:val="clear" w:color="auto" w:fill="D9D9D9" w:themeFill="background1" w:themeFillShade="D9"/>
            <w:vAlign w:val="bottom"/>
            <w:hideMark/>
          </w:tcPr>
          <w:p w:rsidR="00FC34E0" w:rsidRPr="00B53524" w:rsidRDefault="00FC34E0" w:rsidP="00FC34E0">
            <w:pPr>
              <w:spacing w:after="0"/>
              <w:rPr>
                <w:rFonts w:ascii="Arial" w:hAnsi="Arial" w:cs="Arial"/>
                <w:b/>
                <w:bCs/>
                <w:sz w:val="20"/>
              </w:rPr>
            </w:pPr>
            <w:r w:rsidRPr="00311A64">
              <w:rPr>
                <w:rFonts w:ascii="Arial" w:hAnsi="Arial" w:cs="Arial"/>
                <w:b/>
                <w:bCs/>
                <w:sz w:val="20"/>
              </w:rPr>
              <w:t>Manufacturer</w:t>
            </w:r>
          </w:p>
        </w:tc>
        <w:tc>
          <w:tcPr>
            <w:tcW w:w="2837" w:type="dxa"/>
            <w:tcBorders>
              <w:top w:val="nil"/>
            </w:tcBorders>
            <w:shd w:val="clear" w:color="auto" w:fill="D9D9D9" w:themeFill="background1" w:themeFillShade="D9"/>
            <w:vAlign w:val="bottom"/>
          </w:tcPr>
          <w:p w:rsidR="00FC34E0" w:rsidRPr="00B53524" w:rsidRDefault="00FC34E0" w:rsidP="00FC34E0">
            <w:pPr>
              <w:spacing w:after="0"/>
              <w:rPr>
                <w:rFonts w:ascii="Arial" w:hAnsi="Arial" w:cs="Arial"/>
                <w:b/>
                <w:bCs/>
                <w:sz w:val="20"/>
              </w:rPr>
            </w:pPr>
            <w:r w:rsidRPr="00311A64">
              <w:rPr>
                <w:rFonts w:ascii="Arial" w:hAnsi="Arial" w:cs="Arial"/>
                <w:b/>
                <w:bCs/>
                <w:sz w:val="20"/>
              </w:rPr>
              <w:t>Website</w:t>
            </w:r>
          </w:p>
        </w:tc>
      </w:tr>
      <w:tr w:rsidR="00FC34E0" w:rsidRPr="00B53524" w:rsidTr="00FC34E0">
        <w:trPr>
          <w:trHeight w:val="432"/>
          <w:jc w:val="center"/>
        </w:trPr>
        <w:tc>
          <w:tcPr>
            <w:tcW w:w="283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Rinker In-Line Stormceptor®</w:t>
            </w:r>
          </w:p>
        </w:tc>
        <w:tc>
          <w:tcPr>
            <w:tcW w:w="3601"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Rinker Materials™</w:t>
            </w:r>
          </w:p>
        </w:tc>
        <w:tc>
          <w:tcPr>
            <w:tcW w:w="2837" w:type="dxa"/>
            <w:shd w:val="clear" w:color="auto" w:fill="auto"/>
            <w:vAlign w:val="center"/>
            <w:hideMark/>
          </w:tcPr>
          <w:p w:rsidR="00FC34E0" w:rsidRPr="00126DE5" w:rsidRDefault="00126F3D" w:rsidP="00FC34E0">
            <w:pPr>
              <w:autoSpaceDE w:val="0"/>
              <w:spacing w:after="0"/>
              <w:rPr>
                <w:rFonts w:cs="Arial"/>
                <w:b/>
                <w:color w:val="0070C0"/>
                <w:sz w:val="20"/>
                <w:u w:val="single"/>
              </w:rPr>
            </w:pPr>
            <w:hyperlink r:id="rId239" w:history="1">
              <w:r w:rsidR="00FC34E0" w:rsidRPr="00126DE5">
                <w:rPr>
                  <w:rStyle w:val="Hyperlink"/>
                  <w:rFonts w:cs="Arial"/>
                  <w:b/>
                  <w:color w:val="0070C0"/>
                  <w:sz w:val="20"/>
                </w:rPr>
                <w:t>www.rinkerstormceptor.com</w:t>
              </w:r>
            </w:hyperlink>
          </w:p>
        </w:tc>
      </w:tr>
      <w:tr w:rsidR="00FC34E0" w:rsidRPr="00B53524" w:rsidTr="00FC34E0">
        <w:trPr>
          <w:trHeight w:val="432"/>
          <w:jc w:val="center"/>
        </w:trPr>
        <w:tc>
          <w:tcPr>
            <w:tcW w:w="2838" w:type="dxa"/>
            <w:shd w:val="clear" w:color="auto" w:fill="auto"/>
            <w:vAlign w:val="center"/>
            <w:hideMark/>
          </w:tcPr>
          <w:p w:rsidR="00FC34E0" w:rsidRPr="00B53524" w:rsidRDefault="00FC34E0" w:rsidP="00FC34E0">
            <w:pPr>
              <w:pStyle w:val="ListParagraph"/>
              <w:spacing w:after="0"/>
              <w:ind w:left="0"/>
              <w:rPr>
                <w:rFonts w:ascii="Arial" w:hAnsi="Arial" w:cs="Arial"/>
                <w:b/>
                <w:sz w:val="20"/>
                <w:szCs w:val="20"/>
              </w:rPr>
            </w:pPr>
            <w:r w:rsidRPr="00311A64">
              <w:rPr>
                <w:rFonts w:ascii="Arial" w:hAnsi="Arial" w:cs="Arial"/>
                <w:sz w:val="20"/>
                <w:szCs w:val="20"/>
              </w:rPr>
              <w:t>FloGard® Dual-Vortex Hydrodynamic Separator</w:t>
            </w:r>
          </w:p>
        </w:tc>
        <w:tc>
          <w:tcPr>
            <w:tcW w:w="3601" w:type="dxa"/>
            <w:shd w:val="clear" w:color="auto" w:fill="auto"/>
            <w:vAlign w:val="center"/>
            <w:hideMark/>
          </w:tcPr>
          <w:p w:rsidR="00FC34E0" w:rsidRPr="00B53524" w:rsidRDefault="00FC34E0" w:rsidP="00FC34E0">
            <w:pPr>
              <w:spacing w:after="0"/>
              <w:rPr>
                <w:rFonts w:ascii="Arial" w:hAnsi="Arial" w:cs="Arial"/>
                <w:sz w:val="20"/>
              </w:rPr>
            </w:pPr>
            <w:r w:rsidRPr="00311A64">
              <w:rPr>
                <w:rFonts w:ascii="Arial" w:hAnsi="Arial" w:cs="Arial"/>
                <w:sz w:val="20"/>
              </w:rPr>
              <w:t>KriStar Enterprises Inc.</w:t>
            </w:r>
          </w:p>
        </w:tc>
        <w:tc>
          <w:tcPr>
            <w:tcW w:w="2837" w:type="dxa"/>
            <w:shd w:val="clear" w:color="auto" w:fill="auto"/>
            <w:vAlign w:val="center"/>
            <w:hideMark/>
          </w:tcPr>
          <w:p w:rsidR="00FC34E0" w:rsidRPr="00126DE5" w:rsidRDefault="00126F3D" w:rsidP="00FC34E0">
            <w:pPr>
              <w:autoSpaceDE w:val="0"/>
              <w:spacing w:after="0"/>
              <w:rPr>
                <w:rFonts w:cs="Arial"/>
                <w:b/>
                <w:color w:val="0070C0"/>
                <w:sz w:val="20"/>
              </w:rPr>
            </w:pPr>
            <w:hyperlink r:id="rId240" w:history="1">
              <w:r w:rsidR="00FC34E0" w:rsidRPr="00126DE5">
                <w:rPr>
                  <w:rStyle w:val="Hyperlink"/>
                  <w:rFonts w:cs="Arial"/>
                  <w:b/>
                  <w:color w:val="0070C0"/>
                  <w:sz w:val="20"/>
                </w:rPr>
                <w:t>www.kristar.com</w:t>
              </w:r>
            </w:hyperlink>
          </w:p>
        </w:tc>
      </w:tr>
      <w:tr w:rsidR="00FC34E0" w:rsidRPr="00B53524" w:rsidTr="00FC34E0">
        <w:trPr>
          <w:trHeight w:val="432"/>
          <w:jc w:val="center"/>
        </w:trPr>
        <w:tc>
          <w:tcPr>
            <w:tcW w:w="2838" w:type="dxa"/>
            <w:shd w:val="clear" w:color="auto" w:fill="auto"/>
            <w:vAlign w:val="center"/>
            <w:hideMark/>
          </w:tcPr>
          <w:p w:rsidR="00FC34E0" w:rsidRPr="00B53524" w:rsidRDefault="00FC34E0" w:rsidP="00FC34E0">
            <w:pPr>
              <w:pStyle w:val="ListParagraph"/>
              <w:spacing w:after="0"/>
              <w:ind w:left="0"/>
              <w:rPr>
                <w:rFonts w:ascii="Arial" w:hAnsi="Arial" w:cs="Arial"/>
                <w:b/>
                <w:sz w:val="20"/>
                <w:szCs w:val="20"/>
              </w:rPr>
            </w:pPr>
            <w:r w:rsidRPr="00311A64">
              <w:rPr>
                <w:rFonts w:ascii="Arial" w:hAnsi="Arial" w:cs="Arial"/>
                <w:sz w:val="20"/>
                <w:szCs w:val="20"/>
              </w:rPr>
              <w:t>Contech® CDS</w:t>
            </w:r>
            <w:r w:rsidRPr="00311A64">
              <w:rPr>
                <w:rFonts w:ascii="Arial" w:hAnsi="Arial" w:cs="Arial"/>
                <w:sz w:val="20"/>
                <w:szCs w:val="20"/>
                <w:vertAlign w:val="superscript"/>
              </w:rPr>
              <w:t>a</w:t>
            </w:r>
            <w:r w:rsidRPr="00311A64">
              <w:rPr>
                <w:rFonts w:ascii="Arial" w:hAnsi="Arial" w:cs="Arial"/>
                <w:sz w:val="20"/>
                <w:szCs w:val="20"/>
              </w:rPr>
              <w:t>™</w:t>
            </w:r>
          </w:p>
        </w:tc>
        <w:tc>
          <w:tcPr>
            <w:tcW w:w="3601"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Contech® Construction Products Inc.</w:t>
            </w:r>
          </w:p>
        </w:tc>
        <w:tc>
          <w:tcPr>
            <w:tcW w:w="2837" w:type="dxa"/>
            <w:shd w:val="clear" w:color="auto" w:fill="auto"/>
            <w:vAlign w:val="center"/>
            <w:hideMark/>
          </w:tcPr>
          <w:p w:rsidR="00FC34E0" w:rsidRPr="00126DE5" w:rsidRDefault="00126F3D" w:rsidP="00FC34E0">
            <w:pPr>
              <w:autoSpaceDE w:val="0"/>
              <w:spacing w:after="0"/>
              <w:rPr>
                <w:rFonts w:cs="Arial"/>
                <w:b/>
                <w:color w:val="0070C0"/>
                <w:sz w:val="20"/>
                <w:u w:val="single"/>
              </w:rPr>
            </w:pPr>
            <w:hyperlink r:id="rId241" w:history="1">
              <w:r w:rsidR="00FC34E0" w:rsidRPr="00126DE5">
                <w:rPr>
                  <w:rStyle w:val="Hyperlink"/>
                  <w:rFonts w:cs="Arial"/>
                  <w:b/>
                  <w:color w:val="0070C0"/>
                  <w:sz w:val="20"/>
                </w:rPr>
                <w:t>www.contech-cpi.com</w:t>
              </w:r>
            </w:hyperlink>
          </w:p>
        </w:tc>
      </w:tr>
      <w:tr w:rsidR="00FC34E0" w:rsidRPr="00B53524" w:rsidTr="00FC34E0">
        <w:trPr>
          <w:trHeight w:val="432"/>
          <w:jc w:val="center"/>
        </w:trPr>
        <w:tc>
          <w:tcPr>
            <w:tcW w:w="283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Contech® Vortechs™</w:t>
            </w:r>
          </w:p>
        </w:tc>
        <w:tc>
          <w:tcPr>
            <w:tcW w:w="3601"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Contech® Construction Products Inc.</w:t>
            </w:r>
          </w:p>
        </w:tc>
        <w:tc>
          <w:tcPr>
            <w:tcW w:w="2837" w:type="dxa"/>
            <w:shd w:val="clear" w:color="auto" w:fill="auto"/>
            <w:vAlign w:val="center"/>
            <w:hideMark/>
          </w:tcPr>
          <w:p w:rsidR="00FC34E0" w:rsidRPr="00126DE5" w:rsidRDefault="00126F3D" w:rsidP="00FC34E0">
            <w:pPr>
              <w:autoSpaceDE w:val="0"/>
              <w:spacing w:after="0"/>
              <w:rPr>
                <w:rFonts w:cs="Arial"/>
                <w:b/>
                <w:color w:val="0070C0"/>
                <w:sz w:val="20"/>
                <w:u w:val="single"/>
              </w:rPr>
            </w:pPr>
            <w:hyperlink r:id="rId242" w:history="1">
              <w:r w:rsidR="00FC34E0" w:rsidRPr="00126DE5">
                <w:rPr>
                  <w:rStyle w:val="Hyperlink"/>
                  <w:rFonts w:cs="Arial"/>
                  <w:b/>
                  <w:color w:val="0070C0"/>
                  <w:sz w:val="20"/>
                </w:rPr>
                <w:t>www.contech-cpi.com</w:t>
              </w:r>
            </w:hyperlink>
          </w:p>
        </w:tc>
      </w:tr>
      <w:tr w:rsidR="00FC34E0" w:rsidRPr="00B53524" w:rsidTr="00FC34E0">
        <w:trPr>
          <w:trHeight w:val="432"/>
          <w:jc w:val="center"/>
        </w:trPr>
        <w:tc>
          <w:tcPr>
            <w:tcW w:w="283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Contech® Vorsentry™</w:t>
            </w:r>
          </w:p>
        </w:tc>
        <w:tc>
          <w:tcPr>
            <w:tcW w:w="3601"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Contech® Construction Products Inc.</w:t>
            </w:r>
          </w:p>
        </w:tc>
        <w:tc>
          <w:tcPr>
            <w:tcW w:w="2837" w:type="dxa"/>
            <w:shd w:val="clear" w:color="auto" w:fill="auto"/>
            <w:vAlign w:val="center"/>
            <w:hideMark/>
          </w:tcPr>
          <w:p w:rsidR="00FC34E0" w:rsidRPr="00126DE5" w:rsidRDefault="00126F3D" w:rsidP="00FC34E0">
            <w:pPr>
              <w:autoSpaceDE w:val="0"/>
              <w:spacing w:after="0"/>
              <w:rPr>
                <w:rFonts w:cs="Arial"/>
                <w:b/>
                <w:color w:val="0070C0"/>
                <w:sz w:val="20"/>
                <w:u w:val="single"/>
              </w:rPr>
            </w:pPr>
            <w:hyperlink r:id="rId243" w:history="1">
              <w:r w:rsidR="00FC34E0" w:rsidRPr="00126DE5">
                <w:rPr>
                  <w:rStyle w:val="Hyperlink"/>
                  <w:rFonts w:cs="Arial"/>
                  <w:b/>
                  <w:color w:val="0070C0"/>
                  <w:sz w:val="20"/>
                </w:rPr>
                <w:t>www.contech-cpi.com</w:t>
              </w:r>
            </w:hyperlink>
          </w:p>
        </w:tc>
      </w:tr>
      <w:tr w:rsidR="00FC34E0" w:rsidRPr="00B53524" w:rsidTr="00FC34E0">
        <w:trPr>
          <w:trHeight w:val="432"/>
          <w:jc w:val="center"/>
        </w:trPr>
        <w:tc>
          <w:tcPr>
            <w:tcW w:w="283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Contech® Vorsentry™ HS</w:t>
            </w:r>
          </w:p>
        </w:tc>
        <w:tc>
          <w:tcPr>
            <w:tcW w:w="3601"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Contech® Construction Products Inc.</w:t>
            </w:r>
          </w:p>
        </w:tc>
        <w:tc>
          <w:tcPr>
            <w:tcW w:w="2837" w:type="dxa"/>
            <w:shd w:val="clear" w:color="auto" w:fill="auto"/>
            <w:vAlign w:val="center"/>
            <w:hideMark/>
          </w:tcPr>
          <w:p w:rsidR="00FC34E0" w:rsidRPr="00126DE5" w:rsidRDefault="00126F3D" w:rsidP="00FC34E0">
            <w:pPr>
              <w:autoSpaceDE w:val="0"/>
              <w:spacing w:after="0"/>
              <w:rPr>
                <w:rFonts w:cs="Arial"/>
                <w:b/>
                <w:color w:val="0070C0"/>
                <w:sz w:val="20"/>
                <w:u w:val="single"/>
              </w:rPr>
            </w:pPr>
            <w:hyperlink r:id="rId244" w:history="1">
              <w:r w:rsidR="00FC34E0" w:rsidRPr="00126DE5">
                <w:rPr>
                  <w:rStyle w:val="Hyperlink"/>
                  <w:rFonts w:cs="Arial"/>
                  <w:b/>
                  <w:color w:val="0070C0"/>
                  <w:sz w:val="20"/>
                </w:rPr>
                <w:t>www.contech-cpi.com</w:t>
              </w:r>
            </w:hyperlink>
          </w:p>
        </w:tc>
      </w:tr>
      <w:tr w:rsidR="00FC34E0" w:rsidRPr="00B53524" w:rsidTr="00FC34E0">
        <w:trPr>
          <w:trHeight w:val="432"/>
          <w:jc w:val="center"/>
        </w:trPr>
        <w:tc>
          <w:tcPr>
            <w:tcW w:w="2838" w:type="dxa"/>
            <w:shd w:val="clear" w:color="auto" w:fill="auto"/>
            <w:vAlign w:val="center"/>
            <w:hideMark/>
          </w:tcPr>
          <w:p w:rsidR="00FC34E0" w:rsidRPr="00B53524" w:rsidRDefault="00FC34E0" w:rsidP="00FC34E0">
            <w:pPr>
              <w:pStyle w:val="ListParagraph"/>
              <w:spacing w:after="0"/>
              <w:ind w:left="0"/>
              <w:rPr>
                <w:rFonts w:ascii="Arial" w:hAnsi="Arial" w:cs="Arial"/>
                <w:b/>
                <w:sz w:val="20"/>
                <w:szCs w:val="20"/>
              </w:rPr>
            </w:pPr>
            <w:r w:rsidRPr="00311A64">
              <w:rPr>
                <w:rFonts w:ascii="Arial" w:hAnsi="Arial" w:cs="Arial"/>
                <w:sz w:val="20"/>
                <w:szCs w:val="20"/>
              </w:rPr>
              <w:t>BaySaver BaySeparator</w:t>
            </w:r>
          </w:p>
        </w:tc>
        <w:tc>
          <w:tcPr>
            <w:tcW w:w="3601"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Baysaver Technologies Inc.</w:t>
            </w:r>
          </w:p>
        </w:tc>
        <w:tc>
          <w:tcPr>
            <w:tcW w:w="2837" w:type="dxa"/>
            <w:shd w:val="clear" w:color="auto" w:fill="auto"/>
            <w:vAlign w:val="center"/>
            <w:hideMark/>
          </w:tcPr>
          <w:p w:rsidR="00FC34E0" w:rsidRPr="00126DE5" w:rsidRDefault="00126F3D" w:rsidP="00FC34E0">
            <w:pPr>
              <w:autoSpaceDE w:val="0"/>
              <w:spacing w:after="0"/>
              <w:rPr>
                <w:rFonts w:cs="Arial"/>
                <w:b/>
                <w:color w:val="0070C0"/>
                <w:sz w:val="20"/>
                <w:u w:val="single"/>
              </w:rPr>
            </w:pPr>
            <w:hyperlink r:id="rId245" w:history="1">
              <w:r w:rsidR="00FC34E0" w:rsidRPr="00126DE5">
                <w:rPr>
                  <w:rStyle w:val="Hyperlink"/>
                  <w:rFonts w:cs="Arial"/>
                  <w:b/>
                  <w:color w:val="0070C0"/>
                  <w:sz w:val="20"/>
                </w:rPr>
                <w:t>www.baysaver.com</w:t>
              </w:r>
            </w:hyperlink>
          </w:p>
        </w:tc>
      </w:tr>
    </w:tbl>
    <w:p w:rsidR="00FC34E0" w:rsidRPr="00524D76" w:rsidRDefault="00FC34E0" w:rsidP="00647B99">
      <w:pPr>
        <w:pStyle w:val="Caption"/>
      </w:pPr>
    </w:p>
    <w:p w:rsidR="00FC34E0" w:rsidRPr="00B53524" w:rsidRDefault="00FC34E0" w:rsidP="00FC34E0">
      <w:pPr>
        <w:pStyle w:val="FactsheetSubheading"/>
        <w:outlineLvl w:val="0"/>
      </w:pPr>
      <w:r w:rsidRPr="00311A64">
        <w:t>Additional References for Design Guidance</w:t>
      </w:r>
    </w:p>
    <w:p w:rsidR="00FC34E0" w:rsidRPr="00B53524" w:rsidRDefault="00FC34E0" w:rsidP="00FC34E0">
      <w:pPr>
        <w:pStyle w:val="FactsheetBullets"/>
        <w:numPr>
          <w:ilvl w:val="0"/>
          <w:numId w:val="1"/>
        </w:numPr>
      </w:pPr>
      <w:r w:rsidRPr="00311A64">
        <w:t xml:space="preserve">CASQA BMP Handbook for New and Redevelopment: </w:t>
      </w:r>
      <w:hyperlink r:id="rId246" w:history="1">
        <w:r w:rsidRPr="00126DE5">
          <w:rPr>
            <w:rStyle w:val="Hyperlink"/>
            <w:rFonts w:ascii="Book Antiqua" w:hAnsi="Book Antiqua"/>
            <w:b/>
            <w:color w:val="0070C0"/>
          </w:rPr>
          <w:t>http://www.cabmphandbooks.com/Documents/Development/MP-51.pdf</w:t>
        </w:r>
      </w:hyperlink>
    </w:p>
    <w:p w:rsidR="00FC34E0" w:rsidRPr="00B53524" w:rsidRDefault="00FC34E0" w:rsidP="00FC34E0">
      <w:pPr>
        <w:pStyle w:val="FactsheetBullets"/>
        <w:numPr>
          <w:ilvl w:val="0"/>
          <w:numId w:val="1"/>
        </w:numPr>
      </w:pPr>
      <w:r w:rsidRPr="00311A64">
        <w:t xml:space="preserve">Los Angeles County Stormwater BMP </w:t>
      </w:r>
      <w:r>
        <w:t>Design and Maintenance Manual</w:t>
      </w:r>
      <w:r w:rsidRPr="00311A64">
        <w:t xml:space="preserve">, Chapter 9: </w:t>
      </w:r>
      <w:hyperlink r:id="rId247" w:history="1">
        <w:r w:rsidRPr="00126DE5">
          <w:rPr>
            <w:rStyle w:val="Hyperlink"/>
            <w:rFonts w:ascii="Book Antiqua" w:hAnsi="Book Antiqua"/>
            <w:b/>
            <w:color w:val="0070C0"/>
          </w:rPr>
          <w:t>http://dpw.lacounty.gov/DES/design_manuals/StormwaterBMPDesignandMaintenance.pdf</w:t>
        </w:r>
      </w:hyperlink>
    </w:p>
    <w:p w:rsidR="00FC34E0" w:rsidRDefault="00FC34E0" w:rsidP="00FC34E0">
      <w:pPr>
        <w:spacing w:after="200"/>
        <w:rPr>
          <w:rFonts w:eastAsiaTheme="majorEastAsia" w:cstheme="majorBidi"/>
          <w:b/>
          <w:bCs/>
          <w:sz w:val="24"/>
        </w:rPr>
      </w:pPr>
      <w:r>
        <w:br w:type="page"/>
      </w:r>
    </w:p>
    <w:p w:rsidR="00FC34E0" w:rsidRPr="00B53524" w:rsidRDefault="00126F3D" w:rsidP="00533A19">
      <w:pPr>
        <w:pStyle w:val="Heading3"/>
        <w:numPr>
          <w:ilvl w:val="0"/>
          <w:numId w:val="0"/>
        </w:numPr>
        <w:ind w:left="907" w:hanging="907"/>
      </w:pPr>
      <w:bookmarkStart w:id="931" w:name="_Ref287795185"/>
      <w:r>
        <w:rPr>
          <w:noProof/>
        </w:rPr>
        <w:pict>
          <v:shape id="Text Box 19" o:spid="_x0000_s1191" type="#_x0000_t202" style="position:absolute;left:0;text-align:left;margin-left:-153.85pt;margin-top:19.05pt;width:158.4pt;height:52.65pt;z-index:251796480;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" fillcolor="#d8d8d8">
            <v:textbox style="mso-next-textbox:#Text Box 19">
              <w:txbxContent>
                <w:p w:rsidR="00853C9A" w:rsidRPr="00E7718F" w:rsidRDefault="00853C9A" w:rsidP="00FC34E0">
                  <w:pPr>
                    <w:pStyle w:val="CDMBTEXT"/>
                    <w:shd w:val="clear" w:color="auto" w:fill="000000"/>
                    <w:spacing w:after="60" w:line="240" w:lineRule="auto"/>
                    <w:jc w:val="center"/>
                    <w:rPr>
                      <w:i/>
                    </w:rPr>
                  </w:pPr>
                  <w:r>
                    <w:rPr>
                      <w:i/>
                    </w:rPr>
                    <w:t>Also</w:t>
                  </w:r>
                  <w:r w:rsidRPr="00E7718F">
                    <w:rPr>
                      <w:i/>
                    </w:rPr>
                    <w:t xml:space="preserve"> known as:</w:t>
                  </w:r>
                </w:p>
                <w:p w:rsidR="00853C9A" w:rsidRDefault="00853C9A" w:rsidP="009531AF">
                  <w:pPr>
                    <w:pStyle w:val="CDMBTEXT"/>
                    <w:numPr>
                      <w:ilvl w:val="0"/>
                      <w:numId w:val="67"/>
                    </w:numPr>
                    <w:spacing w:after="60" w:line="240" w:lineRule="auto"/>
                    <w:ind w:left="540"/>
                    <w:rPr>
                      <w:i/>
                    </w:rPr>
                  </w:pPr>
                  <w:r>
                    <w:rPr>
                      <w:i/>
                    </w:rPr>
                    <w:t>Drop Inlet Filters</w:t>
                  </w:r>
                </w:p>
                <w:p w:rsidR="00853C9A" w:rsidRPr="00857331" w:rsidRDefault="00853C9A" w:rsidP="009531AF">
                  <w:pPr>
                    <w:pStyle w:val="CDMBTEXT"/>
                    <w:numPr>
                      <w:ilvl w:val="0"/>
                      <w:numId w:val="67"/>
                    </w:numPr>
                    <w:spacing w:after="60" w:line="240" w:lineRule="auto"/>
                    <w:ind w:left="540"/>
                    <w:rPr>
                      <w:i/>
                    </w:rPr>
                  </w:pPr>
                  <w:r w:rsidRPr="00857331">
                    <w:rPr>
                      <w:i/>
                    </w:rPr>
                    <w:t>Catch Basin Filters</w:t>
                  </w:r>
                </w:p>
              </w:txbxContent>
            </v:textbox>
            <w10:wrap type="square" anchorx="margin" anchory="margin"/>
          </v:shape>
        </w:pict>
      </w:r>
      <w:bookmarkStart w:id="932" w:name="_Toc285589349"/>
      <w:r w:rsidR="00FC34E0">
        <w:t xml:space="preserve">PRE-2: </w:t>
      </w:r>
      <w:r w:rsidR="00FC34E0" w:rsidRPr="00311A64">
        <w:t>Catch Basin Insert Fact Sheet</w:t>
      </w:r>
      <w:bookmarkEnd w:id="931"/>
      <w:bookmarkEnd w:id="932"/>
    </w:p>
    <w:p w:rsidR="00FC34E0" w:rsidRPr="00B53524" w:rsidRDefault="00126F3D" w:rsidP="00FC34E0">
      <w:pPr>
        <w:pStyle w:val="CDMBTEXT"/>
      </w:pPr>
      <w:r>
        <w:rPr>
          <w:noProof/>
        </w:rPr>
        <w:pict>
          <v:shape id="Text Box 20" o:spid="_x0000_s1192" type="#_x0000_t202" style="position:absolute;margin-left:-153.85pt;margin-top:71.7pt;width:158.4pt;height:2in;z-index:251797504;visibility:visible;mso-position-horizontal-relative:right-margin-area;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" filled="f">
            <v:textbox style="mso-next-textbox:#Text Box 20" inset="0,0,0,0">
              <w:txbxContent>
                <w:p w:rsidR="00853C9A" w:rsidRDefault="00853C9A" w:rsidP="00FC34E0">
                  <w:pPr>
                    <w:ind w:left="-29" w:right="-29"/>
                    <w:rPr>
                      <w:rFonts w:ascii="Arial" w:hAnsi="Arial" w:cs="Arial"/>
                      <w:noProof/>
                      <w:sz w:val="20"/>
                    </w:rPr>
                  </w:pPr>
                  <w:r>
                    <w:rPr>
                      <w:noProof/>
                    </w:rPr>
                    <w:drawing>
                      <wp:inline distT="0" distB="0" distL="0" distR="0">
                        <wp:extent cx="2002155" cy="1497277"/>
                        <wp:effectExtent l="19050" t="0" r="0" b="0"/>
                        <wp:docPr id="129" name="Picture 10" descr="http://www.drainpac.com/munsideinle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drainpac.com/munsideinlet1.jpg"/>
                                <pic:cNvPicPr>
                                  <a:picLocks noChangeAspect="1" noChangeArrowheads="1"/>
                                </pic:cNvPicPr>
                              </pic:nvPicPr>
                              <pic:blipFill>
                                <a:blip r:embed="rId248" r:link="rId249" cstate="screen">
                                  <a:lum bright="42000" contrast="42000"/>
                                </a:blip>
                                <a:srcRect/>
                                <a:stretch>
                                  <a:fillRect/>
                                </a:stretch>
                              </pic:blipFill>
                              <pic:spPr bwMode="auto">
                                <a:xfrm>
                                  <a:off x="0" y="0"/>
                                  <a:ext cx="2002155" cy="1497277"/>
                                </a:xfrm>
                                <a:prstGeom prst="rect">
                                  <a:avLst/>
                                </a:prstGeom>
                                <a:noFill/>
                                <a:ln w="9525">
                                  <a:noFill/>
                                  <a:miter lim="800000"/>
                                  <a:headEnd/>
                                  <a:tailEnd/>
                                </a:ln>
                              </pic:spPr>
                            </pic:pic>
                          </a:graphicData>
                        </a:graphic>
                      </wp:inline>
                    </w:drawing>
                  </w:r>
                </w:p>
                <w:p w:rsidR="00853C9A" w:rsidRDefault="00853C9A" w:rsidP="00FC34E0">
                  <w:pPr>
                    <w:ind w:left="180"/>
                    <w:rPr>
                      <w:rFonts w:ascii="Arial" w:hAnsi="Arial" w:cs="Arial"/>
                      <w:sz w:val="18"/>
                      <w:szCs w:val="18"/>
                    </w:rPr>
                  </w:pPr>
                  <w:r>
                    <w:rPr>
                      <w:rFonts w:ascii="Arial" w:hAnsi="Arial" w:cs="Arial"/>
                      <w:sz w:val="18"/>
                      <w:szCs w:val="18"/>
                    </w:rPr>
                    <w:t>Catch Basin Insert (</w:t>
                  </w:r>
                  <w:r w:rsidRPr="00C508F1">
                    <w:rPr>
                      <w:rFonts w:ascii="Arial" w:hAnsi="Arial" w:cs="Arial"/>
                      <w:sz w:val="18"/>
                      <w:szCs w:val="18"/>
                    </w:rPr>
                    <w:t>DrainPac™</w:t>
                  </w:r>
                  <w:r>
                    <w:rPr>
                      <w:rFonts w:ascii="Arial" w:hAnsi="Arial" w:cs="Arial"/>
                      <w:sz w:val="18"/>
                      <w:szCs w:val="18"/>
                    </w:rPr>
                    <w:t>)</w:t>
                  </w:r>
                </w:p>
                <w:p w:rsidR="00853C9A" w:rsidRPr="00354E9F" w:rsidRDefault="00853C9A" w:rsidP="00FC34E0">
                  <w:pPr>
                    <w:ind w:left="180"/>
                    <w:rPr>
                      <w:rFonts w:ascii="Arial" w:hAnsi="Arial" w:cs="Arial"/>
                      <w:i/>
                      <w:sz w:val="18"/>
                    </w:rPr>
                  </w:pPr>
                  <w:r w:rsidRPr="00354E9F">
                    <w:rPr>
                      <w:rFonts w:ascii="Arial" w:hAnsi="Arial" w:cs="Arial"/>
                      <w:i/>
                      <w:sz w:val="18"/>
                      <w:szCs w:val="18"/>
                    </w:rPr>
                    <w:t xml:space="preserve">Source: </w:t>
                  </w:r>
                  <w:r>
                    <w:rPr>
                      <w:rFonts w:ascii="Arial" w:hAnsi="Arial" w:cs="Arial"/>
                      <w:i/>
                      <w:sz w:val="18"/>
                      <w:szCs w:val="18"/>
                    </w:rPr>
                    <w:t>United Storm Water, Inc.</w:t>
                  </w:r>
                </w:p>
              </w:txbxContent>
            </v:textbox>
            <w10:wrap type="square" anchorx="margin" anchory="margin"/>
          </v:shape>
        </w:pict>
      </w:r>
      <w:r w:rsidR="00FC34E0" w:rsidRPr="00311A64">
        <w:t xml:space="preserve">Catch basin inserts are manufactured filters or fabric placed in a drop inlet to remove sediment and debris and may include sorbent media (oil absorbent pouches) to remove floating oils and grease. Catch basin inserts are selected specifically based upon the orientation of the inlet and the expected sediment and debris loading. </w:t>
      </w:r>
    </w:p>
    <w:p w:rsidR="00FC34E0" w:rsidRPr="00B53524" w:rsidRDefault="00FC34E0" w:rsidP="00FC34E0">
      <w:pPr>
        <w:pStyle w:val="FactsheetSubheading"/>
        <w:outlineLvl w:val="0"/>
      </w:pPr>
      <w:r w:rsidRPr="00311A64">
        <w:t>Opportunity Criteria</w:t>
      </w:r>
    </w:p>
    <w:p w:rsidR="00FC34E0" w:rsidRPr="00B53524" w:rsidRDefault="00FC34E0" w:rsidP="00FC34E0">
      <w:pPr>
        <w:pStyle w:val="FactsheetBullets"/>
        <w:numPr>
          <w:ilvl w:val="0"/>
          <w:numId w:val="1"/>
        </w:numPr>
      </w:pPr>
      <w:r w:rsidRPr="00311A64">
        <w:t xml:space="preserve">Catch basin inserts come in such a wide range of configurations that it is practically impossible to generalize the expected performance. Inserts should mainly be used for catching coarse sediments and floatable trash and are effective as pretreatment in combination with other types of structures that are recognized as water quality treatment BMPs. Trash and large objects can greatly reduce the effectiveness of catch basin inserts with respect to sediment and hydrocarbon capture. </w:t>
      </w:r>
    </w:p>
    <w:p w:rsidR="00FC34E0" w:rsidRPr="00B53524" w:rsidRDefault="00FC34E0" w:rsidP="00FC34E0">
      <w:pPr>
        <w:pStyle w:val="FactsheetBullets"/>
        <w:numPr>
          <w:ilvl w:val="0"/>
          <w:numId w:val="1"/>
        </w:numPr>
      </w:pPr>
      <w:r w:rsidRPr="00311A64">
        <w:t>Catch basin inserts are applicable for drainage area that include parking lots, vehicle maintenance areas, and roadways with catch basins that discharge directly to a receiving water.</w:t>
      </w:r>
    </w:p>
    <w:p w:rsidR="00FC34E0" w:rsidRPr="00B53524" w:rsidRDefault="00FC34E0" w:rsidP="00FC34E0">
      <w:pPr>
        <w:pStyle w:val="FactsheetSubheading"/>
        <w:outlineLvl w:val="0"/>
      </w:pPr>
      <w:r w:rsidRPr="00311A64">
        <w:t>OC-Specific Design Criteria and Considerations</w:t>
      </w:r>
    </w:p>
    <w:tbl>
      <w:tblPr>
        <w:tblStyle w:val="TableGrid"/>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
        <w:gridCol w:w="8730"/>
      </w:tblGrid>
      <w:tr w:rsidR="00FC34E0" w:rsidRPr="00B53524" w:rsidTr="00FC34E0">
        <w:trPr>
          <w:trHeight w:val="147"/>
        </w:trPr>
        <w:tc>
          <w:tcPr>
            <w:tcW w:w="450" w:type="dxa"/>
            <w:vAlign w:val="center"/>
          </w:tcPr>
          <w:p w:rsidR="00FC34E0" w:rsidRPr="00B53524" w:rsidRDefault="00FC34E0" w:rsidP="00FC34E0">
            <w:pPr>
              <w:pStyle w:val="CheckBoxList"/>
              <w:spacing w:before="60" w:after="60"/>
              <w:ind w:left="806" w:hanging="806"/>
            </w:pPr>
          </w:p>
        </w:tc>
        <w:tc>
          <w:tcPr>
            <w:tcW w:w="8730" w:type="dxa"/>
            <w:vAlign w:val="center"/>
          </w:tcPr>
          <w:p w:rsidR="00FC34E0" w:rsidRPr="00B53524" w:rsidRDefault="00FC34E0" w:rsidP="00FC34E0">
            <w:pPr>
              <w:pStyle w:val="CheckBoxTableText"/>
            </w:pPr>
            <w:r w:rsidRPr="00311A64">
              <w:t>Frequent maintenance and the use of screens and grates to keep trash out may decrease the likelihood of clogging and prevent obstruction and bypass of incoming flows.</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Consult proprietors for specific criteria concerning the design of catch basin inserts.</w:t>
            </w:r>
          </w:p>
        </w:tc>
      </w:tr>
      <w:tr w:rsidR="00FC34E0" w:rsidRPr="00B53524" w:rsidTr="00FC34E0">
        <w:trPr>
          <w:trHeight w:val="67"/>
        </w:trPr>
        <w:tc>
          <w:tcPr>
            <w:tcW w:w="450" w:type="dxa"/>
            <w:vAlign w:val="center"/>
          </w:tcPr>
          <w:p w:rsidR="00FC34E0" w:rsidRPr="00B53524" w:rsidRDefault="00FC34E0" w:rsidP="00FC34E0">
            <w:pPr>
              <w:pStyle w:val="CheckBoxList"/>
              <w:spacing w:before="60" w:after="60"/>
              <w:ind w:left="806" w:hanging="806"/>
              <w:rPr>
                <w:szCs w:val="32"/>
              </w:rPr>
            </w:pPr>
          </w:p>
        </w:tc>
        <w:tc>
          <w:tcPr>
            <w:tcW w:w="8730" w:type="dxa"/>
            <w:vAlign w:val="center"/>
          </w:tcPr>
          <w:p w:rsidR="00FC34E0" w:rsidRPr="00B53524" w:rsidRDefault="00FC34E0" w:rsidP="00FC34E0">
            <w:pPr>
              <w:pStyle w:val="CheckBoxTableText"/>
            </w:pPr>
            <w:r w:rsidRPr="00311A64">
              <w:t>Catch basin inserts can be installed with specific media for pollutants of concern.</w:t>
            </w:r>
          </w:p>
        </w:tc>
      </w:tr>
    </w:tbl>
    <w:p w:rsidR="00FC34E0" w:rsidRPr="00B53524" w:rsidRDefault="00FC34E0" w:rsidP="00FC34E0">
      <w:pPr>
        <w:pStyle w:val="FactsheetSubheading"/>
      </w:pPr>
      <w:r w:rsidRPr="00311A64">
        <w:t>Proprietary Manufacturer / Supplier Websites</w:t>
      </w:r>
    </w:p>
    <w:p w:rsidR="00FC34E0" w:rsidRPr="00583B17" w:rsidRDefault="00126F3D" w:rsidP="00FC34E0">
      <w:pPr>
        <w:pStyle w:val="FactsheetBullets"/>
        <w:numPr>
          <w:ilvl w:val="0"/>
          <w:numId w:val="1"/>
        </w:numPr>
      </w:pPr>
      <w:fldSimple w:instr=" REF _Ref261615081 \h  \* MERGEFORMAT ">
        <w:r w:rsidR="00126DE5" w:rsidRPr="00126DE5">
          <w:rPr>
            <w:rFonts w:ascii="Book Antiqua" w:hAnsi="Book Antiqua"/>
            <w:b/>
            <w:color w:val="0070C0"/>
          </w:rPr>
          <w:t>Table XIV.2</w:t>
        </w:r>
      </w:fldSimple>
      <w:r w:rsidR="00FC34E0" w:rsidRPr="00311A64">
        <w:t xml:space="preserve"> is a list of manufacturers tha</w:t>
      </w:r>
      <w:r w:rsidR="00524D76">
        <w:t xml:space="preserve">t provide catch basin inserts. </w:t>
      </w:r>
      <w:r w:rsidR="00FC34E0" w:rsidRPr="00311A64">
        <w:t>The inclusion of these manufacturers does not represen</w:t>
      </w:r>
      <w:r w:rsidR="00524D76">
        <w:t>t an endorse of their products.</w:t>
      </w:r>
      <w:r w:rsidR="00FC34E0" w:rsidRPr="00311A64">
        <w:t xml:space="preserve"> Other devices and manufacturers may be acceptable for pretreatment. </w:t>
      </w:r>
    </w:p>
    <w:tbl>
      <w:tblPr>
        <w:tblW w:w="9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46"/>
        <w:gridCol w:w="3257"/>
        <w:gridCol w:w="3373"/>
      </w:tblGrid>
      <w:tr w:rsidR="00FC34E0" w:rsidRPr="00B53524" w:rsidTr="00604494">
        <w:trPr>
          <w:trHeight w:val="485"/>
          <w:tblHeader/>
          <w:jc w:val="center"/>
        </w:trPr>
        <w:tc>
          <w:tcPr>
            <w:tcW w:w="9276" w:type="dxa"/>
            <w:gridSpan w:val="3"/>
            <w:tcBorders>
              <w:top w:val="nil"/>
              <w:left w:val="nil"/>
              <w:bottom w:val="single" w:sz="4" w:space="0" w:color="auto"/>
              <w:right w:val="nil"/>
            </w:tcBorders>
            <w:shd w:val="clear" w:color="auto" w:fill="auto"/>
            <w:vAlign w:val="bottom"/>
            <w:hideMark/>
          </w:tcPr>
          <w:p w:rsidR="00FC34E0" w:rsidRPr="00524D76" w:rsidRDefault="00FC34E0" w:rsidP="00647B99">
            <w:pPr>
              <w:pStyle w:val="Caption"/>
            </w:pPr>
            <w:bookmarkStart w:id="933" w:name="_Ref261615081"/>
            <w:bookmarkStart w:id="934" w:name="_Toc285589379"/>
            <w:bookmarkStart w:id="935" w:name="_Toc288554397"/>
            <w:r w:rsidRPr="00524D76">
              <w:t xml:space="preserve">Table </w:t>
            </w:r>
            <w:r w:rsidR="00126F3D" w:rsidRPr="00524D76">
              <w:rPr>
                <w:rFonts w:cs="Arial"/>
              </w:rPr>
              <w:fldChar w:fldCharType="begin"/>
            </w:r>
            <w:r w:rsidRPr="00524D76">
              <w:rPr>
                <w:rFonts w:cs="Arial"/>
              </w:rPr>
              <w:instrText xml:space="preserve"> STYLEREF 1 \s </w:instrText>
            </w:r>
            <w:r w:rsidR="00126F3D" w:rsidRPr="00524D76">
              <w:rPr>
                <w:rFonts w:cs="Arial"/>
              </w:rPr>
              <w:fldChar w:fldCharType="separate"/>
            </w:r>
            <w:r w:rsidR="00126DE5" w:rsidRPr="00524D76">
              <w:rPr>
                <w:rFonts w:cs="Arial"/>
                <w:noProof/>
              </w:rPr>
              <w:t>XIV</w:t>
            </w:r>
            <w:r w:rsidR="00126F3D" w:rsidRPr="00524D76">
              <w:rPr>
                <w:rFonts w:cs="Arial"/>
              </w:rPr>
              <w:fldChar w:fldCharType="end"/>
            </w:r>
            <w:r w:rsidRPr="00524D76">
              <w:t>.</w:t>
            </w:r>
            <w:r w:rsidR="00126F3D" w:rsidRPr="00524D76">
              <w:rPr>
                <w:rFonts w:cs="Arial"/>
              </w:rPr>
              <w:fldChar w:fldCharType="begin"/>
            </w:r>
            <w:r w:rsidRPr="00524D76">
              <w:rPr>
                <w:rFonts w:cs="Arial"/>
              </w:rPr>
              <w:instrText xml:space="preserve"> SEQ Table \* ARABIC \s 1 </w:instrText>
            </w:r>
            <w:r w:rsidR="00126F3D" w:rsidRPr="00524D76">
              <w:rPr>
                <w:rFonts w:cs="Arial"/>
              </w:rPr>
              <w:fldChar w:fldCharType="separate"/>
            </w:r>
            <w:r w:rsidR="00126DE5" w:rsidRPr="00524D76">
              <w:rPr>
                <w:rFonts w:cs="Arial"/>
                <w:noProof/>
              </w:rPr>
              <w:t>2</w:t>
            </w:r>
            <w:r w:rsidR="00126F3D" w:rsidRPr="00524D76">
              <w:rPr>
                <w:rFonts w:cs="Arial"/>
              </w:rPr>
              <w:fldChar w:fldCharType="end"/>
            </w:r>
            <w:bookmarkEnd w:id="933"/>
            <w:r w:rsidR="00604494" w:rsidRPr="00524D76">
              <w:t xml:space="preserve">: </w:t>
            </w:r>
            <w:r w:rsidRPr="00524D76">
              <w:t>Proprietary Catch Basin Insert Manufacturer Websites</w:t>
            </w:r>
            <w:bookmarkEnd w:id="934"/>
            <w:bookmarkEnd w:id="935"/>
          </w:p>
        </w:tc>
      </w:tr>
      <w:tr w:rsidR="00FC34E0" w:rsidRPr="00B53524" w:rsidTr="00604494">
        <w:trPr>
          <w:trHeight w:val="314"/>
          <w:tblHeader/>
          <w:jc w:val="center"/>
        </w:trPr>
        <w:tc>
          <w:tcPr>
            <w:tcW w:w="2718" w:type="dxa"/>
            <w:tcBorders>
              <w:top w:val="single" w:sz="4" w:space="0" w:color="auto"/>
            </w:tcBorders>
            <w:shd w:val="clear" w:color="auto" w:fill="D9D9D9" w:themeFill="background1" w:themeFillShade="D9"/>
            <w:vAlign w:val="bottom"/>
            <w:hideMark/>
          </w:tcPr>
          <w:p w:rsidR="00FC34E0" w:rsidRPr="00B53524" w:rsidRDefault="00FC34E0" w:rsidP="00FC34E0">
            <w:pPr>
              <w:spacing w:after="0"/>
              <w:rPr>
                <w:rFonts w:ascii="Arial" w:hAnsi="Arial" w:cs="Arial"/>
                <w:b/>
                <w:bCs/>
                <w:sz w:val="20"/>
              </w:rPr>
            </w:pPr>
            <w:r w:rsidRPr="00311A64">
              <w:rPr>
                <w:rFonts w:ascii="Arial" w:hAnsi="Arial" w:cs="Arial"/>
                <w:b/>
                <w:bCs/>
                <w:sz w:val="20"/>
              </w:rPr>
              <w:t>Device</w:t>
            </w:r>
          </w:p>
        </w:tc>
        <w:tc>
          <w:tcPr>
            <w:tcW w:w="3385" w:type="dxa"/>
            <w:tcBorders>
              <w:top w:val="single" w:sz="4" w:space="0" w:color="auto"/>
            </w:tcBorders>
            <w:shd w:val="clear" w:color="auto" w:fill="D9D9D9" w:themeFill="background1" w:themeFillShade="D9"/>
            <w:vAlign w:val="bottom"/>
            <w:hideMark/>
          </w:tcPr>
          <w:p w:rsidR="00FC34E0" w:rsidRPr="00B53524" w:rsidRDefault="00FC34E0" w:rsidP="00FC34E0">
            <w:pPr>
              <w:spacing w:after="0"/>
              <w:rPr>
                <w:rFonts w:ascii="Arial" w:hAnsi="Arial" w:cs="Arial"/>
                <w:b/>
                <w:bCs/>
                <w:sz w:val="20"/>
              </w:rPr>
            </w:pPr>
            <w:r w:rsidRPr="00311A64">
              <w:rPr>
                <w:rFonts w:ascii="Arial" w:hAnsi="Arial" w:cs="Arial"/>
                <w:b/>
                <w:bCs/>
                <w:sz w:val="20"/>
              </w:rPr>
              <w:t>Manufacturer</w:t>
            </w:r>
          </w:p>
        </w:tc>
        <w:tc>
          <w:tcPr>
            <w:tcW w:w="3173" w:type="dxa"/>
            <w:tcBorders>
              <w:top w:val="single" w:sz="4" w:space="0" w:color="auto"/>
            </w:tcBorders>
            <w:shd w:val="clear" w:color="auto" w:fill="D9D9D9" w:themeFill="background1" w:themeFillShade="D9"/>
            <w:vAlign w:val="bottom"/>
          </w:tcPr>
          <w:p w:rsidR="00FC34E0" w:rsidRPr="00B53524" w:rsidRDefault="00FC34E0" w:rsidP="00FC34E0">
            <w:pPr>
              <w:spacing w:after="0"/>
              <w:rPr>
                <w:rFonts w:ascii="Arial" w:hAnsi="Arial" w:cs="Arial"/>
                <w:b/>
                <w:bCs/>
                <w:sz w:val="20"/>
              </w:rPr>
            </w:pPr>
            <w:r w:rsidRPr="00311A64">
              <w:rPr>
                <w:rFonts w:ascii="Arial" w:hAnsi="Arial" w:cs="Arial"/>
                <w:b/>
                <w:bCs/>
                <w:sz w:val="20"/>
              </w:rPr>
              <w:t>Website</w:t>
            </w:r>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AbTech Industries Ultra-Urban Filter™</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AbTech Industries</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u w:val="single"/>
              </w:rPr>
            </w:pPr>
            <w:hyperlink r:id="rId250" w:history="1">
              <w:r w:rsidR="00FC34E0" w:rsidRPr="00126DE5">
                <w:rPr>
                  <w:rStyle w:val="Hyperlink"/>
                  <w:rFonts w:cs="Arial"/>
                  <w:b/>
                  <w:color w:val="0070C0"/>
                  <w:sz w:val="20"/>
                </w:rPr>
                <w:t>www.abtechindustries.com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Aquashield Aqua-Guardian™ Catch Basin Insert</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Aquashield™ Inc.</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rPr>
            </w:pPr>
            <w:hyperlink r:id="rId251" w:history="1">
              <w:r w:rsidR="00FC34E0" w:rsidRPr="00126DE5">
                <w:rPr>
                  <w:rStyle w:val="Hyperlink"/>
                  <w:rFonts w:cs="Arial"/>
                  <w:b/>
                  <w:color w:val="0070C0"/>
                  <w:sz w:val="20"/>
                </w:rPr>
                <w:t>www.aquashieldinc.com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Bowhead StreamGuard™</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Pr>
                <w:rFonts w:ascii="Arial" w:hAnsi="Arial" w:cs="Arial"/>
                <w:sz w:val="20"/>
                <w:szCs w:val="20"/>
              </w:rPr>
              <w:t>Bowhead Environmental &amp; Safety, Inc.</w:t>
            </w:r>
          </w:p>
        </w:tc>
        <w:tc>
          <w:tcPr>
            <w:tcW w:w="3173" w:type="dxa"/>
            <w:shd w:val="clear" w:color="auto" w:fill="auto"/>
            <w:vAlign w:val="center"/>
            <w:hideMark/>
          </w:tcPr>
          <w:p w:rsidR="00FC34E0" w:rsidRPr="00126DE5" w:rsidRDefault="00126F3D" w:rsidP="00FC34E0">
            <w:pPr>
              <w:autoSpaceDE w:val="0"/>
              <w:spacing w:after="0"/>
              <w:rPr>
                <w:rStyle w:val="Hyperlink"/>
                <w:b/>
                <w:color w:val="0070C0"/>
                <w:sz w:val="20"/>
              </w:rPr>
            </w:pPr>
            <w:hyperlink r:id="rId252" w:history="1">
              <w:r w:rsidR="00FC34E0" w:rsidRPr="00126DE5">
                <w:rPr>
                  <w:rStyle w:val="Hyperlink"/>
                  <w:rFonts w:cs="Arial"/>
                  <w:b/>
                  <w:color w:val="0070C0"/>
                  <w:sz w:val="20"/>
                </w:rPr>
                <w:t>http://www.shopbowhead.com/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b/>
                <w:sz w:val="20"/>
                <w:szCs w:val="20"/>
              </w:rPr>
            </w:pPr>
            <w:r w:rsidRPr="00311A64">
              <w:rPr>
                <w:rFonts w:ascii="Arial" w:hAnsi="Arial" w:cs="Arial"/>
                <w:sz w:val="20"/>
                <w:szCs w:val="20"/>
              </w:rPr>
              <w:t>Contech</w:t>
            </w:r>
            <w:r w:rsidRPr="00311A64">
              <w:rPr>
                <w:rFonts w:ascii="Arial" w:hAnsi="Arial" w:cs="Arial"/>
                <w:sz w:val="20"/>
                <w:szCs w:val="20"/>
                <w:vertAlign w:val="superscript"/>
              </w:rPr>
              <w:t>®</w:t>
            </w:r>
            <w:r w:rsidRPr="00311A64">
              <w:rPr>
                <w:rFonts w:ascii="Arial" w:hAnsi="Arial" w:cs="Arial"/>
                <w:sz w:val="20"/>
                <w:szCs w:val="20"/>
              </w:rPr>
              <w:t xml:space="preserve"> Triton Catch Basin Filter™</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Contech</w:t>
            </w:r>
            <w:r w:rsidRPr="00311A64">
              <w:rPr>
                <w:rFonts w:ascii="Arial" w:hAnsi="Arial" w:cs="Arial"/>
                <w:sz w:val="20"/>
                <w:szCs w:val="20"/>
                <w:vertAlign w:val="superscript"/>
              </w:rPr>
              <w:t>®</w:t>
            </w:r>
            <w:r w:rsidRPr="00311A64">
              <w:rPr>
                <w:rFonts w:ascii="Arial" w:hAnsi="Arial" w:cs="Arial"/>
                <w:sz w:val="20"/>
                <w:szCs w:val="20"/>
              </w:rPr>
              <w:t xml:space="preserve"> Construction Products Inc.</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u w:val="single"/>
              </w:rPr>
            </w:pPr>
            <w:hyperlink r:id="rId253" w:history="1">
              <w:r w:rsidR="00FC34E0" w:rsidRPr="00126DE5">
                <w:rPr>
                  <w:rStyle w:val="Hyperlink"/>
                  <w:rFonts w:cs="Arial"/>
                  <w:b/>
                  <w:color w:val="0070C0"/>
                  <w:sz w:val="20"/>
                </w:rPr>
                <w:t>www.contech-cpi.com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b/>
                <w:sz w:val="20"/>
                <w:szCs w:val="20"/>
              </w:rPr>
            </w:pPr>
            <w:r w:rsidRPr="00311A64">
              <w:rPr>
                <w:rFonts w:ascii="Arial" w:hAnsi="Arial" w:cs="Arial"/>
                <w:sz w:val="20"/>
                <w:szCs w:val="20"/>
              </w:rPr>
              <w:t>Contech</w:t>
            </w:r>
            <w:r w:rsidRPr="00311A64">
              <w:rPr>
                <w:rFonts w:ascii="Arial" w:hAnsi="Arial" w:cs="Arial"/>
                <w:sz w:val="20"/>
                <w:szCs w:val="20"/>
                <w:vertAlign w:val="superscript"/>
              </w:rPr>
              <w:t>®</w:t>
            </w:r>
            <w:r w:rsidRPr="00311A64">
              <w:rPr>
                <w:rFonts w:ascii="Arial" w:hAnsi="Arial" w:cs="Arial"/>
                <w:sz w:val="20"/>
                <w:szCs w:val="20"/>
              </w:rPr>
              <w:t xml:space="preserve"> Triton Curb Inlet Filter™</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Contech</w:t>
            </w:r>
            <w:r w:rsidRPr="00311A64">
              <w:rPr>
                <w:rFonts w:ascii="Arial" w:hAnsi="Arial" w:cs="Arial"/>
                <w:sz w:val="20"/>
                <w:szCs w:val="20"/>
                <w:vertAlign w:val="superscript"/>
              </w:rPr>
              <w:t>®</w:t>
            </w:r>
            <w:r w:rsidRPr="00311A64">
              <w:rPr>
                <w:rFonts w:ascii="Arial" w:hAnsi="Arial" w:cs="Arial"/>
                <w:sz w:val="20"/>
                <w:szCs w:val="20"/>
              </w:rPr>
              <w:t xml:space="preserve"> Construction Products Inc.</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u w:val="single"/>
              </w:rPr>
            </w:pPr>
            <w:hyperlink r:id="rId254" w:history="1">
              <w:r w:rsidR="00FC34E0" w:rsidRPr="00126DE5">
                <w:rPr>
                  <w:rStyle w:val="Hyperlink"/>
                  <w:rFonts w:cs="Arial"/>
                  <w:b/>
                  <w:color w:val="0070C0"/>
                  <w:sz w:val="20"/>
                </w:rPr>
                <w:t>www.contech-cpi.com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b/>
                <w:sz w:val="20"/>
                <w:szCs w:val="20"/>
              </w:rPr>
            </w:pPr>
            <w:r w:rsidRPr="00311A64">
              <w:rPr>
                <w:rFonts w:ascii="Arial" w:hAnsi="Arial" w:cs="Arial"/>
                <w:sz w:val="20"/>
                <w:szCs w:val="20"/>
              </w:rPr>
              <w:t>Contech</w:t>
            </w:r>
            <w:r w:rsidRPr="00311A64">
              <w:rPr>
                <w:rFonts w:ascii="Arial" w:hAnsi="Arial" w:cs="Arial"/>
                <w:sz w:val="20"/>
                <w:szCs w:val="20"/>
                <w:vertAlign w:val="superscript"/>
              </w:rPr>
              <w:t xml:space="preserve">® </w:t>
            </w:r>
            <w:r w:rsidRPr="00311A64">
              <w:rPr>
                <w:rFonts w:ascii="Arial" w:hAnsi="Arial" w:cs="Arial"/>
                <w:sz w:val="20"/>
                <w:szCs w:val="20"/>
              </w:rPr>
              <w:t>Triton Basin StormFilter™</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Contech</w:t>
            </w:r>
            <w:r w:rsidRPr="00311A64">
              <w:rPr>
                <w:rFonts w:ascii="Arial" w:hAnsi="Arial" w:cs="Arial"/>
                <w:sz w:val="20"/>
                <w:szCs w:val="20"/>
                <w:vertAlign w:val="superscript"/>
              </w:rPr>
              <w:t>®</w:t>
            </w:r>
            <w:r w:rsidRPr="00311A64">
              <w:rPr>
                <w:rFonts w:ascii="Arial" w:hAnsi="Arial" w:cs="Arial"/>
                <w:sz w:val="20"/>
                <w:szCs w:val="20"/>
              </w:rPr>
              <w:t xml:space="preserve"> Construction Products Inc.</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u w:val="single"/>
              </w:rPr>
            </w:pPr>
            <w:hyperlink r:id="rId255" w:history="1">
              <w:r w:rsidR="00FC34E0" w:rsidRPr="00126DE5">
                <w:rPr>
                  <w:rStyle w:val="Hyperlink"/>
                  <w:rFonts w:cs="Arial"/>
                  <w:b/>
                  <w:color w:val="0070C0"/>
                  <w:sz w:val="20"/>
                </w:rPr>
                <w:t>www.contech-cpi.com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Contech</w:t>
            </w:r>
            <w:r w:rsidRPr="00311A64">
              <w:rPr>
                <w:rFonts w:ascii="Arial" w:hAnsi="Arial" w:cs="Arial"/>
                <w:sz w:val="20"/>
                <w:szCs w:val="20"/>
                <w:vertAlign w:val="superscript"/>
              </w:rPr>
              <w:t>®</w:t>
            </w:r>
            <w:r w:rsidRPr="00311A64">
              <w:rPr>
                <w:rFonts w:ascii="Arial" w:hAnsi="Arial" w:cs="Arial"/>
                <w:sz w:val="20"/>
                <w:szCs w:val="20"/>
              </w:rPr>
              <w:t xml:space="preserve"> Curb Inlet StormFilter™</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Contech</w:t>
            </w:r>
            <w:r w:rsidRPr="00311A64">
              <w:rPr>
                <w:rFonts w:ascii="Arial" w:hAnsi="Arial" w:cs="Arial"/>
                <w:sz w:val="20"/>
                <w:szCs w:val="20"/>
                <w:vertAlign w:val="superscript"/>
              </w:rPr>
              <w:t>®</w:t>
            </w:r>
            <w:r w:rsidRPr="00311A64">
              <w:rPr>
                <w:rFonts w:ascii="Arial" w:hAnsi="Arial" w:cs="Arial"/>
                <w:sz w:val="20"/>
                <w:szCs w:val="20"/>
              </w:rPr>
              <w:t xml:space="preserve"> Construction Products Inc.</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u w:val="single"/>
              </w:rPr>
            </w:pPr>
            <w:hyperlink r:id="rId256" w:history="1">
              <w:r w:rsidR="00FC34E0" w:rsidRPr="00126DE5">
                <w:rPr>
                  <w:rStyle w:val="Hyperlink"/>
                  <w:rFonts w:cs="Arial"/>
                  <w:b/>
                  <w:color w:val="0070C0"/>
                  <w:sz w:val="20"/>
                </w:rPr>
                <w:t>www.contech-cpi.com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Curb Inlet Basket</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SunTree Technologies Inc.</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rPr>
            </w:pPr>
            <w:hyperlink r:id="rId257" w:history="1">
              <w:r w:rsidR="00FC34E0" w:rsidRPr="00126DE5">
                <w:rPr>
                  <w:rStyle w:val="Hyperlink"/>
                  <w:rFonts w:cs="Arial"/>
                  <w:b/>
                  <w:color w:val="0070C0"/>
                  <w:sz w:val="20"/>
                </w:rPr>
                <w:t>www.suntreetech.com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Curb Inlet Grates</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EcoSense International™</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u w:val="single"/>
              </w:rPr>
            </w:pPr>
            <w:hyperlink r:id="rId258" w:history="1">
              <w:r w:rsidR="00FC34E0" w:rsidRPr="00126DE5">
                <w:rPr>
                  <w:rStyle w:val="Hyperlink"/>
                  <w:rFonts w:cs="Arial"/>
                  <w:b/>
                  <w:color w:val="0070C0"/>
                  <w:sz w:val="20"/>
                </w:rPr>
                <w:t>http://www.ecosenseint.com/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DrainPac</w:t>
            </w:r>
            <w:r w:rsidRPr="00311A64">
              <w:rPr>
                <w:rFonts w:ascii="Arial" w:hAnsi="Arial" w:cs="Arial"/>
                <w:sz w:val="20"/>
                <w:szCs w:val="20"/>
                <w:vertAlign w:val="superscript"/>
              </w:rPr>
              <w:t>TM</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United Storm Water, Inc.</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rPr>
            </w:pPr>
            <w:hyperlink r:id="rId259" w:history="1">
              <w:r w:rsidR="00FC34E0" w:rsidRPr="00126DE5">
                <w:rPr>
                  <w:rStyle w:val="Hyperlink"/>
                  <w:rFonts w:cs="Arial"/>
                  <w:b/>
                  <w:color w:val="0070C0"/>
                  <w:sz w:val="20"/>
                </w:rPr>
                <w:t>http://www.unitedstormwater.com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Grate Inlet Skimmer Box</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SunTree Technologies Inc.</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rPr>
            </w:pPr>
            <w:hyperlink r:id="rId260" w:history="1">
              <w:r w:rsidR="00FC34E0" w:rsidRPr="00126DE5">
                <w:rPr>
                  <w:rStyle w:val="Hyperlink"/>
                  <w:rFonts w:cs="Arial"/>
                  <w:b/>
                  <w:color w:val="0070C0"/>
                  <w:sz w:val="20"/>
                </w:rPr>
                <w:t>www.suntreetech.com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KriStar FloGard+PLUS</w:t>
            </w:r>
            <w:r w:rsidRPr="00311A64">
              <w:rPr>
                <w:rFonts w:ascii="Arial" w:hAnsi="Arial" w:cs="Arial"/>
                <w:sz w:val="20"/>
                <w:szCs w:val="20"/>
                <w:vertAlign w:val="superscript"/>
              </w:rPr>
              <w:t>®</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KriStar Enterprises Inc.</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u w:val="single"/>
              </w:rPr>
            </w:pPr>
            <w:hyperlink r:id="rId261" w:history="1">
              <w:r w:rsidR="00FC34E0" w:rsidRPr="00126DE5">
                <w:rPr>
                  <w:rStyle w:val="Hyperlink"/>
                  <w:rFonts w:cs="Arial"/>
                  <w:b/>
                  <w:color w:val="0070C0"/>
                  <w:sz w:val="20"/>
                </w:rPr>
                <w:t>www.kristar.com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KriStar FloGard</w:t>
            </w:r>
            <w:r w:rsidRPr="00311A64">
              <w:rPr>
                <w:rFonts w:ascii="Arial" w:hAnsi="Arial" w:cs="Arial"/>
                <w:sz w:val="20"/>
                <w:szCs w:val="20"/>
                <w:vertAlign w:val="superscript"/>
              </w:rPr>
              <w:t>®</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KriStar Enterprises Inc.</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u w:val="single"/>
              </w:rPr>
            </w:pPr>
            <w:hyperlink r:id="rId262" w:history="1">
              <w:r w:rsidR="00FC34E0" w:rsidRPr="00126DE5">
                <w:rPr>
                  <w:rStyle w:val="Hyperlink"/>
                  <w:rFonts w:cs="Arial"/>
                  <w:b/>
                  <w:color w:val="0070C0"/>
                  <w:sz w:val="20"/>
                </w:rPr>
                <w:t>www.kristar.com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KriStar FloGard LoPro Matrix Filter</w:t>
            </w:r>
            <w:r w:rsidRPr="00311A64">
              <w:rPr>
                <w:rFonts w:ascii="Arial" w:hAnsi="Arial" w:cs="Arial"/>
                <w:sz w:val="20"/>
                <w:szCs w:val="20"/>
                <w:vertAlign w:val="superscript"/>
              </w:rPr>
              <w:t>®</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KriStar Enterprises Inc.</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u w:val="single"/>
              </w:rPr>
            </w:pPr>
            <w:hyperlink r:id="rId263" w:history="1">
              <w:r w:rsidR="00FC34E0" w:rsidRPr="00126DE5">
                <w:rPr>
                  <w:rStyle w:val="Hyperlink"/>
                  <w:rFonts w:cs="Arial"/>
                  <w:b/>
                  <w:color w:val="0070C0"/>
                  <w:sz w:val="20"/>
                </w:rPr>
                <w:t>www.kristar.com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Nyloplast Storm-PURE Catch Basin Insert</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Nyloplast Engineered Surface Drainage Products</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u w:val="single"/>
              </w:rPr>
            </w:pPr>
            <w:hyperlink r:id="rId264" w:history="1">
              <w:r w:rsidR="00FC34E0" w:rsidRPr="00126DE5">
                <w:rPr>
                  <w:rStyle w:val="Hyperlink"/>
                  <w:rFonts w:cs="Arial"/>
                  <w:b/>
                  <w:color w:val="0070C0"/>
                  <w:sz w:val="20"/>
                </w:rPr>
                <w:t>www.nyloplast-us.com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StormBasin</w:t>
            </w:r>
            <w:r w:rsidRPr="00311A64">
              <w:rPr>
                <w:rFonts w:ascii="Arial" w:hAnsi="Arial" w:cs="Arial"/>
                <w:sz w:val="20"/>
                <w:szCs w:val="20"/>
                <w:vertAlign w:val="superscript"/>
              </w:rPr>
              <w:t>®</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FabCo</w:t>
            </w:r>
            <w:r w:rsidRPr="00311A64">
              <w:rPr>
                <w:rFonts w:ascii="Arial" w:hAnsi="Arial" w:cs="Arial"/>
                <w:sz w:val="20"/>
                <w:szCs w:val="20"/>
                <w:vertAlign w:val="superscript"/>
              </w:rPr>
              <w:t>®</w:t>
            </w:r>
            <w:r w:rsidRPr="00311A64">
              <w:rPr>
                <w:rFonts w:ascii="Arial" w:hAnsi="Arial" w:cs="Arial"/>
                <w:sz w:val="20"/>
                <w:szCs w:val="20"/>
              </w:rPr>
              <w:t xml:space="preserve"> Industries Inc.</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rPr>
            </w:pPr>
            <w:hyperlink r:id="rId265" w:history="1">
              <w:r w:rsidR="00FC34E0" w:rsidRPr="00126DE5">
                <w:rPr>
                  <w:rStyle w:val="Hyperlink"/>
                  <w:rFonts w:cs="Arial"/>
                  <w:b/>
                  <w:color w:val="0070C0"/>
                  <w:sz w:val="20"/>
                </w:rPr>
                <w:t>www.fabco-industries.com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Stormdrain Solutions Interceptor</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FabCo</w:t>
            </w:r>
            <w:r w:rsidRPr="00311A64">
              <w:rPr>
                <w:rFonts w:ascii="Arial" w:hAnsi="Arial" w:cs="Arial"/>
                <w:sz w:val="20"/>
                <w:szCs w:val="20"/>
                <w:vertAlign w:val="superscript"/>
              </w:rPr>
              <w:t>®</w:t>
            </w:r>
            <w:r w:rsidRPr="00311A64">
              <w:rPr>
                <w:rFonts w:ascii="Arial" w:hAnsi="Arial" w:cs="Arial"/>
                <w:sz w:val="20"/>
                <w:szCs w:val="20"/>
              </w:rPr>
              <w:t xml:space="preserve"> Industries Inc.</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rPr>
            </w:pPr>
            <w:hyperlink r:id="rId266" w:history="1">
              <w:r w:rsidR="00FC34E0" w:rsidRPr="00126DE5">
                <w:rPr>
                  <w:rStyle w:val="Hyperlink"/>
                  <w:rFonts w:cs="Arial"/>
                  <w:b/>
                  <w:color w:val="0070C0"/>
                  <w:sz w:val="20"/>
                </w:rPr>
                <w:t>www.fabco-industries.com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Stormdrain Solutions Inceptor</w:t>
            </w:r>
            <w:r w:rsidRPr="00311A64">
              <w:rPr>
                <w:rFonts w:ascii="Arial" w:hAnsi="Arial" w:cs="Arial"/>
                <w:sz w:val="20"/>
                <w:szCs w:val="20"/>
                <w:vertAlign w:val="superscript"/>
              </w:rPr>
              <w:t>®</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Stormdrain Solutions</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rPr>
            </w:pPr>
            <w:hyperlink r:id="rId267" w:history="1">
              <w:r w:rsidR="00FC34E0" w:rsidRPr="00126DE5">
                <w:rPr>
                  <w:rStyle w:val="Hyperlink"/>
                  <w:rFonts w:cs="Arial"/>
                  <w:b/>
                  <w:color w:val="0070C0"/>
                  <w:sz w:val="20"/>
                </w:rPr>
                <w:t>www.stormdrains.com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StormPod</w:t>
            </w:r>
            <w:r w:rsidRPr="00311A64">
              <w:rPr>
                <w:rFonts w:ascii="Arial" w:hAnsi="Arial" w:cs="Arial"/>
                <w:sz w:val="20"/>
                <w:szCs w:val="20"/>
                <w:vertAlign w:val="superscript"/>
              </w:rPr>
              <w:t>®</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FabCo</w:t>
            </w:r>
            <w:r w:rsidRPr="00311A64">
              <w:rPr>
                <w:rFonts w:ascii="Arial" w:hAnsi="Arial" w:cs="Arial"/>
                <w:sz w:val="20"/>
                <w:szCs w:val="20"/>
                <w:vertAlign w:val="superscript"/>
              </w:rPr>
              <w:t>®</w:t>
            </w:r>
            <w:r w:rsidRPr="00311A64">
              <w:rPr>
                <w:rFonts w:ascii="Arial" w:hAnsi="Arial" w:cs="Arial"/>
                <w:sz w:val="20"/>
                <w:szCs w:val="20"/>
              </w:rPr>
              <w:t xml:space="preserve"> Industries Inc.</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rPr>
            </w:pPr>
            <w:hyperlink r:id="rId268" w:history="1">
              <w:r w:rsidR="00FC34E0" w:rsidRPr="00126DE5">
                <w:rPr>
                  <w:rStyle w:val="Hyperlink"/>
                  <w:rFonts w:cs="Arial"/>
                  <w:b/>
                  <w:color w:val="0070C0"/>
                  <w:sz w:val="20"/>
                </w:rPr>
                <w:t>www.fabco-industries.com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Stormwater Filtration Systems</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EcoSense International™</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u w:val="single"/>
              </w:rPr>
            </w:pPr>
            <w:hyperlink r:id="rId269" w:history="1">
              <w:r w:rsidR="00FC34E0" w:rsidRPr="00126DE5">
                <w:rPr>
                  <w:rStyle w:val="Hyperlink"/>
                  <w:rFonts w:cs="Arial"/>
                  <w:b/>
                  <w:color w:val="0070C0"/>
                  <w:sz w:val="20"/>
                </w:rPr>
                <w:t>http://www.ecosenseint.com/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Ultra-CurbGuard</w:t>
            </w:r>
            <w:r w:rsidRPr="00311A64">
              <w:rPr>
                <w:rFonts w:ascii="Arial" w:hAnsi="Arial" w:cs="Arial"/>
                <w:sz w:val="20"/>
                <w:szCs w:val="20"/>
                <w:vertAlign w:val="superscript"/>
              </w:rPr>
              <w:t>®</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UltraTech International Inc.</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rPr>
            </w:pPr>
            <w:hyperlink r:id="rId270" w:history="1">
              <w:r w:rsidR="00FC34E0" w:rsidRPr="00126DE5">
                <w:rPr>
                  <w:rStyle w:val="Hyperlink"/>
                  <w:rFonts w:cs="Arial"/>
                  <w:b/>
                  <w:color w:val="0070C0"/>
                  <w:sz w:val="20"/>
                </w:rPr>
                <w:t>www.spillcontainment.com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Ultra-DrainGuard</w:t>
            </w:r>
            <w:r w:rsidRPr="00311A64">
              <w:rPr>
                <w:rFonts w:ascii="Arial" w:hAnsi="Arial" w:cs="Arial"/>
                <w:sz w:val="20"/>
                <w:szCs w:val="20"/>
                <w:vertAlign w:val="superscript"/>
              </w:rPr>
              <w:t>®</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UltraTech International Inc.</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rPr>
            </w:pPr>
            <w:hyperlink r:id="rId271" w:history="1">
              <w:r w:rsidR="00FC34E0" w:rsidRPr="00126DE5">
                <w:rPr>
                  <w:rStyle w:val="Hyperlink"/>
                  <w:rFonts w:cs="Arial"/>
                  <w:b/>
                  <w:color w:val="0070C0"/>
                  <w:sz w:val="20"/>
                </w:rPr>
                <w:t>www.spillcontainment.com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Ultra-GrateGuard</w:t>
            </w:r>
            <w:r w:rsidRPr="00311A64">
              <w:rPr>
                <w:rFonts w:ascii="Arial" w:hAnsi="Arial" w:cs="Arial"/>
                <w:sz w:val="20"/>
                <w:szCs w:val="20"/>
                <w:vertAlign w:val="superscript"/>
              </w:rPr>
              <w:t>®</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UltraTech International Inc.</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rPr>
            </w:pPr>
            <w:hyperlink r:id="rId272" w:history="1">
              <w:r w:rsidR="00FC34E0" w:rsidRPr="00126DE5">
                <w:rPr>
                  <w:rStyle w:val="Hyperlink"/>
                  <w:rFonts w:cs="Arial"/>
                  <w:b/>
                  <w:color w:val="0070C0"/>
                  <w:sz w:val="20"/>
                </w:rPr>
                <w:t>www.spillcontainment.com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Ultra-GutterGuard</w:t>
            </w:r>
            <w:r w:rsidRPr="00311A64">
              <w:rPr>
                <w:rFonts w:ascii="Arial" w:hAnsi="Arial" w:cs="Arial"/>
                <w:sz w:val="20"/>
                <w:szCs w:val="20"/>
                <w:vertAlign w:val="superscript"/>
              </w:rPr>
              <w:t>®</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UltraTech International Inc.</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rPr>
            </w:pPr>
            <w:hyperlink r:id="rId273" w:history="1">
              <w:r w:rsidR="00FC34E0" w:rsidRPr="00126DE5">
                <w:rPr>
                  <w:rStyle w:val="Hyperlink"/>
                  <w:rFonts w:cs="Arial"/>
                  <w:b/>
                  <w:color w:val="0070C0"/>
                  <w:sz w:val="20"/>
                </w:rPr>
                <w:t>www.spillcontainment.com</w:t>
              </w:r>
            </w:hyperlink>
          </w:p>
        </w:tc>
      </w:tr>
      <w:tr w:rsidR="00FC34E0" w:rsidRPr="00B53524" w:rsidTr="00FC34E0">
        <w:trPr>
          <w:trHeight w:val="494"/>
          <w:jc w:val="center"/>
        </w:trPr>
        <w:tc>
          <w:tcPr>
            <w:tcW w:w="2718"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Ultra-InletGuard</w:t>
            </w:r>
            <w:r w:rsidRPr="00311A64">
              <w:rPr>
                <w:rFonts w:ascii="Arial" w:hAnsi="Arial" w:cs="Arial"/>
                <w:sz w:val="20"/>
                <w:szCs w:val="20"/>
                <w:vertAlign w:val="superscript"/>
              </w:rPr>
              <w:t>®</w:t>
            </w:r>
          </w:p>
        </w:tc>
        <w:tc>
          <w:tcPr>
            <w:tcW w:w="3385" w:type="dxa"/>
            <w:shd w:val="clear" w:color="auto" w:fill="auto"/>
            <w:vAlign w:val="center"/>
            <w:hideMark/>
          </w:tcPr>
          <w:p w:rsidR="00FC34E0" w:rsidRPr="00B53524" w:rsidRDefault="00FC34E0" w:rsidP="00FC34E0">
            <w:pPr>
              <w:pStyle w:val="ListParagraph"/>
              <w:spacing w:after="0"/>
              <w:ind w:left="0"/>
              <w:rPr>
                <w:rFonts w:ascii="Arial" w:hAnsi="Arial" w:cs="Arial"/>
                <w:sz w:val="20"/>
                <w:szCs w:val="20"/>
              </w:rPr>
            </w:pPr>
            <w:r w:rsidRPr="00311A64">
              <w:rPr>
                <w:rFonts w:ascii="Arial" w:hAnsi="Arial" w:cs="Arial"/>
                <w:sz w:val="20"/>
                <w:szCs w:val="20"/>
              </w:rPr>
              <w:t>UltraTech International Inc.</w:t>
            </w:r>
          </w:p>
        </w:tc>
        <w:tc>
          <w:tcPr>
            <w:tcW w:w="3173" w:type="dxa"/>
            <w:shd w:val="clear" w:color="auto" w:fill="auto"/>
            <w:vAlign w:val="center"/>
            <w:hideMark/>
          </w:tcPr>
          <w:p w:rsidR="00FC34E0" w:rsidRPr="00126DE5" w:rsidRDefault="00126F3D" w:rsidP="00FC34E0">
            <w:pPr>
              <w:autoSpaceDE w:val="0"/>
              <w:spacing w:after="0"/>
              <w:rPr>
                <w:rFonts w:cs="Arial"/>
                <w:b/>
                <w:color w:val="0070C0"/>
                <w:sz w:val="20"/>
              </w:rPr>
            </w:pPr>
            <w:hyperlink r:id="rId274" w:history="1">
              <w:r w:rsidR="00FC34E0" w:rsidRPr="00126DE5">
                <w:rPr>
                  <w:rStyle w:val="Hyperlink"/>
                  <w:rFonts w:cs="Arial"/>
                  <w:b/>
                  <w:color w:val="0070C0"/>
                  <w:sz w:val="20"/>
                </w:rPr>
                <w:t>www.spillcontainment.com</w:t>
              </w:r>
            </w:hyperlink>
          </w:p>
        </w:tc>
      </w:tr>
    </w:tbl>
    <w:p w:rsidR="00A132C3" w:rsidRDefault="00A132C3" w:rsidP="00A132C3"/>
    <w:p w:rsidR="00A132C3" w:rsidRPr="00A132C3" w:rsidRDefault="00A132C3" w:rsidP="00A132C3">
      <w:pPr>
        <w:sectPr w:rsidR="00A132C3" w:rsidRPr="00A132C3" w:rsidSect="00BF43BB">
          <w:pgSz w:w="12240" w:h="15840" w:code="1"/>
          <w:pgMar w:top="1440" w:right="1440" w:bottom="1440" w:left="1440" w:header="720" w:footer="432" w:gutter="0"/>
          <w:pgNumType w:start="1" w:chapStyle="1"/>
          <w:cols w:space="720"/>
          <w:docGrid w:linePitch="360"/>
        </w:sectPr>
      </w:pPr>
    </w:p>
    <w:p w:rsidR="0013104B" w:rsidRDefault="004C6431" w:rsidP="00A52883">
      <w:pPr>
        <w:pStyle w:val="Heading1"/>
      </w:pPr>
      <w:bookmarkStart w:id="936" w:name="_Toc288541128"/>
      <w:bookmarkStart w:id="937" w:name="_Toc293937184"/>
      <w:r>
        <w:rPr>
          <w:caps w:val="0"/>
        </w:rPr>
        <w:t>WORKSHEETS</w:t>
      </w:r>
      <w:bookmarkEnd w:id="756"/>
      <w:bookmarkEnd w:id="757"/>
      <w:bookmarkEnd w:id="758"/>
      <w:bookmarkEnd w:id="759"/>
      <w:bookmarkEnd w:id="936"/>
      <w:bookmarkEnd w:id="937"/>
    </w:p>
    <w:p w:rsidR="00E64C97" w:rsidRDefault="00A132C3" w:rsidP="0013104B">
      <w:r>
        <w:t xml:space="preserve">This </w:t>
      </w:r>
      <w:r w:rsidR="00D25DA9">
        <w:t>section</w:t>
      </w:r>
      <w:r>
        <w:t xml:space="preserve"> provides hyperlinks to each of the </w:t>
      </w:r>
      <w:r w:rsidR="00923247">
        <w:t xml:space="preserve">worksheets embedded in text of </w:t>
      </w:r>
      <w:r w:rsidR="001958AC">
        <w:t xml:space="preserve">the TGD Appendices. </w:t>
      </w:r>
    </w:p>
    <w:p w:rsidR="00923247" w:rsidRPr="00126DE5" w:rsidRDefault="00126F3D" w:rsidP="00533A19">
      <w:pPr>
        <w:pStyle w:val="ListParagraph"/>
        <w:numPr>
          <w:ilvl w:val="0"/>
          <w:numId w:val="1"/>
        </w:numPr>
        <w:spacing w:after="0"/>
        <w:rPr>
          <w:rFonts w:cs="Arial"/>
          <w:b/>
          <w:color w:val="0070C0"/>
        </w:rPr>
      </w:pPr>
      <w:fldSimple w:instr=" REF _Ref285531384 \h  \* MERGEFORMAT ">
        <w:r w:rsidR="00126DE5" w:rsidRPr="00126DE5">
          <w:rPr>
            <w:b/>
            <w:color w:val="0070C0"/>
          </w:rPr>
          <w:t xml:space="preserve">Worksheet </w:t>
        </w:r>
        <w:r w:rsidR="00126DE5" w:rsidRPr="00126DE5">
          <w:rPr>
            <w:rFonts w:cs="Arial"/>
            <w:b/>
            <w:noProof/>
            <w:color w:val="0070C0"/>
          </w:rPr>
          <w:t>A</w:t>
        </w:r>
        <w:r w:rsidR="00126DE5" w:rsidRPr="00126DE5">
          <w:rPr>
            <w:b/>
            <w:color w:val="0070C0"/>
          </w:rPr>
          <w:t>:</w:t>
        </w:r>
        <w:r w:rsidR="00126DE5" w:rsidRPr="00126DE5">
          <w:rPr>
            <w:rStyle w:val="TableHeadingChar"/>
            <w:rFonts w:ascii="Book Antiqua" w:hAnsi="Book Antiqua"/>
            <w:b w:val="0"/>
            <w:color w:val="0070C0"/>
            <w:sz w:val="22"/>
            <w:szCs w:val="22"/>
          </w:rPr>
          <w:t xml:space="preserve"> </w:t>
        </w:r>
        <w:r w:rsidR="00126DE5" w:rsidRPr="00126DE5">
          <w:rPr>
            <w:b/>
            <w:color w:val="0070C0"/>
          </w:rPr>
          <w:t>Hydrologic Source Control Calculation Form</w:t>
        </w:r>
      </w:fldSimple>
    </w:p>
    <w:p w:rsidR="00770C03" w:rsidRPr="00126DE5" w:rsidRDefault="00126F3D" w:rsidP="00533A19">
      <w:pPr>
        <w:pStyle w:val="ListParagraph"/>
        <w:numPr>
          <w:ilvl w:val="0"/>
          <w:numId w:val="1"/>
        </w:numPr>
        <w:spacing w:after="0"/>
        <w:rPr>
          <w:rFonts w:cs="Arial"/>
          <w:b/>
          <w:color w:val="0070C0"/>
        </w:rPr>
      </w:pPr>
      <w:fldSimple w:instr=" REF _Ref285574542 \h  \* MERGEFORMAT ">
        <w:r w:rsidR="00126DE5" w:rsidRPr="00126DE5">
          <w:rPr>
            <w:b/>
            <w:color w:val="0070C0"/>
          </w:rPr>
          <w:t xml:space="preserve">Worksheet </w:t>
        </w:r>
        <w:r w:rsidR="00126DE5" w:rsidRPr="00126DE5">
          <w:rPr>
            <w:rFonts w:cs="Arial"/>
            <w:b/>
            <w:noProof/>
            <w:color w:val="0070C0"/>
          </w:rPr>
          <w:t>B</w:t>
        </w:r>
        <w:r w:rsidR="00126DE5" w:rsidRPr="00126DE5">
          <w:rPr>
            <w:b/>
            <w:color w:val="0070C0"/>
          </w:rPr>
          <w:t>: Simple Design Capture Volume Sizing Method</w:t>
        </w:r>
      </w:fldSimple>
    </w:p>
    <w:p w:rsidR="00770C03" w:rsidRPr="00126DE5" w:rsidRDefault="00126F3D" w:rsidP="00533A19">
      <w:pPr>
        <w:pStyle w:val="ListParagraph"/>
        <w:numPr>
          <w:ilvl w:val="0"/>
          <w:numId w:val="1"/>
        </w:numPr>
        <w:spacing w:after="0"/>
        <w:rPr>
          <w:rFonts w:cs="Arial"/>
          <w:b/>
          <w:color w:val="0070C0"/>
        </w:rPr>
      </w:pPr>
      <w:fldSimple w:instr=" REF _Ref285574546 \h  \* MERGEFORMAT ">
        <w:r w:rsidR="00126DE5" w:rsidRPr="00126DE5">
          <w:rPr>
            <w:rFonts w:cs="Arial"/>
            <w:b/>
            <w:color w:val="0070C0"/>
          </w:rPr>
          <w:t xml:space="preserve">Worksheet </w:t>
        </w:r>
        <w:r w:rsidR="00126DE5" w:rsidRPr="00126DE5">
          <w:rPr>
            <w:rFonts w:cs="Arial"/>
            <w:b/>
            <w:noProof/>
            <w:color w:val="0070C0"/>
          </w:rPr>
          <w:t>C</w:t>
        </w:r>
        <w:r w:rsidR="00126DE5" w:rsidRPr="00126DE5">
          <w:rPr>
            <w:rFonts w:cs="Arial"/>
            <w:b/>
            <w:color w:val="0070C0"/>
          </w:rPr>
          <w:t>: Capture Efficiency Method for Volume-Based, Constant Drawdown BMPs</w:t>
        </w:r>
      </w:fldSimple>
    </w:p>
    <w:p w:rsidR="00770C03" w:rsidRPr="00126DE5" w:rsidRDefault="00126F3D" w:rsidP="00533A19">
      <w:pPr>
        <w:pStyle w:val="ListParagraph"/>
        <w:numPr>
          <w:ilvl w:val="0"/>
          <w:numId w:val="1"/>
        </w:numPr>
        <w:spacing w:after="0"/>
        <w:outlineLvl w:val="0"/>
        <w:rPr>
          <w:rFonts w:cs="Arial"/>
          <w:b/>
          <w:color w:val="0070C0"/>
        </w:rPr>
      </w:pPr>
      <w:fldSimple w:instr=" REF _Ref285574549 \h  \* MERGEFORMAT ">
        <w:r w:rsidR="00126DE5" w:rsidRPr="00126DE5">
          <w:rPr>
            <w:rFonts w:cs="Arial"/>
            <w:b/>
            <w:color w:val="0070C0"/>
          </w:rPr>
          <w:t xml:space="preserve">Worksheet </w:t>
        </w:r>
        <w:r w:rsidR="00126DE5" w:rsidRPr="00126DE5">
          <w:rPr>
            <w:rFonts w:cs="Arial"/>
            <w:b/>
            <w:noProof/>
            <w:color w:val="0070C0"/>
          </w:rPr>
          <w:t>D</w:t>
        </w:r>
        <w:r w:rsidR="00126DE5" w:rsidRPr="00126DE5">
          <w:rPr>
            <w:rFonts w:cs="Arial"/>
            <w:b/>
            <w:color w:val="0070C0"/>
          </w:rPr>
          <w:t>: Capture Efficiency Method for Flow-Based BMPs</w:t>
        </w:r>
      </w:fldSimple>
    </w:p>
    <w:p w:rsidR="00770C03" w:rsidRPr="00126DE5" w:rsidRDefault="00126F3D" w:rsidP="00533A19">
      <w:pPr>
        <w:pStyle w:val="ListParagraph"/>
        <w:numPr>
          <w:ilvl w:val="0"/>
          <w:numId w:val="1"/>
        </w:numPr>
        <w:spacing w:after="0"/>
        <w:rPr>
          <w:rFonts w:cs="Arial"/>
          <w:b/>
          <w:color w:val="0070C0"/>
        </w:rPr>
      </w:pPr>
      <w:fldSimple w:instr=" REF _Ref285574554 \h  \* MERGEFORMAT ">
        <w:r w:rsidR="00126DE5" w:rsidRPr="00126DE5">
          <w:rPr>
            <w:rFonts w:cs="Arial"/>
            <w:b/>
            <w:color w:val="0070C0"/>
          </w:rPr>
          <w:t xml:space="preserve">Worksheet </w:t>
        </w:r>
        <w:r w:rsidR="00126DE5" w:rsidRPr="00126DE5">
          <w:rPr>
            <w:rFonts w:cs="Arial"/>
            <w:b/>
            <w:noProof/>
            <w:color w:val="0070C0"/>
          </w:rPr>
          <w:t>E</w:t>
        </w:r>
        <w:r w:rsidR="00126DE5" w:rsidRPr="00126DE5">
          <w:rPr>
            <w:rFonts w:cs="Arial"/>
            <w:b/>
            <w:color w:val="0070C0"/>
          </w:rPr>
          <w:t>: Determining Capture Efficiency of Volume Based, Constant Drawdown BMP based on Design Volume</w:t>
        </w:r>
      </w:fldSimple>
    </w:p>
    <w:p w:rsidR="00770C03" w:rsidRPr="00126DE5" w:rsidRDefault="00126F3D" w:rsidP="00533A19">
      <w:pPr>
        <w:pStyle w:val="ListParagraph"/>
        <w:numPr>
          <w:ilvl w:val="0"/>
          <w:numId w:val="1"/>
        </w:numPr>
        <w:spacing w:after="0"/>
        <w:outlineLvl w:val="0"/>
        <w:rPr>
          <w:rFonts w:cs="Arial"/>
          <w:b/>
          <w:color w:val="0070C0"/>
        </w:rPr>
      </w:pPr>
      <w:fldSimple w:instr=" REF _Ref285574559 \h  \* MERGEFORMAT ">
        <w:r w:rsidR="00126DE5" w:rsidRPr="00126DE5">
          <w:rPr>
            <w:rFonts w:cs="Arial"/>
            <w:b/>
            <w:color w:val="0070C0"/>
          </w:rPr>
          <w:t xml:space="preserve">Worksheet </w:t>
        </w:r>
        <w:r w:rsidR="00126DE5" w:rsidRPr="00126DE5">
          <w:rPr>
            <w:rFonts w:cs="Arial"/>
            <w:b/>
            <w:noProof/>
            <w:color w:val="0070C0"/>
          </w:rPr>
          <w:t>F</w:t>
        </w:r>
        <w:r w:rsidR="00126DE5" w:rsidRPr="00126DE5">
          <w:rPr>
            <w:rFonts w:cs="Arial"/>
            <w:b/>
            <w:color w:val="0070C0"/>
          </w:rPr>
          <w:t>: Determining Capture Efficiency of a Flow-based BMP based on Treatment Capacity</w:t>
        </w:r>
      </w:fldSimple>
    </w:p>
    <w:p w:rsidR="00770C03" w:rsidRPr="00126DE5" w:rsidRDefault="00126F3D" w:rsidP="00533A19">
      <w:pPr>
        <w:pStyle w:val="ListParagraph"/>
        <w:numPr>
          <w:ilvl w:val="0"/>
          <w:numId w:val="1"/>
        </w:numPr>
        <w:spacing w:after="0"/>
        <w:rPr>
          <w:rFonts w:cs="Arial"/>
          <w:b/>
          <w:color w:val="0070C0"/>
        </w:rPr>
      </w:pPr>
      <w:fldSimple w:instr=" REF _Ref285531397 \h  \* MERGEFORMAT ">
        <w:r w:rsidR="00126DE5" w:rsidRPr="00126DE5">
          <w:rPr>
            <w:b/>
            <w:color w:val="0070C0"/>
          </w:rPr>
          <w:t xml:space="preserve">Worksheet </w:t>
        </w:r>
        <w:r w:rsidR="00126DE5" w:rsidRPr="00126DE5">
          <w:rPr>
            <w:rFonts w:cs="Arial"/>
            <w:b/>
            <w:noProof/>
            <w:color w:val="0070C0"/>
          </w:rPr>
          <w:t>G</w:t>
        </w:r>
        <w:r w:rsidR="00126DE5" w:rsidRPr="00126DE5">
          <w:rPr>
            <w:b/>
            <w:color w:val="0070C0"/>
          </w:rPr>
          <w:t>: Alternative Compliance Volume Worksheet</w:t>
        </w:r>
      </w:fldSimple>
    </w:p>
    <w:p w:rsidR="00770C03" w:rsidRPr="00126DE5" w:rsidRDefault="00126F3D" w:rsidP="00533A19">
      <w:pPr>
        <w:pStyle w:val="ListParagraph"/>
        <w:numPr>
          <w:ilvl w:val="0"/>
          <w:numId w:val="1"/>
        </w:numPr>
        <w:spacing w:after="0"/>
        <w:outlineLvl w:val="0"/>
        <w:rPr>
          <w:rFonts w:cs="Arial"/>
          <w:b/>
          <w:color w:val="0070C0"/>
        </w:rPr>
      </w:pPr>
      <w:fldSimple w:instr=" REF _Ref285574572 \h  \* MERGEFORMAT ">
        <w:r w:rsidR="00126DE5" w:rsidRPr="00126DE5">
          <w:rPr>
            <w:b/>
            <w:color w:val="0070C0"/>
          </w:rPr>
          <w:t xml:space="preserve">Worksheet </w:t>
        </w:r>
        <w:r w:rsidR="00126DE5" w:rsidRPr="00126DE5">
          <w:rPr>
            <w:rFonts w:cs="Arial"/>
            <w:b/>
            <w:noProof/>
            <w:color w:val="0070C0"/>
          </w:rPr>
          <w:t>H</w:t>
        </w:r>
        <w:r w:rsidR="00126DE5" w:rsidRPr="00126DE5">
          <w:rPr>
            <w:b/>
            <w:color w:val="0070C0"/>
          </w:rPr>
          <w:t>: Factor of Safety and Design Infiltration Rate and Worksheet</w:t>
        </w:r>
      </w:fldSimple>
    </w:p>
    <w:p w:rsidR="00770C03" w:rsidRPr="00126DE5" w:rsidRDefault="00126F3D" w:rsidP="00533A19">
      <w:pPr>
        <w:pStyle w:val="ListParagraph"/>
        <w:numPr>
          <w:ilvl w:val="0"/>
          <w:numId w:val="1"/>
        </w:numPr>
        <w:spacing w:after="0"/>
        <w:rPr>
          <w:rFonts w:cs="Arial"/>
          <w:b/>
          <w:color w:val="0070C0"/>
        </w:rPr>
      </w:pPr>
      <w:fldSimple w:instr=" REF _Ref285574578 \h  \* MERGEFORMAT ">
        <w:r w:rsidR="00126DE5" w:rsidRPr="00126DE5">
          <w:rPr>
            <w:rFonts w:cs="Arial"/>
            <w:b/>
            <w:color w:val="0070C0"/>
          </w:rPr>
          <w:t xml:space="preserve">Worksheet </w:t>
        </w:r>
        <w:r w:rsidR="00126DE5" w:rsidRPr="00126DE5">
          <w:rPr>
            <w:rFonts w:cs="Arial"/>
            <w:b/>
            <w:noProof/>
            <w:color w:val="0070C0"/>
          </w:rPr>
          <w:t>I</w:t>
        </w:r>
        <w:r w:rsidR="00126DE5" w:rsidRPr="00126DE5">
          <w:rPr>
            <w:rFonts w:cs="Arial"/>
            <w:b/>
            <w:color w:val="0070C0"/>
          </w:rPr>
          <w:t>: Summary of Groundwater-related Feasibility Criteria</w:t>
        </w:r>
      </w:fldSimple>
    </w:p>
    <w:p w:rsidR="00770C03" w:rsidRPr="00126DE5" w:rsidRDefault="00126F3D" w:rsidP="00533A19">
      <w:pPr>
        <w:pStyle w:val="ListParagraph"/>
        <w:numPr>
          <w:ilvl w:val="0"/>
          <w:numId w:val="1"/>
        </w:numPr>
        <w:spacing w:after="0"/>
        <w:rPr>
          <w:rFonts w:cs="Arial"/>
          <w:b/>
          <w:color w:val="0070C0"/>
          <w:sz w:val="20"/>
        </w:rPr>
      </w:pPr>
      <w:fldSimple w:instr=" REF _Ref285574582 \h  \* MERGEFORMAT ">
        <w:r w:rsidR="00126DE5" w:rsidRPr="00126DE5">
          <w:rPr>
            <w:rFonts w:cs="Arial"/>
            <w:b/>
            <w:color w:val="0070C0"/>
          </w:rPr>
          <w:t xml:space="preserve">Worksheet </w:t>
        </w:r>
        <w:r w:rsidR="00126DE5" w:rsidRPr="00126DE5">
          <w:rPr>
            <w:rFonts w:cs="Arial"/>
            <w:b/>
            <w:noProof/>
            <w:color w:val="0070C0"/>
          </w:rPr>
          <w:t>J</w:t>
        </w:r>
        <w:r w:rsidR="00126DE5" w:rsidRPr="00126DE5">
          <w:rPr>
            <w:rFonts w:cs="Arial"/>
            <w:b/>
            <w:color w:val="0070C0"/>
          </w:rPr>
          <w:t>: Summary of Harvested Water Demand and Feasibility</w:t>
        </w:r>
      </w:fldSimple>
    </w:p>
    <w:p w:rsidR="00770C03" w:rsidRDefault="00770C03" w:rsidP="001958AC"/>
    <w:p w:rsidR="001958AC" w:rsidRDefault="001958AC" w:rsidP="001958AC"/>
    <w:p w:rsidR="009565DB" w:rsidRDefault="009565DB" w:rsidP="001958AC"/>
    <w:p w:rsidR="001958AC" w:rsidRPr="001958AC" w:rsidRDefault="001958AC" w:rsidP="001958AC">
      <w:pPr>
        <w:sectPr w:rsidR="001958AC" w:rsidRPr="001958AC" w:rsidSect="00BF43BB">
          <w:pgSz w:w="12240" w:h="15840" w:code="1"/>
          <w:pgMar w:top="1440" w:right="1440" w:bottom="1440" w:left="1440" w:header="720" w:footer="432" w:gutter="0"/>
          <w:pgNumType w:start="1" w:chapStyle="1"/>
          <w:cols w:space="720"/>
          <w:docGrid w:linePitch="360"/>
        </w:sectPr>
      </w:pPr>
    </w:p>
    <w:p w:rsidR="004673AC" w:rsidRDefault="004C6431" w:rsidP="001958AC">
      <w:pPr>
        <w:pStyle w:val="Heading1"/>
      </w:pPr>
      <w:bookmarkStart w:id="938" w:name="_Watershed_Exhibits"/>
      <w:bookmarkStart w:id="939" w:name="_Ref285118309"/>
      <w:bookmarkStart w:id="940" w:name="_Toc285308204"/>
      <w:bookmarkStart w:id="941" w:name="_Toc285315787"/>
      <w:bookmarkStart w:id="942" w:name="_Toc285315904"/>
      <w:bookmarkStart w:id="943" w:name="_Toc285492504"/>
      <w:bookmarkStart w:id="944" w:name="_Toc288541129"/>
      <w:bookmarkStart w:id="945" w:name="_Toc293937185"/>
      <w:bookmarkEnd w:id="938"/>
      <w:r w:rsidRPr="001958AC">
        <w:t>EXHIBITS</w:t>
      </w:r>
      <w:bookmarkEnd w:id="939"/>
      <w:bookmarkEnd w:id="940"/>
      <w:bookmarkEnd w:id="941"/>
      <w:bookmarkEnd w:id="942"/>
      <w:bookmarkEnd w:id="943"/>
      <w:bookmarkEnd w:id="944"/>
      <w:bookmarkEnd w:id="945"/>
    </w:p>
    <w:p w:rsidR="001958AC" w:rsidRPr="001958AC" w:rsidRDefault="001958AC" w:rsidP="001958AC"/>
    <w:p w:rsidR="004673AC" w:rsidRDefault="004673AC"/>
    <w:p w:rsidR="00E64C97" w:rsidRDefault="00E64C97" w:rsidP="0013104B">
      <w:pPr>
        <w:sectPr w:rsidR="00E64C97" w:rsidSect="00BF43BB">
          <w:pgSz w:w="12240" w:h="15840" w:code="1"/>
          <w:pgMar w:top="1440" w:right="1440" w:bottom="1440" w:left="1440" w:header="720" w:footer="432" w:gutter="0"/>
          <w:pgNumType w:start="1" w:chapStyle="1"/>
          <w:cols w:space="720"/>
          <w:docGrid w:linePitch="360"/>
        </w:sectPr>
      </w:pPr>
    </w:p>
    <w:p w:rsidR="00E64C97" w:rsidRDefault="004C68B4" w:rsidP="00A52883">
      <w:pPr>
        <w:pStyle w:val="Heading2"/>
      </w:pPr>
      <w:bookmarkStart w:id="946" w:name="_Toc285308205"/>
      <w:bookmarkStart w:id="947" w:name="_Toc285315788"/>
      <w:bookmarkStart w:id="948" w:name="_Ref285378878"/>
      <w:bookmarkStart w:id="949" w:name="_Toc285492505"/>
      <w:bookmarkStart w:id="950" w:name="_Ref288495267"/>
      <w:bookmarkStart w:id="951" w:name="_Toc288541130"/>
      <w:bookmarkStart w:id="952" w:name="_Toc293937186"/>
      <w:r>
        <w:t>Rainfall Zones Map</w:t>
      </w:r>
      <w:bookmarkEnd w:id="946"/>
      <w:bookmarkEnd w:id="947"/>
      <w:bookmarkEnd w:id="948"/>
      <w:bookmarkEnd w:id="949"/>
      <w:bookmarkEnd w:id="950"/>
      <w:bookmarkEnd w:id="951"/>
      <w:bookmarkEnd w:id="952"/>
    </w:p>
    <w:p w:rsidR="00524D76" w:rsidRDefault="00524D76" w:rsidP="00524D76">
      <w:pPr>
        <w:pStyle w:val="Caption"/>
        <w:jc w:val="left"/>
      </w:pPr>
      <w:bookmarkStart w:id="953" w:name="_Toc288555067"/>
      <w:r>
        <w:t xml:space="preserve">Figure </w:t>
      </w:r>
      <w:fldSimple w:instr=" STYLEREF 1 \s ">
        <w:r>
          <w:rPr>
            <w:noProof/>
          </w:rPr>
          <w:t>XVI</w:t>
        </w:r>
      </w:fldSimple>
      <w:r>
        <w:t>.</w:t>
      </w:r>
      <w:fldSimple w:instr=" SEQ Figure \* ARABIC \s 1 ">
        <w:r>
          <w:rPr>
            <w:noProof/>
          </w:rPr>
          <w:t>1</w:t>
        </w:r>
      </w:fldSimple>
      <w:r>
        <w:t>: Orange County Rainfall Zones Map</w:t>
      </w:r>
      <w:bookmarkEnd w:id="953"/>
    </w:p>
    <w:p w:rsidR="00E64C97" w:rsidRDefault="00E64C97">
      <w:pPr>
        <w:spacing w:after="200"/>
        <w:rPr>
          <w:b/>
          <w:szCs w:val="26"/>
        </w:rPr>
      </w:pPr>
      <w:r>
        <w:br w:type="page"/>
      </w:r>
    </w:p>
    <w:p w:rsidR="0013104B" w:rsidRDefault="0013104B" w:rsidP="00A52883">
      <w:pPr>
        <w:pStyle w:val="Heading2"/>
      </w:pPr>
      <w:bookmarkStart w:id="954" w:name="_Toc285308206"/>
      <w:bookmarkStart w:id="955" w:name="_Toc285315789"/>
      <w:bookmarkStart w:id="956" w:name="_Ref285384262"/>
      <w:bookmarkStart w:id="957" w:name="_Toc285492506"/>
      <w:bookmarkStart w:id="958" w:name="_Ref288491922"/>
      <w:bookmarkStart w:id="959" w:name="_Toc288541131"/>
      <w:bookmarkStart w:id="960" w:name="_Toc293937187"/>
      <w:r w:rsidRPr="006D72A5">
        <w:t xml:space="preserve">Infiltration Feasibility </w:t>
      </w:r>
      <w:r w:rsidR="004C68B4">
        <w:t xml:space="preserve">Constraints </w:t>
      </w:r>
      <w:r w:rsidRPr="006D72A5">
        <w:t>Maps</w:t>
      </w:r>
      <w:bookmarkEnd w:id="954"/>
      <w:bookmarkEnd w:id="955"/>
      <w:bookmarkEnd w:id="956"/>
      <w:bookmarkEnd w:id="957"/>
      <w:bookmarkEnd w:id="958"/>
      <w:bookmarkEnd w:id="959"/>
      <w:bookmarkEnd w:id="960"/>
    </w:p>
    <w:p w:rsidR="00524D76" w:rsidRDefault="00524D76" w:rsidP="00524D76">
      <w:pPr>
        <w:pStyle w:val="Caption"/>
        <w:jc w:val="left"/>
      </w:pPr>
      <w:bookmarkStart w:id="961" w:name="_Toc288555068"/>
      <w:r>
        <w:t xml:space="preserve">Figure </w:t>
      </w:r>
      <w:fldSimple w:instr=" STYLEREF 1 \s ">
        <w:r>
          <w:rPr>
            <w:noProof/>
          </w:rPr>
          <w:t>XVI</w:t>
        </w:r>
      </w:fldSimple>
      <w:r>
        <w:t>.</w:t>
      </w:r>
      <w:fldSimple w:instr=" SEQ Figure \* ARABIC \s 1 ">
        <w:r>
          <w:rPr>
            <w:noProof/>
          </w:rPr>
          <w:t>2</w:t>
        </w:r>
      </w:fldSimple>
      <w:r>
        <w:t>: Infiltration Feasibility Constraints Maps</w:t>
      </w:r>
      <w:bookmarkEnd w:id="961"/>
    </w:p>
    <w:p w:rsidR="0013104B" w:rsidRPr="0059675C" w:rsidRDefault="0013104B" w:rsidP="0013104B"/>
    <w:p w:rsidR="00E64C97" w:rsidRDefault="00E64C97">
      <w:pPr>
        <w:spacing w:after="200"/>
        <w:rPr>
          <w:b/>
          <w:szCs w:val="26"/>
        </w:rPr>
      </w:pPr>
      <w:r>
        <w:br w:type="page"/>
      </w:r>
    </w:p>
    <w:p w:rsidR="007D3B46" w:rsidRPr="006D72A5" w:rsidRDefault="007D3B46" w:rsidP="00A52883">
      <w:pPr>
        <w:pStyle w:val="Heading2"/>
      </w:pPr>
      <w:bookmarkStart w:id="962" w:name="_Groundwater_Protection_Areas"/>
      <w:bookmarkStart w:id="963" w:name="_Toc288541132"/>
      <w:bookmarkStart w:id="964" w:name="_Toc293937188"/>
      <w:bookmarkEnd w:id="962"/>
      <w:r>
        <w:t>North Orange County Hydromodification Susceptibility Maps</w:t>
      </w:r>
      <w:bookmarkEnd w:id="963"/>
      <w:bookmarkEnd w:id="964"/>
    </w:p>
    <w:p w:rsidR="00524D76" w:rsidRDefault="00524D76" w:rsidP="00524D76">
      <w:pPr>
        <w:pStyle w:val="Caption"/>
        <w:jc w:val="left"/>
      </w:pPr>
      <w:bookmarkStart w:id="965" w:name="_Toc288555069"/>
      <w:r>
        <w:t xml:space="preserve">Figure </w:t>
      </w:r>
      <w:fldSimple w:instr=" STYLEREF 1 \s ">
        <w:r>
          <w:rPr>
            <w:noProof/>
          </w:rPr>
          <w:t>XVI</w:t>
        </w:r>
      </w:fldSimple>
      <w:r>
        <w:t>.</w:t>
      </w:r>
      <w:fldSimple w:instr=" SEQ Figure \* ARABIC \s 1 ">
        <w:r>
          <w:rPr>
            <w:noProof/>
          </w:rPr>
          <w:t>3</w:t>
        </w:r>
      </w:fldSimple>
      <w:r>
        <w:t xml:space="preserve">: </w:t>
      </w:r>
      <w:r w:rsidRPr="00524D76">
        <w:t>North Orange County Hydromodification Susceptibility Maps</w:t>
      </w:r>
      <w:bookmarkEnd w:id="965"/>
    </w:p>
    <w:p w:rsidR="000352A9" w:rsidRDefault="000352A9" w:rsidP="000352A9">
      <w:pPr>
        <w:rPr>
          <w:lang w:bidi="en-US"/>
        </w:rPr>
      </w:pPr>
    </w:p>
    <w:p w:rsidR="0032141E" w:rsidRDefault="0032141E" w:rsidP="000352A9">
      <w:pPr>
        <w:rPr>
          <w:lang w:bidi="en-US"/>
        </w:rPr>
        <w:sectPr w:rsidR="0032141E" w:rsidSect="00BF43BB">
          <w:pgSz w:w="12240" w:h="15840"/>
          <w:pgMar w:top="1440" w:right="1440" w:bottom="1440" w:left="1440" w:header="720" w:footer="432" w:gutter="0"/>
          <w:pgNumType w:chapStyle="1"/>
          <w:cols w:space="720"/>
          <w:docGrid w:linePitch="360"/>
        </w:sectPr>
      </w:pPr>
    </w:p>
    <w:p w:rsidR="0032141E" w:rsidRDefault="0032141E" w:rsidP="0032141E">
      <w:pPr>
        <w:pStyle w:val="Heading1"/>
      </w:pPr>
      <w:bookmarkStart w:id="966" w:name="_Toc293937189"/>
      <w:r w:rsidRPr="0032141E">
        <w:rPr>
          <w:caps w:val="0"/>
        </w:rPr>
        <w:t>SUPPORTING INFORMATION RELATIVE TO SANITARY SEWER INFLOW AND INFILTRATION</w:t>
      </w:r>
      <w:bookmarkEnd w:id="966"/>
    </w:p>
    <w:p w:rsidR="0032141E" w:rsidRPr="000352A9" w:rsidRDefault="0032141E" w:rsidP="0032141E">
      <w:pPr>
        <w:rPr>
          <w:lang w:bidi="en-US"/>
        </w:rPr>
      </w:pPr>
      <w:r w:rsidRPr="001958AC">
        <w:rPr>
          <w:lang w:bidi="en-US"/>
        </w:rPr>
        <w:t>Placeholder for appendix to be developed</w:t>
      </w:r>
    </w:p>
    <w:p w:rsidR="00770C03" w:rsidRDefault="00770C03" w:rsidP="00DF5FD3">
      <w:pPr>
        <w:jc w:val="center"/>
      </w:pPr>
    </w:p>
    <w:sectPr w:rsidR="00770C03" w:rsidSect="001D74B5">
      <w:pgSz w:w="12240" w:h="15840"/>
      <w:pgMar w:top="1440" w:right="1440" w:bottom="1440" w:left="1440" w:header="720" w:footer="432" w:gutter="0"/>
      <w:pgNumType w:start="1" w:chapStyle="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53C9A" w:rsidRDefault="00853C9A" w:rsidP="0013104B">
      <w:pPr>
        <w:spacing w:line="240" w:lineRule="auto"/>
      </w:pPr>
      <w:r>
        <w:separator/>
      </w:r>
    </w:p>
  </w:endnote>
  <w:endnote w:type="continuationSeparator" w:id="0">
    <w:p w:rsidR="00853C9A" w:rsidRDefault="00853C9A" w:rsidP="0013104B">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 w:name="Times">
    <w:panose1 w:val="020206030504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A00002EF" w:usb1="420020E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3C9A" w:rsidRPr="008A0BA6" w:rsidRDefault="00853C9A" w:rsidP="004709AA">
    <w:pPr>
      <w:pStyle w:val="Footer"/>
      <w:pBdr>
        <w:top w:val="single" w:sz="8" w:space="1" w:color="auto"/>
      </w:pBdr>
      <w:jc w:val="center"/>
      <w:rPr>
        <w:rFonts w:cs="Arial"/>
        <w:sz w:val="18"/>
        <w:szCs w:val="18"/>
      </w:rPr>
    </w:pPr>
    <w:r w:rsidRPr="008A0BA6">
      <w:rPr>
        <w:rFonts w:cs="Arial"/>
        <w:sz w:val="18"/>
        <w:szCs w:val="18"/>
      </w:rPr>
      <w:tab/>
    </w:r>
    <w:r w:rsidRPr="008A0BA6">
      <w:rPr>
        <w:rFonts w:cs="Arial"/>
        <w:sz w:val="18"/>
        <w:szCs w:val="18"/>
      </w:rPr>
      <w:fldChar w:fldCharType="begin"/>
    </w:r>
    <w:r w:rsidRPr="008A0BA6">
      <w:rPr>
        <w:rFonts w:cs="Arial"/>
        <w:sz w:val="18"/>
        <w:szCs w:val="18"/>
      </w:rPr>
      <w:instrText xml:space="preserve"> PAGE   \* MERGEFORMAT </w:instrText>
    </w:r>
    <w:r w:rsidRPr="008A0BA6">
      <w:rPr>
        <w:rFonts w:cs="Arial"/>
        <w:sz w:val="18"/>
        <w:szCs w:val="18"/>
      </w:rPr>
      <w:fldChar w:fldCharType="separate"/>
    </w:r>
    <w:r w:rsidR="00BD6F8B">
      <w:rPr>
        <w:rFonts w:cs="Arial"/>
        <w:noProof/>
        <w:sz w:val="18"/>
        <w:szCs w:val="18"/>
      </w:rPr>
      <w:t>iv</w:t>
    </w:r>
    <w:r w:rsidRPr="008A0BA6">
      <w:rPr>
        <w:rFonts w:cs="Arial"/>
        <w:sz w:val="18"/>
        <w:szCs w:val="18"/>
      </w:rPr>
      <w:fldChar w:fldCharType="end"/>
    </w:r>
    <w:r w:rsidRPr="008A0BA6">
      <w:rPr>
        <w:rFonts w:cs="Arial"/>
        <w:sz w:val="18"/>
        <w:szCs w:val="18"/>
      </w:rPr>
      <w:tab/>
      <w:t>M</w:t>
    </w:r>
    <w:r>
      <w:rPr>
        <w:rFonts w:cs="Arial"/>
        <w:sz w:val="18"/>
        <w:szCs w:val="18"/>
      </w:rPr>
      <w:t>ay</w:t>
    </w:r>
    <w:r w:rsidRPr="008A0BA6">
      <w:rPr>
        <w:rFonts w:cs="Arial"/>
        <w:sz w:val="18"/>
        <w:szCs w:val="18"/>
      </w:rPr>
      <w:t xml:space="preserve"> </w:t>
    </w:r>
    <w:r>
      <w:rPr>
        <w:rFonts w:cs="Arial"/>
        <w:sz w:val="18"/>
        <w:szCs w:val="18"/>
      </w:rPr>
      <w:t>19</w:t>
    </w:r>
    <w:r w:rsidRPr="008A0BA6">
      <w:rPr>
        <w:rFonts w:cs="Arial"/>
        <w:sz w:val="18"/>
        <w:szCs w:val="18"/>
      </w:rPr>
      <w:t>, 2011</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3C9A" w:rsidRDefault="00853C9A" w:rsidP="002771FD">
    <w:pPr>
      <w:pStyle w:val="Footer"/>
      <w:spacing w:after="0"/>
      <w:jc w:val="center"/>
    </w:pPr>
  </w:p>
  <w:p w:rsidR="00853C9A" w:rsidRPr="00572495" w:rsidRDefault="00853C9A" w:rsidP="00572495">
    <w:pPr>
      <w:pStyle w:val="Footer"/>
      <w:pBdr>
        <w:top w:val="single" w:sz="8" w:space="1" w:color="auto"/>
      </w:pBdr>
      <w:jc w:val="center"/>
      <w:rPr>
        <w:rFonts w:cs="Arial"/>
        <w:sz w:val="18"/>
        <w:szCs w:val="18"/>
      </w:rPr>
    </w:pPr>
    <w:r w:rsidRPr="008A0BA6">
      <w:rPr>
        <w:rFonts w:cs="Arial"/>
        <w:sz w:val="18"/>
        <w:szCs w:val="18"/>
      </w:rPr>
      <w:tab/>
    </w:r>
    <w:r w:rsidRPr="008A0BA6">
      <w:rPr>
        <w:rFonts w:cs="Arial"/>
        <w:sz w:val="18"/>
        <w:szCs w:val="18"/>
      </w:rPr>
      <w:fldChar w:fldCharType="begin"/>
    </w:r>
    <w:r w:rsidRPr="008A0BA6">
      <w:rPr>
        <w:rFonts w:cs="Arial"/>
        <w:sz w:val="18"/>
        <w:szCs w:val="18"/>
      </w:rPr>
      <w:instrText xml:space="preserve"> PAGE   \* MERGEFORMAT </w:instrText>
    </w:r>
    <w:r w:rsidRPr="008A0BA6">
      <w:rPr>
        <w:rFonts w:cs="Arial"/>
        <w:sz w:val="18"/>
        <w:szCs w:val="18"/>
      </w:rPr>
      <w:fldChar w:fldCharType="separate"/>
    </w:r>
    <w:r w:rsidR="00BD6F8B">
      <w:rPr>
        <w:rFonts w:cs="Arial"/>
        <w:noProof/>
        <w:sz w:val="18"/>
        <w:szCs w:val="18"/>
      </w:rPr>
      <w:t>i</w:t>
    </w:r>
    <w:r w:rsidRPr="008A0BA6">
      <w:rPr>
        <w:rFonts w:cs="Arial"/>
        <w:sz w:val="18"/>
        <w:szCs w:val="18"/>
      </w:rPr>
      <w:fldChar w:fldCharType="end"/>
    </w:r>
    <w:r w:rsidRPr="008A0BA6">
      <w:rPr>
        <w:rFonts w:cs="Arial"/>
        <w:sz w:val="18"/>
        <w:szCs w:val="18"/>
      </w:rPr>
      <w:tab/>
    </w:r>
    <w:r>
      <w:rPr>
        <w:rFonts w:cs="Arial"/>
        <w:sz w:val="18"/>
        <w:szCs w:val="18"/>
      </w:rPr>
      <w:t>May</w:t>
    </w:r>
    <w:r w:rsidRPr="008A0BA6">
      <w:rPr>
        <w:rFonts w:cs="Arial"/>
        <w:sz w:val="18"/>
        <w:szCs w:val="18"/>
      </w:rPr>
      <w:t xml:space="preserve"> </w:t>
    </w:r>
    <w:r>
      <w:rPr>
        <w:rFonts w:cs="Arial"/>
        <w:sz w:val="18"/>
        <w:szCs w:val="18"/>
      </w:rPr>
      <w:t>19</w:t>
    </w:r>
    <w:r w:rsidRPr="008A0BA6">
      <w:rPr>
        <w:rFonts w:cs="Arial"/>
        <w:sz w:val="18"/>
        <w:szCs w:val="18"/>
      </w:rPr>
      <w:t>, 2011</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3C9A" w:rsidRPr="00BF43BB" w:rsidRDefault="00853C9A" w:rsidP="00BF43BB">
    <w:pPr>
      <w:pStyle w:val="Footer"/>
      <w:pBdr>
        <w:top w:val="single" w:sz="8" w:space="1" w:color="auto"/>
      </w:pBdr>
      <w:jc w:val="center"/>
      <w:rPr>
        <w:rFonts w:cs="Arial"/>
        <w:sz w:val="18"/>
        <w:szCs w:val="18"/>
      </w:rPr>
    </w:pPr>
    <w:r w:rsidRPr="00BF43BB">
      <w:rPr>
        <w:rFonts w:cs="Arial"/>
        <w:sz w:val="18"/>
        <w:szCs w:val="18"/>
      </w:rPr>
      <w:tab/>
    </w:r>
    <w:r w:rsidRPr="00BF43BB">
      <w:rPr>
        <w:rFonts w:cs="Arial"/>
        <w:sz w:val="18"/>
        <w:szCs w:val="18"/>
      </w:rPr>
      <w:fldChar w:fldCharType="begin"/>
    </w:r>
    <w:r w:rsidRPr="00BF43BB">
      <w:rPr>
        <w:rFonts w:cs="Arial"/>
        <w:sz w:val="18"/>
        <w:szCs w:val="18"/>
      </w:rPr>
      <w:instrText xml:space="preserve"> PAGE   \* MERGEFORMAT </w:instrText>
    </w:r>
    <w:r w:rsidRPr="00BF43BB">
      <w:rPr>
        <w:rFonts w:cs="Arial"/>
        <w:sz w:val="18"/>
        <w:szCs w:val="18"/>
      </w:rPr>
      <w:fldChar w:fldCharType="separate"/>
    </w:r>
    <w:r>
      <w:rPr>
        <w:rFonts w:cs="Arial"/>
        <w:noProof/>
        <w:sz w:val="18"/>
        <w:szCs w:val="18"/>
      </w:rPr>
      <w:t>VIII-1</w:t>
    </w:r>
    <w:r w:rsidRPr="00BF43BB">
      <w:rPr>
        <w:rFonts w:cs="Arial"/>
        <w:sz w:val="18"/>
        <w:szCs w:val="18"/>
      </w:rPr>
      <w:fldChar w:fldCharType="end"/>
    </w:r>
    <w:r w:rsidRPr="00BF43BB">
      <w:rPr>
        <w:rFonts w:cs="Arial"/>
        <w:sz w:val="18"/>
        <w:szCs w:val="18"/>
      </w:rPr>
      <w:tab/>
    </w:r>
    <w:r>
      <w:rPr>
        <w:rFonts w:cs="Arial"/>
        <w:sz w:val="18"/>
        <w:szCs w:val="18"/>
      </w:rPr>
      <w:t>May</w:t>
    </w:r>
    <w:r w:rsidRPr="00BF43BB">
      <w:rPr>
        <w:rFonts w:cs="Arial"/>
        <w:sz w:val="18"/>
        <w:szCs w:val="18"/>
      </w:rPr>
      <w:t xml:space="preserve"> </w:t>
    </w:r>
    <w:r>
      <w:rPr>
        <w:rFonts w:cs="Arial"/>
        <w:sz w:val="18"/>
        <w:szCs w:val="18"/>
      </w:rPr>
      <w:t>19</w:t>
    </w:r>
    <w:r w:rsidRPr="00BF43BB">
      <w:rPr>
        <w:rFonts w:cs="Arial"/>
        <w:sz w:val="18"/>
        <w:szCs w:val="18"/>
      </w:rPr>
      <w:t>, 2011</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3C9A" w:rsidRPr="002771FD" w:rsidRDefault="00853C9A" w:rsidP="002771FD">
    <w:pPr>
      <w:pStyle w:val="Footer"/>
      <w:spacing w:after="0"/>
      <w:jc w:val="center"/>
      <w:rPr>
        <w:rFonts w:ascii="Arial" w:hAnsi="Arial" w:cs="Arial"/>
        <w:sz w:val="20"/>
        <w:szCs w:val="20"/>
      </w:rPr>
    </w:pPr>
  </w:p>
  <w:p w:rsidR="00853C9A" w:rsidRPr="002771FD" w:rsidRDefault="00853C9A" w:rsidP="00FE5473">
    <w:pPr>
      <w:pStyle w:val="Footer"/>
      <w:rPr>
        <w:rFonts w:ascii="Arial" w:hAnsi="Arial" w:cs="Arial"/>
        <w:sz w:val="20"/>
        <w:szCs w:val="20"/>
      </w:rPr>
    </w:pPr>
    <w:r w:rsidRPr="002771FD">
      <w:rPr>
        <w:rFonts w:ascii="Arial" w:hAnsi="Arial" w:cs="Arial"/>
        <w:sz w:val="20"/>
        <w:szCs w:val="20"/>
      </w:rPr>
      <w:t>Revised Draft for Review</w:t>
    </w:r>
    <w:r w:rsidRPr="002771FD">
      <w:rPr>
        <w:rFonts w:ascii="Arial" w:hAnsi="Arial" w:cs="Arial"/>
        <w:sz w:val="20"/>
        <w:szCs w:val="20"/>
      </w:rPr>
      <w:tab/>
    </w:r>
    <w:r w:rsidRPr="002771FD">
      <w:rPr>
        <w:rFonts w:ascii="Arial" w:hAnsi="Arial" w:cs="Arial"/>
        <w:sz w:val="20"/>
        <w:szCs w:val="20"/>
      </w:rPr>
      <w:fldChar w:fldCharType="begin"/>
    </w:r>
    <w:r w:rsidRPr="002771FD">
      <w:rPr>
        <w:rFonts w:ascii="Arial" w:hAnsi="Arial" w:cs="Arial"/>
        <w:sz w:val="20"/>
        <w:szCs w:val="20"/>
      </w:rPr>
      <w:instrText xml:space="preserve"> PAGE   \* MERGEFORMAT </w:instrText>
    </w:r>
    <w:r w:rsidRPr="002771FD">
      <w:rPr>
        <w:rFonts w:ascii="Arial" w:hAnsi="Arial" w:cs="Arial"/>
        <w:sz w:val="20"/>
        <w:szCs w:val="20"/>
      </w:rPr>
      <w:fldChar w:fldCharType="separate"/>
    </w:r>
    <w:r>
      <w:rPr>
        <w:rFonts w:ascii="Arial" w:hAnsi="Arial" w:cs="Arial"/>
        <w:noProof/>
        <w:sz w:val="20"/>
        <w:szCs w:val="20"/>
      </w:rPr>
      <w:t>XVI-1</w:t>
    </w:r>
    <w:r w:rsidRPr="002771FD">
      <w:rPr>
        <w:rFonts w:ascii="Arial" w:hAnsi="Arial" w:cs="Arial"/>
        <w:sz w:val="20"/>
        <w:szCs w:val="20"/>
      </w:rPr>
      <w:fldChar w:fldCharType="end"/>
    </w:r>
    <w:r w:rsidRPr="002771FD">
      <w:rPr>
        <w:rFonts w:ascii="Arial" w:hAnsi="Arial" w:cs="Arial"/>
        <w:sz w:val="20"/>
        <w:szCs w:val="20"/>
      </w:rPr>
      <w:tab/>
      <w:t>February 15, 2011</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53C9A" w:rsidRDefault="00853C9A" w:rsidP="0013104B">
      <w:pPr>
        <w:spacing w:line="240" w:lineRule="auto"/>
      </w:pPr>
      <w:r>
        <w:separator/>
      </w:r>
    </w:p>
  </w:footnote>
  <w:footnote w:type="continuationSeparator" w:id="0">
    <w:p w:rsidR="00853C9A" w:rsidRDefault="00853C9A" w:rsidP="0013104B">
      <w:pPr>
        <w:spacing w:line="240" w:lineRule="auto"/>
      </w:pPr>
      <w:r>
        <w:continuationSeparator/>
      </w:r>
    </w:p>
  </w:footnote>
  <w:footnote w:id="1">
    <w:p w:rsidR="00853C9A" w:rsidRPr="009367C8" w:rsidRDefault="00853C9A">
      <w:pPr>
        <w:pStyle w:val="FootnoteText"/>
        <w:rPr>
          <w:rFonts w:ascii="Book Antiqua" w:hAnsi="Book Antiqua"/>
          <w:sz w:val="16"/>
          <w:szCs w:val="16"/>
        </w:rPr>
      </w:pPr>
      <w:r w:rsidRPr="009367C8">
        <w:rPr>
          <w:rStyle w:val="FootnoteReference"/>
          <w:rFonts w:ascii="Book Antiqua" w:hAnsi="Book Antiqua"/>
          <w:sz w:val="16"/>
          <w:szCs w:val="16"/>
        </w:rPr>
        <w:footnoteRef/>
      </w:r>
      <w:r w:rsidRPr="009367C8">
        <w:rPr>
          <w:rFonts w:ascii="Book Antiqua" w:hAnsi="Book Antiqua"/>
          <w:sz w:val="16"/>
          <w:szCs w:val="16"/>
        </w:rPr>
        <w:t xml:space="preserve"> </w:t>
      </w:r>
      <w:r>
        <w:rPr>
          <w:rFonts w:ascii="Book Antiqua" w:hAnsi="Book Antiqua"/>
          <w:sz w:val="16"/>
          <w:szCs w:val="16"/>
        </w:rPr>
        <w:t>T</w:t>
      </w:r>
      <w:r w:rsidRPr="009367C8">
        <w:rPr>
          <w:rFonts w:ascii="Book Antiqua" w:hAnsi="Book Antiqua"/>
          <w:sz w:val="16"/>
          <w:szCs w:val="16"/>
        </w:rPr>
        <w:t>he remaining design capture volume refers the remaining volume required for the BMP system to collectively store the entire design capture volume, or the remaining volume required for the system to collectively retain plus biotreat 80 percent of average annual runoff volume.</w:t>
      </w:r>
    </w:p>
  </w:footnote>
  <w:footnote w:id="2">
    <w:p w:rsidR="00853C9A" w:rsidRDefault="00853C9A" w:rsidP="00D368B0">
      <w:pPr>
        <w:pStyle w:val="FootnoteText"/>
        <w:spacing w:after="60"/>
        <w:rPr>
          <w:rFonts w:ascii="Book Antiqua" w:hAnsi="Book Antiqua" w:cs="Arial"/>
          <w:sz w:val="16"/>
          <w:szCs w:val="16"/>
        </w:rPr>
      </w:pPr>
      <w:r w:rsidRPr="009367C8">
        <w:rPr>
          <w:rStyle w:val="FootnoteReference"/>
          <w:rFonts w:ascii="Book Antiqua" w:hAnsi="Book Antiqua" w:cs="Arial"/>
          <w:sz w:val="16"/>
          <w:szCs w:val="16"/>
        </w:rPr>
        <w:footnoteRef/>
      </w:r>
      <w:r w:rsidRPr="009367C8">
        <w:rPr>
          <w:rFonts w:ascii="Book Antiqua" w:hAnsi="Book Antiqua" w:cs="Arial"/>
          <w:sz w:val="16"/>
          <w:szCs w:val="16"/>
        </w:rPr>
        <w:t xml:space="preserve"> If remaining volume = 0 after any step, then subsequent steps are not necessary.</w:t>
      </w:r>
    </w:p>
  </w:footnote>
  <w:footnote w:id="3">
    <w:p w:rsidR="00853C9A" w:rsidRDefault="00853C9A">
      <w:pPr>
        <w:pStyle w:val="FootnoteText"/>
      </w:pPr>
      <w:r>
        <w:rPr>
          <w:rStyle w:val="FootnoteReference"/>
        </w:rPr>
        <w:footnoteRef/>
      </w:r>
      <w:r>
        <w:t xml:space="preserve"> </w:t>
      </w:r>
      <w:r w:rsidRPr="006860B9">
        <w:rPr>
          <w:sz w:val="16"/>
        </w:rPr>
        <w:t>This option does not require Regional Board Executive Officer approval.  This option is implemented after a project-specific finding of infeasibility of retaining or biotreating the entire DCV on the project site.</w:t>
      </w:r>
    </w:p>
  </w:footnote>
  <w:footnote w:id="4">
    <w:p w:rsidR="00853C9A" w:rsidRPr="000A554C" w:rsidRDefault="00853C9A" w:rsidP="00B07251">
      <w:pPr>
        <w:pStyle w:val="FootnoteText"/>
        <w:rPr>
          <w:rFonts w:ascii="Book Antiqua" w:hAnsi="Book Antiqua"/>
          <w:sz w:val="16"/>
          <w:szCs w:val="16"/>
        </w:rPr>
      </w:pPr>
      <w:r w:rsidRPr="001A3CFF">
        <w:rPr>
          <w:rStyle w:val="FootnoteReference"/>
          <w:rFonts w:ascii="Book Antiqua" w:hAnsi="Book Antiqua"/>
          <w:sz w:val="16"/>
          <w:szCs w:val="16"/>
        </w:rPr>
        <w:footnoteRef/>
      </w:r>
      <w:r w:rsidRPr="001A3CFF">
        <w:rPr>
          <w:rFonts w:ascii="Book Antiqua" w:hAnsi="Book Antiqua"/>
          <w:sz w:val="16"/>
          <w:szCs w:val="16"/>
        </w:rPr>
        <w:t xml:space="preserve"> In North Orange County (Order R8-2009-0030), p</w:t>
      </w:r>
      <w:r>
        <w:rPr>
          <w:rFonts w:ascii="Book Antiqua" w:hAnsi="Book Antiqua"/>
          <w:sz w:val="16"/>
          <w:szCs w:val="16"/>
        </w:rPr>
        <w:t>redevelopment</w:t>
      </w:r>
      <w:r w:rsidRPr="001A3CFF">
        <w:rPr>
          <w:rFonts w:ascii="Book Antiqua" w:hAnsi="Book Antiqua"/>
          <w:sz w:val="16"/>
          <w:szCs w:val="16"/>
        </w:rPr>
        <w:t xml:space="preserve"> is defined as the existing conditions immediately prior to Project WQMP submittal.</w:t>
      </w:r>
    </w:p>
  </w:footnote>
  <w:footnote w:id="5">
    <w:p w:rsidR="00853C9A" w:rsidRDefault="00853C9A" w:rsidP="009E7FDA">
      <w:pPr>
        <w:pStyle w:val="FootnoteText"/>
      </w:pPr>
      <w:r w:rsidRPr="009E7FDA">
        <w:rPr>
          <w:rStyle w:val="FootnoteReference"/>
        </w:rPr>
        <w:footnoteRef/>
      </w:r>
      <w:r w:rsidRPr="009E7FDA">
        <w:t xml:space="preserve"> </w:t>
      </w:r>
      <w:r w:rsidRPr="00380D13">
        <w:rPr>
          <w:sz w:val="16"/>
        </w:rPr>
        <w:t xml:space="preserve">The North County Permit (Order R8-2009-0030), as adopted, provides the option of reducing Tc to less than the existing condition Tc (within 5 percent) as part of the primary and preferred option for mitigating HCOCs.  However, a longer Tc is generally associated with natural conditions than urban conditions, and a longer Tc nearly universally results in lower concern for hydromodification impacts.  In addition, it is not physically possible for a project to implement BMPs consistent with LID provisions of the permit without substantially increasing the Tc of the site.  The use of retention BMPs results in water not discharged under design conditions, while the use of biotreatment BMPs general results in water not immediately discharged.  Therefore, it would not generally be possible to mitigate HCOCs using the primary option for compliance described above while complying with LID requirements.  This TGD therefore interprets this provision such that increases in Tc would be acceptable and reduction in Tc of more than 5 percent would not be acceptable.  This interpretation is consistent with the overall goal of the permit to protect receiving waters from stormwater impacts to the </w:t>
      </w:r>
      <w:r>
        <w:rPr>
          <w:sz w:val="16"/>
        </w:rPr>
        <w:t>MEP</w:t>
      </w:r>
      <w:r w:rsidRPr="00380D13">
        <w:rPr>
          <w:sz w:val="16"/>
        </w:rPr>
        <w:t>.</w:t>
      </w:r>
    </w:p>
  </w:footnote>
  <w:footnote w:id="6">
    <w:p w:rsidR="00853C9A" w:rsidRDefault="00853C9A">
      <w:pPr>
        <w:pStyle w:val="FootnoteText"/>
      </w:pPr>
      <w:r>
        <w:rPr>
          <w:rStyle w:val="FootnoteReference"/>
        </w:rPr>
        <w:footnoteRef/>
      </w:r>
      <w:r>
        <w:t xml:space="preserve"> The pre-filter volume is defined as the physical storage provided in the BMP, not count volume that is routed during the storm event. The physical volume of the BMP must be at least 75 percent of the DCV.</w:t>
      </w:r>
    </w:p>
  </w:footnote>
  <w:footnote w:id="7">
    <w:p w:rsidR="00853C9A" w:rsidRPr="009367C8" w:rsidRDefault="00853C9A">
      <w:pPr>
        <w:pStyle w:val="FootnoteText"/>
        <w:rPr>
          <w:rFonts w:ascii="Book Antiqua" w:hAnsi="Book Antiqua"/>
          <w:sz w:val="16"/>
          <w:szCs w:val="16"/>
        </w:rPr>
      </w:pPr>
      <w:r w:rsidRPr="009367C8">
        <w:rPr>
          <w:rStyle w:val="FootnoteReference"/>
          <w:rFonts w:ascii="Book Antiqua" w:hAnsi="Book Antiqua"/>
          <w:sz w:val="16"/>
          <w:szCs w:val="16"/>
        </w:rPr>
        <w:footnoteRef/>
      </w:r>
      <w:r>
        <w:rPr>
          <w:rFonts w:ascii="Book Antiqua" w:hAnsi="Book Antiqua"/>
          <w:sz w:val="16"/>
          <w:szCs w:val="16"/>
        </w:rPr>
        <w:t xml:space="preserve"> T</w:t>
      </w:r>
      <w:r w:rsidRPr="009367C8">
        <w:rPr>
          <w:rFonts w:ascii="Book Antiqua" w:hAnsi="Book Antiqua"/>
          <w:sz w:val="16"/>
          <w:szCs w:val="16"/>
        </w:rPr>
        <w:t>he remaining design capture volume refers the remaining volume required for the BMP system to collectively store the entire design capture volume, or the remaining volume required for the system to collectively retain plus biotreat 80 percent of average annual runoff volume.</w:t>
      </w:r>
    </w:p>
  </w:footnote>
  <w:footnote w:id="8">
    <w:p w:rsidR="00853C9A" w:rsidRDefault="00853C9A" w:rsidP="00A851F8">
      <w:pPr>
        <w:pStyle w:val="FootnoteText"/>
        <w:spacing w:after="60"/>
        <w:rPr>
          <w:rFonts w:ascii="Book Antiqua" w:hAnsi="Book Antiqua" w:cs="Arial"/>
          <w:sz w:val="16"/>
          <w:szCs w:val="16"/>
        </w:rPr>
      </w:pPr>
      <w:r w:rsidRPr="009367C8">
        <w:rPr>
          <w:rStyle w:val="FootnoteReference"/>
          <w:rFonts w:ascii="Book Antiqua" w:hAnsi="Book Antiqua" w:cs="Arial"/>
          <w:sz w:val="16"/>
          <w:szCs w:val="16"/>
        </w:rPr>
        <w:footnoteRef/>
      </w:r>
      <w:r w:rsidRPr="009367C8">
        <w:rPr>
          <w:rFonts w:ascii="Book Antiqua" w:hAnsi="Book Antiqua" w:cs="Arial"/>
          <w:sz w:val="16"/>
          <w:szCs w:val="16"/>
        </w:rPr>
        <w:t xml:space="preserve"> If remaining volume = 0 after any step, then subsequent steps are not necessary.</w:t>
      </w:r>
    </w:p>
  </w:footnote>
  <w:footnote w:id="9">
    <w:p w:rsidR="00853C9A" w:rsidRPr="001307DE" w:rsidRDefault="00853C9A" w:rsidP="008C47D3">
      <w:pPr>
        <w:pStyle w:val="FootnoteText"/>
        <w:rPr>
          <w:rFonts w:ascii="Book Antiqua" w:hAnsi="Book Antiqua"/>
        </w:rPr>
      </w:pPr>
      <w:r w:rsidRPr="001307DE">
        <w:rPr>
          <w:rStyle w:val="FootnoteReference"/>
          <w:rFonts w:ascii="Book Antiqua" w:hAnsi="Book Antiqua"/>
        </w:rPr>
        <w:footnoteRef/>
      </w:r>
      <w:r w:rsidRPr="001307DE">
        <w:rPr>
          <w:rFonts w:ascii="Book Antiqua" w:hAnsi="Book Antiqua"/>
        </w:rPr>
        <w:t xml:space="preserve"> The Design Capture Storm Depth is calculated as the 85th percentile, 24 hour precipitation depth, determined from historic precipitation records, excluding days with less than or equal to 0.1 inches of precipitation.</w:t>
      </w:r>
    </w:p>
  </w:footnote>
  <w:footnote w:id="10">
    <w:p w:rsidR="00853C9A" w:rsidRDefault="00853C9A" w:rsidP="00972110">
      <w:pPr>
        <w:pStyle w:val="FootnoteText"/>
      </w:pPr>
      <w:r>
        <w:rPr>
          <w:rStyle w:val="FootnoteReference"/>
        </w:rPr>
        <w:footnoteRef/>
      </w:r>
      <w:r>
        <w:t xml:space="preserve"> Free WinTR-55 software can be downloaded at: </w:t>
      </w:r>
      <w:hyperlink r:id="rId1" w:history="1">
        <w:r w:rsidRPr="00543E4A">
          <w:rPr>
            <w:rStyle w:val="Hyperlink"/>
          </w:rPr>
          <w:t>http://www.wsi.nrcs.usda.gov/products/w2q/h&amp;h/tools_models/wintr55.html</w:t>
        </w:r>
      </w:hyperlink>
      <w:r>
        <w:t xml:space="preserve"> </w:t>
      </w:r>
    </w:p>
  </w:footnote>
  <w:footnote w:id="11">
    <w:p w:rsidR="00853C9A" w:rsidRDefault="00853C9A" w:rsidP="00972110">
      <w:pPr>
        <w:pStyle w:val="FootnoteText"/>
      </w:pPr>
      <w:r>
        <w:rPr>
          <w:rStyle w:val="FootnoteReference"/>
        </w:rPr>
        <w:footnoteRef/>
      </w:r>
      <w:r>
        <w:t xml:space="preserve"> Free HEC-HMS software can be downloaded at: </w:t>
      </w:r>
      <w:hyperlink r:id="rId2" w:history="1">
        <w:r w:rsidRPr="00543E4A">
          <w:rPr>
            <w:rStyle w:val="Hyperlink"/>
          </w:rPr>
          <w:t>http://www.hec.usace.army.mil/software/hec-hms/download.html</w:t>
        </w:r>
      </w:hyperlink>
      <w:r>
        <w:t xml:space="preserve">  Loss parameters shall be set to the SCS Curve Number method, transform parameters must be set to the SCS Unit Hydrograph method, and reach routing parameters must be set to the Muskingum-Cunge method.</w:t>
      </w:r>
    </w:p>
  </w:footnote>
  <w:footnote w:id="12">
    <w:p w:rsidR="00853C9A" w:rsidRDefault="00853C9A" w:rsidP="00E63488">
      <w:pPr>
        <w:pStyle w:val="FootnoteText"/>
      </w:pPr>
      <w:r>
        <w:rPr>
          <w:rStyle w:val="FootnoteReference"/>
        </w:rPr>
        <w:footnoteRef/>
      </w:r>
      <w:r>
        <w:t xml:space="preserve"> A detailed description of this procedure along with a complete example using the associated equations can be found in the United States Bureau of Mines and Reclamation (USBR) document 7300-89.</w:t>
      </w:r>
    </w:p>
  </w:footnote>
  <w:footnote w:id="13">
    <w:p w:rsidR="00853C9A" w:rsidRDefault="00853C9A" w:rsidP="00E63488">
      <w:pPr>
        <w:pStyle w:val="FootnoteText"/>
      </w:pPr>
      <w:r>
        <w:rPr>
          <w:rStyle w:val="FootnoteReference"/>
        </w:rPr>
        <w:footnoteRef/>
      </w:r>
      <w:r>
        <w:t xml:space="preserve"> </w:t>
      </w:r>
      <w:r w:rsidRPr="00233EBF">
        <w:rPr>
          <w:sz w:val="22"/>
          <w:szCs w:val="22"/>
        </w:rPr>
        <w:t>Where a rectangular test hole is used, an equivalent radius should be determined based on the actual area of the rectangular test hole (i.e., r = (A/</w:t>
      </w:r>
      <w:r w:rsidRPr="00233EBF">
        <w:rPr>
          <w:i/>
          <w:sz w:val="22"/>
          <w:szCs w:val="22"/>
        </w:rPr>
        <w:t>π</w:t>
      </w:r>
      <w:r w:rsidRPr="00233EBF">
        <w:rPr>
          <w:sz w:val="22"/>
          <w:szCs w:val="22"/>
        </w:rPr>
        <w:t>)</w:t>
      </w:r>
      <w:r w:rsidRPr="00233EBF">
        <w:rPr>
          <w:sz w:val="22"/>
          <w:szCs w:val="22"/>
          <w:vertAlign w:val="superscript"/>
        </w:rPr>
        <w:t>0.5</w:t>
      </w:r>
      <w:r w:rsidRPr="00233EBF">
        <w:rPr>
          <w:sz w:val="22"/>
          <w:szCs w:val="22"/>
        </w:rPr>
        <w:t>).</w:t>
      </w:r>
    </w:p>
  </w:footnote>
  <w:footnote w:id="14">
    <w:p w:rsidR="00853C9A" w:rsidRDefault="00853C9A">
      <w:pPr>
        <w:pStyle w:val="FootnoteText"/>
      </w:pPr>
      <w:r>
        <w:rPr>
          <w:rStyle w:val="FootnoteReference"/>
        </w:rPr>
        <w:footnoteRef/>
      </w:r>
      <w:r>
        <w:t xml:space="preserve"> Carleton, G.B., 2010, Simulation of groundwater mounding beneath hypothetical stormwater infiltration basins: U.S. Geological Survey Scientific Investigations Report 2010–5102, 64 p.</w:t>
      </w:r>
      <w:r w:rsidRPr="00C31D4A">
        <w:rPr>
          <w:rFonts w:eastAsia="Calibri"/>
        </w:rPr>
        <w:t xml:space="preserve"> </w:t>
      </w:r>
      <w:hyperlink r:id="rId3" w:history="1">
        <w:r w:rsidRPr="00342A2B">
          <w:rPr>
            <w:rStyle w:val="Hyperlink"/>
            <w:rFonts w:eastAsia="Calibri"/>
          </w:rPr>
          <w:t>http://pubs.usgs.gov/sir/2010/5102/</w:t>
        </w:r>
      </w:hyperlink>
    </w:p>
  </w:footnote>
  <w:footnote w:id="15">
    <w:p w:rsidR="00853C9A" w:rsidRDefault="00853C9A" w:rsidP="00DF5096">
      <w:pPr>
        <w:pStyle w:val="FootnoteText"/>
      </w:pPr>
      <w:r>
        <w:rPr>
          <w:rStyle w:val="FootnoteReference"/>
        </w:rPr>
        <w:footnoteRef/>
      </w:r>
      <w:r>
        <w:t xml:space="preserve"> See </w:t>
      </w:r>
      <w:r>
        <w:fldChar w:fldCharType="begin"/>
      </w:r>
      <w:r>
        <w:instrText xml:space="preserve"> REF _Ref284433383 \h </w:instrText>
      </w:r>
      <w:r>
        <w:fldChar w:fldCharType="separate"/>
      </w:r>
      <w:r w:rsidRPr="00604494">
        <w:t xml:space="preserve">Table </w:t>
      </w:r>
      <w:r>
        <w:rPr>
          <w:noProof/>
        </w:rPr>
        <w:t>VIII</w:t>
      </w:r>
      <w:r w:rsidRPr="00604494">
        <w:t>.</w:t>
      </w:r>
      <w:r>
        <w:rPr>
          <w:noProof/>
        </w:rPr>
        <w:t>2</w:t>
      </w:r>
      <w:r>
        <w:fldChar w:fldCharType="end"/>
      </w:r>
      <w:r>
        <w:t xml:space="preserve"> for definition of “Large” and “Small” projects.</w:t>
      </w:r>
    </w:p>
  </w:footnote>
  <w:footnote w:id="16">
    <w:p w:rsidR="00853C9A" w:rsidRDefault="00853C9A">
      <w:pPr>
        <w:pStyle w:val="FootnoteText"/>
      </w:pPr>
      <w:r>
        <w:rPr>
          <w:rStyle w:val="FootnoteReference"/>
        </w:rPr>
        <w:footnoteRef/>
      </w:r>
      <w:r>
        <w:t xml:space="preserve"> This analysis was prepared from data originally developed for another Geosyntec project; therefore different input data sources have been used than were used for other analyses described in this TGD.  The input data used for this analysis is believed to be representative of Orange County and differences are very likely within the range of model sensitivity/uncertainty. </w:t>
      </w:r>
    </w:p>
  </w:footnote>
  <w:footnote w:id="17">
    <w:p w:rsidR="00853C9A" w:rsidRDefault="00853C9A" w:rsidP="007E29EF">
      <w:pPr>
        <w:pStyle w:val="FootnoteText"/>
      </w:pPr>
      <w:r>
        <w:rPr>
          <w:rStyle w:val="FootnoteReference"/>
        </w:rPr>
        <w:footnoteRef/>
      </w:r>
      <w:r>
        <w:t xml:space="preserve"> In </w:t>
      </w:r>
      <w:r w:rsidRPr="00CB40BB">
        <w:t>Water Qua</w:t>
      </w:r>
      <w:r>
        <w:t>lity Order No. 2000-07,</w:t>
      </w:r>
      <w:r w:rsidRPr="00CB40BB">
        <w:t xml:space="preserve"> the State Water Board determined that a Producer</w:t>
      </w:r>
      <w:r>
        <w:t xml:space="preserve"> (i.e., reclaimed water purveyor)</w:t>
      </w:r>
      <w:r w:rsidRPr="00CB40BB">
        <w:t xml:space="preserve"> cannot shift responsibility for discharged salt to the User</w:t>
      </w:r>
      <w:r>
        <w:t xml:space="preserve"> (i.e., project proponent)</w:t>
      </w:r>
      <w:r w:rsidRPr="00CB40BB">
        <w:t>.</w:t>
      </w:r>
    </w:p>
  </w:footnote>
  <w:footnote w:id="18">
    <w:p w:rsidR="00853C9A" w:rsidRDefault="00853C9A" w:rsidP="00D25D7A">
      <w:pPr>
        <w:pStyle w:val="FootnoteText"/>
      </w:pPr>
      <w:r>
        <w:rPr>
          <w:rStyle w:val="FootnoteReference"/>
        </w:rPr>
        <w:footnoteRef/>
      </w:r>
      <w:r>
        <w:t xml:space="preserve"> The use of the term “bioretention systems” in this appendix refers to bioretention with underdrains,  rain gardens with underdrains, planter boxes with underdrains, curb-extension planter boxes with underdrains,  proprietary bioretention systems, and other similar BMPs.</w:t>
      </w:r>
    </w:p>
  </w:footnote>
  <w:footnote w:id="19">
    <w:p w:rsidR="00853C9A" w:rsidRPr="00A2362D" w:rsidRDefault="00853C9A" w:rsidP="00BF13D5">
      <w:pPr>
        <w:rPr>
          <w:sz w:val="18"/>
        </w:rPr>
      </w:pPr>
      <w:r>
        <w:rPr>
          <w:rStyle w:val="FootnoteReference"/>
        </w:rPr>
        <w:footnoteRef/>
      </w:r>
      <w:r>
        <w:t xml:space="preserve"> </w:t>
      </w:r>
      <w:r w:rsidRPr="00A2362D">
        <w:rPr>
          <w:sz w:val="18"/>
        </w:rPr>
        <w:t xml:space="preserve">The North County Permit describes MEP as follows: </w:t>
      </w:r>
      <w:r w:rsidRPr="00A2362D">
        <w:rPr>
          <w:rFonts w:cs="Arial"/>
          <w:color w:val="000000"/>
          <w:sz w:val="14"/>
        </w:rPr>
        <w:t>“</w:t>
      </w:r>
      <w:r w:rsidRPr="00A2362D">
        <w:rPr>
          <w:sz w:val="18"/>
        </w:rPr>
        <w:t>MEP is not defined in the Clean Water Act; it refers to management practices, control techniques, and system, design and engineering methods for the control of pollutants taking into account considerations of synergistic, additive, and competing factors, including, but not limited to, gravity of the problem, technical feasibility, fiscal feasibility, public health risks, societal concerns, and social benefits.”</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3C9A" w:rsidRPr="008A0BA6" w:rsidRDefault="00853C9A" w:rsidP="008A0BA6">
    <w:pPr>
      <w:pBdr>
        <w:bottom w:val="single" w:sz="12" w:space="1" w:color="auto"/>
      </w:pBdr>
      <w:rPr>
        <w:sz w:val="24"/>
        <w:szCs w:val="24"/>
      </w:rPr>
    </w:pPr>
    <w:r w:rsidRPr="008A0BA6">
      <w:rPr>
        <w:sz w:val="24"/>
        <w:szCs w:val="24"/>
      </w:rPr>
      <w:t>TECHNICAL GUIDANCE DOCUMENT APPENDICES</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3C9A" w:rsidRPr="008A0BA6" w:rsidRDefault="00853C9A" w:rsidP="008A0BA6">
    <w:pPr>
      <w:pBdr>
        <w:bottom w:val="single" w:sz="12" w:space="1" w:color="auto"/>
      </w:pBdr>
      <w:rPr>
        <w:sz w:val="24"/>
        <w:szCs w:val="24"/>
      </w:rPr>
    </w:pPr>
    <w:r w:rsidRPr="008A0BA6">
      <w:rPr>
        <w:sz w:val="24"/>
        <w:szCs w:val="24"/>
      </w:rPr>
      <w:t>TECHNICAL GUIDANCE DOCUMENT APPENDICES</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3C9A" w:rsidRDefault="00853C9A">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3C9A" w:rsidRDefault="00853C9A" w:rsidP="00B03092">
    <w:pPr>
      <w:pStyle w:val="Header"/>
    </w:pPr>
    <w:r w:rsidRPr="000B1E47">
      <w:rPr>
        <w:sz w:val="20"/>
        <w:szCs w:val="20"/>
      </w:rPr>
      <w:t>Appendix</w:t>
    </w:r>
    <w:r>
      <w:rPr>
        <w:sz w:val="20"/>
        <w:szCs w:val="20"/>
      </w:rPr>
      <w:t xml:space="preserve"> V</w:t>
    </w:r>
    <w:r w:rsidRPr="000B1E47">
      <w:rPr>
        <w:sz w:val="20"/>
        <w:szCs w:val="20"/>
      </w:rPr>
      <w:t>I</w:t>
    </w:r>
    <w:r>
      <w:rPr>
        <w:sz w:val="20"/>
        <w:szCs w:val="20"/>
      </w:rPr>
      <w:t>I</w:t>
    </w:r>
    <w:r w:rsidRPr="000B1E47">
      <w:rPr>
        <w:sz w:val="20"/>
        <w:szCs w:val="20"/>
      </w:rPr>
      <w:t xml:space="preserve">I - </w:t>
    </w:r>
    <w:r w:rsidRPr="00726337">
      <w:rPr>
        <w:sz w:val="20"/>
        <w:szCs w:val="20"/>
      </w:rPr>
      <w:t xml:space="preserve">Groundwater-Related Infiltration Feasibility Criteria </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3C9A" w:rsidRDefault="00853C9A" w:rsidP="00B03092">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2D64AB3E"/>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2D22D1C0"/>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489E447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5C5E124E"/>
    <w:lvl w:ilvl="0">
      <w:start w:val="1"/>
      <w:numFmt w:val="decimal"/>
      <w:pStyle w:val="ListNumber2"/>
      <w:lvlText w:val="%1."/>
      <w:lvlJc w:val="left"/>
      <w:pPr>
        <w:tabs>
          <w:tab w:val="num" w:pos="720"/>
        </w:tabs>
        <w:ind w:left="720" w:hanging="360"/>
      </w:pPr>
    </w:lvl>
  </w:abstractNum>
  <w:abstractNum w:abstractNumId="4">
    <w:nsid w:val="FFFFFF80"/>
    <w:multiLevelType w:val="singleLevel"/>
    <w:tmpl w:val="6B089212"/>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6C2A0706"/>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6F3CC8D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397A62B0"/>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9"/>
    <w:multiLevelType w:val="singleLevel"/>
    <w:tmpl w:val="DAA2FE74"/>
    <w:styleLink w:val="Numbered3"/>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09832152"/>
    <w:multiLevelType w:val="hybridMultilevel"/>
    <w:tmpl w:val="EAB82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A407088"/>
    <w:multiLevelType w:val="hybridMultilevel"/>
    <w:tmpl w:val="A24CA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A4E0FDE"/>
    <w:multiLevelType w:val="hybridMultilevel"/>
    <w:tmpl w:val="C20838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C402E51"/>
    <w:multiLevelType w:val="hybridMultilevel"/>
    <w:tmpl w:val="2F60F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D5F3887"/>
    <w:multiLevelType w:val="hybridMultilevel"/>
    <w:tmpl w:val="B54010DC"/>
    <w:lvl w:ilvl="0" w:tplc="9894062C">
      <w:start w:val="1"/>
      <w:numFmt w:val="decimal"/>
      <w:lvlText w:val="%1)"/>
      <w:lvlJc w:val="left"/>
      <w:pPr>
        <w:ind w:left="720" w:hanging="360"/>
      </w:pPr>
      <w:rPr>
        <w:rFonts w:hint="default"/>
      </w:rPr>
    </w:lvl>
    <w:lvl w:ilvl="1" w:tplc="41A0F7D0" w:tentative="1">
      <w:start w:val="1"/>
      <w:numFmt w:val="lowerLetter"/>
      <w:lvlText w:val="%2."/>
      <w:lvlJc w:val="left"/>
      <w:pPr>
        <w:ind w:left="1440" w:hanging="360"/>
      </w:pPr>
    </w:lvl>
    <w:lvl w:ilvl="2" w:tplc="A852D754" w:tentative="1">
      <w:start w:val="1"/>
      <w:numFmt w:val="lowerRoman"/>
      <w:lvlText w:val="%3."/>
      <w:lvlJc w:val="right"/>
      <w:pPr>
        <w:ind w:left="2160" w:hanging="180"/>
      </w:pPr>
    </w:lvl>
    <w:lvl w:ilvl="3" w:tplc="5F3A90AA" w:tentative="1">
      <w:start w:val="1"/>
      <w:numFmt w:val="decimal"/>
      <w:lvlText w:val="%4."/>
      <w:lvlJc w:val="left"/>
      <w:pPr>
        <w:ind w:left="2880" w:hanging="360"/>
      </w:pPr>
    </w:lvl>
    <w:lvl w:ilvl="4" w:tplc="43B0420A" w:tentative="1">
      <w:start w:val="1"/>
      <w:numFmt w:val="lowerLetter"/>
      <w:lvlText w:val="%5."/>
      <w:lvlJc w:val="left"/>
      <w:pPr>
        <w:ind w:left="3600" w:hanging="360"/>
      </w:pPr>
    </w:lvl>
    <w:lvl w:ilvl="5" w:tplc="0E6EE704" w:tentative="1">
      <w:start w:val="1"/>
      <w:numFmt w:val="lowerRoman"/>
      <w:lvlText w:val="%6."/>
      <w:lvlJc w:val="right"/>
      <w:pPr>
        <w:ind w:left="4320" w:hanging="180"/>
      </w:pPr>
    </w:lvl>
    <w:lvl w:ilvl="6" w:tplc="2DCC77AA" w:tentative="1">
      <w:start w:val="1"/>
      <w:numFmt w:val="decimal"/>
      <w:lvlText w:val="%7."/>
      <w:lvlJc w:val="left"/>
      <w:pPr>
        <w:ind w:left="5040" w:hanging="360"/>
      </w:pPr>
    </w:lvl>
    <w:lvl w:ilvl="7" w:tplc="1BB4305A" w:tentative="1">
      <w:start w:val="1"/>
      <w:numFmt w:val="lowerLetter"/>
      <w:lvlText w:val="%8."/>
      <w:lvlJc w:val="left"/>
      <w:pPr>
        <w:ind w:left="5760" w:hanging="360"/>
      </w:pPr>
    </w:lvl>
    <w:lvl w:ilvl="8" w:tplc="31A4CE6E" w:tentative="1">
      <w:start w:val="1"/>
      <w:numFmt w:val="lowerRoman"/>
      <w:lvlText w:val="%9."/>
      <w:lvlJc w:val="right"/>
      <w:pPr>
        <w:ind w:left="6480" w:hanging="180"/>
      </w:pPr>
    </w:lvl>
  </w:abstractNum>
  <w:abstractNum w:abstractNumId="14">
    <w:nsid w:val="106F2AD5"/>
    <w:multiLevelType w:val="hybridMultilevel"/>
    <w:tmpl w:val="E41A7B8C"/>
    <w:lvl w:ilvl="0" w:tplc="5ED0A7C0">
      <w:start w:val="1"/>
      <w:numFmt w:val="decimal"/>
      <w:lvlText w:val="%1)"/>
      <w:lvlJc w:val="left"/>
      <w:pPr>
        <w:ind w:left="720" w:hanging="360"/>
      </w:pPr>
      <w:rPr>
        <w:rFonts w:hint="default"/>
      </w:rPr>
    </w:lvl>
    <w:lvl w:ilvl="1" w:tplc="1DBC1D52">
      <w:start w:val="1"/>
      <w:numFmt w:val="bullet"/>
      <w:lvlText w:val=""/>
      <w:lvlJc w:val="left"/>
      <w:pPr>
        <w:ind w:left="1440" w:hanging="360"/>
      </w:pPr>
      <w:rPr>
        <w:rFonts w:ascii="Wingdings" w:hAnsi="Wingdings" w:hint="default"/>
      </w:rPr>
    </w:lvl>
    <w:lvl w:ilvl="2" w:tplc="30B62460" w:tentative="1">
      <w:start w:val="1"/>
      <w:numFmt w:val="lowerRoman"/>
      <w:lvlText w:val="%3."/>
      <w:lvlJc w:val="right"/>
      <w:pPr>
        <w:ind w:left="2160" w:hanging="180"/>
      </w:pPr>
    </w:lvl>
    <w:lvl w:ilvl="3" w:tplc="BC6C32AE" w:tentative="1">
      <w:start w:val="1"/>
      <w:numFmt w:val="decimal"/>
      <w:lvlText w:val="%4."/>
      <w:lvlJc w:val="left"/>
      <w:pPr>
        <w:ind w:left="2880" w:hanging="360"/>
      </w:pPr>
    </w:lvl>
    <w:lvl w:ilvl="4" w:tplc="92CC1B2C" w:tentative="1">
      <w:start w:val="1"/>
      <w:numFmt w:val="lowerLetter"/>
      <w:lvlText w:val="%5."/>
      <w:lvlJc w:val="left"/>
      <w:pPr>
        <w:ind w:left="3600" w:hanging="360"/>
      </w:pPr>
    </w:lvl>
    <w:lvl w:ilvl="5" w:tplc="E6C23742" w:tentative="1">
      <w:start w:val="1"/>
      <w:numFmt w:val="lowerRoman"/>
      <w:lvlText w:val="%6."/>
      <w:lvlJc w:val="right"/>
      <w:pPr>
        <w:ind w:left="4320" w:hanging="180"/>
      </w:pPr>
    </w:lvl>
    <w:lvl w:ilvl="6" w:tplc="529CB9EC" w:tentative="1">
      <w:start w:val="1"/>
      <w:numFmt w:val="decimal"/>
      <w:lvlText w:val="%7."/>
      <w:lvlJc w:val="left"/>
      <w:pPr>
        <w:ind w:left="5040" w:hanging="360"/>
      </w:pPr>
    </w:lvl>
    <w:lvl w:ilvl="7" w:tplc="48D0D866" w:tentative="1">
      <w:start w:val="1"/>
      <w:numFmt w:val="lowerLetter"/>
      <w:lvlText w:val="%8."/>
      <w:lvlJc w:val="left"/>
      <w:pPr>
        <w:ind w:left="5760" w:hanging="360"/>
      </w:pPr>
    </w:lvl>
    <w:lvl w:ilvl="8" w:tplc="48A8B722" w:tentative="1">
      <w:start w:val="1"/>
      <w:numFmt w:val="lowerRoman"/>
      <w:lvlText w:val="%9."/>
      <w:lvlJc w:val="right"/>
      <w:pPr>
        <w:ind w:left="6480" w:hanging="180"/>
      </w:pPr>
    </w:lvl>
  </w:abstractNum>
  <w:abstractNum w:abstractNumId="15">
    <w:nsid w:val="11687ADD"/>
    <w:multiLevelType w:val="hybridMultilevel"/>
    <w:tmpl w:val="6DC4926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14C50678"/>
    <w:multiLevelType w:val="hybridMultilevel"/>
    <w:tmpl w:val="D7126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52B3B90"/>
    <w:multiLevelType w:val="hybridMultilevel"/>
    <w:tmpl w:val="C0E0EBF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5F75AF7"/>
    <w:multiLevelType w:val="multilevel"/>
    <w:tmpl w:val="54AA4E22"/>
    <w:lvl w:ilvl="0">
      <w:start w:val="1"/>
      <w:numFmt w:val="upperRoman"/>
      <w:pStyle w:val="Heading1"/>
      <w:lvlText w:val="%1."/>
      <w:lvlJc w:val="left"/>
      <w:pPr>
        <w:ind w:left="360" w:hanging="360"/>
      </w:pPr>
      <w:rPr>
        <w:rFonts w:hint="default"/>
      </w:rPr>
    </w:lvl>
    <w:lvl w:ilvl="1">
      <w:start w:val="1"/>
      <w:numFmt w:val="decimal"/>
      <w:pStyle w:val="Heading2"/>
      <w:lvlText w:val="%1.%2."/>
      <w:lvlJc w:val="left"/>
      <w:pPr>
        <w:ind w:left="792" w:hanging="432"/>
      </w:pPr>
      <w:rPr>
        <w:rFonts w:hint="default"/>
      </w:rPr>
    </w:lvl>
    <w:lvl w:ilvl="2">
      <w:start w:val="1"/>
      <w:numFmt w:val="decimal"/>
      <w:pStyle w:val="Heading3"/>
      <w:lvlText w:val="%1.%2.%3."/>
      <w:lvlJc w:val="left"/>
      <w:pPr>
        <w:ind w:left="1224" w:hanging="504"/>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Cs w:val="0"/>
        <w:u w:val="none"/>
        <w:vertAlign w:val="baseline"/>
        <w:em w:val="none"/>
      </w:rPr>
    </w:lvl>
    <w:lvl w:ilvl="3">
      <w:start w:val="1"/>
      <w:numFmt w:val="decimal"/>
      <w:pStyle w:val="Heading4"/>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16FC63BA"/>
    <w:multiLevelType w:val="hybridMultilevel"/>
    <w:tmpl w:val="3386EDCE"/>
    <w:lvl w:ilvl="0" w:tplc="403EEB68">
      <w:start w:val="1"/>
      <w:numFmt w:val="decimal"/>
      <w:lvlText w:val="%1."/>
      <w:lvlJc w:val="left"/>
      <w:pPr>
        <w:ind w:left="720" w:hanging="360"/>
      </w:pPr>
    </w:lvl>
    <w:lvl w:ilvl="1" w:tplc="AEBE55FC" w:tentative="1">
      <w:start w:val="1"/>
      <w:numFmt w:val="lowerLetter"/>
      <w:lvlText w:val="%2."/>
      <w:lvlJc w:val="left"/>
      <w:pPr>
        <w:ind w:left="1440" w:hanging="360"/>
      </w:pPr>
    </w:lvl>
    <w:lvl w:ilvl="2" w:tplc="38A6A978" w:tentative="1">
      <w:start w:val="1"/>
      <w:numFmt w:val="lowerRoman"/>
      <w:lvlText w:val="%3."/>
      <w:lvlJc w:val="right"/>
      <w:pPr>
        <w:ind w:left="2160" w:hanging="180"/>
      </w:pPr>
    </w:lvl>
    <w:lvl w:ilvl="3" w:tplc="CEF6621A" w:tentative="1">
      <w:start w:val="1"/>
      <w:numFmt w:val="decimal"/>
      <w:lvlText w:val="%4."/>
      <w:lvlJc w:val="left"/>
      <w:pPr>
        <w:ind w:left="2880" w:hanging="360"/>
      </w:pPr>
    </w:lvl>
    <w:lvl w:ilvl="4" w:tplc="E7DA5D18" w:tentative="1">
      <w:start w:val="1"/>
      <w:numFmt w:val="lowerLetter"/>
      <w:lvlText w:val="%5."/>
      <w:lvlJc w:val="left"/>
      <w:pPr>
        <w:ind w:left="3600" w:hanging="360"/>
      </w:pPr>
    </w:lvl>
    <w:lvl w:ilvl="5" w:tplc="D4F075A4" w:tentative="1">
      <w:start w:val="1"/>
      <w:numFmt w:val="lowerRoman"/>
      <w:lvlText w:val="%6."/>
      <w:lvlJc w:val="right"/>
      <w:pPr>
        <w:ind w:left="4320" w:hanging="180"/>
      </w:pPr>
    </w:lvl>
    <w:lvl w:ilvl="6" w:tplc="B34E3292" w:tentative="1">
      <w:start w:val="1"/>
      <w:numFmt w:val="decimal"/>
      <w:lvlText w:val="%7."/>
      <w:lvlJc w:val="left"/>
      <w:pPr>
        <w:ind w:left="5040" w:hanging="360"/>
      </w:pPr>
    </w:lvl>
    <w:lvl w:ilvl="7" w:tplc="9008E960" w:tentative="1">
      <w:start w:val="1"/>
      <w:numFmt w:val="lowerLetter"/>
      <w:lvlText w:val="%8."/>
      <w:lvlJc w:val="left"/>
      <w:pPr>
        <w:ind w:left="5760" w:hanging="360"/>
      </w:pPr>
    </w:lvl>
    <w:lvl w:ilvl="8" w:tplc="BE66CEF2" w:tentative="1">
      <w:start w:val="1"/>
      <w:numFmt w:val="lowerRoman"/>
      <w:lvlText w:val="%9."/>
      <w:lvlJc w:val="right"/>
      <w:pPr>
        <w:ind w:left="6480" w:hanging="180"/>
      </w:pPr>
    </w:lvl>
  </w:abstractNum>
  <w:abstractNum w:abstractNumId="20">
    <w:nsid w:val="176525B5"/>
    <w:multiLevelType w:val="hybridMultilevel"/>
    <w:tmpl w:val="9CB4304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1A334E2C"/>
    <w:multiLevelType w:val="hybridMultilevel"/>
    <w:tmpl w:val="767E47D0"/>
    <w:lvl w:ilvl="0" w:tplc="04090001">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2">
    <w:nsid w:val="1C5A62B6"/>
    <w:multiLevelType w:val="hybridMultilevel"/>
    <w:tmpl w:val="6754661E"/>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3">
    <w:nsid w:val="1D2247FB"/>
    <w:multiLevelType w:val="hybridMultilevel"/>
    <w:tmpl w:val="7CE26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FBE7540"/>
    <w:multiLevelType w:val="hybridMultilevel"/>
    <w:tmpl w:val="AD448966"/>
    <w:lvl w:ilvl="0" w:tplc="04090001">
      <w:start w:val="1"/>
      <w:numFmt w:val="decimal"/>
      <w:lvlText w:val="%1."/>
      <w:lvlJc w:val="left"/>
      <w:pPr>
        <w:ind w:left="720" w:hanging="360"/>
      </w:p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5">
    <w:nsid w:val="21CC3F72"/>
    <w:multiLevelType w:val="hybridMultilevel"/>
    <w:tmpl w:val="D2800844"/>
    <w:lvl w:ilvl="0" w:tplc="0409000F">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2037B75"/>
    <w:multiLevelType w:val="hybridMultilevel"/>
    <w:tmpl w:val="6272491E"/>
    <w:lvl w:ilvl="0" w:tplc="04090001">
      <w:start w:val="1"/>
      <w:numFmt w:val="bullet"/>
      <w:lvlText w:val=""/>
      <w:lvlJc w:val="left"/>
      <w:pPr>
        <w:ind w:left="720" w:hanging="360"/>
      </w:pPr>
      <w:rPr>
        <w:rFonts w:ascii="Symbol" w:hAnsi="Symbol" w:hint="default"/>
      </w:rPr>
    </w:lvl>
    <w:lvl w:ilvl="1" w:tplc="04090019">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7">
    <w:nsid w:val="241D2F52"/>
    <w:multiLevelType w:val="hybridMultilevel"/>
    <w:tmpl w:val="B662812A"/>
    <w:lvl w:ilvl="0" w:tplc="04090001">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8">
    <w:nsid w:val="24A04D51"/>
    <w:multiLevelType w:val="hybridMultilevel"/>
    <w:tmpl w:val="67441498"/>
    <w:lvl w:ilvl="0" w:tplc="FDE4B122">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29">
    <w:nsid w:val="25EF7A9A"/>
    <w:multiLevelType w:val="hybridMultilevel"/>
    <w:tmpl w:val="C04EED16"/>
    <w:lvl w:ilvl="0" w:tplc="04090001">
      <w:start w:val="1"/>
      <w:numFmt w:val="decimal"/>
      <w:pStyle w:val="ExampleNumbers"/>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7A04D71"/>
    <w:multiLevelType w:val="hybridMultilevel"/>
    <w:tmpl w:val="72582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8284564"/>
    <w:multiLevelType w:val="hybridMultilevel"/>
    <w:tmpl w:val="EA1A6D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29D63C33"/>
    <w:multiLevelType w:val="hybridMultilevel"/>
    <w:tmpl w:val="D7C8B39E"/>
    <w:lvl w:ilvl="0" w:tplc="04090001">
      <w:start w:val="1"/>
      <w:numFmt w:val="bullet"/>
      <w:lvlText w:val=""/>
      <w:lvlJc w:val="left"/>
      <w:pPr>
        <w:ind w:left="720" w:hanging="360"/>
      </w:pPr>
      <w:rPr>
        <w:rFonts w:ascii="Symbol" w:hAnsi="Symbol" w:hint="default"/>
      </w:rPr>
    </w:lvl>
    <w:lvl w:ilvl="1" w:tplc="04090003">
      <w:start w:val="1"/>
      <w:numFmt w:val="lowerLetter"/>
      <w:lvlText w:val="%2."/>
      <w:lvlJc w:val="left"/>
      <w:pPr>
        <w:ind w:left="1440" w:hanging="360"/>
      </w:pPr>
    </w:lvl>
    <w:lvl w:ilvl="2" w:tplc="04090005">
      <w:start w:val="1"/>
      <w:numFmt w:val="lowerRoman"/>
      <w:lvlText w:val="%3."/>
      <w:lvlJc w:val="right"/>
      <w:pPr>
        <w:ind w:left="2160" w:hanging="180"/>
      </w:pPr>
    </w:lvl>
    <w:lvl w:ilvl="3" w:tplc="04090001">
      <w:start w:val="1"/>
      <w:numFmt w:val="decimal"/>
      <w:lvlText w:val="%4."/>
      <w:lvlJc w:val="left"/>
      <w:pPr>
        <w:ind w:left="2880" w:hanging="360"/>
      </w:pPr>
    </w:lvl>
    <w:lvl w:ilvl="4" w:tplc="04090003">
      <w:start w:val="1"/>
      <w:numFmt w:val="lowerLetter"/>
      <w:lvlText w:val="%5."/>
      <w:lvlJc w:val="left"/>
      <w:pPr>
        <w:ind w:left="3600" w:hanging="360"/>
      </w:pPr>
    </w:lvl>
    <w:lvl w:ilvl="5" w:tplc="04090005">
      <w:start w:val="1"/>
      <w:numFmt w:val="lowerRoman"/>
      <w:lvlText w:val="%6."/>
      <w:lvlJc w:val="right"/>
      <w:pPr>
        <w:ind w:left="4320" w:hanging="180"/>
      </w:pPr>
    </w:lvl>
    <w:lvl w:ilvl="6" w:tplc="04090001">
      <w:start w:val="1"/>
      <w:numFmt w:val="decimal"/>
      <w:lvlText w:val="%7."/>
      <w:lvlJc w:val="left"/>
      <w:pPr>
        <w:ind w:left="5040" w:hanging="360"/>
      </w:pPr>
    </w:lvl>
    <w:lvl w:ilvl="7" w:tplc="04090003">
      <w:start w:val="1"/>
      <w:numFmt w:val="lowerLetter"/>
      <w:lvlText w:val="%8."/>
      <w:lvlJc w:val="left"/>
      <w:pPr>
        <w:ind w:left="5760" w:hanging="360"/>
      </w:pPr>
    </w:lvl>
    <w:lvl w:ilvl="8" w:tplc="04090005">
      <w:start w:val="1"/>
      <w:numFmt w:val="lowerRoman"/>
      <w:lvlText w:val="%9."/>
      <w:lvlJc w:val="right"/>
      <w:pPr>
        <w:ind w:left="6480" w:hanging="180"/>
      </w:pPr>
    </w:lvl>
  </w:abstractNum>
  <w:abstractNum w:abstractNumId="33">
    <w:nsid w:val="2E250A11"/>
    <w:multiLevelType w:val="hybridMultilevel"/>
    <w:tmpl w:val="D93C7BDA"/>
    <w:lvl w:ilvl="0" w:tplc="04090001">
      <w:start w:val="1"/>
      <w:numFmt w:val="decimal"/>
      <w:lvlText w:val="%1)"/>
      <w:lvlJc w:val="left"/>
      <w:pPr>
        <w:ind w:left="720" w:hanging="360"/>
      </w:pPr>
      <w:rPr>
        <w:rFonts w:hint="default"/>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4">
    <w:nsid w:val="2F1445C3"/>
    <w:multiLevelType w:val="hybridMultilevel"/>
    <w:tmpl w:val="E0E09846"/>
    <w:lvl w:ilvl="0" w:tplc="04090011">
      <w:start w:val="1"/>
      <w:numFmt w:val="decimal"/>
      <w:lvlText w:val="%1)"/>
      <w:lvlJc w:val="left"/>
      <w:pPr>
        <w:ind w:left="720" w:hanging="360"/>
      </w:pPr>
      <w:rPr>
        <w:rFonts w:hint="default"/>
      </w:rPr>
    </w:lvl>
    <w:lvl w:ilvl="1" w:tplc="04090019" w:tentative="1">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5">
    <w:nsid w:val="2F9934B1"/>
    <w:multiLevelType w:val="hybridMultilevel"/>
    <w:tmpl w:val="0F766E1C"/>
    <w:lvl w:ilvl="0" w:tplc="0F4E6F0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14E29C1"/>
    <w:multiLevelType w:val="hybridMultilevel"/>
    <w:tmpl w:val="102A7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1DA30B6"/>
    <w:multiLevelType w:val="hybridMultilevel"/>
    <w:tmpl w:val="FACAB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22735D1"/>
    <w:multiLevelType w:val="hybridMultilevel"/>
    <w:tmpl w:val="051EB18C"/>
    <w:lvl w:ilvl="0" w:tplc="E656FF3C">
      <w:start w:val="1"/>
      <w:numFmt w:val="decimal"/>
      <w:lvlText w:val="%1."/>
      <w:lvlJc w:val="left"/>
      <w:pPr>
        <w:tabs>
          <w:tab w:val="num" w:pos="720"/>
        </w:tabs>
        <w:ind w:left="720" w:hanging="720"/>
      </w:pPr>
      <w:rPr>
        <w:rFonts w:ascii="Arial" w:hAnsi="Arial" w:cs="Arial" w:hint="default"/>
      </w:rPr>
    </w:lvl>
    <w:lvl w:ilvl="1" w:tplc="8A32458E">
      <w:start w:val="3"/>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340E4395"/>
    <w:multiLevelType w:val="hybridMultilevel"/>
    <w:tmpl w:val="BD6414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480548F"/>
    <w:multiLevelType w:val="hybridMultilevel"/>
    <w:tmpl w:val="7488F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8794BAD"/>
    <w:multiLevelType w:val="hybridMultilevel"/>
    <w:tmpl w:val="07CC7E78"/>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2">
    <w:nsid w:val="39193FF4"/>
    <w:multiLevelType w:val="hybridMultilevel"/>
    <w:tmpl w:val="2E3E7050"/>
    <w:lvl w:ilvl="0" w:tplc="04090001">
      <w:start w:val="1"/>
      <w:numFmt w:val="decimal"/>
      <w:lvlText w:val="%1)"/>
      <w:lvlJc w:val="left"/>
      <w:pPr>
        <w:ind w:left="1080" w:hanging="360"/>
      </w:p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43">
    <w:nsid w:val="3ABC72D7"/>
    <w:multiLevelType w:val="hybridMultilevel"/>
    <w:tmpl w:val="A0F8C180"/>
    <w:lvl w:ilvl="0" w:tplc="04090001">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4">
    <w:nsid w:val="3C29375F"/>
    <w:multiLevelType w:val="hybridMultilevel"/>
    <w:tmpl w:val="045476CC"/>
    <w:lvl w:ilvl="0" w:tplc="72024966">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5">
    <w:nsid w:val="3E4F2B9F"/>
    <w:multiLevelType w:val="hybridMultilevel"/>
    <w:tmpl w:val="62F0E558"/>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6">
    <w:nsid w:val="4157692F"/>
    <w:multiLevelType w:val="hybridMultilevel"/>
    <w:tmpl w:val="E8F6EDA6"/>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7">
    <w:nsid w:val="42144D6E"/>
    <w:multiLevelType w:val="hybridMultilevel"/>
    <w:tmpl w:val="978E9D74"/>
    <w:lvl w:ilvl="0" w:tplc="04090001">
      <w:start w:val="1"/>
      <w:numFmt w:val="bullet"/>
      <w:pStyle w:val="FactsheetBullets"/>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2B963C8"/>
    <w:multiLevelType w:val="hybridMultilevel"/>
    <w:tmpl w:val="F3A47820"/>
    <w:lvl w:ilvl="0" w:tplc="04090001">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3DB7C65"/>
    <w:multiLevelType w:val="hybridMultilevel"/>
    <w:tmpl w:val="1ACA3C20"/>
    <w:lvl w:ilvl="0" w:tplc="04090011">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50">
    <w:nsid w:val="4415192A"/>
    <w:multiLevelType w:val="hybridMultilevel"/>
    <w:tmpl w:val="C5E8D57C"/>
    <w:lvl w:ilvl="0" w:tplc="04090019">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64A4690"/>
    <w:multiLevelType w:val="hybridMultilevel"/>
    <w:tmpl w:val="CAC44110"/>
    <w:lvl w:ilvl="0" w:tplc="04090001">
      <w:start w:val="1"/>
      <w:numFmt w:val="decimal"/>
      <w:lvlText w:val="%1)"/>
      <w:lvlJc w:val="left"/>
      <w:pPr>
        <w:ind w:left="1080" w:hanging="360"/>
      </w:p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52">
    <w:nsid w:val="46AF6FBD"/>
    <w:multiLevelType w:val="hybridMultilevel"/>
    <w:tmpl w:val="CB0654B0"/>
    <w:lvl w:ilvl="0" w:tplc="04090001">
      <w:start w:val="1"/>
      <w:numFmt w:val="bullet"/>
      <w:lvlText w:val=""/>
      <w:lvlJc w:val="left"/>
      <w:pPr>
        <w:ind w:left="1080" w:hanging="360"/>
      </w:pPr>
      <w:rPr>
        <w:rFonts w:ascii="Symbol" w:hAnsi="Symbol" w:hint="default"/>
        <w:b w:val="0"/>
        <w:i w:val="0"/>
        <w:sz w:val="22"/>
        <w:szCs w:val="22"/>
      </w:rPr>
    </w:lvl>
    <w:lvl w:ilvl="1" w:tplc="04090003">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53">
    <w:nsid w:val="4E3F15E6"/>
    <w:multiLevelType w:val="hybridMultilevel"/>
    <w:tmpl w:val="788AAEBC"/>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54">
    <w:nsid w:val="4E9A2381"/>
    <w:multiLevelType w:val="hybridMultilevel"/>
    <w:tmpl w:val="6D20DEA4"/>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5">
    <w:nsid w:val="4F966F90"/>
    <w:multiLevelType w:val="hybridMultilevel"/>
    <w:tmpl w:val="92822A24"/>
    <w:lvl w:ilvl="0" w:tplc="396C527C">
      <w:start w:val="1"/>
      <w:numFmt w:val="bullet"/>
      <w:pStyle w:val="CheckBoxList"/>
      <w:lvlText w:val="□"/>
      <w:lvlJc w:val="left"/>
      <w:pPr>
        <w:ind w:left="806" w:hanging="360"/>
      </w:pPr>
      <w:rPr>
        <w:rFonts w:ascii="Courier New" w:hAnsi="Courier New" w:hint="default"/>
        <w:sz w:val="40"/>
      </w:rPr>
    </w:lvl>
    <w:lvl w:ilvl="1" w:tplc="FFFFFFFF" w:tentative="1">
      <w:start w:val="1"/>
      <w:numFmt w:val="bullet"/>
      <w:lvlText w:val="o"/>
      <w:lvlJc w:val="left"/>
      <w:pPr>
        <w:ind w:left="1526" w:hanging="360"/>
      </w:pPr>
      <w:rPr>
        <w:rFonts w:ascii="Courier New" w:hAnsi="Courier New" w:cs="Courier New" w:hint="default"/>
      </w:rPr>
    </w:lvl>
    <w:lvl w:ilvl="2" w:tplc="FFFFFFFF" w:tentative="1">
      <w:start w:val="1"/>
      <w:numFmt w:val="bullet"/>
      <w:lvlText w:val=""/>
      <w:lvlJc w:val="left"/>
      <w:pPr>
        <w:ind w:left="2246" w:hanging="360"/>
      </w:pPr>
      <w:rPr>
        <w:rFonts w:ascii="Wingdings" w:hAnsi="Wingdings" w:hint="default"/>
      </w:rPr>
    </w:lvl>
    <w:lvl w:ilvl="3" w:tplc="FFFFFFFF" w:tentative="1">
      <w:start w:val="1"/>
      <w:numFmt w:val="bullet"/>
      <w:lvlText w:val=""/>
      <w:lvlJc w:val="left"/>
      <w:pPr>
        <w:ind w:left="2966" w:hanging="360"/>
      </w:pPr>
      <w:rPr>
        <w:rFonts w:ascii="Symbol" w:hAnsi="Symbol" w:hint="default"/>
      </w:rPr>
    </w:lvl>
    <w:lvl w:ilvl="4" w:tplc="FFFFFFFF" w:tentative="1">
      <w:start w:val="1"/>
      <w:numFmt w:val="bullet"/>
      <w:lvlText w:val="o"/>
      <w:lvlJc w:val="left"/>
      <w:pPr>
        <w:ind w:left="3686" w:hanging="360"/>
      </w:pPr>
      <w:rPr>
        <w:rFonts w:ascii="Courier New" w:hAnsi="Courier New" w:cs="Courier New" w:hint="default"/>
      </w:rPr>
    </w:lvl>
    <w:lvl w:ilvl="5" w:tplc="FFFFFFFF" w:tentative="1">
      <w:start w:val="1"/>
      <w:numFmt w:val="bullet"/>
      <w:lvlText w:val=""/>
      <w:lvlJc w:val="left"/>
      <w:pPr>
        <w:ind w:left="4406" w:hanging="360"/>
      </w:pPr>
      <w:rPr>
        <w:rFonts w:ascii="Wingdings" w:hAnsi="Wingdings" w:hint="default"/>
      </w:rPr>
    </w:lvl>
    <w:lvl w:ilvl="6" w:tplc="FFFFFFFF" w:tentative="1">
      <w:start w:val="1"/>
      <w:numFmt w:val="bullet"/>
      <w:lvlText w:val=""/>
      <w:lvlJc w:val="left"/>
      <w:pPr>
        <w:ind w:left="5126" w:hanging="360"/>
      </w:pPr>
      <w:rPr>
        <w:rFonts w:ascii="Symbol" w:hAnsi="Symbol" w:hint="default"/>
      </w:rPr>
    </w:lvl>
    <w:lvl w:ilvl="7" w:tplc="FFFFFFFF" w:tentative="1">
      <w:start w:val="1"/>
      <w:numFmt w:val="bullet"/>
      <w:lvlText w:val="o"/>
      <w:lvlJc w:val="left"/>
      <w:pPr>
        <w:ind w:left="5846" w:hanging="360"/>
      </w:pPr>
      <w:rPr>
        <w:rFonts w:ascii="Courier New" w:hAnsi="Courier New" w:cs="Courier New" w:hint="default"/>
      </w:rPr>
    </w:lvl>
    <w:lvl w:ilvl="8" w:tplc="FFFFFFFF" w:tentative="1">
      <w:start w:val="1"/>
      <w:numFmt w:val="bullet"/>
      <w:lvlText w:val=""/>
      <w:lvlJc w:val="left"/>
      <w:pPr>
        <w:ind w:left="6566" w:hanging="360"/>
      </w:pPr>
      <w:rPr>
        <w:rFonts w:ascii="Wingdings" w:hAnsi="Wingdings" w:hint="default"/>
      </w:rPr>
    </w:lvl>
  </w:abstractNum>
  <w:abstractNum w:abstractNumId="56">
    <w:nsid w:val="510F6AF4"/>
    <w:multiLevelType w:val="hybridMultilevel"/>
    <w:tmpl w:val="C2E0A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571347BC"/>
    <w:multiLevelType w:val="hybridMultilevel"/>
    <w:tmpl w:val="674088BA"/>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58">
    <w:nsid w:val="577B4B84"/>
    <w:multiLevelType w:val="hybridMultilevel"/>
    <w:tmpl w:val="91FAC76A"/>
    <w:lvl w:ilvl="0" w:tplc="0409000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936234C"/>
    <w:multiLevelType w:val="hybridMultilevel"/>
    <w:tmpl w:val="B7ACE550"/>
    <w:lvl w:ilvl="0" w:tplc="04090001">
      <w:start w:val="1"/>
      <w:numFmt w:val="upperRoman"/>
      <w:pStyle w:val="AppendixHeading"/>
      <w:lvlText w:val="Appendix %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0">
    <w:nsid w:val="59845935"/>
    <w:multiLevelType w:val="hybridMultilevel"/>
    <w:tmpl w:val="1E949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B0517AB"/>
    <w:multiLevelType w:val="hybridMultilevel"/>
    <w:tmpl w:val="E0E09846"/>
    <w:lvl w:ilvl="0" w:tplc="04090011">
      <w:start w:val="1"/>
      <w:numFmt w:val="decimal"/>
      <w:lvlText w:val="%1)"/>
      <w:lvlJc w:val="left"/>
      <w:pPr>
        <w:ind w:left="720" w:hanging="360"/>
      </w:pPr>
      <w:rPr>
        <w:rFonts w:hint="default"/>
      </w:rPr>
    </w:lvl>
    <w:lvl w:ilvl="1" w:tplc="04090019" w:tentative="1">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62">
    <w:nsid w:val="5DB1230C"/>
    <w:multiLevelType w:val="hybridMultilevel"/>
    <w:tmpl w:val="8A4610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3">
    <w:nsid w:val="5F771D6E"/>
    <w:multiLevelType w:val="hybridMultilevel"/>
    <w:tmpl w:val="571411F0"/>
    <w:lvl w:ilvl="0" w:tplc="04090001">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nsid w:val="61A5510A"/>
    <w:multiLevelType w:val="hybridMultilevel"/>
    <w:tmpl w:val="1E4831EE"/>
    <w:lvl w:ilvl="0" w:tplc="04090001">
      <w:start w:val="1"/>
      <w:numFmt w:val="bullet"/>
      <w:pStyle w:val="BulletedText1"/>
      <w:lvlText w:val=""/>
      <w:lvlJc w:val="left"/>
      <w:pPr>
        <w:tabs>
          <w:tab w:val="num" w:pos="36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5">
    <w:nsid w:val="645F5EBC"/>
    <w:multiLevelType w:val="hybridMultilevel"/>
    <w:tmpl w:val="11CC0DD4"/>
    <w:lvl w:ilvl="0" w:tplc="0409000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49854F3"/>
    <w:multiLevelType w:val="hybridMultilevel"/>
    <w:tmpl w:val="425C40B8"/>
    <w:lvl w:ilvl="0" w:tplc="D13EB15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4B4165F"/>
    <w:multiLevelType w:val="hybridMultilevel"/>
    <w:tmpl w:val="F4D07512"/>
    <w:lvl w:ilvl="0" w:tplc="04090001">
      <w:start w:val="1"/>
      <w:numFmt w:val="upperLetter"/>
      <w:pStyle w:val="WorksheetList"/>
      <w:lvlText w:val="Worksheet %1"/>
      <w:lvlJc w:val="left"/>
      <w:pPr>
        <w:ind w:left="1800" w:hanging="360"/>
      </w:pPr>
      <w:rPr>
        <w:rFonts w:hint="default"/>
        <w:b/>
        <w:i w:val="0"/>
      </w:rPr>
    </w:lvl>
    <w:lvl w:ilvl="1" w:tplc="04090003" w:tentative="1">
      <w:start w:val="1"/>
      <w:numFmt w:val="lowerLetter"/>
      <w:lvlText w:val="%2."/>
      <w:lvlJc w:val="left"/>
      <w:pPr>
        <w:ind w:left="2520" w:hanging="360"/>
      </w:pPr>
    </w:lvl>
    <w:lvl w:ilvl="2" w:tplc="04090005" w:tentative="1">
      <w:start w:val="1"/>
      <w:numFmt w:val="lowerRoman"/>
      <w:lvlText w:val="%3."/>
      <w:lvlJc w:val="right"/>
      <w:pPr>
        <w:ind w:left="3240" w:hanging="180"/>
      </w:pPr>
    </w:lvl>
    <w:lvl w:ilvl="3" w:tplc="04090001" w:tentative="1">
      <w:start w:val="1"/>
      <w:numFmt w:val="decimal"/>
      <w:lvlText w:val="%4."/>
      <w:lvlJc w:val="left"/>
      <w:pPr>
        <w:ind w:left="3960" w:hanging="360"/>
      </w:pPr>
    </w:lvl>
    <w:lvl w:ilvl="4" w:tplc="04090003" w:tentative="1">
      <w:start w:val="1"/>
      <w:numFmt w:val="lowerLetter"/>
      <w:lvlText w:val="%5."/>
      <w:lvlJc w:val="left"/>
      <w:pPr>
        <w:ind w:left="4680" w:hanging="360"/>
      </w:pPr>
    </w:lvl>
    <w:lvl w:ilvl="5" w:tplc="04090005" w:tentative="1">
      <w:start w:val="1"/>
      <w:numFmt w:val="lowerRoman"/>
      <w:lvlText w:val="%6."/>
      <w:lvlJc w:val="right"/>
      <w:pPr>
        <w:ind w:left="5400" w:hanging="180"/>
      </w:pPr>
    </w:lvl>
    <w:lvl w:ilvl="6" w:tplc="04090001" w:tentative="1">
      <w:start w:val="1"/>
      <w:numFmt w:val="decimal"/>
      <w:lvlText w:val="%7."/>
      <w:lvlJc w:val="left"/>
      <w:pPr>
        <w:ind w:left="6120" w:hanging="360"/>
      </w:pPr>
    </w:lvl>
    <w:lvl w:ilvl="7" w:tplc="04090003" w:tentative="1">
      <w:start w:val="1"/>
      <w:numFmt w:val="lowerLetter"/>
      <w:lvlText w:val="%8."/>
      <w:lvlJc w:val="left"/>
      <w:pPr>
        <w:ind w:left="6840" w:hanging="360"/>
      </w:pPr>
    </w:lvl>
    <w:lvl w:ilvl="8" w:tplc="04090005" w:tentative="1">
      <w:start w:val="1"/>
      <w:numFmt w:val="lowerRoman"/>
      <w:lvlText w:val="%9."/>
      <w:lvlJc w:val="right"/>
      <w:pPr>
        <w:ind w:left="7560" w:hanging="180"/>
      </w:pPr>
    </w:lvl>
  </w:abstractNum>
  <w:abstractNum w:abstractNumId="68">
    <w:nsid w:val="66150F7E"/>
    <w:multiLevelType w:val="hybridMultilevel"/>
    <w:tmpl w:val="F8C8C0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6F63FC4"/>
    <w:multiLevelType w:val="hybridMultilevel"/>
    <w:tmpl w:val="D9B80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8043868"/>
    <w:multiLevelType w:val="hybridMultilevel"/>
    <w:tmpl w:val="3B9E7B3A"/>
    <w:lvl w:ilvl="0" w:tplc="DECA6716">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71">
    <w:nsid w:val="692506CA"/>
    <w:multiLevelType w:val="hybridMultilevel"/>
    <w:tmpl w:val="D93C7BDA"/>
    <w:lvl w:ilvl="0" w:tplc="04090001">
      <w:start w:val="1"/>
      <w:numFmt w:val="decimal"/>
      <w:lvlText w:val="%1)"/>
      <w:lvlJc w:val="left"/>
      <w:pPr>
        <w:ind w:left="720" w:hanging="360"/>
      </w:pPr>
      <w:rPr>
        <w:rFonts w:hint="default"/>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2">
    <w:nsid w:val="692B6B14"/>
    <w:multiLevelType w:val="hybridMultilevel"/>
    <w:tmpl w:val="418AC34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nsid w:val="6A341BDD"/>
    <w:multiLevelType w:val="hybridMultilevel"/>
    <w:tmpl w:val="3F24C588"/>
    <w:lvl w:ilvl="0" w:tplc="0409000B">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4">
    <w:nsid w:val="6A8C4B3F"/>
    <w:multiLevelType w:val="hybridMultilevel"/>
    <w:tmpl w:val="E77E7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BFD0DE8"/>
    <w:multiLevelType w:val="hybridMultilevel"/>
    <w:tmpl w:val="441C51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6C373617"/>
    <w:multiLevelType w:val="hybridMultilevel"/>
    <w:tmpl w:val="27FC7A50"/>
    <w:lvl w:ilvl="0" w:tplc="0F4E6F04">
      <w:start w:val="1"/>
      <w:numFmt w:val="lowerLetter"/>
      <w:lvlText w:val="%1)"/>
      <w:lvlJc w:val="left"/>
      <w:pPr>
        <w:ind w:left="720" w:hanging="360"/>
      </w:pPr>
    </w:lvl>
    <w:lvl w:ilvl="1" w:tplc="04090019">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6CB36AAD"/>
    <w:multiLevelType w:val="hybridMultilevel"/>
    <w:tmpl w:val="6DC4926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8">
    <w:nsid w:val="6E8C3769"/>
    <w:multiLevelType w:val="hybridMultilevel"/>
    <w:tmpl w:val="EBE8E508"/>
    <w:lvl w:ilvl="0" w:tplc="CFDA587C">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79">
    <w:nsid w:val="71023AA1"/>
    <w:multiLevelType w:val="hybridMultilevel"/>
    <w:tmpl w:val="CEFE94F2"/>
    <w:lvl w:ilvl="0" w:tplc="CFDA587C">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80">
    <w:nsid w:val="7396035B"/>
    <w:multiLevelType w:val="hybridMultilevel"/>
    <w:tmpl w:val="D09A3A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75480960"/>
    <w:multiLevelType w:val="hybridMultilevel"/>
    <w:tmpl w:val="1E90D1E0"/>
    <w:lvl w:ilvl="0" w:tplc="04090001">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82">
    <w:nsid w:val="7A69680D"/>
    <w:multiLevelType w:val="hybridMultilevel"/>
    <w:tmpl w:val="064CE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BD8548B"/>
    <w:multiLevelType w:val="hybridMultilevel"/>
    <w:tmpl w:val="3632AEC8"/>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84">
    <w:nsid w:val="7C37164F"/>
    <w:multiLevelType w:val="hybridMultilevel"/>
    <w:tmpl w:val="E0E09846"/>
    <w:lvl w:ilvl="0" w:tplc="04090011">
      <w:start w:val="1"/>
      <w:numFmt w:val="decimal"/>
      <w:lvlText w:val="%1)"/>
      <w:lvlJc w:val="left"/>
      <w:pPr>
        <w:ind w:left="720" w:hanging="360"/>
      </w:pPr>
      <w:rPr>
        <w:rFonts w:hint="default"/>
      </w:rPr>
    </w:lvl>
    <w:lvl w:ilvl="1" w:tplc="04090019" w:tentative="1">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85">
    <w:nsid w:val="7E2F1E98"/>
    <w:multiLevelType w:val="hybridMultilevel"/>
    <w:tmpl w:val="B642B70C"/>
    <w:lvl w:ilvl="0" w:tplc="88AE0C2A">
      <w:start w:val="1"/>
      <w:numFmt w:val="bullet"/>
      <w:pStyle w:val="Example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7FCC0973"/>
    <w:multiLevelType w:val="hybridMultilevel"/>
    <w:tmpl w:val="632E50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6"/>
  </w:num>
  <w:num w:numId="2">
    <w:abstractNumId w:val="17"/>
  </w:num>
  <w:num w:numId="3">
    <w:abstractNumId w:val="50"/>
  </w:num>
  <w:num w:numId="4">
    <w:abstractNumId w:val="27"/>
  </w:num>
  <w:num w:numId="5">
    <w:abstractNumId w:val="13"/>
  </w:num>
  <w:num w:numId="6">
    <w:abstractNumId w:val="81"/>
  </w:num>
  <w:num w:numId="7">
    <w:abstractNumId w:val="8"/>
  </w:num>
  <w:num w:numId="8">
    <w:abstractNumId w:val="58"/>
  </w:num>
  <w:num w:numId="9">
    <w:abstractNumId w:val="43"/>
  </w:num>
  <w:num w:numId="10">
    <w:abstractNumId w:val="76"/>
  </w:num>
  <w:num w:numId="11">
    <w:abstractNumId w:val="19"/>
  </w:num>
  <w:num w:numId="12">
    <w:abstractNumId w:val="37"/>
  </w:num>
  <w:num w:numId="13">
    <w:abstractNumId w:val="70"/>
  </w:num>
  <w:num w:numId="14">
    <w:abstractNumId w:val="69"/>
  </w:num>
  <w:num w:numId="15">
    <w:abstractNumId w:val="73"/>
  </w:num>
  <w:num w:numId="16">
    <w:abstractNumId w:val="9"/>
  </w:num>
  <w:num w:numId="17">
    <w:abstractNumId w:val="68"/>
  </w:num>
  <w:num w:numId="18">
    <w:abstractNumId w:val="35"/>
  </w:num>
  <w:num w:numId="19">
    <w:abstractNumId w:val="52"/>
  </w:num>
  <w:num w:numId="20">
    <w:abstractNumId w:val="52"/>
    <w:lvlOverride w:ilvl="0">
      <w:startOverride w:val="1"/>
    </w:lvlOverride>
  </w:num>
  <w:num w:numId="21">
    <w:abstractNumId w:val="25"/>
  </w:num>
  <w:num w:numId="22">
    <w:abstractNumId w:val="62"/>
  </w:num>
  <w:num w:numId="23">
    <w:abstractNumId w:val="40"/>
  </w:num>
  <w:num w:numId="24">
    <w:abstractNumId w:val="79"/>
  </w:num>
  <w:num w:numId="25">
    <w:abstractNumId w:val="47"/>
  </w:num>
  <w:num w:numId="26">
    <w:abstractNumId w:val="45"/>
  </w:num>
  <w:num w:numId="27">
    <w:abstractNumId w:val="18"/>
  </w:num>
  <w:num w:numId="28">
    <w:abstractNumId w:val="11"/>
  </w:num>
  <w:num w:numId="29">
    <w:abstractNumId w:val="26"/>
  </w:num>
  <w:num w:numId="30">
    <w:abstractNumId w:val="65"/>
  </w:num>
  <w:num w:numId="31">
    <w:abstractNumId w:val="54"/>
  </w:num>
  <w:num w:numId="32">
    <w:abstractNumId w:val="83"/>
  </w:num>
  <w:num w:numId="33">
    <w:abstractNumId w:val="24"/>
  </w:num>
  <w:num w:numId="34">
    <w:abstractNumId w:val="33"/>
  </w:num>
  <w:num w:numId="35">
    <w:abstractNumId w:val="46"/>
  </w:num>
  <w:num w:numId="36">
    <w:abstractNumId w:val="31"/>
  </w:num>
  <w:num w:numId="37">
    <w:abstractNumId w:val="28"/>
  </w:num>
  <w:num w:numId="38">
    <w:abstractNumId w:val="75"/>
  </w:num>
  <w:num w:numId="39">
    <w:abstractNumId w:val="74"/>
  </w:num>
  <w:num w:numId="40">
    <w:abstractNumId w:val="80"/>
  </w:num>
  <w:num w:numId="41">
    <w:abstractNumId w:val="36"/>
  </w:num>
  <w:num w:numId="42">
    <w:abstractNumId w:val="56"/>
  </w:num>
  <w:num w:numId="43">
    <w:abstractNumId w:val="57"/>
  </w:num>
  <w:num w:numId="44">
    <w:abstractNumId w:val="12"/>
  </w:num>
  <w:num w:numId="45">
    <w:abstractNumId w:val="22"/>
  </w:num>
  <w:num w:numId="46">
    <w:abstractNumId w:val="10"/>
  </w:num>
  <w:num w:numId="47">
    <w:abstractNumId w:val="18"/>
    <w:lvlOverride w:ilvl="0">
      <w:lvl w:ilvl="0">
        <w:start w:val="1"/>
        <w:numFmt w:val="upperRoman"/>
        <w:pStyle w:val="Heading1"/>
        <w:lvlText w:val="Appendix %1."/>
        <w:lvlJc w:val="left"/>
        <w:pPr>
          <w:ind w:left="360" w:hanging="360"/>
        </w:pPr>
        <w:rPr>
          <w:rFonts w:hint="default"/>
        </w:rPr>
      </w:lvl>
    </w:lvlOverride>
    <w:lvlOverride w:ilvl="1">
      <w:lvl w:ilvl="1">
        <w:start w:val="1"/>
        <w:numFmt w:val="decimal"/>
        <w:pStyle w:val="Heading2"/>
        <w:lvlText w:val="%1.%2."/>
        <w:lvlJc w:val="left"/>
        <w:pPr>
          <w:ind w:left="792" w:hanging="432"/>
        </w:pPr>
        <w:rPr>
          <w:rFonts w:hint="default"/>
        </w:rPr>
      </w:lvl>
    </w:lvlOverride>
    <w:lvlOverride w:ilvl="2">
      <w:lvl w:ilvl="2">
        <w:start w:val="1"/>
        <w:numFmt w:val="decimal"/>
        <w:pStyle w:val="Heading3"/>
        <w:lvlText w:val="%1.%2.%3."/>
        <w:lvlJc w:val="left"/>
        <w:pPr>
          <w:ind w:left="1224" w:hanging="504"/>
        </w:pPr>
        <w:rPr>
          <w:rFonts w:ascii="Times New Roman" w:hAnsi="Times New Roman" w:cs="Times New Roman" w:hint="default"/>
          <w:b/>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em w:val="none"/>
        </w:rPr>
      </w:lvl>
    </w:lvlOverride>
    <w:lvlOverride w:ilvl="3">
      <w:lvl w:ilvl="3">
        <w:start w:val="1"/>
        <w:numFmt w:val="decimal"/>
        <w:pStyle w:val="Heading4"/>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8">
    <w:abstractNumId w:val="64"/>
  </w:num>
  <w:num w:numId="49">
    <w:abstractNumId w:val="42"/>
    <w:lvlOverride w:ilvl="0">
      <w:startOverride w:val="1"/>
    </w:lvlOverride>
  </w:num>
  <w:num w:numId="50">
    <w:abstractNumId w:val="82"/>
  </w:num>
  <w:num w:numId="51">
    <w:abstractNumId w:val="23"/>
  </w:num>
  <w:num w:numId="52">
    <w:abstractNumId w:val="49"/>
  </w:num>
  <w:num w:numId="53">
    <w:abstractNumId w:val="42"/>
  </w:num>
  <w:num w:numId="54">
    <w:abstractNumId w:val="42"/>
    <w:lvlOverride w:ilvl="0">
      <w:startOverride w:val="1"/>
    </w:lvlOverride>
  </w:num>
  <w:num w:numId="55">
    <w:abstractNumId w:val="42"/>
    <w:lvlOverride w:ilvl="0">
      <w:startOverride w:val="1"/>
    </w:lvlOverride>
  </w:num>
  <w:num w:numId="56">
    <w:abstractNumId w:val="42"/>
    <w:lvlOverride w:ilvl="0">
      <w:startOverride w:val="1"/>
    </w:lvlOverride>
  </w:num>
  <w:num w:numId="57">
    <w:abstractNumId w:val="42"/>
    <w:lvlOverride w:ilvl="0">
      <w:startOverride w:val="1"/>
    </w:lvlOverride>
  </w:num>
  <w:num w:numId="58">
    <w:abstractNumId w:val="42"/>
    <w:lvlOverride w:ilvl="0">
      <w:startOverride w:val="1"/>
    </w:lvlOverride>
  </w:num>
  <w:num w:numId="59">
    <w:abstractNumId w:val="44"/>
  </w:num>
  <w:num w:numId="60">
    <w:abstractNumId w:val="32"/>
  </w:num>
  <w:num w:numId="61">
    <w:abstractNumId w:val="14"/>
  </w:num>
  <w:num w:numId="62">
    <w:abstractNumId w:val="42"/>
    <w:lvlOverride w:ilvl="0">
      <w:startOverride w:val="1"/>
    </w:lvlOverride>
  </w:num>
  <w:num w:numId="63">
    <w:abstractNumId w:val="48"/>
  </w:num>
  <w:num w:numId="64">
    <w:abstractNumId w:val="78"/>
  </w:num>
  <w:num w:numId="65">
    <w:abstractNumId w:val="66"/>
  </w:num>
  <w:num w:numId="66">
    <w:abstractNumId w:val="53"/>
  </w:num>
  <w:num w:numId="67">
    <w:abstractNumId w:val="63"/>
  </w:num>
  <w:num w:numId="68">
    <w:abstractNumId w:val="55"/>
  </w:num>
  <w:num w:numId="69">
    <w:abstractNumId w:val="67"/>
  </w:num>
  <w:num w:numId="70">
    <w:abstractNumId w:val="20"/>
  </w:num>
  <w:num w:numId="71">
    <w:abstractNumId w:val="41"/>
  </w:num>
  <w:num w:numId="72">
    <w:abstractNumId w:val="7"/>
  </w:num>
  <w:num w:numId="73">
    <w:abstractNumId w:val="6"/>
  </w:num>
  <w:num w:numId="74">
    <w:abstractNumId w:val="5"/>
  </w:num>
  <w:num w:numId="75">
    <w:abstractNumId w:val="4"/>
  </w:num>
  <w:num w:numId="76">
    <w:abstractNumId w:val="3"/>
  </w:num>
  <w:num w:numId="77">
    <w:abstractNumId w:val="2"/>
  </w:num>
  <w:num w:numId="78">
    <w:abstractNumId w:val="1"/>
  </w:num>
  <w:num w:numId="79">
    <w:abstractNumId w:val="0"/>
  </w:num>
  <w:num w:numId="80">
    <w:abstractNumId w:val="59"/>
  </w:num>
  <w:num w:numId="81">
    <w:abstractNumId w:val="16"/>
  </w:num>
  <w:num w:numId="82">
    <w:abstractNumId w:val="77"/>
  </w:num>
  <w:num w:numId="83">
    <w:abstractNumId w:val="15"/>
  </w:num>
  <w:num w:numId="84">
    <w:abstractNumId w:val="60"/>
  </w:num>
  <w:num w:numId="85">
    <w:abstractNumId w:val="71"/>
  </w:num>
  <w:num w:numId="86">
    <w:abstractNumId w:val="61"/>
  </w:num>
  <w:num w:numId="87">
    <w:abstractNumId w:val="34"/>
  </w:num>
  <w:num w:numId="88">
    <w:abstractNumId w:val="84"/>
  </w:num>
  <w:num w:numId="89">
    <w:abstractNumId w:val="51"/>
  </w:num>
  <w:num w:numId="90">
    <w:abstractNumId w:val="85"/>
  </w:num>
  <w:num w:numId="91">
    <w:abstractNumId w:val="29"/>
  </w:num>
  <w:num w:numId="92">
    <w:abstractNumId w:val="21"/>
  </w:num>
  <w:num w:numId="93">
    <w:abstractNumId w:val="30"/>
  </w:num>
  <w:num w:numId="94">
    <w:abstractNumId w:val="72"/>
  </w:num>
  <w:num w:numId="95">
    <w:abstractNumId w:val="29"/>
  </w:num>
  <w:num w:numId="96">
    <w:abstractNumId w:val="46"/>
    <w:lvlOverride w:ilvl="0">
      <w:startOverride w:val="1"/>
    </w:lvlOverride>
  </w:num>
  <w:num w:numId="97">
    <w:abstractNumId w:val="39"/>
  </w:num>
  <w:num w:numId="98">
    <w:abstractNumId w:val="38"/>
  </w:num>
  <w:num w:numId="99">
    <w:abstractNumId w:val="29"/>
  </w:num>
  <w:num w:numId="100">
    <w:abstractNumId w:val="42"/>
    <w:lvlOverride w:ilvl="0">
      <w:startOverride w:val="1"/>
    </w:lvlOverride>
  </w:num>
  <w:num w:numId="101">
    <w:abstractNumId w:val="42"/>
    <w:lvlOverride w:ilvl="0">
      <w:startOverride w:val="1"/>
    </w:lvlOverride>
  </w:num>
  <w:numIdMacAtCleanup w:val="9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hdrShapeDefaults>
    <o:shapedefaults v:ext="edit" spidmax="107521"/>
  </w:hdrShapeDefaults>
  <w:footnotePr>
    <w:footnote w:id="-1"/>
    <w:footnote w:id="0"/>
  </w:footnotePr>
  <w:endnotePr>
    <w:endnote w:id="-1"/>
    <w:endnote w:id="0"/>
  </w:endnotePr>
  <w:compat/>
  <w:rsids>
    <w:rsidRoot w:val="0013104B"/>
    <w:rsid w:val="00001A88"/>
    <w:rsid w:val="00011473"/>
    <w:rsid w:val="000127F3"/>
    <w:rsid w:val="00014A1C"/>
    <w:rsid w:val="00014EEF"/>
    <w:rsid w:val="00024A2A"/>
    <w:rsid w:val="00024DE1"/>
    <w:rsid w:val="000352A9"/>
    <w:rsid w:val="00036CBD"/>
    <w:rsid w:val="00037711"/>
    <w:rsid w:val="00043416"/>
    <w:rsid w:val="00043B81"/>
    <w:rsid w:val="000446A6"/>
    <w:rsid w:val="000452BD"/>
    <w:rsid w:val="00046D54"/>
    <w:rsid w:val="000501BB"/>
    <w:rsid w:val="000567D7"/>
    <w:rsid w:val="000613EA"/>
    <w:rsid w:val="000709C2"/>
    <w:rsid w:val="00077AA6"/>
    <w:rsid w:val="000828A6"/>
    <w:rsid w:val="000921BE"/>
    <w:rsid w:val="000934F1"/>
    <w:rsid w:val="00094961"/>
    <w:rsid w:val="000A1840"/>
    <w:rsid w:val="000B150F"/>
    <w:rsid w:val="000B15B1"/>
    <w:rsid w:val="000B1E47"/>
    <w:rsid w:val="000B21E6"/>
    <w:rsid w:val="000B5480"/>
    <w:rsid w:val="000B6545"/>
    <w:rsid w:val="000B7F76"/>
    <w:rsid w:val="000C0559"/>
    <w:rsid w:val="000C0C3F"/>
    <w:rsid w:val="000C23C0"/>
    <w:rsid w:val="000D23C5"/>
    <w:rsid w:val="000D43C8"/>
    <w:rsid w:val="000E4DAD"/>
    <w:rsid w:val="000E5137"/>
    <w:rsid w:val="000E7169"/>
    <w:rsid w:val="000F3BE6"/>
    <w:rsid w:val="000F5D63"/>
    <w:rsid w:val="001063F7"/>
    <w:rsid w:val="0010727A"/>
    <w:rsid w:val="00113605"/>
    <w:rsid w:val="00115863"/>
    <w:rsid w:val="00122FC0"/>
    <w:rsid w:val="00123940"/>
    <w:rsid w:val="00126DE5"/>
    <w:rsid w:val="00126F3D"/>
    <w:rsid w:val="0013104B"/>
    <w:rsid w:val="001326A1"/>
    <w:rsid w:val="0014047B"/>
    <w:rsid w:val="00143E09"/>
    <w:rsid w:val="001457E7"/>
    <w:rsid w:val="001460E1"/>
    <w:rsid w:val="001504F4"/>
    <w:rsid w:val="00151AE9"/>
    <w:rsid w:val="0016003D"/>
    <w:rsid w:val="001631F5"/>
    <w:rsid w:val="001659E8"/>
    <w:rsid w:val="00170AED"/>
    <w:rsid w:val="00170F0B"/>
    <w:rsid w:val="0017482B"/>
    <w:rsid w:val="00176528"/>
    <w:rsid w:val="001838A4"/>
    <w:rsid w:val="00190A62"/>
    <w:rsid w:val="00194020"/>
    <w:rsid w:val="001958AC"/>
    <w:rsid w:val="001A1277"/>
    <w:rsid w:val="001A75FD"/>
    <w:rsid w:val="001A784C"/>
    <w:rsid w:val="001B1866"/>
    <w:rsid w:val="001B3E27"/>
    <w:rsid w:val="001B5D78"/>
    <w:rsid w:val="001B692E"/>
    <w:rsid w:val="001C281A"/>
    <w:rsid w:val="001C7E1E"/>
    <w:rsid w:val="001D10EE"/>
    <w:rsid w:val="001D5BDE"/>
    <w:rsid w:val="001D6B02"/>
    <w:rsid w:val="001D74B5"/>
    <w:rsid w:val="001E596C"/>
    <w:rsid w:val="00201664"/>
    <w:rsid w:val="00202D8F"/>
    <w:rsid w:val="0021105A"/>
    <w:rsid w:val="00213BFF"/>
    <w:rsid w:val="00214436"/>
    <w:rsid w:val="002322D4"/>
    <w:rsid w:val="00240DAC"/>
    <w:rsid w:val="00240F43"/>
    <w:rsid w:val="002462A8"/>
    <w:rsid w:val="00250757"/>
    <w:rsid w:val="00254A9D"/>
    <w:rsid w:val="00260F16"/>
    <w:rsid w:val="00267EB8"/>
    <w:rsid w:val="0027571A"/>
    <w:rsid w:val="002771FD"/>
    <w:rsid w:val="0028027F"/>
    <w:rsid w:val="0028402F"/>
    <w:rsid w:val="00290AEB"/>
    <w:rsid w:val="0029208C"/>
    <w:rsid w:val="00292B62"/>
    <w:rsid w:val="002935BE"/>
    <w:rsid w:val="00295CD5"/>
    <w:rsid w:val="00296C2D"/>
    <w:rsid w:val="002A0445"/>
    <w:rsid w:val="002A451E"/>
    <w:rsid w:val="002B0B2C"/>
    <w:rsid w:val="002B0BE4"/>
    <w:rsid w:val="002B1599"/>
    <w:rsid w:val="002B6975"/>
    <w:rsid w:val="002C242C"/>
    <w:rsid w:val="002C685B"/>
    <w:rsid w:val="002D19E2"/>
    <w:rsid w:val="002D2784"/>
    <w:rsid w:val="002D3A19"/>
    <w:rsid w:val="002E1936"/>
    <w:rsid w:val="002E1D95"/>
    <w:rsid w:val="002E6CAE"/>
    <w:rsid w:val="002F111D"/>
    <w:rsid w:val="002F160D"/>
    <w:rsid w:val="002F4162"/>
    <w:rsid w:val="00305AB1"/>
    <w:rsid w:val="00306D82"/>
    <w:rsid w:val="0031164B"/>
    <w:rsid w:val="00320E45"/>
    <w:rsid w:val="0032141E"/>
    <w:rsid w:val="00324EA4"/>
    <w:rsid w:val="00335BCC"/>
    <w:rsid w:val="0033694B"/>
    <w:rsid w:val="003435FD"/>
    <w:rsid w:val="00344DD2"/>
    <w:rsid w:val="00351A5E"/>
    <w:rsid w:val="00352720"/>
    <w:rsid w:val="00354C54"/>
    <w:rsid w:val="00357A79"/>
    <w:rsid w:val="00357F02"/>
    <w:rsid w:val="00373BF7"/>
    <w:rsid w:val="003A6DAA"/>
    <w:rsid w:val="003A7710"/>
    <w:rsid w:val="003B1526"/>
    <w:rsid w:val="003C16B9"/>
    <w:rsid w:val="003C2CB4"/>
    <w:rsid w:val="003C35C9"/>
    <w:rsid w:val="003C39EF"/>
    <w:rsid w:val="003C52AF"/>
    <w:rsid w:val="003C6758"/>
    <w:rsid w:val="003C69AA"/>
    <w:rsid w:val="003C7091"/>
    <w:rsid w:val="003C7F53"/>
    <w:rsid w:val="003D65F2"/>
    <w:rsid w:val="003E241D"/>
    <w:rsid w:val="003E7813"/>
    <w:rsid w:val="003F38A8"/>
    <w:rsid w:val="003F6CB2"/>
    <w:rsid w:val="00401BEB"/>
    <w:rsid w:val="00405BAD"/>
    <w:rsid w:val="004266A7"/>
    <w:rsid w:val="00430D51"/>
    <w:rsid w:val="00433047"/>
    <w:rsid w:val="00433D7E"/>
    <w:rsid w:val="00434575"/>
    <w:rsid w:val="00435B64"/>
    <w:rsid w:val="004362B5"/>
    <w:rsid w:val="004372E9"/>
    <w:rsid w:val="00440A12"/>
    <w:rsid w:val="004427C8"/>
    <w:rsid w:val="00454A64"/>
    <w:rsid w:val="00460985"/>
    <w:rsid w:val="0046189D"/>
    <w:rsid w:val="004618CF"/>
    <w:rsid w:val="00463DA7"/>
    <w:rsid w:val="00467258"/>
    <w:rsid w:val="004673AC"/>
    <w:rsid w:val="004709AA"/>
    <w:rsid w:val="004751A3"/>
    <w:rsid w:val="00480481"/>
    <w:rsid w:val="004833C7"/>
    <w:rsid w:val="0049346F"/>
    <w:rsid w:val="004934CF"/>
    <w:rsid w:val="00497E2A"/>
    <w:rsid w:val="004A06A8"/>
    <w:rsid w:val="004A31F7"/>
    <w:rsid w:val="004B0AAA"/>
    <w:rsid w:val="004B2A25"/>
    <w:rsid w:val="004B7D8B"/>
    <w:rsid w:val="004C02CF"/>
    <w:rsid w:val="004C35B7"/>
    <w:rsid w:val="004C3BE8"/>
    <w:rsid w:val="004C6431"/>
    <w:rsid w:val="004C68B4"/>
    <w:rsid w:val="004D0AE2"/>
    <w:rsid w:val="004D33DE"/>
    <w:rsid w:val="004D379D"/>
    <w:rsid w:val="004E0B13"/>
    <w:rsid w:val="004F7CDF"/>
    <w:rsid w:val="00506A15"/>
    <w:rsid w:val="00506B98"/>
    <w:rsid w:val="00511665"/>
    <w:rsid w:val="00512C9C"/>
    <w:rsid w:val="00513EB3"/>
    <w:rsid w:val="0051500F"/>
    <w:rsid w:val="0051588E"/>
    <w:rsid w:val="00524D76"/>
    <w:rsid w:val="00533A19"/>
    <w:rsid w:val="005411C8"/>
    <w:rsid w:val="00544F04"/>
    <w:rsid w:val="005543C1"/>
    <w:rsid w:val="005667A9"/>
    <w:rsid w:val="00571D03"/>
    <w:rsid w:val="00572495"/>
    <w:rsid w:val="00572A4E"/>
    <w:rsid w:val="00575383"/>
    <w:rsid w:val="00582391"/>
    <w:rsid w:val="0058381A"/>
    <w:rsid w:val="00584371"/>
    <w:rsid w:val="005851C7"/>
    <w:rsid w:val="0058581F"/>
    <w:rsid w:val="005874F2"/>
    <w:rsid w:val="005913FC"/>
    <w:rsid w:val="00592C95"/>
    <w:rsid w:val="005A74EE"/>
    <w:rsid w:val="005B7E16"/>
    <w:rsid w:val="005C38D4"/>
    <w:rsid w:val="005C76CE"/>
    <w:rsid w:val="005C7F18"/>
    <w:rsid w:val="005D214C"/>
    <w:rsid w:val="005D6421"/>
    <w:rsid w:val="005E1524"/>
    <w:rsid w:val="005E20BB"/>
    <w:rsid w:val="005E57C9"/>
    <w:rsid w:val="005F16D6"/>
    <w:rsid w:val="005F179E"/>
    <w:rsid w:val="005F3AA9"/>
    <w:rsid w:val="005F4954"/>
    <w:rsid w:val="006038B7"/>
    <w:rsid w:val="00604494"/>
    <w:rsid w:val="00612507"/>
    <w:rsid w:val="006143B6"/>
    <w:rsid w:val="00616820"/>
    <w:rsid w:val="00622320"/>
    <w:rsid w:val="006261F2"/>
    <w:rsid w:val="00631631"/>
    <w:rsid w:val="0063671C"/>
    <w:rsid w:val="00636C4D"/>
    <w:rsid w:val="006376C6"/>
    <w:rsid w:val="0064604F"/>
    <w:rsid w:val="00647B99"/>
    <w:rsid w:val="00650568"/>
    <w:rsid w:val="00661CC6"/>
    <w:rsid w:val="00665CE4"/>
    <w:rsid w:val="00673329"/>
    <w:rsid w:val="006860B9"/>
    <w:rsid w:val="0069646E"/>
    <w:rsid w:val="00697940"/>
    <w:rsid w:val="006A252C"/>
    <w:rsid w:val="006A7C3E"/>
    <w:rsid w:val="006B3FD5"/>
    <w:rsid w:val="006B6A24"/>
    <w:rsid w:val="006B6EBA"/>
    <w:rsid w:val="006C0B30"/>
    <w:rsid w:val="006C73AE"/>
    <w:rsid w:val="006D0057"/>
    <w:rsid w:val="006D28B3"/>
    <w:rsid w:val="006D6026"/>
    <w:rsid w:val="006E18DD"/>
    <w:rsid w:val="006E3E48"/>
    <w:rsid w:val="006E7FF0"/>
    <w:rsid w:val="006F36EC"/>
    <w:rsid w:val="00702DCC"/>
    <w:rsid w:val="0070768B"/>
    <w:rsid w:val="00713962"/>
    <w:rsid w:val="007147B0"/>
    <w:rsid w:val="007216C0"/>
    <w:rsid w:val="0072515A"/>
    <w:rsid w:val="00726337"/>
    <w:rsid w:val="00731441"/>
    <w:rsid w:val="007377D8"/>
    <w:rsid w:val="00746522"/>
    <w:rsid w:val="007513B3"/>
    <w:rsid w:val="00753B4D"/>
    <w:rsid w:val="007544D0"/>
    <w:rsid w:val="00766199"/>
    <w:rsid w:val="00770C03"/>
    <w:rsid w:val="00772506"/>
    <w:rsid w:val="00776265"/>
    <w:rsid w:val="00784AA2"/>
    <w:rsid w:val="00786C35"/>
    <w:rsid w:val="0079665E"/>
    <w:rsid w:val="007A18AD"/>
    <w:rsid w:val="007A1BD3"/>
    <w:rsid w:val="007A2F9E"/>
    <w:rsid w:val="007A343A"/>
    <w:rsid w:val="007A3447"/>
    <w:rsid w:val="007A3B8E"/>
    <w:rsid w:val="007A7FCC"/>
    <w:rsid w:val="007B353A"/>
    <w:rsid w:val="007C664B"/>
    <w:rsid w:val="007D03DF"/>
    <w:rsid w:val="007D0776"/>
    <w:rsid w:val="007D20AD"/>
    <w:rsid w:val="007D3B46"/>
    <w:rsid w:val="007D631A"/>
    <w:rsid w:val="007D6830"/>
    <w:rsid w:val="007E0420"/>
    <w:rsid w:val="007E22E9"/>
    <w:rsid w:val="007E29EF"/>
    <w:rsid w:val="007E2C0E"/>
    <w:rsid w:val="007E3916"/>
    <w:rsid w:val="007E480D"/>
    <w:rsid w:val="007E7723"/>
    <w:rsid w:val="007F1A72"/>
    <w:rsid w:val="00804BA8"/>
    <w:rsid w:val="00806A96"/>
    <w:rsid w:val="00810FA8"/>
    <w:rsid w:val="0081261C"/>
    <w:rsid w:val="008146B0"/>
    <w:rsid w:val="00823F17"/>
    <w:rsid w:val="00831D37"/>
    <w:rsid w:val="00832DBF"/>
    <w:rsid w:val="0083533D"/>
    <w:rsid w:val="0083684B"/>
    <w:rsid w:val="00844960"/>
    <w:rsid w:val="0085094C"/>
    <w:rsid w:val="00851327"/>
    <w:rsid w:val="0085199C"/>
    <w:rsid w:val="00853C9A"/>
    <w:rsid w:val="00854DA8"/>
    <w:rsid w:val="00867BE1"/>
    <w:rsid w:val="00877C45"/>
    <w:rsid w:val="00883303"/>
    <w:rsid w:val="008840A1"/>
    <w:rsid w:val="00890C3A"/>
    <w:rsid w:val="008A0BA6"/>
    <w:rsid w:val="008A6433"/>
    <w:rsid w:val="008B2623"/>
    <w:rsid w:val="008B6FE5"/>
    <w:rsid w:val="008C146A"/>
    <w:rsid w:val="008C47D3"/>
    <w:rsid w:val="008D5A30"/>
    <w:rsid w:val="008E4BEC"/>
    <w:rsid w:val="008E5F19"/>
    <w:rsid w:val="008F1A0F"/>
    <w:rsid w:val="008F2408"/>
    <w:rsid w:val="008F4915"/>
    <w:rsid w:val="009034B6"/>
    <w:rsid w:val="00907794"/>
    <w:rsid w:val="009155C2"/>
    <w:rsid w:val="00923247"/>
    <w:rsid w:val="00924525"/>
    <w:rsid w:val="00924E5B"/>
    <w:rsid w:val="00925C11"/>
    <w:rsid w:val="009278DD"/>
    <w:rsid w:val="009279F9"/>
    <w:rsid w:val="009367C8"/>
    <w:rsid w:val="00941E33"/>
    <w:rsid w:val="00945E14"/>
    <w:rsid w:val="009464FC"/>
    <w:rsid w:val="009531AF"/>
    <w:rsid w:val="00953204"/>
    <w:rsid w:val="00954142"/>
    <w:rsid w:val="009565DB"/>
    <w:rsid w:val="00962CC1"/>
    <w:rsid w:val="00962FBC"/>
    <w:rsid w:val="00972110"/>
    <w:rsid w:val="00972872"/>
    <w:rsid w:val="009758EC"/>
    <w:rsid w:val="00976498"/>
    <w:rsid w:val="009805F5"/>
    <w:rsid w:val="00987028"/>
    <w:rsid w:val="009877A3"/>
    <w:rsid w:val="009907F8"/>
    <w:rsid w:val="00990A72"/>
    <w:rsid w:val="009A485C"/>
    <w:rsid w:val="009A5297"/>
    <w:rsid w:val="009A7904"/>
    <w:rsid w:val="009B1043"/>
    <w:rsid w:val="009B402F"/>
    <w:rsid w:val="009C3BBA"/>
    <w:rsid w:val="009D1F44"/>
    <w:rsid w:val="009D62D1"/>
    <w:rsid w:val="009D7E3B"/>
    <w:rsid w:val="009E1CFF"/>
    <w:rsid w:val="009E2B1A"/>
    <w:rsid w:val="009E7FDA"/>
    <w:rsid w:val="009F21C0"/>
    <w:rsid w:val="00A0151C"/>
    <w:rsid w:val="00A05B65"/>
    <w:rsid w:val="00A075A2"/>
    <w:rsid w:val="00A107B0"/>
    <w:rsid w:val="00A132C3"/>
    <w:rsid w:val="00A15559"/>
    <w:rsid w:val="00A165BD"/>
    <w:rsid w:val="00A16CAF"/>
    <w:rsid w:val="00A17ED3"/>
    <w:rsid w:val="00A214BC"/>
    <w:rsid w:val="00A215F3"/>
    <w:rsid w:val="00A2401F"/>
    <w:rsid w:val="00A27241"/>
    <w:rsid w:val="00A35A8F"/>
    <w:rsid w:val="00A43F47"/>
    <w:rsid w:val="00A52883"/>
    <w:rsid w:val="00A52ED1"/>
    <w:rsid w:val="00A55340"/>
    <w:rsid w:val="00A72577"/>
    <w:rsid w:val="00A77EDA"/>
    <w:rsid w:val="00A83CAB"/>
    <w:rsid w:val="00A8429E"/>
    <w:rsid w:val="00A851F8"/>
    <w:rsid w:val="00A8565E"/>
    <w:rsid w:val="00A8728B"/>
    <w:rsid w:val="00A9300F"/>
    <w:rsid w:val="00AA036C"/>
    <w:rsid w:val="00AA0EF6"/>
    <w:rsid w:val="00AA278B"/>
    <w:rsid w:val="00AA51FA"/>
    <w:rsid w:val="00AB473C"/>
    <w:rsid w:val="00AC11D9"/>
    <w:rsid w:val="00AE0D0E"/>
    <w:rsid w:val="00AE2CFF"/>
    <w:rsid w:val="00AE5495"/>
    <w:rsid w:val="00AF1000"/>
    <w:rsid w:val="00AF13E1"/>
    <w:rsid w:val="00B03092"/>
    <w:rsid w:val="00B03553"/>
    <w:rsid w:val="00B04A99"/>
    <w:rsid w:val="00B07251"/>
    <w:rsid w:val="00B127AB"/>
    <w:rsid w:val="00B24C0F"/>
    <w:rsid w:val="00B31025"/>
    <w:rsid w:val="00B32C4E"/>
    <w:rsid w:val="00B354FB"/>
    <w:rsid w:val="00B400E8"/>
    <w:rsid w:val="00B40134"/>
    <w:rsid w:val="00B43EEC"/>
    <w:rsid w:val="00B442CE"/>
    <w:rsid w:val="00B5019B"/>
    <w:rsid w:val="00B508CC"/>
    <w:rsid w:val="00B57186"/>
    <w:rsid w:val="00B61864"/>
    <w:rsid w:val="00B66631"/>
    <w:rsid w:val="00B75BA5"/>
    <w:rsid w:val="00B75F23"/>
    <w:rsid w:val="00B82BB0"/>
    <w:rsid w:val="00B82D3F"/>
    <w:rsid w:val="00B84790"/>
    <w:rsid w:val="00B84E7D"/>
    <w:rsid w:val="00B864E0"/>
    <w:rsid w:val="00B90324"/>
    <w:rsid w:val="00B94788"/>
    <w:rsid w:val="00B960C8"/>
    <w:rsid w:val="00B9693A"/>
    <w:rsid w:val="00B96ACD"/>
    <w:rsid w:val="00BA19FB"/>
    <w:rsid w:val="00BB151D"/>
    <w:rsid w:val="00BB157C"/>
    <w:rsid w:val="00BB18A5"/>
    <w:rsid w:val="00BB6AFB"/>
    <w:rsid w:val="00BD0237"/>
    <w:rsid w:val="00BD2C32"/>
    <w:rsid w:val="00BD45FF"/>
    <w:rsid w:val="00BD6182"/>
    <w:rsid w:val="00BD6F8B"/>
    <w:rsid w:val="00BF11C5"/>
    <w:rsid w:val="00BF13D5"/>
    <w:rsid w:val="00BF43BB"/>
    <w:rsid w:val="00C03C01"/>
    <w:rsid w:val="00C04D0D"/>
    <w:rsid w:val="00C052C2"/>
    <w:rsid w:val="00C06984"/>
    <w:rsid w:val="00C101F5"/>
    <w:rsid w:val="00C111E9"/>
    <w:rsid w:val="00C11350"/>
    <w:rsid w:val="00C12FF7"/>
    <w:rsid w:val="00C135D8"/>
    <w:rsid w:val="00C14658"/>
    <w:rsid w:val="00C26801"/>
    <w:rsid w:val="00C26BC5"/>
    <w:rsid w:val="00C316A2"/>
    <w:rsid w:val="00C31D4A"/>
    <w:rsid w:val="00C31ED5"/>
    <w:rsid w:val="00C34320"/>
    <w:rsid w:val="00C36FAE"/>
    <w:rsid w:val="00C40F47"/>
    <w:rsid w:val="00C43A52"/>
    <w:rsid w:val="00C44CAB"/>
    <w:rsid w:val="00C457D8"/>
    <w:rsid w:val="00C5213B"/>
    <w:rsid w:val="00C72F0F"/>
    <w:rsid w:val="00C774EF"/>
    <w:rsid w:val="00C77682"/>
    <w:rsid w:val="00C80D2F"/>
    <w:rsid w:val="00C821E2"/>
    <w:rsid w:val="00CB247B"/>
    <w:rsid w:val="00CB3EB8"/>
    <w:rsid w:val="00CB40BB"/>
    <w:rsid w:val="00CB4D18"/>
    <w:rsid w:val="00CD3E5E"/>
    <w:rsid w:val="00CE29A8"/>
    <w:rsid w:val="00CE32B9"/>
    <w:rsid w:val="00CF143E"/>
    <w:rsid w:val="00CF4F81"/>
    <w:rsid w:val="00D02547"/>
    <w:rsid w:val="00D03515"/>
    <w:rsid w:val="00D1142C"/>
    <w:rsid w:val="00D130AE"/>
    <w:rsid w:val="00D244D6"/>
    <w:rsid w:val="00D25D7A"/>
    <w:rsid w:val="00D25DA9"/>
    <w:rsid w:val="00D273D1"/>
    <w:rsid w:val="00D31A96"/>
    <w:rsid w:val="00D3668A"/>
    <w:rsid w:val="00D368B0"/>
    <w:rsid w:val="00D4020F"/>
    <w:rsid w:val="00D537BB"/>
    <w:rsid w:val="00D55848"/>
    <w:rsid w:val="00D60236"/>
    <w:rsid w:val="00D660BE"/>
    <w:rsid w:val="00D66AEC"/>
    <w:rsid w:val="00D6727E"/>
    <w:rsid w:val="00D7434C"/>
    <w:rsid w:val="00D74A28"/>
    <w:rsid w:val="00D84F1C"/>
    <w:rsid w:val="00DA3704"/>
    <w:rsid w:val="00DA4642"/>
    <w:rsid w:val="00DA4CDB"/>
    <w:rsid w:val="00DA6EFB"/>
    <w:rsid w:val="00DB01B6"/>
    <w:rsid w:val="00DB023C"/>
    <w:rsid w:val="00DB1A24"/>
    <w:rsid w:val="00DB3AA5"/>
    <w:rsid w:val="00DB529D"/>
    <w:rsid w:val="00DC09D0"/>
    <w:rsid w:val="00DC2407"/>
    <w:rsid w:val="00DC2637"/>
    <w:rsid w:val="00DC6D1E"/>
    <w:rsid w:val="00DD3853"/>
    <w:rsid w:val="00DF0E79"/>
    <w:rsid w:val="00DF24E8"/>
    <w:rsid w:val="00DF5096"/>
    <w:rsid w:val="00DF5FD3"/>
    <w:rsid w:val="00DF6A25"/>
    <w:rsid w:val="00DF76BB"/>
    <w:rsid w:val="00DF7D94"/>
    <w:rsid w:val="00DF7F32"/>
    <w:rsid w:val="00E124E1"/>
    <w:rsid w:val="00E17D56"/>
    <w:rsid w:val="00E2448E"/>
    <w:rsid w:val="00E358B5"/>
    <w:rsid w:val="00E35B49"/>
    <w:rsid w:val="00E374FD"/>
    <w:rsid w:val="00E46B41"/>
    <w:rsid w:val="00E50D4B"/>
    <w:rsid w:val="00E5705C"/>
    <w:rsid w:val="00E63488"/>
    <w:rsid w:val="00E64C97"/>
    <w:rsid w:val="00E712F1"/>
    <w:rsid w:val="00E77213"/>
    <w:rsid w:val="00E92699"/>
    <w:rsid w:val="00E92816"/>
    <w:rsid w:val="00E95975"/>
    <w:rsid w:val="00E96DE1"/>
    <w:rsid w:val="00EA1EA6"/>
    <w:rsid w:val="00EA1EC4"/>
    <w:rsid w:val="00EB5585"/>
    <w:rsid w:val="00EC1E35"/>
    <w:rsid w:val="00EC44FC"/>
    <w:rsid w:val="00ED7163"/>
    <w:rsid w:val="00EE079E"/>
    <w:rsid w:val="00EE65C2"/>
    <w:rsid w:val="00EF1268"/>
    <w:rsid w:val="00EF6288"/>
    <w:rsid w:val="00F25A41"/>
    <w:rsid w:val="00F268B1"/>
    <w:rsid w:val="00F27F12"/>
    <w:rsid w:val="00F30235"/>
    <w:rsid w:val="00F65443"/>
    <w:rsid w:val="00F6583C"/>
    <w:rsid w:val="00F706E7"/>
    <w:rsid w:val="00F72AD0"/>
    <w:rsid w:val="00F76858"/>
    <w:rsid w:val="00F83D96"/>
    <w:rsid w:val="00F83DDA"/>
    <w:rsid w:val="00F83E79"/>
    <w:rsid w:val="00F84486"/>
    <w:rsid w:val="00F94DDF"/>
    <w:rsid w:val="00FA313F"/>
    <w:rsid w:val="00FB2C27"/>
    <w:rsid w:val="00FB3C30"/>
    <w:rsid w:val="00FB64BD"/>
    <w:rsid w:val="00FB6E66"/>
    <w:rsid w:val="00FC1398"/>
    <w:rsid w:val="00FC1BA1"/>
    <w:rsid w:val="00FC282B"/>
    <w:rsid w:val="00FC34E0"/>
    <w:rsid w:val="00FC6C42"/>
    <w:rsid w:val="00FC6CAC"/>
    <w:rsid w:val="00FD377B"/>
    <w:rsid w:val="00FD5274"/>
    <w:rsid w:val="00FD6901"/>
    <w:rsid w:val="00FE3275"/>
    <w:rsid w:val="00FE3A73"/>
    <w:rsid w:val="00FE5473"/>
    <w:rsid w:val="00FE59E4"/>
    <w:rsid w:val="00FE704C"/>
    <w:rsid w:val="00FF231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52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0" w:qFormat="1"/>
    <w:lsdException w:name="page number" w:uiPriority="0"/>
    <w:lsdException w:name="List Bullet" w:qFormat="1"/>
    <w:lsdException w:name="List Number"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4658"/>
    <w:pPr>
      <w:spacing w:after="240"/>
    </w:pPr>
    <w:rPr>
      <w:rFonts w:ascii="Book Antiqua" w:hAnsi="Book Antiqua"/>
    </w:rPr>
  </w:style>
  <w:style w:type="paragraph" w:styleId="Heading1">
    <w:name w:val="heading 1"/>
    <w:basedOn w:val="Normal"/>
    <w:next w:val="Normal"/>
    <w:link w:val="Heading1Char"/>
    <w:uiPriority w:val="9"/>
    <w:qFormat/>
    <w:rsid w:val="00A52883"/>
    <w:pPr>
      <w:keepNext/>
      <w:keepLines/>
      <w:numPr>
        <w:numId w:val="47"/>
      </w:numPr>
      <w:pBdr>
        <w:bottom w:val="double" w:sz="12" w:space="1" w:color="auto"/>
      </w:pBdr>
      <w:tabs>
        <w:tab w:val="left" w:pos="2520"/>
      </w:tabs>
      <w:spacing w:before="1000" w:after="1000"/>
      <w:outlineLvl w:val="0"/>
    </w:pPr>
    <w:rPr>
      <w:b/>
      <w:caps/>
      <w:sz w:val="24"/>
    </w:rPr>
  </w:style>
  <w:style w:type="paragraph" w:styleId="Heading2">
    <w:name w:val="heading 2"/>
    <w:basedOn w:val="Normal"/>
    <w:next w:val="Normal"/>
    <w:link w:val="Heading2Char"/>
    <w:uiPriority w:val="9"/>
    <w:unhideWhenUsed/>
    <w:qFormat/>
    <w:rsid w:val="00A52883"/>
    <w:pPr>
      <w:keepNext/>
      <w:numPr>
        <w:ilvl w:val="1"/>
        <w:numId w:val="27"/>
      </w:numPr>
      <w:spacing w:before="240"/>
      <w:ind w:left="720" w:hanging="720"/>
      <w:outlineLvl w:val="1"/>
    </w:pPr>
    <w:rPr>
      <w:b/>
    </w:rPr>
  </w:style>
  <w:style w:type="paragraph" w:styleId="Heading3">
    <w:name w:val="heading 3"/>
    <w:basedOn w:val="Normal"/>
    <w:next w:val="Normal"/>
    <w:link w:val="Heading3Char"/>
    <w:uiPriority w:val="9"/>
    <w:unhideWhenUsed/>
    <w:qFormat/>
    <w:rsid w:val="0027571A"/>
    <w:pPr>
      <w:keepNext/>
      <w:keepLines/>
      <w:numPr>
        <w:ilvl w:val="2"/>
        <w:numId w:val="27"/>
      </w:numPr>
      <w:spacing w:before="240"/>
      <w:ind w:left="907" w:hanging="907"/>
      <w:outlineLvl w:val="2"/>
    </w:pPr>
    <w:rPr>
      <w:rFonts w:eastAsiaTheme="majorEastAsia" w:cs="Times New Roman"/>
      <w:bCs/>
      <w:u w:val="single"/>
    </w:rPr>
  </w:style>
  <w:style w:type="paragraph" w:styleId="Heading4">
    <w:name w:val="heading 4"/>
    <w:basedOn w:val="Normal"/>
    <w:next w:val="Normal"/>
    <w:link w:val="Heading4Char"/>
    <w:uiPriority w:val="9"/>
    <w:unhideWhenUsed/>
    <w:qFormat/>
    <w:rsid w:val="00A52883"/>
    <w:pPr>
      <w:keepNext/>
      <w:keepLines/>
      <w:numPr>
        <w:ilvl w:val="3"/>
        <w:numId w:val="27"/>
      </w:numPr>
      <w:spacing w:before="200"/>
      <w:ind w:left="648"/>
      <w:outlineLvl w:val="3"/>
    </w:pPr>
    <w:rPr>
      <w:rFonts w:eastAsiaTheme="majorEastAsia" w:cstheme="majorBidi"/>
      <w:bCs/>
      <w:iCs/>
    </w:rPr>
  </w:style>
  <w:style w:type="paragraph" w:styleId="Heading5">
    <w:name w:val="heading 5"/>
    <w:basedOn w:val="Normal"/>
    <w:next w:val="Normal"/>
    <w:link w:val="Heading5Char"/>
    <w:uiPriority w:val="9"/>
    <w:unhideWhenUsed/>
    <w:qFormat/>
    <w:rsid w:val="000446A6"/>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autoRedefine/>
    <w:uiPriority w:val="9"/>
    <w:qFormat/>
    <w:rsid w:val="004266A7"/>
    <w:pPr>
      <w:tabs>
        <w:tab w:val="num" w:pos="1152"/>
      </w:tabs>
      <w:spacing w:after="120" w:line="264" w:lineRule="auto"/>
      <w:ind w:left="1152" w:hanging="1152"/>
      <w:jc w:val="both"/>
      <w:outlineLvl w:val="5"/>
    </w:pPr>
    <w:rPr>
      <w:rFonts w:eastAsia="Times New Roman" w:cs="Times New Roman"/>
      <w:b/>
      <w:bCs/>
    </w:rPr>
  </w:style>
  <w:style w:type="paragraph" w:styleId="Heading7">
    <w:name w:val="heading 7"/>
    <w:basedOn w:val="Normal"/>
    <w:next w:val="Normal"/>
    <w:link w:val="Heading7Char"/>
    <w:autoRedefine/>
    <w:uiPriority w:val="9"/>
    <w:qFormat/>
    <w:rsid w:val="004266A7"/>
    <w:pPr>
      <w:tabs>
        <w:tab w:val="left" w:pos="950"/>
        <w:tab w:val="num" w:pos="1296"/>
      </w:tabs>
      <w:spacing w:before="240" w:after="60" w:line="264" w:lineRule="auto"/>
      <w:ind w:left="1296" w:hanging="1296"/>
      <w:jc w:val="both"/>
      <w:outlineLvl w:val="6"/>
    </w:pPr>
    <w:rPr>
      <w:rFonts w:eastAsia="Times New Roman" w:cs="Times New Roman"/>
      <w:szCs w:val="24"/>
    </w:rPr>
  </w:style>
  <w:style w:type="paragraph" w:styleId="Heading8">
    <w:name w:val="heading 8"/>
    <w:basedOn w:val="Normal"/>
    <w:next w:val="Normal"/>
    <w:link w:val="Heading8Char"/>
    <w:autoRedefine/>
    <w:uiPriority w:val="9"/>
    <w:qFormat/>
    <w:rsid w:val="004266A7"/>
    <w:pPr>
      <w:tabs>
        <w:tab w:val="left" w:pos="950"/>
        <w:tab w:val="num" w:pos="1440"/>
      </w:tabs>
      <w:spacing w:before="240" w:after="60" w:line="264" w:lineRule="auto"/>
      <w:ind w:left="1440" w:hanging="1440"/>
      <w:jc w:val="both"/>
      <w:outlineLvl w:val="7"/>
    </w:pPr>
    <w:rPr>
      <w:rFonts w:eastAsia="Times New Roman" w:cs="Times New Roman"/>
      <w:i/>
      <w:iCs/>
      <w:szCs w:val="24"/>
    </w:rPr>
  </w:style>
  <w:style w:type="paragraph" w:styleId="Heading9">
    <w:name w:val="heading 9"/>
    <w:basedOn w:val="Normal"/>
    <w:next w:val="Normal"/>
    <w:link w:val="Heading9Char"/>
    <w:autoRedefine/>
    <w:uiPriority w:val="9"/>
    <w:qFormat/>
    <w:rsid w:val="004266A7"/>
    <w:pPr>
      <w:tabs>
        <w:tab w:val="left" w:pos="950"/>
        <w:tab w:val="num" w:pos="1584"/>
      </w:tabs>
      <w:spacing w:before="240" w:after="60" w:line="264" w:lineRule="auto"/>
      <w:ind w:left="1584" w:hanging="1584"/>
      <w:jc w:val="both"/>
      <w:outlineLvl w:val="8"/>
    </w:pPr>
    <w:rPr>
      <w:rFonts w:ascii="Arial" w:eastAsia="Times New Roman"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2883"/>
    <w:rPr>
      <w:rFonts w:ascii="Book Antiqua" w:hAnsi="Book Antiqua"/>
      <w:b/>
      <w:caps/>
      <w:sz w:val="24"/>
    </w:rPr>
  </w:style>
  <w:style w:type="character" w:customStyle="1" w:styleId="Heading2Char">
    <w:name w:val="Heading 2 Char"/>
    <w:basedOn w:val="DefaultParagraphFont"/>
    <w:link w:val="Heading2"/>
    <w:uiPriority w:val="9"/>
    <w:rsid w:val="00A52883"/>
    <w:rPr>
      <w:rFonts w:ascii="Book Antiqua" w:hAnsi="Book Antiqua"/>
      <w:b/>
    </w:rPr>
  </w:style>
  <w:style w:type="character" w:customStyle="1" w:styleId="Heading3Char">
    <w:name w:val="Heading 3 Char"/>
    <w:basedOn w:val="DefaultParagraphFont"/>
    <w:link w:val="Heading3"/>
    <w:uiPriority w:val="9"/>
    <w:rsid w:val="0027571A"/>
    <w:rPr>
      <w:rFonts w:ascii="Book Antiqua" w:eastAsiaTheme="majorEastAsia" w:hAnsi="Book Antiqua" w:cs="Times New Roman"/>
      <w:bCs/>
      <w:u w:val="single"/>
    </w:rPr>
  </w:style>
  <w:style w:type="paragraph" w:styleId="Header">
    <w:name w:val="header"/>
    <w:basedOn w:val="Normal"/>
    <w:link w:val="HeaderChar"/>
    <w:uiPriority w:val="99"/>
    <w:unhideWhenUsed/>
    <w:rsid w:val="0013104B"/>
    <w:pPr>
      <w:tabs>
        <w:tab w:val="center" w:pos="4680"/>
        <w:tab w:val="right" w:pos="9360"/>
      </w:tabs>
      <w:spacing w:line="240" w:lineRule="auto"/>
    </w:pPr>
  </w:style>
  <w:style w:type="character" w:customStyle="1" w:styleId="HeaderChar">
    <w:name w:val="Header Char"/>
    <w:basedOn w:val="DefaultParagraphFont"/>
    <w:link w:val="Header"/>
    <w:uiPriority w:val="99"/>
    <w:rsid w:val="0013104B"/>
    <w:rPr>
      <w:rFonts w:ascii="Times New Roman" w:hAnsi="Times New Roman"/>
      <w:sz w:val="24"/>
    </w:rPr>
  </w:style>
  <w:style w:type="paragraph" w:styleId="Footer">
    <w:name w:val="footer"/>
    <w:basedOn w:val="Normal"/>
    <w:link w:val="FooterChar"/>
    <w:unhideWhenUsed/>
    <w:rsid w:val="0013104B"/>
    <w:pPr>
      <w:tabs>
        <w:tab w:val="center" w:pos="4680"/>
        <w:tab w:val="right" w:pos="9360"/>
      </w:tabs>
      <w:spacing w:line="240" w:lineRule="auto"/>
    </w:pPr>
  </w:style>
  <w:style w:type="character" w:customStyle="1" w:styleId="FooterChar">
    <w:name w:val="Footer Char"/>
    <w:basedOn w:val="DefaultParagraphFont"/>
    <w:link w:val="Footer"/>
    <w:rsid w:val="0013104B"/>
    <w:rPr>
      <w:rFonts w:ascii="Times New Roman" w:hAnsi="Times New Roman"/>
      <w:sz w:val="24"/>
    </w:rPr>
  </w:style>
  <w:style w:type="paragraph" w:styleId="Title">
    <w:name w:val="Title"/>
    <w:basedOn w:val="Normal"/>
    <w:next w:val="Normal"/>
    <w:link w:val="TitleChar"/>
    <w:uiPriority w:val="10"/>
    <w:qFormat/>
    <w:rsid w:val="0013104B"/>
    <w:pPr>
      <w:pBdr>
        <w:bottom w:val="single" w:sz="8" w:space="4" w:color="auto"/>
      </w:pBdr>
      <w:spacing w:after="300" w:line="240" w:lineRule="auto"/>
      <w:contextualSpacing/>
    </w:pPr>
    <w:rPr>
      <w:rFonts w:eastAsiaTheme="majorEastAsia" w:cs="Times New Roman"/>
      <w:spacing w:val="5"/>
      <w:kern w:val="28"/>
      <w:sz w:val="52"/>
      <w:szCs w:val="52"/>
    </w:rPr>
  </w:style>
  <w:style w:type="character" w:customStyle="1" w:styleId="TitleChar">
    <w:name w:val="Title Char"/>
    <w:basedOn w:val="DefaultParagraphFont"/>
    <w:link w:val="Title"/>
    <w:uiPriority w:val="10"/>
    <w:rsid w:val="0013104B"/>
    <w:rPr>
      <w:rFonts w:ascii="Times New Roman" w:eastAsiaTheme="majorEastAsia" w:hAnsi="Times New Roman" w:cs="Times New Roman"/>
      <w:spacing w:val="5"/>
      <w:kern w:val="28"/>
      <w:sz w:val="52"/>
      <w:szCs w:val="52"/>
    </w:rPr>
  </w:style>
  <w:style w:type="paragraph" w:customStyle="1" w:styleId="CDMBTEXT">
    <w:name w:val="CDM B/TEXT"/>
    <w:basedOn w:val="Normal"/>
    <w:link w:val="CDMBTEXTChar"/>
    <w:qFormat/>
    <w:rsid w:val="00A52883"/>
    <w:pPr>
      <w:spacing w:line="264" w:lineRule="auto"/>
    </w:pPr>
    <w:rPr>
      <w:rFonts w:eastAsia="Times New Roman" w:cs="Times New Roman"/>
      <w:szCs w:val="20"/>
    </w:rPr>
  </w:style>
  <w:style w:type="character" w:customStyle="1" w:styleId="CDMBTEXTChar">
    <w:name w:val="CDM B/TEXT Char"/>
    <w:basedOn w:val="DefaultParagraphFont"/>
    <w:link w:val="CDMBTEXT"/>
    <w:rsid w:val="00A52883"/>
    <w:rPr>
      <w:rFonts w:ascii="Book Antiqua" w:eastAsia="Times New Roman" w:hAnsi="Book Antiqua" w:cs="Times New Roman"/>
      <w:szCs w:val="20"/>
    </w:rPr>
  </w:style>
  <w:style w:type="character" w:styleId="CommentReference">
    <w:name w:val="annotation reference"/>
    <w:basedOn w:val="DefaultParagraphFont"/>
    <w:uiPriority w:val="99"/>
    <w:rsid w:val="00A55340"/>
    <w:rPr>
      <w:sz w:val="16"/>
      <w:szCs w:val="16"/>
    </w:rPr>
  </w:style>
  <w:style w:type="paragraph" w:styleId="CommentText">
    <w:name w:val="annotation text"/>
    <w:basedOn w:val="Normal"/>
    <w:link w:val="CommentTextChar"/>
    <w:uiPriority w:val="99"/>
    <w:semiHidden/>
    <w:rsid w:val="00A55340"/>
    <w:pPr>
      <w:spacing w:line="240" w:lineRule="auto"/>
    </w:pPr>
    <w:rPr>
      <w:rFonts w:ascii="Times" w:eastAsia="Times" w:hAnsi="Times" w:cs="Times New Roman"/>
      <w:sz w:val="20"/>
      <w:szCs w:val="20"/>
    </w:rPr>
  </w:style>
  <w:style w:type="character" w:customStyle="1" w:styleId="CommentTextChar">
    <w:name w:val="Comment Text Char"/>
    <w:basedOn w:val="DefaultParagraphFont"/>
    <w:link w:val="CommentText"/>
    <w:uiPriority w:val="99"/>
    <w:semiHidden/>
    <w:rsid w:val="00A55340"/>
    <w:rPr>
      <w:rFonts w:ascii="Times" w:eastAsia="Times" w:hAnsi="Times" w:cs="Times New Roman"/>
      <w:sz w:val="20"/>
      <w:szCs w:val="20"/>
    </w:rPr>
  </w:style>
  <w:style w:type="character" w:styleId="Hyperlink">
    <w:name w:val="Hyperlink"/>
    <w:basedOn w:val="DefaultParagraphFont"/>
    <w:uiPriority w:val="99"/>
    <w:unhideWhenUsed/>
    <w:rsid w:val="00A55340"/>
    <w:rPr>
      <w:color w:val="0000FF" w:themeColor="hyperlink"/>
      <w:u w:val="single"/>
    </w:rPr>
  </w:style>
  <w:style w:type="paragraph" w:styleId="BalloonText">
    <w:name w:val="Balloon Text"/>
    <w:basedOn w:val="Normal"/>
    <w:link w:val="BalloonTextChar"/>
    <w:uiPriority w:val="99"/>
    <w:semiHidden/>
    <w:unhideWhenUsed/>
    <w:rsid w:val="00A5534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55340"/>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A55340"/>
    <w:rPr>
      <w:rFonts w:ascii="Times New Roman" w:eastAsiaTheme="minorHAnsi" w:hAnsi="Times New Roman" w:cstheme="minorBidi"/>
      <w:b/>
      <w:bCs/>
    </w:rPr>
  </w:style>
  <w:style w:type="character" w:customStyle="1" w:styleId="CommentSubjectChar">
    <w:name w:val="Comment Subject Char"/>
    <w:basedOn w:val="CommentTextChar"/>
    <w:link w:val="CommentSubject"/>
    <w:uiPriority w:val="99"/>
    <w:semiHidden/>
    <w:rsid w:val="00A55340"/>
    <w:rPr>
      <w:rFonts w:ascii="Times New Roman" w:eastAsia="Times" w:hAnsi="Times New Roman" w:cs="Times New Roman"/>
      <w:b/>
      <w:bCs/>
      <w:sz w:val="20"/>
      <w:szCs w:val="20"/>
    </w:rPr>
  </w:style>
  <w:style w:type="paragraph" w:styleId="FootnoteText">
    <w:name w:val="footnote text"/>
    <w:basedOn w:val="Normal"/>
    <w:link w:val="FootnoteTextChar"/>
    <w:uiPriority w:val="99"/>
    <w:unhideWhenUsed/>
    <w:rsid w:val="00972110"/>
    <w:pPr>
      <w:spacing w:line="240" w:lineRule="auto"/>
    </w:pPr>
    <w:rPr>
      <w:rFonts w:ascii="Times" w:eastAsia="Times" w:hAnsi="Times" w:cs="Times New Roman"/>
      <w:sz w:val="20"/>
      <w:szCs w:val="20"/>
    </w:rPr>
  </w:style>
  <w:style w:type="character" w:customStyle="1" w:styleId="FootnoteTextChar">
    <w:name w:val="Footnote Text Char"/>
    <w:basedOn w:val="DefaultParagraphFont"/>
    <w:link w:val="FootnoteText"/>
    <w:uiPriority w:val="99"/>
    <w:rsid w:val="00972110"/>
    <w:rPr>
      <w:rFonts w:ascii="Times" w:eastAsia="Times" w:hAnsi="Times" w:cs="Times New Roman"/>
      <w:sz w:val="20"/>
      <w:szCs w:val="20"/>
    </w:rPr>
  </w:style>
  <w:style w:type="character" w:styleId="FootnoteReference">
    <w:name w:val="footnote reference"/>
    <w:basedOn w:val="DefaultParagraphFont"/>
    <w:uiPriority w:val="99"/>
    <w:unhideWhenUsed/>
    <w:rsid w:val="00972110"/>
    <w:rPr>
      <w:vertAlign w:val="superscript"/>
    </w:rPr>
  </w:style>
  <w:style w:type="paragraph" w:styleId="Revision">
    <w:name w:val="Revision"/>
    <w:hidden/>
    <w:uiPriority w:val="99"/>
    <w:semiHidden/>
    <w:rsid w:val="00972110"/>
    <w:pPr>
      <w:spacing w:after="0" w:line="240" w:lineRule="auto"/>
    </w:pPr>
    <w:rPr>
      <w:rFonts w:ascii="Times New Roman" w:hAnsi="Times New Roman"/>
      <w:sz w:val="24"/>
    </w:rPr>
  </w:style>
  <w:style w:type="character" w:customStyle="1" w:styleId="Heading5Char">
    <w:name w:val="Heading 5 Char"/>
    <w:basedOn w:val="DefaultParagraphFont"/>
    <w:link w:val="Heading5"/>
    <w:uiPriority w:val="9"/>
    <w:rsid w:val="000446A6"/>
    <w:rPr>
      <w:rFonts w:asciiTheme="majorHAnsi" w:eastAsiaTheme="majorEastAsia" w:hAnsiTheme="majorHAnsi" w:cstheme="majorBidi"/>
      <w:color w:val="243F60" w:themeColor="accent1" w:themeShade="7F"/>
      <w:sz w:val="24"/>
    </w:rPr>
  </w:style>
  <w:style w:type="paragraph" w:customStyle="1" w:styleId="ExampleSubheading">
    <w:name w:val="ExampleSubheading"/>
    <w:basedOn w:val="Normal"/>
    <w:link w:val="ExampleSubheadingChar"/>
    <w:qFormat/>
    <w:rsid w:val="003C69AA"/>
    <w:pPr>
      <w:keepNext/>
      <w:pBdr>
        <w:top w:val="single" w:sz="4" w:space="1" w:color="auto"/>
        <w:left w:val="single" w:sz="4" w:space="6" w:color="auto"/>
        <w:bottom w:val="single" w:sz="4" w:space="1" w:color="auto"/>
        <w:right w:val="single" w:sz="4" w:space="4" w:color="auto"/>
      </w:pBdr>
      <w:shd w:val="clear" w:color="auto" w:fill="D9D9D9" w:themeFill="background1" w:themeFillShade="D9"/>
      <w:spacing w:before="120" w:after="120" w:line="280" w:lineRule="exact"/>
      <w:ind w:left="360"/>
    </w:pPr>
    <w:rPr>
      <w:rFonts w:ascii="Arial" w:eastAsia="Times New Roman" w:hAnsi="Arial" w:cs="Arial"/>
      <w:b/>
      <w:i/>
      <w:sz w:val="20"/>
      <w:szCs w:val="20"/>
    </w:rPr>
  </w:style>
  <w:style w:type="character" w:customStyle="1" w:styleId="ExampleSubheadingChar">
    <w:name w:val="ExampleSubheading Char"/>
    <w:basedOn w:val="DefaultParagraphFont"/>
    <w:link w:val="ExampleSubheading"/>
    <w:rsid w:val="003C69AA"/>
    <w:rPr>
      <w:rFonts w:ascii="Arial" w:eastAsia="Times New Roman" w:hAnsi="Arial" w:cs="Arial"/>
      <w:b/>
      <w:i/>
      <w:sz w:val="20"/>
      <w:szCs w:val="20"/>
      <w:shd w:val="clear" w:color="auto" w:fill="D9D9D9" w:themeFill="background1" w:themeFillShade="D9"/>
    </w:rPr>
  </w:style>
  <w:style w:type="paragraph" w:customStyle="1" w:styleId="ExampleHeading">
    <w:name w:val="ExampleHeading"/>
    <w:basedOn w:val="ExampleSubheading"/>
    <w:qFormat/>
    <w:rsid w:val="0027571A"/>
    <w:pPr>
      <w:pBdr>
        <w:top w:val="none" w:sz="0" w:space="0" w:color="auto"/>
        <w:left w:val="none" w:sz="0" w:space="0" w:color="auto"/>
        <w:bottom w:val="none" w:sz="0" w:space="0" w:color="auto"/>
        <w:right w:val="none" w:sz="0" w:space="0" w:color="auto"/>
      </w:pBdr>
      <w:shd w:val="clear" w:color="auto" w:fill="FFFFFF" w:themeFill="background1"/>
      <w:spacing w:after="240" w:line="240" w:lineRule="auto"/>
      <w:ind w:left="0"/>
      <w:outlineLvl w:val="0"/>
    </w:pPr>
    <w:rPr>
      <w:rFonts w:ascii="Book Antiqua" w:hAnsi="Book Antiqua"/>
      <w:i w:val="0"/>
      <w:sz w:val="22"/>
    </w:rPr>
  </w:style>
  <w:style w:type="paragraph" w:customStyle="1" w:styleId="ExampleBullets">
    <w:name w:val="ExampleBullets"/>
    <w:basedOn w:val="Normal"/>
    <w:link w:val="ExampleBulletsChar"/>
    <w:qFormat/>
    <w:rsid w:val="00604494"/>
    <w:pPr>
      <w:numPr>
        <w:numId w:val="90"/>
      </w:numPr>
      <w:pBdr>
        <w:top w:val="single" w:sz="4" w:space="1" w:color="auto"/>
        <w:left w:val="single" w:sz="4" w:space="6" w:color="auto"/>
        <w:bottom w:val="single" w:sz="4" w:space="1" w:color="auto"/>
        <w:right w:val="single" w:sz="4" w:space="4" w:color="auto"/>
      </w:pBdr>
      <w:spacing w:after="120" w:line="280" w:lineRule="exact"/>
    </w:pPr>
    <w:rPr>
      <w:rFonts w:ascii="Arial" w:eastAsia="Times New Roman" w:hAnsi="Arial" w:cs="Arial"/>
      <w:sz w:val="20"/>
      <w:szCs w:val="20"/>
    </w:rPr>
  </w:style>
  <w:style w:type="character" w:customStyle="1" w:styleId="ExampleBulletsChar">
    <w:name w:val="ExampleBullets Char"/>
    <w:basedOn w:val="DefaultParagraphFont"/>
    <w:link w:val="ExampleBullets"/>
    <w:rsid w:val="00604494"/>
    <w:rPr>
      <w:rFonts w:ascii="Arial" w:eastAsia="Times New Roman" w:hAnsi="Arial" w:cs="Arial"/>
      <w:sz w:val="20"/>
      <w:szCs w:val="20"/>
    </w:rPr>
  </w:style>
  <w:style w:type="paragraph" w:customStyle="1" w:styleId="ExampleNumbers">
    <w:name w:val="ExampleNumbers"/>
    <w:basedOn w:val="ExampleBullets"/>
    <w:qFormat/>
    <w:rsid w:val="000D23C5"/>
    <w:pPr>
      <w:numPr>
        <w:numId w:val="95"/>
      </w:numPr>
    </w:pPr>
  </w:style>
  <w:style w:type="paragraph" w:customStyle="1" w:styleId="ReportBodyText">
    <w:name w:val="Report Body Text"/>
    <w:basedOn w:val="Normal"/>
    <w:link w:val="ReportBodyTextChar"/>
    <w:rsid w:val="002D19E2"/>
    <w:pPr>
      <w:spacing w:after="160" w:line="240" w:lineRule="auto"/>
    </w:pPr>
    <w:rPr>
      <w:rFonts w:eastAsia="Times New Roman" w:cs="Times New Roman"/>
    </w:rPr>
  </w:style>
  <w:style w:type="character" w:customStyle="1" w:styleId="ReportBodyTextChar">
    <w:name w:val="Report Body Text Char"/>
    <w:basedOn w:val="DefaultParagraphFont"/>
    <w:link w:val="ReportBodyText"/>
    <w:rsid w:val="002D19E2"/>
    <w:rPr>
      <w:rFonts w:ascii="Book Antiqua" w:eastAsia="Times New Roman" w:hAnsi="Book Antiqua" w:cs="Times New Roman"/>
    </w:rPr>
  </w:style>
  <w:style w:type="paragraph" w:customStyle="1" w:styleId="TableHeading">
    <w:name w:val="TableHeading"/>
    <w:basedOn w:val="Normal"/>
    <w:link w:val="TableHeadingChar"/>
    <w:qFormat/>
    <w:rsid w:val="002D19E2"/>
    <w:pPr>
      <w:keepNext/>
      <w:spacing w:before="120" w:after="120" w:line="240" w:lineRule="auto"/>
      <w:jc w:val="center"/>
    </w:pPr>
    <w:rPr>
      <w:rFonts w:ascii="Arial" w:eastAsia="Times" w:hAnsi="Arial" w:cs="Arial"/>
      <w:b/>
      <w:sz w:val="20"/>
      <w:szCs w:val="20"/>
    </w:rPr>
  </w:style>
  <w:style w:type="character" w:customStyle="1" w:styleId="TableHeadingChar">
    <w:name w:val="TableHeading Char"/>
    <w:basedOn w:val="DefaultParagraphFont"/>
    <w:link w:val="TableHeading"/>
    <w:rsid w:val="002D19E2"/>
    <w:rPr>
      <w:rFonts w:ascii="Arial" w:eastAsia="Times" w:hAnsi="Arial" w:cs="Arial"/>
      <w:b/>
      <w:sz w:val="20"/>
      <w:szCs w:val="20"/>
    </w:rPr>
  </w:style>
  <w:style w:type="paragraph" w:customStyle="1" w:styleId="ExampleText">
    <w:name w:val="ExampleText"/>
    <w:basedOn w:val="ExampleSubheading"/>
    <w:qFormat/>
    <w:rsid w:val="002D19E2"/>
    <w:pPr>
      <w:shd w:val="clear" w:color="auto" w:fill="auto"/>
      <w:spacing w:before="0" w:after="0" w:line="240" w:lineRule="auto"/>
    </w:pPr>
  </w:style>
  <w:style w:type="character" w:customStyle="1" w:styleId="Heading4Char">
    <w:name w:val="Heading 4 Char"/>
    <w:basedOn w:val="DefaultParagraphFont"/>
    <w:link w:val="Heading4"/>
    <w:uiPriority w:val="9"/>
    <w:rsid w:val="00A52883"/>
    <w:rPr>
      <w:rFonts w:ascii="Book Antiqua" w:eastAsiaTheme="majorEastAsia" w:hAnsi="Book Antiqua" w:cstheme="majorBidi"/>
      <w:bCs/>
      <w:iCs/>
    </w:rPr>
  </w:style>
  <w:style w:type="paragraph" w:customStyle="1" w:styleId="FigureName">
    <w:name w:val="Figure Name"/>
    <w:basedOn w:val="CDMBTEXT"/>
    <w:rsid w:val="002F160D"/>
  </w:style>
  <w:style w:type="paragraph" w:styleId="Caption">
    <w:name w:val="caption"/>
    <w:aliases w:val="Cap_Ventura,Ventura_Cap"/>
    <w:basedOn w:val="Normal"/>
    <w:next w:val="Normal"/>
    <w:link w:val="CaptionChar"/>
    <w:unhideWhenUsed/>
    <w:qFormat/>
    <w:rsid w:val="00647B99"/>
    <w:pPr>
      <w:keepNext/>
      <w:tabs>
        <w:tab w:val="left" w:pos="475"/>
        <w:tab w:val="left" w:pos="950"/>
        <w:tab w:val="left" w:pos="2390"/>
      </w:tabs>
      <w:spacing w:line="240" w:lineRule="auto"/>
      <w:jc w:val="both"/>
    </w:pPr>
    <w:rPr>
      <w:rFonts w:eastAsiaTheme="minorEastAsia" w:cs="Times New Roman"/>
      <w:b/>
      <w:bCs/>
      <w:szCs w:val="20"/>
      <w:lang w:bidi="en-US"/>
    </w:rPr>
  </w:style>
  <w:style w:type="character" w:customStyle="1" w:styleId="CaptionChar">
    <w:name w:val="Caption Char"/>
    <w:aliases w:val="Cap_Ventura Char,Ventura_Cap Char"/>
    <w:basedOn w:val="Heading1Char"/>
    <w:link w:val="Caption"/>
    <w:rsid w:val="00647B99"/>
    <w:rPr>
      <w:rFonts w:eastAsiaTheme="minorEastAsia" w:cs="Times New Roman"/>
      <w:bCs/>
      <w:szCs w:val="20"/>
      <w:lang w:bidi="en-US"/>
    </w:rPr>
  </w:style>
  <w:style w:type="paragraph" w:styleId="ListParagraph">
    <w:name w:val="List Paragraph"/>
    <w:basedOn w:val="Normal"/>
    <w:uiPriority w:val="34"/>
    <w:qFormat/>
    <w:rsid w:val="00A52883"/>
    <w:pPr>
      <w:ind w:left="720"/>
      <w:contextualSpacing/>
    </w:pPr>
  </w:style>
  <w:style w:type="paragraph" w:styleId="ListBullet">
    <w:name w:val="List Bullet"/>
    <w:basedOn w:val="Normal"/>
    <w:link w:val="ListBulletChar"/>
    <w:uiPriority w:val="99"/>
    <w:unhideWhenUsed/>
    <w:qFormat/>
    <w:rsid w:val="00430D51"/>
    <w:pPr>
      <w:numPr>
        <w:numId w:val="7"/>
      </w:numPr>
      <w:tabs>
        <w:tab w:val="clear" w:pos="360"/>
        <w:tab w:val="num" w:pos="810"/>
      </w:tabs>
      <w:spacing w:line="240" w:lineRule="auto"/>
      <w:ind w:left="806"/>
      <w:contextualSpacing/>
    </w:pPr>
    <w:rPr>
      <w:rFonts w:eastAsia="Calibri" w:cs="Georgia"/>
    </w:rPr>
  </w:style>
  <w:style w:type="numbering" w:customStyle="1" w:styleId="Numbered3">
    <w:name w:val="Numbered3"/>
    <w:basedOn w:val="NoList"/>
    <w:rsid w:val="00E63488"/>
    <w:pPr>
      <w:numPr>
        <w:numId w:val="7"/>
      </w:numPr>
    </w:pPr>
  </w:style>
  <w:style w:type="paragraph" w:customStyle="1" w:styleId="TableFont">
    <w:name w:val="Table Font"/>
    <w:basedOn w:val="Normal"/>
    <w:link w:val="TableFontChar"/>
    <w:qFormat/>
    <w:rsid w:val="00E63488"/>
    <w:pPr>
      <w:spacing w:before="60" w:after="60"/>
    </w:pPr>
    <w:rPr>
      <w:rFonts w:ascii="Arial" w:eastAsia="Calibri" w:hAnsi="Arial" w:cs="Georgia"/>
      <w:sz w:val="20"/>
    </w:rPr>
  </w:style>
  <w:style w:type="character" w:customStyle="1" w:styleId="TableFontChar">
    <w:name w:val="Table Font Char"/>
    <w:basedOn w:val="DefaultParagraphFont"/>
    <w:link w:val="TableFont"/>
    <w:rsid w:val="00E63488"/>
    <w:rPr>
      <w:rFonts w:ascii="Arial" w:eastAsia="Calibri" w:hAnsi="Arial" w:cs="Georgia"/>
      <w:sz w:val="20"/>
    </w:rPr>
  </w:style>
  <w:style w:type="paragraph" w:customStyle="1" w:styleId="Default">
    <w:name w:val="Default"/>
    <w:rsid w:val="00E63488"/>
    <w:pPr>
      <w:autoSpaceDE w:val="0"/>
      <w:autoSpaceDN w:val="0"/>
      <w:adjustRightInd w:val="0"/>
      <w:spacing w:after="0" w:line="240" w:lineRule="auto"/>
    </w:pPr>
    <w:rPr>
      <w:rFonts w:ascii="Book Antiqua" w:eastAsia="Calibri" w:hAnsi="Book Antiqua" w:cs="Book Antiqua"/>
      <w:color w:val="000000"/>
      <w:sz w:val="24"/>
      <w:szCs w:val="24"/>
    </w:rPr>
  </w:style>
  <w:style w:type="paragraph" w:styleId="ListNumber">
    <w:name w:val="List Number"/>
    <w:basedOn w:val="Normal"/>
    <w:uiPriority w:val="99"/>
    <w:unhideWhenUsed/>
    <w:qFormat/>
    <w:rsid w:val="007D631A"/>
    <w:pPr>
      <w:spacing w:line="240" w:lineRule="auto"/>
      <w:contextualSpacing/>
      <w:jc w:val="both"/>
    </w:pPr>
    <w:rPr>
      <w:rFonts w:eastAsia="Calibri" w:cs="Georgia"/>
    </w:rPr>
  </w:style>
  <w:style w:type="paragraph" w:styleId="TOCHeading">
    <w:name w:val="TOC Heading"/>
    <w:basedOn w:val="Heading1"/>
    <w:next w:val="Normal"/>
    <w:uiPriority w:val="39"/>
    <w:semiHidden/>
    <w:unhideWhenUsed/>
    <w:qFormat/>
    <w:rsid w:val="000B1E47"/>
    <w:pPr>
      <w:numPr>
        <w:numId w:val="0"/>
      </w:numPr>
      <w:spacing w:before="480"/>
      <w:outlineLvl w:val="9"/>
    </w:pPr>
    <w:rPr>
      <w:rFonts w:asciiTheme="majorHAnsi" w:eastAsiaTheme="majorEastAsia" w:hAnsiTheme="majorHAnsi" w:cstheme="majorBidi"/>
      <w:bCs/>
      <w:caps w:val="0"/>
      <w:color w:val="365F91" w:themeColor="accent1" w:themeShade="BF"/>
      <w:sz w:val="28"/>
      <w:szCs w:val="28"/>
    </w:rPr>
  </w:style>
  <w:style w:type="paragraph" w:styleId="TOC1">
    <w:name w:val="toc 1"/>
    <w:basedOn w:val="Normal"/>
    <w:next w:val="Normal"/>
    <w:autoRedefine/>
    <w:uiPriority w:val="39"/>
    <w:unhideWhenUsed/>
    <w:qFormat/>
    <w:rsid w:val="00572495"/>
    <w:pPr>
      <w:tabs>
        <w:tab w:val="left" w:pos="1320"/>
        <w:tab w:val="right" w:leader="dot" w:pos="9350"/>
      </w:tabs>
      <w:spacing w:after="0"/>
    </w:pPr>
    <w:rPr>
      <w:caps/>
    </w:rPr>
  </w:style>
  <w:style w:type="paragraph" w:styleId="TOC2">
    <w:name w:val="toc 2"/>
    <w:basedOn w:val="Normal"/>
    <w:next w:val="Normal"/>
    <w:autoRedefine/>
    <w:uiPriority w:val="39"/>
    <w:unhideWhenUsed/>
    <w:qFormat/>
    <w:rsid w:val="00572495"/>
    <w:pPr>
      <w:spacing w:after="0"/>
      <w:ind w:left="245"/>
    </w:pPr>
  </w:style>
  <w:style w:type="paragraph" w:styleId="TOC3">
    <w:name w:val="toc 3"/>
    <w:basedOn w:val="Normal"/>
    <w:next w:val="Normal"/>
    <w:autoRedefine/>
    <w:uiPriority w:val="39"/>
    <w:unhideWhenUsed/>
    <w:qFormat/>
    <w:rsid w:val="00572495"/>
    <w:pPr>
      <w:spacing w:after="0"/>
      <w:ind w:left="475"/>
    </w:pPr>
  </w:style>
  <w:style w:type="character" w:styleId="FollowedHyperlink">
    <w:name w:val="FollowedHyperlink"/>
    <w:basedOn w:val="DefaultParagraphFont"/>
    <w:uiPriority w:val="99"/>
    <w:semiHidden/>
    <w:unhideWhenUsed/>
    <w:rsid w:val="000B1E47"/>
    <w:rPr>
      <w:color w:val="800080" w:themeColor="followedHyperlink"/>
      <w:u w:val="single"/>
    </w:rPr>
  </w:style>
  <w:style w:type="character" w:customStyle="1" w:styleId="Heading6Char">
    <w:name w:val="Heading 6 Char"/>
    <w:basedOn w:val="DefaultParagraphFont"/>
    <w:link w:val="Heading6"/>
    <w:uiPriority w:val="9"/>
    <w:rsid w:val="004266A7"/>
    <w:rPr>
      <w:rFonts w:ascii="Times New Roman" w:eastAsia="Times New Roman" w:hAnsi="Times New Roman" w:cs="Times New Roman"/>
      <w:b/>
      <w:bCs/>
    </w:rPr>
  </w:style>
  <w:style w:type="character" w:customStyle="1" w:styleId="Heading7Char">
    <w:name w:val="Heading 7 Char"/>
    <w:basedOn w:val="DefaultParagraphFont"/>
    <w:link w:val="Heading7"/>
    <w:uiPriority w:val="9"/>
    <w:rsid w:val="004266A7"/>
    <w:rPr>
      <w:rFonts w:ascii="Times New Roman" w:eastAsia="Times New Roman" w:hAnsi="Times New Roman" w:cs="Times New Roman"/>
      <w:sz w:val="24"/>
      <w:szCs w:val="24"/>
    </w:rPr>
  </w:style>
  <w:style w:type="character" w:customStyle="1" w:styleId="Heading8Char">
    <w:name w:val="Heading 8 Char"/>
    <w:basedOn w:val="DefaultParagraphFont"/>
    <w:link w:val="Heading8"/>
    <w:uiPriority w:val="9"/>
    <w:rsid w:val="004266A7"/>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uiPriority w:val="9"/>
    <w:rsid w:val="004266A7"/>
    <w:rPr>
      <w:rFonts w:ascii="Arial" w:eastAsia="Times New Roman" w:hAnsi="Arial" w:cs="Arial"/>
    </w:rPr>
  </w:style>
  <w:style w:type="paragraph" w:styleId="BodyText">
    <w:name w:val="Body Text"/>
    <w:basedOn w:val="Normal"/>
    <w:link w:val="BodyTextChar"/>
    <w:autoRedefine/>
    <w:rsid w:val="004266A7"/>
    <w:pPr>
      <w:tabs>
        <w:tab w:val="left" w:pos="950"/>
      </w:tabs>
      <w:spacing w:line="264" w:lineRule="auto"/>
      <w:jc w:val="both"/>
    </w:pPr>
    <w:rPr>
      <w:rFonts w:eastAsia="Times New Roman" w:cs="Times New Roman"/>
      <w:szCs w:val="20"/>
    </w:rPr>
  </w:style>
  <w:style w:type="character" w:customStyle="1" w:styleId="BodyTextChar">
    <w:name w:val="Body Text Char"/>
    <w:basedOn w:val="DefaultParagraphFont"/>
    <w:link w:val="BodyText"/>
    <w:rsid w:val="004266A7"/>
    <w:rPr>
      <w:rFonts w:ascii="Times New Roman" w:eastAsia="Times New Roman" w:hAnsi="Times New Roman" w:cs="Times New Roman"/>
      <w:sz w:val="24"/>
      <w:szCs w:val="20"/>
    </w:rPr>
  </w:style>
  <w:style w:type="table" w:styleId="TableGrid">
    <w:name w:val="Table Grid"/>
    <w:basedOn w:val="TableNormal"/>
    <w:uiPriority w:val="59"/>
    <w:rsid w:val="004266A7"/>
    <w:pPr>
      <w:tabs>
        <w:tab w:val="left" w:pos="475"/>
        <w:tab w:val="left" w:pos="950"/>
        <w:tab w:val="left" w:pos="2390"/>
      </w:tabs>
      <w:spacing w:after="0" w:line="264"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ColumnName">
    <w:name w:val="Table Column Name"/>
    <w:basedOn w:val="BodyText"/>
    <w:rsid w:val="000D43C8"/>
    <w:pPr>
      <w:tabs>
        <w:tab w:val="clear" w:pos="950"/>
      </w:tabs>
      <w:spacing w:before="50" w:after="50" w:line="240" w:lineRule="auto"/>
      <w:jc w:val="center"/>
    </w:pPr>
    <w:rPr>
      <w:rFonts w:ascii="Arial" w:eastAsia="Times" w:hAnsi="Arial"/>
      <w:b/>
      <w:sz w:val="18"/>
    </w:rPr>
  </w:style>
  <w:style w:type="paragraph" w:styleId="DocumentMap">
    <w:name w:val="Document Map"/>
    <w:basedOn w:val="Normal"/>
    <w:link w:val="DocumentMapChar"/>
    <w:uiPriority w:val="99"/>
    <w:semiHidden/>
    <w:unhideWhenUsed/>
    <w:rsid w:val="00201664"/>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201664"/>
    <w:rPr>
      <w:rFonts w:ascii="Tahoma" w:hAnsi="Tahoma" w:cs="Tahoma"/>
      <w:sz w:val="16"/>
      <w:szCs w:val="16"/>
    </w:rPr>
  </w:style>
  <w:style w:type="paragraph" w:styleId="TOC4">
    <w:name w:val="toc 4"/>
    <w:basedOn w:val="Normal"/>
    <w:next w:val="Normal"/>
    <w:autoRedefine/>
    <w:uiPriority w:val="39"/>
    <w:unhideWhenUsed/>
    <w:rsid w:val="00A52ED1"/>
    <w:pPr>
      <w:spacing w:after="100"/>
      <w:ind w:left="660"/>
    </w:pPr>
    <w:rPr>
      <w:rFonts w:asciiTheme="minorHAnsi" w:eastAsiaTheme="minorEastAsia" w:hAnsiTheme="minorHAnsi"/>
    </w:rPr>
  </w:style>
  <w:style w:type="paragraph" w:styleId="TOC5">
    <w:name w:val="toc 5"/>
    <w:basedOn w:val="Normal"/>
    <w:next w:val="Normal"/>
    <w:autoRedefine/>
    <w:uiPriority w:val="39"/>
    <w:unhideWhenUsed/>
    <w:rsid w:val="00A52ED1"/>
    <w:pPr>
      <w:spacing w:after="100"/>
      <w:ind w:left="880"/>
    </w:pPr>
    <w:rPr>
      <w:rFonts w:asciiTheme="minorHAnsi" w:eastAsiaTheme="minorEastAsia" w:hAnsiTheme="minorHAnsi"/>
    </w:rPr>
  </w:style>
  <w:style w:type="paragraph" w:styleId="TOC6">
    <w:name w:val="toc 6"/>
    <w:basedOn w:val="Normal"/>
    <w:next w:val="Normal"/>
    <w:autoRedefine/>
    <w:uiPriority w:val="39"/>
    <w:unhideWhenUsed/>
    <w:rsid w:val="00A52ED1"/>
    <w:pPr>
      <w:spacing w:after="100"/>
      <w:ind w:left="1100"/>
    </w:pPr>
    <w:rPr>
      <w:rFonts w:asciiTheme="minorHAnsi" w:eastAsiaTheme="minorEastAsia" w:hAnsiTheme="minorHAnsi"/>
    </w:rPr>
  </w:style>
  <w:style w:type="paragraph" w:styleId="TOC7">
    <w:name w:val="toc 7"/>
    <w:basedOn w:val="Normal"/>
    <w:next w:val="Normal"/>
    <w:autoRedefine/>
    <w:uiPriority w:val="39"/>
    <w:unhideWhenUsed/>
    <w:rsid w:val="00A52ED1"/>
    <w:pPr>
      <w:spacing w:after="100"/>
      <w:ind w:left="1320"/>
    </w:pPr>
    <w:rPr>
      <w:rFonts w:asciiTheme="minorHAnsi" w:eastAsiaTheme="minorEastAsia" w:hAnsiTheme="minorHAnsi"/>
    </w:rPr>
  </w:style>
  <w:style w:type="paragraph" w:styleId="TOC8">
    <w:name w:val="toc 8"/>
    <w:basedOn w:val="Normal"/>
    <w:next w:val="Normal"/>
    <w:autoRedefine/>
    <w:uiPriority w:val="39"/>
    <w:unhideWhenUsed/>
    <w:rsid w:val="00A52ED1"/>
    <w:pPr>
      <w:spacing w:after="100"/>
      <w:ind w:left="1540"/>
    </w:pPr>
    <w:rPr>
      <w:rFonts w:asciiTheme="minorHAnsi" w:eastAsiaTheme="minorEastAsia" w:hAnsiTheme="minorHAnsi"/>
    </w:rPr>
  </w:style>
  <w:style w:type="paragraph" w:styleId="TOC9">
    <w:name w:val="toc 9"/>
    <w:basedOn w:val="Normal"/>
    <w:next w:val="Normal"/>
    <w:autoRedefine/>
    <w:uiPriority w:val="39"/>
    <w:unhideWhenUsed/>
    <w:rsid w:val="00A52ED1"/>
    <w:pPr>
      <w:spacing w:after="100"/>
      <w:ind w:left="1760"/>
    </w:pPr>
    <w:rPr>
      <w:rFonts w:asciiTheme="minorHAnsi" w:eastAsiaTheme="minorEastAsia" w:hAnsiTheme="minorHAnsi"/>
    </w:rPr>
  </w:style>
  <w:style w:type="paragraph" w:customStyle="1" w:styleId="BulletedText1">
    <w:name w:val="Bulleted Text 1"/>
    <w:basedOn w:val="Normal"/>
    <w:rsid w:val="00DF76BB"/>
    <w:pPr>
      <w:numPr>
        <w:numId w:val="48"/>
      </w:numPr>
      <w:spacing w:line="264" w:lineRule="auto"/>
      <w:jc w:val="both"/>
    </w:pPr>
    <w:rPr>
      <w:rFonts w:ascii="Times New Roman" w:eastAsia="Times New Roman" w:hAnsi="Times New Roman" w:cs="Times New Roman"/>
      <w:sz w:val="24"/>
      <w:szCs w:val="20"/>
    </w:rPr>
  </w:style>
  <w:style w:type="paragraph" w:customStyle="1" w:styleId="FactsheetBullets">
    <w:name w:val="FactsheetBullets"/>
    <w:basedOn w:val="ExampleBullets"/>
    <w:link w:val="FactsheetBulletsChar"/>
    <w:qFormat/>
    <w:rsid w:val="00B127AB"/>
    <w:pPr>
      <w:numPr>
        <w:numId w:val="25"/>
      </w:numPr>
      <w:pBdr>
        <w:top w:val="none" w:sz="0" w:space="0" w:color="auto"/>
        <w:left w:val="none" w:sz="0" w:space="0" w:color="auto"/>
        <w:bottom w:val="none" w:sz="0" w:space="0" w:color="auto"/>
        <w:right w:val="none" w:sz="0" w:space="0" w:color="auto"/>
      </w:pBdr>
      <w:spacing w:line="240" w:lineRule="auto"/>
      <w:ind w:left="446"/>
    </w:pPr>
    <w:rPr>
      <w:noProof/>
      <w:lang w:eastAsia="zh-TW"/>
    </w:rPr>
  </w:style>
  <w:style w:type="character" w:customStyle="1" w:styleId="FactsheetBulletsChar">
    <w:name w:val="FactsheetBullets Char"/>
    <w:basedOn w:val="ExampleBulletsChar"/>
    <w:link w:val="FactsheetBullets"/>
    <w:rsid w:val="00B127AB"/>
    <w:rPr>
      <w:noProof/>
      <w:lang w:eastAsia="zh-TW"/>
    </w:rPr>
  </w:style>
  <w:style w:type="paragraph" w:customStyle="1" w:styleId="CDMBHEAD2">
    <w:name w:val="CDM B/HEAD 2"/>
    <w:basedOn w:val="Normal"/>
    <w:next w:val="CDMBTEXT"/>
    <w:link w:val="CDMBHEAD2Char"/>
    <w:qFormat/>
    <w:rsid w:val="00DA6EFB"/>
    <w:pPr>
      <w:keepNext/>
      <w:spacing w:after="60" w:line="360" w:lineRule="exact"/>
    </w:pPr>
    <w:rPr>
      <w:rFonts w:eastAsia="Times New Roman" w:cs="Times New Roman"/>
      <w:b/>
      <w:sz w:val="32"/>
      <w:szCs w:val="20"/>
    </w:rPr>
  </w:style>
  <w:style w:type="character" w:customStyle="1" w:styleId="CDMBHEAD2Char">
    <w:name w:val="CDM B/HEAD 2 Char"/>
    <w:basedOn w:val="DefaultParagraphFont"/>
    <w:link w:val="CDMBHEAD2"/>
    <w:rsid w:val="00DA6EFB"/>
    <w:rPr>
      <w:rFonts w:ascii="Book Antiqua" w:eastAsia="Times New Roman" w:hAnsi="Book Antiqua" w:cs="Times New Roman"/>
      <w:b/>
      <w:sz w:val="32"/>
      <w:szCs w:val="20"/>
    </w:rPr>
  </w:style>
  <w:style w:type="paragraph" w:customStyle="1" w:styleId="CDMBHEAD3">
    <w:name w:val="CDM B/HEAD 3"/>
    <w:basedOn w:val="CDMBTEXT"/>
    <w:next w:val="CDMBTEXT"/>
    <w:qFormat/>
    <w:rsid w:val="00DA6EFB"/>
    <w:pPr>
      <w:keepNext/>
      <w:spacing w:line="320" w:lineRule="exact"/>
    </w:pPr>
    <w:rPr>
      <w:b/>
      <w:sz w:val="28"/>
    </w:rPr>
  </w:style>
  <w:style w:type="paragraph" w:customStyle="1" w:styleId="CDMBHEAD4">
    <w:name w:val="CDM B/HEAD 4"/>
    <w:basedOn w:val="Normal"/>
    <w:next w:val="CDMBTEXT"/>
    <w:qFormat/>
    <w:rsid w:val="00DA6EFB"/>
    <w:pPr>
      <w:keepNext/>
      <w:tabs>
        <w:tab w:val="left" w:pos="1080"/>
      </w:tabs>
      <w:spacing w:after="120" w:line="280" w:lineRule="exact"/>
    </w:pPr>
    <w:rPr>
      <w:rFonts w:eastAsia="Times New Roman" w:cs="Times New Roman"/>
      <w:b/>
      <w:szCs w:val="20"/>
    </w:rPr>
  </w:style>
  <w:style w:type="paragraph" w:customStyle="1" w:styleId="CDMBBULLET">
    <w:name w:val="CDM B/BULLET"/>
    <w:basedOn w:val="CDMBTEXT"/>
    <w:qFormat/>
    <w:rsid w:val="00DA6EFB"/>
    <w:pPr>
      <w:tabs>
        <w:tab w:val="left" w:pos="240"/>
        <w:tab w:val="num" w:pos="360"/>
      </w:tabs>
      <w:ind w:left="360" w:hanging="360"/>
    </w:pPr>
  </w:style>
  <w:style w:type="paragraph" w:customStyle="1" w:styleId="CDMBHEAD5">
    <w:name w:val="CDM B/HEAD 5"/>
    <w:basedOn w:val="CDMBTEXT"/>
    <w:next w:val="CDMBTEXT"/>
    <w:qFormat/>
    <w:rsid w:val="00DA6EFB"/>
    <w:pPr>
      <w:keepNext/>
      <w:tabs>
        <w:tab w:val="left" w:pos="720"/>
      </w:tabs>
      <w:spacing w:after="120" w:line="270" w:lineRule="exact"/>
    </w:pPr>
    <w:rPr>
      <w:b/>
      <w:i/>
    </w:rPr>
  </w:style>
  <w:style w:type="paragraph" w:styleId="NoSpacing">
    <w:name w:val="No Spacing"/>
    <w:uiPriority w:val="1"/>
    <w:qFormat/>
    <w:rsid w:val="00DA6EFB"/>
    <w:pPr>
      <w:spacing w:after="0" w:line="240" w:lineRule="auto"/>
    </w:pPr>
    <w:rPr>
      <w:rFonts w:ascii="Times" w:eastAsia="Times" w:hAnsi="Times" w:cs="Times New Roman"/>
      <w:sz w:val="24"/>
      <w:szCs w:val="20"/>
    </w:rPr>
  </w:style>
  <w:style w:type="paragraph" w:customStyle="1" w:styleId="FactsheetSubheading">
    <w:name w:val="FactsheetSubheading"/>
    <w:basedOn w:val="ExampleSubheading"/>
    <w:link w:val="FactsheetSubheadingChar"/>
    <w:qFormat/>
    <w:rsid w:val="00DA6EFB"/>
    <w:pPr>
      <w:pBdr>
        <w:top w:val="none" w:sz="0" w:space="0" w:color="auto"/>
        <w:left w:val="none" w:sz="0" w:space="0" w:color="auto"/>
        <w:right w:val="none" w:sz="0" w:space="0" w:color="auto"/>
      </w:pBdr>
      <w:ind w:left="0"/>
    </w:pPr>
  </w:style>
  <w:style w:type="character" w:customStyle="1" w:styleId="FactsheetSubheadingChar">
    <w:name w:val="FactsheetSubheading Char"/>
    <w:basedOn w:val="ExampleSubheadingChar"/>
    <w:link w:val="FactsheetSubheading"/>
    <w:rsid w:val="00DA6EFB"/>
    <w:rPr>
      <w:rFonts w:ascii="Arial" w:eastAsia="Times New Roman" w:hAnsi="Arial" w:cs="Arial"/>
      <w:b/>
      <w:i/>
      <w:sz w:val="20"/>
      <w:szCs w:val="20"/>
      <w:shd w:val="clear" w:color="auto" w:fill="FFFF00"/>
    </w:rPr>
  </w:style>
  <w:style w:type="paragraph" w:customStyle="1" w:styleId="CDMBHEADER">
    <w:name w:val="CDM B/HEADER"/>
    <w:basedOn w:val="Normal"/>
    <w:next w:val="CDMBHEAD2"/>
    <w:qFormat/>
    <w:rsid w:val="00DA6EFB"/>
    <w:pPr>
      <w:spacing w:line="264" w:lineRule="auto"/>
    </w:pPr>
    <w:rPr>
      <w:rFonts w:eastAsia="Times" w:cs="Times New Roman"/>
      <w:szCs w:val="20"/>
    </w:rPr>
  </w:style>
  <w:style w:type="paragraph" w:customStyle="1" w:styleId="CDMBBullet1">
    <w:name w:val="CDM B/Bullet 1"/>
    <w:basedOn w:val="Normal"/>
    <w:rsid w:val="00DA6EFB"/>
    <w:pPr>
      <w:spacing w:line="280" w:lineRule="exact"/>
    </w:pPr>
    <w:rPr>
      <w:rFonts w:eastAsia="Times New Roman" w:cs="Times New Roman"/>
      <w:szCs w:val="20"/>
    </w:rPr>
  </w:style>
  <w:style w:type="character" w:styleId="PageNumber">
    <w:name w:val="page number"/>
    <w:basedOn w:val="DefaultParagraphFont"/>
    <w:rsid w:val="00DA6EFB"/>
  </w:style>
  <w:style w:type="paragraph" w:customStyle="1" w:styleId="CDMBBULLET2">
    <w:name w:val="CDM B/BULLET 2"/>
    <w:basedOn w:val="Normal"/>
    <w:rsid w:val="00DA6EFB"/>
    <w:pPr>
      <w:spacing w:line="264" w:lineRule="auto"/>
    </w:pPr>
    <w:rPr>
      <w:rFonts w:eastAsia="Times" w:cs="Times New Roman"/>
      <w:szCs w:val="20"/>
    </w:rPr>
  </w:style>
  <w:style w:type="paragraph" w:customStyle="1" w:styleId="ReportBulletText">
    <w:name w:val="Report Bullet Text"/>
    <w:basedOn w:val="ReportBodyText"/>
    <w:rsid w:val="00DA6EFB"/>
    <w:pPr>
      <w:tabs>
        <w:tab w:val="num" w:pos="720"/>
      </w:tabs>
      <w:spacing w:line="264" w:lineRule="auto"/>
      <w:ind w:left="720" w:hanging="360"/>
    </w:pPr>
  </w:style>
  <w:style w:type="paragraph" w:customStyle="1" w:styleId="WQMPHead6">
    <w:name w:val="WQMP/Head 6"/>
    <w:rsid w:val="00DA6EFB"/>
    <w:pPr>
      <w:spacing w:after="0" w:line="240" w:lineRule="auto"/>
    </w:pPr>
    <w:rPr>
      <w:rFonts w:ascii="Book Antiqua" w:eastAsia="Times New Roman" w:hAnsi="Book Antiqua" w:cs="Times New Roman"/>
      <w:i/>
      <w:iCs/>
      <w:szCs w:val="24"/>
    </w:rPr>
  </w:style>
  <w:style w:type="paragraph" w:customStyle="1" w:styleId="CVRDate">
    <w:name w:val="CVR Date"/>
    <w:next w:val="BodyText"/>
    <w:autoRedefine/>
    <w:rsid w:val="00DA6EFB"/>
    <w:pPr>
      <w:spacing w:before="240" w:after="0" w:line="320" w:lineRule="exact"/>
    </w:pPr>
    <w:rPr>
      <w:rFonts w:ascii="Book Antiqua" w:eastAsia="Times" w:hAnsi="Book Antiqua" w:cs="Times New Roman"/>
      <w:sz w:val="28"/>
      <w:szCs w:val="20"/>
    </w:rPr>
  </w:style>
  <w:style w:type="paragraph" w:customStyle="1" w:styleId="Heading10">
    <w:name w:val="Heading1"/>
    <w:basedOn w:val="Normal"/>
    <w:next w:val="Normal"/>
    <w:rsid w:val="00DA6EFB"/>
    <w:pPr>
      <w:keepNext/>
      <w:spacing w:line="264" w:lineRule="auto"/>
    </w:pPr>
    <w:rPr>
      <w:rFonts w:eastAsia="Times New Roman" w:cs="Times New Roman"/>
      <w:b/>
      <w:caps/>
      <w:szCs w:val="24"/>
    </w:rPr>
  </w:style>
  <w:style w:type="paragraph" w:customStyle="1" w:styleId="CDMBHEAD1">
    <w:name w:val="CDM B/HEAD 1"/>
    <w:basedOn w:val="Heading1"/>
    <w:next w:val="CDMBTEXT"/>
    <w:autoRedefine/>
    <w:qFormat/>
    <w:rsid w:val="00DA6EFB"/>
    <w:pPr>
      <w:keepLines w:val="0"/>
      <w:numPr>
        <w:numId w:val="0"/>
      </w:numPr>
      <w:pBdr>
        <w:bottom w:val="none" w:sz="0" w:space="0" w:color="auto"/>
      </w:pBdr>
      <w:tabs>
        <w:tab w:val="clear" w:pos="2520"/>
        <w:tab w:val="left" w:pos="2160"/>
      </w:tabs>
      <w:spacing w:before="0" w:after="40" w:line="460" w:lineRule="exact"/>
    </w:pPr>
    <w:rPr>
      <w:rFonts w:eastAsia="Times New Roman" w:cs="Times New Roman"/>
      <w:caps w:val="0"/>
      <w:sz w:val="42"/>
      <w:szCs w:val="20"/>
    </w:rPr>
  </w:style>
  <w:style w:type="paragraph" w:styleId="TableofFigures">
    <w:name w:val="table of figures"/>
    <w:basedOn w:val="Normal"/>
    <w:next w:val="Normal"/>
    <w:uiPriority w:val="99"/>
    <w:unhideWhenUsed/>
    <w:rsid w:val="003A7710"/>
    <w:pPr>
      <w:spacing w:after="0" w:line="264" w:lineRule="auto"/>
    </w:pPr>
    <w:rPr>
      <w:rFonts w:eastAsia="Times" w:cs="Times New Roman"/>
      <w:szCs w:val="20"/>
    </w:rPr>
  </w:style>
  <w:style w:type="paragraph" w:styleId="NormalWeb">
    <w:name w:val="Normal (Web)"/>
    <w:basedOn w:val="Normal"/>
    <w:uiPriority w:val="99"/>
    <w:unhideWhenUsed/>
    <w:rsid w:val="00DA6EFB"/>
    <w:pPr>
      <w:spacing w:before="100" w:beforeAutospacing="1" w:after="100" w:afterAutospacing="1" w:line="264" w:lineRule="auto"/>
    </w:pPr>
    <w:rPr>
      <w:rFonts w:ascii="Times New Roman" w:eastAsia="Times New Roman" w:hAnsi="Times New Roman" w:cs="Times New Roman"/>
      <w:szCs w:val="24"/>
    </w:rPr>
  </w:style>
  <w:style w:type="paragraph" w:customStyle="1" w:styleId="Tables-Text">
    <w:name w:val="Tables-Text"/>
    <w:basedOn w:val="Normal"/>
    <w:rsid w:val="00DA6EFB"/>
    <w:pPr>
      <w:widowControl w:val="0"/>
      <w:spacing w:line="264" w:lineRule="auto"/>
    </w:pPr>
    <w:rPr>
      <w:rFonts w:ascii="Arial" w:eastAsia="Times New Roman" w:hAnsi="Arial" w:cs="Times New Roman"/>
      <w:sz w:val="18"/>
      <w:szCs w:val="18"/>
    </w:rPr>
  </w:style>
  <w:style w:type="paragraph" w:customStyle="1" w:styleId="CityName">
    <w:name w:val="City Name"/>
    <w:next w:val="Normal"/>
    <w:autoRedefine/>
    <w:rsid w:val="00DA6EFB"/>
    <w:pPr>
      <w:spacing w:after="0" w:line="540" w:lineRule="exact"/>
    </w:pPr>
    <w:rPr>
      <w:rFonts w:ascii="Book Antiqua" w:eastAsia="Times" w:hAnsi="Book Antiqua" w:cs="Times New Roman"/>
      <w:sz w:val="48"/>
      <w:szCs w:val="20"/>
    </w:rPr>
  </w:style>
  <w:style w:type="paragraph" w:customStyle="1" w:styleId="CheckBoxList">
    <w:name w:val="CheckBoxList"/>
    <w:basedOn w:val="CDMBTEXT"/>
    <w:link w:val="CheckBoxListChar"/>
    <w:qFormat/>
    <w:rsid w:val="00DA6EFB"/>
    <w:pPr>
      <w:numPr>
        <w:numId w:val="68"/>
      </w:numPr>
      <w:tabs>
        <w:tab w:val="left" w:pos="720"/>
      </w:tabs>
      <w:spacing w:after="0" w:line="240" w:lineRule="auto"/>
      <w:ind w:left="734" w:hanging="547"/>
    </w:pPr>
    <w:rPr>
      <w:rFonts w:ascii="Arial" w:hAnsi="Arial"/>
      <w:sz w:val="20"/>
    </w:rPr>
  </w:style>
  <w:style w:type="character" w:customStyle="1" w:styleId="CheckBoxListChar">
    <w:name w:val="CheckBoxList Char"/>
    <w:basedOn w:val="CDMBTEXTChar"/>
    <w:link w:val="CheckBoxList"/>
    <w:rsid w:val="00DA6EFB"/>
    <w:rPr>
      <w:rFonts w:ascii="Arial" w:hAnsi="Arial"/>
      <w:sz w:val="20"/>
    </w:rPr>
  </w:style>
  <w:style w:type="paragraph" w:customStyle="1" w:styleId="WorksheetList">
    <w:name w:val="WorksheetList"/>
    <w:basedOn w:val="CDMBTEXT"/>
    <w:link w:val="WorksheetListChar"/>
    <w:qFormat/>
    <w:rsid w:val="00DA6EFB"/>
    <w:pPr>
      <w:numPr>
        <w:numId w:val="69"/>
      </w:numPr>
    </w:pPr>
  </w:style>
  <w:style w:type="character" w:customStyle="1" w:styleId="WorksheetListChar">
    <w:name w:val="WorksheetList Char"/>
    <w:basedOn w:val="CDMBTEXTChar"/>
    <w:link w:val="WorksheetList"/>
    <w:rsid w:val="00DA6EFB"/>
  </w:style>
  <w:style w:type="paragraph" w:customStyle="1" w:styleId="CM1">
    <w:name w:val="CM1"/>
    <w:basedOn w:val="Default"/>
    <w:next w:val="Default"/>
    <w:uiPriority w:val="99"/>
    <w:rsid w:val="00DA6EFB"/>
    <w:pPr>
      <w:spacing w:line="271" w:lineRule="atLeast"/>
    </w:pPr>
    <w:rPr>
      <w:rFonts w:eastAsiaTheme="minorHAnsi" w:cstheme="minorBidi"/>
      <w:color w:val="auto"/>
    </w:rPr>
  </w:style>
  <w:style w:type="paragraph" w:customStyle="1" w:styleId="CheckBoxTableText">
    <w:name w:val="CheckBoxTableText"/>
    <w:basedOn w:val="FactsheetBullets"/>
    <w:link w:val="CheckBoxTableTextChar"/>
    <w:qFormat/>
    <w:rsid w:val="00DA6EFB"/>
    <w:pPr>
      <w:numPr>
        <w:numId w:val="0"/>
      </w:numPr>
      <w:spacing w:before="60" w:after="60"/>
    </w:pPr>
  </w:style>
  <w:style w:type="character" w:customStyle="1" w:styleId="CheckBoxTableTextChar">
    <w:name w:val="CheckBoxTableText Char"/>
    <w:basedOn w:val="FactsheetBulletsChar"/>
    <w:link w:val="CheckBoxTableText"/>
    <w:rsid w:val="00DA6EFB"/>
    <w:rPr>
      <w:rFonts w:ascii="Arial" w:eastAsia="Times New Roman" w:hAnsi="Arial" w:cs="Arial"/>
      <w:noProof/>
      <w:sz w:val="20"/>
      <w:szCs w:val="20"/>
      <w:lang w:eastAsia="zh-TW"/>
    </w:rPr>
  </w:style>
  <w:style w:type="character" w:customStyle="1" w:styleId="ListBulletChar">
    <w:name w:val="List Bullet Char"/>
    <w:basedOn w:val="DefaultParagraphFont"/>
    <w:link w:val="ListBullet"/>
    <w:uiPriority w:val="99"/>
    <w:rsid w:val="00430D51"/>
    <w:rPr>
      <w:rFonts w:ascii="Book Antiqua" w:eastAsia="Calibri" w:hAnsi="Book Antiqua" w:cs="Georgia"/>
    </w:rPr>
  </w:style>
  <w:style w:type="paragraph" w:styleId="Bibliography">
    <w:name w:val="Bibliography"/>
    <w:basedOn w:val="Normal"/>
    <w:next w:val="Normal"/>
    <w:uiPriority w:val="37"/>
    <w:semiHidden/>
    <w:unhideWhenUsed/>
    <w:rsid w:val="00DA6EFB"/>
    <w:pPr>
      <w:spacing w:line="264" w:lineRule="auto"/>
    </w:pPr>
    <w:rPr>
      <w:rFonts w:eastAsia="Times" w:cs="Times New Roman"/>
      <w:szCs w:val="20"/>
    </w:rPr>
  </w:style>
  <w:style w:type="paragraph" w:styleId="BlockText">
    <w:name w:val="Block Text"/>
    <w:basedOn w:val="Normal"/>
    <w:uiPriority w:val="99"/>
    <w:semiHidden/>
    <w:unhideWhenUsed/>
    <w:rsid w:val="00DA6EFB"/>
    <w:pPr>
      <w:pBdr>
        <w:top w:val="single" w:sz="2" w:space="10" w:color="4F81BD" w:themeColor="accent1" w:frame="1"/>
        <w:left w:val="single" w:sz="2" w:space="10" w:color="4F81BD" w:themeColor="accent1" w:frame="1"/>
        <w:bottom w:val="single" w:sz="2" w:space="10" w:color="4F81BD" w:themeColor="accent1" w:frame="1"/>
        <w:right w:val="single" w:sz="2" w:space="10" w:color="4F81BD" w:themeColor="accent1" w:frame="1"/>
      </w:pBdr>
      <w:spacing w:line="264" w:lineRule="auto"/>
      <w:ind w:left="1152" w:right="1152"/>
    </w:pPr>
    <w:rPr>
      <w:rFonts w:asciiTheme="minorHAnsi" w:eastAsiaTheme="minorEastAsia" w:hAnsiTheme="minorHAnsi"/>
      <w:i/>
      <w:iCs/>
      <w:color w:val="4F81BD" w:themeColor="accent1"/>
      <w:szCs w:val="20"/>
    </w:rPr>
  </w:style>
  <w:style w:type="paragraph" w:styleId="BodyText2">
    <w:name w:val="Body Text 2"/>
    <w:basedOn w:val="Normal"/>
    <w:link w:val="BodyText2Char"/>
    <w:uiPriority w:val="99"/>
    <w:semiHidden/>
    <w:unhideWhenUsed/>
    <w:rsid w:val="00DA6EFB"/>
    <w:pPr>
      <w:spacing w:after="120" w:line="480" w:lineRule="auto"/>
    </w:pPr>
    <w:rPr>
      <w:rFonts w:eastAsia="Times" w:cs="Times New Roman"/>
      <w:szCs w:val="20"/>
    </w:rPr>
  </w:style>
  <w:style w:type="character" w:customStyle="1" w:styleId="BodyText2Char">
    <w:name w:val="Body Text 2 Char"/>
    <w:basedOn w:val="DefaultParagraphFont"/>
    <w:link w:val="BodyText2"/>
    <w:uiPriority w:val="99"/>
    <w:semiHidden/>
    <w:rsid w:val="00DA6EFB"/>
    <w:rPr>
      <w:rFonts w:ascii="Book Antiqua" w:eastAsia="Times" w:hAnsi="Book Antiqua" w:cs="Times New Roman"/>
      <w:szCs w:val="20"/>
    </w:rPr>
  </w:style>
  <w:style w:type="paragraph" w:styleId="BodyText3">
    <w:name w:val="Body Text 3"/>
    <w:basedOn w:val="Normal"/>
    <w:link w:val="BodyText3Char"/>
    <w:uiPriority w:val="99"/>
    <w:semiHidden/>
    <w:unhideWhenUsed/>
    <w:rsid w:val="00DA6EFB"/>
    <w:pPr>
      <w:spacing w:after="120" w:line="264" w:lineRule="auto"/>
    </w:pPr>
    <w:rPr>
      <w:rFonts w:eastAsia="Times" w:cs="Times New Roman"/>
      <w:sz w:val="16"/>
      <w:szCs w:val="16"/>
    </w:rPr>
  </w:style>
  <w:style w:type="character" w:customStyle="1" w:styleId="BodyText3Char">
    <w:name w:val="Body Text 3 Char"/>
    <w:basedOn w:val="DefaultParagraphFont"/>
    <w:link w:val="BodyText3"/>
    <w:uiPriority w:val="99"/>
    <w:semiHidden/>
    <w:rsid w:val="00DA6EFB"/>
    <w:rPr>
      <w:rFonts w:ascii="Book Antiqua" w:eastAsia="Times" w:hAnsi="Book Antiqua" w:cs="Times New Roman"/>
      <w:sz w:val="16"/>
      <w:szCs w:val="16"/>
    </w:rPr>
  </w:style>
  <w:style w:type="paragraph" w:styleId="BodyTextFirstIndent">
    <w:name w:val="Body Text First Indent"/>
    <w:basedOn w:val="BodyText"/>
    <w:link w:val="BodyTextFirstIndentChar"/>
    <w:uiPriority w:val="99"/>
    <w:semiHidden/>
    <w:unhideWhenUsed/>
    <w:rsid w:val="00DA6EFB"/>
    <w:pPr>
      <w:tabs>
        <w:tab w:val="clear" w:pos="950"/>
      </w:tabs>
      <w:spacing w:after="0"/>
      <w:ind w:firstLine="360"/>
      <w:jc w:val="left"/>
    </w:pPr>
    <w:rPr>
      <w:rFonts w:eastAsia="Times"/>
    </w:rPr>
  </w:style>
  <w:style w:type="character" w:customStyle="1" w:styleId="BodyTextFirstIndentChar">
    <w:name w:val="Body Text First Indent Char"/>
    <w:basedOn w:val="BodyTextChar"/>
    <w:link w:val="BodyTextFirstIndent"/>
    <w:uiPriority w:val="99"/>
    <w:semiHidden/>
    <w:rsid w:val="00DA6EFB"/>
    <w:rPr>
      <w:rFonts w:ascii="Book Antiqua" w:eastAsia="Times" w:hAnsi="Book Antiqua" w:cs="Times New Roman"/>
      <w:sz w:val="24"/>
      <w:szCs w:val="20"/>
    </w:rPr>
  </w:style>
  <w:style w:type="paragraph" w:styleId="BodyTextIndent">
    <w:name w:val="Body Text Indent"/>
    <w:basedOn w:val="Normal"/>
    <w:link w:val="BodyTextIndentChar"/>
    <w:uiPriority w:val="99"/>
    <w:semiHidden/>
    <w:unhideWhenUsed/>
    <w:rsid w:val="00DA6EFB"/>
    <w:pPr>
      <w:spacing w:after="120" w:line="264" w:lineRule="auto"/>
      <w:ind w:left="360"/>
    </w:pPr>
    <w:rPr>
      <w:rFonts w:eastAsia="Times" w:cs="Times New Roman"/>
      <w:szCs w:val="20"/>
    </w:rPr>
  </w:style>
  <w:style w:type="character" w:customStyle="1" w:styleId="BodyTextIndentChar">
    <w:name w:val="Body Text Indent Char"/>
    <w:basedOn w:val="DefaultParagraphFont"/>
    <w:link w:val="BodyTextIndent"/>
    <w:uiPriority w:val="99"/>
    <w:semiHidden/>
    <w:rsid w:val="00DA6EFB"/>
    <w:rPr>
      <w:rFonts w:ascii="Book Antiqua" w:eastAsia="Times" w:hAnsi="Book Antiqua" w:cs="Times New Roman"/>
      <w:szCs w:val="20"/>
    </w:rPr>
  </w:style>
  <w:style w:type="paragraph" w:styleId="BodyTextFirstIndent2">
    <w:name w:val="Body Text First Indent 2"/>
    <w:basedOn w:val="BodyTextIndent"/>
    <w:link w:val="BodyTextFirstIndent2Char"/>
    <w:uiPriority w:val="99"/>
    <w:semiHidden/>
    <w:unhideWhenUsed/>
    <w:rsid w:val="00DA6EFB"/>
    <w:pPr>
      <w:spacing w:after="0"/>
      <w:ind w:firstLine="360"/>
    </w:pPr>
  </w:style>
  <w:style w:type="character" w:customStyle="1" w:styleId="BodyTextFirstIndent2Char">
    <w:name w:val="Body Text First Indent 2 Char"/>
    <w:basedOn w:val="BodyTextIndentChar"/>
    <w:link w:val="BodyTextFirstIndent2"/>
    <w:uiPriority w:val="99"/>
    <w:semiHidden/>
    <w:rsid w:val="00DA6EFB"/>
    <w:rPr>
      <w:rFonts w:ascii="Book Antiqua" w:eastAsia="Times" w:hAnsi="Book Antiqua" w:cs="Times New Roman"/>
      <w:szCs w:val="20"/>
    </w:rPr>
  </w:style>
  <w:style w:type="paragraph" w:styleId="BodyTextIndent2">
    <w:name w:val="Body Text Indent 2"/>
    <w:basedOn w:val="Normal"/>
    <w:link w:val="BodyTextIndent2Char"/>
    <w:uiPriority w:val="99"/>
    <w:semiHidden/>
    <w:unhideWhenUsed/>
    <w:rsid w:val="00DA6EFB"/>
    <w:pPr>
      <w:spacing w:after="120" w:line="480" w:lineRule="auto"/>
      <w:ind w:left="360"/>
    </w:pPr>
    <w:rPr>
      <w:rFonts w:eastAsia="Times" w:cs="Times New Roman"/>
      <w:szCs w:val="20"/>
    </w:rPr>
  </w:style>
  <w:style w:type="character" w:customStyle="1" w:styleId="BodyTextIndent2Char">
    <w:name w:val="Body Text Indent 2 Char"/>
    <w:basedOn w:val="DefaultParagraphFont"/>
    <w:link w:val="BodyTextIndent2"/>
    <w:uiPriority w:val="99"/>
    <w:semiHidden/>
    <w:rsid w:val="00DA6EFB"/>
    <w:rPr>
      <w:rFonts w:ascii="Book Antiqua" w:eastAsia="Times" w:hAnsi="Book Antiqua" w:cs="Times New Roman"/>
      <w:szCs w:val="20"/>
    </w:rPr>
  </w:style>
  <w:style w:type="paragraph" w:styleId="BodyTextIndent3">
    <w:name w:val="Body Text Indent 3"/>
    <w:basedOn w:val="Normal"/>
    <w:link w:val="BodyTextIndent3Char"/>
    <w:uiPriority w:val="99"/>
    <w:semiHidden/>
    <w:unhideWhenUsed/>
    <w:rsid w:val="00DA6EFB"/>
    <w:pPr>
      <w:spacing w:after="120" w:line="264" w:lineRule="auto"/>
      <w:ind w:left="360"/>
    </w:pPr>
    <w:rPr>
      <w:rFonts w:eastAsia="Times" w:cs="Times New Roman"/>
      <w:sz w:val="16"/>
      <w:szCs w:val="16"/>
    </w:rPr>
  </w:style>
  <w:style w:type="character" w:customStyle="1" w:styleId="BodyTextIndent3Char">
    <w:name w:val="Body Text Indent 3 Char"/>
    <w:basedOn w:val="DefaultParagraphFont"/>
    <w:link w:val="BodyTextIndent3"/>
    <w:uiPriority w:val="99"/>
    <w:semiHidden/>
    <w:rsid w:val="00DA6EFB"/>
    <w:rPr>
      <w:rFonts w:ascii="Book Antiqua" w:eastAsia="Times" w:hAnsi="Book Antiqua" w:cs="Times New Roman"/>
      <w:sz w:val="16"/>
      <w:szCs w:val="16"/>
    </w:rPr>
  </w:style>
  <w:style w:type="paragraph" w:styleId="Closing">
    <w:name w:val="Closing"/>
    <w:basedOn w:val="Normal"/>
    <w:link w:val="ClosingChar"/>
    <w:uiPriority w:val="99"/>
    <w:semiHidden/>
    <w:unhideWhenUsed/>
    <w:rsid w:val="00DA6EFB"/>
    <w:pPr>
      <w:spacing w:line="264" w:lineRule="auto"/>
      <w:ind w:left="4320"/>
    </w:pPr>
    <w:rPr>
      <w:rFonts w:eastAsia="Times" w:cs="Times New Roman"/>
      <w:szCs w:val="20"/>
    </w:rPr>
  </w:style>
  <w:style w:type="character" w:customStyle="1" w:styleId="ClosingChar">
    <w:name w:val="Closing Char"/>
    <w:basedOn w:val="DefaultParagraphFont"/>
    <w:link w:val="Closing"/>
    <w:uiPriority w:val="99"/>
    <w:semiHidden/>
    <w:rsid w:val="00DA6EFB"/>
    <w:rPr>
      <w:rFonts w:ascii="Book Antiqua" w:eastAsia="Times" w:hAnsi="Book Antiqua" w:cs="Times New Roman"/>
      <w:szCs w:val="20"/>
    </w:rPr>
  </w:style>
  <w:style w:type="paragraph" w:styleId="Date">
    <w:name w:val="Date"/>
    <w:basedOn w:val="Normal"/>
    <w:next w:val="Normal"/>
    <w:link w:val="DateChar"/>
    <w:uiPriority w:val="99"/>
    <w:semiHidden/>
    <w:unhideWhenUsed/>
    <w:rsid w:val="00DA6EFB"/>
    <w:pPr>
      <w:spacing w:line="264" w:lineRule="auto"/>
    </w:pPr>
    <w:rPr>
      <w:rFonts w:eastAsia="Times" w:cs="Times New Roman"/>
      <w:szCs w:val="20"/>
    </w:rPr>
  </w:style>
  <w:style w:type="character" w:customStyle="1" w:styleId="DateChar">
    <w:name w:val="Date Char"/>
    <w:basedOn w:val="DefaultParagraphFont"/>
    <w:link w:val="Date"/>
    <w:uiPriority w:val="99"/>
    <w:semiHidden/>
    <w:rsid w:val="00DA6EFB"/>
    <w:rPr>
      <w:rFonts w:ascii="Book Antiqua" w:eastAsia="Times" w:hAnsi="Book Antiqua" w:cs="Times New Roman"/>
      <w:szCs w:val="20"/>
    </w:rPr>
  </w:style>
  <w:style w:type="paragraph" w:styleId="E-mailSignature">
    <w:name w:val="E-mail Signature"/>
    <w:basedOn w:val="Normal"/>
    <w:link w:val="E-mailSignatureChar"/>
    <w:uiPriority w:val="99"/>
    <w:semiHidden/>
    <w:unhideWhenUsed/>
    <w:rsid w:val="00DA6EFB"/>
    <w:pPr>
      <w:spacing w:line="264" w:lineRule="auto"/>
    </w:pPr>
    <w:rPr>
      <w:rFonts w:eastAsia="Times" w:cs="Times New Roman"/>
      <w:szCs w:val="20"/>
    </w:rPr>
  </w:style>
  <w:style w:type="character" w:customStyle="1" w:styleId="E-mailSignatureChar">
    <w:name w:val="E-mail Signature Char"/>
    <w:basedOn w:val="DefaultParagraphFont"/>
    <w:link w:val="E-mailSignature"/>
    <w:uiPriority w:val="99"/>
    <w:semiHidden/>
    <w:rsid w:val="00DA6EFB"/>
    <w:rPr>
      <w:rFonts w:ascii="Book Antiqua" w:eastAsia="Times" w:hAnsi="Book Antiqua" w:cs="Times New Roman"/>
      <w:szCs w:val="20"/>
    </w:rPr>
  </w:style>
  <w:style w:type="paragraph" w:styleId="EndnoteText">
    <w:name w:val="endnote text"/>
    <w:basedOn w:val="Normal"/>
    <w:link w:val="EndnoteTextChar"/>
    <w:uiPriority w:val="99"/>
    <w:semiHidden/>
    <w:unhideWhenUsed/>
    <w:rsid w:val="00DA6EFB"/>
    <w:pPr>
      <w:spacing w:line="264" w:lineRule="auto"/>
    </w:pPr>
    <w:rPr>
      <w:rFonts w:eastAsia="Times" w:cs="Times New Roman"/>
      <w:sz w:val="20"/>
      <w:szCs w:val="20"/>
    </w:rPr>
  </w:style>
  <w:style w:type="character" w:customStyle="1" w:styleId="EndnoteTextChar">
    <w:name w:val="Endnote Text Char"/>
    <w:basedOn w:val="DefaultParagraphFont"/>
    <w:link w:val="EndnoteText"/>
    <w:uiPriority w:val="99"/>
    <w:semiHidden/>
    <w:rsid w:val="00DA6EFB"/>
    <w:rPr>
      <w:rFonts w:ascii="Book Antiqua" w:eastAsia="Times" w:hAnsi="Book Antiqua" w:cs="Times New Roman"/>
      <w:sz w:val="20"/>
      <w:szCs w:val="20"/>
    </w:rPr>
  </w:style>
  <w:style w:type="paragraph" w:styleId="EnvelopeAddress">
    <w:name w:val="envelope address"/>
    <w:basedOn w:val="Normal"/>
    <w:uiPriority w:val="99"/>
    <w:semiHidden/>
    <w:unhideWhenUsed/>
    <w:rsid w:val="00DA6EFB"/>
    <w:pPr>
      <w:framePr w:w="7920" w:h="1980" w:hRule="exact" w:hSpace="180" w:wrap="auto" w:hAnchor="page" w:xAlign="center" w:yAlign="bottom"/>
      <w:spacing w:line="264"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DA6EFB"/>
    <w:pPr>
      <w:spacing w:line="264"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DA6EFB"/>
    <w:pPr>
      <w:spacing w:line="264" w:lineRule="auto"/>
    </w:pPr>
    <w:rPr>
      <w:rFonts w:eastAsia="Times" w:cs="Times New Roman"/>
      <w:i/>
      <w:iCs/>
      <w:szCs w:val="20"/>
    </w:rPr>
  </w:style>
  <w:style w:type="character" w:customStyle="1" w:styleId="HTMLAddressChar">
    <w:name w:val="HTML Address Char"/>
    <w:basedOn w:val="DefaultParagraphFont"/>
    <w:link w:val="HTMLAddress"/>
    <w:uiPriority w:val="99"/>
    <w:semiHidden/>
    <w:rsid w:val="00DA6EFB"/>
    <w:rPr>
      <w:rFonts w:ascii="Book Antiqua" w:eastAsia="Times" w:hAnsi="Book Antiqua" w:cs="Times New Roman"/>
      <w:i/>
      <w:iCs/>
      <w:szCs w:val="20"/>
    </w:rPr>
  </w:style>
  <w:style w:type="paragraph" w:styleId="HTMLPreformatted">
    <w:name w:val="HTML Preformatted"/>
    <w:basedOn w:val="Normal"/>
    <w:link w:val="HTMLPreformattedChar"/>
    <w:uiPriority w:val="99"/>
    <w:semiHidden/>
    <w:unhideWhenUsed/>
    <w:rsid w:val="00DA6EFB"/>
    <w:pPr>
      <w:spacing w:line="264" w:lineRule="auto"/>
    </w:pPr>
    <w:rPr>
      <w:rFonts w:ascii="Consolas" w:eastAsia="Times" w:hAnsi="Consolas" w:cs="Consolas"/>
      <w:sz w:val="20"/>
      <w:szCs w:val="20"/>
    </w:rPr>
  </w:style>
  <w:style w:type="character" w:customStyle="1" w:styleId="HTMLPreformattedChar">
    <w:name w:val="HTML Preformatted Char"/>
    <w:basedOn w:val="DefaultParagraphFont"/>
    <w:link w:val="HTMLPreformatted"/>
    <w:uiPriority w:val="99"/>
    <w:semiHidden/>
    <w:rsid w:val="00DA6EFB"/>
    <w:rPr>
      <w:rFonts w:ascii="Consolas" w:eastAsia="Times" w:hAnsi="Consolas" w:cs="Consolas"/>
      <w:sz w:val="20"/>
      <w:szCs w:val="20"/>
    </w:rPr>
  </w:style>
  <w:style w:type="paragraph" w:styleId="Index1">
    <w:name w:val="index 1"/>
    <w:basedOn w:val="Normal"/>
    <w:next w:val="Normal"/>
    <w:autoRedefine/>
    <w:uiPriority w:val="99"/>
    <w:semiHidden/>
    <w:unhideWhenUsed/>
    <w:rsid w:val="00DA6EFB"/>
    <w:pPr>
      <w:spacing w:line="264" w:lineRule="auto"/>
      <w:ind w:left="240" w:hanging="240"/>
    </w:pPr>
    <w:rPr>
      <w:rFonts w:eastAsia="Times" w:cs="Times New Roman"/>
      <w:szCs w:val="20"/>
    </w:rPr>
  </w:style>
  <w:style w:type="paragraph" w:styleId="Index2">
    <w:name w:val="index 2"/>
    <w:basedOn w:val="Normal"/>
    <w:next w:val="Normal"/>
    <w:autoRedefine/>
    <w:uiPriority w:val="99"/>
    <w:semiHidden/>
    <w:unhideWhenUsed/>
    <w:rsid w:val="00DA6EFB"/>
    <w:pPr>
      <w:spacing w:line="264" w:lineRule="auto"/>
      <w:ind w:left="480" w:hanging="240"/>
    </w:pPr>
    <w:rPr>
      <w:rFonts w:eastAsia="Times" w:cs="Times New Roman"/>
      <w:szCs w:val="20"/>
    </w:rPr>
  </w:style>
  <w:style w:type="paragraph" w:styleId="Index3">
    <w:name w:val="index 3"/>
    <w:basedOn w:val="Normal"/>
    <w:next w:val="Normal"/>
    <w:autoRedefine/>
    <w:uiPriority w:val="99"/>
    <w:semiHidden/>
    <w:unhideWhenUsed/>
    <w:rsid w:val="00DA6EFB"/>
    <w:pPr>
      <w:spacing w:line="264" w:lineRule="auto"/>
      <w:ind w:left="720" w:hanging="240"/>
    </w:pPr>
    <w:rPr>
      <w:rFonts w:eastAsia="Times" w:cs="Times New Roman"/>
      <w:szCs w:val="20"/>
    </w:rPr>
  </w:style>
  <w:style w:type="paragraph" w:styleId="Index4">
    <w:name w:val="index 4"/>
    <w:basedOn w:val="Normal"/>
    <w:next w:val="Normal"/>
    <w:autoRedefine/>
    <w:uiPriority w:val="99"/>
    <w:semiHidden/>
    <w:unhideWhenUsed/>
    <w:rsid w:val="00DA6EFB"/>
    <w:pPr>
      <w:spacing w:line="264" w:lineRule="auto"/>
      <w:ind w:left="960" w:hanging="240"/>
    </w:pPr>
    <w:rPr>
      <w:rFonts w:eastAsia="Times" w:cs="Times New Roman"/>
      <w:szCs w:val="20"/>
    </w:rPr>
  </w:style>
  <w:style w:type="paragraph" w:styleId="Index5">
    <w:name w:val="index 5"/>
    <w:basedOn w:val="Normal"/>
    <w:next w:val="Normal"/>
    <w:autoRedefine/>
    <w:uiPriority w:val="99"/>
    <w:semiHidden/>
    <w:unhideWhenUsed/>
    <w:rsid w:val="00DA6EFB"/>
    <w:pPr>
      <w:spacing w:line="264" w:lineRule="auto"/>
      <w:ind w:left="1200" w:hanging="240"/>
    </w:pPr>
    <w:rPr>
      <w:rFonts w:eastAsia="Times" w:cs="Times New Roman"/>
      <w:szCs w:val="20"/>
    </w:rPr>
  </w:style>
  <w:style w:type="paragraph" w:styleId="Index6">
    <w:name w:val="index 6"/>
    <w:basedOn w:val="Normal"/>
    <w:next w:val="Normal"/>
    <w:autoRedefine/>
    <w:uiPriority w:val="99"/>
    <w:semiHidden/>
    <w:unhideWhenUsed/>
    <w:rsid w:val="00DA6EFB"/>
    <w:pPr>
      <w:spacing w:line="264" w:lineRule="auto"/>
      <w:ind w:left="1440" w:hanging="240"/>
    </w:pPr>
    <w:rPr>
      <w:rFonts w:eastAsia="Times" w:cs="Times New Roman"/>
      <w:szCs w:val="20"/>
    </w:rPr>
  </w:style>
  <w:style w:type="paragraph" w:styleId="Index7">
    <w:name w:val="index 7"/>
    <w:basedOn w:val="Normal"/>
    <w:next w:val="Normal"/>
    <w:autoRedefine/>
    <w:uiPriority w:val="99"/>
    <w:semiHidden/>
    <w:unhideWhenUsed/>
    <w:rsid w:val="00DA6EFB"/>
    <w:pPr>
      <w:spacing w:line="264" w:lineRule="auto"/>
      <w:ind w:left="1680" w:hanging="240"/>
    </w:pPr>
    <w:rPr>
      <w:rFonts w:eastAsia="Times" w:cs="Times New Roman"/>
      <w:szCs w:val="20"/>
    </w:rPr>
  </w:style>
  <w:style w:type="paragraph" w:styleId="Index8">
    <w:name w:val="index 8"/>
    <w:basedOn w:val="Normal"/>
    <w:next w:val="Normal"/>
    <w:autoRedefine/>
    <w:uiPriority w:val="99"/>
    <w:semiHidden/>
    <w:unhideWhenUsed/>
    <w:rsid w:val="00DA6EFB"/>
    <w:pPr>
      <w:spacing w:line="264" w:lineRule="auto"/>
      <w:ind w:left="1920" w:hanging="240"/>
    </w:pPr>
    <w:rPr>
      <w:rFonts w:eastAsia="Times" w:cs="Times New Roman"/>
      <w:szCs w:val="20"/>
    </w:rPr>
  </w:style>
  <w:style w:type="paragraph" w:styleId="Index9">
    <w:name w:val="index 9"/>
    <w:basedOn w:val="Normal"/>
    <w:next w:val="Normal"/>
    <w:autoRedefine/>
    <w:uiPriority w:val="99"/>
    <w:semiHidden/>
    <w:unhideWhenUsed/>
    <w:rsid w:val="00DA6EFB"/>
    <w:pPr>
      <w:spacing w:line="264" w:lineRule="auto"/>
      <w:ind w:left="2160" w:hanging="240"/>
    </w:pPr>
    <w:rPr>
      <w:rFonts w:eastAsia="Times" w:cs="Times New Roman"/>
      <w:szCs w:val="20"/>
    </w:rPr>
  </w:style>
  <w:style w:type="paragraph" w:styleId="IndexHeading">
    <w:name w:val="index heading"/>
    <w:basedOn w:val="Normal"/>
    <w:next w:val="Index1"/>
    <w:uiPriority w:val="99"/>
    <w:semiHidden/>
    <w:unhideWhenUsed/>
    <w:rsid w:val="00DA6EFB"/>
    <w:pPr>
      <w:spacing w:line="264" w:lineRule="auto"/>
    </w:pPr>
    <w:rPr>
      <w:rFonts w:asciiTheme="majorHAnsi" w:eastAsiaTheme="majorEastAsia" w:hAnsiTheme="majorHAnsi" w:cstheme="majorBidi"/>
      <w:b/>
      <w:bCs/>
      <w:szCs w:val="20"/>
    </w:rPr>
  </w:style>
  <w:style w:type="paragraph" w:styleId="IntenseQuote">
    <w:name w:val="Intense Quote"/>
    <w:basedOn w:val="Normal"/>
    <w:next w:val="Normal"/>
    <w:link w:val="IntenseQuoteChar"/>
    <w:uiPriority w:val="30"/>
    <w:qFormat/>
    <w:rsid w:val="00DA6EFB"/>
    <w:pPr>
      <w:pBdr>
        <w:bottom w:val="single" w:sz="4" w:space="4" w:color="4F81BD" w:themeColor="accent1"/>
      </w:pBdr>
      <w:spacing w:before="200" w:after="280" w:line="264" w:lineRule="auto"/>
      <w:ind w:left="936" w:right="936"/>
    </w:pPr>
    <w:rPr>
      <w:rFonts w:eastAsia="Times" w:cs="Times New Roman"/>
      <w:b/>
      <w:bCs/>
      <w:i/>
      <w:iCs/>
      <w:color w:val="4F81BD" w:themeColor="accent1"/>
      <w:szCs w:val="20"/>
    </w:rPr>
  </w:style>
  <w:style w:type="character" w:customStyle="1" w:styleId="IntenseQuoteChar">
    <w:name w:val="Intense Quote Char"/>
    <w:basedOn w:val="DefaultParagraphFont"/>
    <w:link w:val="IntenseQuote"/>
    <w:uiPriority w:val="30"/>
    <w:rsid w:val="00DA6EFB"/>
    <w:rPr>
      <w:rFonts w:ascii="Book Antiqua" w:eastAsia="Times" w:hAnsi="Book Antiqua" w:cs="Times New Roman"/>
      <w:b/>
      <w:bCs/>
      <w:i/>
      <w:iCs/>
      <w:color w:val="4F81BD" w:themeColor="accent1"/>
      <w:szCs w:val="20"/>
    </w:rPr>
  </w:style>
  <w:style w:type="paragraph" w:styleId="List">
    <w:name w:val="List"/>
    <w:basedOn w:val="Normal"/>
    <w:uiPriority w:val="99"/>
    <w:semiHidden/>
    <w:unhideWhenUsed/>
    <w:rsid w:val="00DA6EFB"/>
    <w:pPr>
      <w:spacing w:line="264" w:lineRule="auto"/>
      <w:ind w:left="360" w:hanging="360"/>
      <w:contextualSpacing/>
    </w:pPr>
    <w:rPr>
      <w:rFonts w:eastAsia="Times" w:cs="Times New Roman"/>
      <w:szCs w:val="20"/>
    </w:rPr>
  </w:style>
  <w:style w:type="paragraph" w:styleId="List2">
    <w:name w:val="List 2"/>
    <w:basedOn w:val="Normal"/>
    <w:uiPriority w:val="99"/>
    <w:semiHidden/>
    <w:unhideWhenUsed/>
    <w:rsid w:val="00DA6EFB"/>
    <w:pPr>
      <w:spacing w:line="264" w:lineRule="auto"/>
      <w:ind w:left="720" w:hanging="360"/>
      <w:contextualSpacing/>
    </w:pPr>
    <w:rPr>
      <w:rFonts w:eastAsia="Times" w:cs="Times New Roman"/>
      <w:szCs w:val="20"/>
    </w:rPr>
  </w:style>
  <w:style w:type="paragraph" w:styleId="List3">
    <w:name w:val="List 3"/>
    <w:basedOn w:val="Normal"/>
    <w:uiPriority w:val="99"/>
    <w:semiHidden/>
    <w:unhideWhenUsed/>
    <w:rsid w:val="00DA6EFB"/>
    <w:pPr>
      <w:spacing w:line="264" w:lineRule="auto"/>
      <w:ind w:left="1080" w:hanging="360"/>
      <w:contextualSpacing/>
    </w:pPr>
    <w:rPr>
      <w:rFonts w:eastAsia="Times" w:cs="Times New Roman"/>
      <w:szCs w:val="20"/>
    </w:rPr>
  </w:style>
  <w:style w:type="paragraph" w:styleId="List4">
    <w:name w:val="List 4"/>
    <w:basedOn w:val="Normal"/>
    <w:uiPriority w:val="99"/>
    <w:semiHidden/>
    <w:unhideWhenUsed/>
    <w:rsid w:val="00DA6EFB"/>
    <w:pPr>
      <w:spacing w:line="264" w:lineRule="auto"/>
      <w:ind w:left="1440" w:hanging="360"/>
      <w:contextualSpacing/>
    </w:pPr>
    <w:rPr>
      <w:rFonts w:eastAsia="Times" w:cs="Times New Roman"/>
      <w:szCs w:val="20"/>
    </w:rPr>
  </w:style>
  <w:style w:type="paragraph" w:styleId="List5">
    <w:name w:val="List 5"/>
    <w:basedOn w:val="Normal"/>
    <w:uiPriority w:val="99"/>
    <w:semiHidden/>
    <w:unhideWhenUsed/>
    <w:rsid w:val="00DA6EFB"/>
    <w:pPr>
      <w:spacing w:line="264" w:lineRule="auto"/>
      <w:ind w:left="1800" w:hanging="360"/>
      <w:contextualSpacing/>
    </w:pPr>
    <w:rPr>
      <w:rFonts w:eastAsia="Times" w:cs="Times New Roman"/>
      <w:szCs w:val="20"/>
    </w:rPr>
  </w:style>
  <w:style w:type="paragraph" w:styleId="ListBullet2">
    <w:name w:val="List Bullet 2"/>
    <w:basedOn w:val="Normal"/>
    <w:uiPriority w:val="99"/>
    <w:semiHidden/>
    <w:unhideWhenUsed/>
    <w:rsid w:val="00DA6EFB"/>
    <w:pPr>
      <w:numPr>
        <w:numId w:val="72"/>
      </w:numPr>
      <w:spacing w:line="264" w:lineRule="auto"/>
      <w:contextualSpacing/>
    </w:pPr>
    <w:rPr>
      <w:rFonts w:eastAsia="Times" w:cs="Times New Roman"/>
      <w:szCs w:val="20"/>
    </w:rPr>
  </w:style>
  <w:style w:type="paragraph" w:styleId="ListBullet3">
    <w:name w:val="List Bullet 3"/>
    <w:basedOn w:val="Normal"/>
    <w:uiPriority w:val="99"/>
    <w:semiHidden/>
    <w:unhideWhenUsed/>
    <w:rsid w:val="00DA6EFB"/>
    <w:pPr>
      <w:numPr>
        <w:numId w:val="73"/>
      </w:numPr>
      <w:spacing w:line="264" w:lineRule="auto"/>
      <w:contextualSpacing/>
    </w:pPr>
    <w:rPr>
      <w:rFonts w:eastAsia="Times" w:cs="Times New Roman"/>
      <w:szCs w:val="20"/>
    </w:rPr>
  </w:style>
  <w:style w:type="paragraph" w:styleId="ListBullet4">
    <w:name w:val="List Bullet 4"/>
    <w:basedOn w:val="Normal"/>
    <w:uiPriority w:val="99"/>
    <w:semiHidden/>
    <w:unhideWhenUsed/>
    <w:rsid w:val="00DA6EFB"/>
    <w:pPr>
      <w:numPr>
        <w:numId w:val="74"/>
      </w:numPr>
      <w:spacing w:line="264" w:lineRule="auto"/>
      <w:contextualSpacing/>
    </w:pPr>
    <w:rPr>
      <w:rFonts w:eastAsia="Times" w:cs="Times New Roman"/>
      <w:szCs w:val="20"/>
    </w:rPr>
  </w:style>
  <w:style w:type="paragraph" w:styleId="ListBullet5">
    <w:name w:val="List Bullet 5"/>
    <w:basedOn w:val="Normal"/>
    <w:uiPriority w:val="99"/>
    <w:semiHidden/>
    <w:unhideWhenUsed/>
    <w:rsid w:val="00DA6EFB"/>
    <w:pPr>
      <w:numPr>
        <w:numId w:val="75"/>
      </w:numPr>
      <w:spacing w:line="264" w:lineRule="auto"/>
      <w:contextualSpacing/>
    </w:pPr>
    <w:rPr>
      <w:rFonts w:eastAsia="Times" w:cs="Times New Roman"/>
      <w:szCs w:val="20"/>
    </w:rPr>
  </w:style>
  <w:style w:type="paragraph" w:styleId="ListContinue">
    <w:name w:val="List Continue"/>
    <w:basedOn w:val="Normal"/>
    <w:uiPriority w:val="99"/>
    <w:semiHidden/>
    <w:unhideWhenUsed/>
    <w:rsid w:val="00DA6EFB"/>
    <w:pPr>
      <w:spacing w:after="120" w:line="264" w:lineRule="auto"/>
      <w:ind w:left="360"/>
      <w:contextualSpacing/>
    </w:pPr>
    <w:rPr>
      <w:rFonts w:eastAsia="Times" w:cs="Times New Roman"/>
      <w:szCs w:val="20"/>
    </w:rPr>
  </w:style>
  <w:style w:type="paragraph" w:styleId="ListContinue2">
    <w:name w:val="List Continue 2"/>
    <w:basedOn w:val="Normal"/>
    <w:uiPriority w:val="99"/>
    <w:semiHidden/>
    <w:unhideWhenUsed/>
    <w:rsid w:val="00DA6EFB"/>
    <w:pPr>
      <w:spacing w:after="120" w:line="264" w:lineRule="auto"/>
      <w:ind w:left="720"/>
      <w:contextualSpacing/>
    </w:pPr>
    <w:rPr>
      <w:rFonts w:eastAsia="Times" w:cs="Times New Roman"/>
      <w:szCs w:val="20"/>
    </w:rPr>
  </w:style>
  <w:style w:type="paragraph" w:styleId="ListContinue3">
    <w:name w:val="List Continue 3"/>
    <w:basedOn w:val="Normal"/>
    <w:uiPriority w:val="99"/>
    <w:semiHidden/>
    <w:unhideWhenUsed/>
    <w:rsid w:val="00DA6EFB"/>
    <w:pPr>
      <w:spacing w:after="120" w:line="264" w:lineRule="auto"/>
      <w:ind w:left="1080"/>
      <w:contextualSpacing/>
    </w:pPr>
    <w:rPr>
      <w:rFonts w:eastAsia="Times" w:cs="Times New Roman"/>
      <w:szCs w:val="20"/>
    </w:rPr>
  </w:style>
  <w:style w:type="paragraph" w:styleId="ListContinue4">
    <w:name w:val="List Continue 4"/>
    <w:basedOn w:val="Normal"/>
    <w:uiPriority w:val="99"/>
    <w:semiHidden/>
    <w:unhideWhenUsed/>
    <w:rsid w:val="00DA6EFB"/>
    <w:pPr>
      <w:spacing w:after="120" w:line="264" w:lineRule="auto"/>
      <w:ind w:left="1440"/>
      <w:contextualSpacing/>
    </w:pPr>
    <w:rPr>
      <w:rFonts w:eastAsia="Times" w:cs="Times New Roman"/>
      <w:szCs w:val="20"/>
    </w:rPr>
  </w:style>
  <w:style w:type="paragraph" w:styleId="ListContinue5">
    <w:name w:val="List Continue 5"/>
    <w:basedOn w:val="Normal"/>
    <w:uiPriority w:val="99"/>
    <w:semiHidden/>
    <w:unhideWhenUsed/>
    <w:rsid w:val="00DA6EFB"/>
    <w:pPr>
      <w:spacing w:after="120" w:line="264" w:lineRule="auto"/>
      <w:ind w:left="1800"/>
      <w:contextualSpacing/>
    </w:pPr>
    <w:rPr>
      <w:rFonts w:eastAsia="Times" w:cs="Times New Roman"/>
      <w:szCs w:val="20"/>
    </w:rPr>
  </w:style>
  <w:style w:type="paragraph" w:styleId="ListNumber2">
    <w:name w:val="List Number 2"/>
    <w:basedOn w:val="Normal"/>
    <w:uiPriority w:val="99"/>
    <w:semiHidden/>
    <w:unhideWhenUsed/>
    <w:rsid w:val="00DA6EFB"/>
    <w:pPr>
      <w:numPr>
        <w:numId w:val="76"/>
      </w:numPr>
      <w:spacing w:line="264" w:lineRule="auto"/>
      <w:contextualSpacing/>
    </w:pPr>
    <w:rPr>
      <w:rFonts w:eastAsia="Times" w:cs="Times New Roman"/>
      <w:szCs w:val="20"/>
    </w:rPr>
  </w:style>
  <w:style w:type="paragraph" w:styleId="ListNumber3">
    <w:name w:val="List Number 3"/>
    <w:basedOn w:val="Normal"/>
    <w:uiPriority w:val="99"/>
    <w:semiHidden/>
    <w:unhideWhenUsed/>
    <w:rsid w:val="00DA6EFB"/>
    <w:pPr>
      <w:numPr>
        <w:numId w:val="77"/>
      </w:numPr>
      <w:spacing w:line="264" w:lineRule="auto"/>
      <w:contextualSpacing/>
    </w:pPr>
    <w:rPr>
      <w:rFonts w:eastAsia="Times" w:cs="Times New Roman"/>
      <w:szCs w:val="20"/>
    </w:rPr>
  </w:style>
  <w:style w:type="paragraph" w:styleId="ListNumber4">
    <w:name w:val="List Number 4"/>
    <w:basedOn w:val="Normal"/>
    <w:uiPriority w:val="99"/>
    <w:semiHidden/>
    <w:unhideWhenUsed/>
    <w:rsid w:val="00DA6EFB"/>
    <w:pPr>
      <w:numPr>
        <w:numId w:val="78"/>
      </w:numPr>
      <w:spacing w:line="264" w:lineRule="auto"/>
      <w:contextualSpacing/>
    </w:pPr>
    <w:rPr>
      <w:rFonts w:eastAsia="Times" w:cs="Times New Roman"/>
      <w:szCs w:val="20"/>
    </w:rPr>
  </w:style>
  <w:style w:type="paragraph" w:styleId="ListNumber5">
    <w:name w:val="List Number 5"/>
    <w:basedOn w:val="Normal"/>
    <w:uiPriority w:val="99"/>
    <w:semiHidden/>
    <w:unhideWhenUsed/>
    <w:rsid w:val="00DA6EFB"/>
    <w:pPr>
      <w:numPr>
        <w:numId w:val="79"/>
      </w:numPr>
      <w:spacing w:line="264" w:lineRule="auto"/>
      <w:contextualSpacing/>
    </w:pPr>
    <w:rPr>
      <w:rFonts w:eastAsia="Times" w:cs="Times New Roman"/>
      <w:szCs w:val="20"/>
    </w:rPr>
  </w:style>
  <w:style w:type="paragraph" w:styleId="MacroText">
    <w:name w:val="macro"/>
    <w:link w:val="MacroTextChar"/>
    <w:uiPriority w:val="99"/>
    <w:semiHidden/>
    <w:unhideWhenUsed/>
    <w:rsid w:val="00DA6EFB"/>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w:hAnsi="Consolas" w:cs="Consolas"/>
      <w:sz w:val="20"/>
      <w:szCs w:val="20"/>
    </w:rPr>
  </w:style>
  <w:style w:type="character" w:customStyle="1" w:styleId="MacroTextChar">
    <w:name w:val="Macro Text Char"/>
    <w:basedOn w:val="DefaultParagraphFont"/>
    <w:link w:val="MacroText"/>
    <w:uiPriority w:val="99"/>
    <w:semiHidden/>
    <w:rsid w:val="00DA6EFB"/>
    <w:rPr>
      <w:rFonts w:ascii="Consolas" w:eastAsia="Times" w:hAnsi="Consolas" w:cs="Consolas"/>
      <w:sz w:val="20"/>
      <w:szCs w:val="20"/>
    </w:rPr>
  </w:style>
  <w:style w:type="paragraph" w:styleId="MessageHeader">
    <w:name w:val="Message Header"/>
    <w:basedOn w:val="Normal"/>
    <w:link w:val="MessageHeaderChar"/>
    <w:uiPriority w:val="99"/>
    <w:semiHidden/>
    <w:unhideWhenUsed/>
    <w:rsid w:val="00DA6EFB"/>
    <w:pPr>
      <w:pBdr>
        <w:top w:val="single" w:sz="6" w:space="1" w:color="auto"/>
        <w:left w:val="single" w:sz="6" w:space="1" w:color="auto"/>
        <w:bottom w:val="single" w:sz="6" w:space="1" w:color="auto"/>
        <w:right w:val="single" w:sz="6" w:space="1" w:color="auto"/>
      </w:pBdr>
      <w:shd w:val="pct20" w:color="auto" w:fill="auto"/>
      <w:spacing w:line="264" w:lineRule="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DA6EFB"/>
    <w:rPr>
      <w:rFonts w:asciiTheme="majorHAnsi" w:eastAsiaTheme="majorEastAsia" w:hAnsiTheme="majorHAnsi" w:cstheme="majorBidi"/>
      <w:szCs w:val="24"/>
      <w:shd w:val="pct20" w:color="auto" w:fill="auto"/>
    </w:rPr>
  </w:style>
  <w:style w:type="paragraph" w:styleId="NormalIndent">
    <w:name w:val="Normal Indent"/>
    <w:basedOn w:val="Normal"/>
    <w:uiPriority w:val="99"/>
    <w:semiHidden/>
    <w:unhideWhenUsed/>
    <w:rsid w:val="00DA6EFB"/>
    <w:pPr>
      <w:spacing w:line="264" w:lineRule="auto"/>
      <w:ind w:left="720"/>
    </w:pPr>
    <w:rPr>
      <w:rFonts w:eastAsia="Times" w:cs="Times New Roman"/>
      <w:szCs w:val="20"/>
    </w:rPr>
  </w:style>
  <w:style w:type="paragraph" w:styleId="NoteHeading">
    <w:name w:val="Note Heading"/>
    <w:basedOn w:val="Normal"/>
    <w:next w:val="Normal"/>
    <w:link w:val="NoteHeadingChar"/>
    <w:uiPriority w:val="99"/>
    <w:semiHidden/>
    <w:unhideWhenUsed/>
    <w:rsid w:val="00DA6EFB"/>
    <w:pPr>
      <w:spacing w:line="264" w:lineRule="auto"/>
    </w:pPr>
    <w:rPr>
      <w:rFonts w:eastAsia="Times" w:cs="Times New Roman"/>
      <w:szCs w:val="20"/>
    </w:rPr>
  </w:style>
  <w:style w:type="character" w:customStyle="1" w:styleId="NoteHeadingChar">
    <w:name w:val="Note Heading Char"/>
    <w:basedOn w:val="DefaultParagraphFont"/>
    <w:link w:val="NoteHeading"/>
    <w:uiPriority w:val="99"/>
    <w:semiHidden/>
    <w:rsid w:val="00DA6EFB"/>
    <w:rPr>
      <w:rFonts w:ascii="Book Antiqua" w:eastAsia="Times" w:hAnsi="Book Antiqua" w:cs="Times New Roman"/>
      <w:szCs w:val="20"/>
    </w:rPr>
  </w:style>
  <w:style w:type="paragraph" w:styleId="PlainText">
    <w:name w:val="Plain Text"/>
    <w:basedOn w:val="Normal"/>
    <w:link w:val="PlainTextChar"/>
    <w:uiPriority w:val="99"/>
    <w:semiHidden/>
    <w:unhideWhenUsed/>
    <w:rsid w:val="00DA6EFB"/>
    <w:pPr>
      <w:spacing w:line="264" w:lineRule="auto"/>
    </w:pPr>
    <w:rPr>
      <w:rFonts w:ascii="Consolas" w:eastAsia="Times" w:hAnsi="Consolas" w:cs="Consolas"/>
      <w:sz w:val="21"/>
      <w:szCs w:val="21"/>
    </w:rPr>
  </w:style>
  <w:style w:type="character" w:customStyle="1" w:styleId="PlainTextChar">
    <w:name w:val="Plain Text Char"/>
    <w:basedOn w:val="DefaultParagraphFont"/>
    <w:link w:val="PlainText"/>
    <w:uiPriority w:val="99"/>
    <w:semiHidden/>
    <w:rsid w:val="00DA6EFB"/>
    <w:rPr>
      <w:rFonts w:ascii="Consolas" w:eastAsia="Times" w:hAnsi="Consolas" w:cs="Consolas"/>
      <w:sz w:val="21"/>
      <w:szCs w:val="21"/>
    </w:rPr>
  </w:style>
  <w:style w:type="paragraph" w:styleId="Quote">
    <w:name w:val="Quote"/>
    <w:basedOn w:val="Normal"/>
    <w:next w:val="Normal"/>
    <w:link w:val="QuoteChar"/>
    <w:uiPriority w:val="29"/>
    <w:qFormat/>
    <w:rsid w:val="00DA6EFB"/>
    <w:pPr>
      <w:spacing w:line="264" w:lineRule="auto"/>
    </w:pPr>
    <w:rPr>
      <w:rFonts w:eastAsia="Times" w:cs="Times New Roman"/>
      <w:i/>
      <w:iCs/>
      <w:color w:val="000000" w:themeColor="text1"/>
      <w:szCs w:val="20"/>
    </w:rPr>
  </w:style>
  <w:style w:type="character" w:customStyle="1" w:styleId="QuoteChar">
    <w:name w:val="Quote Char"/>
    <w:basedOn w:val="DefaultParagraphFont"/>
    <w:link w:val="Quote"/>
    <w:uiPriority w:val="29"/>
    <w:rsid w:val="00DA6EFB"/>
    <w:rPr>
      <w:rFonts w:ascii="Book Antiqua" w:eastAsia="Times" w:hAnsi="Book Antiqua" w:cs="Times New Roman"/>
      <w:i/>
      <w:iCs/>
      <w:color w:val="000000" w:themeColor="text1"/>
      <w:szCs w:val="20"/>
    </w:rPr>
  </w:style>
  <w:style w:type="paragraph" w:styleId="Salutation">
    <w:name w:val="Salutation"/>
    <w:basedOn w:val="Normal"/>
    <w:next w:val="Normal"/>
    <w:link w:val="SalutationChar"/>
    <w:uiPriority w:val="99"/>
    <w:semiHidden/>
    <w:unhideWhenUsed/>
    <w:rsid w:val="00DA6EFB"/>
    <w:pPr>
      <w:spacing w:line="264" w:lineRule="auto"/>
    </w:pPr>
    <w:rPr>
      <w:rFonts w:eastAsia="Times" w:cs="Times New Roman"/>
      <w:szCs w:val="20"/>
    </w:rPr>
  </w:style>
  <w:style w:type="character" w:customStyle="1" w:styleId="SalutationChar">
    <w:name w:val="Salutation Char"/>
    <w:basedOn w:val="DefaultParagraphFont"/>
    <w:link w:val="Salutation"/>
    <w:uiPriority w:val="99"/>
    <w:semiHidden/>
    <w:rsid w:val="00DA6EFB"/>
    <w:rPr>
      <w:rFonts w:ascii="Book Antiqua" w:eastAsia="Times" w:hAnsi="Book Antiqua" w:cs="Times New Roman"/>
      <w:szCs w:val="20"/>
    </w:rPr>
  </w:style>
  <w:style w:type="paragraph" w:styleId="Signature">
    <w:name w:val="Signature"/>
    <w:basedOn w:val="Normal"/>
    <w:link w:val="SignatureChar"/>
    <w:uiPriority w:val="99"/>
    <w:semiHidden/>
    <w:unhideWhenUsed/>
    <w:rsid w:val="00DA6EFB"/>
    <w:pPr>
      <w:spacing w:line="264" w:lineRule="auto"/>
      <w:ind w:left="4320"/>
    </w:pPr>
    <w:rPr>
      <w:rFonts w:eastAsia="Times" w:cs="Times New Roman"/>
      <w:szCs w:val="20"/>
    </w:rPr>
  </w:style>
  <w:style w:type="character" w:customStyle="1" w:styleId="SignatureChar">
    <w:name w:val="Signature Char"/>
    <w:basedOn w:val="DefaultParagraphFont"/>
    <w:link w:val="Signature"/>
    <w:uiPriority w:val="99"/>
    <w:semiHidden/>
    <w:rsid w:val="00DA6EFB"/>
    <w:rPr>
      <w:rFonts w:ascii="Book Antiqua" w:eastAsia="Times" w:hAnsi="Book Antiqua" w:cs="Times New Roman"/>
      <w:szCs w:val="20"/>
    </w:rPr>
  </w:style>
  <w:style w:type="paragraph" w:styleId="Subtitle">
    <w:name w:val="Subtitle"/>
    <w:basedOn w:val="Normal"/>
    <w:next w:val="Normal"/>
    <w:link w:val="SubtitleChar"/>
    <w:uiPriority w:val="11"/>
    <w:qFormat/>
    <w:rsid w:val="00DA6EFB"/>
    <w:pPr>
      <w:numPr>
        <w:ilvl w:val="1"/>
      </w:numPr>
      <w:spacing w:line="264" w:lineRule="auto"/>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DA6EFB"/>
    <w:rPr>
      <w:rFonts w:asciiTheme="majorHAnsi" w:eastAsiaTheme="majorEastAsia" w:hAnsiTheme="majorHAnsi" w:cstheme="majorBidi"/>
      <w:i/>
      <w:iCs/>
      <w:color w:val="4F81BD" w:themeColor="accent1"/>
      <w:spacing w:val="15"/>
      <w:szCs w:val="24"/>
    </w:rPr>
  </w:style>
  <w:style w:type="paragraph" w:styleId="TableofAuthorities">
    <w:name w:val="table of authorities"/>
    <w:basedOn w:val="Normal"/>
    <w:next w:val="Normal"/>
    <w:uiPriority w:val="99"/>
    <w:semiHidden/>
    <w:unhideWhenUsed/>
    <w:rsid w:val="00DA6EFB"/>
    <w:pPr>
      <w:spacing w:line="264" w:lineRule="auto"/>
      <w:ind w:left="240" w:hanging="240"/>
    </w:pPr>
    <w:rPr>
      <w:rFonts w:eastAsia="Times" w:cs="Times New Roman"/>
      <w:szCs w:val="20"/>
    </w:rPr>
  </w:style>
  <w:style w:type="paragraph" w:styleId="TOAHeading">
    <w:name w:val="toa heading"/>
    <w:basedOn w:val="Normal"/>
    <w:next w:val="Normal"/>
    <w:uiPriority w:val="99"/>
    <w:semiHidden/>
    <w:unhideWhenUsed/>
    <w:rsid w:val="00DA6EFB"/>
    <w:pPr>
      <w:spacing w:before="120" w:line="264" w:lineRule="auto"/>
    </w:pPr>
    <w:rPr>
      <w:rFonts w:asciiTheme="majorHAnsi" w:eastAsiaTheme="majorEastAsia" w:hAnsiTheme="majorHAnsi" w:cstheme="majorBidi"/>
      <w:b/>
      <w:bCs/>
      <w:szCs w:val="24"/>
    </w:rPr>
  </w:style>
  <w:style w:type="paragraph" w:customStyle="1" w:styleId="AppendixHeading">
    <w:name w:val="AppendixHeading"/>
    <w:basedOn w:val="Heading1"/>
    <w:link w:val="AppendixHeadingChar"/>
    <w:qFormat/>
    <w:rsid w:val="00DA6EFB"/>
    <w:pPr>
      <w:keepLines w:val="0"/>
      <w:pageBreakBefore/>
      <w:numPr>
        <w:numId w:val="80"/>
      </w:numPr>
      <w:pBdr>
        <w:bottom w:val="none" w:sz="0" w:space="0" w:color="auto"/>
      </w:pBdr>
      <w:tabs>
        <w:tab w:val="clear" w:pos="2520"/>
        <w:tab w:val="left" w:pos="2160"/>
      </w:tabs>
      <w:spacing w:before="0" w:after="240" w:line="360" w:lineRule="exact"/>
    </w:pPr>
    <w:rPr>
      <w:rFonts w:eastAsia="Times New Roman" w:cs="Times New Roman"/>
      <w:caps w:val="0"/>
      <w:szCs w:val="20"/>
    </w:rPr>
  </w:style>
  <w:style w:type="character" w:customStyle="1" w:styleId="AppendixHeadingChar">
    <w:name w:val="AppendixHeading Char"/>
    <w:basedOn w:val="Heading1Char"/>
    <w:link w:val="AppendixHeading"/>
    <w:rsid w:val="00DA6EFB"/>
    <w:rPr>
      <w:rFonts w:eastAsia="Times New Roman" w:cs="Times New Roman"/>
      <w:szCs w:val="20"/>
    </w:rPr>
  </w:style>
  <w:style w:type="character" w:customStyle="1" w:styleId="cit-pub-dt">
    <w:name w:val="cit-pub-dt"/>
    <w:basedOn w:val="DefaultParagraphFont"/>
    <w:rsid w:val="00DA6EFB"/>
  </w:style>
  <w:style w:type="character" w:customStyle="1" w:styleId="cit-vol">
    <w:name w:val="cit-vol"/>
    <w:basedOn w:val="DefaultParagraphFont"/>
    <w:rsid w:val="00DA6EFB"/>
  </w:style>
  <w:style w:type="character" w:customStyle="1" w:styleId="cit-issue">
    <w:name w:val="cit-issue"/>
    <w:basedOn w:val="DefaultParagraphFont"/>
    <w:rsid w:val="00DA6EFB"/>
  </w:style>
  <w:style w:type="character" w:customStyle="1" w:styleId="cit-sep">
    <w:name w:val="cit-sep"/>
    <w:basedOn w:val="DefaultParagraphFont"/>
    <w:rsid w:val="00DA6EFB"/>
  </w:style>
  <w:style w:type="character" w:customStyle="1" w:styleId="cit-pages-fpage">
    <w:name w:val="cit-pages-fpage"/>
    <w:basedOn w:val="DefaultParagraphFont"/>
    <w:rsid w:val="00DA6EFB"/>
  </w:style>
  <w:style w:type="character" w:customStyle="1" w:styleId="cit-pages-lpage">
    <w:name w:val="cit-pages-lpage"/>
    <w:basedOn w:val="DefaultParagraphFont"/>
    <w:rsid w:val="00DA6EFB"/>
  </w:style>
  <w:style w:type="character" w:styleId="HTMLCite">
    <w:name w:val="HTML Cite"/>
    <w:basedOn w:val="DefaultParagraphFont"/>
    <w:uiPriority w:val="99"/>
    <w:semiHidden/>
    <w:unhideWhenUsed/>
    <w:rsid w:val="00DA6EFB"/>
    <w:rPr>
      <w:i/>
      <w:iCs/>
    </w:rPr>
  </w:style>
  <w:style w:type="character" w:customStyle="1" w:styleId="TextCharCharCharCharCharCharCharChar">
    <w:name w:val="Text Char Char Char Char Char Char Char Char"/>
    <w:basedOn w:val="DefaultParagraphFont"/>
    <w:rsid w:val="00DA6EFB"/>
    <w:rPr>
      <w:rFonts w:ascii="Book Antiqua" w:hAnsi="Book Antiqua" w:cs="Book Antiqua"/>
      <w:sz w:val="24"/>
      <w:szCs w:val="24"/>
      <w:lang w:val="en-US" w:eastAsia="en-US"/>
    </w:rPr>
  </w:style>
  <w:style w:type="paragraph" w:customStyle="1" w:styleId="Tables-Caption">
    <w:name w:val="Tables-Caption"/>
    <w:basedOn w:val="Normal"/>
    <w:next w:val="Normal"/>
    <w:rsid w:val="00DA6EFB"/>
    <w:pPr>
      <w:widowControl w:val="0"/>
      <w:spacing w:after="120" w:line="240" w:lineRule="auto"/>
      <w:jc w:val="center"/>
    </w:pPr>
    <w:rPr>
      <w:rFonts w:ascii="Arial" w:eastAsia="Times New Roman" w:hAnsi="Arial" w:cs="Arial"/>
      <w:b/>
      <w:bCs/>
      <w:i/>
      <w:iCs/>
      <w:sz w:val="20"/>
      <w:szCs w:val="20"/>
    </w:rPr>
  </w:style>
  <w:style w:type="character" w:styleId="PlaceholderText">
    <w:name w:val="Placeholder Text"/>
    <w:basedOn w:val="DefaultParagraphFont"/>
    <w:uiPriority w:val="99"/>
    <w:semiHidden/>
    <w:rsid w:val="00DA6EFB"/>
    <w:rPr>
      <w:color w:val="808080"/>
    </w:rPr>
  </w:style>
  <w:style w:type="paragraph" w:customStyle="1" w:styleId="FactSheetEquation">
    <w:name w:val="Fact Sheet Equation"/>
    <w:basedOn w:val="FactsheetBullets"/>
    <w:link w:val="FactSheetEquationChar"/>
    <w:qFormat/>
    <w:rsid w:val="00DA6EFB"/>
    <w:pPr>
      <w:numPr>
        <w:numId w:val="0"/>
      </w:numPr>
      <w:ind w:left="360"/>
    </w:pPr>
  </w:style>
  <w:style w:type="paragraph" w:customStyle="1" w:styleId="Equation">
    <w:name w:val="Equation"/>
    <w:basedOn w:val="Normal"/>
    <w:link w:val="EquationChar"/>
    <w:qFormat/>
    <w:rsid w:val="00DA6EFB"/>
    <w:pPr>
      <w:tabs>
        <w:tab w:val="left" w:pos="2880"/>
      </w:tabs>
      <w:spacing w:after="200"/>
      <w:ind w:left="3600" w:hanging="2160"/>
    </w:pPr>
    <w:rPr>
      <w:rFonts w:ascii="Georgia" w:eastAsia="Calibri" w:hAnsi="Georgia" w:cs="Georgia"/>
      <w:noProof/>
    </w:rPr>
  </w:style>
  <w:style w:type="character" w:customStyle="1" w:styleId="FactSheetEquationChar">
    <w:name w:val="Fact Sheet Equation Char"/>
    <w:basedOn w:val="FactsheetBulletsChar"/>
    <w:link w:val="FactSheetEquation"/>
    <w:rsid w:val="00DA6EFB"/>
    <w:rPr>
      <w:rFonts w:ascii="Arial" w:eastAsia="Times New Roman" w:hAnsi="Arial" w:cs="Arial"/>
      <w:noProof/>
      <w:sz w:val="20"/>
      <w:szCs w:val="20"/>
      <w:lang w:eastAsia="zh-TW"/>
    </w:rPr>
  </w:style>
  <w:style w:type="character" w:customStyle="1" w:styleId="EquationChar">
    <w:name w:val="Equation Char"/>
    <w:basedOn w:val="DefaultParagraphFont"/>
    <w:link w:val="Equation"/>
    <w:rsid w:val="00DA6EFB"/>
    <w:rPr>
      <w:rFonts w:ascii="Georgia" w:eastAsia="Calibri" w:hAnsi="Georgia" w:cs="Georgia"/>
      <w:noProof/>
    </w:rPr>
  </w:style>
  <w:style w:type="paragraph" w:customStyle="1" w:styleId="FSStepHeaders">
    <w:name w:val="FS Step Headers"/>
    <w:basedOn w:val="FactsheetBullets"/>
    <w:link w:val="FSStepHeadersChar"/>
    <w:qFormat/>
    <w:rsid w:val="00DA6EFB"/>
    <w:pPr>
      <w:keepNext/>
      <w:numPr>
        <w:numId w:val="0"/>
      </w:numPr>
      <w:spacing w:before="240" w:line="264" w:lineRule="auto"/>
    </w:pPr>
    <w:rPr>
      <w:b/>
    </w:rPr>
  </w:style>
  <w:style w:type="paragraph" w:customStyle="1" w:styleId="FSOptionHeader">
    <w:name w:val="FS Option Header"/>
    <w:basedOn w:val="CheckBoxTableText"/>
    <w:link w:val="FSOptionHeaderChar"/>
    <w:qFormat/>
    <w:rsid w:val="00DA6EFB"/>
    <w:pPr>
      <w:keepNext/>
      <w:spacing w:before="240" w:after="120"/>
    </w:pPr>
    <w:rPr>
      <w:b/>
      <w:i/>
    </w:rPr>
  </w:style>
  <w:style w:type="character" w:customStyle="1" w:styleId="FSStepHeadersChar">
    <w:name w:val="FS Step Headers Char"/>
    <w:basedOn w:val="FactsheetBulletsChar"/>
    <w:link w:val="FSStepHeaders"/>
    <w:rsid w:val="00DA6EFB"/>
    <w:rPr>
      <w:rFonts w:ascii="Arial" w:eastAsia="Times New Roman" w:hAnsi="Arial" w:cs="Arial"/>
      <w:b/>
      <w:noProof/>
      <w:sz w:val="20"/>
      <w:szCs w:val="20"/>
      <w:lang w:eastAsia="zh-TW"/>
    </w:rPr>
  </w:style>
  <w:style w:type="character" w:customStyle="1" w:styleId="FSOptionHeaderChar">
    <w:name w:val="FS Option Header Char"/>
    <w:basedOn w:val="CheckBoxTableTextChar"/>
    <w:link w:val="FSOptionHeader"/>
    <w:rsid w:val="00DA6EFB"/>
    <w:rPr>
      <w:rFonts w:ascii="Arial" w:eastAsia="Times New Roman" w:hAnsi="Arial" w:cs="Arial"/>
      <w:b/>
      <w:i/>
      <w:noProof/>
      <w:sz w:val="20"/>
      <w:szCs w:val="20"/>
      <w:lang w:eastAsia="zh-TW"/>
    </w:rPr>
  </w:style>
  <w:style w:type="paragraph" w:customStyle="1" w:styleId="WERFTableText">
    <w:name w:val="WERF_TableText"/>
    <w:basedOn w:val="Normal"/>
    <w:qFormat/>
    <w:rsid w:val="00DA6EFB"/>
    <w:pPr>
      <w:keepNext/>
      <w:spacing w:after="0" w:line="240" w:lineRule="auto"/>
      <w:ind w:left="90" w:right="98"/>
      <w:jc w:val="both"/>
    </w:pPr>
    <w:rPr>
      <w:rFonts w:ascii="Arial Narrow" w:eastAsia="Times New Roman" w:hAnsi="Arial Narrow" w:cs="Times New Roman"/>
      <w:sz w:val="20"/>
      <w:szCs w:val="20"/>
    </w:rPr>
  </w:style>
  <w:style w:type="paragraph" w:customStyle="1" w:styleId="FSSectionHeader">
    <w:name w:val="FSSectionHeader"/>
    <w:basedOn w:val="Heading2"/>
    <w:next w:val="CDMBTEXT"/>
    <w:link w:val="FSSectionHeaderChar"/>
    <w:qFormat/>
    <w:rsid w:val="00DA6EFB"/>
    <w:pPr>
      <w:numPr>
        <w:ilvl w:val="0"/>
        <w:numId w:val="0"/>
      </w:numPr>
      <w:tabs>
        <w:tab w:val="left" w:pos="720"/>
      </w:tabs>
      <w:spacing w:before="0" w:line="320" w:lineRule="exact"/>
      <w:ind w:left="810" w:hanging="432"/>
    </w:pPr>
    <w:rPr>
      <w:rFonts w:eastAsia="Times New Roman" w:cs="Times New Roman"/>
      <w:szCs w:val="20"/>
    </w:rPr>
  </w:style>
  <w:style w:type="paragraph" w:customStyle="1" w:styleId="FSHeader">
    <w:name w:val="FSHeader"/>
    <w:basedOn w:val="Heading3"/>
    <w:next w:val="CDMBTEXT"/>
    <w:link w:val="FSHeaderChar"/>
    <w:qFormat/>
    <w:rsid w:val="00DA6EFB"/>
    <w:pPr>
      <w:numPr>
        <w:ilvl w:val="0"/>
        <w:numId w:val="0"/>
      </w:numPr>
      <w:spacing w:before="200" w:line="264" w:lineRule="auto"/>
      <w:ind w:left="3132" w:hanging="504"/>
    </w:pPr>
    <w:rPr>
      <w:rFonts w:cstheme="majorBidi"/>
      <w:szCs w:val="20"/>
    </w:rPr>
  </w:style>
  <w:style w:type="character" w:customStyle="1" w:styleId="FSSectionHeaderChar">
    <w:name w:val="FSSectionHeader Char"/>
    <w:basedOn w:val="Heading2Char"/>
    <w:link w:val="FSSectionHeader"/>
    <w:rsid w:val="00DA6EFB"/>
    <w:rPr>
      <w:rFonts w:ascii="Book Antiqua" w:eastAsia="Times New Roman" w:hAnsi="Book Antiqua" w:cs="Times New Roman"/>
      <w:b/>
      <w:sz w:val="28"/>
      <w:szCs w:val="20"/>
    </w:rPr>
  </w:style>
  <w:style w:type="character" w:customStyle="1" w:styleId="FSHeaderChar">
    <w:name w:val="FSHeader Char"/>
    <w:basedOn w:val="Heading3Char"/>
    <w:link w:val="FSHeader"/>
    <w:rsid w:val="00DA6EFB"/>
    <w:rPr>
      <w:rFonts w:ascii="Book Antiqua" w:eastAsiaTheme="majorEastAsia" w:hAnsi="Book Antiqua" w:cstheme="majorBidi"/>
      <w:b/>
      <w:bCs/>
      <w:sz w:val="24"/>
      <w:szCs w:val="20"/>
    </w:rPr>
  </w:style>
  <w:style w:type="character" w:customStyle="1" w:styleId="TableWordsChar">
    <w:name w:val="Table Words Char"/>
    <w:basedOn w:val="DefaultParagraphFont"/>
    <w:link w:val="TableWords"/>
    <w:locked/>
    <w:rsid w:val="00CB247B"/>
    <w:rPr>
      <w:rFonts w:ascii="Georgia" w:hAnsi="Georgia"/>
    </w:rPr>
  </w:style>
  <w:style w:type="paragraph" w:customStyle="1" w:styleId="TableWords">
    <w:name w:val="Table Words"/>
    <w:basedOn w:val="Normal"/>
    <w:link w:val="TableWordsChar"/>
    <w:rsid w:val="00CB247B"/>
    <w:pPr>
      <w:spacing w:after="200"/>
      <w:ind w:left="720"/>
      <w:jc w:val="both"/>
    </w:pPr>
    <w:rPr>
      <w:rFonts w:ascii="Georgia" w:hAnsi="Georgi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0" w:qFormat="1"/>
    <w:lsdException w:name="page number" w:uiPriority="0"/>
    <w:lsdException w:name="List Bullet" w:qFormat="1"/>
    <w:lsdException w:name="List Number"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4658"/>
    <w:pPr>
      <w:spacing w:after="240"/>
    </w:pPr>
    <w:rPr>
      <w:rFonts w:ascii="Book Antiqua" w:hAnsi="Book Antiqua"/>
    </w:rPr>
  </w:style>
  <w:style w:type="paragraph" w:styleId="Heading1">
    <w:name w:val="heading 1"/>
    <w:basedOn w:val="Normal"/>
    <w:next w:val="Normal"/>
    <w:link w:val="Heading1Char"/>
    <w:uiPriority w:val="9"/>
    <w:qFormat/>
    <w:rsid w:val="000A1840"/>
    <w:pPr>
      <w:keepNext/>
      <w:keepLines/>
      <w:numPr>
        <w:numId w:val="72"/>
      </w:numPr>
      <w:pBdr>
        <w:bottom w:val="double" w:sz="12" w:space="1" w:color="auto"/>
      </w:pBdr>
      <w:tabs>
        <w:tab w:val="left" w:pos="2520"/>
      </w:tabs>
      <w:spacing w:before="1000" w:after="1000"/>
      <w:outlineLvl w:val="0"/>
    </w:pPr>
    <w:rPr>
      <w:b/>
      <w:caps/>
      <w:sz w:val="32"/>
    </w:rPr>
  </w:style>
  <w:style w:type="paragraph" w:styleId="Heading2">
    <w:name w:val="heading 2"/>
    <w:basedOn w:val="Normal"/>
    <w:next w:val="Normal"/>
    <w:link w:val="Heading2Char"/>
    <w:uiPriority w:val="9"/>
    <w:unhideWhenUsed/>
    <w:qFormat/>
    <w:rsid w:val="002E1D95"/>
    <w:pPr>
      <w:keepNext/>
      <w:numPr>
        <w:ilvl w:val="1"/>
        <w:numId w:val="37"/>
      </w:numPr>
      <w:spacing w:before="480"/>
      <w:ind w:left="720" w:hanging="720"/>
      <w:outlineLvl w:val="1"/>
    </w:pPr>
    <w:rPr>
      <w:b/>
      <w:sz w:val="28"/>
      <w:szCs w:val="26"/>
    </w:rPr>
  </w:style>
  <w:style w:type="paragraph" w:styleId="Heading3">
    <w:name w:val="heading 3"/>
    <w:basedOn w:val="Normal"/>
    <w:next w:val="Normal"/>
    <w:link w:val="Heading3Char"/>
    <w:uiPriority w:val="9"/>
    <w:unhideWhenUsed/>
    <w:qFormat/>
    <w:rsid w:val="00D4020F"/>
    <w:pPr>
      <w:keepNext/>
      <w:keepLines/>
      <w:numPr>
        <w:ilvl w:val="2"/>
        <w:numId w:val="37"/>
      </w:numPr>
      <w:spacing w:before="360" w:after="120"/>
      <w:ind w:left="907" w:hanging="907"/>
      <w:outlineLvl w:val="2"/>
    </w:pPr>
    <w:rPr>
      <w:rFonts w:eastAsiaTheme="majorEastAsia" w:cs="Times New Roman"/>
      <w:b/>
      <w:bCs/>
      <w:sz w:val="24"/>
    </w:rPr>
  </w:style>
  <w:style w:type="paragraph" w:styleId="Heading4">
    <w:name w:val="heading 4"/>
    <w:basedOn w:val="Normal"/>
    <w:next w:val="Normal"/>
    <w:link w:val="Heading4Char"/>
    <w:uiPriority w:val="9"/>
    <w:unhideWhenUsed/>
    <w:qFormat/>
    <w:rsid w:val="00E5705C"/>
    <w:pPr>
      <w:keepNext/>
      <w:keepLines/>
      <w:numPr>
        <w:ilvl w:val="3"/>
        <w:numId w:val="37"/>
      </w:numPr>
      <w:spacing w:before="200"/>
      <w:ind w:left="648"/>
      <w:outlineLvl w:val="3"/>
    </w:pPr>
    <w:rPr>
      <w:rFonts w:eastAsiaTheme="majorEastAsia" w:cstheme="majorBidi"/>
      <w:b/>
      <w:bCs/>
      <w:i/>
      <w:iCs/>
      <w:sz w:val="24"/>
    </w:rPr>
  </w:style>
  <w:style w:type="paragraph" w:styleId="Heading5">
    <w:name w:val="heading 5"/>
    <w:basedOn w:val="Normal"/>
    <w:next w:val="Normal"/>
    <w:link w:val="Heading5Char"/>
    <w:uiPriority w:val="9"/>
    <w:unhideWhenUsed/>
    <w:qFormat/>
    <w:rsid w:val="000446A6"/>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autoRedefine/>
    <w:uiPriority w:val="9"/>
    <w:qFormat/>
    <w:rsid w:val="004266A7"/>
    <w:pPr>
      <w:tabs>
        <w:tab w:val="num" w:pos="1152"/>
      </w:tabs>
      <w:spacing w:after="120" w:line="264" w:lineRule="auto"/>
      <w:ind w:left="1152" w:hanging="1152"/>
      <w:jc w:val="both"/>
      <w:outlineLvl w:val="5"/>
    </w:pPr>
    <w:rPr>
      <w:rFonts w:eastAsia="Times New Roman" w:cs="Times New Roman"/>
      <w:b/>
      <w:bCs/>
    </w:rPr>
  </w:style>
  <w:style w:type="paragraph" w:styleId="Heading7">
    <w:name w:val="heading 7"/>
    <w:basedOn w:val="Normal"/>
    <w:next w:val="Normal"/>
    <w:link w:val="Heading7Char"/>
    <w:autoRedefine/>
    <w:uiPriority w:val="9"/>
    <w:qFormat/>
    <w:rsid w:val="004266A7"/>
    <w:pPr>
      <w:tabs>
        <w:tab w:val="left" w:pos="950"/>
        <w:tab w:val="num" w:pos="1296"/>
      </w:tabs>
      <w:spacing w:before="240" w:after="60" w:line="264" w:lineRule="auto"/>
      <w:ind w:left="1296" w:hanging="1296"/>
      <w:jc w:val="both"/>
      <w:outlineLvl w:val="6"/>
    </w:pPr>
    <w:rPr>
      <w:rFonts w:eastAsia="Times New Roman" w:cs="Times New Roman"/>
      <w:szCs w:val="24"/>
    </w:rPr>
  </w:style>
  <w:style w:type="paragraph" w:styleId="Heading8">
    <w:name w:val="heading 8"/>
    <w:basedOn w:val="Normal"/>
    <w:next w:val="Normal"/>
    <w:link w:val="Heading8Char"/>
    <w:autoRedefine/>
    <w:uiPriority w:val="9"/>
    <w:qFormat/>
    <w:rsid w:val="004266A7"/>
    <w:pPr>
      <w:tabs>
        <w:tab w:val="left" w:pos="950"/>
        <w:tab w:val="num" w:pos="1440"/>
      </w:tabs>
      <w:spacing w:before="240" w:after="60" w:line="264" w:lineRule="auto"/>
      <w:ind w:left="1440" w:hanging="1440"/>
      <w:jc w:val="both"/>
      <w:outlineLvl w:val="7"/>
    </w:pPr>
    <w:rPr>
      <w:rFonts w:eastAsia="Times New Roman" w:cs="Times New Roman"/>
      <w:i/>
      <w:iCs/>
      <w:szCs w:val="24"/>
    </w:rPr>
  </w:style>
  <w:style w:type="paragraph" w:styleId="Heading9">
    <w:name w:val="heading 9"/>
    <w:basedOn w:val="Normal"/>
    <w:next w:val="Normal"/>
    <w:link w:val="Heading9Char"/>
    <w:autoRedefine/>
    <w:uiPriority w:val="9"/>
    <w:qFormat/>
    <w:rsid w:val="004266A7"/>
    <w:pPr>
      <w:tabs>
        <w:tab w:val="left" w:pos="950"/>
        <w:tab w:val="num" w:pos="1584"/>
      </w:tabs>
      <w:spacing w:before="240" w:after="60" w:line="264" w:lineRule="auto"/>
      <w:ind w:left="1584" w:hanging="1584"/>
      <w:jc w:val="both"/>
      <w:outlineLvl w:val="8"/>
    </w:pPr>
    <w:rPr>
      <w:rFonts w:ascii="Arial" w:eastAsia="Times New Roman"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A1840"/>
    <w:rPr>
      <w:rFonts w:ascii="Book Antiqua" w:hAnsi="Book Antiqua"/>
      <w:b/>
      <w:caps/>
      <w:sz w:val="32"/>
    </w:rPr>
  </w:style>
  <w:style w:type="character" w:customStyle="1" w:styleId="Heading2Char">
    <w:name w:val="Heading 2 Char"/>
    <w:basedOn w:val="DefaultParagraphFont"/>
    <w:link w:val="Heading2"/>
    <w:uiPriority w:val="9"/>
    <w:rsid w:val="002E1D95"/>
    <w:rPr>
      <w:rFonts w:ascii="Book Antiqua" w:hAnsi="Book Antiqua"/>
      <w:b/>
      <w:sz w:val="28"/>
      <w:szCs w:val="26"/>
    </w:rPr>
  </w:style>
  <w:style w:type="character" w:customStyle="1" w:styleId="Heading3Char">
    <w:name w:val="Heading 3 Char"/>
    <w:basedOn w:val="DefaultParagraphFont"/>
    <w:link w:val="Heading3"/>
    <w:uiPriority w:val="9"/>
    <w:rsid w:val="00D4020F"/>
    <w:rPr>
      <w:rFonts w:ascii="Book Antiqua" w:eastAsiaTheme="majorEastAsia" w:hAnsi="Book Antiqua" w:cs="Times New Roman"/>
      <w:b/>
      <w:bCs/>
      <w:sz w:val="24"/>
    </w:rPr>
  </w:style>
  <w:style w:type="paragraph" w:styleId="Header">
    <w:name w:val="header"/>
    <w:basedOn w:val="Normal"/>
    <w:link w:val="HeaderChar"/>
    <w:uiPriority w:val="99"/>
    <w:unhideWhenUsed/>
    <w:rsid w:val="0013104B"/>
    <w:pPr>
      <w:tabs>
        <w:tab w:val="center" w:pos="4680"/>
        <w:tab w:val="right" w:pos="9360"/>
      </w:tabs>
      <w:spacing w:line="240" w:lineRule="auto"/>
    </w:pPr>
  </w:style>
  <w:style w:type="character" w:customStyle="1" w:styleId="HeaderChar">
    <w:name w:val="Header Char"/>
    <w:basedOn w:val="DefaultParagraphFont"/>
    <w:link w:val="Header"/>
    <w:uiPriority w:val="99"/>
    <w:rsid w:val="0013104B"/>
    <w:rPr>
      <w:rFonts w:ascii="Times New Roman" w:hAnsi="Times New Roman"/>
      <w:sz w:val="24"/>
    </w:rPr>
  </w:style>
  <w:style w:type="paragraph" w:styleId="Footer">
    <w:name w:val="footer"/>
    <w:basedOn w:val="Normal"/>
    <w:link w:val="FooterChar"/>
    <w:unhideWhenUsed/>
    <w:rsid w:val="0013104B"/>
    <w:pPr>
      <w:tabs>
        <w:tab w:val="center" w:pos="4680"/>
        <w:tab w:val="right" w:pos="9360"/>
      </w:tabs>
      <w:spacing w:line="240" w:lineRule="auto"/>
    </w:pPr>
  </w:style>
  <w:style w:type="character" w:customStyle="1" w:styleId="FooterChar">
    <w:name w:val="Footer Char"/>
    <w:basedOn w:val="DefaultParagraphFont"/>
    <w:link w:val="Footer"/>
    <w:rsid w:val="0013104B"/>
    <w:rPr>
      <w:rFonts w:ascii="Times New Roman" w:hAnsi="Times New Roman"/>
      <w:sz w:val="24"/>
    </w:rPr>
  </w:style>
  <w:style w:type="paragraph" w:styleId="Title">
    <w:name w:val="Title"/>
    <w:basedOn w:val="Normal"/>
    <w:next w:val="Normal"/>
    <w:link w:val="TitleChar"/>
    <w:uiPriority w:val="10"/>
    <w:qFormat/>
    <w:rsid w:val="0013104B"/>
    <w:pPr>
      <w:pBdr>
        <w:bottom w:val="single" w:sz="8" w:space="4" w:color="auto"/>
      </w:pBdr>
      <w:spacing w:after="300" w:line="240" w:lineRule="auto"/>
      <w:contextualSpacing/>
    </w:pPr>
    <w:rPr>
      <w:rFonts w:eastAsiaTheme="majorEastAsia" w:cs="Times New Roman"/>
      <w:spacing w:val="5"/>
      <w:kern w:val="28"/>
      <w:sz w:val="52"/>
      <w:szCs w:val="52"/>
    </w:rPr>
  </w:style>
  <w:style w:type="character" w:customStyle="1" w:styleId="TitleChar">
    <w:name w:val="Title Char"/>
    <w:basedOn w:val="DefaultParagraphFont"/>
    <w:link w:val="Title"/>
    <w:uiPriority w:val="10"/>
    <w:rsid w:val="0013104B"/>
    <w:rPr>
      <w:rFonts w:ascii="Times New Roman" w:eastAsiaTheme="majorEastAsia" w:hAnsi="Times New Roman" w:cs="Times New Roman"/>
      <w:spacing w:val="5"/>
      <w:kern w:val="28"/>
      <w:sz w:val="52"/>
      <w:szCs w:val="52"/>
    </w:rPr>
  </w:style>
  <w:style w:type="paragraph" w:customStyle="1" w:styleId="CDMBTEXT">
    <w:name w:val="CDM B/TEXT"/>
    <w:basedOn w:val="Normal"/>
    <w:link w:val="CDMBTEXTChar"/>
    <w:qFormat/>
    <w:rsid w:val="00A55340"/>
    <w:pPr>
      <w:spacing w:line="264" w:lineRule="auto"/>
    </w:pPr>
    <w:rPr>
      <w:rFonts w:eastAsia="Times New Roman" w:cs="Times New Roman"/>
      <w:szCs w:val="20"/>
    </w:rPr>
  </w:style>
  <w:style w:type="character" w:customStyle="1" w:styleId="CDMBTEXTChar">
    <w:name w:val="CDM B/TEXT Char"/>
    <w:basedOn w:val="DefaultParagraphFont"/>
    <w:link w:val="CDMBTEXT"/>
    <w:rsid w:val="00A55340"/>
    <w:rPr>
      <w:rFonts w:ascii="Book Antiqua" w:eastAsia="Times New Roman" w:hAnsi="Book Antiqua" w:cs="Times New Roman"/>
      <w:szCs w:val="20"/>
    </w:rPr>
  </w:style>
  <w:style w:type="character" w:styleId="CommentReference">
    <w:name w:val="annotation reference"/>
    <w:basedOn w:val="DefaultParagraphFont"/>
    <w:uiPriority w:val="99"/>
    <w:rsid w:val="00A55340"/>
    <w:rPr>
      <w:sz w:val="16"/>
      <w:szCs w:val="16"/>
    </w:rPr>
  </w:style>
  <w:style w:type="paragraph" w:styleId="CommentText">
    <w:name w:val="annotation text"/>
    <w:basedOn w:val="Normal"/>
    <w:link w:val="CommentTextChar"/>
    <w:uiPriority w:val="99"/>
    <w:semiHidden/>
    <w:rsid w:val="00A55340"/>
    <w:pPr>
      <w:spacing w:line="240" w:lineRule="auto"/>
    </w:pPr>
    <w:rPr>
      <w:rFonts w:ascii="Times" w:eastAsia="Times" w:hAnsi="Times" w:cs="Times New Roman"/>
      <w:sz w:val="20"/>
      <w:szCs w:val="20"/>
    </w:rPr>
  </w:style>
  <w:style w:type="character" w:customStyle="1" w:styleId="CommentTextChar">
    <w:name w:val="Comment Text Char"/>
    <w:basedOn w:val="DefaultParagraphFont"/>
    <w:link w:val="CommentText"/>
    <w:uiPriority w:val="99"/>
    <w:semiHidden/>
    <w:rsid w:val="00A55340"/>
    <w:rPr>
      <w:rFonts w:ascii="Times" w:eastAsia="Times" w:hAnsi="Times" w:cs="Times New Roman"/>
      <w:sz w:val="20"/>
      <w:szCs w:val="20"/>
    </w:rPr>
  </w:style>
  <w:style w:type="character" w:styleId="Hyperlink">
    <w:name w:val="Hyperlink"/>
    <w:basedOn w:val="DefaultParagraphFont"/>
    <w:uiPriority w:val="99"/>
    <w:unhideWhenUsed/>
    <w:rsid w:val="00A55340"/>
    <w:rPr>
      <w:color w:val="0000FF" w:themeColor="hyperlink"/>
      <w:u w:val="single"/>
    </w:rPr>
  </w:style>
  <w:style w:type="paragraph" w:styleId="BalloonText">
    <w:name w:val="Balloon Text"/>
    <w:basedOn w:val="Normal"/>
    <w:link w:val="BalloonTextChar"/>
    <w:uiPriority w:val="99"/>
    <w:semiHidden/>
    <w:unhideWhenUsed/>
    <w:rsid w:val="00A5534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55340"/>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A55340"/>
    <w:rPr>
      <w:rFonts w:ascii="Times New Roman" w:eastAsiaTheme="minorHAnsi" w:hAnsi="Times New Roman" w:cstheme="minorBidi"/>
      <w:b/>
      <w:bCs/>
    </w:rPr>
  </w:style>
  <w:style w:type="character" w:customStyle="1" w:styleId="CommentSubjectChar">
    <w:name w:val="Comment Subject Char"/>
    <w:basedOn w:val="CommentTextChar"/>
    <w:link w:val="CommentSubject"/>
    <w:uiPriority w:val="99"/>
    <w:semiHidden/>
    <w:rsid w:val="00A55340"/>
    <w:rPr>
      <w:rFonts w:ascii="Times New Roman" w:eastAsia="Times" w:hAnsi="Times New Roman" w:cs="Times New Roman"/>
      <w:b/>
      <w:bCs/>
      <w:sz w:val="20"/>
      <w:szCs w:val="20"/>
    </w:rPr>
  </w:style>
  <w:style w:type="paragraph" w:styleId="FootnoteText">
    <w:name w:val="footnote text"/>
    <w:basedOn w:val="Normal"/>
    <w:link w:val="FootnoteTextChar"/>
    <w:uiPriority w:val="99"/>
    <w:unhideWhenUsed/>
    <w:rsid w:val="00972110"/>
    <w:pPr>
      <w:spacing w:line="240" w:lineRule="auto"/>
    </w:pPr>
    <w:rPr>
      <w:rFonts w:ascii="Times" w:eastAsia="Times" w:hAnsi="Times" w:cs="Times New Roman"/>
      <w:sz w:val="20"/>
      <w:szCs w:val="20"/>
    </w:rPr>
  </w:style>
  <w:style w:type="character" w:customStyle="1" w:styleId="FootnoteTextChar">
    <w:name w:val="Footnote Text Char"/>
    <w:basedOn w:val="DefaultParagraphFont"/>
    <w:link w:val="FootnoteText"/>
    <w:uiPriority w:val="99"/>
    <w:rsid w:val="00972110"/>
    <w:rPr>
      <w:rFonts w:ascii="Times" w:eastAsia="Times" w:hAnsi="Times" w:cs="Times New Roman"/>
      <w:sz w:val="20"/>
      <w:szCs w:val="20"/>
    </w:rPr>
  </w:style>
  <w:style w:type="character" w:styleId="FootnoteReference">
    <w:name w:val="footnote reference"/>
    <w:basedOn w:val="DefaultParagraphFont"/>
    <w:uiPriority w:val="99"/>
    <w:unhideWhenUsed/>
    <w:rsid w:val="00972110"/>
    <w:rPr>
      <w:vertAlign w:val="superscript"/>
    </w:rPr>
  </w:style>
  <w:style w:type="paragraph" w:styleId="Revision">
    <w:name w:val="Revision"/>
    <w:hidden/>
    <w:uiPriority w:val="99"/>
    <w:semiHidden/>
    <w:rsid w:val="00972110"/>
    <w:pPr>
      <w:spacing w:after="0" w:line="240" w:lineRule="auto"/>
    </w:pPr>
    <w:rPr>
      <w:rFonts w:ascii="Times New Roman" w:hAnsi="Times New Roman"/>
      <w:sz w:val="24"/>
    </w:rPr>
  </w:style>
  <w:style w:type="character" w:customStyle="1" w:styleId="Heading5Char">
    <w:name w:val="Heading 5 Char"/>
    <w:basedOn w:val="DefaultParagraphFont"/>
    <w:link w:val="Heading5"/>
    <w:uiPriority w:val="9"/>
    <w:rsid w:val="000446A6"/>
    <w:rPr>
      <w:rFonts w:asciiTheme="majorHAnsi" w:eastAsiaTheme="majorEastAsia" w:hAnsiTheme="majorHAnsi" w:cstheme="majorBidi"/>
      <w:color w:val="243F60" w:themeColor="accent1" w:themeShade="7F"/>
      <w:sz w:val="24"/>
    </w:rPr>
  </w:style>
  <w:style w:type="paragraph" w:customStyle="1" w:styleId="ExampleSubheading">
    <w:name w:val="ExampleSubheading"/>
    <w:basedOn w:val="Normal"/>
    <w:link w:val="ExampleSubheadingChar"/>
    <w:qFormat/>
    <w:rsid w:val="003C69AA"/>
    <w:pPr>
      <w:keepNext/>
      <w:pBdr>
        <w:top w:val="single" w:sz="4" w:space="1" w:color="auto"/>
        <w:left w:val="single" w:sz="4" w:space="6" w:color="auto"/>
        <w:bottom w:val="single" w:sz="4" w:space="1" w:color="auto"/>
        <w:right w:val="single" w:sz="4" w:space="4" w:color="auto"/>
      </w:pBdr>
      <w:shd w:val="clear" w:color="auto" w:fill="D9D9D9" w:themeFill="background1" w:themeFillShade="D9"/>
      <w:spacing w:before="120" w:after="120" w:line="280" w:lineRule="exact"/>
      <w:ind w:left="360"/>
    </w:pPr>
    <w:rPr>
      <w:rFonts w:ascii="Arial" w:eastAsia="Times New Roman" w:hAnsi="Arial" w:cs="Arial"/>
      <w:b/>
      <w:i/>
      <w:sz w:val="20"/>
      <w:szCs w:val="20"/>
    </w:rPr>
  </w:style>
  <w:style w:type="character" w:customStyle="1" w:styleId="ExampleSubheadingChar">
    <w:name w:val="ExampleSubheading Char"/>
    <w:basedOn w:val="DefaultParagraphFont"/>
    <w:link w:val="ExampleSubheading"/>
    <w:rsid w:val="003C69AA"/>
    <w:rPr>
      <w:rFonts w:ascii="Arial" w:eastAsia="Times New Roman" w:hAnsi="Arial" w:cs="Arial"/>
      <w:b/>
      <w:i/>
      <w:sz w:val="20"/>
      <w:szCs w:val="20"/>
      <w:shd w:val="clear" w:color="auto" w:fill="D9D9D9" w:themeFill="background1" w:themeFillShade="D9"/>
    </w:rPr>
  </w:style>
  <w:style w:type="paragraph" w:customStyle="1" w:styleId="ExampleHeading">
    <w:name w:val="ExampleHeading"/>
    <w:basedOn w:val="ExampleSubheading"/>
    <w:qFormat/>
    <w:rsid w:val="003C69AA"/>
    <w:pPr>
      <w:shd w:val="clear" w:color="auto" w:fill="000000" w:themeFill="text1"/>
    </w:pPr>
    <w:rPr>
      <w:i w:val="0"/>
    </w:rPr>
  </w:style>
  <w:style w:type="paragraph" w:customStyle="1" w:styleId="ExampleBullets">
    <w:name w:val="ExampleBullets"/>
    <w:basedOn w:val="Normal"/>
    <w:link w:val="ExampleBulletsChar"/>
    <w:qFormat/>
    <w:rsid w:val="003C69AA"/>
    <w:pPr>
      <w:numPr>
        <w:numId w:val="1"/>
      </w:numPr>
      <w:pBdr>
        <w:top w:val="single" w:sz="4" w:space="1" w:color="auto"/>
        <w:left w:val="single" w:sz="4" w:space="6" w:color="auto"/>
        <w:bottom w:val="single" w:sz="4" w:space="1" w:color="auto"/>
        <w:right w:val="single" w:sz="4" w:space="4" w:color="auto"/>
      </w:pBdr>
      <w:spacing w:after="120" w:line="280" w:lineRule="exact"/>
    </w:pPr>
    <w:rPr>
      <w:rFonts w:ascii="Arial" w:eastAsia="Times New Roman" w:hAnsi="Arial" w:cs="Arial"/>
      <w:sz w:val="20"/>
      <w:szCs w:val="20"/>
    </w:rPr>
  </w:style>
  <w:style w:type="character" w:customStyle="1" w:styleId="ExampleBulletsChar">
    <w:name w:val="ExampleBullets Char"/>
    <w:basedOn w:val="DefaultParagraphFont"/>
    <w:link w:val="ExampleBullets"/>
    <w:rsid w:val="003C69AA"/>
    <w:rPr>
      <w:rFonts w:ascii="Arial" w:eastAsia="Times New Roman" w:hAnsi="Arial" w:cs="Arial"/>
      <w:sz w:val="20"/>
      <w:szCs w:val="20"/>
    </w:rPr>
  </w:style>
  <w:style w:type="paragraph" w:customStyle="1" w:styleId="ExampleNumbers">
    <w:name w:val="ExampleNumbers"/>
    <w:basedOn w:val="ExampleBullets"/>
    <w:qFormat/>
    <w:rsid w:val="000D23C5"/>
    <w:pPr>
      <w:numPr>
        <w:numId w:val="76"/>
      </w:numPr>
      <w:ind w:left="720"/>
    </w:pPr>
  </w:style>
  <w:style w:type="paragraph" w:customStyle="1" w:styleId="ReportBodyText">
    <w:name w:val="Report Body Text"/>
    <w:basedOn w:val="Normal"/>
    <w:link w:val="ReportBodyTextChar"/>
    <w:rsid w:val="002D19E2"/>
    <w:pPr>
      <w:spacing w:after="160" w:line="240" w:lineRule="auto"/>
    </w:pPr>
    <w:rPr>
      <w:rFonts w:eastAsia="Times New Roman" w:cs="Times New Roman"/>
    </w:rPr>
  </w:style>
  <w:style w:type="character" w:customStyle="1" w:styleId="ReportBodyTextChar">
    <w:name w:val="Report Body Text Char"/>
    <w:basedOn w:val="DefaultParagraphFont"/>
    <w:link w:val="ReportBodyText"/>
    <w:rsid w:val="002D19E2"/>
    <w:rPr>
      <w:rFonts w:ascii="Book Antiqua" w:eastAsia="Times New Roman" w:hAnsi="Book Antiqua" w:cs="Times New Roman"/>
    </w:rPr>
  </w:style>
  <w:style w:type="paragraph" w:customStyle="1" w:styleId="TableHeading">
    <w:name w:val="TableHeading"/>
    <w:basedOn w:val="Normal"/>
    <w:link w:val="TableHeadingChar"/>
    <w:qFormat/>
    <w:rsid w:val="002D19E2"/>
    <w:pPr>
      <w:keepNext/>
      <w:spacing w:before="120" w:after="120" w:line="240" w:lineRule="auto"/>
      <w:jc w:val="center"/>
    </w:pPr>
    <w:rPr>
      <w:rFonts w:ascii="Arial" w:eastAsia="Times" w:hAnsi="Arial" w:cs="Arial"/>
      <w:b/>
      <w:sz w:val="20"/>
      <w:szCs w:val="20"/>
    </w:rPr>
  </w:style>
  <w:style w:type="character" w:customStyle="1" w:styleId="TableHeadingChar">
    <w:name w:val="TableHeading Char"/>
    <w:basedOn w:val="DefaultParagraphFont"/>
    <w:link w:val="TableHeading"/>
    <w:rsid w:val="002D19E2"/>
    <w:rPr>
      <w:rFonts w:ascii="Arial" w:eastAsia="Times" w:hAnsi="Arial" w:cs="Arial"/>
      <w:b/>
      <w:sz w:val="20"/>
      <w:szCs w:val="20"/>
    </w:rPr>
  </w:style>
  <w:style w:type="paragraph" w:customStyle="1" w:styleId="ExampleText">
    <w:name w:val="ExampleText"/>
    <w:basedOn w:val="ExampleSubheading"/>
    <w:qFormat/>
    <w:rsid w:val="002D19E2"/>
    <w:pPr>
      <w:shd w:val="clear" w:color="auto" w:fill="auto"/>
      <w:spacing w:before="0" w:after="0" w:line="240" w:lineRule="auto"/>
    </w:pPr>
  </w:style>
  <w:style w:type="character" w:customStyle="1" w:styleId="Heading4Char">
    <w:name w:val="Heading 4 Char"/>
    <w:basedOn w:val="DefaultParagraphFont"/>
    <w:link w:val="Heading4"/>
    <w:uiPriority w:val="9"/>
    <w:rsid w:val="00E5705C"/>
    <w:rPr>
      <w:rFonts w:ascii="Book Antiqua" w:eastAsiaTheme="majorEastAsia" w:hAnsi="Book Antiqua" w:cstheme="majorBidi"/>
      <w:b/>
      <w:bCs/>
      <w:i/>
      <w:iCs/>
      <w:sz w:val="24"/>
    </w:rPr>
  </w:style>
  <w:style w:type="paragraph" w:customStyle="1" w:styleId="FigureName">
    <w:name w:val="Figure Name"/>
    <w:basedOn w:val="CDMBTEXT"/>
    <w:rsid w:val="002F160D"/>
  </w:style>
  <w:style w:type="paragraph" w:styleId="Caption">
    <w:name w:val="caption"/>
    <w:aliases w:val="Cap_Ventura,Ventura_Cap"/>
    <w:basedOn w:val="Normal"/>
    <w:next w:val="Normal"/>
    <w:link w:val="CaptionChar"/>
    <w:unhideWhenUsed/>
    <w:qFormat/>
    <w:rsid w:val="00B96ACD"/>
    <w:pPr>
      <w:keepNext/>
      <w:spacing w:after="0" w:line="240" w:lineRule="auto"/>
      <w:jc w:val="center"/>
    </w:pPr>
    <w:rPr>
      <w:rFonts w:ascii="Arial" w:eastAsiaTheme="minorEastAsia" w:hAnsi="Arial"/>
      <w:b/>
      <w:bCs/>
      <w:szCs w:val="18"/>
      <w:lang w:bidi="en-US"/>
    </w:rPr>
  </w:style>
  <w:style w:type="character" w:customStyle="1" w:styleId="CaptionChar">
    <w:name w:val="Caption Char"/>
    <w:aliases w:val="Cap_Ventura Char,Ventura_Cap Char"/>
    <w:basedOn w:val="Heading1Char"/>
    <w:link w:val="Caption"/>
    <w:rsid w:val="00B96ACD"/>
    <w:rPr>
      <w:rFonts w:ascii="Arial" w:eastAsiaTheme="minorEastAsia" w:hAnsi="Arial"/>
      <w:b/>
      <w:bCs/>
      <w:caps/>
      <w:sz w:val="32"/>
      <w:szCs w:val="18"/>
      <w:lang w:bidi="en-US"/>
    </w:rPr>
  </w:style>
  <w:style w:type="paragraph" w:styleId="ListParagraph">
    <w:name w:val="List Paragraph"/>
    <w:basedOn w:val="Normal"/>
    <w:uiPriority w:val="34"/>
    <w:qFormat/>
    <w:rsid w:val="00FF231C"/>
    <w:pPr>
      <w:ind w:left="720"/>
      <w:contextualSpacing/>
    </w:pPr>
  </w:style>
  <w:style w:type="paragraph" w:styleId="ListBullet">
    <w:name w:val="List Bullet"/>
    <w:basedOn w:val="Normal"/>
    <w:link w:val="ListBulletChar"/>
    <w:uiPriority w:val="99"/>
    <w:unhideWhenUsed/>
    <w:qFormat/>
    <w:rsid w:val="00E63488"/>
    <w:pPr>
      <w:numPr>
        <w:numId w:val="10"/>
      </w:numPr>
      <w:spacing w:after="200"/>
      <w:jc w:val="both"/>
    </w:pPr>
    <w:rPr>
      <w:rFonts w:eastAsia="Calibri" w:cs="Georgia"/>
    </w:rPr>
  </w:style>
  <w:style w:type="numbering" w:customStyle="1" w:styleId="Numbered3">
    <w:name w:val="Numbered3"/>
    <w:basedOn w:val="NoList"/>
    <w:rsid w:val="00E63488"/>
    <w:pPr>
      <w:numPr>
        <w:numId w:val="10"/>
      </w:numPr>
    </w:pPr>
  </w:style>
  <w:style w:type="paragraph" w:customStyle="1" w:styleId="TableFont">
    <w:name w:val="Table Font"/>
    <w:basedOn w:val="Normal"/>
    <w:link w:val="TableFontChar"/>
    <w:qFormat/>
    <w:rsid w:val="00E63488"/>
    <w:pPr>
      <w:spacing w:before="60" w:after="60"/>
    </w:pPr>
    <w:rPr>
      <w:rFonts w:ascii="Arial" w:eastAsia="Calibri" w:hAnsi="Arial" w:cs="Georgia"/>
      <w:sz w:val="20"/>
    </w:rPr>
  </w:style>
  <w:style w:type="character" w:customStyle="1" w:styleId="TableFontChar">
    <w:name w:val="Table Font Char"/>
    <w:basedOn w:val="DefaultParagraphFont"/>
    <w:link w:val="TableFont"/>
    <w:rsid w:val="00E63488"/>
    <w:rPr>
      <w:rFonts w:ascii="Arial" w:eastAsia="Calibri" w:hAnsi="Arial" w:cs="Georgia"/>
      <w:sz w:val="20"/>
    </w:rPr>
  </w:style>
  <w:style w:type="paragraph" w:customStyle="1" w:styleId="Default">
    <w:name w:val="Default"/>
    <w:rsid w:val="00E63488"/>
    <w:pPr>
      <w:autoSpaceDE w:val="0"/>
      <w:autoSpaceDN w:val="0"/>
      <w:adjustRightInd w:val="0"/>
      <w:spacing w:after="0" w:line="240" w:lineRule="auto"/>
    </w:pPr>
    <w:rPr>
      <w:rFonts w:ascii="Book Antiqua" w:eastAsia="Calibri" w:hAnsi="Book Antiqua" w:cs="Book Antiqua"/>
      <w:color w:val="000000"/>
      <w:sz w:val="24"/>
      <w:szCs w:val="24"/>
    </w:rPr>
  </w:style>
  <w:style w:type="paragraph" w:styleId="ListNumber">
    <w:name w:val="List Number"/>
    <w:basedOn w:val="Normal"/>
    <w:uiPriority w:val="99"/>
    <w:unhideWhenUsed/>
    <w:qFormat/>
    <w:rsid w:val="00F94DDF"/>
    <w:pPr>
      <w:numPr>
        <w:numId w:val="25"/>
      </w:numPr>
      <w:spacing w:after="200"/>
      <w:jc w:val="both"/>
    </w:pPr>
    <w:rPr>
      <w:rFonts w:eastAsia="Calibri" w:cs="Georgia"/>
    </w:rPr>
  </w:style>
  <w:style w:type="paragraph" w:styleId="TOCHeading">
    <w:name w:val="TOC Heading"/>
    <w:basedOn w:val="Heading1"/>
    <w:next w:val="Normal"/>
    <w:uiPriority w:val="39"/>
    <w:semiHidden/>
    <w:unhideWhenUsed/>
    <w:qFormat/>
    <w:rsid w:val="000B1E47"/>
    <w:pPr>
      <w:numPr>
        <w:numId w:val="0"/>
      </w:numPr>
      <w:spacing w:before="480"/>
      <w:outlineLvl w:val="9"/>
    </w:pPr>
    <w:rPr>
      <w:rFonts w:asciiTheme="majorHAnsi" w:eastAsiaTheme="majorEastAsia" w:hAnsiTheme="majorHAnsi" w:cstheme="majorBidi"/>
      <w:bCs/>
      <w:caps w:val="0"/>
      <w:color w:val="365F91" w:themeColor="accent1" w:themeShade="BF"/>
      <w:sz w:val="28"/>
      <w:szCs w:val="28"/>
    </w:rPr>
  </w:style>
  <w:style w:type="paragraph" w:styleId="TOC1">
    <w:name w:val="toc 1"/>
    <w:basedOn w:val="Normal"/>
    <w:next w:val="Normal"/>
    <w:autoRedefine/>
    <w:uiPriority w:val="39"/>
    <w:unhideWhenUsed/>
    <w:qFormat/>
    <w:rsid w:val="009A7904"/>
    <w:pPr>
      <w:spacing w:after="100"/>
    </w:pPr>
    <w:rPr>
      <w:rFonts w:ascii="Arial Narrow" w:hAnsi="Arial Narrow"/>
      <w:b/>
      <w:sz w:val="24"/>
    </w:rPr>
  </w:style>
  <w:style w:type="paragraph" w:styleId="TOC2">
    <w:name w:val="toc 2"/>
    <w:basedOn w:val="Normal"/>
    <w:next w:val="Normal"/>
    <w:autoRedefine/>
    <w:uiPriority w:val="39"/>
    <w:unhideWhenUsed/>
    <w:qFormat/>
    <w:rsid w:val="009A7904"/>
    <w:pPr>
      <w:spacing w:after="100"/>
      <w:ind w:left="240"/>
    </w:pPr>
    <w:rPr>
      <w:rFonts w:ascii="Arial Narrow" w:hAnsi="Arial Narrow"/>
    </w:rPr>
  </w:style>
  <w:style w:type="paragraph" w:styleId="TOC3">
    <w:name w:val="toc 3"/>
    <w:basedOn w:val="Normal"/>
    <w:next w:val="Normal"/>
    <w:autoRedefine/>
    <w:uiPriority w:val="39"/>
    <w:unhideWhenUsed/>
    <w:qFormat/>
    <w:rsid w:val="000B1E47"/>
    <w:pPr>
      <w:spacing w:after="100"/>
      <w:ind w:left="480"/>
    </w:pPr>
  </w:style>
  <w:style w:type="character" w:styleId="FollowedHyperlink">
    <w:name w:val="FollowedHyperlink"/>
    <w:basedOn w:val="DefaultParagraphFont"/>
    <w:uiPriority w:val="99"/>
    <w:semiHidden/>
    <w:unhideWhenUsed/>
    <w:rsid w:val="000B1E47"/>
    <w:rPr>
      <w:color w:val="800080" w:themeColor="followedHyperlink"/>
      <w:u w:val="single"/>
    </w:rPr>
  </w:style>
  <w:style w:type="character" w:customStyle="1" w:styleId="Heading6Char">
    <w:name w:val="Heading 6 Char"/>
    <w:basedOn w:val="DefaultParagraphFont"/>
    <w:link w:val="Heading6"/>
    <w:uiPriority w:val="9"/>
    <w:rsid w:val="004266A7"/>
    <w:rPr>
      <w:rFonts w:ascii="Times New Roman" w:eastAsia="Times New Roman" w:hAnsi="Times New Roman" w:cs="Times New Roman"/>
      <w:b/>
      <w:bCs/>
    </w:rPr>
  </w:style>
  <w:style w:type="character" w:customStyle="1" w:styleId="Heading7Char">
    <w:name w:val="Heading 7 Char"/>
    <w:basedOn w:val="DefaultParagraphFont"/>
    <w:link w:val="Heading7"/>
    <w:uiPriority w:val="9"/>
    <w:rsid w:val="004266A7"/>
    <w:rPr>
      <w:rFonts w:ascii="Times New Roman" w:eastAsia="Times New Roman" w:hAnsi="Times New Roman" w:cs="Times New Roman"/>
      <w:sz w:val="24"/>
      <w:szCs w:val="24"/>
    </w:rPr>
  </w:style>
  <w:style w:type="character" w:customStyle="1" w:styleId="Heading8Char">
    <w:name w:val="Heading 8 Char"/>
    <w:basedOn w:val="DefaultParagraphFont"/>
    <w:link w:val="Heading8"/>
    <w:uiPriority w:val="9"/>
    <w:rsid w:val="004266A7"/>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uiPriority w:val="9"/>
    <w:rsid w:val="004266A7"/>
    <w:rPr>
      <w:rFonts w:ascii="Arial" w:eastAsia="Times New Roman" w:hAnsi="Arial" w:cs="Arial"/>
    </w:rPr>
  </w:style>
  <w:style w:type="paragraph" w:styleId="BodyText">
    <w:name w:val="Body Text"/>
    <w:basedOn w:val="Normal"/>
    <w:link w:val="BodyTextChar"/>
    <w:autoRedefine/>
    <w:rsid w:val="004266A7"/>
    <w:pPr>
      <w:tabs>
        <w:tab w:val="left" w:pos="950"/>
      </w:tabs>
      <w:spacing w:line="264" w:lineRule="auto"/>
      <w:jc w:val="both"/>
    </w:pPr>
    <w:rPr>
      <w:rFonts w:eastAsia="Times New Roman" w:cs="Times New Roman"/>
      <w:szCs w:val="20"/>
    </w:rPr>
  </w:style>
  <w:style w:type="character" w:customStyle="1" w:styleId="BodyTextChar">
    <w:name w:val="Body Text Char"/>
    <w:basedOn w:val="DefaultParagraphFont"/>
    <w:link w:val="BodyText"/>
    <w:rsid w:val="004266A7"/>
    <w:rPr>
      <w:rFonts w:ascii="Times New Roman" w:eastAsia="Times New Roman" w:hAnsi="Times New Roman" w:cs="Times New Roman"/>
      <w:sz w:val="24"/>
      <w:szCs w:val="20"/>
    </w:rPr>
  </w:style>
  <w:style w:type="table" w:styleId="TableGrid">
    <w:name w:val="Table Grid"/>
    <w:basedOn w:val="TableNormal"/>
    <w:uiPriority w:val="59"/>
    <w:rsid w:val="004266A7"/>
    <w:pPr>
      <w:tabs>
        <w:tab w:val="left" w:pos="475"/>
        <w:tab w:val="left" w:pos="950"/>
        <w:tab w:val="left" w:pos="2390"/>
      </w:tabs>
      <w:spacing w:after="0" w:line="264"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ColumnName">
    <w:name w:val="Table Column Name"/>
    <w:basedOn w:val="BodyText"/>
    <w:rsid w:val="000D43C8"/>
    <w:pPr>
      <w:tabs>
        <w:tab w:val="clear" w:pos="950"/>
      </w:tabs>
      <w:spacing w:before="50" w:after="50" w:line="240" w:lineRule="auto"/>
      <w:jc w:val="center"/>
    </w:pPr>
    <w:rPr>
      <w:rFonts w:ascii="Arial" w:eastAsia="Times" w:hAnsi="Arial"/>
      <w:b/>
      <w:sz w:val="18"/>
    </w:rPr>
  </w:style>
  <w:style w:type="paragraph" w:styleId="DocumentMap">
    <w:name w:val="Document Map"/>
    <w:basedOn w:val="Normal"/>
    <w:link w:val="DocumentMapChar"/>
    <w:uiPriority w:val="99"/>
    <w:semiHidden/>
    <w:unhideWhenUsed/>
    <w:rsid w:val="00201664"/>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201664"/>
    <w:rPr>
      <w:rFonts w:ascii="Tahoma" w:hAnsi="Tahoma" w:cs="Tahoma"/>
      <w:sz w:val="16"/>
      <w:szCs w:val="16"/>
    </w:rPr>
  </w:style>
  <w:style w:type="paragraph" w:styleId="TOC4">
    <w:name w:val="toc 4"/>
    <w:basedOn w:val="Normal"/>
    <w:next w:val="Normal"/>
    <w:autoRedefine/>
    <w:uiPriority w:val="39"/>
    <w:unhideWhenUsed/>
    <w:rsid w:val="00A52ED1"/>
    <w:pPr>
      <w:spacing w:after="100"/>
      <w:ind w:left="660"/>
    </w:pPr>
    <w:rPr>
      <w:rFonts w:asciiTheme="minorHAnsi" w:eastAsiaTheme="minorEastAsia" w:hAnsiTheme="minorHAnsi"/>
    </w:rPr>
  </w:style>
  <w:style w:type="paragraph" w:styleId="TOC5">
    <w:name w:val="toc 5"/>
    <w:basedOn w:val="Normal"/>
    <w:next w:val="Normal"/>
    <w:autoRedefine/>
    <w:uiPriority w:val="39"/>
    <w:unhideWhenUsed/>
    <w:rsid w:val="00A52ED1"/>
    <w:pPr>
      <w:spacing w:after="100"/>
      <w:ind w:left="880"/>
    </w:pPr>
    <w:rPr>
      <w:rFonts w:asciiTheme="minorHAnsi" w:eastAsiaTheme="minorEastAsia" w:hAnsiTheme="minorHAnsi"/>
    </w:rPr>
  </w:style>
  <w:style w:type="paragraph" w:styleId="TOC6">
    <w:name w:val="toc 6"/>
    <w:basedOn w:val="Normal"/>
    <w:next w:val="Normal"/>
    <w:autoRedefine/>
    <w:uiPriority w:val="39"/>
    <w:unhideWhenUsed/>
    <w:rsid w:val="00A52ED1"/>
    <w:pPr>
      <w:spacing w:after="100"/>
      <w:ind w:left="1100"/>
    </w:pPr>
    <w:rPr>
      <w:rFonts w:asciiTheme="minorHAnsi" w:eastAsiaTheme="minorEastAsia" w:hAnsiTheme="minorHAnsi"/>
    </w:rPr>
  </w:style>
  <w:style w:type="paragraph" w:styleId="TOC7">
    <w:name w:val="toc 7"/>
    <w:basedOn w:val="Normal"/>
    <w:next w:val="Normal"/>
    <w:autoRedefine/>
    <w:uiPriority w:val="39"/>
    <w:unhideWhenUsed/>
    <w:rsid w:val="00A52ED1"/>
    <w:pPr>
      <w:spacing w:after="100"/>
      <w:ind w:left="1320"/>
    </w:pPr>
    <w:rPr>
      <w:rFonts w:asciiTheme="minorHAnsi" w:eastAsiaTheme="minorEastAsia" w:hAnsiTheme="minorHAnsi"/>
    </w:rPr>
  </w:style>
  <w:style w:type="paragraph" w:styleId="TOC8">
    <w:name w:val="toc 8"/>
    <w:basedOn w:val="Normal"/>
    <w:next w:val="Normal"/>
    <w:autoRedefine/>
    <w:uiPriority w:val="39"/>
    <w:unhideWhenUsed/>
    <w:rsid w:val="00A52ED1"/>
    <w:pPr>
      <w:spacing w:after="100"/>
      <w:ind w:left="1540"/>
    </w:pPr>
    <w:rPr>
      <w:rFonts w:asciiTheme="minorHAnsi" w:eastAsiaTheme="minorEastAsia" w:hAnsiTheme="minorHAnsi"/>
    </w:rPr>
  </w:style>
  <w:style w:type="paragraph" w:styleId="TOC9">
    <w:name w:val="toc 9"/>
    <w:basedOn w:val="Normal"/>
    <w:next w:val="Normal"/>
    <w:autoRedefine/>
    <w:uiPriority w:val="39"/>
    <w:unhideWhenUsed/>
    <w:rsid w:val="00A52ED1"/>
    <w:pPr>
      <w:spacing w:after="100"/>
      <w:ind w:left="1760"/>
    </w:pPr>
    <w:rPr>
      <w:rFonts w:asciiTheme="minorHAnsi" w:eastAsiaTheme="minorEastAsia" w:hAnsiTheme="minorHAnsi"/>
    </w:rPr>
  </w:style>
  <w:style w:type="paragraph" w:customStyle="1" w:styleId="BulletedText1">
    <w:name w:val="Bulleted Text 1"/>
    <w:basedOn w:val="Normal"/>
    <w:rsid w:val="00DF76BB"/>
    <w:pPr>
      <w:numPr>
        <w:numId w:val="73"/>
      </w:numPr>
      <w:spacing w:line="264" w:lineRule="auto"/>
      <w:jc w:val="both"/>
    </w:pPr>
    <w:rPr>
      <w:rFonts w:ascii="Times New Roman" w:eastAsia="Times New Roman" w:hAnsi="Times New Roman" w:cs="Times New Roman"/>
      <w:sz w:val="24"/>
      <w:szCs w:val="20"/>
    </w:rPr>
  </w:style>
  <w:style w:type="paragraph" w:customStyle="1" w:styleId="FactsheetBullets">
    <w:name w:val="FactsheetBullets"/>
    <w:basedOn w:val="ExampleBullets"/>
    <w:link w:val="FactsheetBulletsChar"/>
    <w:qFormat/>
    <w:rsid w:val="00B127AB"/>
    <w:pPr>
      <w:numPr>
        <w:numId w:val="32"/>
      </w:numPr>
      <w:pBdr>
        <w:top w:val="none" w:sz="0" w:space="0" w:color="auto"/>
        <w:left w:val="none" w:sz="0" w:space="0" w:color="auto"/>
        <w:bottom w:val="none" w:sz="0" w:space="0" w:color="auto"/>
        <w:right w:val="none" w:sz="0" w:space="0" w:color="auto"/>
      </w:pBdr>
      <w:spacing w:line="240" w:lineRule="auto"/>
      <w:ind w:left="446"/>
    </w:pPr>
    <w:rPr>
      <w:noProof/>
      <w:lang w:eastAsia="zh-TW"/>
    </w:rPr>
  </w:style>
  <w:style w:type="character" w:customStyle="1" w:styleId="FactsheetBulletsChar">
    <w:name w:val="FactsheetBullets Char"/>
    <w:basedOn w:val="ExampleBulletsChar"/>
    <w:link w:val="FactsheetBullets"/>
    <w:rsid w:val="00B127AB"/>
    <w:rPr>
      <w:rFonts w:ascii="Arial" w:eastAsia="Times New Roman" w:hAnsi="Arial" w:cs="Arial"/>
      <w:noProof/>
      <w:sz w:val="20"/>
      <w:szCs w:val="20"/>
      <w:lang w:eastAsia="zh-TW"/>
    </w:rPr>
  </w:style>
  <w:style w:type="paragraph" w:customStyle="1" w:styleId="CDMBHEAD2">
    <w:name w:val="CDM B/HEAD 2"/>
    <w:basedOn w:val="Normal"/>
    <w:next w:val="CDMBTEXT"/>
    <w:link w:val="CDMBHEAD2Char"/>
    <w:qFormat/>
    <w:rsid w:val="00DA6EFB"/>
    <w:pPr>
      <w:keepNext/>
      <w:spacing w:after="60" w:line="360" w:lineRule="exact"/>
    </w:pPr>
    <w:rPr>
      <w:rFonts w:eastAsia="Times New Roman" w:cs="Times New Roman"/>
      <w:b/>
      <w:sz w:val="32"/>
      <w:szCs w:val="20"/>
    </w:rPr>
  </w:style>
  <w:style w:type="character" w:customStyle="1" w:styleId="CDMBHEAD2Char">
    <w:name w:val="CDM B/HEAD 2 Char"/>
    <w:basedOn w:val="DefaultParagraphFont"/>
    <w:link w:val="CDMBHEAD2"/>
    <w:rsid w:val="00DA6EFB"/>
    <w:rPr>
      <w:rFonts w:ascii="Book Antiqua" w:eastAsia="Times New Roman" w:hAnsi="Book Antiqua" w:cs="Times New Roman"/>
      <w:b/>
      <w:sz w:val="32"/>
      <w:szCs w:val="20"/>
    </w:rPr>
  </w:style>
  <w:style w:type="paragraph" w:customStyle="1" w:styleId="CDMBHEAD3">
    <w:name w:val="CDM B/HEAD 3"/>
    <w:basedOn w:val="CDMBTEXT"/>
    <w:next w:val="CDMBTEXT"/>
    <w:qFormat/>
    <w:rsid w:val="00DA6EFB"/>
    <w:pPr>
      <w:keepNext/>
      <w:spacing w:line="320" w:lineRule="exact"/>
    </w:pPr>
    <w:rPr>
      <w:b/>
      <w:sz w:val="28"/>
    </w:rPr>
  </w:style>
  <w:style w:type="paragraph" w:customStyle="1" w:styleId="CDMBHEAD4">
    <w:name w:val="CDM B/HEAD 4"/>
    <w:basedOn w:val="Normal"/>
    <w:next w:val="CDMBTEXT"/>
    <w:qFormat/>
    <w:rsid w:val="00DA6EFB"/>
    <w:pPr>
      <w:keepNext/>
      <w:tabs>
        <w:tab w:val="left" w:pos="1080"/>
      </w:tabs>
      <w:spacing w:after="120" w:line="280" w:lineRule="exact"/>
    </w:pPr>
    <w:rPr>
      <w:rFonts w:eastAsia="Times New Roman" w:cs="Times New Roman"/>
      <w:b/>
      <w:szCs w:val="20"/>
    </w:rPr>
  </w:style>
  <w:style w:type="paragraph" w:customStyle="1" w:styleId="CDMBBULLET">
    <w:name w:val="CDM B/BULLET"/>
    <w:basedOn w:val="CDMBTEXT"/>
    <w:qFormat/>
    <w:rsid w:val="00DA6EFB"/>
    <w:pPr>
      <w:tabs>
        <w:tab w:val="left" w:pos="240"/>
        <w:tab w:val="num" w:pos="360"/>
      </w:tabs>
      <w:ind w:left="360" w:hanging="360"/>
    </w:pPr>
  </w:style>
  <w:style w:type="paragraph" w:customStyle="1" w:styleId="CDMBHEAD5">
    <w:name w:val="CDM B/HEAD 5"/>
    <w:basedOn w:val="CDMBTEXT"/>
    <w:next w:val="CDMBTEXT"/>
    <w:qFormat/>
    <w:rsid w:val="00DA6EFB"/>
    <w:pPr>
      <w:keepNext/>
      <w:tabs>
        <w:tab w:val="left" w:pos="720"/>
      </w:tabs>
      <w:spacing w:after="120" w:line="270" w:lineRule="exact"/>
    </w:pPr>
    <w:rPr>
      <w:b/>
      <w:i/>
    </w:rPr>
  </w:style>
  <w:style w:type="paragraph" w:styleId="NoSpacing">
    <w:name w:val="No Spacing"/>
    <w:uiPriority w:val="1"/>
    <w:qFormat/>
    <w:rsid w:val="00DA6EFB"/>
    <w:pPr>
      <w:spacing w:after="0" w:line="240" w:lineRule="auto"/>
    </w:pPr>
    <w:rPr>
      <w:rFonts w:ascii="Times" w:eastAsia="Times" w:hAnsi="Times" w:cs="Times New Roman"/>
      <w:sz w:val="24"/>
      <w:szCs w:val="20"/>
    </w:rPr>
  </w:style>
  <w:style w:type="paragraph" w:customStyle="1" w:styleId="FactsheetSubheading">
    <w:name w:val="FactsheetSubheading"/>
    <w:basedOn w:val="ExampleSubheading"/>
    <w:link w:val="FactsheetSubheadingChar"/>
    <w:qFormat/>
    <w:rsid w:val="00DA6EFB"/>
    <w:pPr>
      <w:pBdr>
        <w:top w:val="none" w:sz="0" w:space="0" w:color="auto"/>
        <w:left w:val="none" w:sz="0" w:space="0" w:color="auto"/>
        <w:right w:val="none" w:sz="0" w:space="0" w:color="auto"/>
      </w:pBdr>
      <w:ind w:left="0"/>
    </w:pPr>
  </w:style>
  <w:style w:type="character" w:customStyle="1" w:styleId="FactsheetSubheadingChar">
    <w:name w:val="FactsheetSubheading Char"/>
    <w:basedOn w:val="ExampleSubheadingChar"/>
    <w:link w:val="FactsheetSubheading"/>
    <w:rsid w:val="00DA6EFB"/>
    <w:rPr>
      <w:rFonts w:ascii="Arial" w:eastAsia="Times New Roman" w:hAnsi="Arial" w:cs="Arial"/>
      <w:b/>
      <w:i/>
      <w:sz w:val="20"/>
      <w:szCs w:val="20"/>
      <w:shd w:val="clear" w:color="auto" w:fill="FFFF00"/>
    </w:rPr>
  </w:style>
  <w:style w:type="paragraph" w:customStyle="1" w:styleId="CDMBHEADER">
    <w:name w:val="CDM B/HEADER"/>
    <w:basedOn w:val="Normal"/>
    <w:next w:val="CDMBHEAD2"/>
    <w:qFormat/>
    <w:rsid w:val="00DA6EFB"/>
    <w:pPr>
      <w:spacing w:line="264" w:lineRule="auto"/>
    </w:pPr>
    <w:rPr>
      <w:rFonts w:eastAsia="Times" w:cs="Times New Roman"/>
      <w:szCs w:val="20"/>
    </w:rPr>
  </w:style>
  <w:style w:type="paragraph" w:customStyle="1" w:styleId="CDMBBullet1">
    <w:name w:val="CDM B/Bullet 1"/>
    <w:basedOn w:val="Normal"/>
    <w:rsid w:val="00DA6EFB"/>
    <w:pPr>
      <w:spacing w:line="280" w:lineRule="exact"/>
    </w:pPr>
    <w:rPr>
      <w:rFonts w:eastAsia="Times New Roman" w:cs="Times New Roman"/>
      <w:szCs w:val="20"/>
    </w:rPr>
  </w:style>
  <w:style w:type="character" w:styleId="PageNumber">
    <w:name w:val="page number"/>
    <w:basedOn w:val="DefaultParagraphFont"/>
    <w:rsid w:val="00DA6EFB"/>
  </w:style>
  <w:style w:type="paragraph" w:customStyle="1" w:styleId="CDMBBULLET2">
    <w:name w:val="CDM B/BULLET 2"/>
    <w:basedOn w:val="Normal"/>
    <w:rsid w:val="00DA6EFB"/>
    <w:pPr>
      <w:spacing w:line="264" w:lineRule="auto"/>
    </w:pPr>
    <w:rPr>
      <w:rFonts w:eastAsia="Times" w:cs="Times New Roman"/>
      <w:szCs w:val="20"/>
    </w:rPr>
  </w:style>
  <w:style w:type="paragraph" w:customStyle="1" w:styleId="ReportBulletText">
    <w:name w:val="Report Bullet Text"/>
    <w:basedOn w:val="ReportBodyText"/>
    <w:rsid w:val="00DA6EFB"/>
    <w:pPr>
      <w:tabs>
        <w:tab w:val="num" w:pos="720"/>
      </w:tabs>
      <w:spacing w:line="264" w:lineRule="auto"/>
      <w:ind w:left="720" w:hanging="360"/>
    </w:pPr>
  </w:style>
  <w:style w:type="paragraph" w:customStyle="1" w:styleId="WQMPHead6">
    <w:name w:val="WQMP/Head 6"/>
    <w:rsid w:val="00DA6EFB"/>
    <w:pPr>
      <w:spacing w:after="0" w:line="240" w:lineRule="auto"/>
    </w:pPr>
    <w:rPr>
      <w:rFonts w:ascii="Book Antiqua" w:eastAsia="Times New Roman" w:hAnsi="Book Antiqua" w:cs="Times New Roman"/>
      <w:i/>
      <w:iCs/>
      <w:szCs w:val="24"/>
    </w:rPr>
  </w:style>
  <w:style w:type="paragraph" w:customStyle="1" w:styleId="CVRDate">
    <w:name w:val="CVR Date"/>
    <w:next w:val="BodyText"/>
    <w:autoRedefine/>
    <w:rsid w:val="00DA6EFB"/>
    <w:pPr>
      <w:spacing w:before="240" w:after="0" w:line="320" w:lineRule="exact"/>
    </w:pPr>
    <w:rPr>
      <w:rFonts w:ascii="Book Antiqua" w:eastAsia="Times" w:hAnsi="Book Antiqua" w:cs="Times New Roman"/>
      <w:sz w:val="28"/>
      <w:szCs w:val="20"/>
    </w:rPr>
  </w:style>
  <w:style w:type="paragraph" w:customStyle="1" w:styleId="Heading10">
    <w:name w:val="Heading1"/>
    <w:basedOn w:val="Normal"/>
    <w:next w:val="Normal"/>
    <w:rsid w:val="00DA6EFB"/>
    <w:pPr>
      <w:keepNext/>
      <w:spacing w:line="264" w:lineRule="auto"/>
    </w:pPr>
    <w:rPr>
      <w:rFonts w:eastAsia="Times New Roman" w:cs="Times New Roman"/>
      <w:b/>
      <w:caps/>
      <w:szCs w:val="24"/>
    </w:rPr>
  </w:style>
  <w:style w:type="paragraph" w:customStyle="1" w:styleId="CDMBHEAD1">
    <w:name w:val="CDM B/HEAD 1"/>
    <w:basedOn w:val="Heading1"/>
    <w:next w:val="CDMBTEXT"/>
    <w:autoRedefine/>
    <w:qFormat/>
    <w:rsid w:val="00DA6EFB"/>
    <w:pPr>
      <w:keepLines w:val="0"/>
      <w:numPr>
        <w:numId w:val="0"/>
      </w:numPr>
      <w:pBdr>
        <w:bottom w:val="none" w:sz="0" w:space="0" w:color="auto"/>
      </w:pBdr>
      <w:tabs>
        <w:tab w:val="clear" w:pos="2520"/>
        <w:tab w:val="left" w:pos="2160"/>
      </w:tabs>
      <w:spacing w:before="0" w:after="40" w:line="460" w:lineRule="exact"/>
    </w:pPr>
    <w:rPr>
      <w:rFonts w:eastAsia="Times New Roman" w:cs="Times New Roman"/>
      <w:caps w:val="0"/>
      <w:sz w:val="42"/>
      <w:szCs w:val="20"/>
    </w:rPr>
  </w:style>
  <w:style w:type="paragraph" w:styleId="TableofFigures">
    <w:name w:val="table of figures"/>
    <w:basedOn w:val="Normal"/>
    <w:next w:val="Normal"/>
    <w:uiPriority w:val="99"/>
    <w:unhideWhenUsed/>
    <w:rsid w:val="00DA6EFB"/>
    <w:pPr>
      <w:spacing w:line="264" w:lineRule="auto"/>
    </w:pPr>
    <w:rPr>
      <w:rFonts w:eastAsia="Times" w:cs="Times New Roman"/>
      <w:szCs w:val="20"/>
    </w:rPr>
  </w:style>
  <w:style w:type="paragraph" w:styleId="NormalWeb">
    <w:name w:val="Normal (Web)"/>
    <w:basedOn w:val="Normal"/>
    <w:uiPriority w:val="99"/>
    <w:unhideWhenUsed/>
    <w:rsid w:val="00DA6EFB"/>
    <w:pPr>
      <w:spacing w:before="100" w:beforeAutospacing="1" w:after="100" w:afterAutospacing="1" w:line="264" w:lineRule="auto"/>
    </w:pPr>
    <w:rPr>
      <w:rFonts w:ascii="Times New Roman" w:eastAsia="Times New Roman" w:hAnsi="Times New Roman" w:cs="Times New Roman"/>
      <w:szCs w:val="24"/>
    </w:rPr>
  </w:style>
  <w:style w:type="paragraph" w:customStyle="1" w:styleId="Tables-Text">
    <w:name w:val="Tables-Text"/>
    <w:basedOn w:val="Normal"/>
    <w:rsid w:val="00DA6EFB"/>
    <w:pPr>
      <w:widowControl w:val="0"/>
      <w:spacing w:line="264" w:lineRule="auto"/>
    </w:pPr>
    <w:rPr>
      <w:rFonts w:ascii="Arial" w:eastAsia="Times New Roman" w:hAnsi="Arial" w:cs="Times New Roman"/>
      <w:sz w:val="18"/>
      <w:szCs w:val="18"/>
    </w:rPr>
  </w:style>
  <w:style w:type="paragraph" w:customStyle="1" w:styleId="CityName">
    <w:name w:val="City Name"/>
    <w:next w:val="Normal"/>
    <w:autoRedefine/>
    <w:rsid w:val="00DA6EFB"/>
    <w:pPr>
      <w:spacing w:after="0" w:line="540" w:lineRule="exact"/>
    </w:pPr>
    <w:rPr>
      <w:rFonts w:ascii="Book Antiqua" w:eastAsia="Times" w:hAnsi="Book Antiqua" w:cs="Times New Roman"/>
      <w:sz w:val="48"/>
      <w:szCs w:val="20"/>
    </w:rPr>
  </w:style>
  <w:style w:type="paragraph" w:customStyle="1" w:styleId="CheckBoxList">
    <w:name w:val="CheckBoxList"/>
    <w:basedOn w:val="CDMBTEXT"/>
    <w:link w:val="CheckBoxListChar"/>
    <w:qFormat/>
    <w:rsid w:val="00DA6EFB"/>
    <w:pPr>
      <w:numPr>
        <w:numId w:val="124"/>
      </w:numPr>
      <w:tabs>
        <w:tab w:val="left" w:pos="720"/>
      </w:tabs>
      <w:spacing w:after="0" w:line="240" w:lineRule="auto"/>
      <w:ind w:left="734" w:hanging="547"/>
    </w:pPr>
    <w:rPr>
      <w:rFonts w:ascii="Arial" w:hAnsi="Arial"/>
      <w:sz w:val="20"/>
    </w:rPr>
  </w:style>
  <w:style w:type="character" w:customStyle="1" w:styleId="CheckBoxListChar">
    <w:name w:val="CheckBoxList Char"/>
    <w:basedOn w:val="CDMBTEXTChar"/>
    <w:link w:val="CheckBoxList"/>
    <w:rsid w:val="00DA6EFB"/>
    <w:rPr>
      <w:rFonts w:ascii="Arial" w:eastAsia="Times New Roman" w:hAnsi="Arial" w:cs="Times New Roman"/>
      <w:sz w:val="20"/>
      <w:szCs w:val="20"/>
    </w:rPr>
  </w:style>
  <w:style w:type="paragraph" w:customStyle="1" w:styleId="WorksheetList">
    <w:name w:val="WorksheetList"/>
    <w:basedOn w:val="CDMBTEXT"/>
    <w:link w:val="WorksheetListChar"/>
    <w:qFormat/>
    <w:rsid w:val="00DA6EFB"/>
    <w:pPr>
      <w:numPr>
        <w:numId w:val="125"/>
      </w:numPr>
    </w:pPr>
  </w:style>
  <w:style w:type="character" w:customStyle="1" w:styleId="WorksheetListChar">
    <w:name w:val="WorksheetList Char"/>
    <w:basedOn w:val="CDMBTEXTChar"/>
    <w:link w:val="WorksheetList"/>
    <w:rsid w:val="00DA6EFB"/>
    <w:rPr>
      <w:rFonts w:ascii="Book Antiqua" w:eastAsia="Times New Roman" w:hAnsi="Book Antiqua" w:cs="Times New Roman"/>
      <w:szCs w:val="20"/>
    </w:rPr>
  </w:style>
  <w:style w:type="paragraph" w:customStyle="1" w:styleId="CM1">
    <w:name w:val="CM1"/>
    <w:basedOn w:val="Default"/>
    <w:next w:val="Default"/>
    <w:uiPriority w:val="99"/>
    <w:rsid w:val="00DA6EFB"/>
    <w:pPr>
      <w:spacing w:line="271" w:lineRule="atLeast"/>
    </w:pPr>
    <w:rPr>
      <w:rFonts w:eastAsiaTheme="minorHAnsi" w:cstheme="minorBidi"/>
      <w:color w:val="auto"/>
    </w:rPr>
  </w:style>
  <w:style w:type="paragraph" w:customStyle="1" w:styleId="CheckBoxTableText">
    <w:name w:val="CheckBoxTableText"/>
    <w:basedOn w:val="FactsheetBullets"/>
    <w:link w:val="CheckBoxTableTextChar"/>
    <w:qFormat/>
    <w:rsid w:val="00DA6EFB"/>
    <w:pPr>
      <w:numPr>
        <w:numId w:val="0"/>
      </w:numPr>
      <w:spacing w:before="60" w:after="60"/>
    </w:pPr>
  </w:style>
  <w:style w:type="character" w:customStyle="1" w:styleId="CheckBoxTableTextChar">
    <w:name w:val="CheckBoxTableText Char"/>
    <w:basedOn w:val="FactsheetBulletsChar"/>
    <w:link w:val="CheckBoxTableText"/>
    <w:rsid w:val="00DA6EFB"/>
    <w:rPr>
      <w:rFonts w:ascii="Arial" w:eastAsia="Times New Roman" w:hAnsi="Arial" w:cs="Arial"/>
      <w:noProof/>
      <w:sz w:val="20"/>
      <w:szCs w:val="20"/>
      <w:lang w:eastAsia="zh-TW"/>
    </w:rPr>
  </w:style>
  <w:style w:type="character" w:customStyle="1" w:styleId="ListBulletChar">
    <w:name w:val="List Bullet Char"/>
    <w:basedOn w:val="DefaultParagraphFont"/>
    <w:link w:val="ListBullet"/>
    <w:uiPriority w:val="99"/>
    <w:rsid w:val="00DA6EFB"/>
    <w:rPr>
      <w:rFonts w:ascii="Book Antiqua" w:eastAsia="Calibri" w:hAnsi="Book Antiqua" w:cs="Georgia"/>
    </w:rPr>
  </w:style>
  <w:style w:type="paragraph" w:styleId="Bibliography">
    <w:name w:val="Bibliography"/>
    <w:basedOn w:val="Normal"/>
    <w:next w:val="Normal"/>
    <w:uiPriority w:val="37"/>
    <w:semiHidden/>
    <w:unhideWhenUsed/>
    <w:rsid w:val="00DA6EFB"/>
    <w:pPr>
      <w:spacing w:line="264" w:lineRule="auto"/>
    </w:pPr>
    <w:rPr>
      <w:rFonts w:eastAsia="Times" w:cs="Times New Roman"/>
      <w:szCs w:val="20"/>
    </w:rPr>
  </w:style>
  <w:style w:type="paragraph" w:styleId="BlockText">
    <w:name w:val="Block Text"/>
    <w:basedOn w:val="Normal"/>
    <w:uiPriority w:val="99"/>
    <w:semiHidden/>
    <w:unhideWhenUsed/>
    <w:rsid w:val="00DA6EFB"/>
    <w:pPr>
      <w:pBdr>
        <w:top w:val="single" w:sz="2" w:space="10" w:color="4F81BD" w:themeColor="accent1" w:frame="1"/>
        <w:left w:val="single" w:sz="2" w:space="10" w:color="4F81BD" w:themeColor="accent1" w:frame="1"/>
        <w:bottom w:val="single" w:sz="2" w:space="10" w:color="4F81BD" w:themeColor="accent1" w:frame="1"/>
        <w:right w:val="single" w:sz="2" w:space="10" w:color="4F81BD" w:themeColor="accent1" w:frame="1"/>
      </w:pBdr>
      <w:spacing w:line="264" w:lineRule="auto"/>
      <w:ind w:left="1152" w:right="1152"/>
    </w:pPr>
    <w:rPr>
      <w:rFonts w:asciiTheme="minorHAnsi" w:eastAsiaTheme="minorEastAsia" w:hAnsiTheme="minorHAnsi"/>
      <w:i/>
      <w:iCs/>
      <w:color w:val="4F81BD" w:themeColor="accent1"/>
      <w:szCs w:val="20"/>
    </w:rPr>
  </w:style>
  <w:style w:type="paragraph" w:styleId="BodyText2">
    <w:name w:val="Body Text 2"/>
    <w:basedOn w:val="Normal"/>
    <w:link w:val="BodyText2Char"/>
    <w:uiPriority w:val="99"/>
    <w:semiHidden/>
    <w:unhideWhenUsed/>
    <w:rsid w:val="00DA6EFB"/>
    <w:pPr>
      <w:spacing w:after="120" w:line="480" w:lineRule="auto"/>
    </w:pPr>
    <w:rPr>
      <w:rFonts w:eastAsia="Times" w:cs="Times New Roman"/>
      <w:szCs w:val="20"/>
    </w:rPr>
  </w:style>
  <w:style w:type="character" w:customStyle="1" w:styleId="BodyText2Char">
    <w:name w:val="Body Text 2 Char"/>
    <w:basedOn w:val="DefaultParagraphFont"/>
    <w:link w:val="BodyText2"/>
    <w:uiPriority w:val="99"/>
    <w:semiHidden/>
    <w:rsid w:val="00DA6EFB"/>
    <w:rPr>
      <w:rFonts w:ascii="Book Antiqua" w:eastAsia="Times" w:hAnsi="Book Antiqua" w:cs="Times New Roman"/>
      <w:szCs w:val="20"/>
    </w:rPr>
  </w:style>
  <w:style w:type="paragraph" w:styleId="BodyText3">
    <w:name w:val="Body Text 3"/>
    <w:basedOn w:val="Normal"/>
    <w:link w:val="BodyText3Char"/>
    <w:uiPriority w:val="99"/>
    <w:semiHidden/>
    <w:unhideWhenUsed/>
    <w:rsid w:val="00DA6EFB"/>
    <w:pPr>
      <w:spacing w:after="120" w:line="264" w:lineRule="auto"/>
    </w:pPr>
    <w:rPr>
      <w:rFonts w:eastAsia="Times" w:cs="Times New Roman"/>
      <w:sz w:val="16"/>
      <w:szCs w:val="16"/>
    </w:rPr>
  </w:style>
  <w:style w:type="character" w:customStyle="1" w:styleId="BodyText3Char">
    <w:name w:val="Body Text 3 Char"/>
    <w:basedOn w:val="DefaultParagraphFont"/>
    <w:link w:val="BodyText3"/>
    <w:uiPriority w:val="99"/>
    <w:semiHidden/>
    <w:rsid w:val="00DA6EFB"/>
    <w:rPr>
      <w:rFonts w:ascii="Book Antiqua" w:eastAsia="Times" w:hAnsi="Book Antiqua" w:cs="Times New Roman"/>
      <w:sz w:val="16"/>
      <w:szCs w:val="16"/>
    </w:rPr>
  </w:style>
  <w:style w:type="paragraph" w:styleId="BodyTextFirstIndent">
    <w:name w:val="Body Text First Indent"/>
    <w:basedOn w:val="BodyText"/>
    <w:link w:val="BodyTextFirstIndentChar"/>
    <w:uiPriority w:val="99"/>
    <w:semiHidden/>
    <w:unhideWhenUsed/>
    <w:rsid w:val="00DA6EFB"/>
    <w:pPr>
      <w:tabs>
        <w:tab w:val="clear" w:pos="950"/>
      </w:tabs>
      <w:spacing w:after="0"/>
      <w:ind w:firstLine="360"/>
      <w:jc w:val="left"/>
    </w:pPr>
    <w:rPr>
      <w:rFonts w:eastAsia="Times"/>
    </w:rPr>
  </w:style>
  <w:style w:type="character" w:customStyle="1" w:styleId="BodyTextFirstIndentChar">
    <w:name w:val="Body Text First Indent Char"/>
    <w:basedOn w:val="BodyTextChar"/>
    <w:link w:val="BodyTextFirstIndent"/>
    <w:uiPriority w:val="99"/>
    <w:semiHidden/>
    <w:rsid w:val="00DA6EFB"/>
    <w:rPr>
      <w:rFonts w:ascii="Book Antiqua" w:eastAsia="Times" w:hAnsi="Book Antiqua" w:cs="Times New Roman"/>
      <w:sz w:val="24"/>
      <w:szCs w:val="20"/>
    </w:rPr>
  </w:style>
  <w:style w:type="paragraph" w:styleId="BodyTextIndent">
    <w:name w:val="Body Text Indent"/>
    <w:basedOn w:val="Normal"/>
    <w:link w:val="BodyTextIndentChar"/>
    <w:uiPriority w:val="99"/>
    <w:semiHidden/>
    <w:unhideWhenUsed/>
    <w:rsid w:val="00DA6EFB"/>
    <w:pPr>
      <w:spacing w:after="120" w:line="264" w:lineRule="auto"/>
      <w:ind w:left="360"/>
    </w:pPr>
    <w:rPr>
      <w:rFonts w:eastAsia="Times" w:cs="Times New Roman"/>
      <w:szCs w:val="20"/>
    </w:rPr>
  </w:style>
  <w:style w:type="character" w:customStyle="1" w:styleId="BodyTextIndentChar">
    <w:name w:val="Body Text Indent Char"/>
    <w:basedOn w:val="DefaultParagraphFont"/>
    <w:link w:val="BodyTextIndent"/>
    <w:uiPriority w:val="99"/>
    <w:semiHidden/>
    <w:rsid w:val="00DA6EFB"/>
    <w:rPr>
      <w:rFonts w:ascii="Book Antiqua" w:eastAsia="Times" w:hAnsi="Book Antiqua" w:cs="Times New Roman"/>
      <w:szCs w:val="20"/>
    </w:rPr>
  </w:style>
  <w:style w:type="paragraph" w:styleId="BodyTextFirstIndent2">
    <w:name w:val="Body Text First Indent 2"/>
    <w:basedOn w:val="BodyTextIndent"/>
    <w:link w:val="BodyTextFirstIndent2Char"/>
    <w:uiPriority w:val="99"/>
    <w:semiHidden/>
    <w:unhideWhenUsed/>
    <w:rsid w:val="00DA6EFB"/>
    <w:pPr>
      <w:spacing w:after="0"/>
      <w:ind w:firstLine="360"/>
    </w:pPr>
  </w:style>
  <w:style w:type="character" w:customStyle="1" w:styleId="BodyTextFirstIndent2Char">
    <w:name w:val="Body Text First Indent 2 Char"/>
    <w:basedOn w:val="BodyTextIndentChar"/>
    <w:link w:val="BodyTextFirstIndent2"/>
    <w:uiPriority w:val="99"/>
    <w:semiHidden/>
    <w:rsid w:val="00DA6EFB"/>
    <w:rPr>
      <w:rFonts w:ascii="Book Antiqua" w:eastAsia="Times" w:hAnsi="Book Antiqua" w:cs="Times New Roman"/>
      <w:szCs w:val="20"/>
    </w:rPr>
  </w:style>
  <w:style w:type="paragraph" w:styleId="BodyTextIndent2">
    <w:name w:val="Body Text Indent 2"/>
    <w:basedOn w:val="Normal"/>
    <w:link w:val="BodyTextIndent2Char"/>
    <w:uiPriority w:val="99"/>
    <w:semiHidden/>
    <w:unhideWhenUsed/>
    <w:rsid w:val="00DA6EFB"/>
    <w:pPr>
      <w:spacing w:after="120" w:line="480" w:lineRule="auto"/>
      <w:ind w:left="360"/>
    </w:pPr>
    <w:rPr>
      <w:rFonts w:eastAsia="Times" w:cs="Times New Roman"/>
      <w:szCs w:val="20"/>
    </w:rPr>
  </w:style>
  <w:style w:type="character" w:customStyle="1" w:styleId="BodyTextIndent2Char">
    <w:name w:val="Body Text Indent 2 Char"/>
    <w:basedOn w:val="DefaultParagraphFont"/>
    <w:link w:val="BodyTextIndent2"/>
    <w:uiPriority w:val="99"/>
    <w:semiHidden/>
    <w:rsid w:val="00DA6EFB"/>
    <w:rPr>
      <w:rFonts w:ascii="Book Antiqua" w:eastAsia="Times" w:hAnsi="Book Antiqua" w:cs="Times New Roman"/>
      <w:szCs w:val="20"/>
    </w:rPr>
  </w:style>
  <w:style w:type="paragraph" w:styleId="BodyTextIndent3">
    <w:name w:val="Body Text Indent 3"/>
    <w:basedOn w:val="Normal"/>
    <w:link w:val="BodyTextIndent3Char"/>
    <w:uiPriority w:val="99"/>
    <w:semiHidden/>
    <w:unhideWhenUsed/>
    <w:rsid w:val="00DA6EFB"/>
    <w:pPr>
      <w:spacing w:after="120" w:line="264" w:lineRule="auto"/>
      <w:ind w:left="360"/>
    </w:pPr>
    <w:rPr>
      <w:rFonts w:eastAsia="Times" w:cs="Times New Roman"/>
      <w:sz w:val="16"/>
      <w:szCs w:val="16"/>
    </w:rPr>
  </w:style>
  <w:style w:type="character" w:customStyle="1" w:styleId="BodyTextIndent3Char">
    <w:name w:val="Body Text Indent 3 Char"/>
    <w:basedOn w:val="DefaultParagraphFont"/>
    <w:link w:val="BodyTextIndent3"/>
    <w:uiPriority w:val="99"/>
    <w:semiHidden/>
    <w:rsid w:val="00DA6EFB"/>
    <w:rPr>
      <w:rFonts w:ascii="Book Antiqua" w:eastAsia="Times" w:hAnsi="Book Antiqua" w:cs="Times New Roman"/>
      <w:sz w:val="16"/>
      <w:szCs w:val="16"/>
    </w:rPr>
  </w:style>
  <w:style w:type="paragraph" w:styleId="Closing">
    <w:name w:val="Closing"/>
    <w:basedOn w:val="Normal"/>
    <w:link w:val="ClosingChar"/>
    <w:uiPriority w:val="99"/>
    <w:semiHidden/>
    <w:unhideWhenUsed/>
    <w:rsid w:val="00DA6EFB"/>
    <w:pPr>
      <w:spacing w:line="264" w:lineRule="auto"/>
      <w:ind w:left="4320"/>
    </w:pPr>
    <w:rPr>
      <w:rFonts w:eastAsia="Times" w:cs="Times New Roman"/>
      <w:szCs w:val="20"/>
    </w:rPr>
  </w:style>
  <w:style w:type="character" w:customStyle="1" w:styleId="ClosingChar">
    <w:name w:val="Closing Char"/>
    <w:basedOn w:val="DefaultParagraphFont"/>
    <w:link w:val="Closing"/>
    <w:uiPriority w:val="99"/>
    <w:semiHidden/>
    <w:rsid w:val="00DA6EFB"/>
    <w:rPr>
      <w:rFonts w:ascii="Book Antiqua" w:eastAsia="Times" w:hAnsi="Book Antiqua" w:cs="Times New Roman"/>
      <w:szCs w:val="20"/>
    </w:rPr>
  </w:style>
  <w:style w:type="paragraph" w:styleId="Date">
    <w:name w:val="Date"/>
    <w:basedOn w:val="Normal"/>
    <w:next w:val="Normal"/>
    <w:link w:val="DateChar"/>
    <w:uiPriority w:val="99"/>
    <w:semiHidden/>
    <w:unhideWhenUsed/>
    <w:rsid w:val="00DA6EFB"/>
    <w:pPr>
      <w:spacing w:line="264" w:lineRule="auto"/>
    </w:pPr>
    <w:rPr>
      <w:rFonts w:eastAsia="Times" w:cs="Times New Roman"/>
      <w:szCs w:val="20"/>
    </w:rPr>
  </w:style>
  <w:style w:type="character" w:customStyle="1" w:styleId="DateChar">
    <w:name w:val="Date Char"/>
    <w:basedOn w:val="DefaultParagraphFont"/>
    <w:link w:val="Date"/>
    <w:uiPriority w:val="99"/>
    <w:semiHidden/>
    <w:rsid w:val="00DA6EFB"/>
    <w:rPr>
      <w:rFonts w:ascii="Book Antiqua" w:eastAsia="Times" w:hAnsi="Book Antiqua" w:cs="Times New Roman"/>
      <w:szCs w:val="20"/>
    </w:rPr>
  </w:style>
  <w:style w:type="paragraph" w:styleId="E-mailSignature">
    <w:name w:val="E-mail Signature"/>
    <w:basedOn w:val="Normal"/>
    <w:link w:val="E-mailSignatureChar"/>
    <w:uiPriority w:val="99"/>
    <w:semiHidden/>
    <w:unhideWhenUsed/>
    <w:rsid w:val="00DA6EFB"/>
    <w:pPr>
      <w:spacing w:line="264" w:lineRule="auto"/>
    </w:pPr>
    <w:rPr>
      <w:rFonts w:eastAsia="Times" w:cs="Times New Roman"/>
      <w:szCs w:val="20"/>
    </w:rPr>
  </w:style>
  <w:style w:type="character" w:customStyle="1" w:styleId="E-mailSignatureChar">
    <w:name w:val="E-mail Signature Char"/>
    <w:basedOn w:val="DefaultParagraphFont"/>
    <w:link w:val="E-mailSignature"/>
    <w:uiPriority w:val="99"/>
    <w:semiHidden/>
    <w:rsid w:val="00DA6EFB"/>
    <w:rPr>
      <w:rFonts w:ascii="Book Antiqua" w:eastAsia="Times" w:hAnsi="Book Antiqua" w:cs="Times New Roman"/>
      <w:szCs w:val="20"/>
    </w:rPr>
  </w:style>
  <w:style w:type="paragraph" w:styleId="EndnoteText">
    <w:name w:val="endnote text"/>
    <w:basedOn w:val="Normal"/>
    <w:link w:val="EndnoteTextChar"/>
    <w:uiPriority w:val="99"/>
    <w:semiHidden/>
    <w:unhideWhenUsed/>
    <w:rsid w:val="00DA6EFB"/>
    <w:pPr>
      <w:spacing w:line="264" w:lineRule="auto"/>
    </w:pPr>
    <w:rPr>
      <w:rFonts w:eastAsia="Times" w:cs="Times New Roman"/>
      <w:sz w:val="20"/>
      <w:szCs w:val="20"/>
    </w:rPr>
  </w:style>
  <w:style w:type="character" w:customStyle="1" w:styleId="EndnoteTextChar">
    <w:name w:val="Endnote Text Char"/>
    <w:basedOn w:val="DefaultParagraphFont"/>
    <w:link w:val="EndnoteText"/>
    <w:uiPriority w:val="99"/>
    <w:semiHidden/>
    <w:rsid w:val="00DA6EFB"/>
    <w:rPr>
      <w:rFonts w:ascii="Book Antiqua" w:eastAsia="Times" w:hAnsi="Book Antiqua" w:cs="Times New Roman"/>
      <w:sz w:val="20"/>
      <w:szCs w:val="20"/>
    </w:rPr>
  </w:style>
  <w:style w:type="paragraph" w:styleId="EnvelopeAddress">
    <w:name w:val="envelope address"/>
    <w:basedOn w:val="Normal"/>
    <w:uiPriority w:val="99"/>
    <w:semiHidden/>
    <w:unhideWhenUsed/>
    <w:rsid w:val="00DA6EFB"/>
    <w:pPr>
      <w:framePr w:w="7920" w:h="1980" w:hRule="exact" w:hSpace="180" w:wrap="auto" w:hAnchor="page" w:xAlign="center" w:yAlign="bottom"/>
      <w:spacing w:line="264"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DA6EFB"/>
    <w:pPr>
      <w:spacing w:line="264"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DA6EFB"/>
    <w:pPr>
      <w:spacing w:line="264" w:lineRule="auto"/>
    </w:pPr>
    <w:rPr>
      <w:rFonts w:eastAsia="Times" w:cs="Times New Roman"/>
      <w:i/>
      <w:iCs/>
      <w:szCs w:val="20"/>
    </w:rPr>
  </w:style>
  <w:style w:type="character" w:customStyle="1" w:styleId="HTMLAddressChar">
    <w:name w:val="HTML Address Char"/>
    <w:basedOn w:val="DefaultParagraphFont"/>
    <w:link w:val="HTMLAddress"/>
    <w:uiPriority w:val="99"/>
    <w:semiHidden/>
    <w:rsid w:val="00DA6EFB"/>
    <w:rPr>
      <w:rFonts w:ascii="Book Antiqua" w:eastAsia="Times" w:hAnsi="Book Antiqua" w:cs="Times New Roman"/>
      <w:i/>
      <w:iCs/>
      <w:szCs w:val="20"/>
    </w:rPr>
  </w:style>
  <w:style w:type="paragraph" w:styleId="HTMLPreformatted">
    <w:name w:val="HTML Preformatted"/>
    <w:basedOn w:val="Normal"/>
    <w:link w:val="HTMLPreformattedChar"/>
    <w:uiPriority w:val="99"/>
    <w:semiHidden/>
    <w:unhideWhenUsed/>
    <w:rsid w:val="00DA6EFB"/>
    <w:pPr>
      <w:spacing w:line="264" w:lineRule="auto"/>
    </w:pPr>
    <w:rPr>
      <w:rFonts w:ascii="Consolas" w:eastAsia="Times" w:hAnsi="Consolas" w:cs="Consolas"/>
      <w:sz w:val="20"/>
      <w:szCs w:val="20"/>
    </w:rPr>
  </w:style>
  <w:style w:type="character" w:customStyle="1" w:styleId="HTMLPreformattedChar">
    <w:name w:val="HTML Preformatted Char"/>
    <w:basedOn w:val="DefaultParagraphFont"/>
    <w:link w:val="HTMLPreformatted"/>
    <w:uiPriority w:val="99"/>
    <w:semiHidden/>
    <w:rsid w:val="00DA6EFB"/>
    <w:rPr>
      <w:rFonts w:ascii="Consolas" w:eastAsia="Times" w:hAnsi="Consolas" w:cs="Consolas"/>
      <w:sz w:val="20"/>
      <w:szCs w:val="20"/>
    </w:rPr>
  </w:style>
  <w:style w:type="paragraph" w:styleId="Index1">
    <w:name w:val="index 1"/>
    <w:basedOn w:val="Normal"/>
    <w:next w:val="Normal"/>
    <w:autoRedefine/>
    <w:uiPriority w:val="99"/>
    <w:semiHidden/>
    <w:unhideWhenUsed/>
    <w:rsid w:val="00DA6EFB"/>
    <w:pPr>
      <w:spacing w:line="264" w:lineRule="auto"/>
      <w:ind w:left="240" w:hanging="240"/>
    </w:pPr>
    <w:rPr>
      <w:rFonts w:eastAsia="Times" w:cs="Times New Roman"/>
      <w:szCs w:val="20"/>
    </w:rPr>
  </w:style>
  <w:style w:type="paragraph" w:styleId="Index2">
    <w:name w:val="index 2"/>
    <w:basedOn w:val="Normal"/>
    <w:next w:val="Normal"/>
    <w:autoRedefine/>
    <w:uiPriority w:val="99"/>
    <w:semiHidden/>
    <w:unhideWhenUsed/>
    <w:rsid w:val="00DA6EFB"/>
    <w:pPr>
      <w:spacing w:line="264" w:lineRule="auto"/>
      <w:ind w:left="480" w:hanging="240"/>
    </w:pPr>
    <w:rPr>
      <w:rFonts w:eastAsia="Times" w:cs="Times New Roman"/>
      <w:szCs w:val="20"/>
    </w:rPr>
  </w:style>
  <w:style w:type="paragraph" w:styleId="Index3">
    <w:name w:val="index 3"/>
    <w:basedOn w:val="Normal"/>
    <w:next w:val="Normal"/>
    <w:autoRedefine/>
    <w:uiPriority w:val="99"/>
    <w:semiHidden/>
    <w:unhideWhenUsed/>
    <w:rsid w:val="00DA6EFB"/>
    <w:pPr>
      <w:spacing w:line="264" w:lineRule="auto"/>
      <w:ind w:left="720" w:hanging="240"/>
    </w:pPr>
    <w:rPr>
      <w:rFonts w:eastAsia="Times" w:cs="Times New Roman"/>
      <w:szCs w:val="20"/>
    </w:rPr>
  </w:style>
  <w:style w:type="paragraph" w:styleId="Index4">
    <w:name w:val="index 4"/>
    <w:basedOn w:val="Normal"/>
    <w:next w:val="Normal"/>
    <w:autoRedefine/>
    <w:uiPriority w:val="99"/>
    <w:semiHidden/>
    <w:unhideWhenUsed/>
    <w:rsid w:val="00DA6EFB"/>
    <w:pPr>
      <w:spacing w:line="264" w:lineRule="auto"/>
      <w:ind w:left="960" w:hanging="240"/>
    </w:pPr>
    <w:rPr>
      <w:rFonts w:eastAsia="Times" w:cs="Times New Roman"/>
      <w:szCs w:val="20"/>
    </w:rPr>
  </w:style>
  <w:style w:type="paragraph" w:styleId="Index5">
    <w:name w:val="index 5"/>
    <w:basedOn w:val="Normal"/>
    <w:next w:val="Normal"/>
    <w:autoRedefine/>
    <w:uiPriority w:val="99"/>
    <w:semiHidden/>
    <w:unhideWhenUsed/>
    <w:rsid w:val="00DA6EFB"/>
    <w:pPr>
      <w:spacing w:line="264" w:lineRule="auto"/>
      <w:ind w:left="1200" w:hanging="240"/>
    </w:pPr>
    <w:rPr>
      <w:rFonts w:eastAsia="Times" w:cs="Times New Roman"/>
      <w:szCs w:val="20"/>
    </w:rPr>
  </w:style>
  <w:style w:type="paragraph" w:styleId="Index6">
    <w:name w:val="index 6"/>
    <w:basedOn w:val="Normal"/>
    <w:next w:val="Normal"/>
    <w:autoRedefine/>
    <w:uiPriority w:val="99"/>
    <w:semiHidden/>
    <w:unhideWhenUsed/>
    <w:rsid w:val="00DA6EFB"/>
    <w:pPr>
      <w:spacing w:line="264" w:lineRule="auto"/>
      <w:ind w:left="1440" w:hanging="240"/>
    </w:pPr>
    <w:rPr>
      <w:rFonts w:eastAsia="Times" w:cs="Times New Roman"/>
      <w:szCs w:val="20"/>
    </w:rPr>
  </w:style>
  <w:style w:type="paragraph" w:styleId="Index7">
    <w:name w:val="index 7"/>
    <w:basedOn w:val="Normal"/>
    <w:next w:val="Normal"/>
    <w:autoRedefine/>
    <w:uiPriority w:val="99"/>
    <w:semiHidden/>
    <w:unhideWhenUsed/>
    <w:rsid w:val="00DA6EFB"/>
    <w:pPr>
      <w:spacing w:line="264" w:lineRule="auto"/>
      <w:ind w:left="1680" w:hanging="240"/>
    </w:pPr>
    <w:rPr>
      <w:rFonts w:eastAsia="Times" w:cs="Times New Roman"/>
      <w:szCs w:val="20"/>
    </w:rPr>
  </w:style>
  <w:style w:type="paragraph" w:styleId="Index8">
    <w:name w:val="index 8"/>
    <w:basedOn w:val="Normal"/>
    <w:next w:val="Normal"/>
    <w:autoRedefine/>
    <w:uiPriority w:val="99"/>
    <w:semiHidden/>
    <w:unhideWhenUsed/>
    <w:rsid w:val="00DA6EFB"/>
    <w:pPr>
      <w:spacing w:line="264" w:lineRule="auto"/>
      <w:ind w:left="1920" w:hanging="240"/>
    </w:pPr>
    <w:rPr>
      <w:rFonts w:eastAsia="Times" w:cs="Times New Roman"/>
      <w:szCs w:val="20"/>
    </w:rPr>
  </w:style>
  <w:style w:type="paragraph" w:styleId="Index9">
    <w:name w:val="index 9"/>
    <w:basedOn w:val="Normal"/>
    <w:next w:val="Normal"/>
    <w:autoRedefine/>
    <w:uiPriority w:val="99"/>
    <w:semiHidden/>
    <w:unhideWhenUsed/>
    <w:rsid w:val="00DA6EFB"/>
    <w:pPr>
      <w:spacing w:line="264" w:lineRule="auto"/>
      <w:ind w:left="2160" w:hanging="240"/>
    </w:pPr>
    <w:rPr>
      <w:rFonts w:eastAsia="Times" w:cs="Times New Roman"/>
      <w:szCs w:val="20"/>
    </w:rPr>
  </w:style>
  <w:style w:type="paragraph" w:styleId="IndexHeading">
    <w:name w:val="index heading"/>
    <w:basedOn w:val="Normal"/>
    <w:next w:val="Index1"/>
    <w:uiPriority w:val="99"/>
    <w:semiHidden/>
    <w:unhideWhenUsed/>
    <w:rsid w:val="00DA6EFB"/>
    <w:pPr>
      <w:spacing w:line="264" w:lineRule="auto"/>
    </w:pPr>
    <w:rPr>
      <w:rFonts w:asciiTheme="majorHAnsi" w:eastAsiaTheme="majorEastAsia" w:hAnsiTheme="majorHAnsi" w:cstheme="majorBidi"/>
      <w:b/>
      <w:bCs/>
      <w:szCs w:val="20"/>
    </w:rPr>
  </w:style>
  <w:style w:type="paragraph" w:styleId="IntenseQuote">
    <w:name w:val="Intense Quote"/>
    <w:basedOn w:val="Normal"/>
    <w:next w:val="Normal"/>
    <w:link w:val="IntenseQuoteChar"/>
    <w:uiPriority w:val="30"/>
    <w:qFormat/>
    <w:rsid w:val="00DA6EFB"/>
    <w:pPr>
      <w:pBdr>
        <w:bottom w:val="single" w:sz="4" w:space="4" w:color="4F81BD" w:themeColor="accent1"/>
      </w:pBdr>
      <w:spacing w:before="200" w:after="280" w:line="264" w:lineRule="auto"/>
      <w:ind w:left="936" w:right="936"/>
    </w:pPr>
    <w:rPr>
      <w:rFonts w:eastAsia="Times" w:cs="Times New Roman"/>
      <w:b/>
      <w:bCs/>
      <w:i/>
      <w:iCs/>
      <w:color w:val="4F81BD" w:themeColor="accent1"/>
      <w:szCs w:val="20"/>
    </w:rPr>
  </w:style>
  <w:style w:type="character" w:customStyle="1" w:styleId="IntenseQuoteChar">
    <w:name w:val="Intense Quote Char"/>
    <w:basedOn w:val="DefaultParagraphFont"/>
    <w:link w:val="IntenseQuote"/>
    <w:uiPriority w:val="30"/>
    <w:rsid w:val="00DA6EFB"/>
    <w:rPr>
      <w:rFonts w:ascii="Book Antiqua" w:eastAsia="Times" w:hAnsi="Book Antiqua" w:cs="Times New Roman"/>
      <w:b/>
      <w:bCs/>
      <w:i/>
      <w:iCs/>
      <w:color w:val="4F81BD" w:themeColor="accent1"/>
      <w:szCs w:val="20"/>
    </w:rPr>
  </w:style>
  <w:style w:type="paragraph" w:styleId="List">
    <w:name w:val="List"/>
    <w:basedOn w:val="Normal"/>
    <w:uiPriority w:val="99"/>
    <w:semiHidden/>
    <w:unhideWhenUsed/>
    <w:rsid w:val="00DA6EFB"/>
    <w:pPr>
      <w:spacing w:line="264" w:lineRule="auto"/>
      <w:ind w:left="360" w:hanging="360"/>
      <w:contextualSpacing/>
    </w:pPr>
    <w:rPr>
      <w:rFonts w:eastAsia="Times" w:cs="Times New Roman"/>
      <w:szCs w:val="20"/>
    </w:rPr>
  </w:style>
  <w:style w:type="paragraph" w:styleId="List2">
    <w:name w:val="List 2"/>
    <w:basedOn w:val="Normal"/>
    <w:uiPriority w:val="99"/>
    <w:semiHidden/>
    <w:unhideWhenUsed/>
    <w:rsid w:val="00DA6EFB"/>
    <w:pPr>
      <w:spacing w:line="264" w:lineRule="auto"/>
      <w:ind w:left="720" w:hanging="360"/>
      <w:contextualSpacing/>
    </w:pPr>
    <w:rPr>
      <w:rFonts w:eastAsia="Times" w:cs="Times New Roman"/>
      <w:szCs w:val="20"/>
    </w:rPr>
  </w:style>
  <w:style w:type="paragraph" w:styleId="List3">
    <w:name w:val="List 3"/>
    <w:basedOn w:val="Normal"/>
    <w:uiPriority w:val="99"/>
    <w:semiHidden/>
    <w:unhideWhenUsed/>
    <w:rsid w:val="00DA6EFB"/>
    <w:pPr>
      <w:spacing w:line="264" w:lineRule="auto"/>
      <w:ind w:left="1080" w:hanging="360"/>
      <w:contextualSpacing/>
    </w:pPr>
    <w:rPr>
      <w:rFonts w:eastAsia="Times" w:cs="Times New Roman"/>
      <w:szCs w:val="20"/>
    </w:rPr>
  </w:style>
  <w:style w:type="paragraph" w:styleId="List4">
    <w:name w:val="List 4"/>
    <w:basedOn w:val="Normal"/>
    <w:uiPriority w:val="99"/>
    <w:semiHidden/>
    <w:unhideWhenUsed/>
    <w:rsid w:val="00DA6EFB"/>
    <w:pPr>
      <w:spacing w:line="264" w:lineRule="auto"/>
      <w:ind w:left="1440" w:hanging="360"/>
      <w:contextualSpacing/>
    </w:pPr>
    <w:rPr>
      <w:rFonts w:eastAsia="Times" w:cs="Times New Roman"/>
      <w:szCs w:val="20"/>
    </w:rPr>
  </w:style>
  <w:style w:type="paragraph" w:styleId="List5">
    <w:name w:val="List 5"/>
    <w:basedOn w:val="Normal"/>
    <w:uiPriority w:val="99"/>
    <w:semiHidden/>
    <w:unhideWhenUsed/>
    <w:rsid w:val="00DA6EFB"/>
    <w:pPr>
      <w:spacing w:line="264" w:lineRule="auto"/>
      <w:ind w:left="1800" w:hanging="360"/>
      <w:contextualSpacing/>
    </w:pPr>
    <w:rPr>
      <w:rFonts w:eastAsia="Times" w:cs="Times New Roman"/>
      <w:szCs w:val="20"/>
    </w:rPr>
  </w:style>
  <w:style w:type="paragraph" w:styleId="ListBullet2">
    <w:name w:val="List Bullet 2"/>
    <w:basedOn w:val="Normal"/>
    <w:uiPriority w:val="99"/>
    <w:semiHidden/>
    <w:unhideWhenUsed/>
    <w:rsid w:val="00DA6EFB"/>
    <w:pPr>
      <w:numPr>
        <w:numId w:val="138"/>
      </w:numPr>
      <w:spacing w:line="264" w:lineRule="auto"/>
      <w:contextualSpacing/>
    </w:pPr>
    <w:rPr>
      <w:rFonts w:eastAsia="Times" w:cs="Times New Roman"/>
      <w:szCs w:val="20"/>
    </w:rPr>
  </w:style>
  <w:style w:type="paragraph" w:styleId="ListBullet3">
    <w:name w:val="List Bullet 3"/>
    <w:basedOn w:val="Normal"/>
    <w:uiPriority w:val="99"/>
    <w:semiHidden/>
    <w:unhideWhenUsed/>
    <w:rsid w:val="00DA6EFB"/>
    <w:pPr>
      <w:numPr>
        <w:numId w:val="139"/>
      </w:numPr>
      <w:spacing w:line="264" w:lineRule="auto"/>
      <w:contextualSpacing/>
    </w:pPr>
    <w:rPr>
      <w:rFonts w:eastAsia="Times" w:cs="Times New Roman"/>
      <w:szCs w:val="20"/>
    </w:rPr>
  </w:style>
  <w:style w:type="paragraph" w:styleId="ListBullet4">
    <w:name w:val="List Bullet 4"/>
    <w:basedOn w:val="Normal"/>
    <w:uiPriority w:val="99"/>
    <w:semiHidden/>
    <w:unhideWhenUsed/>
    <w:rsid w:val="00DA6EFB"/>
    <w:pPr>
      <w:numPr>
        <w:numId w:val="140"/>
      </w:numPr>
      <w:spacing w:line="264" w:lineRule="auto"/>
      <w:contextualSpacing/>
    </w:pPr>
    <w:rPr>
      <w:rFonts w:eastAsia="Times" w:cs="Times New Roman"/>
      <w:szCs w:val="20"/>
    </w:rPr>
  </w:style>
  <w:style w:type="paragraph" w:styleId="ListBullet5">
    <w:name w:val="List Bullet 5"/>
    <w:basedOn w:val="Normal"/>
    <w:uiPriority w:val="99"/>
    <w:semiHidden/>
    <w:unhideWhenUsed/>
    <w:rsid w:val="00DA6EFB"/>
    <w:pPr>
      <w:numPr>
        <w:numId w:val="141"/>
      </w:numPr>
      <w:spacing w:line="264" w:lineRule="auto"/>
      <w:contextualSpacing/>
    </w:pPr>
    <w:rPr>
      <w:rFonts w:eastAsia="Times" w:cs="Times New Roman"/>
      <w:szCs w:val="20"/>
    </w:rPr>
  </w:style>
  <w:style w:type="paragraph" w:styleId="ListContinue">
    <w:name w:val="List Continue"/>
    <w:basedOn w:val="Normal"/>
    <w:uiPriority w:val="99"/>
    <w:semiHidden/>
    <w:unhideWhenUsed/>
    <w:rsid w:val="00DA6EFB"/>
    <w:pPr>
      <w:spacing w:after="120" w:line="264" w:lineRule="auto"/>
      <w:ind w:left="360"/>
      <w:contextualSpacing/>
    </w:pPr>
    <w:rPr>
      <w:rFonts w:eastAsia="Times" w:cs="Times New Roman"/>
      <w:szCs w:val="20"/>
    </w:rPr>
  </w:style>
  <w:style w:type="paragraph" w:styleId="ListContinue2">
    <w:name w:val="List Continue 2"/>
    <w:basedOn w:val="Normal"/>
    <w:uiPriority w:val="99"/>
    <w:semiHidden/>
    <w:unhideWhenUsed/>
    <w:rsid w:val="00DA6EFB"/>
    <w:pPr>
      <w:spacing w:after="120" w:line="264" w:lineRule="auto"/>
      <w:ind w:left="720"/>
      <w:contextualSpacing/>
    </w:pPr>
    <w:rPr>
      <w:rFonts w:eastAsia="Times" w:cs="Times New Roman"/>
      <w:szCs w:val="20"/>
    </w:rPr>
  </w:style>
  <w:style w:type="paragraph" w:styleId="ListContinue3">
    <w:name w:val="List Continue 3"/>
    <w:basedOn w:val="Normal"/>
    <w:uiPriority w:val="99"/>
    <w:semiHidden/>
    <w:unhideWhenUsed/>
    <w:rsid w:val="00DA6EFB"/>
    <w:pPr>
      <w:spacing w:after="120" w:line="264" w:lineRule="auto"/>
      <w:ind w:left="1080"/>
      <w:contextualSpacing/>
    </w:pPr>
    <w:rPr>
      <w:rFonts w:eastAsia="Times" w:cs="Times New Roman"/>
      <w:szCs w:val="20"/>
    </w:rPr>
  </w:style>
  <w:style w:type="paragraph" w:styleId="ListContinue4">
    <w:name w:val="List Continue 4"/>
    <w:basedOn w:val="Normal"/>
    <w:uiPriority w:val="99"/>
    <w:semiHidden/>
    <w:unhideWhenUsed/>
    <w:rsid w:val="00DA6EFB"/>
    <w:pPr>
      <w:spacing w:after="120" w:line="264" w:lineRule="auto"/>
      <w:ind w:left="1440"/>
      <w:contextualSpacing/>
    </w:pPr>
    <w:rPr>
      <w:rFonts w:eastAsia="Times" w:cs="Times New Roman"/>
      <w:szCs w:val="20"/>
    </w:rPr>
  </w:style>
  <w:style w:type="paragraph" w:styleId="ListContinue5">
    <w:name w:val="List Continue 5"/>
    <w:basedOn w:val="Normal"/>
    <w:uiPriority w:val="99"/>
    <w:semiHidden/>
    <w:unhideWhenUsed/>
    <w:rsid w:val="00DA6EFB"/>
    <w:pPr>
      <w:spacing w:after="120" w:line="264" w:lineRule="auto"/>
      <w:ind w:left="1800"/>
      <w:contextualSpacing/>
    </w:pPr>
    <w:rPr>
      <w:rFonts w:eastAsia="Times" w:cs="Times New Roman"/>
      <w:szCs w:val="20"/>
    </w:rPr>
  </w:style>
  <w:style w:type="paragraph" w:styleId="ListNumber2">
    <w:name w:val="List Number 2"/>
    <w:basedOn w:val="Normal"/>
    <w:uiPriority w:val="99"/>
    <w:semiHidden/>
    <w:unhideWhenUsed/>
    <w:rsid w:val="00DA6EFB"/>
    <w:pPr>
      <w:numPr>
        <w:numId w:val="142"/>
      </w:numPr>
      <w:spacing w:line="264" w:lineRule="auto"/>
      <w:contextualSpacing/>
    </w:pPr>
    <w:rPr>
      <w:rFonts w:eastAsia="Times" w:cs="Times New Roman"/>
      <w:szCs w:val="20"/>
    </w:rPr>
  </w:style>
  <w:style w:type="paragraph" w:styleId="ListNumber3">
    <w:name w:val="List Number 3"/>
    <w:basedOn w:val="Normal"/>
    <w:uiPriority w:val="99"/>
    <w:semiHidden/>
    <w:unhideWhenUsed/>
    <w:rsid w:val="00DA6EFB"/>
    <w:pPr>
      <w:numPr>
        <w:numId w:val="143"/>
      </w:numPr>
      <w:spacing w:line="264" w:lineRule="auto"/>
      <w:contextualSpacing/>
    </w:pPr>
    <w:rPr>
      <w:rFonts w:eastAsia="Times" w:cs="Times New Roman"/>
      <w:szCs w:val="20"/>
    </w:rPr>
  </w:style>
  <w:style w:type="paragraph" w:styleId="ListNumber4">
    <w:name w:val="List Number 4"/>
    <w:basedOn w:val="Normal"/>
    <w:uiPriority w:val="99"/>
    <w:semiHidden/>
    <w:unhideWhenUsed/>
    <w:rsid w:val="00DA6EFB"/>
    <w:pPr>
      <w:numPr>
        <w:numId w:val="144"/>
      </w:numPr>
      <w:spacing w:line="264" w:lineRule="auto"/>
      <w:contextualSpacing/>
    </w:pPr>
    <w:rPr>
      <w:rFonts w:eastAsia="Times" w:cs="Times New Roman"/>
      <w:szCs w:val="20"/>
    </w:rPr>
  </w:style>
  <w:style w:type="paragraph" w:styleId="ListNumber5">
    <w:name w:val="List Number 5"/>
    <w:basedOn w:val="Normal"/>
    <w:uiPriority w:val="99"/>
    <w:semiHidden/>
    <w:unhideWhenUsed/>
    <w:rsid w:val="00DA6EFB"/>
    <w:pPr>
      <w:numPr>
        <w:numId w:val="145"/>
      </w:numPr>
      <w:spacing w:line="264" w:lineRule="auto"/>
      <w:contextualSpacing/>
    </w:pPr>
    <w:rPr>
      <w:rFonts w:eastAsia="Times" w:cs="Times New Roman"/>
      <w:szCs w:val="20"/>
    </w:rPr>
  </w:style>
  <w:style w:type="paragraph" w:styleId="MacroText">
    <w:name w:val="macro"/>
    <w:link w:val="MacroTextChar"/>
    <w:uiPriority w:val="99"/>
    <w:semiHidden/>
    <w:unhideWhenUsed/>
    <w:rsid w:val="00DA6EFB"/>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w:hAnsi="Consolas" w:cs="Consolas"/>
      <w:sz w:val="20"/>
      <w:szCs w:val="20"/>
    </w:rPr>
  </w:style>
  <w:style w:type="character" w:customStyle="1" w:styleId="MacroTextChar">
    <w:name w:val="Macro Text Char"/>
    <w:basedOn w:val="DefaultParagraphFont"/>
    <w:link w:val="MacroText"/>
    <w:uiPriority w:val="99"/>
    <w:semiHidden/>
    <w:rsid w:val="00DA6EFB"/>
    <w:rPr>
      <w:rFonts w:ascii="Consolas" w:eastAsia="Times" w:hAnsi="Consolas" w:cs="Consolas"/>
      <w:sz w:val="20"/>
      <w:szCs w:val="20"/>
    </w:rPr>
  </w:style>
  <w:style w:type="paragraph" w:styleId="MessageHeader">
    <w:name w:val="Message Header"/>
    <w:basedOn w:val="Normal"/>
    <w:link w:val="MessageHeaderChar"/>
    <w:uiPriority w:val="99"/>
    <w:semiHidden/>
    <w:unhideWhenUsed/>
    <w:rsid w:val="00DA6EFB"/>
    <w:pPr>
      <w:pBdr>
        <w:top w:val="single" w:sz="6" w:space="1" w:color="auto"/>
        <w:left w:val="single" w:sz="6" w:space="1" w:color="auto"/>
        <w:bottom w:val="single" w:sz="6" w:space="1" w:color="auto"/>
        <w:right w:val="single" w:sz="6" w:space="1" w:color="auto"/>
      </w:pBdr>
      <w:shd w:val="pct20" w:color="auto" w:fill="auto"/>
      <w:spacing w:line="264" w:lineRule="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DA6EFB"/>
    <w:rPr>
      <w:rFonts w:asciiTheme="majorHAnsi" w:eastAsiaTheme="majorEastAsia" w:hAnsiTheme="majorHAnsi" w:cstheme="majorBidi"/>
      <w:szCs w:val="24"/>
      <w:shd w:val="pct20" w:color="auto" w:fill="auto"/>
    </w:rPr>
  </w:style>
  <w:style w:type="paragraph" w:styleId="NormalIndent">
    <w:name w:val="Normal Indent"/>
    <w:basedOn w:val="Normal"/>
    <w:uiPriority w:val="99"/>
    <w:semiHidden/>
    <w:unhideWhenUsed/>
    <w:rsid w:val="00DA6EFB"/>
    <w:pPr>
      <w:spacing w:line="264" w:lineRule="auto"/>
      <w:ind w:left="720"/>
    </w:pPr>
    <w:rPr>
      <w:rFonts w:eastAsia="Times" w:cs="Times New Roman"/>
      <w:szCs w:val="20"/>
    </w:rPr>
  </w:style>
  <w:style w:type="paragraph" w:styleId="NoteHeading">
    <w:name w:val="Note Heading"/>
    <w:basedOn w:val="Normal"/>
    <w:next w:val="Normal"/>
    <w:link w:val="NoteHeadingChar"/>
    <w:uiPriority w:val="99"/>
    <w:semiHidden/>
    <w:unhideWhenUsed/>
    <w:rsid w:val="00DA6EFB"/>
    <w:pPr>
      <w:spacing w:line="264" w:lineRule="auto"/>
    </w:pPr>
    <w:rPr>
      <w:rFonts w:eastAsia="Times" w:cs="Times New Roman"/>
      <w:szCs w:val="20"/>
    </w:rPr>
  </w:style>
  <w:style w:type="character" w:customStyle="1" w:styleId="NoteHeadingChar">
    <w:name w:val="Note Heading Char"/>
    <w:basedOn w:val="DefaultParagraphFont"/>
    <w:link w:val="NoteHeading"/>
    <w:uiPriority w:val="99"/>
    <w:semiHidden/>
    <w:rsid w:val="00DA6EFB"/>
    <w:rPr>
      <w:rFonts w:ascii="Book Antiqua" w:eastAsia="Times" w:hAnsi="Book Antiqua" w:cs="Times New Roman"/>
      <w:szCs w:val="20"/>
    </w:rPr>
  </w:style>
  <w:style w:type="paragraph" w:styleId="PlainText">
    <w:name w:val="Plain Text"/>
    <w:basedOn w:val="Normal"/>
    <w:link w:val="PlainTextChar"/>
    <w:uiPriority w:val="99"/>
    <w:semiHidden/>
    <w:unhideWhenUsed/>
    <w:rsid w:val="00DA6EFB"/>
    <w:pPr>
      <w:spacing w:line="264" w:lineRule="auto"/>
    </w:pPr>
    <w:rPr>
      <w:rFonts w:ascii="Consolas" w:eastAsia="Times" w:hAnsi="Consolas" w:cs="Consolas"/>
      <w:sz w:val="21"/>
      <w:szCs w:val="21"/>
    </w:rPr>
  </w:style>
  <w:style w:type="character" w:customStyle="1" w:styleId="PlainTextChar">
    <w:name w:val="Plain Text Char"/>
    <w:basedOn w:val="DefaultParagraphFont"/>
    <w:link w:val="PlainText"/>
    <w:uiPriority w:val="99"/>
    <w:semiHidden/>
    <w:rsid w:val="00DA6EFB"/>
    <w:rPr>
      <w:rFonts w:ascii="Consolas" w:eastAsia="Times" w:hAnsi="Consolas" w:cs="Consolas"/>
      <w:sz w:val="21"/>
      <w:szCs w:val="21"/>
    </w:rPr>
  </w:style>
  <w:style w:type="paragraph" w:styleId="Quote">
    <w:name w:val="Quote"/>
    <w:basedOn w:val="Normal"/>
    <w:next w:val="Normal"/>
    <w:link w:val="QuoteChar"/>
    <w:uiPriority w:val="29"/>
    <w:qFormat/>
    <w:rsid w:val="00DA6EFB"/>
    <w:pPr>
      <w:spacing w:line="264" w:lineRule="auto"/>
    </w:pPr>
    <w:rPr>
      <w:rFonts w:eastAsia="Times" w:cs="Times New Roman"/>
      <w:i/>
      <w:iCs/>
      <w:color w:val="000000" w:themeColor="text1"/>
      <w:szCs w:val="20"/>
    </w:rPr>
  </w:style>
  <w:style w:type="character" w:customStyle="1" w:styleId="QuoteChar">
    <w:name w:val="Quote Char"/>
    <w:basedOn w:val="DefaultParagraphFont"/>
    <w:link w:val="Quote"/>
    <w:uiPriority w:val="29"/>
    <w:rsid w:val="00DA6EFB"/>
    <w:rPr>
      <w:rFonts w:ascii="Book Antiqua" w:eastAsia="Times" w:hAnsi="Book Antiqua" w:cs="Times New Roman"/>
      <w:i/>
      <w:iCs/>
      <w:color w:val="000000" w:themeColor="text1"/>
      <w:szCs w:val="20"/>
    </w:rPr>
  </w:style>
  <w:style w:type="paragraph" w:styleId="Salutation">
    <w:name w:val="Salutation"/>
    <w:basedOn w:val="Normal"/>
    <w:next w:val="Normal"/>
    <w:link w:val="SalutationChar"/>
    <w:uiPriority w:val="99"/>
    <w:semiHidden/>
    <w:unhideWhenUsed/>
    <w:rsid w:val="00DA6EFB"/>
    <w:pPr>
      <w:spacing w:line="264" w:lineRule="auto"/>
    </w:pPr>
    <w:rPr>
      <w:rFonts w:eastAsia="Times" w:cs="Times New Roman"/>
      <w:szCs w:val="20"/>
    </w:rPr>
  </w:style>
  <w:style w:type="character" w:customStyle="1" w:styleId="SalutationChar">
    <w:name w:val="Salutation Char"/>
    <w:basedOn w:val="DefaultParagraphFont"/>
    <w:link w:val="Salutation"/>
    <w:uiPriority w:val="99"/>
    <w:semiHidden/>
    <w:rsid w:val="00DA6EFB"/>
    <w:rPr>
      <w:rFonts w:ascii="Book Antiqua" w:eastAsia="Times" w:hAnsi="Book Antiqua" w:cs="Times New Roman"/>
      <w:szCs w:val="20"/>
    </w:rPr>
  </w:style>
  <w:style w:type="paragraph" w:styleId="Signature">
    <w:name w:val="Signature"/>
    <w:basedOn w:val="Normal"/>
    <w:link w:val="SignatureChar"/>
    <w:uiPriority w:val="99"/>
    <w:semiHidden/>
    <w:unhideWhenUsed/>
    <w:rsid w:val="00DA6EFB"/>
    <w:pPr>
      <w:spacing w:line="264" w:lineRule="auto"/>
      <w:ind w:left="4320"/>
    </w:pPr>
    <w:rPr>
      <w:rFonts w:eastAsia="Times" w:cs="Times New Roman"/>
      <w:szCs w:val="20"/>
    </w:rPr>
  </w:style>
  <w:style w:type="character" w:customStyle="1" w:styleId="SignatureChar">
    <w:name w:val="Signature Char"/>
    <w:basedOn w:val="DefaultParagraphFont"/>
    <w:link w:val="Signature"/>
    <w:uiPriority w:val="99"/>
    <w:semiHidden/>
    <w:rsid w:val="00DA6EFB"/>
    <w:rPr>
      <w:rFonts w:ascii="Book Antiqua" w:eastAsia="Times" w:hAnsi="Book Antiqua" w:cs="Times New Roman"/>
      <w:szCs w:val="20"/>
    </w:rPr>
  </w:style>
  <w:style w:type="paragraph" w:styleId="Subtitle">
    <w:name w:val="Subtitle"/>
    <w:basedOn w:val="Normal"/>
    <w:next w:val="Normal"/>
    <w:link w:val="SubtitleChar"/>
    <w:uiPriority w:val="11"/>
    <w:qFormat/>
    <w:rsid w:val="00DA6EFB"/>
    <w:pPr>
      <w:numPr>
        <w:ilvl w:val="1"/>
      </w:numPr>
      <w:spacing w:line="264" w:lineRule="auto"/>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DA6EFB"/>
    <w:rPr>
      <w:rFonts w:asciiTheme="majorHAnsi" w:eastAsiaTheme="majorEastAsia" w:hAnsiTheme="majorHAnsi" w:cstheme="majorBidi"/>
      <w:i/>
      <w:iCs/>
      <w:color w:val="4F81BD" w:themeColor="accent1"/>
      <w:spacing w:val="15"/>
      <w:szCs w:val="24"/>
    </w:rPr>
  </w:style>
  <w:style w:type="paragraph" w:styleId="TableofAuthorities">
    <w:name w:val="table of authorities"/>
    <w:basedOn w:val="Normal"/>
    <w:next w:val="Normal"/>
    <w:uiPriority w:val="99"/>
    <w:semiHidden/>
    <w:unhideWhenUsed/>
    <w:rsid w:val="00DA6EFB"/>
    <w:pPr>
      <w:spacing w:line="264" w:lineRule="auto"/>
      <w:ind w:left="240" w:hanging="240"/>
    </w:pPr>
    <w:rPr>
      <w:rFonts w:eastAsia="Times" w:cs="Times New Roman"/>
      <w:szCs w:val="20"/>
    </w:rPr>
  </w:style>
  <w:style w:type="paragraph" w:styleId="TOAHeading">
    <w:name w:val="toa heading"/>
    <w:basedOn w:val="Normal"/>
    <w:next w:val="Normal"/>
    <w:uiPriority w:val="99"/>
    <w:semiHidden/>
    <w:unhideWhenUsed/>
    <w:rsid w:val="00DA6EFB"/>
    <w:pPr>
      <w:spacing w:before="120" w:line="264" w:lineRule="auto"/>
    </w:pPr>
    <w:rPr>
      <w:rFonts w:asciiTheme="majorHAnsi" w:eastAsiaTheme="majorEastAsia" w:hAnsiTheme="majorHAnsi" w:cstheme="majorBidi"/>
      <w:b/>
      <w:bCs/>
      <w:szCs w:val="24"/>
    </w:rPr>
  </w:style>
  <w:style w:type="paragraph" w:customStyle="1" w:styleId="AppendixHeading">
    <w:name w:val="AppendixHeading"/>
    <w:basedOn w:val="Heading1"/>
    <w:link w:val="AppendixHeadingChar"/>
    <w:qFormat/>
    <w:rsid w:val="00DA6EFB"/>
    <w:pPr>
      <w:keepLines w:val="0"/>
      <w:pageBreakBefore/>
      <w:numPr>
        <w:numId w:val="146"/>
      </w:numPr>
      <w:pBdr>
        <w:bottom w:val="none" w:sz="0" w:space="0" w:color="auto"/>
      </w:pBdr>
      <w:tabs>
        <w:tab w:val="clear" w:pos="2520"/>
        <w:tab w:val="left" w:pos="2160"/>
      </w:tabs>
      <w:spacing w:before="0" w:after="240" w:line="360" w:lineRule="exact"/>
    </w:pPr>
    <w:rPr>
      <w:rFonts w:eastAsia="Times New Roman" w:cs="Times New Roman"/>
      <w:caps w:val="0"/>
      <w:szCs w:val="20"/>
    </w:rPr>
  </w:style>
  <w:style w:type="character" w:customStyle="1" w:styleId="AppendixHeadingChar">
    <w:name w:val="AppendixHeading Char"/>
    <w:basedOn w:val="Heading1Char"/>
    <w:link w:val="AppendixHeading"/>
    <w:rsid w:val="00DA6EFB"/>
    <w:rPr>
      <w:rFonts w:ascii="Book Antiqua" w:eastAsia="Times New Roman" w:hAnsi="Book Antiqua" w:cs="Times New Roman"/>
      <w:b/>
      <w:caps/>
      <w:sz w:val="32"/>
      <w:szCs w:val="20"/>
    </w:rPr>
  </w:style>
  <w:style w:type="character" w:customStyle="1" w:styleId="cit-pub-dt">
    <w:name w:val="cit-pub-dt"/>
    <w:basedOn w:val="DefaultParagraphFont"/>
    <w:rsid w:val="00DA6EFB"/>
  </w:style>
  <w:style w:type="character" w:customStyle="1" w:styleId="cit-vol">
    <w:name w:val="cit-vol"/>
    <w:basedOn w:val="DefaultParagraphFont"/>
    <w:rsid w:val="00DA6EFB"/>
  </w:style>
  <w:style w:type="character" w:customStyle="1" w:styleId="cit-issue">
    <w:name w:val="cit-issue"/>
    <w:basedOn w:val="DefaultParagraphFont"/>
    <w:rsid w:val="00DA6EFB"/>
  </w:style>
  <w:style w:type="character" w:customStyle="1" w:styleId="cit-sep">
    <w:name w:val="cit-sep"/>
    <w:basedOn w:val="DefaultParagraphFont"/>
    <w:rsid w:val="00DA6EFB"/>
  </w:style>
  <w:style w:type="character" w:customStyle="1" w:styleId="cit-pages-fpage">
    <w:name w:val="cit-pages-fpage"/>
    <w:basedOn w:val="DefaultParagraphFont"/>
    <w:rsid w:val="00DA6EFB"/>
  </w:style>
  <w:style w:type="character" w:customStyle="1" w:styleId="cit-pages-lpage">
    <w:name w:val="cit-pages-lpage"/>
    <w:basedOn w:val="DefaultParagraphFont"/>
    <w:rsid w:val="00DA6EFB"/>
  </w:style>
  <w:style w:type="character" w:styleId="HTMLCite">
    <w:name w:val="HTML Cite"/>
    <w:basedOn w:val="DefaultParagraphFont"/>
    <w:uiPriority w:val="99"/>
    <w:semiHidden/>
    <w:unhideWhenUsed/>
    <w:rsid w:val="00DA6EFB"/>
    <w:rPr>
      <w:i/>
      <w:iCs/>
    </w:rPr>
  </w:style>
  <w:style w:type="character" w:customStyle="1" w:styleId="TextCharCharCharCharCharCharCharChar">
    <w:name w:val="Text Char Char Char Char Char Char Char Char"/>
    <w:basedOn w:val="DefaultParagraphFont"/>
    <w:rsid w:val="00DA6EFB"/>
    <w:rPr>
      <w:rFonts w:ascii="Book Antiqua" w:hAnsi="Book Antiqua" w:cs="Book Antiqua"/>
      <w:sz w:val="24"/>
      <w:szCs w:val="24"/>
      <w:lang w:val="en-US" w:eastAsia="en-US"/>
    </w:rPr>
  </w:style>
  <w:style w:type="paragraph" w:customStyle="1" w:styleId="Tables-Caption">
    <w:name w:val="Tables-Caption"/>
    <w:basedOn w:val="Normal"/>
    <w:next w:val="Normal"/>
    <w:rsid w:val="00DA6EFB"/>
    <w:pPr>
      <w:widowControl w:val="0"/>
      <w:spacing w:after="120" w:line="240" w:lineRule="auto"/>
      <w:jc w:val="center"/>
    </w:pPr>
    <w:rPr>
      <w:rFonts w:ascii="Arial" w:eastAsia="Times New Roman" w:hAnsi="Arial" w:cs="Arial"/>
      <w:b/>
      <w:bCs/>
      <w:i/>
      <w:iCs/>
      <w:sz w:val="20"/>
      <w:szCs w:val="20"/>
    </w:rPr>
  </w:style>
  <w:style w:type="character" w:styleId="PlaceholderText">
    <w:name w:val="Placeholder Text"/>
    <w:basedOn w:val="DefaultParagraphFont"/>
    <w:uiPriority w:val="99"/>
    <w:semiHidden/>
    <w:rsid w:val="00DA6EFB"/>
    <w:rPr>
      <w:color w:val="808080"/>
    </w:rPr>
  </w:style>
  <w:style w:type="paragraph" w:customStyle="1" w:styleId="FactSheetEquation">
    <w:name w:val="Fact Sheet Equation"/>
    <w:basedOn w:val="FactsheetBullets"/>
    <w:link w:val="FactSheetEquationChar"/>
    <w:qFormat/>
    <w:rsid w:val="00DA6EFB"/>
    <w:pPr>
      <w:numPr>
        <w:numId w:val="0"/>
      </w:numPr>
      <w:ind w:left="360"/>
    </w:pPr>
  </w:style>
  <w:style w:type="paragraph" w:customStyle="1" w:styleId="Equation">
    <w:name w:val="Equation"/>
    <w:basedOn w:val="Normal"/>
    <w:link w:val="EquationChar"/>
    <w:qFormat/>
    <w:rsid w:val="00DA6EFB"/>
    <w:pPr>
      <w:tabs>
        <w:tab w:val="left" w:pos="2880"/>
      </w:tabs>
      <w:spacing w:after="200"/>
      <w:ind w:left="3600" w:hanging="2160"/>
    </w:pPr>
    <w:rPr>
      <w:rFonts w:ascii="Georgia" w:eastAsia="Calibri" w:hAnsi="Georgia" w:cs="Georgia"/>
      <w:noProof/>
    </w:rPr>
  </w:style>
  <w:style w:type="character" w:customStyle="1" w:styleId="FactSheetEquationChar">
    <w:name w:val="Fact Sheet Equation Char"/>
    <w:basedOn w:val="FactsheetBulletsChar"/>
    <w:link w:val="FactSheetEquation"/>
    <w:rsid w:val="00DA6EFB"/>
    <w:rPr>
      <w:rFonts w:ascii="Arial" w:eastAsia="Times New Roman" w:hAnsi="Arial" w:cs="Arial"/>
      <w:noProof/>
      <w:sz w:val="20"/>
      <w:szCs w:val="20"/>
      <w:lang w:eastAsia="zh-TW"/>
    </w:rPr>
  </w:style>
  <w:style w:type="character" w:customStyle="1" w:styleId="EquationChar">
    <w:name w:val="Equation Char"/>
    <w:basedOn w:val="DefaultParagraphFont"/>
    <w:link w:val="Equation"/>
    <w:rsid w:val="00DA6EFB"/>
    <w:rPr>
      <w:rFonts w:ascii="Georgia" w:eastAsia="Calibri" w:hAnsi="Georgia" w:cs="Georgia"/>
      <w:noProof/>
    </w:rPr>
  </w:style>
  <w:style w:type="paragraph" w:customStyle="1" w:styleId="FSStepHeaders">
    <w:name w:val="FS Step Headers"/>
    <w:basedOn w:val="FactsheetBullets"/>
    <w:link w:val="FSStepHeadersChar"/>
    <w:qFormat/>
    <w:rsid w:val="00DA6EFB"/>
    <w:pPr>
      <w:keepNext/>
      <w:numPr>
        <w:numId w:val="0"/>
      </w:numPr>
      <w:spacing w:before="240" w:line="264" w:lineRule="auto"/>
    </w:pPr>
    <w:rPr>
      <w:b/>
    </w:rPr>
  </w:style>
  <w:style w:type="paragraph" w:customStyle="1" w:styleId="FSOptionHeader">
    <w:name w:val="FS Option Header"/>
    <w:basedOn w:val="CheckBoxTableText"/>
    <w:link w:val="FSOptionHeaderChar"/>
    <w:qFormat/>
    <w:rsid w:val="00DA6EFB"/>
    <w:pPr>
      <w:keepNext/>
      <w:spacing w:before="240" w:after="120"/>
    </w:pPr>
    <w:rPr>
      <w:b/>
      <w:i/>
    </w:rPr>
  </w:style>
  <w:style w:type="character" w:customStyle="1" w:styleId="FSStepHeadersChar">
    <w:name w:val="FS Step Headers Char"/>
    <w:basedOn w:val="FactsheetBulletsChar"/>
    <w:link w:val="FSStepHeaders"/>
    <w:rsid w:val="00DA6EFB"/>
    <w:rPr>
      <w:rFonts w:ascii="Arial" w:eastAsia="Times New Roman" w:hAnsi="Arial" w:cs="Arial"/>
      <w:b/>
      <w:noProof/>
      <w:sz w:val="20"/>
      <w:szCs w:val="20"/>
      <w:lang w:eastAsia="zh-TW"/>
    </w:rPr>
  </w:style>
  <w:style w:type="character" w:customStyle="1" w:styleId="FSOptionHeaderChar">
    <w:name w:val="FS Option Header Char"/>
    <w:basedOn w:val="CheckBoxTableTextChar"/>
    <w:link w:val="FSOptionHeader"/>
    <w:rsid w:val="00DA6EFB"/>
    <w:rPr>
      <w:rFonts w:ascii="Arial" w:eastAsia="Times New Roman" w:hAnsi="Arial" w:cs="Arial"/>
      <w:b/>
      <w:i/>
      <w:noProof/>
      <w:sz w:val="20"/>
      <w:szCs w:val="20"/>
      <w:lang w:eastAsia="zh-TW"/>
    </w:rPr>
  </w:style>
  <w:style w:type="paragraph" w:customStyle="1" w:styleId="WERFTableText">
    <w:name w:val="WERF_TableText"/>
    <w:basedOn w:val="Normal"/>
    <w:qFormat/>
    <w:rsid w:val="00DA6EFB"/>
    <w:pPr>
      <w:keepNext/>
      <w:spacing w:after="0" w:line="240" w:lineRule="auto"/>
      <w:ind w:left="90" w:right="98"/>
      <w:jc w:val="both"/>
    </w:pPr>
    <w:rPr>
      <w:rFonts w:ascii="Arial Narrow" w:eastAsia="Times New Roman" w:hAnsi="Arial Narrow" w:cs="Times New Roman"/>
      <w:sz w:val="20"/>
      <w:szCs w:val="20"/>
    </w:rPr>
  </w:style>
  <w:style w:type="paragraph" w:customStyle="1" w:styleId="FSSectionHeader">
    <w:name w:val="FSSectionHeader"/>
    <w:basedOn w:val="Heading2"/>
    <w:next w:val="CDMBTEXT"/>
    <w:link w:val="FSSectionHeaderChar"/>
    <w:qFormat/>
    <w:rsid w:val="00DA6EFB"/>
    <w:pPr>
      <w:numPr>
        <w:ilvl w:val="0"/>
        <w:numId w:val="0"/>
      </w:numPr>
      <w:tabs>
        <w:tab w:val="left" w:pos="720"/>
      </w:tabs>
      <w:spacing w:before="0" w:line="320" w:lineRule="exact"/>
      <w:ind w:left="810" w:hanging="432"/>
    </w:pPr>
    <w:rPr>
      <w:rFonts w:eastAsia="Times New Roman" w:cs="Times New Roman"/>
      <w:szCs w:val="20"/>
    </w:rPr>
  </w:style>
  <w:style w:type="paragraph" w:customStyle="1" w:styleId="FSHeader">
    <w:name w:val="FSHeader"/>
    <w:basedOn w:val="Heading3"/>
    <w:next w:val="CDMBTEXT"/>
    <w:link w:val="FSHeaderChar"/>
    <w:qFormat/>
    <w:rsid w:val="00DA6EFB"/>
    <w:pPr>
      <w:numPr>
        <w:ilvl w:val="0"/>
        <w:numId w:val="0"/>
      </w:numPr>
      <w:spacing w:before="200" w:line="264" w:lineRule="auto"/>
      <w:ind w:left="3132" w:hanging="504"/>
    </w:pPr>
    <w:rPr>
      <w:rFonts w:cstheme="majorBidi"/>
      <w:szCs w:val="20"/>
    </w:rPr>
  </w:style>
  <w:style w:type="character" w:customStyle="1" w:styleId="FSSectionHeaderChar">
    <w:name w:val="FSSectionHeader Char"/>
    <w:basedOn w:val="Heading2Char"/>
    <w:link w:val="FSSectionHeader"/>
    <w:rsid w:val="00DA6EFB"/>
    <w:rPr>
      <w:rFonts w:ascii="Book Antiqua" w:eastAsia="Times New Roman" w:hAnsi="Book Antiqua" w:cs="Times New Roman"/>
      <w:b/>
      <w:sz w:val="28"/>
      <w:szCs w:val="20"/>
    </w:rPr>
  </w:style>
  <w:style w:type="character" w:customStyle="1" w:styleId="FSHeaderChar">
    <w:name w:val="FSHeader Char"/>
    <w:basedOn w:val="Heading3Char"/>
    <w:link w:val="FSHeader"/>
    <w:rsid w:val="00DA6EFB"/>
    <w:rPr>
      <w:rFonts w:ascii="Book Antiqua" w:eastAsiaTheme="majorEastAsia" w:hAnsi="Book Antiqua" w:cstheme="majorBidi"/>
      <w:b/>
      <w:bCs/>
      <w:sz w:val="24"/>
      <w:szCs w:val="20"/>
    </w:rPr>
  </w:style>
  <w:style w:type="character" w:customStyle="1" w:styleId="TableWordsChar">
    <w:name w:val="Table Words Char"/>
    <w:basedOn w:val="DefaultParagraphFont"/>
    <w:link w:val="TableWords"/>
    <w:locked/>
    <w:rsid w:val="00CB247B"/>
    <w:rPr>
      <w:rFonts w:ascii="Georgia" w:hAnsi="Georgia"/>
    </w:rPr>
  </w:style>
  <w:style w:type="paragraph" w:customStyle="1" w:styleId="TableWords">
    <w:name w:val="Table Words"/>
    <w:basedOn w:val="Normal"/>
    <w:link w:val="TableWordsChar"/>
    <w:rsid w:val="00CB247B"/>
    <w:pPr>
      <w:spacing w:after="200"/>
      <w:ind w:left="720"/>
      <w:jc w:val="both"/>
    </w:pPr>
    <w:rPr>
      <w:rFonts w:ascii="Georgia" w:hAnsi="Georgia"/>
    </w:rPr>
  </w:style>
</w:styles>
</file>

<file path=word/webSettings.xml><?xml version="1.0" encoding="utf-8"?>
<w:webSettings xmlns:r="http://schemas.openxmlformats.org/officeDocument/2006/relationships" xmlns:w="http://schemas.openxmlformats.org/wordprocessingml/2006/main">
  <w:divs>
    <w:div w:id="682557784">
      <w:bodyDiv w:val="1"/>
      <w:marLeft w:val="0"/>
      <w:marRight w:val="0"/>
      <w:marTop w:val="0"/>
      <w:marBottom w:val="0"/>
      <w:divBdr>
        <w:top w:val="none" w:sz="0" w:space="0" w:color="auto"/>
        <w:left w:val="none" w:sz="0" w:space="0" w:color="auto"/>
        <w:bottom w:val="none" w:sz="0" w:space="0" w:color="auto"/>
        <w:right w:val="none" w:sz="0" w:space="0" w:color="auto"/>
      </w:divBdr>
    </w:div>
    <w:div w:id="1487478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dpw.lacounty.gov/wmd/LA_County_LID_Manual.pdf" TargetMode="External"/><Relationship Id="rId21" Type="http://schemas.openxmlformats.org/officeDocument/2006/relationships/hyperlink" Target="http://www.ocflood.com/Docs_Online_Manuals.aspx" TargetMode="External"/><Relationship Id="rId42" Type="http://schemas.openxmlformats.org/officeDocument/2006/relationships/hyperlink" Target="http://www.hydrocad.net/pdf/TR-55%20Manual.pdf" TargetMode="External"/><Relationship Id="rId63" Type="http://schemas.openxmlformats.org/officeDocument/2006/relationships/image" Target="media/image27.emf"/><Relationship Id="rId84" Type="http://schemas.openxmlformats.org/officeDocument/2006/relationships/image" Target="media/image42.png"/><Relationship Id="rId138" Type="http://schemas.openxmlformats.org/officeDocument/2006/relationships/hyperlink" Target="http://dpw.lacounty.gov/DES/design_manuals/StormwaterBMPDesignandMaintenance.pdf" TargetMode="External"/><Relationship Id="rId159" Type="http://schemas.openxmlformats.org/officeDocument/2006/relationships/hyperlink" Target="http://www.laschools.org/employee/design/fs-studies-and-reports/download/white_paper_report_material/Storm_Water_Technical_Manual_2009-opt-red.pdf?version_id=76975850" TargetMode="External"/><Relationship Id="rId170" Type="http://schemas.openxmlformats.org/officeDocument/2006/relationships/hyperlink" Target="http://www.laschools.org/employee/design/fs-studies-and-reports/download/white_paper_report_material/Storm_Water_Technical_Manual_2009-opt-red.pdf?version_id=76975850" TargetMode="External"/><Relationship Id="rId191" Type="http://schemas.openxmlformats.org/officeDocument/2006/relationships/image" Target="media/image67.jpeg"/><Relationship Id="rId205" Type="http://schemas.openxmlformats.org/officeDocument/2006/relationships/hyperlink" Target="http://dpw.lacounty.gov/DES/design_manuals/StormwaterBMPDesignandMaintenance.pdf" TargetMode="External"/><Relationship Id="rId226" Type="http://schemas.openxmlformats.org/officeDocument/2006/relationships/hyperlink" Target="http://www.cabmphandbooks.com/Documents/Development/TC-40.pdf" TargetMode="External"/><Relationship Id="rId247" Type="http://schemas.openxmlformats.org/officeDocument/2006/relationships/hyperlink" Target="http://dpw.lacounty.gov/DES/design_manuals/StormwaterBMPDesignandMaintenance.pdf" TargetMode="External"/><Relationship Id="rId107" Type="http://schemas.openxmlformats.org/officeDocument/2006/relationships/hyperlink" Target="http://www.co.thurston.wa.us/stormwater/manual/docs-faqs/DG-5-Roof-Runoff-Control_Rev11Jan24.pdf" TargetMode="External"/><Relationship Id="rId268" Type="http://schemas.openxmlformats.org/officeDocument/2006/relationships/hyperlink" Target="http://www.fabco-industries.com" TargetMode="External"/><Relationship Id="rId11" Type="http://schemas.openxmlformats.org/officeDocument/2006/relationships/header" Target="header2.xml"/><Relationship Id="rId32" Type="http://schemas.openxmlformats.org/officeDocument/2006/relationships/hyperlink" Target="http://www.ocflood.com/Docs_Online_Manuals.aspx" TargetMode="External"/><Relationship Id="rId53" Type="http://schemas.openxmlformats.org/officeDocument/2006/relationships/hyperlink" Target="http://www.ocplanning.net/WaterQuality.aspx" TargetMode="External"/><Relationship Id="rId74" Type="http://schemas.openxmlformats.org/officeDocument/2006/relationships/hyperlink" Target="http://pubs.usgs.gov/sir/2010/5102/" TargetMode="External"/><Relationship Id="rId128" Type="http://schemas.openxmlformats.org/officeDocument/2006/relationships/hyperlink" Target="http://eponline.com/blogs/planetshed/2010/04/blue-roofs-the-stormwatersustainability-link.aspx" TargetMode="External"/><Relationship Id="rId149" Type="http://schemas.openxmlformats.org/officeDocument/2006/relationships/hyperlink" Target="http://www.cabmphandbooks.com/Documents/Development/TC-32.pdf" TargetMode="External"/><Relationship Id="rId5" Type="http://schemas.openxmlformats.org/officeDocument/2006/relationships/webSettings" Target="webSettings.xml"/><Relationship Id="rId95" Type="http://schemas.openxmlformats.org/officeDocument/2006/relationships/hyperlink" Target="http://www.swrcb.ca.gov/rwqcb9/water_issues/programs/stormwater/oc_stormwater.shtml" TargetMode="External"/><Relationship Id="rId160" Type="http://schemas.openxmlformats.org/officeDocument/2006/relationships/hyperlink" Target="http://dpw.lacounty.gov/wmd/LA_County_LID_Manual.pdf" TargetMode="External"/><Relationship Id="rId181" Type="http://schemas.openxmlformats.org/officeDocument/2006/relationships/hyperlink" Target="http://dpw.lacounty.gov/wmd/LA_County_LID_Manual.pdf" TargetMode="External"/><Relationship Id="rId216" Type="http://schemas.openxmlformats.org/officeDocument/2006/relationships/hyperlink" Target="http://www.cabmphandbooks.com/Documents/Development/TC-22.pdf" TargetMode="External"/><Relationship Id="rId237" Type="http://schemas.openxmlformats.org/officeDocument/2006/relationships/hyperlink" Target="http://www.ecy.wa.gov/pubs/0510033.pdf" TargetMode="External"/><Relationship Id="rId258" Type="http://schemas.openxmlformats.org/officeDocument/2006/relationships/hyperlink" Target="http://www.ecosenseint.com/" TargetMode="External"/><Relationship Id="rId22" Type="http://schemas.openxmlformats.org/officeDocument/2006/relationships/hyperlink" Target="http://www.hydrocad.net/pdf/TR-55%20Manual.pdf" TargetMode="External"/><Relationship Id="rId43" Type="http://schemas.openxmlformats.org/officeDocument/2006/relationships/image" Target="media/image9.png"/><Relationship Id="rId64" Type="http://schemas.openxmlformats.org/officeDocument/2006/relationships/image" Target="media/image28.emf"/><Relationship Id="rId118" Type="http://schemas.openxmlformats.org/officeDocument/2006/relationships/hyperlink" Target="http://www.lowimpactdevelopment.org/guest75/pub/All_Projects/SoCal_LID_Manual/SoCalLID_Manual_FINAL_040910.pdf" TargetMode="External"/><Relationship Id="rId139" Type="http://schemas.openxmlformats.org/officeDocument/2006/relationships/hyperlink" Target="http://www.portlandonline.com/bes/index.cfm?c=47954&amp;a=202883" TargetMode="External"/><Relationship Id="rId85" Type="http://schemas.openxmlformats.org/officeDocument/2006/relationships/header" Target="header5.xml"/><Relationship Id="rId150" Type="http://schemas.openxmlformats.org/officeDocument/2006/relationships/hyperlink" Target="http://www.lowimpactdevelopment.org/guest75/pub/All_Projects/SoCal_LID_Manual/SoCalLID_Manual_FINAL_040910.pdf" TargetMode="External"/><Relationship Id="rId171" Type="http://schemas.openxmlformats.org/officeDocument/2006/relationships/hyperlink" Target="http://www.portlandonline.com/bes/index.cfm?c=47954&amp;a=202883" TargetMode="External"/><Relationship Id="rId192" Type="http://schemas.openxmlformats.org/officeDocument/2006/relationships/hyperlink" Target="http://www.laschools.org/employee/design/fs-studies-and-reports/download/white_paper_report_material/Storm_Water_Technical_Manual_2009-opt-red.pdf?version_id=76975850" TargetMode="External"/><Relationship Id="rId206" Type="http://schemas.openxmlformats.org/officeDocument/2006/relationships/hyperlink" Target="http://dpw.lacounty.gov/wmd/LA_County_LID_Manual.pdf" TargetMode="External"/><Relationship Id="rId227" Type="http://schemas.openxmlformats.org/officeDocument/2006/relationships/hyperlink" Target="http://dpw.lacounty.gov/DES/design_manuals/StormwaterBMPDesignandMaintenance.pdf" TargetMode="External"/><Relationship Id="rId248" Type="http://schemas.openxmlformats.org/officeDocument/2006/relationships/image" Target="media/image76.jpeg"/><Relationship Id="rId269" Type="http://schemas.openxmlformats.org/officeDocument/2006/relationships/hyperlink" Target="http://www.ecosenseint.com/" TargetMode="External"/><Relationship Id="rId12" Type="http://schemas.openxmlformats.org/officeDocument/2006/relationships/footer" Target="footer3.xml"/><Relationship Id="rId33" Type="http://schemas.openxmlformats.org/officeDocument/2006/relationships/hyperlink" Target="http://www.ocflood.com/Docs_Online_Manuals.aspx" TargetMode="External"/><Relationship Id="rId108" Type="http://schemas.openxmlformats.org/officeDocument/2006/relationships/image" Target="media/image50.emf"/><Relationship Id="rId129" Type="http://schemas.openxmlformats.org/officeDocument/2006/relationships/image" Target="media/image55.png"/><Relationship Id="rId54" Type="http://schemas.openxmlformats.org/officeDocument/2006/relationships/hyperlink" Target="http://www.ocplanning.net/WaterQuality.aspx" TargetMode="External"/><Relationship Id="rId75" Type="http://schemas.openxmlformats.org/officeDocument/2006/relationships/image" Target="media/image38.png"/><Relationship Id="rId96" Type="http://schemas.openxmlformats.org/officeDocument/2006/relationships/image" Target="media/image45.png"/><Relationship Id="rId140" Type="http://schemas.openxmlformats.org/officeDocument/2006/relationships/hyperlink" Target="http://www.sdcounty.ca.gov/dplu/docs/LID-Appendices.pdf" TargetMode="External"/><Relationship Id="rId161" Type="http://schemas.openxmlformats.org/officeDocument/2006/relationships/image" Target="media/image60.emf"/><Relationship Id="rId182" Type="http://schemas.openxmlformats.org/officeDocument/2006/relationships/hyperlink" Target="http://www.lowimpactdevelopment.org/guest75/pub/All_Projects/SoCal_LID_Manual/SoCalLID_Manual_FINAL_040910.pdf" TargetMode="External"/><Relationship Id="rId217" Type="http://schemas.openxmlformats.org/officeDocument/2006/relationships/hyperlink" Target="http://www.lowimpactdevelopment.org/guest75/pub/All_Projects/SoCal_LID_Manual/SoCalLID_Manual_FINAL_040910.pdf" TargetMode="External"/><Relationship Id="rId6" Type="http://schemas.openxmlformats.org/officeDocument/2006/relationships/footnotes" Target="footnotes.xml"/><Relationship Id="rId238" Type="http://schemas.openxmlformats.org/officeDocument/2006/relationships/image" Target="media/image75.emf"/><Relationship Id="rId259" Type="http://schemas.openxmlformats.org/officeDocument/2006/relationships/hyperlink" Target="http://www.unitedstormwater.com" TargetMode="External"/><Relationship Id="rId23" Type="http://schemas.openxmlformats.org/officeDocument/2006/relationships/hyperlink" Target="http://www.ocflood.com/Docs_Online_Manuals.aspx" TargetMode="External"/><Relationship Id="rId119" Type="http://schemas.openxmlformats.org/officeDocument/2006/relationships/hyperlink" Target="http://www.sdcounty.ca.gov/dplu/docs/LID-Appendices.pdf" TargetMode="External"/><Relationship Id="rId270" Type="http://schemas.openxmlformats.org/officeDocument/2006/relationships/hyperlink" Target="http://www.spillcontainment.com" TargetMode="External"/><Relationship Id="rId44" Type="http://schemas.openxmlformats.org/officeDocument/2006/relationships/image" Target="media/image10.png"/><Relationship Id="rId65" Type="http://schemas.openxmlformats.org/officeDocument/2006/relationships/image" Target="media/image29.emf"/><Relationship Id="rId86" Type="http://schemas.openxmlformats.org/officeDocument/2006/relationships/hyperlink" Target="http://www.ocplanning.net/Documents/pdf/LandscapeIrrigationCodeImplementationGuidelines.pdf" TargetMode="External"/><Relationship Id="rId130" Type="http://schemas.openxmlformats.org/officeDocument/2006/relationships/hyperlink" Target="http://www.hort.cornell.edu/uhi/outreach/pdfs/custructuralsoilwebpdf.pdf" TargetMode="External"/><Relationship Id="rId151" Type="http://schemas.openxmlformats.org/officeDocument/2006/relationships/hyperlink" Target="http://dpw.lacounty.gov/DES/design_manuals/StormwaterBMPDesignandMaintenance.pdf" TargetMode="External"/><Relationship Id="rId172" Type="http://schemas.openxmlformats.org/officeDocument/2006/relationships/hyperlink" Target="http://www.sdcounty.ca.gov/dplu/docs/LID-Appendices.pdf" TargetMode="External"/><Relationship Id="rId193" Type="http://schemas.openxmlformats.org/officeDocument/2006/relationships/hyperlink" Target="http://www.santabarbaraca.gov/NR/rdonlyres/91D1FA75-C185-491E-A882-49EE17789DF8/0/Manual_071008_Final.pdf" TargetMode="External"/><Relationship Id="rId202" Type="http://schemas.openxmlformats.org/officeDocument/2006/relationships/hyperlink" Target="http://www.lowimpactdevelopment.org/guest75/pub/All_Projects/SoCal_LID_Manual/SoCalLID_Manual_FINAL_040910.pdf" TargetMode="External"/><Relationship Id="rId207" Type="http://schemas.openxmlformats.org/officeDocument/2006/relationships/hyperlink" Target="http://www.portlandonline.com/bes/index.cfm?c=47953&amp;" TargetMode="External"/><Relationship Id="rId223" Type="http://schemas.openxmlformats.org/officeDocument/2006/relationships/hyperlink" Target="http://dpw.lacounty.gov/DES/design_manuals/StormwaterBMPDesignandMaintenance.pdf" TargetMode="External"/><Relationship Id="rId228" Type="http://schemas.openxmlformats.org/officeDocument/2006/relationships/hyperlink" Target="http://dpw.lacounty.gov/wmd/LA_County_LID_Manual.pdf" TargetMode="External"/><Relationship Id="rId244" Type="http://schemas.openxmlformats.org/officeDocument/2006/relationships/hyperlink" Target="http://www.contech-cpi.com" TargetMode="External"/><Relationship Id="rId249" Type="http://schemas.openxmlformats.org/officeDocument/2006/relationships/image" Target="http://www.drainpac.com/munsideinlet1.jpg" TargetMode="Externa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hyperlink" Target="http://www.ocflood.com/Docs_Online_Manuals.aspx" TargetMode="External"/><Relationship Id="rId109" Type="http://schemas.openxmlformats.org/officeDocument/2006/relationships/hyperlink" Target="http://www.cabmphandbooks.com/Documents/Development/Section_3.pdf" TargetMode="External"/><Relationship Id="rId260" Type="http://schemas.openxmlformats.org/officeDocument/2006/relationships/hyperlink" Target="http://www.suntreetech.com" TargetMode="External"/><Relationship Id="rId265" Type="http://schemas.openxmlformats.org/officeDocument/2006/relationships/hyperlink" Target="http://www.fabco-industries.com" TargetMode="External"/><Relationship Id="rId34" Type="http://schemas.openxmlformats.org/officeDocument/2006/relationships/hyperlink" Target="http://www.wsi.nrcs.usda.gov/products/w2q/h&amp;h/docs/WinTR55/WinTR-55%20User%20Guide.pdf" TargetMode="External"/><Relationship Id="rId50" Type="http://schemas.openxmlformats.org/officeDocument/2006/relationships/image" Target="media/image16.png"/><Relationship Id="rId55" Type="http://schemas.openxmlformats.org/officeDocument/2006/relationships/image" Target="media/image19.png"/><Relationship Id="rId76" Type="http://schemas.openxmlformats.org/officeDocument/2006/relationships/image" Target="media/image39.png"/><Relationship Id="rId97" Type="http://schemas.openxmlformats.org/officeDocument/2006/relationships/hyperlink" Target="http://www.bmpdatabase.org/Docs/Volume%20Reduction%20Technical%20Summary%20Jan%202011.pdf" TargetMode="External"/><Relationship Id="rId104" Type="http://schemas.openxmlformats.org/officeDocument/2006/relationships/hyperlink" Target="http://www.lowimpactdevelopment.org/guest75/pub/All_Projects/SoCal_LID_Manual/SoCalLID_Manual_FINAL_040910.pdf" TargetMode="External"/><Relationship Id="rId120" Type="http://schemas.openxmlformats.org/officeDocument/2006/relationships/image" Target="media/image53.emf"/><Relationship Id="rId125" Type="http://schemas.openxmlformats.org/officeDocument/2006/relationships/hyperlink" Target="http://www.brownroofs.co.uk/brown-roof-maintenance.php" TargetMode="External"/><Relationship Id="rId141" Type="http://schemas.openxmlformats.org/officeDocument/2006/relationships/image" Target="media/image58.png"/><Relationship Id="rId146" Type="http://schemas.openxmlformats.org/officeDocument/2006/relationships/hyperlink" Target="http://www.portlandonline.com/bes/index.cfm?c=47954&amp;a=202883" TargetMode="External"/><Relationship Id="rId167" Type="http://schemas.openxmlformats.org/officeDocument/2006/relationships/image" Target="media/image61.emf"/><Relationship Id="rId188" Type="http://schemas.openxmlformats.org/officeDocument/2006/relationships/hyperlink" Target="http://www.sdcounty.ca.gov/dplu/docs/LID-Appendices.pdf" TargetMode="External"/><Relationship Id="rId7" Type="http://schemas.openxmlformats.org/officeDocument/2006/relationships/endnotes" Target="endnotes.xml"/><Relationship Id="rId71" Type="http://schemas.openxmlformats.org/officeDocument/2006/relationships/image" Target="media/image35.emf"/><Relationship Id="rId92" Type="http://schemas.openxmlformats.org/officeDocument/2006/relationships/hyperlink" Target="http://www.cdph.ca.gov/HealthInfo/discond/Documents/CDPHBMPMosquitoControl6_08.pdf" TargetMode="External"/><Relationship Id="rId162" Type="http://schemas.openxmlformats.org/officeDocument/2006/relationships/hyperlink" Target="http://www.ecy.wa.gov/pubs/0510031.pdf" TargetMode="External"/><Relationship Id="rId183" Type="http://schemas.openxmlformats.org/officeDocument/2006/relationships/hyperlink" Target="http://www.sdcounty.ca.gov/dplu/docs/LID-Appendices.pdf" TargetMode="External"/><Relationship Id="rId213" Type="http://schemas.openxmlformats.org/officeDocument/2006/relationships/hyperlink" Target="http://dpw.lacounty.gov/wmd/LA_County_LID_Manual.pdf" TargetMode="External"/><Relationship Id="rId218" Type="http://schemas.openxmlformats.org/officeDocument/2006/relationships/hyperlink" Target="http://dpw.lacounty.gov/DES/design_manuals/StormwaterBMPDesignandMaintenance.pdf" TargetMode="External"/><Relationship Id="rId234" Type="http://schemas.openxmlformats.org/officeDocument/2006/relationships/image" Target="media/image74.jpeg"/><Relationship Id="rId239" Type="http://schemas.openxmlformats.org/officeDocument/2006/relationships/hyperlink" Target="http://www.rinkerstormceptor.com" TargetMode="External"/><Relationship Id="rId2" Type="http://schemas.openxmlformats.org/officeDocument/2006/relationships/numbering" Target="numbering.xml"/><Relationship Id="rId29" Type="http://schemas.openxmlformats.org/officeDocument/2006/relationships/hyperlink" Target="http://www.ocflood.com/Docs_Online_Manuals.aspx" TargetMode="External"/><Relationship Id="rId250" Type="http://schemas.openxmlformats.org/officeDocument/2006/relationships/hyperlink" Target="http://www.abtechindustries.com" TargetMode="External"/><Relationship Id="rId255" Type="http://schemas.openxmlformats.org/officeDocument/2006/relationships/hyperlink" Target="http://www.contech-cpi.com" TargetMode="External"/><Relationship Id="rId271" Type="http://schemas.openxmlformats.org/officeDocument/2006/relationships/hyperlink" Target="http://www.spillcontainment.com" TargetMode="External"/><Relationship Id="rId276" Type="http://schemas.openxmlformats.org/officeDocument/2006/relationships/theme" Target="theme/theme1.xml"/><Relationship Id="rId24" Type="http://schemas.openxmlformats.org/officeDocument/2006/relationships/hyperlink" Target="http://www.ocflood.com/Docs_Online_Manuals.aspx" TargetMode="External"/><Relationship Id="rId40" Type="http://schemas.openxmlformats.org/officeDocument/2006/relationships/hyperlink" Target="http://www.hydrocad.net/pdf/TR-55%20Manual.pdf" TargetMode="External"/><Relationship Id="rId45" Type="http://schemas.openxmlformats.org/officeDocument/2006/relationships/image" Target="media/image11.png"/><Relationship Id="rId66" Type="http://schemas.openxmlformats.org/officeDocument/2006/relationships/image" Target="media/image30.emf"/><Relationship Id="rId87" Type="http://schemas.openxmlformats.org/officeDocument/2006/relationships/hyperlink" Target="http://www.ocplanning.net/Documents/pdf/LandscapeIrrigationCodeImplementationGuidelines.pdf" TargetMode="External"/><Relationship Id="rId110" Type="http://schemas.openxmlformats.org/officeDocument/2006/relationships/hyperlink" Target="http://bss.lacity.org/UrbanForestryDivision/StreetTreeSelectionGuide.htm" TargetMode="External"/><Relationship Id="rId115" Type="http://schemas.openxmlformats.org/officeDocument/2006/relationships/image" Target="media/image52.emf"/><Relationship Id="rId131" Type="http://schemas.openxmlformats.org/officeDocument/2006/relationships/image" Target="media/image56.jpeg"/><Relationship Id="rId136" Type="http://schemas.openxmlformats.org/officeDocument/2006/relationships/hyperlink" Target="http://www.cabmphandbooks.com/Documents/Development/TC-11.pdf" TargetMode="External"/><Relationship Id="rId157" Type="http://schemas.openxmlformats.org/officeDocument/2006/relationships/hyperlink" Target="http://dpw.lacounty.gov/DES/design_manuals/StormwaterBMPDesignandMaintenance.pdf" TargetMode="External"/><Relationship Id="rId178" Type="http://schemas.openxmlformats.org/officeDocument/2006/relationships/image" Target="http://www.webtecgeos.com/files/images/full/img75.jpg" TargetMode="External"/><Relationship Id="rId61" Type="http://schemas.openxmlformats.org/officeDocument/2006/relationships/image" Target="media/image25.emf"/><Relationship Id="rId82" Type="http://schemas.openxmlformats.org/officeDocument/2006/relationships/footer" Target="footer4.xml"/><Relationship Id="rId152" Type="http://schemas.openxmlformats.org/officeDocument/2006/relationships/hyperlink" Target="http://www.sdcounty.ca.gov/dplu/docs/LID-Appendices.pdf" TargetMode="External"/><Relationship Id="rId173" Type="http://schemas.openxmlformats.org/officeDocument/2006/relationships/hyperlink" Target="http://www.santabarbaraca.gov/NR/rdonlyres/91D1FA75-C185-491E-A882-49EE17789DF8/0/Manual_071008_Final.pdf" TargetMode="External"/><Relationship Id="rId194" Type="http://schemas.openxmlformats.org/officeDocument/2006/relationships/hyperlink" Target="http://www.co.san-diego.ca.us/dpw/floodcontrol/floodcontrolpdf/drainage-designmanual05.pdf" TargetMode="External"/><Relationship Id="rId199" Type="http://schemas.openxmlformats.org/officeDocument/2006/relationships/hyperlink" Target="http://www.santabarbaraca.gov/NR/rdonlyres/91D1FA75-C185-491E-A882-49EE17789DF8/0/Manual_071008_Final.pdf" TargetMode="External"/><Relationship Id="rId203" Type="http://schemas.openxmlformats.org/officeDocument/2006/relationships/image" Target="media/image69.jpeg"/><Relationship Id="rId208" Type="http://schemas.openxmlformats.org/officeDocument/2006/relationships/hyperlink" Target="http://www.ecy.wa.gov/pubs/0510033.pdf" TargetMode="External"/><Relationship Id="rId229" Type="http://schemas.openxmlformats.org/officeDocument/2006/relationships/hyperlink" Target="http://www.sdcounty.ca.gov/dplu/docs/LID-Appendices.pdf" TargetMode="External"/><Relationship Id="rId19" Type="http://schemas.openxmlformats.org/officeDocument/2006/relationships/image" Target="media/image7.png"/><Relationship Id="rId224" Type="http://schemas.openxmlformats.org/officeDocument/2006/relationships/hyperlink" Target="http://www.santabarbaraca.gov/NR/rdonlyres/91D1FA75-C185-491E-A882-49EE17789DF8/0/Manual_071008_Final.pdf" TargetMode="External"/><Relationship Id="rId240" Type="http://schemas.openxmlformats.org/officeDocument/2006/relationships/hyperlink" Target="http://www.kristar.com" TargetMode="External"/><Relationship Id="rId245" Type="http://schemas.openxmlformats.org/officeDocument/2006/relationships/hyperlink" Target="http://www.baysaver.com" TargetMode="External"/><Relationship Id="rId261" Type="http://schemas.openxmlformats.org/officeDocument/2006/relationships/hyperlink" Target="http://www.kristar.com" TargetMode="External"/><Relationship Id="rId266" Type="http://schemas.openxmlformats.org/officeDocument/2006/relationships/hyperlink" Target="http://www.fabco-industries.com" TargetMode="External"/><Relationship Id="rId14" Type="http://schemas.openxmlformats.org/officeDocument/2006/relationships/image" Target="media/image2.png"/><Relationship Id="rId30" Type="http://schemas.openxmlformats.org/officeDocument/2006/relationships/hyperlink" Target="http://www.ocflood.com/Docs_Online_Manuals.aspx" TargetMode="External"/><Relationship Id="rId35" Type="http://schemas.openxmlformats.org/officeDocument/2006/relationships/hyperlink" Target="http://www.ocflood.com/Docs_Online_Manuals.aspx" TargetMode="External"/><Relationship Id="rId56" Type="http://schemas.openxmlformats.org/officeDocument/2006/relationships/image" Target="media/image20.jpeg"/><Relationship Id="rId77" Type="http://schemas.openxmlformats.org/officeDocument/2006/relationships/hyperlink" Target="http://geotracker.swrcb.ca.gov/" TargetMode="External"/><Relationship Id="rId100" Type="http://schemas.openxmlformats.org/officeDocument/2006/relationships/hyperlink" Target="http://www.lowimpactdevelopment.org/raingarden_design/" TargetMode="External"/><Relationship Id="rId105" Type="http://schemas.openxmlformats.org/officeDocument/2006/relationships/hyperlink" Target="http://www.portlandonline.com/bes/index.cfm?c=43081&amp;a=177702" TargetMode="External"/><Relationship Id="rId126" Type="http://schemas.openxmlformats.org/officeDocument/2006/relationships/image" Target="media/image54.emf"/><Relationship Id="rId147" Type="http://schemas.openxmlformats.org/officeDocument/2006/relationships/hyperlink" Target="http://www.sdcounty.ca.gov/dplu/docs/LID-Appendices.pdf" TargetMode="External"/><Relationship Id="rId168" Type="http://schemas.openxmlformats.org/officeDocument/2006/relationships/image" Target="media/image62.png"/><Relationship Id="rId8" Type="http://schemas.openxmlformats.org/officeDocument/2006/relationships/header" Target="header1.xml"/><Relationship Id="rId51" Type="http://schemas.openxmlformats.org/officeDocument/2006/relationships/image" Target="media/image17.png"/><Relationship Id="rId72" Type="http://schemas.openxmlformats.org/officeDocument/2006/relationships/image" Target="media/image36.emf"/><Relationship Id="rId93" Type="http://schemas.openxmlformats.org/officeDocument/2006/relationships/hyperlink" Target="http://dpw.lacounty.gov/DES/design_manuals/StormwaterBMPDesignandMaintenance.pdf" TargetMode="External"/><Relationship Id="rId98" Type="http://schemas.openxmlformats.org/officeDocument/2006/relationships/image" Target="media/image46.png"/><Relationship Id="rId121" Type="http://schemas.openxmlformats.org/officeDocument/2006/relationships/hyperlink" Target="http://www.laschools.org/employee/design/fs-studies-and-reports/download/white_paper_report_material/Storm_Water_Technical_Manual_2009-opt-red.pdf?version_id=76975850" TargetMode="External"/><Relationship Id="rId142" Type="http://schemas.openxmlformats.org/officeDocument/2006/relationships/hyperlink" Target="http://www.epa.gov/region9/water/groundwater/uic-classv.html" TargetMode="External"/><Relationship Id="rId163" Type="http://schemas.openxmlformats.org/officeDocument/2006/relationships/hyperlink" Target="http://www.laschools.org/employee/design/fs-studies-and-reports/download/white_paper_report_material/Storm_Water_Technical_Manual_2009-opt-red.pdf?version_id=76975850" TargetMode="External"/><Relationship Id="rId184" Type="http://schemas.openxmlformats.org/officeDocument/2006/relationships/image" Target="media/image66.jpeg"/><Relationship Id="rId189" Type="http://schemas.openxmlformats.org/officeDocument/2006/relationships/hyperlink" Target="http://www.laschools.org/employee/design/fs-studies-and-reports/download/white_paper_report_material/Storm_Water_Technical_Manual_2009-opt-red.pdf?version_id=76975850" TargetMode="External"/><Relationship Id="rId219" Type="http://schemas.openxmlformats.org/officeDocument/2006/relationships/hyperlink" Target="http://www.portlandonline.com/bes/index.cfm?c=47954&amp;a=202883" TargetMode="External"/><Relationship Id="rId3" Type="http://schemas.openxmlformats.org/officeDocument/2006/relationships/styles" Target="styles.xml"/><Relationship Id="rId214" Type="http://schemas.openxmlformats.org/officeDocument/2006/relationships/hyperlink" Target="http://www.lowimpactdevelopment.org/guest75/pub/All_Projects/SoCal_LID_Manual/SoCalLID_Manual_FINAL_040910.pdf" TargetMode="External"/><Relationship Id="rId230" Type="http://schemas.openxmlformats.org/officeDocument/2006/relationships/hyperlink" Target="http://www.lowimpactdevelopment.org/guest75/pub/All_Projects/SoCal_LID_Manual/SoCalLID_Manual_FINAL_040910.pdf" TargetMode="External"/><Relationship Id="rId235" Type="http://schemas.openxmlformats.org/officeDocument/2006/relationships/hyperlink" Target="http://dpw.lacounty.gov/DES/design_manuals/StormwaterBMPDesignandMaintenance.pdf" TargetMode="External"/><Relationship Id="rId251" Type="http://schemas.openxmlformats.org/officeDocument/2006/relationships/hyperlink" Target="http://www.aquashieldinc.com" TargetMode="External"/><Relationship Id="rId256" Type="http://schemas.openxmlformats.org/officeDocument/2006/relationships/hyperlink" Target="http://www.contech-cpi.com" TargetMode="External"/><Relationship Id="rId25" Type="http://schemas.openxmlformats.org/officeDocument/2006/relationships/hyperlink" Target="http://www.hydrocad.net/pdf/TR-55%20Manual.pdf" TargetMode="External"/><Relationship Id="rId46" Type="http://schemas.openxmlformats.org/officeDocument/2006/relationships/image" Target="media/image12.png"/><Relationship Id="rId67" Type="http://schemas.openxmlformats.org/officeDocument/2006/relationships/image" Target="media/image31.emf"/><Relationship Id="rId116" Type="http://schemas.openxmlformats.org/officeDocument/2006/relationships/hyperlink" Target="http://www.santabarbaraca.gov/NR/rdonlyres/91D1FA75-C185-491E-A882-49EE17789DF8/0/Manual_071008_Final.pdf" TargetMode="External"/><Relationship Id="rId137" Type="http://schemas.openxmlformats.org/officeDocument/2006/relationships/hyperlink" Target="http://www.lowimpactdevelopment.org/guest75/pub/All_Projects/SoCal_LID_Manual/SoCalLID_Manual_FINAL_040910.pdf" TargetMode="External"/><Relationship Id="rId158" Type="http://schemas.openxmlformats.org/officeDocument/2006/relationships/hyperlink" Target="http://www.sdcounty.ca.gov/dplu/docs/LID-Appendices.pdf" TargetMode="External"/><Relationship Id="rId272" Type="http://schemas.openxmlformats.org/officeDocument/2006/relationships/hyperlink" Target="http://www.spillcontainment.com" TargetMode="External"/><Relationship Id="rId20" Type="http://schemas.openxmlformats.org/officeDocument/2006/relationships/image" Target="media/image8.png"/><Relationship Id="rId41" Type="http://schemas.openxmlformats.org/officeDocument/2006/relationships/hyperlink" Target="http://www.ocflood.com/Docs_Online_Manuals.aspx" TargetMode="External"/><Relationship Id="rId62" Type="http://schemas.openxmlformats.org/officeDocument/2006/relationships/image" Target="media/image26.emf"/><Relationship Id="rId83" Type="http://schemas.openxmlformats.org/officeDocument/2006/relationships/image" Target="media/image41.png"/><Relationship Id="rId88" Type="http://schemas.openxmlformats.org/officeDocument/2006/relationships/hyperlink" Target="http://www.water.ca.gov/wateruseefficiency/docs/wucols00.pdf" TargetMode="External"/><Relationship Id="rId111" Type="http://schemas.openxmlformats.org/officeDocument/2006/relationships/hyperlink" Target="http://www.portlandonline.com/bes/index.cfm?c=35122&amp;a=55791" TargetMode="External"/><Relationship Id="rId132" Type="http://schemas.openxmlformats.org/officeDocument/2006/relationships/hyperlink" Target="http://www.laschools.org/employee/design/fs-studies-and-reports/download/white_paper_report_material/Storm_Water_Technical_Manual_2009-opt-red.pdf?version_id=76975850" TargetMode="External"/><Relationship Id="rId153" Type="http://schemas.openxmlformats.org/officeDocument/2006/relationships/hyperlink" Target="http://www.laschools.org/employee/design/fs-studies-and-reports/download/white_paper_report_material/Storm_Water_Technical_Manual_2009-opt-red.pdf?version_id=76975850" TargetMode="External"/><Relationship Id="rId174" Type="http://schemas.openxmlformats.org/officeDocument/2006/relationships/hyperlink" Target="http://dpw.lacounty.gov/wmd/LA_County_LID_Manual.pdf" TargetMode="External"/><Relationship Id="rId179" Type="http://schemas.openxmlformats.org/officeDocument/2006/relationships/image" Target="media/image65.emf"/><Relationship Id="rId195" Type="http://schemas.openxmlformats.org/officeDocument/2006/relationships/hyperlink" Target="http://dpw.lacounty.gov/wmd/LA_County_LID_Manual.pdf" TargetMode="External"/><Relationship Id="rId209" Type="http://schemas.openxmlformats.org/officeDocument/2006/relationships/image" Target="media/image70.jpeg"/><Relationship Id="rId190" Type="http://schemas.openxmlformats.org/officeDocument/2006/relationships/hyperlink" Target="http://dpw.lacounty.gov/wmd/LA_County_LID_Manual.pdf" TargetMode="External"/><Relationship Id="rId204" Type="http://schemas.openxmlformats.org/officeDocument/2006/relationships/hyperlink" Target="http://www.cabmphandbooks.com/Documents/Development/TC-20.pdf" TargetMode="External"/><Relationship Id="rId220" Type="http://schemas.openxmlformats.org/officeDocument/2006/relationships/hyperlink" Target="http://www.sdcounty.ca.gov/dplu/docs/LID-Appendices.pdf" TargetMode="External"/><Relationship Id="rId225" Type="http://schemas.openxmlformats.org/officeDocument/2006/relationships/image" Target="media/image73.jpeg"/><Relationship Id="rId241" Type="http://schemas.openxmlformats.org/officeDocument/2006/relationships/hyperlink" Target="http://www.contech-cpi.com" TargetMode="External"/><Relationship Id="rId246" Type="http://schemas.openxmlformats.org/officeDocument/2006/relationships/hyperlink" Target="http://www.cabmphandbooks.com/Documents/Development/MP-51.pdf" TargetMode="External"/><Relationship Id="rId267" Type="http://schemas.openxmlformats.org/officeDocument/2006/relationships/hyperlink" Target="http://www.stormdrains.com" TargetMode="External"/><Relationship Id="rId15" Type="http://schemas.openxmlformats.org/officeDocument/2006/relationships/image" Target="media/image3.png"/><Relationship Id="rId36" Type="http://schemas.openxmlformats.org/officeDocument/2006/relationships/hyperlink" Target="http://www.ocflood.com/Docs_Online_Manuals.aspx" TargetMode="External"/><Relationship Id="rId57" Type="http://schemas.openxmlformats.org/officeDocument/2006/relationships/image" Target="media/image21.png"/><Relationship Id="rId106" Type="http://schemas.openxmlformats.org/officeDocument/2006/relationships/hyperlink" Target="http://www.cityofseattle.org/util/stellent/groups/public/@spu/@usm/documents/webcontent/spu01_006395.pdf" TargetMode="External"/><Relationship Id="rId127" Type="http://schemas.openxmlformats.org/officeDocument/2006/relationships/hyperlink" Target="http://www.nyc.gov/html/planyc2030/downloads/pdf/sustainable_stormwater_plan.pdf" TargetMode="External"/><Relationship Id="rId262" Type="http://schemas.openxmlformats.org/officeDocument/2006/relationships/hyperlink" Target="http://www.kristar.com" TargetMode="External"/><Relationship Id="rId10" Type="http://schemas.openxmlformats.org/officeDocument/2006/relationships/footer" Target="footer2.xml"/><Relationship Id="rId31" Type="http://schemas.openxmlformats.org/officeDocument/2006/relationships/hyperlink" Target="http://www.hydrocad.net/pdf/TR-55%20Manual.pdf" TargetMode="External"/><Relationship Id="rId52" Type="http://schemas.openxmlformats.org/officeDocument/2006/relationships/image" Target="media/image18.emf"/><Relationship Id="rId73" Type="http://schemas.openxmlformats.org/officeDocument/2006/relationships/image" Target="media/image37.emf"/><Relationship Id="rId78" Type="http://schemas.openxmlformats.org/officeDocument/2006/relationships/hyperlink" Target="http://www.envirostor.dtsc.ca.gov/public/" TargetMode="External"/><Relationship Id="rId94" Type="http://schemas.openxmlformats.org/officeDocument/2006/relationships/hyperlink" Target="http://www.swrcb.ca.gov/rwqcb8/board_decisions/adopted_orders/orders/2009/09_030_oc_stormwater_ms4_permit.pdf" TargetMode="External"/><Relationship Id="rId99" Type="http://schemas.openxmlformats.org/officeDocument/2006/relationships/image" Target="media/image47.emf"/><Relationship Id="rId101" Type="http://schemas.openxmlformats.org/officeDocument/2006/relationships/hyperlink" Target="http://learningstore.uwex.edu/assets/pdfs/GWQ037.pdf" TargetMode="External"/><Relationship Id="rId122" Type="http://schemas.openxmlformats.org/officeDocument/2006/relationships/hyperlink" Target="http://www.santabarbaraca.gov/NR/rdonlyres/91D1FA75-C185-491E-A882-49EE17789DF8/0/Manual_071008_Final.pdf" TargetMode="External"/><Relationship Id="rId143" Type="http://schemas.openxmlformats.org/officeDocument/2006/relationships/hyperlink" Target="http://www.cabmphandbooks.com/Documents/Development/TC-10.pdf" TargetMode="External"/><Relationship Id="rId148" Type="http://schemas.openxmlformats.org/officeDocument/2006/relationships/image" Target="media/image59.jpeg"/><Relationship Id="rId164" Type="http://schemas.openxmlformats.org/officeDocument/2006/relationships/hyperlink" Target="http://www.portlandonline.com/bes/index.cfm?c=47954&amp;a=202883" TargetMode="External"/><Relationship Id="rId169" Type="http://schemas.openxmlformats.org/officeDocument/2006/relationships/hyperlink" Target="http://www.lowimpactdevelopment.org/guest75/pub/All_Projects/SoCal_LID_Manual/SoCalLID_Manual_FINAL_040910.pdf" TargetMode="External"/><Relationship Id="rId185" Type="http://schemas.openxmlformats.org/officeDocument/2006/relationships/hyperlink" Target="http://www.cabmphandbooks.com/Documents/Development/TC-32.pdf"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www.santabarbaraca.gov/NR/rdonlyres/91D1FA75-C185-491E-A882-49EE17789DF8/0/Manual_071008_Final.pdf" TargetMode="External"/><Relationship Id="rId210" Type="http://schemas.openxmlformats.org/officeDocument/2006/relationships/hyperlink" Target="http://www.ecy.wa.gov/pubs/0510033.pdf" TargetMode="External"/><Relationship Id="rId215" Type="http://schemas.openxmlformats.org/officeDocument/2006/relationships/image" Target="media/image71.jpeg"/><Relationship Id="rId236" Type="http://schemas.openxmlformats.org/officeDocument/2006/relationships/hyperlink" Target="http://www.lowimpactdevelopment.org/guest75/pub/All_Projects/SoCal_LID_Manual/SoCalLID_Manual_FINAL_040910.pdf" TargetMode="External"/><Relationship Id="rId257" Type="http://schemas.openxmlformats.org/officeDocument/2006/relationships/hyperlink" Target="http://www.suntreetech.com" TargetMode="External"/><Relationship Id="rId26" Type="http://schemas.openxmlformats.org/officeDocument/2006/relationships/hyperlink" Target="http://www.ocflood.com/Docs_Online_Manuals.aspx" TargetMode="External"/><Relationship Id="rId231" Type="http://schemas.openxmlformats.org/officeDocument/2006/relationships/hyperlink" Target="http://dpw.lacounty.gov/wmd/LA_County_LID_Manual.pdf" TargetMode="External"/><Relationship Id="rId252" Type="http://schemas.openxmlformats.org/officeDocument/2006/relationships/hyperlink" Target="http://www.shopbowhead.com/" TargetMode="External"/><Relationship Id="rId273" Type="http://schemas.openxmlformats.org/officeDocument/2006/relationships/hyperlink" Target="http://www.spillcontainment.com" TargetMode="External"/><Relationship Id="rId47" Type="http://schemas.openxmlformats.org/officeDocument/2006/relationships/image" Target="media/image13.png"/><Relationship Id="rId68" Type="http://schemas.openxmlformats.org/officeDocument/2006/relationships/image" Target="media/image32.emf"/><Relationship Id="rId89" Type="http://schemas.openxmlformats.org/officeDocument/2006/relationships/image" Target="media/image43.emf"/><Relationship Id="rId112" Type="http://schemas.openxmlformats.org/officeDocument/2006/relationships/hyperlink" Target="http://www.sdcounty.ca.gov/dplu/docs/LID-Appendices.pdf" TargetMode="External"/><Relationship Id="rId133" Type="http://schemas.openxmlformats.org/officeDocument/2006/relationships/hyperlink" Target="http://www.santabarbaraca.gov/NR/rdonlyres/91D1FA75-C185-491E-A882-49EE17789DF8/0/Manual_071008_Final.pdf" TargetMode="External"/><Relationship Id="rId154" Type="http://schemas.openxmlformats.org/officeDocument/2006/relationships/hyperlink" Target="http://dpw.lacounty.gov/wmd/LA_County_LID_Manual.pdf" TargetMode="External"/><Relationship Id="rId175" Type="http://schemas.openxmlformats.org/officeDocument/2006/relationships/image" Target="media/image63.png"/><Relationship Id="rId196" Type="http://schemas.openxmlformats.org/officeDocument/2006/relationships/hyperlink" Target="http://dpw.lacounty.gov/DES/design_manuals/StormwaterBMPDesignandMaintenance.pdf" TargetMode="External"/><Relationship Id="rId200" Type="http://schemas.openxmlformats.org/officeDocument/2006/relationships/hyperlink" Target="http://dpw.lacounty.gov/DES/design_manuals/StormwaterBMPDesignandMaintenance.pdf" TargetMode="External"/><Relationship Id="rId16" Type="http://schemas.openxmlformats.org/officeDocument/2006/relationships/image" Target="media/image4.png"/><Relationship Id="rId221" Type="http://schemas.openxmlformats.org/officeDocument/2006/relationships/image" Target="media/image72.emf"/><Relationship Id="rId242" Type="http://schemas.openxmlformats.org/officeDocument/2006/relationships/hyperlink" Target="http://www.contech-cpi.com" TargetMode="External"/><Relationship Id="rId263" Type="http://schemas.openxmlformats.org/officeDocument/2006/relationships/hyperlink" Target="http://www.kristar.com" TargetMode="External"/><Relationship Id="rId37" Type="http://schemas.openxmlformats.org/officeDocument/2006/relationships/hyperlink" Target="http://www.ocflood.com/Docs_Online_Manuals.aspx" TargetMode="External"/><Relationship Id="rId58" Type="http://schemas.openxmlformats.org/officeDocument/2006/relationships/image" Target="media/image22.png"/><Relationship Id="rId79" Type="http://schemas.openxmlformats.org/officeDocument/2006/relationships/header" Target="header3.xml"/><Relationship Id="rId102" Type="http://schemas.openxmlformats.org/officeDocument/2006/relationships/image" Target="media/image48.png"/><Relationship Id="rId123" Type="http://schemas.openxmlformats.org/officeDocument/2006/relationships/hyperlink" Target="http://www.portlandonline.com/bes/index.cfm?c=35122&amp;a=55791" TargetMode="External"/><Relationship Id="rId144" Type="http://schemas.openxmlformats.org/officeDocument/2006/relationships/hyperlink" Target="http://www.lowimpactdevelopment.org/guest75/pub/All_Projects/SoCal_LID_Manual/SoCalLID_Manual_FINAL_040910.pdf" TargetMode="External"/><Relationship Id="rId90" Type="http://schemas.openxmlformats.org/officeDocument/2006/relationships/hyperlink" Target="http://www.water.ca.gov/wateruseefficiency/docs/wucols00.pdf" TargetMode="External"/><Relationship Id="rId165" Type="http://schemas.openxmlformats.org/officeDocument/2006/relationships/hyperlink" Target="http://www.sdcounty.ca.gov/dplu/docs/LID-Appendices.pdf" TargetMode="External"/><Relationship Id="rId186" Type="http://schemas.openxmlformats.org/officeDocument/2006/relationships/hyperlink" Target="http://www.lowimpactdevelopment.org/guest75/pub/All_Projects/SoCal_LID_Manual/SoCalLID_Manual_FINAL_040910.pdf" TargetMode="External"/><Relationship Id="rId211" Type="http://schemas.openxmlformats.org/officeDocument/2006/relationships/hyperlink" Target="http://www.cabmphandbooks.com/Documents/Development/TC-21.pdf" TargetMode="External"/><Relationship Id="rId232" Type="http://schemas.openxmlformats.org/officeDocument/2006/relationships/hyperlink" Target="http://www.portlandonline.com/bes/index.cfm?c=47953&amp;" TargetMode="External"/><Relationship Id="rId253" Type="http://schemas.openxmlformats.org/officeDocument/2006/relationships/hyperlink" Target="http://www.contech-cpi.com" TargetMode="External"/><Relationship Id="rId274" Type="http://schemas.openxmlformats.org/officeDocument/2006/relationships/hyperlink" Target="http://www.spillcontainment.com" TargetMode="External"/><Relationship Id="rId27" Type="http://schemas.openxmlformats.org/officeDocument/2006/relationships/hyperlink" Target="http://www.ocflood.com/Docs_Online_Manuals.aspx" TargetMode="External"/><Relationship Id="rId48" Type="http://schemas.openxmlformats.org/officeDocument/2006/relationships/image" Target="media/image14.png"/><Relationship Id="rId69" Type="http://schemas.openxmlformats.org/officeDocument/2006/relationships/image" Target="media/image33.emf"/><Relationship Id="rId113" Type="http://schemas.openxmlformats.org/officeDocument/2006/relationships/image" Target="media/image51.jpeg"/><Relationship Id="rId134" Type="http://schemas.openxmlformats.org/officeDocument/2006/relationships/hyperlink" Target="http://www.sdcounty.ca.gov/dplu/docs/LID-Appendices.pdf" TargetMode="External"/><Relationship Id="rId80" Type="http://schemas.openxmlformats.org/officeDocument/2006/relationships/image" Target="media/image40.png"/><Relationship Id="rId155" Type="http://schemas.openxmlformats.org/officeDocument/2006/relationships/hyperlink" Target="http://www.cabmphandbooks.com/Documents/Development/TC-32.pdf" TargetMode="External"/><Relationship Id="rId176" Type="http://schemas.openxmlformats.org/officeDocument/2006/relationships/hyperlink" Target="http://www.laschools.org/employee/design/fs-studies-and-reports/download/white_paper_report_material/Storm_Water_Technical_Manual_2009-opt-red.pdf?version_id=76975850" TargetMode="External"/><Relationship Id="rId197" Type="http://schemas.openxmlformats.org/officeDocument/2006/relationships/image" Target="media/image68.jpeg"/><Relationship Id="rId201" Type="http://schemas.openxmlformats.org/officeDocument/2006/relationships/hyperlink" Target="http://www.laschools.org/employee/design/fs-studies-and-reports/download/white_paper_report_material/Storm_Water_Technical_Manual_2009-opt-red.pdf?version_id=76975850" TargetMode="External"/><Relationship Id="rId222" Type="http://schemas.openxmlformats.org/officeDocument/2006/relationships/hyperlink" Target="http://www.laschools.org/employee/design/fs-studies-and-reports/download/white_paper_report_material/Storm_Water_Technical_Manual_2009-opt-red.pdf?version_id=76975850" TargetMode="External"/><Relationship Id="rId243" Type="http://schemas.openxmlformats.org/officeDocument/2006/relationships/hyperlink" Target="http://www.contech-cpi.com" TargetMode="External"/><Relationship Id="rId264" Type="http://schemas.openxmlformats.org/officeDocument/2006/relationships/hyperlink" Target="http://www.nyloplast-us.com" TargetMode="External"/><Relationship Id="rId17" Type="http://schemas.openxmlformats.org/officeDocument/2006/relationships/image" Target="media/image5.png"/><Relationship Id="rId38" Type="http://schemas.openxmlformats.org/officeDocument/2006/relationships/hyperlink" Target="http://www.hydrocad.net/pdf/TR-55%20Manual.pdf" TargetMode="External"/><Relationship Id="rId59" Type="http://schemas.openxmlformats.org/officeDocument/2006/relationships/image" Target="media/image23.emf"/><Relationship Id="rId103" Type="http://schemas.openxmlformats.org/officeDocument/2006/relationships/image" Target="media/image49.png"/><Relationship Id="rId124" Type="http://schemas.openxmlformats.org/officeDocument/2006/relationships/hyperlink" Target="http://www.sdcounty.ca.gov/dplu/docs/LID-Appendices.pdf" TargetMode="External"/><Relationship Id="rId70" Type="http://schemas.openxmlformats.org/officeDocument/2006/relationships/image" Target="media/image34.emf"/><Relationship Id="rId91" Type="http://schemas.openxmlformats.org/officeDocument/2006/relationships/image" Target="media/image44.png"/><Relationship Id="rId145" Type="http://schemas.openxmlformats.org/officeDocument/2006/relationships/hyperlink" Target="http://dpw.lacounty.gov/DES/design_manuals/StormwaterBMPDesignandMaintenance.pdf" TargetMode="External"/><Relationship Id="rId166" Type="http://schemas.openxmlformats.org/officeDocument/2006/relationships/hyperlink" Target="http://www.santabarbaraca.gov/NR/rdonlyres/91D1FA75-C185-491E-A882-49EE17789DF8/0/Manual_071008_Final.pdf" TargetMode="External"/><Relationship Id="rId187" Type="http://schemas.openxmlformats.org/officeDocument/2006/relationships/hyperlink" Target="http://dpw.lacounty.gov/DES/design_manuals/StormwaterBMPDesignandMaintenance.pdf" TargetMode="External"/><Relationship Id="rId1" Type="http://schemas.openxmlformats.org/officeDocument/2006/relationships/customXml" Target="../customXml/item1.xml"/><Relationship Id="rId212" Type="http://schemas.openxmlformats.org/officeDocument/2006/relationships/hyperlink" Target="http://dpw.lacounty.gov/DES/design_manuals/StormwaterBMPDesignandMaintenance.pdf" TargetMode="External"/><Relationship Id="rId233" Type="http://schemas.openxmlformats.org/officeDocument/2006/relationships/hyperlink" Target="http://www.ecy.wa.gov/pubs/0510033.pdf" TargetMode="External"/><Relationship Id="rId254" Type="http://schemas.openxmlformats.org/officeDocument/2006/relationships/hyperlink" Target="http://www.contech-cpi.com" TargetMode="External"/><Relationship Id="rId28" Type="http://schemas.openxmlformats.org/officeDocument/2006/relationships/hyperlink" Target="http://www.ocflood.com/Docs_Online_Manuals.aspx" TargetMode="External"/><Relationship Id="rId49" Type="http://schemas.openxmlformats.org/officeDocument/2006/relationships/image" Target="media/image15.png"/><Relationship Id="rId114" Type="http://schemas.openxmlformats.org/officeDocument/2006/relationships/hyperlink" Target="http://www.auburn.edu/projects/sustainability/website/newsletter/0910.php" TargetMode="External"/><Relationship Id="rId275" Type="http://schemas.openxmlformats.org/officeDocument/2006/relationships/fontTable" Target="fontTable.xml"/><Relationship Id="rId296" Type="http://schemas.microsoft.com/office/2007/relationships/stylesWithEffects" Target="stylesWithEffects.xml"/><Relationship Id="rId60" Type="http://schemas.openxmlformats.org/officeDocument/2006/relationships/image" Target="media/image24.emf"/><Relationship Id="rId81" Type="http://schemas.openxmlformats.org/officeDocument/2006/relationships/header" Target="header4.xml"/><Relationship Id="rId135" Type="http://schemas.openxmlformats.org/officeDocument/2006/relationships/image" Target="media/image57.emf"/><Relationship Id="rId156" Type="http://schemas.openxmlformats.org/officeDocument/2006/relationships/hyperlink" Target="http://www.lowimpactdevelopment.org/guest75/pub/All_Projects/SoCal_LID_Manual/SoCalLID_Manual_FINAL_040910.pdf" TargetMode="External"/><Relationship Id="rId177" Type="http://schemas.openxmlformats.org/officeDocument/2006/relationships/image" Target="media/image64.jpeg"/><Relationship Id="rId198" Type="http://schemas.openxmlformats.org/officeDocument/2006/relationships/hyperlink" Target="http://www.wsdot.wa.gov/Environment/WaterQuality/Research/Reports.htm"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pubs.usgs.gov/sir/2010/5102/" TargetMode="External"/><Relationship Id="rId2" Type="http://schemas.openxmlformats.org/officeDocument/2006/relationships/hyperlink" Target="http://www.hec.usace.army.mil/software/hec-hms/download.html" TargetMode="External"/><Relationship Id="rId1" Type="http://schemas.openxmlformats.org/officeDocument/2006/relationships/hyperlink" Target="http://www.wsi.nrcs.usda.gov/products/w2q/h&amp;h/tools_models/wintr55.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7840A5-0F38-45AD-9F77-C0CAEBF933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259</Pages>
  <Words>73558</Words>
  <Characters>419286</Characters>
  <Application>Microsoft Office Word</Application>
  <DocSecurity>0</DocSecurity>
  <Lines>3494</Lines>
  <Paragraphs>983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491861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aporesky</dc:creator>
  <cp:lastModifiedBy>comment</cp:lastModifiedBy>
  <cp:revision>3</cp:revision>
  <cp:lastPrinted>2011-03-16T04:46:00Z</cp:lastPrinted>
  <dcterms:created xsi:type="dcterms:W3CDTF">2011-05-24T23:40:00Z</dcterms:created>
  <dcterms:modified xsi:type="dcterms:W3CDTF">2011-05-24T23:50:00Z</dcterms:modified>
</cp:coreProperties>
</file>