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3BA8F8" w14:textId="77777777" w:rsidR="001B4115" w:rsidRPr="00D66C87" w:rsidRDefault="00DD46B3" w:rsidP="00D16945">
      <w:pPr>
        <w:jc w:val="center"/>
        <w:rPr>
          <w:b/>
          <w:sz w:val="44"/>
          <w:szCs w:val="44"/>
        </w:rPr>
      </w:pPr>
      <w:bookmarkStart w:id="0" w:name="_GoBack"/>
      <w:bookmarkEnd w:id="0"/>
      <w:r>
        <w:rPr>
          <w:b/>
          <w:sz w:val="44"/>
          <w:szCs w:val="44"/>
        </w:rPr>
        <w:t xml:space="preserve">Scientific Bases for Assessment, Prevention, and Management </w:t>
      </w:r>
      <w:r w:rsidR="0097355D">
        <w:rPr>
          <w:b/>
          <w:sz w:val="44"/>
          <w:szCs w:val="44"/>
        </w:rPr>
        <w:t>of Biostimulatory Impacts</w:t>
      </w:r>
      <w:r w:rsidR="002E08F5">
        <w:rPr>
          <w:b/>
          <w:sz w:val="44"/>
          <w:szCs w:val="44"/>
        </w:rPr>
        <w:t xml:space="preserve"> in </w:t>
      </w:r>
      <w:r w:rsidR="00681C9D">
        <w:rPr>
          <w:b/>
          <w:sz w:val="44"/>
          <w:szCs w:val="44"/>
        </w:rPr>
        <w:t xml:space="preserve">California </w:t>
      </w:r>
      <w:r w:rsidR="0097355D">
        <w:rPr>
          <w:b/>
          <w:sz w:val="44"/>
          <w:szCs w:val="44"/>
        </w:rPr>
        <w:t>Wade</w:t>
      </w:r>
      <w:r w:rsidR="00296013">
        <w:rPr>
          <w:b/>
          <w:sz w:val="44"/>
          <w:szCs w:val="44"/>
        </w:rPr>
        <w:t>a</w:t>
      </w:r>
      <w:r w:rsidR="0097355D">
        <w:rPr>
          <w:b/>
          <w:sz w:val="44"/>
          <w:szCs w:val="44"/>
        </w:rPr>
        <w:t>ble Streams</w:t>
      </w:r>
    </w:p>
    <w:p w14:paraId="61CE1958" w14:textId="77777777" w:rsidR="00FA4657" w:rsidRPr="00D16945" w:rsidRDefault="00FA4657" w:rsidP="00D16945">
      <w:pPr>
        <w:jc w:val="center"/>
        <w:rPr>
          <w:b/>
          <w:sz w:val="40"/>
          <w:szCs w:val="40"/>
        </w:rPr>
      </w:pPr>
    </w:p>
    <w:p w14:paraId="3AAF2A59" w14:textId="77777777" w:rsidR="007908EC" w:rsidRPr="00610D5E" w:rsidRDefault="007908EC" w:rsidP="00610D5E">
      <w:pPr>
        <w:jc w:val="center"/>
        <w:rPr>
          <w:b/>
          <w:sz w:val="40"/>
          <w:szCs w:val="40"/>
        </w:rPr>
      </w:pPr>
    </w:p>
    <w:p w14:paraId="6CF868F4" w14:textId="77777777" w:rsidR="00806993" w:rsidRPr="00806993" w:rsidRDefault="006773AB" w:rsidP="00806993">
      <w:pPr>
        <w:spacing w:after="80" w:line="240" w:lineRule="auto"/>
        <w:jc w:val="center"/>
        <w:rPr>
          <w:b/>
          <w:sz w:val="32"/>
          <w:szCs w:val="32"/>
        </w:rPr>
      </w:pPr>
      <w:r w:rsidRPr="00806993">
        <w:rPr>
          <w:b/>
          <w:sz w:val="32"/>
          <w:szCs w:val="32"/>
        </w:rPr>
        <w:t>Prepared for</w:t>
      </w:r>
      <w:r w:rsidR="005A1C07">
        <w:rPr>
          <w:b/>
          <w:sz w:val="32"/>
          <w:szCs w:val="32"/>
        </w:rPr>
        <w:t>:</w:t>
      </w:r>
      <w:r w:rsidRPr="00806993">
        <w:rPr>
          <w:b/>
          <w:sz w:val="32"/>
          <w:szCs w:val="32"/>
        </w:rPr>
        <w:t xml:space="preserve"> </w:t>
      </w:r>
    </w:p>
    <w:p w14:paraId="10DF4391" w14:textId="77777777" w:rsidR="00806993" w:rsidRDefault="005A1C07" w:rsidP="00806993">
      <w:pPr>
        <w:spacing w:after="80" w:line="240" w:lineRule="auto"/>
        <w:jc w:val="center"/>
        <w:rPr>
          <w:b/>
          <w:sz w:val="32"/>
          <w:szCs w:val="32"/>
        </w:rPr>
      </w:pPr>
      <w:r>
        <w:rPr>
          <w:b/>
          <w:sz w:val="32"/>
          <w:szCs w:val="32"/>
        </w:rPr>
        <w:t xml:space="preserve">The </w:t>
      </w:r>
      <w:r w:rsidR="00806993">
        <w:rPr>
          <w:b/>
          <w:sz w:val="32"/>
          <w:szCs w:val="32"/>
        </w:rPr>
        <w:t>California Environmental Protection Agency</w:t>
      </w:r>
    </w:p>
    <w:p w14:paraId="602FCCF1" w14:textId="77777777" w:rsidR="00610D5E" w:rsidRDefault="006773AB" w:rsidP="00806993">
      <w:pPr>
        <w:spacing w:after="80" w:line="240" w:lineRule="auto"/>
        <w:jc w:val="center"/>
        <w:rPr>
          <w:b/>
          <w:sz w:val="32"/>
          <w:szCs w:val="32"/>
        </w:rPr>
      </w:pPr>
      <w:r w:rsidRPr="00806993">
        <w:rPr>
          <w:b/>
          <w:sz w:val="32"/>
          <w:szCs w:val="32"/>
        </w:rPr>
        <w:t>State Water Resources Control Board</w:t>
      </w:r>
    </w:p>
    <w:p w14:paraId="24D62D64" w14:textId="77777777" w:rsidR="00806993" w:rsidRDefault="00806993" w:rsidP="00806993">
      <w:pPr>
        <w:spacing w:after="80" w:line="240" w:lineRule="auto"/>
        <w:jc w:val="center"/>
        <w:rPr>
          <w:b/>
          <w:sz w:val="32"/>
          <w:szCs w:val="32"/>
        </w:rPr>
      </w:pPr>
      <w:r>
        <w:rPr>
          <w:b/>
          <w:sz w:val="32"/>
          <w:szCs w:val="32"/>
        </w:rPr>
        <w:t>(</w:t>
      </w:r>
      <w:r w:rsidRPr="00806993">
        <w:rPr>
          <w:b/>
          <w:sz w:val="32"/>
          <w:szCs w:val="32"/>
        </w:rPr>
        <w:t>Agreement Number 07-110-250</w:t>
      </w:r>
      <w:r>
        <w:rPr>
          <w:b/>
          <w:sz w:val="32"/>
          <w:szCs w:val="32"/>
        </w:rPr>
        <w:t>)</w:t>
      </w:r>
    </w:p>
    <w:p w14:paraId="47982820" w14:textId="77777777" w:rsidR="00806993" w:rsidRPr="00806993" w:rsidRDefault="00806993" w:rsidP="00806993">
      <w:pPr>
        <w:spacing w:after="80" w:line="240" w:lineRule="auto"/>
        <w:jc w:val="center"/>
        <w:rPr>
          <w:b/>
          <w:sz w:val="32"/>
          <w:szCs w:val="32"/>
        </w:rPr>
      </w:pPr>
    </w:p>
    <w:p w14:paraId="33482273" w14:textId="77777777" w:rsidR="00552FAC" w:rsidRPr="00C94B8D" w:rsidRDefault="00552FAC" w:rsidP="00610D5E">
      <w:pPr>
        <w:jc w:val="center"/>
      </w:pPr>
    </w:p>
    <w:p w14:paraId="715E72E9" w14:textId="77777777" w:rsidR="00B16E53" w:rsidRDefault="00B16E53" w:rsidP="00610D5E">
      <w:pPr>
        <w:jc w:val="center"/>
        <w:rPr>
          <w:b/>
        </w:rPr>
      </w:pPr>
    </w:p>
    <w:p w14:paraId="4F6B4C61" w14:textId="77777777" w:rsidR="009755E6" w:rsidRDefault="009755E6" w:rsidP="00610D5E">
      <w:pPr>
        <w:jc w:val="center"/>
        <w:rPr>
          <w:b/>
        </w:rPr>
      </w:pPr>
    </w:p>
    <w:p w14:paraId="625E0944" w14:textId="77777777" w:rsidR="001363BC" w:rsidRPr="003D3640" w:rsidRDefault="001363BC" w:rsidP="001363BC">
      <w:pPr>
        <w:spacing w:after="80" w:line="240" w:lineRule="auto"/>
        <w:jc w:val="center"/>
        <w:rPr>
          <w:rFonts w:cs="Calibri"/>
          <w:b/>
          <w:sz w:val="28"/>
          <w:szCs w:val="28"/>
        </w:rPr>
      </w:pPr>
      <w:r w:rsidRPr="003D3640">
        <w:rPr>
          <w:rFonts w:cs="Calibri"/>
          <w:b/>
          <w:sz w:val="28"/>
          <w:szCs w:val="28"/>
        </w:rPr>
        <w:t xml:space="preserve">By </w:t>
      </w:r>
    </w:p>
    <w:p w14:paraId="4C966259" w14:textId="77777777" w:rsidR="001363BC" w:rsidRPr="003D3640" w:rsidRDefault="001E693C" w:rsidP="001363BC">
      <w:pPr>
        <w:spacing w:after="80" w:line="240" w:lineRule="auto"/>
        <w:jc w:val="center"/>
        <w:rPr>
          <w:rFonts w:cs="Calibri"/>
          <w:b/>
          <w:sz w:val="28"/>
          <w:szCs w:val="28"/>
        </w:rPr>
      </w:pPr>
      <w:r>
        <w:rPr>
          <w:rFonts w:cs="Calibri"/>
          <w:b/>
          <w:sz w:val="28"/>
          <w:szCs w:val="28"/>
        </w:rPr>
        <w:t>Martha Sutula, Raphael Mazor, Susanna Theroux</w:t>
      </w:r>
      <w:r w:rsidR="00BF1EEF">
        <w:rPr>
          <w:rFonts w:cs="Calibri"/>
          <w:b/>
          <w:sz w:val="28"/>
          <w:szCs w:val="28"/>
        </w:rPr>
        <w:t>, [OTHERS]</w:t>
      </w:r>
    </w:p>
    <w:p w14:paraId="4047D8B5" w14:textId="77777777" w:rsidR="00530FF3" w:rsidRDefault="001363BC" w:rsidP="00530FF3">
      <w:pPr>
        <w:spacing w:after="120" w:line="240" w:lineRule="auto"/>
        <w:jc w:val="center"/>
        <w:rPr>
          <w:rFonts w:cs="Calibri"/>
          <w:b/>
          <w:sz w:val="28"/>
          <w:szCs w:val="28"/>
        </w:rPr>
      </w:pPr>
      <w:r w:rsidRPr="003D3640">
        <w:rPr>
          <w:rFonts w:cs="Calibri"/>
          <w:b/>
          <w:sz w:val="28"/>
          <w:szCs w:val="28"/>
        </w:rPr>
        <w:t>Southern California Coastal Water Research</w:t>
      </w:r>
    </w:p>
    <w:p w14:paraId="1F517292" w14:textId="77777777" w:rsidR="00530FF3" w:rsidRDefault="00530FF3" w:rsidP="00610D5E">
      <w:pPr>
        <w:jc w:val="center"/>
        <w:rPr>
          <w:rFonts w:cs="Calibri"/>
          <w:b/>
          <w:sz w:val="28"/>
          <w:szCs w:val="28"/>
        </w:rPr>
      </w:pPr>
    </w:p>
    <w:p w14:paraId="12A50436" w14:textId="77777777" w:rsidR="009755E6" w:rsidRDefault="009755E6" w:rsidP="00610D5E">
      <w:pPr>
        <w:jc w:val="center"/>
        <w:rPr>
          <w:b/>
        </w:rPr>
      </w:pPr>
    </w:p>
    <w:p w14:paraId="5F9F55CB" w14:textId="77777777" w:rsidR="009755E6" w:rsidRDefault="009755E6" w:rsidP="00610D5E">
      <w:pPr>
        <w:jc w:val="center"/>
        <w:rPr>
          <w:b/>
        </w:rPr>
      </w:pPr>
    </w:p>
    <w:p w14:paraId="7EAB4634" w14:textId="77777777" w:rsidR="009755E6" w:rsidRDefault="009755E6" w:rsidP="00610D5E">
      <w:pPr>
        <w:jc w:val="center"/>
        <w:rPr>
          <w:b/>
        </w:rPr>
      </w:pPr>
    </w:p>
    <w:p w14:paraId="0BB12398" w14:textId="77777777" w:rsidR="009755E6" w:rsidRDefault="009755E6" w:rsidP="00610D5E">
      <w:pPr>
        <w:jc w:val="center"/>
        <w:rPr>
          <w:b/>
        </w:rPr>
      </w:pPr>
    </w:p>
    <w:p w14:paraId="25AF2482" w14:textId="77777777" w:rsidR="008F79C0" w:rsidRDefault="00163F70" w:rsidP="00610D5E">
      <w:pPr>
        <w:jc w:val="center"/>
        <w:rPr>
          <w:b/>
        </w:rPr>
      </w:pPr>
      <w:r>
        <w:rPr>
          <w:b/>
        </w:rPr>
        <w:t>September</w:t>
      </w:r>
      <w:r w:rsidR="00DE5DA4">
        <w:rPr>
          <w:b/>
        </w:rPr>
        <w:t xml:space="preserve"> 2018</w:t>
      </w:r>
    </w:p>
    <w:p w14:paraId="4B186219" w14:textId="77777777" w:rsidR="00DE5DA4" w:rsidRDefault="00DE5DA4" w:rsidP="00610D5E">
      <w:pPr>
        <w:jc w:val="center"/>
        <w:rPr>
          <w:b/>
        </w:rPr>
      </w:pPr>
    </w:p>
    <w:p w14:paraId="01782EE1" w14:textId="77777777" w:rsidR="00DE5DA4" w:rsidRDefault="00DE5DA4" w:rsidP="00610D5E">
      <w:pPr>
        <w:jc w:val="center"/>
        <w:rPr>
          <w:b/>
        </w:rPr>
        <w:sectPr w:rsidR="00DE5DA4" w:rsidSect="00E80040">
          <w:headerReference w:type="even" r:id="rId8"/>
          <w:headerReference w:type="default" r:id="rId9"/>
          <w:footerReference w:type="even" r:id="rId10"/>
          <w:footerReference w:type="default" r:id="rId11"/>
          <w:headerReference w:type="first" r:id="rId12"/>
          <w:footerReference w:type="first" r:id="rId13"/>
          <w:pgSz w:w="12240" w:h="15840" w:code="1"/>
          <w:pgMar w:top="1440" w:right="1440" w:bottom="1440" w:left="1440" w:header="0" w:footer="0" w:gutter="0"/>
          <w:pgNumType w:fmt="lowerRoman" w:start="1"/>
          <w:cols w:space="720"/>
          <w:docGrid w:linePitch="360"/>
        </w:sectPr>
      </w:pPr>
      <w:r>
        <w:rPr>
          <w:b/>
        </w:rPr>
        <w:t>SCCWRP Technical Report #</w:t>
      </w:r>
      <w:r w:rsidR="00530FF3">
        <w:rPr>
          <w:b/>
        </w:rPr>
        <w:t>1048</w:t>
      </w:r>
    </w:p>
    <w:p w14:paraId="7AAB2063" w14:textId="77777777" w:rsidR="005826AF" w:rsidRDefault="005826AF" w:rsidP="007F6350">
      <w:pPr>
        <w:pStyle w:val="Heading1"/>
      </w:pPr>
      <w:bookmarkStart w:id="1" w:name="_Toc526505101"/>
      <w:r w:rsidRPr="00C94B8D">
        <w:lastRenderedPageBreak/>
        <w:t xml:space="preserve">Executive </w:t>
      </w:r>
      <w:r w:rsidRPr="007F6350">
        <w:t>Summary</w:t>
      </w:r>
      <w:bookmarkEnd w:id="1"/>
    </w:p>
    <w:p w14:paraId="1B40F60E" w14:textId="294FD1E3" w:rsidR="00B24799" w:rsidRDefault="00B24799" w:rsidP="00B24799">
      <w:pPr>
        <w:pStyle w:val="ListParagraph"/>
        <w:ind w:left="0"/>
        <w:jc w:val="both"/>
      </w:pPr>
      <w:r>
        <w:t xml:space="preserve">The </w:t>
      </w:r>
      <w:r w:rsidRPr="00324983">
        <w:t xml:space="preserve">State </w:t>
      </w:r>
      <w:r>
        <w:t xml:space="preserve">Water Board staff </w:t>
      </w:r>
      <w:r w:rsidRPr="00324983">
        <w:t>is proposing to adopt a sta</w:t>
      </w:r>
      <w:r>
        <w:t xml:space="preserve">tewide water quality objective </w:t>
      </w:r>
      <w:r w:rsidRPr="00324983">
        <w:t>for Biostimulatory Substances and a program to implement it</w:t>
      </w:r>
      <w:r>
        <w:t>,</w:t>
      </w:r>
      <w:r w:rsidRPr="00324983">
        <w:t xml:space="preserve"> as an amendment to the </w:t>
      </w:r>
      <w:r>
        <w:t xml:space="preserve">ISWEBE Plan.  </w:t>
      </w:r>
      <w:r w:rsidRPr="00536C4D">
        <w:t>Phase I will establish the</w:t>
      </w:r>
      <w:r>
        <w:t xml:space="preserve"> </w:t>
      </w:r>
      <w:r w:rsidRPr="00386A73">
        <w:t xml:space="preserve">consistent conceptual foundation and approach supporting the interpretation of the narrative biostimulatory objective, applicable to </w:t>
      </w:r>
      <w:r>
        <w:t xml:space="preserve">all surface waters </w:t>
      </w:r>
      <w:r w:rsidRPr="00B24799">
        <w:t>and establish numeric guidance for wadeable streams</w:t>
      </w:r>
      <w:r>
        <w:t xml:space="preserve">.  </w:t>
      </w:r>
      <w:r w:rsidRPr="00511B7C">
        <w:t xml:space="preserve">As a part of this </w:t>
      </w:r>
      <w:r>
        <w:t>amendment,</w:t>
      </w:r>
      <w:r w:rsidRPr="00511B7C">
        <w:t xml:space="preserve"> the State Water Board intends to establish a</w:t>
      </w:r>
      <w:r>
        <w:t>n</w:t>
      </w:r>
      <w:r w:rsidRPr="00511B7C">
        <w:t xml:space="preserve"> Implementation Plan</w:t>
      </w:r>
      <w:r>
        <w:t xml:space="preserve"> to protect Biointegrity, which provides the conceptual basis for the protection of aquatic life</w:t>
      </w:r>
      <w:r w:rsidRPr="006D19A4">
        <w:rPr>
          <w:rFonts w:cs="Calibri"/>
        </w:rPr>
        <w:t>–</w:t>
      </w:r>
      <w:r>
        <w:t>related beneficial uses and implementation guidance specifically for wadeable streams</w:t>
      </w:r>
      <w:r w:rsidRPr="00511B7C">
        <w:t>.</w:t>
      </w:r>
      <w:r>
        <w:t xml:space="preserve"> This document provides a synthesis of science supporting the development of numeric guidance to protect wadeable streams from eutrophication by 1) providing general conceptual models of risk pathways by which nutrient pollution and eutrophication can impair beneficial uses in wadeable streams, 2) providing a review of eutrophication indicators that can serve as the basis for assessing beneficial use protection status and 3) summarizing available science supporting the selection of numeric targets to protect waterbodies against biostimulatory impacts.  </w:t>
      </w:r>
      <w:r w:rsidR="00F01CB8">
        <w:t>Three k</w:t>
      </w:r>
      <w:r>
        <w:t xml:space="preserve">ey findings of this work are summarized below. </w:t>
      </w:r>
    </w:p>
    <w:p w14:paraId="262C247F" w14:textId="77777777" w:rsidR="00B24799" w:rsidRDefault="00B24799" w:rsidP="00B24799">
      <w:pPr>
        <w:pStyle w:val="ListParagraph"/>
        <w:ind w:left="360"/>
        <w:jc w:val="both"/>
      </w:pPr>
    </w:p>
    <w:p w14:paraId="0680D277" w14:textId="77777777" w:rsidR="00B24799" w:rsidRDefault="00B24799" w:rsidP="00B24799">
      <w:pPr>
        <w:pStyle w:val="ListParagraph"/>
        <w:ind w:left="180" w:hanging="270"/>
        <w:jc w:val="both"/>
      </w:pPr>
      <w:r>
        <w:rPr>
          <w:b/>
        </w:rPr>
        <w:t xml:space="preserve">1. </w:t>
      </w:r>
      <w:r w:rsidRPr="00D46F8D">
        <w:rPr>
          <w:b/>
        </w:rPr>
        <w:t>A large body of research provides a solid foundation for linking biostimulatory impacts to impairment of beneficial uses in aquatic ecosystems</w:t>
      </w:r>
      <w:r>
        <w:t>.</w:t>
      </w:r>
      <w:r>
        <w:rPr>
          <w:b/>
        </w:rPr>
        <w:t xml:space="preserve"> </w:t>
      </w:r>
      <w:r>
        <w:t xml:space="preserve">Over four decades of scientific research in eutrophication of wadeable streams provides sound scientific basis to develop conceptual models linking biostimulatory substances and conditions to eutrophication responses and their impacts on beneficial uses on California wadeable streams. </w:t>
      </w:r>
    </w:p>
    <w:p w14:paraId="1716C6CC" w14:textId="77777777" w:rsidR="00B24799" w:rsidRPr="00960AC1" w:rsidRDefault="00B24799" w:rsidP="00B24799">
      <w:pPr>
        <w:spacing w:after="120" w:line="240" w:lineRule="auto"/>
        <w:jc w:val="both"/>
        <w:rPr>
          <w:b/>
        </w:rPr>
      </w:pPr>
      <w:r w:rsidRPr="00960AC1">
        <w:rPr>
          <w:b/>
        </w:rPr>
        <w:t>Most Important Risk Pathways Associated with Impairment of Sensitive Uses by Nutrient Pollution and Eutrophication. Aquatic life -related uses, ALU, are grouped to include: COLD, WARM, MIGR, RARE, and SPWN beneficial uses. Birds, amphibian and terrestrial wildlife are represented under WILD, MIGR, and RARE. Poor water quality can be linked to human or aquatic/wildlife uses.</w:t>
      </w:r>
    </w:p>
    <w:tbl>
      <w:tblPr>
        <w:tblW w:w="9402" w:type="dxa"/>
        <w:jc w:val="center"/>
        <w:tblBorders>
          <w:top w:val="single" w:sz="12" w:space="0" w:color="auto"/>
          <w:bottom w:val="single" w:sz="12" w:space="0" w:color="auto"/>
        </w:tblBorders>
        <w:tblLayout w:type="fixed"/>
        <w:tblCellMar>
          <w:top w:w="14" w:type="dxa"/>
          <w:left w:w="72" w:type="dxa"/>
          <w:bottom w:w="14" w:type="dxa"/>
          <w:right w:w="72" w:type="dxa"/>
        </w:tblCellMar>
        <w:tblLook w:val="00A0" w:firstRow="1" w:lastRow="0" w:firstColumn="1" w:lastColumn="0" w:noHBand="0" w:noVBand="0"/>
      </w:tblPr>
      <w:tblGrid>
        <w:gridCol w:w="2160"/>
        <w:gridCol w:w="1180"/>
        <w:gridCol w:w="1340"/>
        <w:gridCol w:w="1181"/>
        <w:gridCol w:w="1180"/>
        <w:gridCol w:w="1180"/>
        <w:gridCol w:w="1181"/>
      </w:tblGrid>
      <w:tr w:rsidR="00B24799" w14:paraId="3F684667" w14:textId="77777777" w:rsidTr="00B24799">
        <w:trPr>
          <w:tblHeader/>
          <w:jc w:val="center"/>
        </w:trPr>
        <w:tc>
          <w:tcPr>
            <w:tcW w:w="2160" w:type="dxa"/>
            <w:tcBorders>
              <w:top w:val="single" w:sz="4" w:space="0" w:color="auto"/>
              <w:bottom w:val="single" w:sz="4" w:space="0" w:color="auto"/>
            </w:tcBorders>
            <w:shd w:val="clear" w:color="000080" w:fill="auto"/>
            <w:vAlign w:val="center"/>
          </w:tcPr>
          <w:p w14:paraId="5FD52FFD" w14:textId="77777777" w:rsidR="00B24799" w:rsidRPr="008A0924" w:rsidRDefault="00B24799" w:rsidP="00B24799">
            <w:pPr>
              <w:pStyle w:val="TableHeading"/>
              <w:spacing w:before="0" w:after="0"/>
            </w:pPr>
            <w:r>
              <w:t>Use</w:t>
            </w:r>
          </w:p>
        </w:tc>
        <w:tc>
          <w:tcPr>
            <w:tcW w:w="1180" w:type="dxa"/>
            <w:tcBorders>
              <w:top w:val="single" w:sz="4" w:space="0" w:color="auto"/>
              <w:bottom w:val="single" w:sz="4" w:space="0" w:color="auto"/>
            </w:tcBorders>
            <w:shd w:val="clear" w:color="000080" w:fill="auto"/>
            <w:tcMar>
              <w:left w:w="43" w:type="dxa"/>
              <w:right w:w="43" w:type="dxa"/>
            </w:tcMar>
            <w:vAlign w:val="center"/>
          </w:tcPr>
          <w:p w14:paraId="109ED960" w14:textId="77777777" w:rsidR="00B24799" w:rsidRPr="008A0924" w:rsidRDefault="00B24799" w:rsidP="00B24799">
            <w:pPr>
              <w:pStyle w:val="TableHeading"/>
              <w:spacing w:before="0" w:after="0"/>
            </w:pPr>
            <w:r>
              <w:t>Altered Aquatic Life</w:t>
            </w:r>
          </w:p>
        </w:tc>
        <w:tc>
          <w:tcPr>
            <w:tcW w:w="1340" w:type="dxa"/>
            <w:tcBorders>
              <w:top w:val="single" w:sz="4" w:space="0" w:color="auto"/>
              <w:bottom w:val="single" w:sz="4" w:space="0" w:color="auto"/>
            </w:tcBorders>
            <w:shd w:val="clear" w:color="000080" w:fill="auto"/>
            <w:tcMar>
              <w:left w:w="43" w:type="dxa"/>
              <w:right w:w="43" w:type="dxa"/>
            </w:tcMar>
            <w:vAlign w:val="center"/>
          </w:tcPr>
          <w:p w14:paraId="3905F0E5" w14:textId="23008165" w:rsidR="00B24799" w:rsidRPr="008A0924" w:rsidRDefault="00B24799" w:rsidP="00B24799">
            <w:pPr>
              <w:pStyle w:val="TableHeading"/>
              <w:spacing w:before="0" w:after="0"/>
            </w:pPr>
            <w:r>
              <w:t>Toxin Contaminated or Low Yield Fisheries</w:t>
            </w:r>
          </w:p>
        </w:tc>
        <w:tc>
          <w:tcPr>
            <w:tcW w:w="1181" w:type="dxa"/>
            <w:tcBorders>
              <w:top w:val="single" w:sz="4" w:space="0" w:color="auto"/>
              <w:bottom w:val="single" w:sz="4" w:space="0" w:color="auto"/>
            </w:tcBorders>
            <w:shd w:val="clear" w:color="000080" w:fill="auto"/>
            <w:tcMar>
              <w:left w:w="43" w:type="dxa"/>
              <w:right w:w="43" w:type="dxa"/>
            </w:tcMar>
            <w:vAlign w:val="center"/>
          </w:tcPr>
          <w:p w14:paraId="33F763CC" w14:textId="77777777" w:rsidR="00B24799" w:rsidRPr="008A0924" w:rsidRDefault="00B24799" w:rsidP="00B24799">
            <w:pPr>
              <w:pStyle w:val="TableHeading"/>
              <w:spacing w:before="0" w:after="0"/>
            </w:pPr>
            <w:r>
              <w:t>Poor Taste and Odor</w:t>
            </w:r>
          </w:p>
        </w:tc>
        <w:tc>
          <w:tcPr>
            <w:tcW w:w="1180" w:type="dxa"/>
            <w:tcBorders>
              <w:top w:val="single" w:sz="4" w:space="0" w:color="auto"/>
              <w:bottom w:val="single" w:sz="4" w:space="0" w:color="auto"/>
            </w:tcBorders>
            <w:shd w:val="clear" w:color="000080" w:fill="auto"/>
            <w:tcMar>
              <w:left w:w="43" w:type="dxa"/>
              <w:right w:w="43" w:type="dxa"/>
            </w:tcMar>
            <w:vAlign w:val="center"/>
          </w:tcPr>
          <w:p w14:paraId="34BC6473" w14:textId="77777777" w:rsidR="00B24799" w:rsidRPr="008A0924" w:rsidRDefault="00B24799" w:rsidP="00B24799">
            <w:pPr>
              <w:pStyle w:val="TableHeading"/>
              <w:spacing w:before="0" w:after="0"/>
            </w:pPr>
            <w:r>
              <w:t>Poor Aesthetics</w:t>
            </w:r>
          </w:p>
        </w:tc>
        <w:tc>
          <w:tcPr>
            <w:tcW w:w="1180" w:type="dxa"/>
            <w:tcBorders>
              <w:top w:val="single" w:sz="4" w:space="0" w:color="auto"/>
              <w:bottom w:val="single" w:sz="4" w:space="0" w:color="auto"/>
            </w:tcBorders>
            <w:shd w:val="clear" w:color="000080" w:fill="auto"/>
            <w:tcMar>
              <w:left w:w="43" w:type="dxa"/>
              <w:right w:w="43" w:type="dxa"/>
            </w:tcMar>
            <w:vAlign w:val="center"/>
          </w:tcPr>
          <w:p w14:paraId="3A66535D" w14:textId="77777777" w:rsidR="00B24799" w:rsidRPr="008A0924" w:rsidRDefault="00B24799" w:rsidP="00B24799">
            <w:pPr>
              <w:pStyle w:val="TableHeading"/>
              <w:spacing w:before="0" w:after="0"/>
            </w:pPr>
            <w:r>
              <w:t>Impeded Water Intake</w:t>
            </w:r>
          </w:p>
        </w:tc>
        <w:tc>
          <w:tcPr>
            <w:tcW w:w="1181" w:type="dxa"/>
            <w:tcBorders>
              <w:top w:val="single" w:sz="4" w:space="0" w:color="auto"/>
              <w:bottom w:val="single" w:sz="4" w:space="0" w:color="auto"/>
            </w:tcBorders>
            <w:shd w:val="clear" w:color="000080" w:fill="auto"/>
            <w:tcMar>
              <w:left w:w="43" w:type="dxa"/>
              <w:right w:w="43" w:type="dxa"/>
            </w:tcMar>
            <w:vAlign w:val="center"/>
          </w:tcPr>
          <w:p w14:paraId="0298EA7C" w14:textId="77777777" w:rsidR="00B24799" w:rsidRPr="008A0924" w:rsidRDefault="00B24799" w:rsidP="00B24799">
            <w:pPr>
              <w:pStyle w:val="TableHeading"/>
              <w:spacing w:before="0" w:after="0"/>
            </w:pPr>
            <w:r>
              <w:t>Poor Water Quality</w:t>
            </w:r>
          </w:p>
        </w:tc>
      </w:tr>
      <w:tr w:rsidR="00B24799" w14:paraId="4E05C33C" w14:textId="77777777" w:rsidTr="00B24799">
        <w:trPr>
          <w:jc w:val="center"/>
        </w:trPr>
        <w:tc>
          <w:tcPr>
            <w:tcW w:w="2160" w:type="dxa"/>
            <w:tcBorders>
              <w:top w:val="single" w:sz="4" w:space="0" w:color="auto"/>
            </w:tcBorders>
            <w:vAlign w:val="center"/>
          </w:tcPr>
          <w:p w14:paraId="1E61AF78" w14:textId="77777777" w:rsidR="00B24799" w:rsidRPr="008A0924" w:rsidRDefault="00B24799" w:rsidP="00B24799">
            <w:pPr>
              <w:pStyle w:val="TableText0"/>
              <w:spacing w:before="0" w:after="0"/>
            </w:pPr>
            <w:r>
              <w:t>AL-Related Uses</w:t>
            </w:r>
          </w:p>
        </w:tc>
        <w:tc>
          <w:tcPr>
            <w:tcW w:w="1180" w:type="dxa"/>
            <w:tcBorders>
              <w:top w:val="single" w:sz="4" w:space="0" w:color="auto"/>
            </w:tcBorders>
            <w:vAlign w:val="center"/>
          </w:tcPr>
          <w:p w14:paraId="2495551A" w14:textId="77777777" w:rsidR="00B24799" w:rsidRDefault="00B24799" w:rsidP="00B24799">
            <w:pPr>
              <w:pStyle w:val="TableText0"/>
              <w:spacing w:before="0" w:after="0"/>
              <w:jc w:val="center"/>
              <w:rPr>
                <w:b/>
              </w:rPr>
            </w:pPr>
            <w:r>
              <w:rPr>
                <w:b/>
              </w:rPr>
              <w:t>X</w:t>
            </w:r>
          </w:p>
        </w:tc>
        <w:tc>
          <w:tcPr>
            <w:tcW w:w="1340" w:type="dxa"/>
            <w:tcBorders>
              <w:top w:val="single" w:sz="4" w:space="0" w:color="auto"/>
            </w:tcBorders>
            <w:vAlign w:val="center"/>
          </w:tcPr>
          <w:p w14:paraId="0FEE9D5E" w14:textId="77777777" w:rsidR="00B24799" w:rsidRDefault="00B24799" w:rsidP="00B24799">
            <w:pPr>
              <w:pStyle w:val="TableText0"/>
              <w:spacing w:before="0" w:after="0"/>
              <w:jc w:val="center"/>
              <w:rPr>
                <w:b/>
              </w:rPr>
            </w:pPr>
          </w:p>
        </w:tc>
        <w:tc>
          <w:tcPr>
            <w:tcW w:w="1181" w:type="dxa"/>
            <w:tcBorders>
              <w:top w:val="single" w:sz="4" w:space="0" w:color="auto"/>
            </w:tcBorders>
            <w:vAlign w:val="center"/>
          </w:tcPr>
          <w:p w14:paraId="5017C73C" w14:textId="77777777" w:rsidR="00B24799" w:rsidRDefault="00B24799" w:rsidP="00B24799">
            <w:pPr>
              <w:pStyle w:val="TableText0"/>
              <w:spacing w:before="0" w:after="0"/>
              <w:jc w:val="center"/>
              <w:rPr>
                <w:b/>
              </w:rPr>
            </w:pPr>
          </w:p>
        </w:tc>
        <w:tc>
          <w:tcPr>
            <w:tcW w:w="1180" w:type="dxa"/>
            <w:tcBorders>
              <w:top w:val="single" w:sz="4" w:space="0" w:color="auto"/>
            </w:tcBorders>
            <w:vAlign w:val="center"/>
          </w:tcPr>
          <w:p w14:paraId="3B432974" w14:textId="77777777" w:rsidR="00B24799" w:rsidRDefault="00B24799" w:rsidP="00B24799">
            <w:pPr>
              <w:pStyle w:val="TableText0"/>
              <w:spacing w:before="0" w:after="0"/>
              <w:jc w:val="center"/>
              <w:rPr>
                <w:b/>
              </w:rPr>
            </w:pPr>
          </w:p>
        </w:tc>
        <w:tc>
          <w:tcPr>
            <w:tcW w:w="1180" w:type="dxa"/>
            <w:tcBorders>
              <w:top w:val="single" w:sz="4" w:space="0" w:color="auto"/>
            </w:tcBorders>
            <w:vAlign w:val="center"/>
          </w:tcPr>
          <w:p w14:paraId="1A9A2D1F" w14:textId="77777777" w:rsidR="00B24799" w:rsidRPr="008A0924" w:rsidRDefault="00B24799" w:rsidP="00B24799">
            <w:pPr>
              <w:pStyle w:val="TableText0"/>
              <w:spacing w:before="0" w:after="0"/>
              <w:jc w:val="center"/>
              <w:rPr>
                <w:b/>
              </w:rPr>
            </w:pPr>
          </w:p>
        </w:tc>
        <w:tc>
          <w:tcPr>
            <w:tcW w:w="1181" w:type="dxa"/>
            <w:tcBorders>
              <w:top w:val="single" w:sz="4" w:space="0" w:color="auto"/>
            </w:tcBorders>
            <w:vAlign w:val="center"/>
          </w:tcPr>
          <w:p w14:paraId="27C1B9E8" w14:textId="77777777" w:rsidR="00B24799" w:rsidRDefault="00B24799" w:rsidP="00B24799">
            <w:pPr>
              <w:pStyle w:val="TableText0"/>
              <w:spacing w:before="0" w:after="0"/>
              <w:jc w:val="center"/>
              <w:rPr>
                <w:b/>
              </w:rPr>
            </w:pPr>
            <w:r>
              <w:rPr>
                <w:b/>
              </w:rPr>
              <w:t>X</w:t>
            </w:r>
          </w:p>
        </w:tc>
      </w:tr>
      <w:tr w:rsidR="00B24799" w14:paraId="63AF65C7" w14:textId="77777777" w:rsidTr="00B24799">
        <w:trPr>
          <w:jc w:val="center"/>
        </w:trPr>
        <w:tc>
          <w:tcPr>
            <w:tcW w:w="2160" w:type="dxa"/>
            <w:vAlign w:val="center"/>
          </w:tcPr>
          <w:p w14:paraId="4E1FB95A" w14:textId="77777777" w:rsidR="00B24799" w:rsidRDefault="00B24799" w:rsidP="00B24799">
            <w:pPr>
              <w:pStyle w:val="TableText0"/>
              <w:spacing w:before="0" w:after="0"/>
            </w:pPr>
            <w:r>
              <w:t>MIGR/WILD/RARE</w:t>
            </w:r>
          </w:p>
        </w:tc>
        <w:tc>
          <w:tcPr>
            <w:tcW w:w="1180" w:type="dxa"/>
            <w:vAlign w:val="center"/>
          </w:tcPr>
          <w:p w14:paraId="32168265" w14:textId="77777777" w:rsidR="00B24799" w:rsidRDefault="00B24799" w:rsidP="00B24799">
            <w:pPr>
              <w:pStyle w:val="TableText0"/>
              <w:spacing w:before="0" w:after="0"/>
              <w:jc w:val="center"/>
              <w:rPr>
                <w:b/>
              </w:rPr>
            </w:pPr>
            <w:r>
              <w:rPr>
                <w:b/>
              </w:rPr>
              <w:t>X</w:t>
            </w:r>
          </w:p>
        </w:tc>
        <w:tc>
          <w:tcPr>
            <w:tcW w:w="1340" w:type="dxa"/>
            <w:vAlign w:val="center"/>
          </w:tcPr>
          <w:p w14:paraId="24952839" w14:textId="77777777" w:rsidR="00B24799" w:rsidRDefault="00B24799" w:rsidP="00B24799">
            <w:pPr>
              <w:pStyle w:val="TableText0"/>
              <w:spacing w:before="0" w:after="0"/>
              <w:jc w:val="center"/>
              <w:rPr>
                <w:b/>
              </w:rPr>
            </w:pPr>
            <w:r>
              <w:rPr>
                <w:b/>
              </w:rPr>
              <w:t>X</w:t>
            </w:r>
          </w:p>
        </w:tc>
        <w:tc>
          <w:tcPr>
            <w:tcW w:w="1181" w:type="dxa"/>
            <w:vAlign w:val="center"/>
          </w:tcPr>
          <w:p w14:paraId="0934C9C8" w14:textId="77777777" w:rsidR="00B24799" w:rsidRDefault="00B24799" w:rsidP="00B24799">
            <w:pPr>
              <w:pStyle w:val="TableText0"/>
              <w:spacing w:before="0" w:after="0"/>
              <w:jc w:val="center"/>
              <w:rPr>
                <w:b/>
              </w:rPr>
            </w:pPr>
            <w:r>
              <w:rPr>
                <w:b/>
              </w:rPr>
              <w:t>X</w:t>
            </w:r>
          </w:p>
        </w:tc>
        <w:tc>
          <w:tcPr>
            <w:tcW w:w="1180" w:type="dxa"/>
            <w:vAlign w:val="center"/>
          </w:tcPr>
          <w:p w14:paraId="492DC48A" w14:textId="77777777" w:rsidR="00B24799" w:rsidRDefault="00B24799" w:rsidP="00B24799">
            <w:pPr>
              <w:pStyle w:val="TableText0"/>
              <w:spacing w:before="0" w:after="0"/>
              <w:jc w:val="center"/>
              <w:rPr>
                <w:b/>
              </w:rPr>
            </w:pPr>
          </w:p>
        </w:tc>
        <w:tc>
          <w:tcPr>
            <w:tcW w:w="1180" w:type="dxa"/>
            <w:vAlign w:val="center"/>
          </w:tcPr>
          <w:p w14:paraId="7BD9B586" w14:textId="77777777" w:rsidR="00B24799" w:rsidRPr="008A0924" w:rsidRDefault="00B24799" w:rsidP="00B24799">
            <w:pPr>
              <w:pStyle w:val="TableText0"/>
              <w:spacing w:before="0" w:after="0"/>
              <w:jc w:val="center"/>
              <w:rPr>
                <w:b/>
              </w:rPr>
            </w:pPr>
          </w:p>
        </w:tc>
        <w:tc>
          <w:tcPr>
            <w:tcW w:w="1181" w:type="dxa"/>
            <w:vAlign w:val="center"/>
          </w:tcPr>
          <w:p w14:paraId="6A15DC40" w14:textId="77777777" w:rsidR="00B24799" w:rsidRDefault="00B24799" w:rsidP="00B24799">
            <w:pPr>
              <w:pStyle w:val="TableText0"/>
              <w:spacing w:before="0" w:after="0"/>
              <w:jc w:val="center"/>
              <w:rPr>
                <w:b/>
              </w:rPr>
            </w:pPr>
            <w:r>
              <w:rPr>
                <w:b/>
              </w:rPr>
              <w:t>X</w:t>
            </w:r>
          </w:p>
        </w:tc>
      </w:tr>
      <w:tr w:rsidR="00B24799" w14:paraId="45F6D870" w14:textId="77777777" w:rsidTr="00B24799">
        <w:trPr>
          <w:jc w:val="center"/>
        </w:trPr>
        <w:tc>
          <w:tcPr>
            <w:tcW w:w="2160" w:type="dxa"/>
            <w:vAlign w:val="center"/>
          </w:tcPr>
          <w:p w14:paraId="5AE07E06" w14:textId="77777777" w:rsidR="00B24799" w:rsidRPr="008A0924" w:rsidRDefault="00B24799" w:rsidP="00B24799">
            <w:pPr>
              <w:pStyle w:val="TableText0"/>
              <w:spacing w:before="0" w:after="0"/>
            </w:pPr>
            <w:r>
              <w:t>COMM/SHELL/AQUA</w:t>
            </w:r>
          </w:p>
        </w:tc>
        <w:tc>
          <w:tcPr>
            <w:tcW w:w="1180" w:type="dxa"/>
            <w:vAlign w:val="center"/>
          </w:tcPr>
          <w:p w14:paraId="714F9A3F" w14:textId="77777777" w:rsidR="00B24799" w:rsidRPr="008A0924" w:rsidRDefault="00B24799" w:rsidP="00B24799">
            <w:pPr>
              <w:pStyle w:val="TableText0"/>
              <w:spacing w:before="0" w:after="0"/>
              <w:jc w:val="center"/>
              <w:rPr>
                <w:b/>
              </w:rPr>
            </w:pPr>
            <w:r>
              <w:rPr>
                <w:b/>
              </w:rPr>
              <w:t>X</w:t>
            </w:r>
          </w:p>
        </w:tc>
        <w:tc>
          <w:tcPr>
            <w:tcW w:w="1340" w:type="dxa"/>
            <w:vAlign w:val="center"/>
          </w:tcPr>
          <w:p w14:paraId="15DD5C93" w14:textId="77777777" w:rsidR="00B24799" w:rsidRPr="008A0924" w:rsidRDefault="00B24799" w:rsidP="00B24799">
            <w:pPr>
              <w:pStyle w:val="TableText0"/>
              <w:spacing w:before="0" w:after="0"/>
              <w:jc w:val="center"/>
              <w:rPr>
                <w:b/>
              </w:rPr>
            </w:pPr>
            <w:r>
              <w:rPr>
                <w:b/>
              </w:rPr>
              <w:t>X</w:t>
            </w:r>
          </w:p>
        </w:tc>
        <w:tc>
          <w:tcPr>
            <w:tcW w:w="1181" w:type="dxa"/>
            <w:vAlign w:val="center"/>
          </w:tcPr>
          <w:p w14:paraId="68352647" w14:textId="77777777" w:rsidR="00B24799" w:rsidRPr="008A0924" w:rsidRDefault="00B24799" w:rsidP="00B24799">
            <w:pPr>
              <w:pStyle w:val="TableText0"/>
              <w:spacing w:before="0" w:after="0"/>
              <w:jc w:val="center"/>
              <w:rPr>
                <w:b/>
              </w:rPr>
            </w:pPr>
          </w:p>
        </w:tc>
        <w:tc>
          <w:tcPr>
            <w:tcW w:w="1180" w:type="dxa"/>
            <w:vAlign w:val="center"/>
          </w:tcPr>
          <w:p w14:paraId="5A0A5872" w14:textId="77777777" w:rsidR="00B24799" w:rsidRPr="008A0924" w:rsidRDefault="00B24799" w:rsidP="00B24799">
            <w:pPr>
              <w:pStyle w:val="TableText0"/>
              <w:spacing w:before="0" w:after="0"/>
              <w:jc w:val="center"/>
              <w:rPr>
                <w:b/>
              </w:rPr>
            </w:pPr>
          </w:p>
        </w:tc>
        <w:tc>
          <w:tcPr>
            <w:tcW w:w="1180" w:type="dxa"/>
            <w:vAlign w:val="center"/>
          </w:tcPr>
          <w:p w14:paraId="59EFE168" w14:textId="77777777" w:rsidR="00B24799" w:rsidRPr="008A0924" w:rsidRDefault="00B24799" w:rsidP="00B24799">
            <w:pPr>
              <w:pStyle w:val="TableText0"/>
              <w:spacing w:before="0" w:after="0"/>
              <w:jc w:val="center"/>
              <w:rPr>
                <w:b/>
              </w:rPr>
            </w:pPr>
          </w:p>
        </w:tc>
        <w:tc>
          <w:tcPr>
            <w:tcW w:w="1181" w:type="dxa"/>
            <w:vAlign w:val="center"/>
          </w:tcPr>
          <w:p w14:paraId="62A7445F" w14:textId="77777777" w:rsidR="00B24799" w:rsidRPr="008A0924" w:rsidRDefault="00B24799" w:rsidP="00B24799">
            <w:pPr>
              <w:pStyle w:val="TableText0"/>
              <w:spacing w:before="0" w:after="0"/>
              <w:jc w:val="center"/>
              <w:rPr>
                <w:b/>
              </w:rPr>
            </w:pPr>
            <w:r>
              <w:rPr>
                <w:b/>
              </w:rPr>
              <w:t>X</w:t>
            </w:r>
          </w:p>
        </w:tc>
      </w:tr>
      <w:tr w:rsidR="00B24799" w14:paraId="4FD0C8F6" w14:textId="77777777" w:rsidTr="00B24799">
        <w:trPr>
          <w:jc w:val="center"/>
        </w:trPr>
        <w:tc>
          <w:tcPr>
            <w:tcW w:w="2160" w:type="dxa"/>
            <w:vAlign w:val="center"/>
          </w:tcPr>
          <w:p w14:paraId="29DA180E" w14:textId="77777777" w:rsidR="00B24799" w:rsidRPr="008A0924" w:rsidRDefault="00B24799" w:rsidP="00B24799">
            <w:pPr>
              <w:pStyle w:val="TableText0"/>
              <w:spacing w:before="0" w:after="0"/>
            </w:pPr>
            <w:r>
              <w:t>TRIB/CULT</w:t>
            </w:r>
          </w:p>
        </w:tc>
        <w:tc>
          <w:tcPr>
            <w:tcW w:w="1180" w:type="dxa"/>
            <w:vAlign w:val="center"/>
          </w:tcPr>
          <w:p w14:paraId="2ED9A2FC" w14:textId="77777777" w:rsidR="00B24799" w:rsidRPr="008A0924" w:rsidRDefault="00B24799" w:rsidP="00B24799">
            <w:pPr>
              <w:pStyle w:val="TableText0"/>
              <w:spacing w:before="0" w:after="0"/>
              <w:jc w:val="center"/>
              <w:rPr>
                <w:b/>
              </w:rPr>
            </w:pPr>
            <w:r>
              <w:rPr>
                <w:b/>
              </w:rPr>
              <w:t>X</w:t>
            </w:r>
          </w:p>
        </w:tc>
        <w:tc>
          <w:tcPr>
            <w:tcW w:w="1340" w:type="dxa"/>
            <w:vAlign w:val="center"/>
          </w:tcPr>
          <w:p w14:paraId="6E4E657A" w14:textId="77777777" w:rsidR="00B24799" w:rsidRPr="008A0924" w:rsidRDefault="00B24799" w:rsidP="00B24799">
            <w:pPr>
              <w:pStyle w:val="TableText0"/>
              <w:spacing w:before="0" w:after="0"/>
              <w:jc w:val="center"/>
              <w:rPr>
                <w:b/>
              </w:rPr>
            </w:pPr>
            <w:r>
              <w:rPr>
                <w:b/>
              </w:rPr>
              <w:t>X</w:t>
            </w:r>
          </w:p>
        </w:tc>
        <w:tc>
          <w:tcPr>
            <w:tcW w:w="1181" w:type="dxa"/>
            <w:vAlign w:val="center"/>
          </w:tcPr>
          <w:p w14:paraId="5097E18B" w14:textId="77777777" w:rsidR="00B24799" w:rsidRPr="008A0924" w:rsidRDefault="00B24799" w:rsidP="00B24799">
            <w:pPr>
              <w:pStyle w:val="TableText0"/>
              <w:spacing w:before="0" w:after="0"/>
              <w:jc w:val="center"/>
              <w:rPr>
                <w:b/>
              </w:rPr>
            </w:pPr>
            <w:r>
              <w:rPr>
                <w:b/>
              </w:rPr>
              <w:t>X</w:t>
            </w:r>
          </w:p>
        </w:tc>
        <w:tc>
          <w:tcPr>
            <w:tcW w:w="1180" w:type="dxa"/>
            <w:vAlign w:val="center"/>
          </w:tcPr>
          <w:p w14:paraId="6DB484CF" w14:textId="77777777" w:rsidR="00B24799" w:rsidRPr="008A0924" w:rsidRDefault="00B24799" w:rsidP="00B24799">
            <w:pPr>
              <w:pStyle w:val="TableText0"/>
              <w:spacing w:before="0" w:after="0"/>
              <w:jc w:val="center"/>
              <w:rPr>
                <w:b/>
              </w:rPr>
            </w:pPr>
            <w:r>
              <w:rPr>
                <w:b/>
              </w:rPr>
              <w:t>X</w:t>
            </w:r>
          </w:p>
        </w:tc>
        <w:tc>
          <w:tcPr>
            <w:tcW w:w="1180" w:type="dxa"/>
            <w:vAlign w:val="center"/>
          </w:tcPr>
          <w:p w14:paraId="4157E7F2" w14:textId="77777777" w:rsidR="00B24799" w:rsidRPr="008A0924" w:rsidRDefault="00B24799" w:rsidP="00B24799">
            <w:pPr>
              <w:pStyle w:val="TableText0"/>
              <w:spacing w:before="0" w:after="0"/>
              <w:jc w:val="center"/>
              <w:rPr>
                <w:b/>
              </w:rPr>
            </w:pPr>
            <w:r>
              <w:rPr>
                <w:b/>
              </w:rPr>
              <w:t>X</w:t>
            </w:r>
          </w:p>
        </w:tc>
        <w:tc>
          <w:tcPr>
            <w:tcW w:w="1181" w:type="dxa"/>
            <w:vAlign w:val="center"/>
          </w:tcPr>
          <w:p w14:paraId="6469F45F" w14:textId="77777777" w:rsidR="00B24799" w:rsidRPr="008A0924" w:rsidRDefault="00B24799" w:rsidP="00B24799">
            <w:pPr>
              <w:pStyle w:val="TableText0"/>
              <w:spacing w:before="0" w:after="0"/>
              <w:jc w:val="center"/>
              <w:rPr>
                <w:b/>
              </w:rPr>
            </w:pPr>
            <w:r>
              <w:rPr>
                <w:b/>
              </w:rPr>
              <w:t>X</w:t>
            </w:r>
          </w:p>
        </w:tc>
      </w:tr>
      <w:tr w:rsidR="00B24799" w14:paraId="7B98F199" w14:textId="77777777" w:rsidTr="00B24799">
        <w:trPr>
          <w:jc w:val="center"/>
        </w:trPr>
        <w:tc>
          <w:tcPr>
            <w:tcW w:w="2160" w:type="dxa"/>
            <w:vAlign w:val="center"/>
          </w:tcPr>
          <w:p w14:paraId="17BA6727" w14:textId="77777777" w:rsidR="00B24799" w:rsidRPr="008A0924" w:rsidRDefault="00B24799" w:rsidP="00B24799">
            <w:pPr>
              <w:pStyle w:val="TableText0"/>
              <w:spacing w:before="0" w:after="0"/>
            </w:pPr>
            <w:r w:rsidRPr="008A0924">
              <w:t>MUN</w:t>
            </w:r>
          </w:p>
        </w:tc>
        <w:tc>
          <w:tcPr>
            <w:tcW w:w="1180" w:type="dxa"/>
            <w:vAlign w:val="center"/>
          </w:tcPr>
          <w:p w14:paraId="6513F837" w14:textId="77777777" w:rsidR="00B24799" w:rsidRPr="008A0924" w:rsidRDefault="00B24799" w:rsidP="00B24799">
            <w:pPr>
              <w:pStyle w:val="TableText0"/>
              <w:spacing w:before="0" w:after="0"/>
              <w:jc w:val="center"/>
              <w:rPr>
                <w:b/>
              </w:rPr>
            </w:pPr>
          </w:p>
        </w:tc>
        <w:tc>
          <w:tcPr>
            <w:tcW w:w="1340" w:type="dxa"/>
            <w:vAlign w:val="center"/>
          </w:tcPr>
          <w:p w14:paraId="4A2646E6" w14:textId="77777777" w:rsidR="00B24799" w:rsidRPr="008A0924" w:rsidRDefault="00B24799" w:rsidP="00B24799">
            <w:pPr>
              <w:pStyle w:val="TableText0"/>
              <w:spacing w:before="0" w:after="0"/>
              <w:jc w:val="center"/>
              <w:rPr>
                <w:b/>
              </w:rPr>
            </w:pPr>
          </w:p>
        </w:tc>
        <w:tc>
          <w:tcPr>
            <w:tcW w:w="1181" w:type="dxa"/>
            <w:vAlign w:val="center"/>
          </w:tcPr>
          <w:p w14:paraId="397AB521" w14:textId="77777777" w:rsidR="00B24799" w:rsidRPr="008A0924" w:rsidRDefault="00B24799" w:rsidP="00B24799">
            <w:pPr>
              <w:pStyle w:val="TableText0"/>
              <w:spacing w:before="0" w:after="0"/>
              <w:jc w:val="center"/>
              <w:rPr>
                <w:b/>
              </w:rPr>
            </w:pPr>
            <w:r>
              <w:rPr>
                <w:b/>
              </w:rPr>
              <w:t>X</w:t>
            </w:r>
          </w:p>
        </w:tc>
        <w:tc>
          <w:tcPr>
            <w:tcW w:w="1180" w:type="dxa"/>
            <w:vAlign w:val="center"/>
          </w:tcPr>
          <w:p w14:paraId="33838915" w14:textId="77777777" w:rsidR="00B24799" w:rsidRPr="008A0924" w:rsidRDefault="00B24799" w:rsidP="00B24799">
            <w:pPr>
              <w:pStyle w:val="TableText0"/>
              <w:spacing w:before="0" w:after="0"/>
              <w:jc w:val="center"/>
              <w:rPr>
                <w:b/>
              </w:rPr>
            </w:pPr>
          </w:p>
        </w:tc>
        <w:tc>
          <w:tcPr>
            <w:tcW w:w="1180" w:type="dxa"/>
            <w:vAlign w:val="center"/>
          </w:tcPr>
          <w:p w14:paraId="582EB927" w14:textId="77777777" w:rsidR="00B24799" w:rsidRPr="008A0924" w:rsidRDefault="00B24799" w:rsidP="00B24799">
            <w:pPr>
              <w:pStyle w:val="TableText0"/>
              <w:spacing w:before="0" w:after="0"/>
              <w:jc w:val="center"/>
              <w:rPr>
                <w:b/>
              </w:rPr>
            </w:pPr>
            <w:r>
              <w:rPr>
                <w:b/>
              </w:rPr>
              <w:t>X</w:t>
            </w:r>
          </w:p>
        </w:tc>
        <w:tc>
          <w:tcPr>
            <w:tcW w:w="1181" w:type="dxa"/>
            <w:vAlign w:val="center"/>
          </w:tcPr>
          <w:p w14:paraId="1381F4CC" w14:textId="77777777" w:rsidR="00B24799" w:rsidRPr="008A0924" w:rsidRDefault="00B24799" w:rsidP="00B24799">
            <w:pPr>
              <w:pStyle w:val="TableText0"/>
              <w:spacing w:before="0" w:after="0"/>
              <w:jc w:val="center"/>
              <w:rPr>
                <w:b/>
              </w:rPr>
            </w:pPr>
            <w:r>
              <w:rPr>
                <w:b/>
              </w:rPr>
              <w:t>X</w:t>
            </w:r>
          </w:p>
        </w:tc>
      </w:tr>
      <w:tr w:rsidR="00B24799" w14:paraId="375B0849" w14:textId="77777777" w:rsidTr="00B24799">
        <w:trPr>
          <w:jc w:val="center"/>
        </w:trPr>
        <w:tc>
          <w:tcPr>
            <w:tcW w:w="2160" w:type="dxa"/>
            <w:vAlign w:val="center"/>
          </w:tcPr>
          <w:p w14:paraId="35798354" w14:textId="77777777" w:rsidR="00B24799" w:rsidRPr="008A0924" w:rsidRDefault="00B24799" w:rsidP="00B24799">
            <w:pPr>
              <w:pStyle w:val="TableText0"/>
              <w:spacing w:before="0" w:after="0"/>
            </w:pPr>
            <w:r>
              <w:t>IND</w:t>
            </w:r>
          </w:p>
        </w:tc>
        <w:tc>
          <w:tcPr>
            <w:tcW w:w="1180" w:type="dxa"/>
            <w:vAlign w:val="center"/>
          </w:tcPr>
          <w:p w14:paraId="11AFF407" w14:textId="77777777" w:rsidR="00B24799" w:rsidRPr="008A0924" w:rsidRDefault="00B24799" w:rsidP="00B24799">
            <w:pPr>
              <w:pStyle w:val="TableText0"/>
              <w:spacing w:before="0" w:after="0"/>
              <w:jc w:val="center"/>
              <w:rPr>
                <w:b/>
              </w:rPr>
            </w:pPr>
          </w:p>
        </w:tc>
        <w:tc>
          <w:tcPr>
            <w:tcW w:w="1340" w:type="dxa"/>
            <w:vAlign w:val="center"/>
          </w:tcPr>
          <w:p w14:paraId="26316119" w14:textId="77777777" w:rsidR="00B24799" w:rsidRPr="008A0924" w:rsidRDefault="00B24799" w:rsidP="00B24799">
            <w:pPr>
              <w:pStyle w:val="TableText0"/>
              <w:spacing w:before="0" w:after="0"/>
              <w:jc w:val="center"/>
              <w:rPr>
                <w:b/>
              </w:rPr>
            </w:pPr>
          </w:p>
        </w:tc>
        <w:tc>
          <w:tcPr>
            <w:tcW w:w="1181" w:type="dxa"/>
            <w:vAlign w:val="center"/>
          </w:tcPr>
          <w:p w14:paraId="4F66CA88" w14:textId="77777777" w:rsidR="00B24799" w:rsidRPr="008A0924" w:rsidRDefault="00B24799" w:rsidP="00B24799">
            <w:pPr>
              <w:pStyle w:val="TableText0"/>
              <w:spacing w:before="0" w:after="0"/>
              <w:jc w:val="center"/>
              <w:rPr>
                <w:b/>
              </w:rPr>
            </w:pPr>
          </w:p>
        </w:tc>
        <w:tc>
          <w:tcPr>
            <w:tcW w:w="1180" w:type="dxa"/>
            <w:vAlign w:val="center"/>
          </w:tcPr>
          <w:p w14:paraId="3574A411" w14:textId="77777777" w:rsidR="00B24799" w:rsidRPr="008A0924" w:rsidRDefault="00B24799" w:rsidP="00B24799">
            <w:pPr>
              <w:pStyle w:val="TableText0"/>
              <w:spacing w:before="0" w:after="0"/>
              <w:jc w:val="center"/>
              <w:rPr>
                <w:b/>
              </w:rPr>
            </w:pPr>
          </w:p>
        </w:tc>
        <w:tc>
          <w:tcPr>
            <w:tcW w:w="1180" w:type="dxa"/>
            <w:vAlign w:val="center"/>
          </w:tcPr>
          <w:p w14:paraId="56C6DFCA" w14:textId="77777777" w:rsidR="00B24799" w:rsidRPr="008A0924" w:rsidRDefault="00B24799" w:rsidP="00B24799">
            <w:pPr>
              <w:pStyle w:val="TableText0"/>
              <w:spacing w:before="0" w:after="0"/>
              <w:jc w:val="center"/>
              <w:rPr>
                <w:b/>
              </w:rPr>
            </w:pPr>
            <w:r>
              <w:rPr>
                <w:b/>
              </w:rPr>
              <w:t>X</w:t>
            </w:r>
          </w:p>
        </w:tc>
        <w:tc>
          <w:tcPr>
            <w:tcW w:w="1181" w:type="dxa"/>
            <w:vAlign w:val="center"/>
          </w:tcPr>
          <w:p w14:paraId="26842A64" w14:textId="77777777" w:rsidR="00B24799" w:rsidRPr="008A0924" w:rsidRDefault="00B24799" w:rsidP="00B24799">
            <w:pPr>
              <w:pStyle w:val="TableText0"/>
              <w:spacing w:before="0" w:after="0"/>
              <w:jc w:val="center"/>
              <w:rPr>
                <w:b/>
              </w:rPr>
            </w:pPr>
          </w:p>
        </w:tc>
      </w:tr>
      <w:tr w:rsidR="00B24799" w14:paraId="09BDF255" w14:textId="77777777" w:rsidTr="00B24799">
        <w:trPr>
          <w:jc w:val="center"/>
        </w:trPr>
        <w:tc>
          <w:tcPr>
            <w:tcW w:w="2160" w:type="dxa"/>
            <w:vAlign w:val="center"/>
          </w:tcPr>
          <w:p w14:paraId="3A5996B6" w14:textId="77777777" w:rsidR="00B24799" w:rsidRDefault="00B24799" w:rsidP="00B24799">
            <w:pPr>
              <w:pStyle w:val="TableText0"/>
              <w:spacing w:before="0" w:after="0"/>
            </w:pPr>
            <w:r w:rsidRPr="008A0924">
              <w:t>REC-1</w:t>
            </w:r>
          </w:p>
        </w:tc>
        <w:tc>
          <w:tcPr>
            <w:tcW w:w="1180" w:type="dxa"/>
            <w:vAlign w:val="center"/>
          </w:tcPr>
          <w:p w14:paraId="19F794D1" w14:textId="77777777" w:rsidR="00B24799" w:rsidRDefault="00B24799" w:rsidP="00B24799">
            <w:pPr>
              <w:pStyle w:val="TableText0"/>
              <w:spacing w:before="0" w:after="0"/>
              <w:jc w:val="center"/>
              <w:rPr>
                <w:b/>
              </w:rPr>
            </w:pPr>
          </w:p>
        </w:tc>
        <w:tc>
          <w:tcPr>
            <w:tcW w:w="1340" w:type="dxa"/>
            <w:vAlign w:val="center"/>
          </w:tcPr>
          <w:p w14:paraId="4A14E174" w14:textId="77777777" w:rsidR="00B24799" w:rsidRDefault="00B24799" w:rsidP="00B24799">
            <w:pPr>
              <w:pStyle w:val="TableText0"/>
              <w:spacing w:before="0" w:after="0"/>
              <w:jc w:val="center"/>
              <w:rPr>
                <w:b/>
              </w:rPr>
            </w:pPr>
          </w:p>
        </w:tc>
        <w:tc>
          <w:tcPr>
            <w:tcW w:w="1181" w:type="dxa"/>
            <w:vAlign w:val="center"/>
          </w:tcPr>
          <w:p w14:paraId="1E19FC94" w14:textId="77777777" w:rsidR="00B24799" w:rsidRDefault="00B24799" w:rsidP="00B24799">
            <w:pPr>
              <w:pStyle w:val="TableText0"/>
              <w:spacing w:before="0" w:after="0"/>
              <w:jc w:val="center"/>
              <w:rPr>
                <w:b/>
              </w:rPr>
            </w:pPr>
            <w:r>
              <w:rPr>
                <w:b/>
              </w:rPr>
              <w:t>X</w:t>
            </w:r>
          </w:p>
        </w:tc>
        <w:tc>
          <w:tcPr>
            <w:tcW w:w="1180" w:type="dxa"/>
            <w:vAlign w:val="center"/>
          </w:tcPr>
          <w:p w14:paraId="65FB80A5" w14:textId="77777777" w:rsidR="00B24799" w:rsidRDefault="00B24799" w:rsidP="00B24799">
            <w:pPr>
              <w:pStyle w:val="TableText0"/>
              <w:spacing w:before="0" w:after="0"/>
              <w:jc w:val="center"/>
              <w:rPr>
                <w:b/>
              </w:rPr>
            </w:pPr>
          </w:p>
        </w:tc>
        <w:tc>
          <w:tcPr>
            <w:tcW w:w="1180" w:type="dxa"/>
            <w:vAlign w:val="center"/>
          </w:tcPr>
          <w:p w14:paraId="7C8333B2" w14:textId="77777777" w:rsidR="00B24799" w:rsidRPr="008A0924" w:rsidRDefault="00B24799" w:rsidP="00B24799">
            <w:pPr>
              <w:pStyle w:val="TableText0"/>
              <w:spacing w:before="0" w:after="0"/>
              <w:jc w:val="center"/>
              <w:rPr>
                <w:b/>
              </w:rPr>
            </w:pPr>
          </w:p>
        </w:tc>
        <w:tc>
          <w:tcPr>
            <w:tcW w:w="1181" w:type="dxa"/>
            <w:vAlign w:val="center"/>
          </w:tcPr>
          <w:p w14:paraId="50633A3C" w14:textId="77777777" w:rsidR="00B24799" w:rsidRDefault="00B24799" w:rsidP="00B24799">
            <w:pPr>
              <w:pStyle w:val="TableText0"/>
              <w:spacing w:before="0" w:after="0"/>
              <w:jc w:val="center"/>
              <w:rPr>
                <w:b/>
              </w:rPr>
            </w:pPr>
            <w:r>
              <w:rPr>
                <w:b/>
              </w:rPr>
              <w:t>X</w:t>
            </w:r>
          </w:p>
        </w:tc>
      </w:tr>
      <w:tr w:rsidR="00B24799" w14:paraId="4C5F5C7C" w14:textId="77777777" w:rsidTr="00B24799">
        <w:trPr>
          <w:jc w:val="center"/>
        </w:trPr>
        <w:tc>
          <w:tcPr>
            <w:tcW w:w="2160" w:type="dxa"/>
            <w:vAlign w:val="center"/>
          </w:tcPr>
          <w:p w14:paraId="570654E2" w14:textId="77777777" w:rsidR="00B24799" w:rsidRPr="008A0924" w:rsidRDefault="00B24799" w:rsidP="00B24799">
            <w:pPr>
              <w:pStyle w:val="TableText0"/>
              <w:spacing w:before="0" w:after="0"/>
            </w:pPr>
            <w:r w:rsidRPr="008A0924">
              <w:t>REC-2</w:t>
            </w:r>
          </w:p>
        </w:tc>
        <w:tc>
          <w:tcPr>
            <w:tcW w:w="1180" w:type="dxa"/>
            <w:vAlign w:val="center"/>
          </w:tcPr>
          <w:p w14:paraId="28F3502C" w14:textId="77777777" w:rsidR="00B24799" w:rsidRPr="008A0924" w:rsidRDefault="00B24799" w:rsidP="00B24799">
            <w:pPr>
              <w:pStyle w:val="TableText0"/>
              <w:spacing w:before="0" w:after="0"/>
              <w:jc w:val="center"/>
              <w:rPr>
                <w:b/>
              </w:rPr>
            </w:pPr>
            <w:r>
              <w:rPr>
                <w:b/>
              </w:rPr>
              <w:t>X</w:t>
            </w:r>
          </w:p>
        </w:tc>
        <w:tc>
          <w:tcPr>
            <w:tcW w:w="1340" w:type="dxa"/>
            <w:vAlign w:val="center"/>
          </w:tcPr>
          <w:p w14:paraId="19577B4F" w14:textId="77777777" w:rsidR="00B24799" w:rsidRPr="008A0924" w:rsidRDefault="00B24799" w:rsidP="00B24799">
            <w:pPr>
              <w:pStyle w:val="TableText0"/>
              <w:spacing w:before="0" w:after="0"/>
              <w:jc w:val="center"/>
              <w:rPr>
                <w:b/>
              </w:rPr>
            </w:pPr>
            <w:r>
              <w:rPr>
                <w:b/>
              </w:rPr>
              <w:t>X</w:t>
            </w:r>
          </w:p>
        </w:tc>
        <w:tc>
          <w:tcPr>
            <w:tcW w:w="1181" w:type="dxa"/>
            <w:vAlign w:val="center"/>
          </w:tcPr>
          <w:p w14:paraId="4C223893" w14:textId="77777777" w:rsidR="00B24799" w:rsidRPr="008A0924" w:rsidRDefault="00B24799" w:rsidP="00B24799">
            <w:pPr>
              <w:pStyle w:val="TableText0"/>
              <w:spacing w:before="0" w:after="0"/>
              <w:jc w:val="center"/>
              <w:rPr>
                <w:b/>
              </w:rPr>
            </w:pPr>
            <w:r>
              <w:rPr>
                <w:b/>
              </w:rPr>
              <w:t>X</w:t>
            </w:r>
          </w:p>
        </w:tc>
        <w:tc>
          <w:tcPr>
            <w:tcW w:w="1180" w:type="dxa"/>
            <w:vAlign w:val="center"/>
          </w:tcPr>
          <w:p w14:paraId="57E1460E" w14:textId="77777777" w:rsidR="00B24799" w:rsidRPr="008A0924" w:rsidRDefault="00B24799" w:rsidP="00B24799">
            <w:pPr>
              <w:pStyle w:val="TableText0"/>
              <w:spacing w:before="0" w:after="0"/>
              <w:jc w:val="center"/>
              <w:rPr>
                <w:b/>
              </w:rPr>
            </w:pPr>
            <w:r>
              <w:rPr>
                <w:b/>
              </w:rPr>
              <w:t>X</w:t>
            </w:r>
          </w:p>
        </w:tc>
        <w:tc>
          <w:tcPr>
            <w:tcW w:w="1180" w:type="dxa"/>
            <w:vAlign w:val="center"/>
          </w:tcPr>
          <w:p w14:paraId="78495B14" w14:textId="77777777" w:rsidR="00B24799" w:rsidRPr="008A0924" w:rsidRDefault="00B24799" w:rsidP="00B24799">
            <w:pPr>
              <w:pStyle w:val="TableText0"/>
              <w:spacing w:before="0" w:after="0"/>
              <w:jc w:val="center"/>
              <w:rPr>
                <w:b/>
              </w:rPr>
            </w:pPr>
          </w:p>
        </w:tc>
        <w:tc>
          <w:tcPr>
            <w:tcW w:w="1181" w:type="dxa"/>
            <w:vAlign w:val="center"/>
          </w:tcPr>
          <w:p w14:paraId="3137FFDC" w14:textId="77777777" w:rsidR="00B24799" w:rsidRPr="008A0924" w:rsidRDefault="00B24799" w:rsidP="00B24799">
            <w:pPr>
              <w:pStyle w:val="TableText0"/>
              <w:spacing w:before="0" w:after="0"/>
              <w:jc w:val="center"/>
              <w:rPr>
                <w:b/>
              </w:rPr>
            </w:pPr>
            <w:r>
              <w:rPr>
                <w:b/>
              </w:rPr>
              <w:t>X</w:t>
            </w:r>
          </w:p>
        </w:tc>
      </w:tr>
    </w:tbl>
    <w:p w14:paraId="016BD86B" w14:textId="77777777" w:rsidR="00B24799" w:rsidRDefault="00B24799" w:rsidP="00B24799">
      <w:pPr>
        <w:pStyle w:val="TableNotes"/>
      </w:pPr>
    </w:p>
    <w:p w14:paraId="215A2C68" w14:textId="2BF83700" w:rsidR="00B24799" w:rsidRDefault="00B24799" w:rsidP="00B24799">
      <w:pPr>
        <w:jc w:val="both"/>
      </w:pPr>
      <w:r>
        <w:rPr>
          <w:b/>
        </w:rPr>
        <w:t xml:space="preserve">2. </w:t>
      </w:r>
      <w:r w:rsidRPr="00D122D4">
        <w:rPr>
          <w:b/>
        </w:rPr>
        <w:t>Several response indicators are recommended for use in eutrophication assessment, based on 1) a strong linkage to beneficial uses, 2) robust signal: noise in assessing eutrophication, 3)</w:t>
      </w:r>
      <w:r w:rsidRPr="00D46F8D">
        <w:rPr>
          <w:b/>
        </w:rPr>
        <w:t xml:space="preserve"> well vet</w:t>
      </w:r>
      <w:r>
        <w:rPr>
          <w:b/>
        </w:rPr>
        <w:t>t</w:t>
      </w:r>
      <w:r w:rsidRPr="00D46F8D">
        <w:rPr>
          <w:b/>
        </w:rPr>
        <w:t xml:space="preserve">ed SOP with accepted practices for interpretation and 4) can establish </w:t>
      </w:r>
      <w:r w:rsidRPr="003E3D4D">
        <w:rPr>
          <w:b/>
        </w:rPr>
        <w:t>the mechanistic linkage between the response indicator and biostimulatory substances and conditions</w:t>
      </w:r>
      <w:r w:rsidRPr="00D122D4" w:rsidDel="00CC5ECE">
        <w:rPr>
          <w:b/>
        </w:rPr>
        <w:t xml:space="preserve"> </w:t>
      </w:r>
      <w:r w:rsidRPr="00D46F8D">
        <w:rPr>
          <w:b/>
        </w:rPr>
        <w:t>via empirical or dynamic simulation models</w:t>
      </w:r>
      <w:r w:rsidRPr="00D122D4">
        <w:rPr>
          <w:b/>
        </w:rPr>
        <w:t>.</w:t>
      </w:r>
      <w:r>
        <w:rPr>
          <w:b/>
        </w:rPr>
        <w:t xml:space="preserve"> </w:t>
      </w:r>
      <w:r>
        <w:t xml:space="preserve">These indicators, along with data on biostimulatory substances (TN and TP) and other biostimulatory drivers can be used provide a robust assessment of eutrophication. </w:t>
      </w:r>
    </w:p>
    <w:p w14:paraId="1B6659B7" w14:textId="77777777" w:rsidR="00B24799" w:rsidRPr="0024050F" w:rsidRDefault="00B24799" w:rsidP="00B24799">
      <w:pPr>
        <w:spacing w:after="0" w:line="240" w:lineRule="auto"/>
        <w:contextualSpacing/>
        <w:rPr>
          <w:b/>
        </w:rPr>
      </w:pPr>
      <w:r w:rsidRPr="0024050F">
        <w:rPr>
          <w:b/>
        </w:rPr>
        <w:lastRenderedPageBreak/>
        <w:t xml:space="preserve">Summary of wadeable streams biostimulatory indicators recommended for use in wadeable streams biostimulatory assessment. Absence from list does not imply that other indicators cannot be used, based on expert judgment. Beneficial use (BU) type refers to major pathway of impact to aquatic life (AL) related uses or to human (H) uses. </w:t>
      </w:r>
    </w:p>
    <w:tbl>
      <w:tblPr>
        <w:tblW w:w="9360" w:type="dxa"/>
        <w:tblInd w:w="90" w:type="dxa"/>
        <w:tblBorders>
          <w:top w:val="single" w:sz="12" w:space="0" w:color="auto"/>
          <w:bottom w:val="single" w:sz="12" w:space="0" w:color="auto"/>
        </w:tblBorders>
        <w:tblLayout w:type="fixed"/>
        <w:tblCellMar>
          <w:top w:w="14" w:type="dxa"/>
          <w:left w:w="72" w:type="dxa"/>
          <w:bottom w:w="14" w:type="dxa"/>
          <w:right w:w="72" w:type="dxa"/>
        </w:tblCellMar>
        <w:tblLook w:val="00A0" w:firstRow="1" w:lastRow="0" w:firstColumn="1" w:lastColumn="0" w:noHBand="0" w:noVBand="0"/>
      </w:tblPr>
      <w:tblGrid>
        <w:gridCol w:w="4320"/>
        <w:gridCol w:w="1260"/>
        <w:gridCol w:w="1260"/>
        <w:gridCol w:w="2520"/>
      </w:tblGrid>
      <w:tr w:rsidR="00B24799" w:rsidRPr="008A0924" w14:paraId="22239281" w14:textId="77777777" w:rsidTr="004966C6">
        <w:trPr>
          <w:tblHeader/>
        </w:trPr>
        <w:tc>
          <w:tcPr>
            <w:tcW w:w="4320" w:type="dxa"/>
            <w:tcBorders>
              <w:top w:val="single" w:sz="4" w:space="0" w:color="auto"/>
              <w:bottom w:val="single" w:sz="4" w:space="0" w:color="auto"/>
            </w:tcBorders>
            <w:shd w:val="clear" w:color="000080" w:fill="auto"/>
            <w:vAlign w:val="center"/>
          </w:tcPr>
          <w:p w14:paraId="408C8ED8" w14:textId="77777777" w:rsidR="00B24799" w:rsidRPr="008A0924" w:rsidRDefault="00B24799" w:rsidP="00B24799">
            <w:pPr>
              <w:pStyle w:val="TableHeading"/>
              <w:spacing w:before="0" w:after="0"/>
              <w:jc w:val="left"/>
            </w:pPr>
            <w:r>
              <w:t xml:space="preserve"> Indicator</w:t>
            </w:r>
          </w:p>
        </w:tc>
        <w:tc>
          <w:tcPr>
            <w:tcW w:w="1260" w:type="dxa"/>
            <w:tcBorders>
              <w:top w:val="single" w:sz="4" w:space="0" w:color="auto"/>
              <w:bottom w:val="single" w:sz="4" w:space="0" w:color="auto"/>
            </w:tcBorders>
            <w:shd w:val="clear" w:color="000080" w:fill="auto"/>
          </w:tcPr>
          <w:p w14:paraId="6B50CFFE" w14:textId="77777777" w:rsidR="00B24799" w:rsidRDefault="00B24799" w:rsidP="00B24799">
            <w:pPr>
              <w:pStyle w:val="TableHeading"/>
              <w:spacing w:before="0" w:after="0"/>
            </w:pPr>
            <w:r>
              <w:t>Designation</w:t>
            </w:r>
          </w:p>
        </w:tc>
        <w:tc>
          <w:tcPr>
            <w:tcW w:w="1260" w:type="dxa"/>
            <w:tcBorders>
              <w:top w:val="single" w:sz="4" w:space="0" w:color="auto"/>
              <w:bottom w:val="single" w:sz="4" w:space="0" w:color="auto"/>
            </w:tcBorders>
            <w:shd w:val="clear" w:color="000080" w:fill="auto"/>
          </w:tcPr>
          <w:p w14:paraId="16482B6D" w14:textId="77777777" w:rsidR="00B24799" w:rsidRDefault="00B24799" w:rsidP="00B24799">
            <w:pPr>
              <w:pStyle w:val="TableHeading"/>
              <w:spacing w:before="0" w:after="0"/>
            </w:pPr>
            <w:r>
              <w:t>BU Type</w:t>
            </w:r>
          </w:p>
        </w:tc>
        <w:tc>
          <w:tcPr>
            <w:tcW w:w="2520" w:type="dxa"/>
            <w:tcBorders>
              <w:top w:val="single" w:sz="4" w:space="0" w:color="auto"/>
              <w:bottom w:val="single" w:sz="4" w:space="0" w:color="auto"/>
            </w:tcBorders>
            <w:shd w:val="clear" w:color="000080" w:fill="auto"/>
          </w:tcPr>
          <w:p w14:paraId="69B6BAA7" w14:textId="468A05ED" w:rsidR="00B24799" w:rsidRDefault="00B24799" w:rsidP="00B24799">
            <w:pPr>
              <w:pStyle w:val="TableHeading"/>
              <w:spacing w:before="0" w:after="0"/>
            </w:pPr>
            <w:r>
              <w:t xml:space="preserve">Routinely Use </w:t>
            </w:r>
            <w:r w:rsidR="004966C6">
              <w:t xml:space="preserve">in </w:t>
            </w:r>
            <w:r>
              <w:t>SWAMP?</w:t>
            </w:r>
          </w:p>
        </w:tc>
      </w:tr>
      <w:tr w:rsidR="00B24799" w:rsidRPr="008A0924" w14:paraId="19320869" w14:textId="77777777" w:rsidTr="004966C6">
        <w:tc>
          <w:tcPr>
            <w:tcW w:w="4320" w:type="dxa"/>
            <w:tcBorders>
              <w:top w:val="single" w:sz="4" w:space="0" w:color="auto"/>
            </w:tcBorders>
            <w:vAlign w:val="center"/>
          </w:tcPr>
          <w:p w14:paraId="49B81FAD" w14:textId="77777777" w:rsidR="00B24799" w:rsidRDefault="00B24799" w:rsidP="00B24799">
            <w:pPr>
              <w:pStyle w:val="TableText0"/>
              <w:spacing w:before="0" w:after="0"/>
              <w:ind w:left="14"/>
            </w:pPr>
            <w:r>
              <w:t>Organic matter accumulation</w:t>
            </w:r>
          </w:p>
        </w:tc>
        <w:tc>
          <w:tcPr>
            <w:tcW w:w="1260" w:type="dxa"/>
            <w:tcBorders>
              <w:top w:val="single" w:sz="4" w:space="0" w:color="auto"/>
            </w:tcBorders>
          </w:tcPr>
          <w:p w14:paraId="37A40E42" w14:textId="77777777" w:rsidR="00B24799" w:rsidRDefault="00B24799" w:rsidP="00B24799">
            <w:pPr>
              <w:pStyle w:val="TableText0"/>
              <w:spacing w:before="0" w:after="0"/>
              <w:jc w:val="center"/>
              <w:rPr>
                <w:b/>
              </w:rPr>
            </w:pPr>
          </w:p>
        </w:tc>
        <w:tc>
          <w:tcPr>
            <w:tcW w:w="1260" w:type="dxa"/>
            <w:tcBorders>
              <w:top w:val="single" w:sz="4" w:space="0" w:color="auto"/>
            </w:tcBorders>
          </w:tcPr>
          <w:p w14:paraId="2BC3CEB9" w14:textId="77777777" w:rsidR="00B24799" w:rsidRDefault="00B24799" w:rsidP="00B24799">
            <w:pPr>
              <w:pStyle w:val="TableText0"/>
              <w:spacing w:before="0" w:after="0"/>
              <w:jc w:val="center"/>
              <w:rPr>
                <w:b/>
              </w:rPr>
            </w:pPr>
          </w:p>
        </w:tc>
        <w:tc>
          <w:tcPr>
            <w:tcW w:w="2520" w:type="dxa"/>
            <w:tcBorders>
              <w:top w:val="single" w:sz="4" w:space="0" w:color="auto"/>
            </w:tcBorders>
          </w:tcPr>
          <w:p w14:paraId="11DE5365" w14:textId="77777777" w:rsidR="00B24799" w:rsidRDefault="00B24799" w:rsidP="00B24799">
            <w:pPr>
              <w:pStyle w:val="TableText0"/>
              <w:spacing w:before="0" w:after="0"/>
              <w:jc w:val="center"/>
              <w:rPr>
                <w:b/>
              </w:rPr>
            </w:pPr>
          </w:p>
        </w:tc>
      </w:tr>
      <w:tr w:rsidR="00B24799" w:rsidRPr="008A0924" w14:paraId="50B41DDB" w14:textId="77777777" w:rsidTr="004966C6">
        <w:tc>
          <w:tcPr>
            <w:tcW w:w="4320" w:type="dxa"/>
            <w:tcBorders>
              <w:top w:val="single" w:sz="4" w:space="0" w:color="auto"/>
            </w:tcBorders>
            <w:vAlign w:val="center"/>
          </w:tcPr>
          <w:p w14:paraId="2F7958E5" w14:textId="77777777" w:rsidR="00B24799" w:rsidRDefault="00B24799" w:rsidP="00B24799">
            <w:pPr>
              <w:pStyle w:val="TableText0"/>
              <w:spacing w:before="0" w:after="0"/>
              <w:ind w:left="285"/>
            </w:pPr>
            <w:r>
              <w:t xml:space="preserve">Benthic algal biomass (benthic chl-a) </w:t>
            </w:r>
          </w:p>
        </w:tc>
        <w:tc>
          <w:tcPr>
            <w:tcW w:w="1260" w:type="dxa"/>
            <w:tcBorders>
              <w:top w:val="single" w:sz="4" w:space="0" w:color="auto"/>
            </w:tcBorders>
          </w:tcPr>
          <w:p w14:paraId="5D541E3C" w14:textId="77777777" w:rsidR="00B24799" w:rsidRPr="00870DCF" w:rsidRDefault="00B24799" w:rsidP="00B24799">
            <w:pPr>
              <w:pStyle w:val="TableText0"/>
              <w:spacing w:before="0" w:after="0"/>
              <w:jc w:val="center"/>
            </w:pPr>
            <w:r w:rsidRPr="00870DCF">
              <w:t>Primary</w:t>
            </w:r>
          </w:p>
        </w:tc>
        <w:tc>
          <w:tcPr>
            <w:tcW w:w="1260" w:type="dxa"/>
            <w:tcBorders>
              <w:top w:val="single" w:sz="4" w:space="0" w:color="auto"/>
            </w:tcBorders>
          </w:tcPr>
          <w:p w14:paraId="7F18C3DA" w14:textId="77777777" w:rsidR="00B24799" w:rsidRPr="00870DCF" w:rsidRDefault="00B24799" w:rsidP="00B24799">
            <w:pPr>
              <w:pStyle w:val="TableText0"/>
              <w:spacing w:before="0" w:after="0"/>
              <w:jc w:val="center"/>
            </w:pPr>
            <w:r w:rsidRPr="00870DCF">
              <w:t>AL, H</w:t>
            </w:r>
          </w:p>
        </w:tc>
        <w:tc>
          <w:tcPr>
            <w:tcW w:w="2520" w:type="dxa"/>
            <w:tcBorders>
              <w:top w:val="single" w:sz="4" w:space="0" w:color="auto"/>
            </w:tcBorders>
          </w:tcPr>
          <w:p w14:paraId="741E7D26" w14:textId="77777777" w:rsidR="00B24799" w:rsidRPr="00870DCF" w:rsidRDefault="00B24799" w:rsidP="00B24799">
            <w:pPr>
              <w:pStyle w:val="TableText0"/>
              <w:spacing w:before="0" w:after="0"/>
              <w:jc w:val="center"/>
            </w:pPr>
            <w:r>
              <w:t>Y</w:t>
            </w:r>
          </w:p>
        </w:tc>
      </w:tr>
      <w:tr w:rsidR="00B24799" w:rsidRPr="008A0924" w14:paraId="7B1933AB" w14:textId="77777777" w:rsidTr="004966C6">
        <w:tc>
          <w:tcPr>
            <w:tcW w:w="4320" w:type="dxa"/>
            <w:tcBorders>
              <w:top w:val="single" w:sz="4" w:space="0" w:color="auto"/>
            </w:tcBorders>
            <w:vAlign w:val="center"/>
          </w:tcPr>
          <w:p w14:paraId="28EA2890" w14:textId="77777777" w:rsidR="00B24799" w:rsidRDefault="00B24799" w:rsidP="00B24799">
            <w:pPr>
              <w:pStyle w:val="TableText0"/>
              <w:spacing w:before="0" w:after="0"/>
              <w:ind w:left="285"/>
            </w:pPr>
            <w:r>
              <w:t>Water column biomass (water column chl-a)</w:t>
            </w:r>
          </w:p>
        </w:tc>
        <w:tc>
          <w:tcPr>
            <w:tcW w:w="1260" w:type="dxa"/>
            <w:tcBorders>
              <w:top w:val="single" w:sz="4" w:space="0" w:color="auto"/>
            </w:tcBorders>
          </w:tcPr>
          <w:p w14:paraId="3A22D329" w14:textId="77777777" w:rsidR="00B24799" w:rsidRPr="00870DCF" w:rsidRDefault="00B24799" w:rsidP="00B24799">
            <w:pPr>
              <w:pStyle w:val="TableText0"/>
              <w:spacing w:before="0" w:after="0"/>
              <w:jc w:val="center"/>
            </w:pPr>
            <w:r w:rsidRPr="00870DCF">
              <w:t>Primary</w:t>
            </w:r>
          </w:p>
        </w:tc>
        <w:tc>
          <w:tcPr>
            <w:tcW w:w="1260" w:type="dxa"/>
            <w:tcBorders>
              <w:top w:val="single" w:sz="4" w:space="0" w:color="auto"/>
            </w:tcBorders>
          </w:tcPr>
          <w:p w14:paraId="650BA43C" w14:textId="77777777" w:rsidR="00B24799" w:rsidRPr="00870DCF" w:rsidRDefault="00B24799" w:rsidP="00B24799">
            <w:pPr>
              <w:pStyle w:val="TableText0"/>
              <w:spacing w:before="0" w:after="0"/>
              <w:jc w:val="center"/>
            </w:pPr>
            <w:r w:rsidRPr="00870DCF">
              <w:t>AL, H</w:t>
            </w:r>
          </w:p>
        </w:tc>
        <w:tc>
          <w:tcPr>
            <w:tcW w:w="2520" w:type="dxa"/>
            <w:tcBorders>
              <w:top w:val="single" w:sz="4" w:space="0" w:color="auto"/>
            </w:tcBorders>
          </w:tcPr>
          <w:p w14:paraId="0AA8718F" w14:textId="77777777" w:rsidR="00B24799" w:rsidRPr="00870DCF" w:rsidRDefault="00B24799" w:rsidP="00B24799">
            <w:pPr>
              <w:pStyle w:val="TableText0"/>
              <w:spacing w:before="0" w:after="0"/>
              <w:jc w:val="center"/>
            </w:pPr>
          </w:p>
        </w:tc>
      </w:tr>
      <w:tr w:rsidR="00B24799" w:rsidRPr="008A0924" w14:paraId="58D6071B" w14:textId="77777777" w:rsidTr="004966C6">
        <w:tc>
          <w:tcPr>
            <w:tcW w:w="4320" w:type="dxa"/>
            <w:tcBorders>
              <w:top w:val="single" w:sz="4" w:space="0" w:color="auto"/>
            </w:tcBorders>
            <w:vAlign w:val="center"/>
          </w:tcPr>
          <w:p w14:paraId="10E01438" w14:textId="77777777" w:rsidR="00B24799" w:rsidRDefault="00B24799" w:rsidP="00B24799">
            <w:pPr>
              <w:pStyle w:val="TableText0"/>
              <w:spacing w:before="0" w:after="0"/>
              <w:ind w:left="285"/>
            </w:pPr>
            <w:r>
              <w:t xml:space="preserve">Benthic or floating macroalgal percent cover </w:t>
            </w:r>
          </w:p>
        </w:tc>
        <w:tc>
          <w:tcPr>
            <w:tcW w:w="1260" w:type="dxa"/>
            <w:tcBorders>
              <w:top w:val="single" w:sz="4" w:space="0" w:color="auto"/>
            </w:tcBorders>
          </w:tcPr>
          <w:p w14:paraId="7F746DCC" w14:textId="77777777" w:rsidR="00B24799" w:rsidRPr="00870DCF" w:rsidRDefault="00B24799" w:rsidP="00B24799">
            <w:pPr>
              <w:pStyle w:val="TableText0"/>
              <w:spacing w:before="0" w:after="0"/>
              <w:jc w:val="center"/>
            </w:pPr>
            <w:r>
              <w:t>Supporting</w:t>
            </w:r>
          </w:p>
        </w:tc>
        <w:tc>
          <w:tcPr>
            <w:tcW w:w="1260" w:type="dxa"/>
            <w:tcBorders>
              <w:top w:val="single" w:sz="4" w:space="0" w:color="auto"/>
            </w:tcBorders>
          </w:tcPr>
          <w:p w14:paraId="30A539ED" w14:textId="77777777" w:rsidR="00B24799" w:rsidRPr="00870DCF" w:rsidRDefault="00B24799" w:rsidP="00B24799">
            <w:pPr>
              <w:pStyle w:val="TableText0"/>
              <w:spacing w:before="0" w:after="0"/>
              <w:jc w:val="center"/>
            </w:pPr>
            <w:r w:rsidRPr="00870DCF">
              <w:t>H</w:t>
            </w:r>
          </w:p>
        </w:tc>
        <w:tc>
          <w:tcPr>
            <w:tcW w:w="2520" w:type="dxa"/>
            <w:tcBorders>
              <w:top w:val="single" w:sz="4" w:space="0" w:color="auto"/>
            </w:tcBorders>
          </w:tcPr>
          <w:p w14:paraId="4DABF4AA" w14:textId="77777777" w:rsidR="00B24799" w:rsidRPr="00870DCF" w:rsidRDefault="00B24799" w:rsidP="00B24799">
            <w:pPr>
              <w:pStyle w:val="TableText0"/>
              <w:spacing w:before="0" w:after="0"/>
              <w:jc w:val="center"/>
            </w:pPr>
            <w:r>
              <w:t>Y</w:t>
            </w:r>
          </w:p>
        </w:tc>
      </w:tr>
      <w:tr w:rsidR="00B24799" w:rsidRPr="008A0924" w14:paraId="6AF78327" w14:textId="77777777" w:rsidTr="004966C6">
        <w:tc>
          <w:tcPr>
            <w:tcW w:w="4320" w:type="dxa"/>
            <w:tcBorders>
              <w:top w:val="single" w:sz="4" w:space="0" w:color="auto"/>
            </w:tcBorders>
            <w:vAlign w:val="center"/>
          </w:tcPr>
          <w:p w14:paraId="25DB7F7C" w14:textId="77777777" w:rsidR="00B24799" w:rsidRDefault="00B24799" w:rsidP="00B24799">
            <w:pPr>
              <w:pStyle w:val="TableText0"/>
              <w:spacing w:before="0" w:after="0"/>
              <w:ind w:left="285"/>
            </w:pPr>
            <w:r>
              <w:t xml:space="preserve">Benthic AFDM </w:t>
            </w:r>
          </w:p>
        </w:tc>
        <w:tc>
          <w:tcPr>
            <w:tcW w:w="1260" w:type="dxa"/>
            <w:tcBorders>
              <w:top w:val="single" w:sz="4" w:space="0" w:color="auto"/>
            </w:tcBorders>
          </w:tcPr>
          <w:p w14:paraId="70B6885E" w14:textId="77777777" w:rsidR="00B24799" w:rsidRPr="00870DCF" w:rsidRDefault="00B24799" w:rsidP="00B24799">
            <w:pPr>
              <w:pStyle w:val="TableText0"/>
              <w:spacing w:before="0" w:after="0"/>
              <w:jc w:val="center"/>
            </w:pPr>
            <w:r w:rsidRPr="00870DCF">
              <w:t>Primary</w:t>
            </w:r>
          </w:p>
        </w:tc>
        <w:tc>
          <w:tcPr>
            <w:tcW w:w="1260" w:type="dxa"/>
            <w:tcBorders>
              <w:top w:val="single" w:sz="4" w:space="0" w:color="auto"/>
            </w:tcBorders>
          </w:tcPr>
          <w:p w14:paraId="259A7390" w14:textId="77777777" w:rsidR="00B24799" w:rsidRPr="00870DCF" w:rsidRDefault="00B24799" w:rsidP="00B24799">
            <w:pPr>
              <w:pStyle w:val="TableText0"/>
              <w:spacing w:before="0" w:after="0"/>
              <w:jc w:val="center"/>
            </w:pPr>
            <w:r w:rsidRPr="00870DCF">
              <w:t>AL</w:t>
            </w:r>
          </w:p>
        </w:tc>
        <w:tc>
          <w:tcPr>
            <w:tcW w:w="2520" w:type="dxa"/>
            <w:tcBorders>
              <w:top w:val="single" w:sz="4" w:space="0" w:color="auto"/>
            </w:tcBorders>
          </w:tcPr>
          <w:p w14:paraId="31502711" w14:textId="77777777" w:rsidR="00B24799" w:rsidRPr="00870DCF" w:rsidRDefault="00B24799" w:rsidP="00B24799">
            <w:pPr>
              <w:pStyle w:val="TableText0"/>
              <w:spacing w:before="0" w:after="0"/>
              <w:jc w:val="center"/>
            </w:pPr>
            <w:r>
              <w:t>Y</w:t>
            </w:r>
          </w:p>
        </w:tc>
      </w:tr>
      <w:tr w:rsidR="00B24799" w:rsidRPr="008A0924" w14:paraId="792A1C37" w14:textId="77777777" w:rsidTr="004966C6">
        <w:tc>
          <w:tcPr>
            <w:tcW w:w="4320" w:type="dxa"/>
            <w:tcBorders>
              <w:top w:val="single" w:sz="4" w:space="0" w:color="auto"/>
            </w:tcBorders>
            <w:vAlign w:val="center"/>
          </w:tcPr>
          <w:p w14:paraId="346F500D" w14:textId="77777777" w:rsidR="00B24799" w:rsidRDefault="00B24799" w:rsidP="00B24799">
            <w:pPr>
              <w:pStyle w:val="TableText0"/>
              <w:spacing w:before="0" w:after="0"/>
              <w:ind w:firstLine="14"/>
            </w:pPr>
            <w:r>
              <w:t>Water column or benthic chemistry</w:t>
            </w:r>
          </w:p>
        </w:tc>
        <w:tc>
          <w:tcPr>
            <w:tcW w:w="1260" w:type="dxa"/>
            <w:tcBorders>
              <w:top w:val="single" w:sz="4" w:space="0" w:color="auto"/>
            </w:tcBorders>
          </w:tcPr>
          <w:p w14:paraId="2D5ED751" w14:textId="77777777" w:rsidR="00B24799" w:rsidRPr="00870DCF" w:rsidRDefault="00B24799" w:rsidP="00B24799">
            <w:pPr>
              <w:pStyle w:val="TableText0"/>
              <w:spacing w:before="0" w:after="0"/>
              <w:jc w:val="center"/>
            </w:pPr>
          </w:p>
        </w:tc>
        <w:tc>
          <w:tcPr>
            <w:tcW w:w="1260" w:type="dxa"/>
            <w:tcBorders>
              <w:top w:val="single" w:sz="4" w:space="0" w:color="auto"/>
            </w:tcBorders>
          </w:tcPr>
          <w:p w14:paraId="2A771B0A" w14:textId="77777777" w:rsidR="00B24799" w:rsidRPr="00870DCF" w:rsidRDefault="00B24799" w:rsidP="00B24799">
            <w:pPr>
              <w:pStyle w:val="TableText0"/>
              <w:spacing w:before="0" w:after="0"/>
              <w:jc w:val="center"/>
            </w:pPr>
          </w:p>
        </w:tc>
        <w:tc>
          <w:tcPr>
            <w:tcW w:w="2520" w:type="dxa"/>
            <w:tcBorders>
              <w:top w:val="single" w:sz="4" w:space="0" w:color="auto"/>
            </w:tcBorders>
          </w:tcPr>
          <w:p w14:paraId="36551597" w14:textId="77777777" w:rsidR="00B24799" w:rsidRPr="00870DCF" w:rsidRDefault="00B24799" w:rsidP="00B24799">
            <w:pPr>
              <w:pStyle w:val="TableText0"/>
              <w:spacing w:before="0" w:after="0"/>
              <w:jc w:val="center"/>
            </w:pPr>
          </w:p>
        </w:tc>
      </w:tr>
      <w:tr w:rsidR="00B24799" w:rsidRPr="008A0924" w14:paraId="78C27557" w14:textId="77777777" w:rsidTr="004966C6">
        <w:tc>
          <w:tcPr>
            <w:tcW w:w="4320" w:type="dxa"/>
            <w:tcBorders>
              <w:top w:val="single" w:sz="4" w:space="0" w:color="auto"/>
            </w:tcBorders>
            <w:vAlign w:val="center"/>
          </w:tcPr>
          <w:p w14:paraId="5F896C6E" w14:textId="77777777" w:rsidR="00B24799" w:rsidRDefault="00B24799" w:rsidP="00B24799">
            <w:pPr>
              <w:pStyle w:val="TableText0"/>
              <w:spacing w:before="0" w:after="0"/>
              <w:ind w:left="285"/>
            </w:pPr>
            <w:r>
              <w:t>Continuous DO and pH</w:t>
            </w:r>
          </w:p>
        </w:tc>
        <w:tc>
          <w:tcPr>
            <w:tcW w:w="1260" w:type="dxa"/>
            <w:tcBorders>
              <w:top w:val="single" w:sz="4" w:space="0" w:color="auto"/>
            </w:tcBorders>
          </w:tcPr>
          <w:p w14:paraId="36119AF1" w14:textId="77777777" w:rsidR="00B24799" w:rsidRPr="00870DCF" w:rsidRDefault="00B24799" w:rsidP="00B24799">
            <w:pPr>
              <w:pStyle w:val="TableText0"/>
              <w:spacing w:before="0" w:after="0"/>
              <w:jc w:val="center"/>
            </w:pPr>
            <w:r w:rsidRPr="00870DCF">
              <w:t>Primary</w:t>
            </w:r>
          </w:p>
        </w:tc>
        <w:tc>
          <w:tcPr>
            <w:tcW w:w="1260" w:type="dxa"/>
            <w:tcBorders>
              <w:top w:val="single" w:sz="4" w:space="0" w:color="auto"/>
            </w:tcBorders>
          </w:tcPr>
          <w:p w14:paraId="5C71E75E" w14:textId="77777777" w:rsidR="00B24799" w:rsidRPr="00870DCF" w:rsidRDefault="00B24799" w:rsidP="00B24799">
            <w:pPr>
              <w:pStyle w:val="TableText0"/>
              <w:spacing w:before="0" w:after="0"/>
              <w:jc w:val="center"/>
            </w:pPr>
            <w:r w:rsidRPr="00870DCF">
              <w:t>AL</w:t>
            </w:r>
          </w:p>
        </w:tc>
        <w:tc>
          <w:tcPr>
            <w:tcW w:w="2520" w:type="dxa"/>
            <w:tcBorders>
              <w:top w:val="single" w:sz="4" w:space="0" w:color="auto"/>
            </w:tcBorders>
          </w:tcPr>
          <w:p w14:paraId="18C5D67F" w14:textId="77777777" w:rsidR="00B24799" w:rsidRPr="00870DCF" w:rsidRDefault="00B24799" w:rsidP="00B24799">
            <w:pPr>
              <w:pStyle w:val="TableText0"/>
              <w:spacing w:before="0" w:after="0"/>
              <w:jc w:val="center"/>
            </w:pPr>
          </w:p>
        </w:tc>
      </w:tr>
      <w:tr w:rsidR="00B24799" w:rsidRPr="008A0924" w14:paraId="64F341F6" w14:textId="77777777" w:rsidTr="004966C6">
        <w:tc>
          <w:tcPr>
            <w:tcW w:w="4320" w:type="dxa"/>
            <w:tcBorders>
              <w:top w:val="single" w:sz="4" w:space="0" w:color="000000" w:themeColor="text1"/>
              <w:bottom w:val="single" w:sz="4" w:space="0" w:color="000000" w:themeColor="text1"/>
            </w:tcBorders>
            <w:vAlign w:val="center"/>
          </w:tcPr>
          <w:p w14:paraId="571C7514" w14:textId="77777777" w:rsidR="00B24799" w:rsidRDefault="00B24799" w:rsidP="00B24799">
            <w:pPr>
              <w:pStyle w:val="TableText0"/>
              <w:spacing w:before="0" w:after="0"/>
              <w:ind w:left="285"/>
            </w:pPr>
            <w:r>
              <w:t>DO Diel range</w:t>
            </w:r>
          </w:p>
        </w:tc>
        <w:tc>
          <w:tcPr>
            <w:tcW w:w="1260" w:type="dxa"/>
            <w:tcBorders>
              <w:top w:val="single" w:sz="4" w:space="0" w:color="000000" w:themeColor="text1"/>
              <w:bottom w:val="single" w:sz="4" w:space="0" w:color="000000" w:themeColor="text1"/>
            </w:tcBorders>
          </w:tcPr>
          <w:p w14:paraId="79C45E73" w14:textId="77777777" w:rsidR="00B24799" w:rsidRPr="00870DCF" w:rsidRDefault="00B24799" w:rsidP="00B24799">
            <w:pPr>
              <w:pStyle w:val="TableText0"/>
              <w:spacing w:before="0" w:after="0"/>
              <w:jc w:val="center"/>
            </w:pPr>
            <w:r w:rsidRPr="00870DCF">
              <w:t>Primary</w:t>
            </w:r>
          </w:p>
        </w:tc>
        <w:tc>
          <w:tcPr>
            <w:tcW w:w="1260" w:type="dxa"/>
            <w:tcBorders>
              <w:top w:val="single" w:sz="4" w:space="0" w:color="000000" w:themeColor="text1"/>
              <w:bottom w:val="single" w:sz="4" w:space="0" w:color="000000" w:themeColor="text1"/>
            </w:tcBorders>
          </w:tcPr>
          <w:p w14:paraId="7D6847FA" w14:textId="77777777" w:rsidR="00B24799" w:rsidRPr="00870DCF" w:rsidRDefault="00B24799" w:rsidP="00B24799">
            <w:pPr>
              <w:pStyle w:val="TableText0"/>
              <w:spacing w:before="0" w:after="0"/>
              <w:jc w:val="center"/>
            </w:pPr>
            <w:r w:rsidRPr="00870DCF">
              <w:t>AL</w:t>
            </w:r>
          </w:p>
        </w:tc>
        <w:tc>
          <w:tcPr>
            <w:tcW w:w="2520" w:type="dxa"/>
            <w:tcBorders>
              <w:top w:val="single" w:sz="4" w:space="0" w:color="000000" w:themeColor="text1"/>
              <w:bottom w:val="single" w:sz="4" w:space="0" w:color="000000" w:themeColor="text1"/>
            </w:tcBorders>
          </w:tcPr>
          <w:p w14:paraId="249E38BC" w14:textId="77777777" w:rsidR="00B24799" w:rsidRPr="00870DCF" w:rsidRDefault="00B24799" w:rsidP="00B24799">
            <w:pPr>
              <w:pStyle w:val="TableText0"/>
              <w:spacing w:before="0" w:after="0"/>
              <w:jc w:val="center"/>
            </w:pPr>
          </w:p>
        </w:tc>
      </w:tr>
      <w:tr w:rsidR="00B24799" w:rsidRPr="008A0924" w14:paraId="14638A97" w14:textId="77777777" w:rsidTr="004966C6">
        <w:tc>
          <w:tcPr>
            <w:tcW w:w="4320" w:type="dxa"/>
            <w:tcBorders>
              <w:top w:val="single" w:sz="4" w:space="0" w:color="000000" w:themeColor="text1"/>
              <w:bottom w:val="single" w:sz="4" w:space="0" w:color="000000" w:themeColor="text1"/>
            </w:tcBorders>
            <w:vAlign w:val="center"/>
          </w:tcPr>
          <w:p w14:paraId="63366703" w14:textId="77777777" w:rsidR="00B24799" w:rsidRDefault="00B24799" w:rsidP="00B24799">
            <w:pPr>
              <w:pStyle w:val="TableText0"/>
              <w:spacing w:before="0" w:after="0"/>
              <w:ind w:left="285"/>
            </w:pPr>
            <w:r>
              <w:t>GPP</w:t>
            </w:r>
          </w:p>
        </w:tc>
        <w:tc>
          <w:tcPr>
            <w:tcW w:w="1260" w:type="dxa"/>
            <w:tcBorders>
              <w:top w:val="single" w:sz="4" w:space="0" w:color="000000" w:themeColor="text1"/>
              <w:bottom w:val="single" w:sz="4" w:space="0" w:color="000000" w:themeColor="text1"/>
            </w:tcBorders>
          </w:tcPr>
          <w:p w14:paraId="391AC677" w14:textId="77777777" w:rsidR="00B24799" w:rsidRPr="00870DCF" w:rsidRDefault="00B24799" w:rsidP="00B24799">
            <w:pPr>
              <w:pStyle w:val="TableText0"/>
              <w:spacing w:before="0" w:after="0"/>
              <w:jc w:val="center"/>
            </w:pPr>
            <w:r>
              <w:t>Supporting</w:t>
            </w:r>
          </w:p>
        </w:tc>
        <w:tc>
          <w:tcPr>
            <w:tcW w:w="1260" w:type="dxa"/>
            <w:tcBorders>
              <w:top w:val="single" w:sz="4" w:space="0" w:color="000000" w:themeColor="text1"/>
              <w:bottom w:val="single" w:sz="4" w:space="0" w:color="000000" w:themeColor="text1"/>
            </w:tcBorders>
          </w:tcPr>
          <w:p w14:paraId="533C9E0B" w14:textId="77777777" w:rsidR="00B24799" w:rsidRPr="00870DCF" w:rsidRDefault="00B24799" w:rsidP="00B24799">
            <w:pPr>
              <w:pStyle w:val="TableText0"/>
              <w:spacing w:before="0" w:after="0"/>
              <w:jc w:val="center"/>
            </w:pPr>
            <w:r>
              <w:t>AL</w:t>
            </w:r>
          </w:p>
        </w:tc>
        <w:tc>
          <w:tcPr>
            <w:tcW w:w="2520" w:type="dxa"/>
            <w:tcBorders>
              <w:top w:val="single" w:sz="4" w:space="0" w:color="000000" w:themeColor="text1"/>
              <w:bottom w:val="single" w:sz="4" w:space="0" w:color="000000" w:themeColor="text1"/>
            </w:tcBorders>
          </w:tcPr>
          <w:p w14:paraId="5787EB87" w14:textId="77777777" w:rsidR="00B24799" w:rsidRDefault="00B24799" w:rsidP="00B24799">
            <w:pPr>
              <w:pStyle w:val="TableText0"/>
              <w:spacing w:before="0" w:after="0"/>
              <w:jc w:val="center"/>
            </w:pPr>
          </w:p>
        </w:tc>
      </w:tr>
      <w:tr w:rsidR="00B24799" w:rsidRPr="008A0924" w14:paraId="1D2D6609" w14:textId="77777777" w:rsidTr="004966C6">
        <w:tc>
          <w:tcPr>
            <w:tcW w:w="4320" w:type="dxa"/>
            <w:tcBorders>
              <w:top w:val="single" w:sz="4" w:space="0" w:color="000000" w:themeColor="text1"/>
              <w:bottom w:val="single" w:sz="4" w:space="0" w:color="000000" w:themeColor="text1"/>
            </w:tcBorders>
            <w:vAlign w:val="center"/>
          </w:tcPr>
          <w:p w14:paraId="49C86F96" w14:textId="77777777" w:rsidR="00B24799" w:rsidRDefault="00B24799" w:rsidP="00B24799">
            <w:pPr>
              <w:pStyle w:val="TableText0"/>
              <w:spacing w:before="0" w:after="0"/>
              <w:ind w:left="285"/>
            </w:pPr>
            <w:r>
              <w:t>Dissolved organic carbon, trihalomethane</w:t>
            </w:r>
          </w:p>
        </w:tc>
        <w:tc>
          <w:tcPr>
            <w:tcW w:w="1260" w:type="dxa"/>
            <w:tcBorders>
              <w:top w:val="single" w:sz="4" w:space="0" w:color="000000" w:themeColor="text1"/>
              <w:bottom w:val="single" w:sz="4" w:space="0" w:color="000000" w:themeColor="text1"/>
            </w:tcBorders>
          </w:tcPr>
          <w:p w14:paraId="296DB831" w14:textId="77777777" w:rsidR="00B24799" w:rsidRPr="00870DCF" w:rsidRDefault="00B24799" w:rsidP="00B24799">
            <w:pPr>
              <w:pStyle w:val="TableText0"/>
              <w:spacing w:before="0" w:after="0"/>
              <w:jc w:val="center"/>
            </w:pPr>
            <w:r w:rsidRPr="00870DCF">
              <w:t>Supporting</w:t>
            </w:r>
          </w:p>
        </w:tc>
        <w:tc>
          <w:tcPr>
            <w:tcW w:w="1260" w:type="dxa"/>
            <w:tcBorders>
              <w:top w:val="single" w:sz="4" w:space="0" w:color="000000" w:themeColor="text1"/>
              <w:bottom w:val="single" w:sz="4" w:space="0" w:color="000000" w:themeColor="text1"/>
            </w:tcBorders>
          </w:tcPr>
          <w:p w14:paraId="713FFC73" w14:textId="77777777" w:rsidR="00B24799" w:rsidRPr="00870DCF" w:rsidRDefault="00B24799" w:rsidP="00B24799">
            <w:pPr>
              <w:pStyle w:val="TableText0"/>
              <w:spacing w:before="0" w:after="0"/>
              <w:jc w:val="center"/>
            </w:pPr>
            <w:r w:rsidRPr="00870DCF">
              <w:t>H</w:t>
            </w:r>
          </w:p>
        </w:tc>
        <w:tc>
          <w:tcPr>
            <w:tcW w:w="2520" w:type="dxa"/>
            <w:tcBorders>
              <w:top w:val="single" w:sz="4" w:space="0" w:color="000000" w:themeColor="text1"/>
              <w:bottom w:val="single" w:sz="4" w:space="0" w:color="000000" w:themeColor="text1"/>
            </w:tcBorders>
          </w:tcPr>
          <w:p w14:paraId="3EC4C103" w14:textId="77777777" w:rsidR="00B24799" w:rsidRPr="00870DCF" w:rsidRDefault="00B24799" w:rsidP="00B24799">
            <w:pPr>
              <w:pStyle w:val="TableText0"/>
              <w:spacing w:before="0" w:after="0"/>
              <w:jc w:val="center"/>
            </w:pPr>
          </w:p>
        </w:tc>
      </w:tr>
      <w:tr w:rsidR="00B24799" w:rsidRPr="008A0924" w14:paraId="6176A118" w14:textId="77777777" w:rsidTr="004966C6">
        <w:tc>
          <w:tcPr>
            <w:tcW w:w="4320" w:type="dxa"/>
            <w:tcBorders>
              <w:top w:val="single" w:sz="4" w:space="0" w:color="000000" w:themeColor="text1"/>
              <w:bottom w:val="single" w:sz="4" w:space="0" w:color="000000" w:themeColor="text1"/>
            </w:tcBorders>
            <w:vAlign w:val="center"/>
          </w:tcPr>
          <w:p w14:paraId="71B027DB" w14:textId="77777777" w:rsidR="00B24799" w:rsidRDefault="00B24799" w:rsidP="00B24799">
            <w:pPr>
              <w:pStyle w:val="TableText0"/>
              <w:spacing w:before="0" w:after="0"/>
              <w:ind w:left="14" w:hanging="14"/>
            </w:pPr>
            <w:r>
              <w:t>Aquatic Community Structure</w:t>
            </w:r>
          </w:p>
        </w:tc>
        <w:tc>
          <w:tcPr>
            <w:tcW w:w="1260" w:type="dxa"/>
            <w:tcBorders>
              <w:top w:val="single" w:sz="4" w:space="0" w:color="000000" w:themeColor="text1"/>
              <w:bottom w:val="single" w:sz="4" w:space="0" w:color="000000" w:themeColor="text1"/>
            </w:tcBorders>
          </w:tcPr>
          <w:p w14:paraId="0DF5EC6E" w14:textId="77777777" w:rsidR="00B24799" w:rsidRPr="00870DCF" w:rsidRDefault="00B24799" w:rsidP="00B24799">
            <w:pPr>
              <w:pStyle w:val="TableText0"/>
              <w:spacing w:before="0" w:after="0"/>
              <w:jc w:val="center"/>
            </w:pPr>
          </w:p>
        </w:tc>
        <w:tc>
          <w:tcPr>
            <w:tcW w:w="1260" w:type="dxa"/>
            <w:tcBorders>
              <w:top w:val="single" w:sz="4" w:space="0" w:color="000000" w:themeColor="text1"/>
              <w:bottom w:val="single" w:sz="4" w:space="0" w:color="000000" w:themeColor="text1"/>
            </w:tcBorders>
          </w:tcPr>
          <w:p w14:paraId="2E7BF2C8" w14:textId="77777777" w:rsidR="00B24799" w:rsidRPr="00870DCF" w:rsidRDefault="00B24799" w:rsidP="00B24799">
            <w:pPr>
              <w:pStyle w:val="TableText0"/>
              <w:spacing w:before="0" w:after="0"/>
              <w:jc w:val="center"/>
            </w:pPr>
          </w:p>
        </w:tc>
        <w:tc>
          <w:tcPr>
            <w:tcW w:w="2520" w:type="dxa"/>
            <w:tcBorders>
              <w:top w:val="single" w:sz="4" w:space="0" w:color="000000" w:themeColor="text1"/>
              <w:bottom w:val="single" w:sz="4" w:space="0" w:color="000000" w:themeColor="text1"/>
            </w:tcBorders>
          </w:tcPr>
          <w:p w14:paraId="641DACAF" w14:textId="77777777" w:rsidR="00B24799" w:rsidRPr="00870DCF" w:rsidRDefault="00B24799" w:rsidP="00B24799">
            <w:pPr>
              <w:pStyle w:val="TableText0"/>
              <w:spacing w:before="0" w:after="0"/>
              <w:jc w:val="center"/>
            </w:pPr>
          </w:p>
        </w:tc>
      </w:tr>
      <w:tr w:rsidR="00B24799" w:rsidRPr="008A0924" w14:paraId="4BC2400F" w14:textId="77777777" w:rsidTr="004966C6">
        <w:tc>
          <w:tcPr>
            <w:tcW w:w="4320" w:type="dxa"/>
            <w:tcBorders>
              <w:top w:val="single" w:sz="4" w:space="0" w:color="000000" w:themeColor="text1"/>
              <w:bottom w:val="single" w:sz="4" w:space="0" w:color="000000" w:themeColor="text1"/>
            </w:tcBorders>
            <w:vAlign w:val="center"/>
          </w:tcPr>
          <w:p w14:paraId="1F0F08A9" w14:textId="77777777" w:rsidR="00B24799" w:rsidRPr="008A0924" w:rsidRDefault="00B24799" w:rsidP="00B24799">
            <w:pPr>
              <w:pStyle w:val="TableText0"/>
              <w:spacing w:before="0" w:after="0"/>
              <w:ind w:left="375" w:hanging="85"/>
            </w:pPr>
            <w:r>
              <w:t>Benthic algal community composition (ASCI)</w:t>
            </w:r>
          </w:p>
        </w:tc>
        <w:tc>
          <w:tcPr>
            <w:tcW w:w="1260" w:type="dxa"/>
            <w:tcBorders>
              <w:top w:val="single" w:sz="4" w:space="0" w:color="000000" w:themeColor="text1"/>
              <w:bottom w:val="single" w:sz="4" w:space="0" w:color="000000" w:themeColor="text1"/>
            </w:tcBorders>
          </w:tcPr>
          <w:p w14:paraId="1ECC074D" w14:textId="77777777" w:rsidR="00B24799" w:rsidRPr="00870DCF" w:rsidRDefault="00B24799" w:rsidP="00B24799">
            <w:pPr>
              <w:pStyle w:val="TableText0"/>
              <w:spacing w:before="0" w:after="0"/>
              <w:jc w:val="center"/>
            </w:pPr>
            <w:r w:rsidRPr="00870DCF">
              <w:t>Supporting</w:t>
            </w:r>
          </w:p>
        </w:tc>
        <w:tc>
          <w:tcPr>
            <w:tcW w:w="1260" w:type="dxa"/>
            <w:tcBorders>
              <w:top w:val="single" w:sz="4" w:space="0" w:color="000000" w:themeColor="text1"/>
              <w:bottom w:val="single" w:sz="4" w:space="0" w:color="000000" w:themeColor="text1"/>
            </w:tcBorders>
          </w:tcPr>
          <w:p w14:paraId="1440C887" w14:textId="77777777" w:rsidR="00B24799" w:rsidRPr="00870DCF" w:rsidRDefault="00B24799" w:rsidP="00B24799">
            <w:pPr>
              <w:pStyle w:val="TableText0"/>
              <w:spacing w:before="0" w:after="0"/>
              <w:jc w:val="center"/>
            </w:pPr>
            <w:r w:rsidRPr="00870DCF">
              <w:t>AL</w:t>
            </w:r>
          </w:p>
        </w:tc>
        <w:tc>
          <w:tcPr>
            <w:tcW w:w="2520" w:type="dxa"/>
            <w:tcBorders>
              <w:top w:val="single" w:sz="4" w:space="0" w:color="000000" w:themeColor="text1"/>
              <w:bottom w:val="single" w:sz="4" w:space="0" w:color="000000" w:themeColor="text1"/>
            </w:tcBorders>
          </w:tcPr>
          <w:p w14:paraId="14599553" w14:textId="77777777" w:rsidR="00B24799" w:rsidRPr="00870DCF" w:rsidRDefault="00B24799" w:rsidP="00B24799">
            <w:pPr>
              <w:pStyle w:val="TableText0"/>
              <w:spacing w:before="0" w:after="0"/>
              <w:jc w:val="center"/>
            </w:pPr>
            <w:r>
              <w:t>Y</w:t>
            </w:r>
          </w:p>
        </w:tc>
      </w:tr>
      <w:tr w:rsidR="00B24799" w14:paraId="70ABC8C3" w14:textId="77777777" w:rsidTr="004966C6">
        <w:tc>
          <w:tcPr>
            <w:tcW w:w="4320" w:type="dxa"/>
            <w:tcBorders>
              <w:top w:val="single" w:sz="4" w:space="0" w:color="000000" w:themeColor="text1"/>
              <w:bottom w:val="single" w:sz="4" w:space="0" w:color="000000" w:themeColor="text1"/>
            </w:tcBorders>
            <w:vAlign w:val="center"/>
          </w:tcPr>
          <w:p w14:paraId="76204E0C" w14:textId="77777777" w:rsidR="00B24799" w:rsidRDefault="00B24799" w:rsidP="00B24799">
            <w:pPr>
              <w:pStyle w:val="TableText0"/>
              <w:spacing w:before="0" w:after="0"/>
              <w:ind w:left="375" w:hanging="85"/>
            </w:pPr>
            <w:r>
              <w:t>BMI community composition (CSCI)</w:t>
            </w:r>
          </w:p>
        </w:tc>
        <w:tc>
          <w:tcPr>
            <w:tcW w:w="1260" w:type="dxa"/>
            <w:tcBorders>
              <w:top w:val="single" w:sz="4" w:space="0" w:color="000000" w:themeColor="text1"/>
              <w:bottom w:val="single" w:sz="4" w:space="0" w:color="000000" w:themeColor="text1"/>
            </w:tcBorders>
          </w:tcPr>
          <w:p w14:paraId="505F10F4" w14:textId="77777777" w:rsidR="00B24799" w:rsidRPr="00870DCF" w:rsidRDefault="00B24799" w:rsidP="00B24799">
            <w:pPr>
              <w:pStyle w:val="TableText0"/>
              <w:spacing w:before="0" w:after="0"/>
              <w:jc w:val="center"/>
            </w:pPr>
            <w:r w:rsidRPr="00870DCF">
              <w:t>Supporting</w:t>
            </w:r>
          </w:p>
        </w:tc>
        <w:tc>
          <w:tcPr>
            <w:tcW w:w="1260" w:type="dxa"/>
            <w:tcBorders>
              <w:top w:val="single" w:sz="4" w:space="0" w:color="000000" w:themeColor="text1"/>
              <w:bottom w:val="single" w:sz="4" w:space="0" w:color="000000" w:themeColor="text1"/>
            </w:tcBorders>
          </w:tcPr>
          <w:p w14:paraId="6A1A3E60" w14:textId="77777777" w:rsidR="00B24799" w:rsidRPr="00870DCF" w:rsidRDefault="00B24799" w:rsidP="00B24799">
            <w:pPr>
              <w:pStyle w:val="TableText0"/>
              <w:spacing w:before="0" w:after="0"/>
              <w:jc w:val="center"/>
            </w:pPr>
            <w:r w:rsidRPr="00870DCF">
              <w:t>AL</w:t>
            </w:r>
          </w:p>
        </w:tc>
        <w:tc>
          <w:tcPr>
            <w:tcW w:w="2520" w:type="dxa"/>
            <w:tcBorders>
              <w:top w:val="single" w:sz="4" w:space="0" w:color="000000" w:themeColor="text1"/>
              <w:bottom w:val="single" w:sz="4" w:space="0" w:color="000000" w:themeColor="text1"/>
            </w:tcBorders>
          </w:tcPr>
          <w:p w14:paraId="0BD7CBA2" w14:textId="77777777" w:rsidR="00B24799" w:rsidRPr="00870DCF" w:rsidRDefault="00B24799" w:rsidP="00B24799">
            <w:pPr>
              <w:pStyle w:val="TableText0"/>
              <w:spacing w:before="0" w:after="0"/>
              <w:jc w:val="center"/>
            </w:pPr>
            <w:r>
              <w:t>Y</w:t>
            </w:r>
          </w:p>
        </w:tc>
      </w:tr>
      <w:tr w:rsidR="00B24799" w14:paraId="55D20E7F" w14:textId="77777777" w:rsidTr="004966C6">
        <w:tc>
          <w:tcPr>
            <w:tcW w:w="4320" w:type="dxa"/>
            <w:tcBorders>
              <w:top w:val="single" w:sz="4" w:space="0" w:color="000000" w:themeColor="text1"/>
              <w:bottom w:val="single" w:sz="4" w:space="0" w:color="000000" w:themeColor="text1"/>
            </w:tcBorders>
            <w:vAlign w:val="center"/>
          </w:tcPr>
          <w:p w14:paraId="0941C28D" w14:textId="77777777" w:rsidR="00B24799" w:rsidRDefault="00B24799" w:rsidP="00B24799">
            <w:pPr>
              <w:pStyle w:val="TableText0"/>
              <w:spacing w:before="0" w:after="0"/>
            </w:pPr>
            <w:r>
              <w:t xml:space="preserve">Harmful Algal Bloom </w:t>
            </w:r>
          </w:p>
        </w:tc>
        <w:tc>
          <w:tcPr>
            <w:tcW w:w="1260" w:type="dxa"/>
            <w:tcBorders>
              <w:top w:val="single" w:sz="4" w:space="0" w:color="000000" w:themeColor="text1"/>
              <w:bottom w:val="single" w:sz="4" w:space="0" w:color="000000" w:themeColor="text1"/>
            </w:tcBorders>
          </w:tcPr>
          <w:p w14:paraId="3AD1494E" w14:textId="77777777" w:rsidR="00B24799" w:rsidRPr="00870DCF" w:rsidRDefault="00B24799" w:rsidP="00B24799">
            <w:pPr>
              <w:pStyle w:val="TableText0"/>
              <w:spacing w:before="0" w:after="0"/>
              <w:jc w:val="center"/>
            </w:pPr>
          </w:p>
        </w:tc>
        <w:tc>
          <w:tcPr>
            <w:tcW w:w="1260" w:type="dxa"/>
            <w:tcBorders>
              <w:top w:val="single" w:sz="4" w:space="0" w:color="000000" w:themeColor="text1"/>
              <w:bottom w:val="single" w:sz="4" w:space="0" w:color="000000" w:themeColor="text1"/>
            </w:tcBorders>
          </w:tcPr>
          <w:p w14:paraId="09F60404" w14:textId="77777777" w:rsidR="00B24799" w:rsidRPr="00870DCF" w:rsidRDefault="00B24799" w:rsidP="00B24799">
            <w:pPr>
              <w:pStyle w:val="TableText0"/>
              <w:spacing w:before="0" w:after="0"/>
              <w:jc w:val="center"/>
            </w:pPr>
          </w:p>
        </w:tc>
        <w:tc>
          <w:tcPr>
            <w:tcW w:w="2520" w:type="dxa"/>
            <w:tcBorders>
              <w:top w:val="single" w:sz="4" w:space="0" w:color="000000" w:themeColor="text1"/>
              <w:bottom w:val="single" w:sz="4" w:space="0" w:color="000000" w:themeColor="text1"/>
            </w:tcBorders>
          </w:tcPr>
          <w:p w14:paraId="3E04B64A" w14:textId="77777777" w:rsidR="00B24799" w:rsidRPr="00870DCF" w:rsidRDefault="00B24799" w:rsidP="00B24799">
            <w:pPr>
              <w:pStyle w:val="TableText0"/>
              <w:spacing w:before="0" w:after="0"/>
              <w:jc w:val="center"/>
            </w:pPr>
          </w:p>
        </w:tc>
      </w:tr>
      <w:tr w:rsidR="00B24799" w14:paraId="11BB7D57" w14:textId="77777777" w:rsidTr="004966C6">
        <w:tc>
          <w:tcPr>
            <w:tcW w:w="4320" w:type="dxa"/>
            <w:tcBorders>
              <w:top w:val="single" w:sz="4" w:space="0" w:color="000000" w:themeColor="text1"/>
              <w:bottom w:val="single" w:sz="4" w:space="0" w:color="000000" w:themeColor="text1"/>
            </w:tcBorders>
            <w:vAlign w:val="center"/>
          </w:tcPr>
          <w:p w14:paraId="76830144" w14:textId="77777777" w:rsidR="00B24799" w:rsidRDefault="00B24799" w:rsidP="00B24799">
            <w:pPr>
              <w:pStyle w:val="TableText0"/>
              <w:spacing w:before="0" w:after="0"/>
              <w:ind w:left="375" w:hanging="85"/>
            </w:pPr>
            <w:r>
              <w:t>Benthic cyanoHAB toxin</w:t>
            </w:r>
          </w:p>
        </w:tc>
        <w:tc>
          <w:tcPr>
            <w:tcW w:w="1260" w:type="dxa"/>
            <w:tcBorders>
              <w:top w:val="single" w:sz="4" w:space="0" w:color="000000" w:themeColor="text1"/>
              <w:bottom w:val="single" w:sz="4" w:space="0" w:color="000000" w:themeColor="text1"/>
            </w:tcBorders>
          </w:tcPr>
          <w:p w14:paraId="1AD47375" w14:textId="77777777" w:rsidR="00B24799" w:rsidRPr="00870DCF" w:rsidRDefault="00B24799" w:rsidP="00B24799">
            <w:pPr>
              <w:pStyle w:val="TableText0"/>
              <w:spacing w:before="0" w:after="0"/>
              <w:jc w:val="center"/>
            </w:pPr>
            <w:r w:rsidRPr="00870DCF">
              <w:t>Supporting</w:t>
            </w:r>
          </w:p>
        </w:tc>
        <w:tc>
          <w:tcPr>
            <w:tcW w:w="1260" w:type="dxa"/>
            <w:tcBorders>
              <w:top w:val="single" w:sz="4" w:space="0" w:color="000000" w:themeColor="text1"/>
              <w:bottom w:val="single" w:sz="4" w:space="0" w:color="000000" w:themeColor="text1"/>
            </w:tcBorders>
          </w:tcPr>
          <w:p w14:paraId="635E1CC1" w14:textId="77777777" w:rsidR="00B24799" w:rsidRPr="00870DCF" w:rsidRDefault="00B24799" w:rsidP="00B24799">
            <w:pPr>
              <w:pStyle w:val="TableText0"/>
              <w:spacing w:before="0" w:after="0"/>
              <w:jc w:val="center"/>
            </w:pPr>
            <w:r w:rsidRPr="00870DCF">
              <w:t>H, AL</w:t>
            </w:r>
          </w:p>
        </w:tc>
        <w:tc>
          <w:tcPr>
            <w:tcW w:w="2520" w:type="dxa"/>
            <w:tcBorders>
              <w:top w:val="single" w:sz="4" w:space="0" w:color="000000" w:themeColor="text1"/>
              <w:bottom w:val="single" w:sz="4" w:space="0" w:color="000000" w:themeColor="text1"/>
            </w:tcBorders>
          </w:tcPr>
          <w:p w14:paraId="2C81FC5E" w14:textId="77777777" w:rsidR="00B24799" w:rsidRPr="00870DCF" w:rsidRDefault="00B24799" w:rsidP="00B24799">
            <w:pPr>
              <w:pStyle w:val="TableText0"/>
              <w:spacing w:before="0" w:after="0"/>
              <w:jc w:val="center"/>
            </w:pPr>
          </w:p>
        </w:tc>
      </w:tr>
      <w:tr w:rsidR="00B24799" w14:paraId="11223E9F" w14:textId="77777777" w:rsidTr="004966C6">
        <w:tc>
          <w:tcPr>
            <w:tcW w:w="4320" w:type="dxa"/>
            <w:tcBorders>
              <w:top w:val="single" w:sz="4" w:space="0" w:color="000000" w:themeColor="text1"/>
              <w:bottom w:val="single" w:sz="4" w:space="0" w:color="000000" w:themeColor="text1"/>
            </w:tcBorders>
            <w:vAlign w:val="center"/>
          </w:tcPr>
          <w:p w14:paraId="60C42841" w14:textId="77777777" w:rsidR="00B24799" w:rsidRDefault="00B24799" w:rsidP="00B24799">
            <w:pPr>
              <w:pStyle w:val="TableText0"/>
              <w:spacing w:before="0" w:after="0"/>
              <w:ind w:left="375" w:hanging="85"/>
            </w:pPr>
            <w:r>
              <w:t>Benthic cyanoHAB cell density</w:t>
            </w:r>
          </w:p>
        </w:tc>
        <w:tc>
          <w:tcPr>
            <w:tcW w:w="1260" w:type="dxa"/>
            <w:tcBorders>
              <w:top w:val="single" w:sz="4" w:space="0" w:color="000000" w:themeColor="text1"/>
              <w:bottom w:val="single" w:sz="4" w:space="0" w:color="000000" w:themeColor="text1"/>
            </w:tcBorders>
          </w:tcPr>
          <w:p w14:paraId="6049218C" w14:textId="77777777" w:rsidR="00B24799" w:rsidRPr="00870DCF" w:rsidRDefault="00B24799" w:rsidP="00B24799">
            <w:pPr>
              <w:pStyle w:val="TableText0"/>
              <w:spacing w:before="0" w:after="0"/>
              <w:jc w:val="center"/>
            </w:pPr>
            <w:r w:rsidRPr="00870DCF">
              <w:t>Supporting</w:t>
            </w:r>
          </w:p>
        </w:tc>
        <w:tc>
          <w:tcPr>
            <w:tcW w:w="1260" w:type="dxa"/>
            <w:tcBorders>
              <w:top w:val="single" w:sz="4" w:space="0" w:color="000000" w:themeColor="text1"/>
              <w:bottom w:val="single" w:sz="4" w:space="0" w:color="000000" w:themeColor="text1"/>
            </w:tcBorders>
          </w:tcPr>
          <w:p w14:paraId="7098F330" w14:textId="77777777" w:rsidR="00B24799" w:rsidRPr="00870DCF" w:rsidRDefault="00B24799" w:rsidP="00B24799">
            <w:pPr>
              <w:pStyle w:val="TableText0"/>
              <w:spacing w:before="0" w:after="0"/>
              <w:jc w:val="center"/>
            </w:pPr>
            <w:r w:rsidRPr="00870DCF">
              <w:t>H, AL</w:t>
            </w:r>
          </w:p>
        </w:tc>
        <w:tc>
          <w:tcPr>
            <w:tcW w:w="2520" w:type="dxa"/>
            <w:tcBorders>
              <w:top w:val="single" w:sz="4" w:space="0" w:color="000000" w:themeColor="text1"/>
              <w:bottom w:val="single" w:sz="4" w:space="0" w:color="000000" w:themeColor="text1"/>
            </w:tcBorders>
          </w:tcPr>
          <w:p w14:paraId="36B677E4" w14:textId="77777777" w:rsidR="00B24799" w:rsidRPr="00870DCF" w:rsidRDefault="00B24799" w:rsidP="00B24799">
            <w:pPr>
              <w:pStyle w:val="TableText0"/>
              <w:spacing w:before="0" w:after="0"/>
              <w:jc w:val="center"/>
            </w:pPr>
            <w:r>
              <w:t>Y</w:t>
            </w:r>
          </w:p>
        </w:tc>
      </w:tr>
      <w:tr w:rsidR="00B24799" w:rsidRPr="008A0924" w14:paraId="1C74D1A0" w14:textId="77777777" w:rsidTr="004966C6">
        <w:tc>
          <w:tcPr>
            <w:tcW w:w="4320" w:type="dxa"/>
            <w:vMerge w:val="restart"/>
            <w:tcBorders>
              <w:top w:val="single" w:sz="4" w:space="0" w:color="000000" w:themeColor="text1"/>
            </w:tcBorders>
            <w:vAlign w:val="center"/>
          </w:tcPr>
          <w:p w14:paraId="69C9169A" w14:textId="77777777" w:rsidR="00B24799" w:rsidRPr="008A0924" w:rsidRDefault="00B24799" w:rsidP="00B24799">
            <w:pPr>
              <w:pStyle w:val="TableText0"/>
              <w:spacing w:before="0" w:after="0"/>
              <w:ind w:left="375" w:hanging="85"/>
            </w:pPr>
            <w:r>
              <w:t>Particulate cyanoHAB toxin</w:t>
            </w:r>
          </w:p>
        </w:tc>
        <w:tc>
          <w:tcPr>
            <w:tcW w:w="1260" w:type="dxa"/>
            <w:tcBorders>
              <w:top w:val="single" w:sz="4" w:space="0" w:color="000000" w:themeColor="text1"/>
              <w:bottom w:val="single" w:sz="4" w:space="0" w:color="000000" w:themeColor="text1"/>
            </w:tcBorders>
          </w:tcPr>
          <w:p w14:paraId="6274FEAA" w14:textId="77777777" w:rsidR="00B24799" w:rsidRPr="00870DCF" w:rsidRDefault="00B24799" w:rsidP="00B24799">
            <w:pPr>
              <w:pStyle w:val="TableText0"/>
              <w:spacing w:before="0" w:after="0"/>
              <w:jc w:val="center"/>
            </w:pPr>
            <w:r w:rsidRPr="00870DCF">
              <w:t>Primary</w:t>
            </w:r>
          </w:p>
        </w:tc>
        <w:tc>
          <w:tcPr>
            <w:tcW w:w="1260" w:type="dxa"/>
            <w:tcBorders>
              <w:top w:val="single" w:sz="4" w:space="0" w:color="000000" w:themeColor="text1"/>
              <w:bottom w:val="single" w:sz="4" w:space="0" w:color="000000" w:themeColor="text1"/>
            </w:tcBorders>
          </w:tcPr>
          <w:p w14:paraId="3D5AAF1A" w14:textId="77777777" w:rsidR="00B24799" w:rsidRPr="00870DCF" w:rsidRDefault="00B24799" w:rsidP="00B24799">
            <w:pPr>
              <w:pStyle w:val="TableText0"/>
              <w:spacing w:before="0" w:after="0"/>
              <w:jc w:val="center"/>
            </w:pPr>
            <w:r w:rsidRPr="00870DCF">
              <w:t>H</w:t>
            </w:r>
          </w:p>
        </w:tc>
        <w:tc>
          <w:tcPr>
            <w:tcW w:w="2520" w:type="dxa"/>
            <w:tcBorders>
              <w:top w:val="single" w:sz="4" w:space="0" w:color="000000" w:themeColor="text1"/>
              <w:bottom w:val="single" w:sz="4" w:space="0" w:color="000000" w:themeColor="text1"/>
            </w:tcBorders>
          </w:tcPr>
          <w:p w14:paraId="5AFC4F23" w14:textId="77777777" w:rsidR="00B24799" w:rsidRPr="00870DCF" w:rsidRDefault="00B24799" w:rsidP="00B24799">
            <w:pPr>
              <w:pStyle w:val="TableText0"/>
              <w:spacing w:before="0" w:after="0"/>
              <w:jc w:val="center"/>
            </w:pPr>
          </w:p>
        </w:tc>
      </w:tr>
      <w:tr w:rsidR="00B24799" w:rsidRPr="008A0924" w14:paraId="4BDABAC2" w14:textId="77777777" w:rsidTr="004966C6">
        <w:tc>
          <w:tcPr>
            <w:tcW w:w="4320" w:type="dxa"/>
            <w:vMerge/>
            <w:tcBorders>
              <w:bottom w:val="single" w:sz="4" w:space="0" w:color="000000" w:themeColor="text1"/>
            </w:tcBorders>
            <w:vAlign w:val="center"/>
          </w:tcPr>
          <w:p w14:paraId="489AADC8" w14:textId="77777777" w:rsidR="00B24799" w:rsidRDefault="00B24799" w:rsidP="00B24799">
            <w:pPr>
              <w:pStyle w:val="TableText0"/>
              <w:spacing w:before="0" w:after="0"/>
              <w:ind w:left="375" w:hanging="85"/>
            </w:pPr>
          </w:p>
        </w:tc>
        <w:tc>
          <w:tcPr>
            <w:tcW w:w="1260" w:type="dxa"/>
            <w:tcBorders>
              <w:top w:val="single" w:sz="4" w:space="0" w:color="000000" w:themeColor="text1"/>
              <w:bottom w:val="single" w:sz="4" w:space="0" w:color="000000" w:themeColor="text1"/>
            </w:tcBorders>
          </w:tcPr>
          <w:p w14:paraId="7109B682" w14:textId="77777777" w:rsidR="00B24799" w:rsidRPr="00870DCF" w:rsidRDefault="00B24799" w:rsidP="00B24799">
            <w:pPr>
              <w:pStyle w:val="TableText0"/>
              <w:spacing w:before="0" w:after="0"/>
              <w:jc w:val="center"/>
            </w:pPr>
            <w:r>
              <w:t>Supporting</w:t>
            </w:r>
          </w:p>
        </w:tc>
        <w:tc>
          <w:tcPr>
            <w:tcW w:w="1260" w:type="dxa"/>
            <w:tcBorders>
              <w:top w:val="single" w:sz="4" w:space="0" w:color="000000" w:themeColor="text1"/>
              <w:bottom w:val="single" w:sz="4" w:space="0" w:color="000000" w:themeColor="text1"/>
            </w:tcBorders>
          </w:tcPr>
          <w:p w14:paraId="1CAB85CD" w14:textId="77777777" w:rsidR="00B24799" w:rsidRPr="00870DCF" w:rsidRDefault="00B24799" w:rsidP="00B24799">
            <w:pPr>
              <w:pStyle w:val="TableText0"/>
              <w:spacing w:before="0" w:after="0"/>
              <w:jc w:val="center"/>
            </w:pPr>
            <w:r>
              <w:t xml:space="preserve"> AL</w:t>
            </w:r>
          </w:p>
        </w:tc>
        <w:tc>
          <w:tcPr>
            <w:tcW w:w="2520" w:type="dxa"/>
            <w:tcBorders>
              <w:top w:val="single" w:sz="4" w:space="0" w:color="000000" w:themeColor="text1"/>
              <w:bottom w:val="single" w:sz="4" w:space="0" w:color="000000" w:themeColor="text1"/>
            </w:tcBorders>
          </w:tcPr>
          <w:p w14:paraId="7B38C496" w14:textId="77777777" w:rsidR="00B24799" w:rsidRDefault="00B24799" w:rsidP="00B24799">
            <w:pPr>
              <w:pStyle w:val="TableText0"/>
              <w:spacing w:before="0" w:after="0"/>
              <w:jc w:val="center"/>
            </w:pPr>
          </w:p>
        </w:tc>
      </w:tr>
      <w:tr w:rsidR="00B24799" w:rsidRPr="008A0924" w14:paraId="266692BC" w14:textId="77777777" w:rsidTr="004966C6">
        <w:tc>
          <w:tcPr>
            <w:tcW w:w="4320" w:type="dxa"/>
            <w:tcBorders>
              <w:top w:val="single" w:sz="4" w:space="0" w:color="000000" w:themeColor="text1"/>
              <w:bottom w:val="single" w:sz="4" w:space="0" w:color="000000" w:themeColor="text1"/>
            </w:tcBorders>
            <w:vAlign w:val="center"/>
          </w:tcPr>
          <w:p w14:paraId="213B7F84" w14:textId="77777777" w:rsidR="00B24799" w:rsidRDefault="00B24799" w:rsidP="00B24799">
            <w:pPr>
              <w:pStyle w:val="TableText0"/>
              <w:spacing w:before="0" w:after="0"/>
              <w:ind w:left="375" w:hanging="85"/>
            </w:pPr>
            <w:r>
              <w:t>Particulate cyanoHAB cell density</w:t>
            </w:r>
          </w:p>
        </w:tc>
        <w:tc>
          <w:tcPr>
            <w:tcW w:w="1260" w:type="dxa"/>
            <w:tcBorders>
              <w:top w:val="single" w:sz="4" w:space="0" w:color="000000" w:themeColor="text1"/>
              <w:bottom w:val="single" w:sz="4" w:space="0" w:color="000000" w:themeColor="text1"/>
            </w:tcBorders>
          </w:tcPr>
          <w:p w14:paraId="0297B908" w14:textId="77777777" w:rsidR="00B24799" w:rsidRPr="00870DCF" w:rsidRDefault="00B24799" w:rsidP="00B24799">
            <w:pPr>
              <w:pStyle w:val="TableText0"/>
              <w:spacing w:before="0" w:after="0"/>
              <w:jc w:val="center"/>
            </w:pPr>
            <w:r w:rsidRPr="00870DCF">
              <w:t>Supporting</w:t>
            </w:r>
          </w:p>
        </w:tc>
        <w:tc>
          <w:tcPr>
            <w:tcW w:w="1260" w:type="dxa"/>
            <w:tcBorders>
              <w:top w:val="single" w:sz="4" w:space="0" w:color="000000" w:themeColor="text1"/>
              <w:bottom w:val="single" w:sz="4" w:space="0" w:color="000000" w:themeColor="text1"/>
            </w:tcBorders>
          </w:tcPr>
          <w:p w14:paraId="11A225BA" w14:textId="77777777" w:rsidR="00B24799" w:rsidRPr="00870DCF" w:rsidRDefault="00B24799" w:rsidP="00B24799">
            <w:pPr>
              <w:pStyle w:val="TableText0"/>
              <w:spacing w:before="0" w:after="0"/>
              <w:jc w:val="center"/>
            </w:pPr>
            <w:r w:rsidRPr="00870DCF">
              <w:t>H, AL</w:t>
            </w:r>
          </w:p>
        </w:tc>
        <w:tc>
          <w:tcPr>
            <w:tcW w:w="2520" w:type="dxa"/>
            <w:tcBorders>
              <w:top w:val="single" w:sz="4" w:space="0" w:color="000000" w:themeColor="text1"/>
              <w:bottom w:val="single" w:sz="4" w:space="0" w:color="000000" w:themeColor="text1"/>
            </w:tcBorders>
          </w:tcPr>
          <w:p w14:paraId="148DFE6F" w14:textId="77777777" w:rsidR="00B24799" w:rsidRPr="00870DCF" w:rsidRDefault="00B24799" w:rsidP="00B24799">
            <w:pPr>
              <w:pStyle w:val="TableText0"/>
              <w:spacing w:before="0" w:after="0"/>
              <w:jc w:val="center"/>
            </w:pPr>
          </w:p>
        </w:tc>
      </w:tr>
      <w:tr w:rsidR="00B24799" w:rsidRPr="008A0924" w14:paraId="7EC51E1B" w14:textId="77777777" w:rsidTr="004966C6">
        <w:tc>
          <w:tcPr>
            <w:tcW w:w="4320" w:type="dxa"/>
            <w:vMerge w:val="restart"/>
            <w:tcBorders>
              <w:top w:val="single" w:sz="4" w:space="0" w:color="000000" w:themeColor="text1"/>
            </w:tcBorders>
            <w:vAlign w:val="center"/>
          </w:tcPr>
          <w:p w14:paraId="481808CB" w14:textId="77777777" w:rsidR="00B24799" w:rsidRDefault="00B24799" w:rsidP="00B24799">
            <w:pPr>
              <w:pStyle w:val="TableText0"/>
              <w:spacing w:before="0" w:after="0"/>
              <w:ind w:left="375" w:hanging="85"/>
            </w:pPr>
            <w:r>
              <w:t>CyanoHAB toxin concentration in tissue</w:t>
            </w:r>
          </w:p>
        </w:tc>
        <w:tc>
          <w:tcPr>
            <w:tcW w:w="1260" w:type="dxa"/>
            <w:tcBorders>
              <w:top w:val="single" w:sz="4" w:space="0" w:color="000000" w:themeColor="text1"/>
              <w:bottom w:val="single" w:sz="4" w:space="0" w:color="000000" w:themeColor="text1"/>
            </w:tcBorders>
          </w:tcPr>
          <w:p w14:paraId="5D162D0F" w14:textId="77777777" w:rsidR="00B24799" w:rsidRPr="00870DCF" w:rsidRDefault="00B24799" w:rsidP="00B24799">
            <w:pPr>
              <w:pStyle w:val="TableText0"/>
              <w:spacing w:before="0" w:after="0"/>
              <w:jc w:val="center"/>
            </w:pPr>
            <w:r w:rsidRPr="00870DCF">
              <w:t>Primary</w:t>
            </w:r>
          </w:p>
        </w:tc>
        <w:tc>
          <w:tcPr>
            <w:tcW w:w="1260" w:type="dxa"/>
            <w:tcBorders>
              <w:top w:val="single" w:sz="4" w:space="0" w:color="000000" w:themeColor="text1"/>
              <w:bottom w:val="single" w:sz="4" w:space="0" w:color="000000" w:themeColor="text1"/>
            </w:tcBorders>
          </w:tcPr>
          <w:p w14:paraId="36CB8612" w14:textId="77777777" w:rsidR="00B24799" w:rsidRPr="00870DCF" w:rsidRDefault="00B24799" w:rsidP="00B24799">
            <w:pPr>
              <w:pStyle w:val="TableText0"/>
              <w:spacing w:before="0" w:after="0"/>
              <w:jc w:val="center"/>
            </w:pPr>
            <w:r w:rsidRPr="00870DCF">
              <w:t>H</w:t>
            </w:r>
          </w:p>
        </w:tc>
        <w:tc>
          <w:tcPr>
            <w:tcW w:w="2520" w:type="dxa"/>
            <w:tcBorders>
              <w:top w:val="single" w:sz="4" w:space="0" w:color="000000" w:themeColor="text1"/>
              <w:bottom w:val="single" w:sz="4" w:space="0" w:color="000000" w:themeColor="text1"/>
            </w:tcBorders>
          </w:tcPr>
          <w:p w14:paraId="38E3306A" w14:textId="77777777" w:rsidR="00B24799" w:rsidRPr="00870DCF" w:rsidRDefault="00B24799" w:rsidP="00B24799">
            <w:pPr>
              <w:pStyle w:val="TableText0"/>
              <w:spacing w:before="0" w:after="0"/>
              <w:jc w:val="center"/>
            </w:pPr>
          </w:p>
        </w:tc>
      </w:tr>
      <w:tr w:rsidR="00B24799" w:rsidRPr="008A0924" w14:paraId="765900EF" w14:textId="77777777" w:rsidTr="004966C6">
        <w:tc>
          <w:tcPr>
            <w:tcW w:w="4320" w:type="dxa"/>
            <w:vMerge/>
            <w:tcBorders>
              <w:bottom w:val="single" w:sz="4" w:space="0" w:color="000000" w:themeColor="text1"/>
            </w:tcBorders>
            <w:vAlign w:val="center"/>
          </w:tcPr>
          <w:p w14:paraId="6B20FC93" w14:textId="77777777" w:rsidR="00B24799" w:rsidRDefault="00B24799" w:rsidP="00B24799">
            <w:pPr>
              <w:pStyle w:val="TableText0"/>
              <w:spacing w:before="0" w:after="0"/>
              <w:ind w:left="375" w:hanging="85"/>
            </w:pPr>
          </w:p>
        </w:tc>
        <w:tc>
          <w:tcPr>
            <w:tcW w:w="1260" w:type="dxa"/>
            <w:tcBorders>
              <w:top w:val="single" w:sz="4" w:space="0" w:color="000000" w:themeColor="text1"/>
              <w:bottom w:val="single" w:sz="4" w:space="0" w:color="000000" w:themeColor="text1"/>
            </w:tcBorders>
          </w:tcPr>
          <w:p w14:paraId="6B867C86" w14:textId="77777777" w:rsidR="00B24799" w:rsidRPr="00870DCF" w:rsidRDefault="00B24799" w:rsidP="00B24799">
            <w:pPr>
              <w:pStyle w:val="TableText0"/>
              <w:spacing w:before="0" w:after="0"/>
              <w:jc w:val="center"/>
            </w:pPr>
            <w:r>
              <w:t>Supporting</w:t>
            </w:r>
          </w:p>
        </w:tc>
        <w:tc>
          <w:tcPr>
            <w:tcW w:w="1260" w:type="dxa"/>
            <w:tcBorders>
              <w:top w:val="single" w:sz="4" w:space="0" w:color="000000" w:themeColor="text1"/>
              <w:bottom w:val="single" w:sz="4" w:space="0" w:color="000000" w:themeColor="text1"/>
            </w:tcBorders>
          </w:tcPr>
          <w:p w14:paraId="21641AE4" w14:textId="77777777" w:rsidR="00B24799" w:rsidRPr="00870DCF" w:rsidRDefault="00B24799" w:rsidP="00B24799">
            <w:pPr>
              <w:pStyle w:val="TableText0"/>
              <w:spacing w:before="0" w:after="0"/>
              <w:jc w:val="center"/>
            </w:pPr>
            <w:r>
              <w:t>AL</w:t>
            </w:r>
          </w:p>
        </w:tc>
        <w:tc>
          <w:tcPr>
            <w:tcW w:w="2520" w:type="dxa"/>
            <w:tcBorders>
              <w:top w:val="single" w:sz="4" w:space="0" w:color="000000" w:themeColor="text1"/>
              <w:bottom w:val="single" w:sz="4" w:space="0" w:color="000000" w:themeColor="text1"/>
            </w:tcBorders>
          </w:tcPr>
          <w:p w14:paraId="18685A32" w14:textId="77777777" w:rsidR="00B24799" w:rsidRDefault="00B24799" w:rsidP="00B24799">
            <w:pPr>
              <w:pStyle w:val="TableText0"/>
              <w:spacing w:before="0" w:after="0"/>
              <w:jc w:val="center"/>
            </w:pPr>
          </w:p>
        </w:tc>
      </w:tr>
      <w:tr w:rsidR="00B24799" w:rsidRPr="00852BC2" w14:paraId="29C7A488" w14:textId="77777777" w:rsidTr="004966C6">
        <w:tc>
          <w:tcPr>
            <w:tcW w:w="4320" w:type="dxa"/>
            <w:tcBorders>
              <w:top w:val="single" w:sz="4" w:space="0" w:color="000000" w:themeColor="text1"/>
              <w:bottom w:val="single" w:sz="4" w:space="0" w:color="000000" w:themeColor="text1"/>
            </w:tcBorders>
            <w:vAlign w:val="center"/>
          </w:tcPr>
          <w:p w14:paraId="4F85C9AF" w14:textId="77777777" w:rsidR="00B24799" w:rsidRPr="00852BC2" w:rsidRDefault="00B24799" w:rsidP="00B24799">
            <w:pPr>
              <w:pStyle w:val="TableText0"/>
              <w:spacing w:before="0" w:after="0"/>
              <w:ind w:left="375" w:hanging="85"/>
            </w:pPr>
            <w:r w:rsidRPr="00852BC2">
              <w:t xml:space="preserve">SPATT </w:t>
            </w:r>
            <w:r>
              <w:t>t</w:t>
            </w:r>
            <w:r w:rsidRPr="00852BC2">
              <w:t>oxin concentration</w:t>
            </w:r>
          </w:p>
        </w:tc>
        <w:tc>
          <w:tcPr>
            <w:tcW w:w="1260" w:type="dxa"/>
            <w:tcBorders>
              <w:top w:val="single" w:sz="4" w:space="0" w:color="000000" w:themeColor="text1"/>
              <w:bottom w:val="single" w:sz="4" w:space="0" w:color="000000" w:themeColor="text1"/>
            </w:tcBorders>
          </w:tcPr>
          <w:p w14:paraId="5A9717F6" w14:textId="77777777" w:rsidR="00B24799" w:rsidRPr="00870DCF" w:rsidRDefault="00B24799" w:rsidP="00B24799">
            <w:pPr>
              <w:pStyle w:val="TableText0"/>
              <w:spacing w:before="0" w:after="0"/>
              <w:jc w:val="center"/>
            </w:pPr>
            <w:r w:rsidRPr="00870DCF">
              <w:t>Supporting</w:t>
            </w:r>
          </w:p>
        </w:tc>
        <w:tc>
          <w:tcPr>
            <w:tcW w:w="1260" w:type="dxa"/>
            <w:tcBorders>
              <w:top w:val="single" w:sz="4" w:space="0" w:color="000000" w:themeColor="text1"/>
              <w:bottom w:val="single" w:sz="4" w:space="0" w:color="000000" w:themeColor="text1"/>
            </w:tcBorders>
          </w:tcPr>
          <w:p w14:paraId="717F2CF4" w14:textId="77777777" w:rsidR="00B24799" w:rsidRPr="00870DCF" w:rsidRDefault="00B24799" w:rsidP="00B24799">
            <w:pPr>
              <w:pStyle w:val="TableText0"/>
              <w:spacing w:before="0" w:after="0"/>
              <w:jc w:val="center"/>
            </w:pPr>
            <w:r w:rsidRPr="00870DCF">
              <w:t>H, AL</w:t>
            </w:r>
          </w:p>
        </w:tc>
        <w:tc>
          <w:tcPr>
            <w:tcW w:w="2520" w:type="dxa"/>
            <w:tcBorders>
              <w:top w:val="single" w:sz="4" w:space="0" w:color="000000" w:themeColor="text1"/>
              <w:bottom w:val="single" w:sz="4" w:space="0" w:color="000000" w:themeColor="text1"/>
            </w:tcBorders>
          </w:tcPr>
          <w:p w14:paraId="36EC7EC2" w14:textId="77777777" w:rsidR="00B24799" w:rsidRPr="00870DCF" w:rsidRDefault="00B24799" w:rsidP="00B24799">
            <w:pPr>
              <w:pStyle w:val="TableText0"/>
              <w:spacing w:before="0" w:after="0"/>
              <w:jc w:val="center"/>
            </w:pPr>
          </w:p>
        </w:tc>
      </w:tr>
      <w:tr w:rsidR="00B24799" w:rsidRPr="00852BC2" w14:paraId="5B06B8F8" w14:textId="77777777" w:rsidTr="004966C6">
        <w:tc>
          <w:tcPr>
            <w:tcW w:w="4320" w:type="dxa"/>
            <w:tcBorders>
              <w:top w:val="single" w:sz="4" w:space="0" w:color="000000" w:themeColor="text1"/>
              <w:bottom w:val="single" w:sz="4" w:space="0" w:color="000000" w:themeColor="text1"/>
            </w:tcBorders>
            <w:vAlign w:val="center"/>
          </w:tcPr>
          <w:p w14:paraId="6AFFB6E4" w14:textId="77777777" w:rsidR="00B24799" w:rsidRPr="00852BC2" w:rsidRDefault="00B24799" w:rsidP="00B24799">
            <w:pPr>
              <w:pStyle w:val="TableText0"/>
              <w:spacing w:before="0" w:after="0"/>
            </w:pPr>
            <w:r>
              <w:t>Causal (Biostimulatory Substances and Conditions)</w:t>
            </w:r>
          </w:p>
        </w:tc>
        <w:tc>
          <w:tcPr>
            <w:tcW w:w="1260" w:type="dxa"/>
            <w:tcBorders>
              <w:top w:val="single" w:sz="4" w:space="0" w:color="000000" w:themeColor="text1"/>
              <w:bottom w:val="single" w:sz="4" w:space="0" w:color="000000" w:themeColor="text1"/>
            </w:tcBorders>
          </w:tcPr>
          <w:p w14:paraId="6F183F96" w14:textId="77777777" w:rsidR="00B24799" w:rsidRPr="00870DCF" w:rsidRDefault="00B24799" w:rsidP="00B24799">
            <w:pPr>
              <w:pStyle w:val="TableText0"/>
              <w:spacing w:before="0" w:after="0"/>
              <w:jc w:val="center"/>
            </w:pPr>
          </w:p>
        </w:tc>
        <w:tc>
          <w:tcPr>
            <w:tcW w:w="1260" w:type="dxa"/>
            <w:tcBorders>
              <w:top w:val="single" w:sz="4" w:space="0" w:color="000000" w:themeColor="text1"/>
              <w:bottom w:val="single" w:sz="4" w:space="0" w:color="000000" w:themeColor="text1"/>
            </w:tcBorders>
          </w:tcPr>
          <w:p w14:paraId="104C59F4" w14:textId="77777777" w:rsidR="00B24799" w:rsidRPr="00870DCF" w:rsidRDefault="00B24799" w:rsidP="00B24799">
            <w:pPr>
              <w:pStyle w:val="TableText0"/>
              <w:spacing w:before="0" w:after="0"/>
              <w:jc w:val="center"/>
            </w:pPr>
          </w:p>
        </w:tc>
        <w:tc>
          <w:tcPr>
            <w:tcW w:w="2520" w:type="dxa"/>
            <w:tcBorders>
              <w:top w:val="single" w:sz="4" w:space="0" w:color="000000" w:themeColor="text1"/>
              <w:bottom w:val="single" w:sz="4" w:space="0" w:color="000000" w:themeColor="text1"/>
            </w:tcBorders>
          </w:tcPr>
          <w:p w14:paraId="5C238DE0" w14:textId="77777777" w:rsidR="00B24799" w:rsidRPr="00870DCF" w:rsidRDefault="00B24799" w:rsidP="00B24799">
            <w:pPr>
              <w:pStyle w:val="TableText0"/>
              <w:spacing w:before="0" w:after="0"/>
              <w:jc w:val="center"/>
            </w:pPr>
          </w:p>
        </w:tc>
      </w:tr>
      <w:tr w:rsidR="00B24799" w:rsidRPr="00852BC2" w14:paraId="6E22C501" w14:textId="77777777" w:rsidTr="004966C6">
        <w:tc>
          <w:tcPr>
            <w:tcW w:w="4320" w:type="dxa"/>
            <w:tcBorders>
              <w:top w:val="single" w:sz="4" w:space="0" w:color="000000" w:themeColor="text1"/>
              <w:bottom w:val="single" w:sz="4" w:space="0" w:color="000000" w:themeColor="text1"/>
            </w:tcBorders>
            <w:vAlign w:val="center"/>
          </w:tcPr>
          <w:p w14:paraId="2BF2DFD5" w14:textId="3FEA94EE" w:rsidR="00B24799" w:rsidRPr="00852BC2" w:rsidRDefault="00B24799" w:rsidP="00B24799">
            <w:pPr>
              <w:pStyle w:val="TableText0"/>
              <w:spacing w:before="0" w:after="0"/>
              <w:ind w:left="290"/>
            </w:pPr>
            <w:r>
              <w:t>Nitrogen, phosphorus and organic matter</w:t>
            </w:r>
          </w:p>
        </w:tc>
        <w:tc>
          <w:tcPr>
            <w:tcW w:w="1260" w:type="dxa"/>
            <w:tcBorders>
              <w:top w:val="single" w:sz="4" w:space="0" w:color="000000" w:themeColor="text1"/>
              <w:bottom w:val="single" w:sz="4" w:space="0" w:color="000000" w:themeColor="text1"/>
            </w:tcBorders>
          </w:tcPr>
          <w:p w14:paraId="1F81AAC6" w14:textId="77777777" w:rsidR="00B24799" w:rsidRPr="00870DCF" w:rsidRDefault="00B24799" w:rsidP="00B24799">
            <w:pPr>
              <w:pStyle w:val="TableText0"/>
              <w:spacing w:before="0" w:after="0"/>
              <w:jc w:val="center"/>
            </w:pPr>
            <w:r>
              <w:t>Primary</w:t>
            </w:r>
          </w:p>
        </w:tc>
        <w:tc>
          <w:tcPr>
            <w:tcW w:w="1260" w:type="dxa"/>
            <w:tcBorders>
              <w:top w:val="single" w:sz="4" w:space="0" w:color="000000" w:themeColor="text1"/>
              <w:bottom w:val="single" w:sz="4" w:space="0" w:color="000000" w:themeColor="text1"/>
            </w:tcBorders>
          </w:tcPr>
          <w:p w14:paraId="4C8130D7" w14:textId="77777777" w:rsidR="00B24799" w:rsidRPr="00870DCF" w:rsidRDefault="00B24799" w:rsidP="00B24799">
            <w:pPr>
              <w:pStyle w:val="TableText0"/>
              <w:spacing w:before="0" w:after="0"/>
              <w:jc w:val="center"/>
            </w:pPr>
            <w:r>
              <w:t>AL, H</w:t>
            </w:r>
          </w:p>
        </w:tc>
        <w:tc>
          <w:tcPr>
            <w:tcW w:w="2520" w:type="dxa"/>
            <w:tcBorders>
              <w:top w:val="single" w:sz="4" w:space="0" w:color="000000" w:themeColor="text1"/>
              <w:bottom w:val="single" w:sz="4" w:space="0" w:color="000000" w:themeColor="text1"/>
            </w:tcBorders>
          </w:tcPr>
          <w:p w14:paraId="133B89D1" w14:textId="77777777" w:rsidR="00B24799" w:rsidRDefault="00B24799" w:rsidP="00B24799">
            <w:pPr>
              <w:pStyle w:val="TableText0"/>
              <w:spacing w:before="0" w:after="0"/>
              <w:jc w:val="center"/>
            </w:pPr>
            <w:r>
              <w:t>Y</w:t>
            </w:r>
          </w:p>
        </w:tc>
      </w:tr>
      <w:tr w:rsidR="00B24799" w:rsidRPr="00852BC2" w14:paraId="430CD4F7" w14:textId="77777777" w:rsidTr="004966C6">
        <w:tc>
          <w:tcPr>
            <w:tcW w:w="4320" w:type="dxa"/>
            <w:tcBorders>
              <w:top w:val="single" w:sz="4" w:space="0" w:color="000000" w:themeColor="text1"/>
              <w:bottom w:val="single" w:sz="4" w:space="0" w:color="000000" w:themeColor="text1"/>
            </w:tcBorders>
            <w:vAlign w:val="center"/>
          </w:tcPr>
          <w:p w14:paraId="46ECAC67" w14:textId="77777777" w:rsidR="00B24799" w:rsidRDefault="00B24799" w:rsidP="00B24799">
            <w:pPr>
              <w:pStyle w:val="TableText0"/>
              <w:spacing w:before="0" w:after="0"/>
              <w:ind w:left="290"/>
            </w:pPr>
            <w:r>
              <w:t>Hydromodification, physical habitat, light, temp.</w:t>
            </w:r>
          </w:p>
        </w:tc>
        <w:tc>
          <w:tcPr>
            <w:tcW w:w="1260" w:type="dxa"/>
            <w:tcBorders>
              <w:top w:val="single" w:sz="4" w:space="0" w:color="000000" w:themeColor="text1"/>
              <w:bottom w:val="single" w:sz="4" w:space="0" w:color="000000" w:themeColor="text1"/>
            </w:tcBorders>
          </w:tcPr>
          <w:p w14:paraId="009EBAC5" w14:textId="77777777" w:rsidR="00B24799" w:rsidRDefault="00B24799" w:rsidP="00B24799">
            <w:pPr>
              <w:pStyle w:val="TableText0"/>
              <w:spacing w:before="0" w:after="0"/>
              <w:jc w:val="center"/>
            </w:pPr>
            <w:r>
              <w:t>Supporting</w:t>
            </w:r>
          </w:p>
        </w:tc>
        <w:tc>
          <w:tcPr>
            <w:tcW w:w="1260" w:type="dxa"/>
            <w:tcBorders>
              <w:top w:val="single" w:sz="4" w:space="0" w:color="000000" w:themeColor="text1"/>
              <w:bottom w:val="single" w:sz="4" w:space="0" w:color="000000" w:themeColor="text1"/>
            </w:tcBorders>
          </w:tcPr>
          <w:p w14:paraId="646FD8C1" w14:textId="77777777" w:rsidR="00B24799" w:rsidRDefault="00B24799" w:rsidP="00B24799">
            <w:pPr>
              <w:pStyle w:val="TableText0"/>
              <w:spacing w:before="0" w:after="0"/>
              <w:jc w:val="center"/>
            </w:pPr>
            <w:r>
              <w:t>H, AL</w:t>
            </w:r>
          </w:p>
        </w:tc>
        <w:tc>
          <w:tcPr>
            <w:tcW w:w="2520" w:type="dxa"/>
            <w:tcBorders>
              <w:top w:val="single" w:sz="4" w:space="0" w:color="000000" w:themeColor="text1"/>
              <w:bottom w:val="single" w:sz="4" w:space="0" w:color="000000" w:themeColor="text1"/>
            </w:tcBorders>
          </w:tcPr>
          <w:p w14:paraId="31DB3F01" w14:textId="77777777" w:rsidR="00B24799" w:rsidRDefault="00B24799" w:rsidP="00B24799">
            <w:pPr>
              <w:pStyle w:val="TableText0"/>
              <w:spacing w:before="0" w:after="0"/>
              <w:jc w:val="center"/>
            </w:pPr>
            <w:r>
              <w:t>Y</w:t>
            </w:r>
          </w:p>
        </w:tc>
      </w:tr>
    </w:tbl>
    <w:p w14:paraId="5E52EC22" w14:textId="77777777" w:rsidR="00B24799" w:rsidRDefault="00B24799" w:rsidP="00B24799">
      <w:pPr>
        <w:spacing w:after="0" w:line="240" w:lineRule="auto"/>
      </w:pPr>
    </w:p>
    <w:p w14:paraId="2E39BD7A" w14:textId="77777777" w:rsidR="00B24799" w:rsidRPr="002C37F9" w:rsidRDefault="00B24799" w:rsidP="004966C6">
      <w:pPr>
        <w:spacing w:after="120"/>
        <w:contextualSpacing/>
        <w:jc w:val="both"/>
      </w:pPr>
      <w:r>
        <w:rPr>
          <w:b/>
        </w:rPr>
        <w:t xml:space="preserve">3. </w:t>
      </w:r>
      <w:r w:rsidRPr="00930847">
        <w:rPr>
          <w:b/>
        </w:rPr>
        <w:t xml:space="preserve">A review of studies conducted in California and elsewhere </w:t>
      </w:r>
      <w:r>
        <w:rPr>
          <w:b/>
        </w:rPr>
        <w:t>produced a range of</w:t>
      </w:r>
      <w:r w:rsidRPr="00930847">
        <w:rPr>
          <w:b/>
        </w:rPr>
        <w:t xml:space="preserve"> biostimulatory thre</w:t>
      </w:r>
      <w:r>
        <w:rPr>
          <w:b/>
        </w:rPr>
        <w:t>s</w:t>
      </w:r>
      <w:r w:rsidRPr="00930847">
        <w:rPr>
          <w:b/>
        </w:rPr>
        <w:t xml:space="preserve">holds </w:t>
      </w:r>
      <w:r>
        <w:rPr>
          <w:b/>
        </w:rPr>
        <w:t xml:space="preserve">that can serve as the basis for Water Board staff decisions on numeric guidance. </w:t>
      </w:r>
      <w:r w:rsidRPr="002C37F9">
        <w:t xml:space="preserve">These thresholds are based </w:t>
      </w:r>
      <w:r>
        <w:t xml:space="preserve">the following relationships </w:t>
      </w:r>
      <w:r w:rsidRPr="002C37F9">
        <w:t xml:space="preserve">(indicators for </w:t>
      </w:r>
      <w:r>
        <w:t>available</w:t>
      </w:r>
      <w:r w:rsidRPr="002C37F9">
        <w:t xml:space="preserve"> thresholds shown in bold)</w:t>
      </w:r>
      <w:r>
        <w:t xml:space="preserve"> </w:t>
      </w:r>
      <w:r w:rsidRPr="002C37F9">
        <w:t>on impacts to aquatic life related uses</w:t>
      </w:r>
      <w:r>
        <w:t>:</w:t>
      </w:r>
    </w:p>
    <w:p w14:paraId="7826C516" w14:textId="77777777" w:rsidR="00B24799" w:rsidRPr="000D61DA" w:rsidRDefault="00B24799" w:rsidP="004966C6">
      <w:pPr>
        <w:pStyle w:val="ListParagraph"/>
        <w:numPr>
          <w:ilvl w:val="0"/>
          <w:numId w:val="12"/>
        </w:numPr>
        <w:spacing w:after="120"/>
        <w:rPr>
          <w:b/>
        </w:rPr>
      </w:pPr>
      <w:r w:rsidRPr="00C07C27">
        <w:rPr>
          <w:rFonts w:cs="Calibri"/>
          <w:b/>
        </w:rPr>
        <w:t>↑</w:t>
      </w:r>
      <w:r w:rsidRPr="00C07C27">
        <w:rPr>
          <w:b/>
        </w:rPr>
        <w:t xml:space="preserve"> TN, TN, Benthic Chl-a, </w:t>
      </w:r>
      <w:r>
        <w:rPr>
          <w:b/>
        </w:rPr>
        <w:t xml:space="preserve">and </w:t>
      </w:r>
      <w:r w:rsidRPr="00C07C27">
        <w:rPr>
          <w:b/>
        </w:rPr>
        <w:t>AFDM</w:t>
      </w:r>
      <w:r>
        <w:t xml:space="preserve"> </w:t>
      </w:r>
      <w:r w:rsidRPr="00C07C27">
        <w:rPr>
          <w:rFonts w:cs="Calibri"/>
        </w:rPr>
        <w:t>↓</w:t>
      </w:r>
      <w:r>
        <w:t xml:space="preserve"> </w:t>
      </w:r>
      <w:r w:rsidRPr="00B238FC">
        <w:rPr>
          <w:i/>
        </w:rPr>
        <w:t>Algal</w:t>
      </w:r>
      <w:r>
        <w:rPr>
          <w:i/>
        </w:rPr>
        <w:t>,</w:t>
      </w:r>
      <w:r w:rsidRPr="00B238FC">
        <w:rPr>
          <w:i/>
        </w:rPr>
        <w:t xml:space="preserve"> BMI Community Integrity</w:t>
      </w:r>
    </w:p>
    <w:p w14:paraId="0263E00C" w14:textId="77777777" w:rsidR="00B24799" w:rsidRPr="00C07C27" w:rsidRDefault="00B24799" w:rsidP="004966C6">
      <w:pPr>
        <w:pStyle w:val="ListParagraph"/>
        <w:numPr>
          <w:ilvl w:val="0"/>
          <w:numId w:val="12"/>
        </w:numPr>
        <w:spacing w:after="120"/>
        <w:rPr>
          <w:b/>
        </w:rPr>
      </w:pPr>
      <w:r w:rsidRPr="00C07C27">
        <w:rPr>
          <w:rFonts w:cs="Calibri"/>
          <w:b/>
        </w:rPr>
        <w:t>↑</w:t>
      </w:r>
      <w:r w:rsidRPr="00C07C27">
        <w:rPr>
          <w:b/>
        </w:rPr>
        <w:t xml:space="preserve"> TN, TN, </w:t>
      </w:r>
      <w:r>
        <w:rPr>
          <w:b/>
        </w:rPr>
        <w:t>Sestonic Chl-a</w:t>
      </w:r>
      <w:r>
        <w:t xml:space="preserve"> </w:t>
      </w:r>
      <w:r w:rsidRPr="00C07C27">
        <w:rPr>
          <w:rFonts w:cs="Calibri"/>
        </w:rPr>
        <w:t>↓</w:t>
      </w:r>
      <w:r>
        <w:t xml:space="preserve"> </w:t>
      </w:r>
      <w:r w:rsidRPr="00B238FC">
        <w:rPr>
          <w:i/>
        </w:rPr>
        <w:t>Algal</w:t>
      </w:r>
      <w:r>
        <w:rPr>
          <w:i/>
        </w:rPr>
        <w:t>,</w:t>
      </w:r>
      <w:r w:rsidRPr="00B238FC">
        <w:rPr>
          <w:i/>
        </w:rPr>
        <w:t xml:space="preserve"> BMI</w:t>
      </w:r>
      <w:r>
        <w:rPr>
          <w:i/>
        </w:rPr>
        <w:t>, Fish</w:t>
      </w:r>
      <w:r w:rsidRPr="00B238FC">
        <w:rPr>
          <w:i/>
        </w:rPr>
        <w:t xml:space="preserve"> Community Integrity</w:t>
      </w:r>
    </w:p>
    <w:p w14:paraId="4C96D3FF" w14:textId="77777777" w:rsidR="00B24799" w:rsidRPr="00B238FC" w:rsidRDefault="00B24799" w:rsidP="004966C6">
      <w:pPr>
        <w:pStyle w:val="ListParagraph"/>
        <w:numPr>
          <w:ilvl w:val="0"/>
          <w:numId w:val="12"/>
        </w:numPr>
        <w:spacing w:after="120"/>
      </w:pPr>
      <w:r w:rsidRPr="00C07C27">
        <w:rPr>
          <w:rFonts w:cs="Calibri"/>
          <w:b/>
        </w:rPr>
        <w:t>↓</w:t>
      </w:r>
      <w:r w:rsidRPr="00C07C27">
        <w:rPr>
          <w:b/>
        </w:rPr>
        <w:t xml:space="preserve"> DO</w:t>
      </w:r>
      <w:r>
        <w:t xml:space="preserve"> </w:t>
      </w:r>
      <w:r w:rsidRPr="00C07C27">
        <w:rPr>
          <w:rFonts w:cs="Calibri"/>
        </w:rPr>
        <w:t>↓</w:t>
      </w:r>
      <w:r>
        <w:t xml:space="preserve"> </w:t>
      </w:r>
      <w:r w:rsidRPr="00B238FC">
        <w:rPr>
          <w:i/>
        </w:rPr>
        <w:t>Fish</w:t>
      </w:r>
      <w:r>
        <w:rPr>
          <w:i/>
        </w:rPr>
        <w:t xml:space="preserve"> and Invertebrate Physiological and Lethal Impacts</w:t>
      </w:r>
      <w:r w:rsidRPr="00B238FC">
        <w:rPr>
          <w:i/>
        </w:rPr>
        <w:t>, BMI Community Integrity</w:t>
      </w:r>
    </w:p>
    <w:p w14:paraId="514FBAD9" w14:textId="77777777" w:rsidR="00B24799" w:rsidRDefault="00B24799" w:rsidP="004966C6">
      <w:pPr>
        <w:pStyle w:val="ListParagraph"/>
        <w:numPr>
          <w:ilvl w:val="0"/>
          <w:numId w:val="12"/>
        </w:numPr>
        <w:spacing w:after="120"/>
      </w:pPr>
      <w:r w:rsidRPr="00C07C27">
        <w:rPr>
          <w:rFonts w:cs="Calibri"/>
          <w:b/>
        </w:rPr>
        <w:t>↑</w:t>
      </w:r>
      <w:r w:rsidRPr="00C07C27">
        <w:rPr>
          <w:b/>
        </w:rPr>
        <w:t xml:space="preserve"> </w:t>
      </w:r>
      <w:r>
        <w:rPr>
          <w:b/>
        </w:rPr>
        <w:t>pH Range</w:t>
      </w:r>
      <w:r>
        <w:t xml:space="preserve"> </w:t>
      </w:r>
      <w:r w:rsidRPr="00C07C27">
        <w:rPr>
          <w:rFonts w:cs="Calibri"/>
        </w:rPr>
        <w:t>↓</w:t>
      </w:r>
      <w:r>
        <w:t xml:space="preserve"> </w:t>
      </w:r>
      <w:r w:rsidRPr="00B238FC">
        <w:rPr>
          <w:i/>
        </w:rPr>
        <w:t>Fish</w:t>
      </w:r>
      <w:r>
        <w:rPr>
          <w:i/>
        </w:rPr>
        <w:t xml:space="preserve"> and Invertebrate Physiological and Lethal Impacts</w:t>
      </w:r>
    </w:p>
    <w:p w14:paraId="7AC0062C" w14:textId="04345924" w:rsidR="00B24799" w:rsidRPr="00C07C27" w:rsidRDefault="00B24799" w:rsidP="004966C6">
      <w:pPr>
        <w:pStyle w:val="ListParagraph"/>
        <w:numPr>
          <w:ilvl w:val="0"/>
          <w:numId w:val="12"/>
        </w:numPr>
        <w:spacing w:after="120"/>
        <w:rPr>
          <w:b/>
        </w:rPr>
      </w:pPr>
      <w:r w:rsidRPr="00C07C27">
        <w:rPr>
          <w:rFonts w:cs="Calibri"/>
          <w:b/>
        </w:rPr>
        <w:t>↑</w:t>
      </w:r>
      <w:r w:rsidRPr="00C07C27">
        <w:rPr>
          <w:b/>
        </w:rPr>
        <w:t xml:space="preserve"> TN, TN</w:t>
      </w:r>
      <w:r w:rsidRPr="000D61DA">
        <w:t>, Benthic Chl-a</w:t>
      </w:r>
      <w:r w:rsidRPr="00C07C27">
        <w:rPr>
          <w:rFonts w:cs="Calibri"/>
          <w:b/>
        </w:rPr>
        <w:t>↑</w:t>
      </w:r>
      <w:r w:rsidRPr="00C07C27">
        <w:rPr>
          <w:b/>
        </w:rPr>
        <w:t xml:space="preserve"> DO Diel Variability </w:t>
      </w:r>
      <w:r w:rsidRPr="00C07C27">
        <w:rPr>
          <w:rFonts w:cs="Calibri"/>
        </w:rPr>
        <w:t>↓</w:t>
      </w:r>
      <w:r>
        <w:t xml:space="preserve"> </w:t>
      </w:r>
      <w:r>
        <w:rPr>
          <w:i/>
        </w:rPr>
        <w:t xml:space="preserve">Fish, Algal, </w:t>
      </w:r>
      <w:r w:rsidRPr="00B238FC">
        <w:rPr>
          <w:i/>
        </w:rPr>
        <w:t>BMI Community Integrity</w:t>
      </w:r>
    </w:p>
    <w:p w14:paraId="33B9C30A" w14:textId="77777777" w:rsidR="00B24799" w:rsidRPr="007D134C" w:rsidRDefault="00B24799" w:rsidP="004966C6">
      <w:pPr>
        <w:pStyle w:val="ListParagraph"/>
        <w:numPr>
          <w:ilvl w:val="0"/>
          <w:numId w:val="12"/>
        </w:numPr>
        <w:spacing w:after="120"/>
        <w:rPr>
          <w:b/>
        </w:rPr>
      </w:pPr>
      <w:r w:rsidRPr="00C07C27">
        <w:rPr>
          <w:rFonts w:cs="Calibri"/>
          <w:b/>
        </w:rPr>
        <w:t>↑</w:t>
      </w:r>
      <w:r w:rsidRPr="000D61DA">
        <w:t xml:space="preserve"> TN TP, Sestonic Chl-a</w:t>
      </w:r>
      <w:r>
        <w:t xml:space="preserve"> </w:t>
      </w:r>
      <w:r w:rsidRPr="00C07C27">
        <w:rPr>
          <w:rFonts w:cs="Calibri"/>
          <w:b/>
        </w:rPr>
        <w:t>↑</w:t>
      </w:r>
      <w:r w:rsidRPr="00C07C27">
        <w:rPr>
          <w:b/>
        </w:rPr>
        <w:t xml:space="preserve"> Cyanotoxins</w:t>
      </w:r>
      <w:r>
        <w:t xml:space="preserve"> </w:t>
      </w:r>
      <w:r w:rsidRPr="00C07C27">
        <w:rPr>
          <w:rFonts w:cs="Calibri"/>
          <w:b/>
        </w:rPr>
        <w:t>↑</w:t>
      </w:r>
      <w:r>
        <w:t xml:space="preserve"> </w:t>
      </w:r>
      <w:r w:rsidRPr="00B238FC">
        <w:rPr>
          <w:i/>
        </w:rPr>
        <w:t xml:space="preserve">Fish, Algal, BMI, Wildlife </w:t>
      </w:r>
      <w:r>
        <w:rPr>
          <w:i/>
        </w:rPr>
        <w:t>Physiological/Lethal Impacts</w:t>
      </w:r>
    </w:p>
    <w:p w14:paraId="787C369D" w14:textId="77777777" w:rsidR="00B24799" w:rsidRDefault="00B24799" w:rsidP="004966C6">
      <w:pPr>
        <w:pStyle w:val="ListParagraph"/>
        <w:spacing w:after="120"/>
        <w:ind w:left="0"/>
        <w:jc w:val="both"/>
      </w:pPr>
      <w:r>
        <w:t>And to human uses:</w:t>
      </w:r>
    </w:p>
    <w:p w14:paraId="50481906" w14:textId="3599F062" w:rsidR="00B24799" w:rsidRPr="006E7717" w:rsidRDefault="00B24799" w:rsidP="004966C6">
      <w:pPr>
        <w:pStyle w:val="ListParagraph"/>
        <w:numPr>
          <w:ilvl w:val="0"/>
          <w:numId w:val="12"/>
        </w:numPr>
        <w:spacing w:after="120"/>
        <w:rPr>
          <w:b/>
        </w:rPr>
      </w:pPr>
      <w:r w:rsidRPr="00C07C27">
        <w:rPr>
          <w:rFonts w:cs="Calibri"/>
          <w:b/>
        </w:rPr>
        <w:t>↑</w:t>
      </w:r>
      <w:r w:rsidRPr="00C07C27">
        <w:rPr>
          <w:b/>
        </w:rPr>
        <w:t xml:space="preserve"> </w:t>
      </w:r>
      <w:r>
        <w:rPr>
          <w:b/>
        </w:rPr>
        <w:t xml:space="preserve">TN TP Sestonic Chl-a </w:t>
      </w:r>
      <w:r w:rsidRPr="00C07C27">
        <w:rPr>
          <w:rFonts w:cs="Calibri"/>
          <w:b/>
        </w:rPr>
        <w:t>↑</w:t>
      </w:r>
      <w:r>
        <w:rPr>
          <w:rFonts w:cs="Calibri"/>
          <w:b/>
        </w:rPr>
        <w:t xml:space="preserve"> </w:t>
      </w:r>
      <w:r w:rsidRPr="00C07C27">
        <w:rPr>
          <w:b/>
        </w:rPr>
        <w:t>Cyanotoxins</w:t>
      </w:r>
      <w:r>
        <w:t xml:space="preserve"> </w:t>
      </w:r>
      <w:r w:rsidRPr="00C07C27">
        <w:rPr>
          <w:rFonts w:cs="Calibri"/>
        </w:rPr>
        <w:t>↓</w:t>
      </w:r>
      <w:r>
        <w:rPr>
          <w:i/>
        </w:rPr>
        <w:t xml:space="preserve"> Drinking Water Source Quality, </w:t>
      </w:r>
      <w:r w:rsidR="004966C6">
        <w:rPr>
          <w:i/>
        </w:rPr>
        <w:t>REC1,</w:t>
      </w:r>
      <w:r>
        <w:rPr>
          <w:i/>
        </w:rPr>
        <w:t xml:space="preserve"> Food Safety</w:t>
      </w:r>
    </w:p>
    <w:p w14:paraId="78F4DBE9" w14:textId="28B4320C" w:rsidR="00B24799" w:rsidRPr="00C07C27" w:rsidRDefault="00B24799" w:rsidP="004966C6">
      <w:pPr>
        <w:pStyle w:val="ListParagraph"/>
        <w:numPr>
          <w:ilvl w:val="0"/>
          <w:numId w:val="12"/>
        </w:numPr>
        <w:spacing w:after="120"/>
        <w:rPr>
          <w:b/>
        </w:rPr>
      </w:pPr>
      <w:r w:rsidRPr="00C07C27">
        <w:rPr>
          <w:rFonts w:cs="Calibri"/>
          <w:b/>
        </w:rPr>
        <w:t>↑</w:t>
      </w:r>
      <w:r w:rsidRPr="00C07C27">
        <w:rPr>
          <w:b/>
        </w:rPr>
        <w:t xml:space="preserve"> </w:t>
      </w:r>
      <w:r>
        <w:rPr>
          <w:b/>
        </w:rPr>
        <w:t xml:space="preserve">Macroalgal % Cover, Benthic Chl-a </w:t>
      </w:r>
      <w:r w:rsidRPr="00C07C27">
        <w:rPr>
          <w:rFonts w:cs="Calibri"/>
        </w:rPr>
        <w:t>↓</w:t>
      </w:r>
      <w:r>
        <w:t xml:space="preserve"> </w:t>
      </w:r>
      <w:r w:rsidR="004966C6">
        <w:rPr>
          <w:i/>
        </w:rPr>
        <w:t>REC2</w:t>
      </w:r>
    </w:p>
    <w:p w14:paraId="64A56697" w14:textId="77777777" w:rsidR="00B24799" w:rsidRPr="00BF7FD0" w:rsidRDefault="00B24799" w:rsidP="004966C6">
      <w:pPr>
        <w:pStyle w:val="ListParagraph"/>
        <w:numPr>
          <w:ilvl w:val="0"/>
          <w:numId w:val="12"/>
        </w:numPr>
        <w:spacing w:after="120"/>
        <w:rPr>
          <w:b/>
        </w:rPr>
      </w:pPr>
      <w:r w:rsidRPr="00BF7FD0">
        <w:rPr>
          <w:rFonts w:cs="Calibri"/>
          <w:b/>
        </w:rPr>
        <w:t>↑</w:t>
      </w:r>
      <w:r w:rsidRPr="00BF7FD0">
        <w:rPr>
          <w:b/>
        </w:rPr>
        <w:t xml:space="preserve"> DOC and Trihalomethanes</w:t>
      </w:r>
      <w:r w:rsidRPr="00BF7FD0">
        <w:rPr>
          <w:rFonts w:cs="Calibri"/>
        </w:rPr>
        <w:t>↓</w:t>
      </w:r>
      <w:r>
        <w:t xml:space="preserve"> </w:t>
      </w:r>
      <w:r w:rsidRPr="00BF7FD0">
        <w:rPr>
          <w:i/>
        </w:rPr>
        <w:t xml:space="preserve">Drinking Water </w:t>
      </w:r>
      <w:r>
        <w:rPr>
          <w:i/>
        </w:rPr>
        <w:t>Source Quality</w:t>
      </w:r>
      <w:r w:rsidRPr="00BF7FD0">
        <w:rPr>
          <w:rFonts w:cs="Calibri"/>
          <w:i/>
        </w:rPr>
        <w:t>↑ Water Treatment Cost</w:t>
      </w:r>
    </w:p>
    <w:p w14:paraId="385D8CE4" w14:textId="77777777" w:rsidR="00B24799" w:rsidRDefault="00B24799" w:rsidP="00B24799">
      <w:pPr>
        <w:spacing w:line="23" w:lineRule="atLeast"/>
      </w:pPr>
      <w:r>
        <w:t xml:space="preserve">The numeric values of those thresholds depend on pathway of impact, risk tolerance, aquatic life or human use protection endpoints and source data. DO and pH objectives are found in each of the </w:t>
      </w:r>
      <w:r>
        <w:lastRenderedPageBreak/>
        <w:t xml:space="preserve">Regional Board basin plans; while CCHAB and the State Water Board staff are coordinating guidance for cyanoHAB cell density and toxin concentrations. We defer to that group for the basis of guidance. Among the strongest evidence are thresholds derived from protection endpoints for bioassessment indices for benthic macroinvertebrate (BMI; California Stream Condition Index -CSCI) and algae (algal stream condition index-ASCI), summarized for a selected confidence level, in the table below.  </w:t>
      </w:r>
    </w:p>
    <w:p w14:paraId="77F2DF17" w14:textId="68BC977F" w:rsidR="00B24799" w:rsidRPr="0024050F" w:rsidRDefault="00B24799" w:rsidP="00B24799">
      <w:pPr>
        <w:spacing w:after="0" w:line="240" w:lineRule="auto"/>
        <w:rPr>
          <w:b/>
        </w:rPr>
      </w:pPr>
      <w:r w:rsidRPr="0024050F">
        <w:rPr>
          <w:b/>
        </w:rPr>
        <w:t>Range of TN, TP thresholds, Benthic Chl-a, AFDM associated with protection of CSCI and ASCI_H at a relative probability of 90% confidence, at varying levels of percentile of reference, from 30</w:t>
      </w:r>
      <w:r w:rsidRPr="0024050F">
        <w:rPr>
          <w:b/>
          <w:vertAlign w:val="superscript"/>
        </w:rPr>
        <w:t>th</w:t>
      </w:r>
      <w:r w:rsidRPr="0024050F">
        <w:rPr>
          <w:b/>
        </w:rPr>
        <w:t xml:space="preserve"> to 1</w:t>
      </w:r>
      <w:r w:rsidRPr="0024050F">
        <w:rPr>
          <w:b/>
          <w:vertAlign w:val="superscript"/>
        </w:rPr>
        <w:t>st</w:t>
      </w:r>
      <w:r w:rsidRPr="0024050F">
        <w:rPr>
          <w:b/>
        </w:rPr>
        <w:t xml:space="preserve">. compared to reference distribution and taxon-specific changepoints for eutrophication factors. </w:t>
      </w:r>
    </w:p>
    <w:tbl>
      <w:tblPr>
        <w:tblStyle w:val="LightShading1"/>
        <w:tblW w:w="0" w:type="auto"/>
        <w:tblLook w:val="06A0" w:firstRow="1" w:lastRow="0" w:firstColumn="1" w:lastColumn="0" w:noHBand="1" w:noVBand="1"/>
      </w:tblPr>
      <w:tblGrid>
        <w:gridCol w:w="3445"/>
        <w:gridCol w:w="877"/>
        <w:gridCol w:w="849"/>
        <w:gridCol w:w="681"/>
        <w:gridCol w:w="782"/>
      </w:tblGrid>
      <w:tr w:rsidR="00B24799" w14:paraId="23D9FD12" w14:textId="77777777" w:rsidTr="00B24799">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B657482" w14:textId="77777777" w:rsidR="00B24799" w:rsidRDefault="00B24799" w:rsidP="00B24799">
            <w:pPr>
              <w:spacing w:after="0" w:line="240" w:lineRule="auto"/>
            </w:pPr>
            <w:r>
              <w:t>Benchmark</w:t>
            </w:r>
          </w:p>
        </w:tc>
        <w:tc>
          <w:tcPr>
            <w:tcW w:w="0" w:type="auto"/>
            <w:noWrap/>
            <w:hideMark/>
          </w:tcPr>
          <w:p w14:paraId="3E338282" w14:textId="77777777" w:rsidR="00B24799" w:rsidRDefault="00B24799" w:rsidP="00B24799">
            <w:pPr>
              <w:spacing w:after="0" w:line="240" w:lineRule="auto"/>
              <w:cnfStyle w:val="100000000000" w:firstRow="1" w:lastRow="0" w:firstColumn="0" w:lastColumn="0" w:oddVBand="0" w:evenVBand="0" w:oddHBand="0" w:evenHBand="0" w:firstRowFirstColumn="0" w:firstRowLastColumn="0" w:lastRowFirstColumn="0" w:lastRowLastColumn="0"/>
            </w:pPr>
            <w:r>
              <w:t>Total N</w:t>
            </w:r>
          </w:p>
        </w:tc>
        <w:tc>
          <w:tcPr>
            <w:tcW w:w="0" w:type="auto"/>
            <w:noWrap/>
            <w:hideMark/>
          </w:tcPr>
          <w:p w14:paraId="5922828D" w14:textId="77777777" w:rsidR="00B24799" w:rsidRDefault="00B24799" w:rsidP="00B24799">
            <w:pPr>
              <w:spacing w:after="0" w:line="240" w:lineRule="auto"/>
              <w:cnfStyle w:val="100000000000" w:firstRow="1" w:lastRow="0" w:firstColumn="0" w:lastColumn="0" w:oddVBand="0" w:evenVBand="0" w:oddHBand="0" w:evenHBand="0" w:firstRowFirstColumn="0" w:firstRowLastColumn="0" w:lastRowFirstColumn="0" w:lastRowLastColumn="0"/>
            </w:pPr>
            <w:r>
              <w:t>Total P</w:t>
            </w:r>
          </w:p>
        </w:tc>
        <w:tc>
          <w:tcPr>
            <w:tcW w:w="0" w:type="auto"/>
            <w:noWrap/>
            <w:hideMark/>
          </w:tcPr>
          <w:p w14:paraId="1BF74673" w14:textId="77777777" w:rsidR="00B24799" w:rsidRDefault="00B24799" w:rsidP="00B24799">
            <w:pPr>
              <w:spacing w:after="0" w:line="240" w:lineRule="auto"/>
              <w:cnfStyle w:val="100000000000" w:firstRow="1" w:lastRow="0" w:firstColumn="0" w:lastColumn="0" w:oddVBand="0" w:evenVBand="0" w:oddHBand="0" w:evenHBand="0" w:firstRowFirstColumn="0" w:firstRowLastColumn="0" w:lastRowFirstColumn="0" w:lastRowLastColumn="0"/>
            </w:pPr>
            <w:r>
              <w:t>Chl-a</w:t>
            </w:r>
          </w:p>
        </w:tc>
        <w:tc>
          <w:tcPr>
            <w:tcW w:w="0" w:type="auto"/>
            <w:noWrap/>
            <w:hideMark/>
          </w:tcPr>
          <w:p w14:paraId="78565A7A" w14:textId="77777777" w:rsidR="00B24799" w:rsidRDefault="00B24799" w:rsidP="00B24799">
            <w:pPr>
              <w:spacing w:after="0" w:line="240" w:lineRule="auto"/>
              <w:cnfStyle w:val="100000000000" w:firstRow="1" w:lastRow="0" w:firstColumn="0" w:lastColumn="0" w:oddVBand="0" w:evenVBand="0" w:oddHBand="0" w:evenHBand="0" w:firstRowFirstColumn="0" w:firstRowLastColumn="0" w:lastRowFirstColumn="0" w:lastRowLastColumn="0"/>
            </w:pPr>
            <w:r>
              <w:t>AFDM</w:t>
            </w:r>
          </w:p>
        </w:tc>
      </w:tr>
      <w:tr w:rsidR="00B24799" w14:paraId="5874E73B"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CCE7407" w14:textId="77777777" w:rsidR="00B24799" w:rsidRDefault="00B24799" w:rsidP="00B24799">
            <w:pPr>
              <w:spacing w:after="0" w:line="240" w:lineRule="auto"/>
              <w:rPr>
                <w:i/>
                <w:iCs/>
              </w:rPr>
            </w:pPr>
            <w:r>
              <w:rPr>
                <w:i/>
                <w:iCs/>
              </w:rPr>
              <w:t>Derived thresholds- CSCI</w:t>
            </w:r>
          </w:p>
        </w:tc>
        <w:tc>
          <w:tcPr>
            <w:tcW w:w="0" w:type="auto"/>
            <w:noWrap/>
            <w:hideMark/>
          </w:tcPr>
          <w:p w14:paraId="17461E3E" w14:textId="77777777" w:rsidR="00B24799" w:rsidRPr="009D6BB8" w:rsidRDefault="00B24799" w:rsidP="00B24799">
            <w:pPr>
              <w:spacing w:after="0" w:line="240" w:lineRule="auto"/>
              <w:cnfStyle w:val="000000000000" w:firstRow="0" w:lastRow="0" w:firstColumn="0" w:lastColumn="0" w:oddVBand="0" w:evenVBand="0" w:oddHBand="0" w:evenHBand="0" w:firstRowFirstColumn="0" w:firstRowLastColumn="0" w:lastRowFirstColumn="0" w:lastRowLastColumn="0"/>
              <w:rPr>
                <w:i/>
                <w:iCs/>
                <w:highlight w:val="yellow"/>
              </w:rPr>
            </w:pPr>
          </w:p>
        </w:tc>
        <w:tc>
          <w:tcPr>
            <w:tcW w:w="0" w:type="auto"/>
            <w:noWrap/>
            <w:hideMark/>
          </w:tcPr>
          <w:p w14:paraId="7802E100" w14:textId="77777777" w:rsidR="00B24799" w:rsidRPr="009D6BB8" w:rsidRDefault="00B24799" w:rsidP="00B2479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highlight w:val="yellow"/>
              </w:rPr>
            </w:pPr>
          </w:p>
        </w:tc>
        <w:tc>
          <w:tcPr>
            <w:tcW w:w="0" w:type="auto"/>
            <w:noWrap/>
            <w:hideMark/>
          </w:tcPr>
          <w:p w14:paraId="217EAAD9" w14:textId="77777777" w:rsidR="00B24799" w:rsidRDefault="00B24799" w:rsidP="00B2479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c>
          <w:tcPr>
            <w:tcW w:w="0" w:type="auto"/>
            <w:noWrap/>
            <w:hideMark/>
          </w:tcPr>
          <w:p w14:paraId="136D0566" w14:textId="77777777" w:rsidR="00B24799" w:rsidRDefault="00B24799" w:rsidP="00B2479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r>
      <w:tr w:rsidR="00B24799" w14:paraId="46AF0F95"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7D79FB9" w14:textId="77777777" w:rsidR="00B24799" w:rsidRDefault="00B24799" w:rsidP="00B24799">
            <w:pPr>
              <w:spacing w:after="0" w:line="240" w:lineRule="auto"/>
              <w:rPr>
                <w:rFonts w:eastAsiaTheme="minorHAnsi" w:cs="Calibri"/>
              </w:rPr>
            </w:pPr>
            <w:r>
              <w:t>Eutrophication threshold for Ref30</w:t>
            </w:r>
          </w:p>
        </w:tc>
        <w:tc>
          <w:tcPr>
            <w:tcW w:w="0" w:type="auto"/>
            <w:noWrap/>
            <w:hideMark/>
          </w:tcPr>
          <w:p w14:paraId="46173527" w14:textId="77777777" w:rsidR="00B24799" w:rsidRPr="002E0AC8"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E0AC8">
              <w:rPr>
                <w:rFonts w:asciiTheme="minorHAnsi" w:hAnsiTheme="minorHAnsi" w:cstheme="minorHAnsi"/>
                <w:sz w:val="20"/>
                <w:szCs w:val="20"/>
              </w:rPr>
              <w:t>0.34</w:t>
            </w:r>
          </w:p>
        </w:tc>
        <w:tc>
          <w:tcPr>
            <w:tcW w:w="0" w:type="auto"/>
            <w:noWrap/>
            <w:hideMark/>
          </w:tcPr>
          <w:p w14:paraId="035EF4CF" w14:textId="77777777" w:rsidR="00B24799" w:rsidRPr="002E0AC8"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E0AC8">
              <w:rPr>
                <w:sz w:val="20"/>
                <w:szCs w:val="20"/>
              </w:rPr>
              <w:t>0.024</w:t>
            </w:r>
          </w:p>
        </w:tc>
        <w:tc>
          <w:tcPr>
            <w:tcW w:w="0" w:type="auto"/>
            <w:noWrap/>
            <w:hideMark/>
          </w:tcPr>
          <w:p w14:paraId="6CE2624B" w14:textId="77777777" w:rsidR="00B24799" w:rsidRPr="002E0AC8"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14</w:t>
            </w:r>
          </w:p>
        </w:tc>
        <w:tc>
          <w:tcPr>
            <w:tcW w:w="0" w:type="auto"/>
            <w:noWrap/>
            <w:hideMark/>
          </w:tcPr>
          <w:p w14:paraId="43E1C0D2" w14:textId="77777777" w:rsidR="00B24799" w:rsidRPr="002E0AC8"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12</w:t>
            </w:r>
          </w:p>
        </w:tc>
      </w:tr>
      <w:tr w:rsidR="00B24799" w14:paraId="300A1838"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4F5920F" w14:textId="77777777" w:rsidR="00B24799" w:rsidRDefault="00B24799" w:rsidP="00B24799">
            <w:pPr>
              <w:spacing w:after="0" w:line="240" w:lineRule="auto"/>
              <w:rPr>
                <w:color w:val="FFFFFF"/>
              </w:rPr>
            </w:pPr>
            <w:r>
              <w:rPr>
                <w:color w:val="FFFFFF"/>
              </w:rPr>
              <w:t xml:space="preserve">Eutrophication threshold for </w:t>
            </w:r>
            <w:r>
              <w:t>Ref10</w:t>
            </w:r>
          </w:p>
        </w:tc>
        <w:tc>
          <w:tcPr>
            <w:tcW w:w="0" w:type="auto"/>
            <w:noWrap/>
            <w:hideMark/>
          </w:tcPr>
          <w:p w14:paraId="1BF11581" w14:textId="77777777" w:rsidR="00B24799" w:rsidRPr="002E0AC8"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E0AC8">
              <w:rPr>
                <w:rFonts w:asciiTheme="minorHAnsi" w:hAnsiTheme="minorHAnsi" w:cstheme="minorHAnsi"/>
                <w:sz w:val="20"/>
                <w:szCs w:val="20"/>
              </w:rPr>
              <w:t>0.59</w:t>
            </w:r>
          </w:p>
        </w:tc>
        <w:tc>
          <w:tcPr>
            <w:tcW w:w="0" w:type="auto"/>
            <w:noWrap/>
            <w:hideMark/>
          </w:tcPr>
          <w:p w14:paraId="0AD2B75B" w14:textId="77777777" w:rsidR="00B24799" w:rsidRPr="002E0AC8"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E0AC8">
              <w:rPr>
                <w:rFonts w:asciiTheme="minorHAnsi" w:hAnsiTheme="minorHAnsi" w:cstheme="minorHAnsi"/>
                <w:sz w:val="20"/>
                <w:szCs w:val="20"/>
              </w:rPr>
              <w:t>0.104</w:t>
            </w:r>
          </w:p>
        </w:tc>
        <w:tc>
          <w:tcPr>
            <w:tcW w:w="0" w:type="auto"/>
            <w:noWrap/>
            <w:hideMark/>
          </w:tcPr>
          <w:p w14:paraId="50D0C818" w14:textId="77777777" w:rsidR="00B24799" w:rsidRPr="002E0AC8"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28</w:t>
            </w:r>
          </w:p>
        </w:tc>
        <w:tc>
          <w:tcPr>
            <w:tcW w:w="0" w:type="auto"/>
            <w:noWrap/>
            <w:hideMark/>
          </w:tcPr>
          <w:p w14:paraId="749916BC" w14:textId="77777777" w:rsidR="00B24799" w:rsidRPr="002E0AC8"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20</w:t>
            </w:r>
          </w:p>
        </w:tc>
      </w:tr>
      <w:tr w:rsidR="00B24799" w14:paraId="2C784BF7"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E4FE1CE" w14:textId="77777777" w:rsidR="00B24799" w:rsidRDefault="00B24799" w:rsidP="00B24799">
            <w:pPr>
              <w:spacing w:after="0" w:line="240" w:lineRule="auto"/>
              <w:rPr>
                <w:color w:val="FFFFFF"/>
              </w:rPr>
            </w:pPr>
            <w:r>
              <w:rPr>
                <w:color w:val="FFFFFF"/>
              </w:rPr>
              <w:t xml:space="preserve">Eutrophication threshold for </w:t>
            </w:r>
            <w:r>
              <w:t>Ref01</w:t>
            </w:r>
          </w:p>
        </w:tc>
        <w:tc>
          <w:tcPr>
            <w:tcW w:w="0" w:type="auto"/>
            <w:noWrap/>
            <w:hideMark/>
          </w:tcPr>
          <w:p w14:paraId="29965DED" w14:textId="77777777" w:rsidR="00B24799" w:rsidRPr="002E0AC8"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E0AC8">
              <w:rPr>
                <w:rFonts w:asciiTheme="minorHAnsi" w:hAnsiTheme="minorHAnsi" w:cstheme="minorHAnsi"/>
                <w:sz w:val="20"/>
                <w:szCs w:val="20"/>
              </w:rPr>
              <w:t>1.95</w:t>
            </w:r>
          </w:p>
        </w:tc>
        <w:tc>
          <w:tcPr>
            <w:tcW w:w="0" w:type="auto"/>
            <w:noWrap/>
            <w:hideMark/>
          </w:tcPr>
          <w:p w14:paraId="089E0885" w14:textId="77777777" w:rsidR="00B24799" w:rsidRPr="002E0AC8"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E0AC8">
              <w:rPr>
                <w:sz w:val="20"/>
                <w:szCs w:val="20"/>
              </w:rPr>
              <w:t>0.401</w:t>
            </w:r>
          </w:p>
        </w:tc>
        <w:tc>
          <w:tcPr>
            <w:tcW w:w="0" w:type="auto"/>
            <w:noWrap/>
            <w:hideMark/>
          </w:tcPr>
          <w:p w14:paraId="31B98B5E" w14:textId="77777777" w:rsidR="00B24799" w:rsidRPr="002E0AC8"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65</w:t>
            </w:r>
          </w:p>
        </w:tc>
        <w:tc>
          <w:tcPr>
            <w:tcW w:w="0" w:type="auto"/>
            <w:noWrap/>
            <w:hideMark/>
          </w:tcPr>
          <w:p w14:paraId="36245FB4" w14:textId="77777777" w:rsidR="00B24799" w:rsidRPr="002E0AC8"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37</w:t>
            </w:r>
          </w:p>
        </w:tc>
      </w:tr>
      <w:tr w:rsidR="00B24799" w14:paraId="3C2F8ED9"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1E0718D3" w14:textId="77777777" w:rsidR="00B24799" w:rsidRDefault="00B24799" w:rsidP="00B24799">
            <w:pPr>
              <w:spacing w:after="0" w:line="240" w:lineRule="auto"/>
              <w:rPr>
                <w:color w:val="FFFFFF"/>
              </w:rPr>
            </w:pPr>
            <w:r>
              <w:rPr>
                <w:i/>
                <w:iCs/>
              </w:rPr>
              <w:t>Derived thresholds- ASCI</w:t>
            </w:r>
          </w:p>
        </w:tc>
        <w:tc>
          <w:tcPr>
            <w:tcW w:w="0" w:type="auto"/>
            <w:noWrap/>
          </w:tcPr>
          <w:p w14:paraId="1150252E" w14:textId="77777777" w:rsidR="00B24799" w:rsidRPr="002E0AC8"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pPr>
          </w:p>
        </w:tc>
        <w:tc>
          <w:tcPr>
            <w:tcW w:w="0" w:type="auto"/>
            <w:noWrap/>
          </w:tcPr>
          <w:p w14:paraId="4AAF16F9" w14:textId="77777777" w:rsidR="00B24799" w:rsidRPr="002E0AC8"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pPr>
          </w:p>
        </w:tc>
        <w:tc>
          <w:tcPr>
            <w:tcW w:w="0" w:type="auto"/>
            <w:noWrap/>
          </w:tcPr>
          <w:p w14:paraId="3A113050" w14:textId="77777777" w:rsidR="00B24799" w:rsidRPr="002E0AC8"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pPr>
          </w:p>
        </w:tc>
        <w:tc>
          <w:tcPr>
            <w:tcW w:w="0" w:type="auto"/>
            <w:noWrap/>
          </w:tcPr>
          <w:p w14:paraId="40774F72" w14:textId="77777777" w:rsidR="00B24799" w:rsidRPr="002E0AC8"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pPr>
          </w:p>
        </w:tc>
      </w:tr>
      <w:tr w:rsidR="00B24799" w14:paraId="52154897"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0787EAC9" w14:textId="77777777" w:rsidR="00B24799" w:rsidRDefault="00B24799" w:rsidP="00B24799">
            <w:pPr>
              <w:spacing w:after="0" w:line="240" w:lineRule="auto"/>
              <w:rPr>
                <w:color w:val="FFFFFF"/>
              </w:rPr>
            </w:pPr>
            <w:r>
              <w:t>Eutrophication threshold for Ref30</w:t>
            </w:r>
          </w:p>
        </w:tc>
        <w:tc>
          <w:tcPr>
            <w:tcW w:w="0" w:type="auto"/>
            <w:noWrap/>
          </w:tcPr>
          <w:p w14:paraId="0446CD3B"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0.13</w:t>
            </w:r>
          </w:p>
        </w:tc>
        <w:tc>
          <w:tcPr>
            <w:tcW w:w="0" w:type="auto"/>
            <w:noWrap/>
          </w:tcPr>
          <w:p w14:paraId="2B3C0A5B"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0.026</w:t>
            </w:r>
          </w:p>
        </w:tc>
        <w:tc>
          <w:tcPr>
            <w:tcW w:w="0" w:type="auto"/>
            <w:noWrap/>
          </w:tcPr>
          <w:p w14:paraId="39660832"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24</w:t>
            </w:r>
          </w:p>
        </w:tc>
        <w:tc>
          <w:tcPr>
            <w:tcW w:w="0" w:type="auto"/>
            <w:noWrap/>
          </w:tcPr>
          <w:p w14:paraId="1A55366A"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17</w:t>
            </w:r>
          </w:p>
        </w:tc>
      </w:tr>
      <w:tr w:rsidR="00B24799" w14:paraId="73584654"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158E98A8" w14:textId="77777777" w:rsidR="00B24799" w:rsidRDefault="00B24799" w:rsidP="00B24799">
            <w:pPr>
              <w:spacing w:after="0" w:line="240" w:lineRule="auto"/>
              <w:rPr>
                <w:color w:val="FFFFFF"/>
              </w:rPr>
            </w:pPr>
            <w:r>
              <w:rPr>
                <w:color w:val="FFFFFF"/>
              </w:rPr>
              <w:t xml:space="preserve">Eutrophication threshold for </w:t>
            </w:r>
            <w:r>
              <w:t>Ref10</w:t>
            </w:r>
          </w:p>
        </w:tc>
        <w:tc>
          <w:tcPr>
            <w:tcW w:w="0" w:type="auto"/>
            <w:noWrap/>
          </w:tcPr>
          <w:p w14:paraId="1A8329AB"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0.32</w:t>
            </w:r>
          </w:p>
        </w:tc>
        <w:tc>
          <w:tcPr>
            <w:tcW w:w="0" w:type="auto"/>
            <w:noWrap/>
          </w:tcPr>
          <w:p w14:paraId="34E24749"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0.080</w:t>
            </w:r>
          </w:p>
        </w:tc>
        <w:tc>
          <w:tcPr>
            <w:tcW w:w="0" w:type="auto"/>
            <w:noWrap/>
          </w:tcPr>
          <w:p w14:paraId="67D57DE7"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43</w:t>
            </w:r>
          </w:p>
        </w:tc>
        <w:tc>
          <w:tcPr>
            <w:tcW w:w="0" w:type="auto"/>
            <w:noWrap/>
          </w:tcPr>
          <w:p w14:paraId="044C0494"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30</w:t>
            </w:r>
          </w:p>
        </w:tc>
      </w:tr>
      <w:tr w:rsidR="00B24799" w14:paraId="3F6B33EF"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C8EF6EF" w14:textId="77777777" w:rsidR="00B24799" w:rsidRDefault="00B24799" w:rsidP="00B24799">
            <w:pPr>
              <w:spacing w:after="0" w:line="240" w:lineRule="auto"/>
            </w:pPr>
            <w:r>
              <w:rPr>
                <w:color w:val="FFFFFF"/>
              </w:rPr>
              <w:t xml:space="preserve">Eutrophication threshold for </w:t>
            </w:r>
            <w:r>
              <w:t>Ref01</w:t>
            </w:r>
          </w:p>
        </w:tc>
        <w:tc>
          <w:tcPr>
            <w:tcW w:w="0" w:type="auto"/>
            <w:noWrap/>
            <w:hideMark/>
          </w:tcPr>
          <w:p w14:paraId="33A3F063"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B60A6A">
              <w:rPr>
                <w:color w:val="auto"/>
              </w:rPr>
              <w:t>1.67</w:t>
            </w:r>
          </w:p>
        </w:tc>
        <w:tc>
          <w:tcPr>
            <w:tcW w:w="0" w:type="auto"/>
            <w:noWrap/>
            <w:hideMark/>
          </w:tcPr>
          <w:p w14:paraId="3349DD55"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B60A6A">
              <w:rPr>
                <w:color w:val="auto"/>
              </w:rPr>
              <w:t>0.394</w:t>
            </w:r>
          </w:p>
        </w:tc>
        <w:tc>
          <w:tcPr>
            <w:tcW w:w="0" w:type="auto"/>
            <w:noWrap/>
            <w:hideMark/>
          </w:tcPr>
          <w:p w14:paraId="33BCD7C7"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B60A6A">
              <w:rPr>
                <w:color w:val="auto"/>
              </w:rPr>
              <w:t>122</w:t>
            </w:r>
          </w:p>
        </w:tc>
        <w:tc>
          <w:tcPr>
            <w:tcW w:w="0" w:type="auto"/>
            <w:noWrap/>
            <w:hideMark/>
          </w:tcPr>
          <w:p w14:paraId="6EAEB539"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B60A6A">
              <w:rPr>
                <w:color w:val="auto"/>
              </w:rPr>
              <w:t>80</w:t>
            </w:r>
          </w:p>
        </w:tc>
      </w:tr>
      <w:tr w:rsidR="004966C6" w14:paraId="157DD37C" w14:textId="77777777" w:rsidTr="00B84D8D">
        <w:trPr>
          <w:trHeight w:val="300"/>
        </w:trPr>
        <w:tc>
          <w:tcPr>
            <w:cnfStyle w:val="001000000000" w:firstRow="0" w:lastRow="0" w:firstColumn="1" w:lastColumn="0" w:oddVBand="0" w:evenVBand="0" w:oddHBand="0" w:evenHBand="0" w:firstRowFirstColumn="0" w:firstRowLastColumn="0" w:lastRowFirstColumn="0" w:lastRowLastColumn="0"/>
            <w:tcW w:w="0" w:type="auto"/>
            <w:gridSpan w:val="5"/>
            <w:noWrap/>
            <w:hideMark/>
          </w:tcPr>
          <w:p w14:paraId="279B8D05" w14:textId="587A5931" w:rsidR="004966C6" w:rsidRPr="00B60A6A" w:rsidRDefault="004966C6" w:rsidP="00B24799">
            <w:pPr>
              <w:spacing w:after="0" w:line="240" w:lineRule="auto"/>
              <w:rPr>
                <w:rFonts w:ascii="Times New Roman" w:hAnsi="Times New Roman"/>
                <w:color w:val="auto"/>
                <w:sz w:val="20"/>
                <w:szCs w:val="20"/>
              </w:rPr>
            </w:pPr>
            <w:r>
              <w:rPr>
                <w:i/>
                <w:iCs/>
              </w:rPr>
              <w:t>Reference distributions (n= number of reference sites</w:t>
            </w:r>
          </w:p>
        </w:tc>
      </w:tr>
      <w:tr w:rsidR="00B24799" w14:paraId="1B715C6E"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726E749" w14:textId="77777777" w:rsidR="00B24799" w:rsidRDefault="00B24799" w:rsidP="00B24799">
            <w:pPr>
              <w:spacing w:after="0" w:line="240" w:lineRule="auto"/>
              <w:rPr>
                <w:rFonts w:eastAsiaTheme="minorHAnsi" w:cs="Calibri"/>
              </w:rPr>
            </w:pPr>
            <w:r>
              <w:t>90th percentile - Statewide (n=524)</w:t>
            </w:r>
          </w:p>
        </w:tc>
        <w:tc>
          <w:tcPr>
            <w:tcW w:w="0" w:type="auto"/>
            <w:noWrap/>
            <w:hideMark/>
          </w:tcPr>
          <w:p w14:paraId="4A838794"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0.25</w:t>
            </w:r>
          </w:p>
        </w:tc>
        <w:tc>
          <w:tcPr>
            <w:tcW w:w="0" w:type="auto"/>
            <w:noWrap/>
            <w:hideMark/>
          </w:tcPr>
          <w:p w14:paraId="32F50B1D"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0.058</w:t>
            </w:r>
          </w:p>
        </w:tc>
        <w:tc>
          <w:tcPr>
            <w:tcW w:w="0" w:type="auto"/>
            <w:noWrap/>
            <w:hideMark/>
          </w:tcPr>
          <w:p w14:paraId="7DB822E9"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31</w:t>
            </w:r>
          </w:p>
        </w:tc>
        <w:tc>
          <w:tcPr>
            <w:tcW w:w="0" w:type="auto"/>
            <w:noWrap/>
            <w:hideMark/>
          </w:tcPr>
          <w:p w14:paraId="1C203A82"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27</w:t>
            </w:r>
          </w:p>
        </w:tc>
      </w:tr>
      <w:tr w:rsidR="00B24799" w14:paraId="4FF652F9"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F39B36" w14:textId="77777777" w:rsidR="00B24799" w:rsidRPr="00A63378" w:rsidRDefault="00B24799" w:rsidP="00B24799">
            <w:pPr>
              <w:spacing w:after="0" w:line="240" w:lineRule="auto"/>
              <w:ind w:right="100"/>
            </w:pPr>
            <w:r w:rsidRPr="00A63378">
              <w:rPr>
                <w:color w:val="FFFFFF"/>
              </w:rPr>
              <w:t>90</w:t>
            </w:r>
            <w:r w:rsidRPr="00A63378">
              <w:t xml:space="preserve"> - Chaparral (n=76)</w:t>
            </w:r>
          </w:p>
        </w:tc>
        <w:tc>
          <w:tcPr>
            <w:tcW w:w="0" w:type="auto"/>
            <w:noWrap/>
            <w:hideMark/>
          </w:tcPr>
          <w:p w14:paraId="2A9649C0"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0.24</w:t>
            </w:r>
          </w:p>
        </w:tc>
        <w:tc>
          <w:tcPr>
            <w:tcW w:w="0" w:type="auto"/>
            <w:noWrap/>
            <w:hideMark/>
          </w:tcPr>
          <w:p w14:paraId="62980A23"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0.075</w:t>
            </w:r>
          </w:p>
        </w:tc>
        <w:tc>
          <w:tcPr>
            <w:tcW w:w="0" w:type="auto"/>
            <w:noWrap/>
            <w:hideMark/>
          </w:tcPr>
          <w:p w14:paraId="7DC9D42D"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34</w:t>
            </w:r>
          </w:p>
        </w:tc>
        <w:tc>
          <w:tcPr>
            <w:tcW w:w="0" w:type="auto"/>
            <w:noWrap/>
            <w:hideMark/>
          </w:tcPr>
          <w:p w14:paraId="42DDBF07"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20</w:t>
            </w:r>
          </w:p>
        </w:tc>
      </w:tr>
      <w:tr w:rsidR="00B24799" w14:paraId="58C9E696"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7D9F5B8" w14:textId="77777777" w:rsidR="00B24799" w:rsidRPr="00A63378" w:rsidRDefault="00B24799" w:rsidP="00B24799">
            <w:pPr>
              <w:spacing w:after="0" w:line="240" w:lineRule="auto"/>
              <w:ind w:right="100"/>
            </w:pPr>
            <w:r w:rsidRPr="00A63378">
              <w:rPr>
                <w:color w:val="FFFFFF"/>
              </w:rPr>
              <w:t>90t</w:t>
            </w:r>
            <w:r w:rsidRPr="00A63378">
              <w:t>- Central Valley (n=1)</w:t>
            </w:r>
          </w:p>
        </w:tc>
        <w:tc>
          <w:tcPr>
            <w:tcW w:w="0" w:type="auto"/>
            <w:noWrap/>
            <w:hideMark/>
          </w:tcPr>
          <w:p w14:paraId="3FB476D3"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0.16</w:t>
            </w:r>
          </w:p>
        </w:tc>
        <w:tc>
          <w:tcPr>
            <w:tcW w:w="0" w:type="auto"/>
            <w:noWrap/>
            <w:hideMark/>
          </w:tcPr>
          <w:p w14:paraId="093F5479"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0.027</w:t>
            </w:r>
          </w:p>
        </w:tc>
        <w:tc>
          <w:tcPr>
            <w:tcW w:w="0" w:type="auto"/>
            <w:noWrap/>
            <w:hideMark/>
          </w:tcPr>
          <w:p w14:paraId="5D9854F0"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23</w:t>
            </w:r>
          </w:p>
        </w:tc>
        <w:tc>
          <w:tcPr>
            <w:tcW w:w="0" w:type="auto"/>
            <w:noWrap/>
            <w:hideMark/>
          </w:tcPr>
          <w:p w14:paraId="37FF50C2"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13</w:t>
            </w:r>
          </w:p>
        </w:tc>
      </w:tr>
      <w:tr w:rsidR="00B24799" w14:paraId="2921CF5D"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49FE69A" w14:textId="77777777" w:rsidR="00B24799" w:rsidRPr="00A63378" w:rsidRDefault="00B24799" w:rsidP="00B24799">
            <w:pPr>
              <w:spacing w:after="0" w:line="240" w:lineRule="auto"/>
              <w:ind w:right="100"/>
            </w:pPr>
            <w:r w:rsidRPr="00A63378">
              <w:rPr>
                <w:color w:val="FFFFFF"/>
              </w:rPr>
              <w:t>90t</w:t>
            </w:r>
            <w:r w:rsidRPr="00A63378">
              <w:t>- Deserts and Modoc (n=38)</w:t>
            </w:r>
          </w:p>
        </w:tc>
        <w:tc>
          <w:tcPr>
            <w:tcW w:w="0" w:type="auto"/>
            <w:noWrap/>
            <w:hideMark/>
          </w:tcPr>
          <w:p w14:paraId="155E812F"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0.51</w:t>
            </w:r>
          </w:p>
        </w:tc>
        <w:tc>
          <w:tcPr>
            <w:tcW w:w="0" w:type="auto"/>
            <w:noWrap/>
            <w:hideMark/>
          </w:tcPr>
          <w:p w14:paraId="658E9661"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0.104</w:t>
            </w:r>
          </w:p>
        </w:tc>
        <w:tc>
          <w:tcPr>
            <w:tcW w:w="0" w:type="auto"/>
            <w:noWrap/>
            <w:hideMark/>
          </w:tcPr>
          <w:p w14:paraId="2A2BEAD2"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46</w:t>
            </w:r>
          </w:p>
        </w:tc>
        <w:tc>
          <w:tcPr>
            <w:tcW w:w="0" w:type="auto"/>
            <w:noWrap/>
            <w:hideMark/>
          </w:tcPr>
          <w:p w14:paraId="71DC3D1F"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35</w:t>
            </w:r>
          </w:p>
        </w:tc>
      </w:tr>
      <w:tr w:rsidR="00B24799" w14:paraId="4D1326A0"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11CFB6E" w14:textId="77777777" w:rsidR="00B24799" w:rsidRPr="00A63378" w:rsidRDefault="00B24799" w:rsidP="00B24799">
            <w:pPr>
              <w:spacing w:after="0" w:line="240" w:lineRule="auto"/>
              <w:ind w:right="100"/>
            </w:pPr>
            <w:r w:rsidRPr="00A63378">
              <w:rPr>
                <w:color w:val="FFFFFF"/>
              </w:rPr>
              <w:t>90t</w:t>
            </w:r>
            <w:r w:rsidRPr="00A63378">
              <w:t>- North Coast (n=106)</w:t>
            </w:r>
          </w:p>
        </w:tc>
        <w:tc>
          <w:tcPr>
            <w:tcW w:w="0" w:type="auto"/>
            <w:noWrap/>
            <w:hideMark/>
          </w:tcPr>
          <w:p w14:paraId="1FE659DE"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0.14</w:t>
            </w:r>
          </w:p>
        </w:tc>
        <w:tc>
          <w:tcPr>
            <w:tcW w:w="0" w:type="auto"/>
            <w:noWrap/>
            <w:hideMark/>
          </w:tcPr>
          <w:p w14:paraId="6312683F"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0.030</w:t>
            </w:r>
          </w:p>
        </w:tc>
        <w:tc>
          <w:tcPr>
            <w:tcW w:w="0" w:type="auto"/>
            <w:noWrap/>
            <w:hideMark/>
          </w:tcPr>
          <w:p w14:paraId="5436277B"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22</w:t>
            </w:r>
          </w:p>
        </w:tc>
        <w:tc>
          <w:tcPr>
            <w:tcW w:w="0" w:type="auto"/>
            <w:noWrap/>
            <w:hideMark/>
          </w:tcPr>
          <w:p w14:paraId="3C95776B"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15</w:t>
            </w:r>
          </w:p>
        </w:tc>
      </w:tr>
      <w:tr w:rsidR="00B24799" w14:paraId="574E8B70"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2BDB165" w14:textId="77777777" w:rsidR="00B24799" w:rsidRPr="00A63378" w:rsidRDefault="00B24799" w:rsidP="00B24799">
            <w:pPr>
              <w:spacing w:after="0" w:line="240" w:lineRule="auto"/>
              <w:ind w:right="100"/>
            </w:pPr>
            <w:r w:rsidRPr="00A63378">
              <w:rPr>
                <w:color w:val="FFFFFF"/>
              </w:rPr>
              <w:t>90t</w:t>
            </w:r>
            <w:r w:rsidRPr="00A63378">
              <w:t>- South Coast (n=115)</w:t>
            </w:r>
          </w:p>
        </w:tc>
        <w:tc>
          <w:tcPr>
            <w:tcW w:w="0" w:type="auto"/>
            <w:noWrap/>
            <w:hideMark/>
          </w:tcPr>
          <w:p w14:paraId="724B77C2"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0.31</w:t>
            </w:r>
          </w:p>
        </w:tc>
        <w:tc>
          <w:tcPr>
            <w:tcW w:w="0" w:type="auto"/>
            <w:noWrap/>
            <w:hideMark/>
          </w:tcPr>
          <w:p w14:paraId="543E4848"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0.039</w:t>
            </w:r>
          </w:p>
        </w:tc>
        <w:tc>
          <w:tcPr>
            <w:tcW w:w="0" w:type="auto"/>
            <w:noWrap/>
            <w:hideMark/>
          </w:tcPr>
          <w:p w14:paraId="7467E744"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34</w:t>
            </w:r>
          </w:p>
        </w:tc>
        <w:tc>
          <w:tcPr>
            <w:tcW w:w="0" w:type="auto"/>
            <w:noWrap/>
            <w:hideMark/>
          </w:tcPr>
          <w:p w14:paraId="5120183C"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62</w:t>
            </w:r>
          </w:p>
        </w:tc>
      </w:tr>
      <w:tr w:rsidR="00B24799" w14:paraId="21A4C6B8"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B483920" w14:textId="77777777" w:rsidR="00B24799" w:rsidRPr="00A63378" w:rsidRDefault="00B24799" w:rsidP="00B24799">
            <w:pPr>
              <w:spacing w:after="0" w:line="240" w:lineRule="auto"/>
              <w:ind w:right="100"/>
            </w:pPr>
            <w:r w:rsidRPr="00A63378">
              <w:rPr>
                <w:color w:val="FFFFFF"/>
              </w:rPr>
              <w:t>90t</w:t>
            </w:r>
            <w:r w:rsidRPr="00A63378">
              <w:t>- Sierra Nevada (n=164)</w:t>
            </w:r>
          </w:p>
        </w:tc>
        <w:tc>
          <w:tcPr>
            <w:tcW w:w="0" w:type="auto"/>
            <w:noWrap/>
            <w:hideMark/>
          </w:tcPr>
          <w:p w14:paraId="1CC480FB"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0.15</w:t>
            </w:r>
          </w:p>
        </w:tc>
        <w:tc>
          <w:tcPr>
            <w:tcW w:w="0" w:type="auto"/>
            <w:noWrap/>
            <w:hideMark/>
          </w:tcPr>
          <w:p w14:paraId="3994D681"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0.058</w:t>
            </w:r>
          </w:p>
        </w:tc>
        <w:tc>
          <w:tcPr>
            <w:tcW w:w="0" w:type="auto"/>
            <w:noWrap/>
            <w:hideMark/>
          </w:tcPr>
          <w:p w14:paraId="1DF5EAFB"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24</w:t>
            </w:r>
          </w:p>
        </w:tc>
        <w:tc>
          <w:tcPr>
            <w:tcW w:w="0" w:type="auto"/>
            <w:noWrap/>
            <w:hideMark/>
          </w:tcPr>
          <w:p w14:paraId="7E446A09"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17</w:t>
            </w:r>
          </w:p>
        </w:tc>
      </w:tr>
      <w:tr w:rsidR="00B24799" w14:paraId="3C746217"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968469A" w14:textId="77777777" w:rsidR="00B24799" w:rsidRDefault="00B24799" w:rsidP="00B24799">
            <w:pPr>
              <w:spacing w:after="0" w:line="240" w:lineRule="auto"/>
              <w:rPr>
                <w:rFonts w:eastAsiaTheme="minorHAnsi" w:cs="Calibri"/>
                <w:i/>
                <w:iCs/>
              </w:rPr>
            </w:pPr>
            <w:r>
              <w:rPr>
                <w:i/>
                <w:iCs/>
              </w:rPr>
              <w:t>Taxon-specific changepoints</w:t>
            </w:r>
          </w:p>
        </w:tc>
        <w:tc>
          <w:tcPr>
            <w:tcW w:w="0" w:type="auto"/>
            <w:noWrap/>
            <w:hideMark/>
          </w:tcPr>
          <w:p w14:paraId="40695FE8" w14:textId="77777777" w:rsidR="00B24799" w:rsidRPr="00B60A6A" w:rsidRDefault="00B24799" w:rsidP="00B24799">
            <w:pPr>
              <w:spacing w:after="0" w:line="240" w:lineRule="auto"/>
              <w:cnfStyle w:val="000000000000" w:firstRow="0" w:lastRow="0" w:firstColumn="0" w:lastColumn="0" w:oddVBand="0" w:evenVBand="0" w:oddHBand="0" w:evenHBand="0" w:firstRowFirstColumn="0" w:firstRowLastColumn="0" w:lastRowFirstColumn="0" w:lastRowLastColumn="0"/>
              <w:rPr>
                <w:i/>
                <w:iCs/>
                <w:color w:val="auto"/>
              </w:rPr>
            </w:pPr>
          </w:p>
        </w:tc>
        <w:tc>
          <w:tcPr>
            <w:tcW w:w="0" w:type="auto"/>
            <w:noWrap/>
            <w:hideMark/>
          </w:tcPr>
          <w:p w14:paraId="25911895" w14:textId="77777777" w:rsidR="00B24799" w:rsidRPr="00B60A6A" w:rsidRDefault="00B24799" w:rsidP="00B2479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p>
        </w:tc>
        <w:tc>
          <w:tcPr>
            <w:tcW w:w="0" w:type="auto"/>
            <w:noWrap/>
            <w:hideMark/>
          </w:tcPr>
          <w:p w14:paraId="4A68C2AD" w14:textId="77777777" w:rsidR="00B24799" w:rsidRPr="00B60A6A" w:rsidRDefault="00B24799" w:rsidP="00B2479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p>
        </w:tc>
        <w:tc>
          <w:tcPr>
            <w:tcW w:w="0" w:type="auto"/>
            <w:noWrap/>
            <w:hideMark/>
          </w:tcPr>
          <w:p w14:paraId="300149AE" w14:textId="77777777" w:rsidR="00B24799" w:rsidRPr="00B60A6A" w:rsidRDefault="00B24799" w:rsidP="00B2479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0"/>
                <w:szCs w:val="20"/>
              </w:rPr>
            </w:pPr>
          </w:p>
        </w:tc>
      </w:tr>
      <w:tr w:rsidR="00B24799" w14:paraId="6459DA9D"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7E3E9F1" w14:textId="77777777" w:rsidR="00B24799" w:rsidRDefault="00B24799" w:rsidP="00B24799">
            <w:pPr>
              <w:spacing w:after="0" w:line="240" w:lineRule="auto"/>
              <w:ind w:left="250"/>
              <w:rPr>
                <w:rFonts w:eastAsiaTheme="minorHAnsi" w:cs="Calibri"/>
              </w:rPr>
            </w:pPr>
            <w:r>
              <w:t>Diatom Increasers</w:t>
            </w:r>
          </w:p>
        </w:tc>
        <w:tc>
          <w:tcPr>
            <w:tcW w:w="0" w:type="auto"/>
            <w:noWrap/>
            <w:hideMark/>
          </w:tcPr>
          <w:p w14:paraId="5D92975E"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0.44</w:t>
            </w:r>
          </w:p>
        </w:tc>
        <w:tc>
          <w:tcPr>
            <w:tcW w:w="0" w:type="auto"/>
            <w:noWrap/>
            <w:hideMark/>
          </w:tcPr>
          <w:p w14:paraId="5BC5E2AA"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0.082</w:t>
            </w:r>
          </w:p>
        </w:tc>
        <w:tc>
          <w:tcPr>
            <w:tcW w:w="0" w:type="auto"/>
            <w:noWrap/>
            <w:hideMark/>
          </w:tcPr>
          <w:p w14:paraId="519574B7"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47</w:t>
            </w:r>
          </w:p>
        </w:tc>
        <w:tc>
          <w:tcPr>
            <w:tcW w:w="0" w:type="auto"/>
            <w:noWrap/>
            <w:hideMark/>
          </w:tcPr>
          <w:p w14:paraId="6DAB6BF7"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18</w:t>
            </w:r>
          </w:p>
        </w:tc>
      </w:tr>
      <w:tr w:rsidR="00B24799" w14:paraId="7D281070"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24AAD9" w14:textId="77777777" w:rsidR="00B24799" w:rsidRDefault="00B24799" w:rsidP="00B24799">
            <w:pPr>
              <w:spacing w:after="0" w:line="240" w:lineRule="auto"/>
              <w:ind w:left="250"/>
            </w:pPr>
            <w:r>
              <w:t>Diatom Decreasers</w:t>
            </w:r>
          </w:p>
        </w:tc>
        <w:tc>
          <w:tcPr>
            <w:tcW w:w="0" w:type="auto"/>
            <w:noWrap/>
            <w:hideMark/>
          </w:tcPr>
          <w:p w14:paraId="27BB43AA"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0.38</w:t>
            </w:r>
          </w:p>
        </w:tc>
        <w:tc>
          <w:tcPr>
            <w:tcW w:w="0" w:type="auto"/>
            <w:noWrap/>
            <w:hideMark/>
          </w:tcPr>
          <w:p w14:paraId="561F9BC3"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0.048</w:t>
            </w:r>
          </w:p>
        </w:tc>
        <w:tc>
          <w:tcPr>
            <w:tcW w:w="0" w:type="auto"/>
            <w:noWrap/>
            <w:hideMark/>
          </w:tcPr>
          <w:p w14:paraId="15A75ADD"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11</w:t>
            </w:r>
          </w:p>
        </w:tc>
        <w:tc>
          <w:tcPr>
            <w:tcW w:w="0" w:type="auto"/>
            <w:noWrap/>
            <w:hideMark/>
          </w:tcPr>
          <w:p w14:paraId="50558DA7"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11</w:t>
            </w:r>
          </w:p>
        </w:tc>
      </w:tr>
      <w:tr w:rsidR="00B24799" w14:paraId="2BD32A9F"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0B918D" w14:textId="29F4D875" w:rsidR="00B24799" w:rsidRDefault="00B24799" w:rsidP="00B24799">
            <w:pPr>
              <w:spacing w:after="0" w:line="240" w:lineRule="auto"/>
              <w:ind w:left="250"/>
            </w:pPr>
            <w:r>
              <w:t>S</w:t>
            </w:r>
            <w:r w:rsidR="004966C6">
              <w:t xml:space="preserve">oft bodied algae </w:t>
            </w:r>
            <w:r>
              <w:t>Increasers</w:t>
            </w:r>
          </w:p>
        </w:tc>
        <w:tc>
          <w:tcPr>
            <w:tcW w:w="0" w:type="auto"/>
            <w:noWrap/>
            <w:hideMark/>
          </w:tcPr>
          <w:p w14:paraId="27DB8140"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0.58</w:t>
            </w:r>
          </w:p>
        </w:tc>
        <w:tc>
          <w:tcPr>
            <w:tcW w:w="0" w:type="auto"/>
            <w:noWrap/>
            <w:hideMark/>
          </w:tcPr>
          <w:p w14:paraId="2AFA427A"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0.075</w:t>
            </w:r>
          </w:p>
        </w:tc>
        <w:tc>
          <w:tcPr>
            <w:tcW w:w="0" w:type="auto"/>
            <w:noWrap/>
            <w:hideMark/>
          </w:tcPr>
          <w:p w14:paraId="5DD50E12"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26</w:t>
            </w:r>
          </w:p>
        </w:tc>
        <w:tc>
          <w:tcPr>
            <w:tcW w:w="0" w:type="auto"/>
            <w:noWrap/>
            <w:hideMark/>
          </w:tcPr>
          <w:p w14:paraId="5189BAE1"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19</w:t>
            </w:r>
          </w:p>
        </w:tc>
      </w:tr>
      <w:tr w:rsidR="00B24799" w14:paraId="1DDC5038"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F16EA47" w14:textId="632D71A7" w:rsidR="00B24799" w:rsidRDefault="004966C6" w:rsidP="00B24799">
            <w:pPr>
              <w:spacing w:after="0" w:line="240" w:lineRule="auto"/>
              <w:ind w:left="250"/>
            </w:pPr>
            <w:r>
              <w:t>Soft bodied algae</w:t>
            </w:r>
            <w:r w:rsidR="00B24799">
              <w:t xml:space="preserve"> Decreasers</w:t>
            </w:r>
          </w:p>
        </w:tc>
        <w:tc>
          <w:tcPr>
            <w:tcW w:w="0" w:type="auto"/>
            <w:noWrap/>
            <w:hideMark/>
          </w:tcPr>
          <w:p w14:paraId="0D26A1CD"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0.17</w:t>
            </w:r>
          </w:p>
        </w:tc>
        <w:tc>
          <w:tcPr>
            <w:tcW w:w="0" w:type="auto"/>
            <w:noWrap/>
            <w:hideMark/>
          </w:tcPr>
          <w:p w14:paraId="1E1A008E"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0.034</w:t>
            </w:r>
          </w:p>
        </w:tc>
        <w:tc>
          <w:tcPr>
            <w:tcW w:w="0" w:type="auto"/>
            <w:noWrap/>
            <w:hideMark/>
          </w:tcPr>
          <w:p w14:paraId="6693FB36"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36</w:t>
            </w:r>
          </w:p>
        </w:tc>
        <w:tc>
          <w:tcPr>
            <w:tcW w:w="0" w:type="auto"/>
            <w:noWrap/>
            <w:hideMark/>
          </w:tcPr>
          <w:p w14:paraId="5619263A"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15</w:t>
            </w:r>
          </w:p>
        </w:tc>
      </w:tr>
      <w:tr w:rsidR="00B24799" w14:paraId="363AF515" w14:textId="77777777" w:rsidTr="00B2479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7FE4352" w14:textId="77777777" w:rsidR="00B24799" w:rsidRDefault="00B24799" w:rsidP="00B24799">
            <w:pPr>
              <w:spacing w:after="0" w:line="240" w:lineRule="auto"/>
              <w:ind w:left="250"/>
            </w:pPr>
            <w:r>
              <w:t>BMI Increasers</w:t>
            </w:r>
          </w:p>
        </w:tc>
        <w:tc>
          <w:tcPr>
            <w:tcW w:w="0" w:type="auto"/>
            <w:noWrap/>
            <w:hideMark/>
          </w:tcPr>
          <w:p w14:paraId="6069657F"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0.65</w:t>
            </w:r>
          </w:p>
        </w:tc>
        <w:tc>
          <w:tcPr>
            <w:tcW w:w="0" w:type="auto"/>
            <w:noWrap/>
            <w:hideMark/>
          </w:tcPr>
          <w:p w14:paraId="4667A8A1"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0.091</w:t>
            </w:r>
          </w:p>
        </w:tc>
        <w:tc>
          <w:tcPr>
            <w:tcW w:w="0" w:type="auto"/>
            <w:noWrap/>
            <w:hideMark/>
          </w:tcPr>
          <w:p w14:paraId="11BD0D1F"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71</w:t>
            </w:r>
          </w:p>
        </w:tc>
        <w:tc>
          <w:tcPr>
            <w:tcW w:w="0" w:type="auto"/>
            <w:noWrap/>
            <w:hideMark/>
          </w:tcPr>
          <w:p w14:paraId="1CAD0F91"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31</w:t>
            </w:r>
          </w:p>
        </w:tc>
      </w:tr>
      <w:tr w:rsidR="00B24799" w14:paraId="3F555E24" w14:textId="77777777" w:rsidTr="00B24799">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0ED90471" w14:textId="77777777" w:rsidR="00B24799" w:rsidRDefault="00B24799" w:rsidP="00B24799">
            <w:pPr>
              <w:spacing w:after="0" w:line="240" w:lineRule="auto"/>
              <w:ind w:firstLine="250"/>
            </w:pPr>
            <w:r>
              <w:t>BMI Decreasers</w:t>
            </w:r>
          </w:p>
        </w:tc>
        <w:tc>
          <w:tcPr>
            <w:tcW w:w="0" w:type="auto"/>
            <w:noWrap/>
            <w:hideMark/>
          </w:tcPr>
          <w:p w14:paraId="368C266A"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0.65</w:t>
            </w:r>
          </w:p>
        </w:tc>
        <w:tc>
          <w:tcPr>
            <w:tcW w:w="0" w:type="auto"/>
            <w:noWrap/>
            <w:hideMark/>
          </w:tcPr>
          <w:p w14:paraId="39AA6F4C"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0.080</w:t>
            </w:r>
          </w:p>
        </w:tc>
        <w:tc>
          <w:tcPr>
            <w:tcW w:w="0" w:type="auto"/>
            <w:noWrap/>
            <w:hideMark/>
          </w:tcPr>
          <w:p w14:paraId="5A7C98B0"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31</w:t>
            </w:r>
          </w:p>
        </w:tc>
        <w:tc>
          <w:tcPr>
            <w:tcW w:w="0" w:type="auto"/>
            <w:noWrap/>
            <w:hideMark/>
          </w:tcPr>
          <w:p w14:paraId="78FA8F38" w14:textId="77777777" w:rsidR="00B24799" w:rsidRPr="00B60A6A" w:rsidRDefault="00B24799" w:rsidP="00B2479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auto"/>
              </w:rPr>
            </w:pPr>
            <w:r w:rsidRPr="00B60A6A">
              <w:rPr>
                <w:color w:val="auto"/>
              </w:rPr>
              <w:t>20</w:t>
            </w:r>
          </w:p>
        </w:tc>
      </w:tr>
    </w:tbl>
    <w:p w14:paraId="49095C3A" w14:textId="77777777" w:rsidR="00B24799" w:rsidRDefault="00B24799" w:rsidP="00B24799">
      <w:pPr>
        <w:spacing w:line="23" w:lineRule="atLeast"/>
      </w:pPr>
    </w:p>
    <w:p w14:paraId="4EDCBB38" w14:textId="31D61E91" w:rsidR="004966C6" w:rsidRDefault="00B24799" w:rsidP="00B24799">
      <w:pPr>
        <w:spacing w:line="23" w:lineRule="atLeast"/>
      </w:pPr>
      <w:r>
        <w:t xml:space="preserve">CA-derived TN and TP thresholds </w:t>
      </w:r>
      <w:r w:rsidR="004966C6">
        <w:t>are</w:t>
      </w:r>
      <w:r>
        <w:t xml:space="preserve"> </w:t>
      </w:r>
      <w:r w:rsidR="00A347F6">
        <w:t>comparable</w:t>
      </w:r>
      <w:r>
        <w:t xml:space="preserve"> to literature </w:t>
      </w:r>
      <w:r w:rsidR="00A347F6">
        <w:t xml:space="preserve">values </w:t>
      </w:r>
      <w:r>
        <w:t>and state criteria</w:t>
      </w:r>
      <w:r w:rsidR="00A347F6">
        <w:t xml:space="preserve">, but </w:t>
      </w:r>
      <w:r w:rsidR="004966C6">
        <w:t xml:space="preserve">at or </w:t>
      </w:r>
      <w:r>
        <w:t xml:space="preserve">below best available treatment technologies for municipal wastewater, particularly for TN. </w:t>
      </w:r>
      <w:r w:rsidR="004966C6">
        <w:t xml:space="preserve">A high false positive error rate occurs with application of any single lowest (CSCI or ASCI) REF10-based thresholds to predict biointegrity; additional investigation on this is warranted, as is discussion on relevant threshold and use as multiple lines, all of which will impact false positive and negative error rates. </w:t>
      </w:r>
    </w:p>
    <w:p w14:paraId="51E2F2F0" w14:textId="59A5F60A" w:rsidR="00B24799" w:rsidRDefault="00B24799" w:rsidP="00B24799">
      <w:pPr>
        <w:spacing w:line="23" w:lineRule="atLeast"/>
      </w:pPr>
      <w:r>
        <w:t xml:space="preserve">Use of these thresholds or other thresholds should be informed by clear guidance on duration, frequency and seasonal considerations (wet versus dry weather, winter versus summer) and use of the indicators as multiple lines of evidence. The scientific basis for this guidance can be added as policy options become clarified.  </w:t>
      </w:r>
    </w:p>
    <w:p w14:paraId="0EF78FC8" w14:textId="148F209D" w:rsidR="00D96D9B" w:rsidRDefault="00D96D9B" w:rsidP="00B24799">
      <w:pPr>
        <w:spacing w:line="23" w:lineRule="atLeast"/>
        <w:rPr>
          <w:rFonts w:cs="Calibri"/>
          <w:b/>
          <w:color w:val="365F91"/>
          <w:sz w:val="28"/>
          <w:szCs w:val="28"/>
        </w:rPr>
      </w:pPr>
      <w:r>
        <w:rPr>
          <w:rFonts w:cs="Calibri"/>
          <w:b/>
          <w:color w:val="365F91"/>
          <w:sz w:val="28"/>
          <w:szCs w:val="28"/>
        </w:rPr>
        <w:t>Acknowledgments</w:t>
      </w:r>
    </w:p>
    <w:p w14:paraId="62B38A87" w14:textId="77777777" w:rsidR="00096251" w:rsidRPr="00FB6045" w:rsidRDefault="00096251" w:rsidP="00096251">
      <w:r w:rsidRPr="00FB6045">
        <w:t xml:space="preserve">The authors of this document wish to thank </w:t>
      </w:r>
      <w:r>
        <w:t>Dana Shultz, for her assistance in literature review and document preparation. The report</w:t>
      </w:r>
      <w:r w:rsidRPr="00FB6045">
        <w:t xml:space="preserve"> was produced under California State Water Board contract to the Southern California Coastal Water Research Project (Agreement Number</w:t>
      </w:r>
      <w:r>
        <w:t>s</w:t>
      </w:r>
      <w:r w:rsidRPr="00FB6045">
        <w:t xml:space="preserve"> </w:t>
      </w:r>
      <w:r>
        <w:t>D15-15001 and D15-15002</w:t>
      </w:r>
      <w:r w:rsidRPr="00FB6045">
        <w:t>).</w:t>
      </w:r>
    </w:p>
    <w:p w14:paraId="4A539F22" w14:textId="77777777" w:rsidR="00D96D9B" w:rsidRDefault="00D96D9B" w:rsidP="00D96D9B">
      <w:pPr>
        <w:spacing w:after="0" w:line="240" w:lineRule="auto"/>
        <w:rPr>
          <w:rFonts w:cs="Calibri"/>
          <w:b/>
          <w:color w:val="365F91"/>
          <w:sz w:val="28"/>
          <w:szCs w:val="28"/>
        </w:rPr>
      </w:pPr>
    </w:p>
    <w:p w14:paraId="050CAD07" w14:textId="77777777" w:rsidR="00D96D9B" w:rsidRDefault="00D96D9B" w:rsidP="00D96D9B">
      <w:pPr>
        <w:spacing w:after="0" w:line="240" w:lineRule="auto"/>
        <w:rPr>
          <w:rFonts w:cs="Calibri"/>
          <w:b/>
          <w:color w:val="365F91"/>
          <w:sz w:val="28"/>
          <w:szCs w:val="28"/>
        </w:rPr>
      </w:pPr>
    </w:p>
    <w:p w14:paraId="52569891" w14:textId="77777777" w:rsidR="00D96D9B" w:rsidRDefault="00D96D9B" w:rsidP="00D96D9B">
      <w:pPr>
        <w:spacing w:after="0" w:line="240" w:lineRule="auto"/>
        <w:rPr>
          <w:rFonts w:cs="Calibri"/>
          <w:b/>
          <w:color w:val="365F91"/>
          <w:sz w:val="28"/>
          <w:szCs w:val="28"/>
        </w:rPr>
      </w:pPr>
    </w:p>
    <w:p w14:paraId="5F27E743" w14:textId="77777777" w:rsidR="00D96D9B" w:rsidRDefault="00D96D9B" w:rsidP="00D96D9B">
      <w:pPr>
        <w:spacing w:after="0" w:line="240" w:lineRule="auto"/>
        <w:rPr>
          <w:rFonts w:cs="Calibri"/>
          <w:b/>
          <w:color w:val="365F91"/>
          <w:sz w:val="28"/>
          <w:szCs w:val="28"/>
        </w:rPr>
      </w:pPr>
    </w:p>
    <w:p w14:paraId="18DFE775" w14:textId="77777777" w:rsidR="00D96D9B" w:rsidRDefault="00D96D9B" w:rsidP="00D96D9B">
      <w:pPr>
        <w:spacing w:after="0" w:line="240" w:lineRule="auto"/>
        <w:rPr>
          <w:rFonts w:cs="Calibri"/>
          <w:b/>
          <w:color w:val="365F91"/>
          <w:sz w:val="28"/>
          <w:szCs w:val="28"/>
        </w:rPr>
      </w:pPr>
    </w:p>
    <w:p w14:paraId="60BF3F7B" w14:textId="77777777" w:rsidR="00D96D9B" w:rsidRDefault="00D96D9B" w:rsidP="00D96D9B">
      <w:pPr>
        <w:spacing w:after="0" w:line="240" w:lineRule="auto"/>
        <w:rPr>
          <w:rFonts w:cs="Calibri"/>
          <w:b/>
          <w:color w:val="365F91"/>
          <w:sz w:val="28"/>
          <w:szCs w:val="28"/>
        </w:rPr>
      </w:pPr>
    </w:p>
    <w:p w14:paraId="23F33291" w14:textId="77777777" w:rsidR="00D96D9B" w:rsidRDefault="00D96D9B" w:rsidP="00D96D9B">
      <w:pPr>
        <w:spacing w:after="0" w:line="240" w:lineRule="auto"/>
        <w:rPr>
          <w:rFonts w:cs="Calibri"/>
          <w:b/>
          <w:color w:val="365F91"/>
          <w:sz w:val="28"/>
          <w:szCs w:val="28"/>
        </w:rPr>
      </w:pPr>
    </w:p>
    <w:p w14:paraId="43E7B932" w14:textId="77777777" w:rsidR="00D96D9B" w:rsidRDefault="00D96D9B" w:rsidP="00D96D9B">
      <w:pPr>
        <w:spacing w:after="0" w:line="240" w:lineRule="auto"/>
        <w:rPr>
          <w:rFonts w:cs="Calibri"/>
          <w:b/>
          <w:color w:val="365F91"/>
          <w:sz w:val="28"/>
          <w:szCs w:val="28"/>
        </w:rPr>
      </w:pPr>
    </w:p>
    <w:p w14:paraId="2BB888CF" w14:textId="77777777" w:rsidR="00D96D9B" w:rsidRDefault="00D96D9B" w:rsidP="00D96D9B">
      <w:pPr>
        <w:spacing w:after="0" w:line="240" w:lineRule="auto"/>
        <w:rPr>
          <w:rFonts w:cs="Calibri"/>
          <w:b/>
          <w:color w:val="365F91"/>
          <w:sz w:val="28"/>
          <w:szCs w:val="28"/>
        </w:rPr>
      </w:pPr>
    </w:p>
    <w:p w14:paraId="61653847" w14:textId="77777777" w:rsidR="00D96D9B" w:rsidRDefault="00D96D9B" w:rsidP="00D96D9B">
      <w:pPr>
        <w:spacing w:after="0" w:line="240" w:lineRule="auto"/>
        <w:rPr>
          <w:rFonts w:cs="Calibri"/>
          <w:b/>
          <w:color w:val="365F91"/>
          <w:sz w:val="28"/>
          <w:szCs w:val="28"/>
        </w:rPr>
      </w:pPr>
    </w:p>
    <w:p w14:paraId="032CD5C9" w14:textId="77777777" w:rsidR="00D96D9B" w:rsidRDefault="00D96D9B" w:rsidP="00D96D9B">
      <w:pPr>
        <w:spacing w:after="0" w:line="240" w:lineRule="auto"/>
        <w:rPr>
          <w:rFonts w:cs="Calibri"/>
          <w:b/>
          <w:color w:val="365F91"/>
          <w:sz w:val="28"/>
          <w:szCs w:val="28"/>
        </w:rPr>
      </w:pPr>
    </w:p>
    <w:p w14:paraId="6A123943" w14:textId="77777777" w:rsidR="00D96D9B" w:rsidRDefault="00D96D9B" w:rsidP="00D96D9B">
      <w:pPr>
        <w:spacing w:after="0" w:line="240" w:lineRule="auto"/>
        <w:rPr>
          <w:rFonts w:cs="Calibri"/>
          <w:b/>
          <w:color w:val="365F91"/>
          <w:sz w:val="28"/>
          <w:szCs w:val="28"/>
        </w:rPr>
      </w:pPr>
    </w:p>
    <w:p w14:paraId="582BB6DA" w14:textId="77777777" w:rsidR="00D96D9B" w:rsidRDefault="00D96D9B" w:rsidP="00D96D9B">
      <w:pPr>
        <w:spacing w:after="0" w:line="240" w:lineRule="auto"/>
        <w:rPr>
          <w:rFonts w:cs="Calibri"/>
          <w:b/>
          <w:color w:val="365F91"/>
          <w:sz w:val="28"/>
          <w:szCs w:val="28"/>
        </w:rPr>
      </w:pPr>
    </w:p>
    <w:p w14:paraId="2012AF2D" w14:textId="77777777" w:rsidR="00D96D9B" w:rsidRDefault="00D96D9B" w:rsidP="00D96D9B">
      <w:pPr>
        <w:spacing w:after="0" w:line="240" w:lineRule="auto"/>
        <w:rPr>
          <w:rFonts w:cs="Calibri"/>
          <w:b/>
          <w:color w:val="365F91"/>
          <w:sz w:val="28"/>
          <w:szCs w:val="28"/>
        </w:rPr>
      </w:pPr>
    </w:p>
    <w:p w14:paraId="07D70CFF" w14:textId="77777777" w:rsidR="00D96D9B" w:rsidRDefault="00D96D9B" w:rsidP="00D96D9B">
      <w:pPr>
        <w:spacing w:after="0" w:line="240" w:lineRule="auto"/>
        <w:rPr>
          <w:rFonts w:cs="Calibri"/>
          <w:b/>
          <w:color w:val="365F91"/>
          <w:sz w:val="28"/>
          <w:szCs w:val="28"/>
        </w:rPr>
      </w:pPr>
    </w:p>
    <w:p w14:paraId="601A363A" w14:textId="77777777" w:rsidR="00D96D9B" w:rsidRDefault="00D96D9B" w:rsidP="00D96D9B">
      <w:pPr>
        <w:spacing w:after="0" w:line="240" w:lineRule="auto"/>
        <w:rPr>
          <w:rFonts w:cs="Calibri"/>
          <w:b/>
          <w:color w:val="365F91"/>
          <w:sz w:val="28"/>
          <w:szCs w:val="28"/>
        </w:rPr>
      </w:pPr>
    </w:p>
    <w:p w14:paraId="689F339F" w14:textId="77777777" w:rsidR="00D96D9B" w:rsidRDefault="00D96D9B" w:rsidP="00D96D9B">
      <w:pPr>
        <w:spacing w:after="0" w:line="240" w:lineRule="auto"/>
        <w:rPr>
          <w:rFonts w:cs="Calibri"/>
          <w:b/>
          <w:color w:val="365F91"/>
          <w:sz w:val="28"/>
          <w:szCs w:val="28"/>
        </w:rPr>
      </w:pPr>
    </w:p>
    <w:p w14:paraId="3E8C51D3" w14:textId="77777777" w:rsidR="00D96D9B" w:rsidRDefault="00D96D9B" w:rsidP="00D96D9B">
      <w:pPr>
        <w:spacing w:after="0" w:line="240" w:lineRule="auto"/>
        <w:rPr>
          <w:rFonts w:cs="Calibri"/>
          <w:b/>
          <w:color w:val="365F91"/>
          <w:sz w:val="28"/>
          <w:szCs w:val="28"/>
        </w:rPr>
      </w:pPr>
    </w:p>
    <w:p w14:paraId="282BD72F" w14:textId="77777777" w:rsidR="00D96D9B" w:rsidRDefault="00D96D9B" w:rsidP="00D96D9B">
      <w:pPr>
        <w:spacing w:after="0" w:line="240" w:lineRule="auto"/>
        <w:rPr>
          <w:rFonts w:cs="Calibri"/>
          <w:b/>
          <w:color w:val="365F91"/>
          <w:sz w:val="28"/>
          <w:szCs w:val="28"/>
        </w:rPr>
      </w:pPr>
    </w:p>
    <w:p w14:paraId="34EADD26" w14:textId="77777777" w:rsidR="00D96D9B" w:rsidRDefault="00D96D9B" w:rsidP="00D96D9B">
      <w:pPr>
        <w:spacing w:after="0" w:line="240" w:lineRule="auto"/>
        <w:rPr>
          <w:rFonts w:cs="Calibri"/>
          <w:b/>
          <w:color w:val="365F91"/>
          <w:sz w:val="28"/>
          <w:szCs w:val="28"/>
        </w:rPr>
      </w:pPr>
    </w:p>
    <w:p w14:paraId="3132C1B0" w14:textId="77777777" w:rsidR="00D96D9B" w:rsidRDefault="00D96D9B" w:rsidP="00D96D9B">
      <w:pPr>
        <w:spacing w:after="0" w:line="240" w:lineRule="auto"/>
        <w:rPr>
          <w:rFonts w:cs="Calibri"/>
          <w:b/>
          <w:color w:val="365F91"/>
          <w:sz w:val="28"/>
          <w:szCs w:val="28"/>
        </w:rPr>
      </w:pPr>
    </w:p>
    <w:p w14:paraId="033D5056" w14:textId="77777777" w:rsidR="00D96D9B" w:rsidRDefault="00D96D9B" w:rsidP="00D96D9B">
      <w:pPr>
        <w:spacing w:after="0" w:line="240" w:lineRule="auto"/>
        <w:rPr>
          <w:rFonts w:cs="Calibri"/>
          <w:b/>
          <w:color w:val="365F91"/>
          <w:sz w:val="28"/>
          <w:szCs w:val="28"/>
        </w:rPr>
      </w:pPr>
    </w:p>
    <w:p w14:paraId="623FAD16" w14:textId="77777777" w:rsidR="00D96D9B" w:rsidRDefault="00D96D9B" w:rsidP="00D96D9B">
      <w:pPr>
        <w:spacing w:after="0" w:line="240" w:lineRule="auto"/>
        <w:rPr>
          <w:rFonts w:cs="Calibri"/>
          <w:b/>
          <w:color w:val="365F91"/>
          <w:sz w:val="28"/>
          <w:szCs w:val="28"/>
        </w:rPr>
      </w:pPr>
    </w:p>
    <w:p w14:paraId="3FE00787" w14:textId="77777777" w:rsidR="00D96D9B" w:rsidRDefault="00D96D9B" w:rsidP="00D96D9B">
      <w:pPr>
        <w:spacing w:after="0" w:line="240" w:lineRule="auto"/>
        <w:rPr>
          <w:rFonts w:cs="Calibri"/>
          <w:b/>
          <w:color w:val="365F91"/>
          <w:sz w:val="28"/>
          <w:szCs w:val="28"/>
        </w:rPr>
      </w:pPr>
    </w:p>
    <w:p w14:paraId="108D8B0E" w14:textId="77777777" w:rsidR="00D96D9B" w:rsidRDefault="00D96D9B" w:rsidP="00D96D9B">
      <w:pPr>
        <w:spacing w:after="0" w:line="240" w:lineRule="auto"/>
        <w:rPr>
          <w:rFonts w:cs="Calibri"/>
          <w:b/>
          <w:color w:val="365F91"/>
          <w:sz w:val="28"/>
          <w:szCs w:val="28"/>
        </w:rPr>
      </w:pPr>
    </w:p>
    <w:p w14:paraId="09DDE3A1" w14:textId="77777777" w:rsidR="00D96D9B" w:rsidRDefault="00D96D9B" w:rsidP="00D96D9B">
      <w:pPr>
        <w:spacing w:after="0" w:line="240" w:lineRule="auto"/>
        <w:rPr>
          <w:rFonts w:cs="Calibri"/>
          <w:b/>
          <w:color w:val="365F91"/>
          <w:sz w:val="28"/>
          <w:szCs w:val="28"/>
        </w:rPr>
      </w:pPr>
    </w:p>
    <w:p w14:paraId="2072493E" w14:textId="77777777" w:rsidR="00D96D9B" w:rsidRDefault="00D96D9B" w:rsidP="00D96D9B">
      <w:pPr>
        <w:spacing w:after="0" w:line="240" w:lineRule="auto"/>
        <w:rPr>
          <w:rFonts w:cs="Calibri"/>
          <w:b/>
          <w:color w:val="365F91"/>
          <w:sz w:val="28"/>
          <w:szCs w:val="28"/>
        </w:rPr>
      </w:pPr>
    </w:p>
    <w:p w14:paraId="5B709A60" w14:textId="77777777" w:rsidR="00D96D9B" w:rsidRDefault="00D96D9B" w:rsidP="00D96D9B">
      <w:pPr>
        <w:spacing w:after="0" w:line="240" w:lineRule="auto"/>
        <w:rPr>
          <w:rFonts w:cs="Calibri"/>
          <w:b/>
          <w:color w:val="365F91"/>
          <w:sz w:val="28"/>
          <w:szCs w:val="28"/>
        </w:rPr>
      </w:pPr>
    </w:p>
    <w:p w14:paraId="09DF4053" w14:textId="77777777" w:rsidR="00D96D9B" w:rsidRDefault="00D96D9B" w:rsidP="00D96D9B">
      <w:pPr>
        <w:spacing w:after="0" w:line="240" w:lineRule="auto"/>
        <w:rPr>
          <w:rFonts w:cs="Calibri"/>
          <w:b/>
          <w:color w:val="365F91"/>
          <w:sz w:val="28"/>
          <w:szCs w:val="28"/>
        </w:rPr>
      </w:pPr>
    </w:p>
    <w:p w14:paraId="54B375C3" w14:textId="77777777" w:rsidR="00D96D9B" w:rsidRPr="00D96D9B" w:rsidRDefault="00D96D9B" w:rsidP="00D96D9B">
      <w:pPr>
        <w:rPr>
          <w:b/>
        </w:rPr>
      </w:pPr>
      <w:r w:rsidRPr="00D96D9B">
        <w:rPr>
          <w:b/>
        </w:rPr>
        <w:t xml:space="preserve">Suggested Citation: </w:t>
      </w:r>
    </w:p>
    <w:p w14:paraId="03B989DE" w14:textId="43BAD196" w:rsidR="009811DA" w:rsidRDefault="00D96D9B" w:rsidP="00D96D9B">
      <w:pPr>
        <w:spacing w:after="0" w:line="240" w:lineRule="auto"/>
        <w:rPr>
          <w:rFonts w:cs="Calibri"/>
          <w:b/>
          <w:color w:val="365F91"/>
          <w:sz w:val="28"/>
          <w:szCs w:val="28"/>
        </w:rPr>
      </w:pPr>
      <w:bookmarkStart w:id="2" w:name="_Hlk526173386"/>
      <w:r>
        <w:t>Sutula</w:t>
      </w:r>
      <w:r w:rsidR="00F82B1F">
        <w:t>,</w:t>
      </w:r>
      <w:r>
        <w:t xml:space="preserve"> M., </w:t>
      </w:r>
      <w:r w:rsidR="00F82B1F">
        <w:t xml:space="preserve">R. </w:t>
      </w:r>
      <w:r>
        <w:t>Mazor</w:t>
      </w:r>
      <w:r w:rsidR="00F82B1F">
        <w:t xml:space="preserve">, S. </w:t>
      </w:r>
      <w:r>
        <w:t xml:space="preserve">Theroux </w:t>
      </w:r>
      <w:r w:rsidR="00163F70">
        <w:t>et al. authors</w:t>
      </w:r>
      <w:r w:rsidR="008622BF">
        <w:t>. October 2018 Version</w:t>
      </w:r>
      <w:r>
        <w:t xml:space="preserve">. </w:t>
      </w:r>
      <w:r w:rsidRPr="00FB5CB3">
        <w:t>Scientific Bases for Assessment, Prevention, and Management of Biostimulatory Impacts in California Wadeable Streams</w:t>
      </w:r>
      <w:r>
        <w:t xml:space="preserve">. </w:t>
      </w:r>
      <w:r w:rsidR="00F82B1F">
        <w:t xml:space="preserve">Technical Report Number 1048. </w:t>
      </w:r>
      <w:r>
        <w:t>Southern California Coastal Water Research Project</w:t>
      </w:r>
      <w:bookmarkEnd w:id="2"/>
      <w:r w:rsidR="00F82B1F">
        <w:t>. Costa Mesa, CA.</w:t>
      </w:r>
    </w:p>
    <w:p w14:paraId="7FEABCD2" w14:textId="77777777" w:rsidR="005826AF" w:rsidRPr="001A064A" w:rsidRDefault="005826AF" w:rsidP="00F47AC3">
      <w:pPr>
        <w:pStyle w:val="Heading1"/>
      </w:pPr>
      <w:bookmarkStart w:id="3" w:name="_Toc526505102"/>
      <w:r w:rsidRPr="001A064A">
        <w:t>Table of Contents</w:t>
      </w:r>
      <w:bookmarkEnd w:id="3"/>
    </w:p>
    <w:p w14:paraId="46A81B14" w14:textId="25AB8511" w:rsidR="00EF692F" w:rsidRDefault="00236EBE">
      <w:pPr>
        <w:pStyle w:val="TOC1"/>
        <w:rPr>
          <w:rFonts w:asciiTheme="minorHAnsi" w:eastAsiaTheme="minorEastAsia" w:hAnsiTheme="minorHAnsi" w:cstheme="minorBidi"/>
          <w:b w:val="0"/>
          <w:noProof/>
          <w:lang w:bidi="ar-SA"/>
        </w:rPr>
      </w:pPr>
      <w:r>
        <w:fldChar w:fldCharType="begin"/>
      </w:r>
      <w:r w:rsidR="00E50EB0">
        <w:instrText xml:space="preserve"> TOC \o "1-3" \h \z \u </w:instrText>
      </w:r>
      <w:r>
        <w:fldChar w:fldCharType="separate"/>
      </w:r>
      <w:hyperlink w:anchor="_Toc526505101" w:history="1">
        <w:r w:rsidR="00EF692F" w:rsidRPr="007A35F1">
          <w:rPr>
            <w:rStyle w:val="Hyperlink"/>
            <w:noProof/>
          </w:rPr>
          <w:t>Executive Summary</w:t>
        </w:r>
        <w:r w:rsidR="00EF692F">
          <w:rPr>
            <w:noProof/>
            <w:webHidden/>
          </w:rPr>
          <w:tab/>
        </w:r>
        <w:r w:rsidR="00EF692F">
          <w:rPr>
            <w:noProof/>
            <w:webHidden/>
          </w:rPr>
          <w:fldChar w:fldCharType="begin"/>
        </w:r>
        <w:r w:rsidR="00EF692F">
          <w:rPr>
            <w:noProof/>
            <w:webHidden/>
          </w:rPr>
          <w:instrText xml:space="preserve"> PAGEREF _Toc526505101 \h </w:instrText>
        </w:r>
        <w:r w:rsidR="00EF692F">
          <w:rPr>
            <w:noProof/>
            <w:webHidden/>
          </w:rPr>
        </w:r>
        <w:r w:rsidR="00EF692F">
          <w:rPr>
            <w:noProof/>
            <w:webHidden/>
          </w:rPr>
          <w:fldChar w:fldCharType="separate"/>
        </w:r>
        <w:r w:rsidR="00772F7E">
          <w:rPr>
            <w:noProof/>
            <w:webHidden/>
          </w:rPr>
          <w:t>i</w:t>
        </w:r>
        <w:r w:rsidR="00EF692F">
          <w:rPr>
            <w:noProof/>
            <w:webHidden/>
          </w:rPr>
          <w:fldChar w:fldCharType="end"/>
        </w:r>
      </w:hyperlink>
    </w:p>
    <w:p w14:paraId="3A23A808" w14:textId="3B8B7CA6" w:rsidR="00EF692F" w:rsidRDefault="00CF6066">
      <w:pPr>
        <w:pStyle w:val="TOC1"/>
        <w:rPr>
          <w:rFonts w:asciiTheme="minorHAnsi" w:eastAsiaTheme="minorEastAsia" w:hAnsiTheme="minorHAnsi" w:cstheme="minorBidi"/>
          <w:b w:val="0"/>
          <w:noProof/>
          <w:lang w:bidi="ar-SA"/>
        </w:rPr>
      </w:pPr>
      <w:hyperlink w:anchor="_Toc526505102" w:history="1">
        <w:r w:rsidR="00EF692F" w:rsidRPr="007A35F1">
          <w:rPr>
            <w:rStyle w:val="Hyperlink"/>
            <w:noProof/>
          </w:rPr>
          <w:t>Table of Contents</w:t>
        </w:r>
        <w:r w:rsidR="00EF692F">
          <w:rPr>
            <w:noProof/>
            <w:webHidden/>
          </w:rPr>
          <w:tab/>
        </w:r>
        <w:r w:rsidR="00EF692F">
          <w:rPr>
            <w:noProof/>
            <w:webHidden/>
          </w:rPr>
          <w:fldChar w:fldCharType="begin"/>
        </w:r>
        <w:r w:rsidR="00EF692F">
          <w:rPr>
            <w:noProof/>
            <w:webHidden/>
          </w:rPr>
          <w:instrText xml:space="preserve"> PAGEREF _Toc526505102 \h </w:instrText>
        </w:r>
        <w:r w:rsidR="00EF692F">
          <w:rPr>
            <w:noProof/>
            <w:webHidden/>
          </w:rPr>
        </w:r>
        <w:r w:rsidR="00EF692F">
          <w:rPr>
            <w:noProof/>
            <w:webHidden/>
          </w:rPr>
          <w:fldChar w:fldCharType="separate"/>
        </w:r>
        <w:r w:rsidR="00772F7E">
          <w:rPr>
            <w:noProof/>
            <w:webHidden/>
          </w:rPr>
          <w:t>v</w:t>
        </w:r>
        <w:r w:rsidR="00EF692F">
          <w:rPr>
            <w:noProof/>
            <w:webHidden/>
          </w:rPr>
          <w:fldChar w:fldCharType="end"/>
        </w:r>
      </w:hyperlink>
    </w:p>
    <w:p w14:paraId="04F2059D" w14:textId="4F315999" w:rsidR="00EF692F" w:rsidRDefault="00CF6066">
      <w:pPr>
        <w:pStyle w:val="TOC1"/>
        <w:rPr>
          <w:rFonts w:asciiTheme="minorHAnsi" w:eastAsiaTheme="minorEastAsia" w:hAnsiTheme="minorHAnsi" w:cstheme="minorBidi"/>
          <w:b w:val="0"/>
          <w:noProof/>
          <w:lang w:bidi="ar-SA"/>
        </w:rPr>
      </w:pPr>
      <w:hyperlink w:anchor="_Toc526505103" w:history="1">
        <w:r w:rsidR="00EF692F" w:rsidRPr="007A35F1">
          <w:rPr>
            <w:rStyle w:val="Hyperlink"/>
            <w:noProof/>
          </w:rPr>
          <w:t>List of Tables</w:t>
        </w:r>
        <w:r w:rsidR="00EF692F">
          <w:rPr>
            <w:noProof/>
            <w:webHidden/>
          </w:rPr>
          <w:tab/>
        </w:r>
        <w:r w:rsidR="00EF692F">
          <w:rPr>
            <w:noProof/>
            <w:webHidden/>
          </w:rPr>
          <w:fldChar w:fldCharType="begin"/>
        </w:r>
        <w:r w:rsidR="00EF692F">
          <w:rPr>
            <w:noProof/>
            <w:webHidden/>
          </w:rPr>
          <w:instrText xml:space="preserve"> PAGEREF _Toc526505103 \h </w:instrText>
        </w:r>
        <w:r w:rsidR="00EF692F">
          <w:rPr>
            <w:noProof/>
            <w:webHidden/>
          </w:rPr>
        </w:r>
        <w:r w:rsidR="00EF692F">
          <w:rPr>
            <w:noProof/>
            <w:webHidden/>
          </w:rPr>
          <w:fldChar w:fldCharType="separate"/>
        </w:r>
        <w:r w:rsidR="00772F7E">
          <w:rPr>
            <w:noProof/>
            <w:webHidden/>
          </w:rPr>
          <w:t>vii</w:t>
        </w:r>
        <w:r w:rsidR="00EF692F">
          <w:rPr>
            <w:noProof/>
            <w:webHidden/>
          </w:rPr>
          <w:fldChar w:fldCharType="end"/>
        </w:r>
      </w:hyperlink>
    </w:p>
    <w:p w14:paraId="53CE0F2E" w14:textId="4A3CAB5B" w:rsidR="00EF692F" w:rsidRDefault="00CF6066">
      <w:pPr>
        <w:pStyle w:val="TOC1"/>
        <w:rPr>
          <w:rFonts w:asciiTheme="minorHAnsi" w:eastAsiaTheme="minorEastAsia" w:hAnsiTheme="minorHAnsi" w:cstheme="minorBidi"/>
          <w:b w:val="0"/>
          <w:noProof/>
          <w:lang w:bidi="ar-SA"/>
        </w:rPr>
      </w:pPr>
      <w:hyperlink w:anchor="_Toc526505104" w:history="1">
        <w:r w:rsidR="00EF692F" w:rsidRPr="007A35F1">
          <w:rPr>
            <w:rStyle w:val="Hyperlink"/>
            <w:noProof/>
          </w:rPr>
          <w:t>List of Figures</w:t>
        </w:r>
        <w:r w:rsidR="00EF692F">
          <w:rPr>
            <w:noProof/>
            <w:webHidden/>
          </w:rPr>
          <w:tab/>
        </w:r>
        <w:r w:rsidR="00EF692F">
          <w:rPr>
            <w:noProof/>
            <w:webHidden/>
          </w:rPr>
          <w:fldChar w:fldCharType="begin"/>
        </w:r>
        <w:r w:rsidR="00EF692F">
          <w:rPr>
            <w:noProof/>
            <w:webHidden/>
          </w:rPr>
          <w:instrText xml:space="preserve"> PAGEREF _Toc526505104 \h </w:instrText>
        </w:r>
        <w:r w:rsidR="00EF692F">
          <w:rPr>
            <w:noProof/>
            <w:webHidden/>
          </w:rPr>
        </w:r>
        <w:r w:rsidR="00EF692F">
          <w:rPr>
            <w:noProof/>
            <w:webHidden/>
          </w:rPr>
          <w:fldChar w:fldCharType="separate"/>
        </w:r>
        <w:r w:rsidR="00772F7E">
          <w:rPr>
            <w:noProof/>
            <w:webHidden/>
          </w:rPr>
          <w:t>x</w:t>
        </w:r>
        <w:r w:rsidR="00EF692F">
          <w:rPr>
            <w:noProof/>
            <w:webHidden/>
          </w:rPr>
          <w:fldChar w:fldCharType="end"/>
        </w:r>
      </w:hyperlink>
    </w:p>
    <w:p w14:paraId="23294BED" w14:textId="095CEC25" w:rsidR="00EF692F" w:rsidRDefault="00CF6066">
      <w:pPr>
        <w:pStyle w:val="TOC1"/>
        <w:rPr>
          <w:rFonts w:asciiTheme="minorHAnsi" w:eastAsiaTheme="minorEastAsia" w:hAnsiTheme="minorHAnsi" w:cstheme="minorBidi"/>
          <w:b w:val="0"/>
          <w:noProof/>
          <w:lang w:bidi="ar-SA"/>
        </w:rPr>
      </w:pPr>
      <w:hyperlink w:anchor="_Toc526505105" w:history="1">
        <w:r w:rsidR="00EF692F" w:rsidRPr="007A35F1">
          <w:rPr>
            <w:rStyle w:val="Hyperlink"/>
            <w:noProof/>
          </w:rPr>
          <w:t>1.</w:t>
        </w:r>
        <w:r w:rsidR="00EF692F">
          <w:rPr>
            <w:rFonts w:asciiTheme="minorHAnsi" w:eastAsiaTheme="minorEastAsia" w:hAnsiTheme="minorHAnsi" w:cstheme="minorBidi"/>
            <w:b w:val="0"/>
            <w:noProof/>
            <w:lang w:bidi="ar-SA"/>
          </w:rPr>
          <w:tab/>
        </w:r>
        <w:r w:rsidR="00EF692F" w:rsidRPr="007A35F1">
          <w:rPr>
            <w:rStyle w:val="Hyperlink"/>
            <w:noProof/>
          </w:rPr>
          <w:t>Introduction and Purpose</w:t>
        </w:r>
        <w:r w:rsidR="00EF692F">
          <w:rPr>
            <w:noProof/>
            <w:webHidden/>
          </w:rPr>
          <w:tab/>
        </w:r>
        <w:r w:rsidR="00EF692F">
          <w:rPr>
            <w:noProof/>
            <w:webHidden/>
          </w:rPr>
          <w:fldChar w:fldCharType="begin"/>
        </w:r>
        <w:r w:rsidR="00EF692F">
          <w:rPr>
            <w:noProof/>
            <w:webHidden/>
          </w:rPr>
          <w:instrText xml:space="preserve"> PAGEREF _Toc526505105 \h </w:instrText>
        </w:r>
        <w:r w:rsidR="00EF692F">
          <w:rPr>
            <w:noProof/>
            <w:webHidden/>
          </w:rPr>
        </w:r>
        <w:r w:rsidR="00EF692F">
          <w:rPr>
            <w:noProof/>
            <w:webHidden/>
          </w:rPr>
          <w:fldChar w:fldCharType="separate"/>
        </w:r>
        <w:r w:rsidR="00772F7E">
          <w:rPr>
            <w:noProof/>
            <w:webHidden/>
          </w:rPr>
          <w:t>1</w:t>
        </w:r>
        <w:r w:rsidR="00EF692F">
          <w:rPr>
            <w:noProof/>
            <w:webHidden/>
          </w:rPr>
          <w:fldChar w:fldCharType="end"/>
        </w:r>
      </w:hyperlink>
    </w:p>
    <w:p w14:paraId="02529260" w14:textId="3143B7DE" w:rsidR="00EF692F" w:rsidRDefault="00CF6066">
      <w:pPr>
        <w:pStyle w:val="TOC2"/>
        <w:tabs>
          <w:tab w:val="left" w:pos="1440"/>
        </w:tabs>
        <w:rPr>
          <w:rFonts w:asciiTheme="minorHAnsi" w:eastAsiaTheme="minorEastAsia" w:hAnsiTheme="minorHAnsi" w:cstheme="minorBidi"/>
          <w:i w:val="0"/>
          <w:lang w:bidi="ar-SA"/>
        </w:rPr>
      </w:pPr>
      <w:hyperlink w:anchor="_Toc526505106" w:history="1">
        <w:r w:rsidR="00EF692F" w:rsidRPr="007A35F1">
          <w:rPr>
            <w:rStyle w:val="Hyperlink"/>
          </w:rPr>
          <w:t>1.1</w:t>
        </w:r>
        <w:r w:rsidR="00EF692F">
          <w:rPr>
            <w:rFonts w:asciiTheme="minorHAnsi" w:eastAsiaTheme="minorEastAsia" w:hAnsiTheme="minorHAnsi" w:cstheme="minorBidi"/>
            <w:i w:val="0"/>
            <w:lang w:bidi="ar-SA"/>
          </w:rPr>
          <w:tab/>
        </w:r>
        <w:r w:rsidR="00EF692F" w:rsidRPr="007A35F1">
          <w:rPr>
            <w:rStyle w:val="Hyperlink"/>
          </w:rPr>
          <w:t>Introduction and Purpose of Document</w:t>
        </w:r>
        <w:r w:rsidR="00EF692F">
          <w:rPr>
            <w:webHidden/>
          </w:rPr>
          <w:tab/>
        </w:r>
        <w:r w:rsidR="00EF692F">
          <w:rPr>
            <w:webHidden/>
          </w:rPr>
          <w:fldChar w:fldCharType="begin"/>
        </w:r>
        <w:r w:rsidR="00EF692F">
          <w:rPr>
            <w:webHidden/>
          </w:rPr>
          <w:instrText xml:space="preserve"> PAGEREF _Toc526505106 \h </w:instrText>
        </w:r>
        <w:r w:rsidR="00EF692F">
          <w:rPr>
            <w:webHidden/>
          </w:rPr>
        </w:r>
        <w:r w:rsidR="00EF692F">
          <w:rPr>
            <w:webHidden/>
          </w:rPr>
          <w:fldChar w:fldCharType="separate"/>
        </w:r>
        <w:r w:rsidR="00772F7E">
          <w:rPr>
            <w:webHidden/>
          </w:rPr>
          <w:t>1</w:t>
        </w:r>
        <w:r w:rsidR="00EF692F">
          <w:rPr>
            <w:webHidden/>
          </w:rPr>
          <w:fldChar w:fldCharType="end"/>
        </w:r>
      </w:hyperlink>
    </w:p>
    <w:p w14:paraId="34C62718" w14:textId="0746F159" w:rsidR="00EF692F" w:rsidRDefault="00CF6066">
      <w:pPr>
        <w:pStyle w:val="TOC2"/>
        <w:tabs>
          <w:tab w:val="left" w:pos="1440"/>
        </w:tabs>
        <w:rPr>
          <w:rFonts w:asciiTheme="minorHAnsi" w:eastAsiaTheme="minorEastAsia" w:hAnsiTheme="minorHAnsi" w:cstheme="minorBidi"/>
          <w:i w:val="0"/>
          <w:lang w:bidi="ar-SA"/>
        </w:rPr>
      </w:pPr>
      <w:hyperlink w:anchor="_Toc526505107" w:history="1">
        <w:r w:rsidR="00EF692F" w:rsidRPr="007A35F1">
          <w:rPr>
            <w:rStyle w:val="Hyperlink"/>
          </w:rPr>
          <w:t>1.2</w:t>
        </w:r>
        <w:r w:rsidR="00EF692F">
          <w:rPr>
            <w:rFonts w:asciiTheme="minorHAnsi" w:eastAsiaTheme="minorEastAsia" w:hAnsiTheme="minorHAnsi" w:cstheme="minorBidi"/>
            <w:i w:val="0"/>
            <w:lang w:bidi="ar-SA"/>
          </w:rPr>
          <w:tab/>
        </w:r>
        <w:r w:rsidR="00EF692F" w:rsidRPr="007A35F1">
          <w:rPr>
            <w:rStyle w:val="Hyperlink"/>
          </w:rPr>
          <w:t>Document Organization</w:t>
        </w:r>
        <w:r w:rsidR="00EF692F">
          <w:rPr>
            <w:webHidden/>
          </w:rPr>
          <w:tab/>
        </w:r>
        <w:r w:rsidR="00EF692F">
          <w:rPr>
            <w:webHidden/>
          </w:rPr>
          <w:fldChar w:fldCharType="begin"/>
        </w:r>
        <w:r w:rsidR="00EF692F">
          <w:rPr>
            <w:webHidden/>
          </w:rPr>
          <w:instrText xml:space="preserve"> PAGEREF _Toc526505107 \h </w:instrText>
        </w:r>
        <w:r w:rsidR="00EF692F">
          <w:rPr>
            <w:webHidden/>
          </w:rPr>
        </w:r>
        <w:r w:rsidR="00EF692F">
          <w:rPr>
            <w:webHidden/>
          </w:rPr>
          <w:fldChar w:fldCharType="separate"/>
        </w:r>
        <w:r w:rsidR="00772F7E">
          <w:rPr>
            <w:webHidden/>
          </w:rPr>
          <w:t>6</w:t>
        </w:r>
        <w:r w:rsidR="00EF692F">
          <w:rPr>
            <w:webHidden/>
          </w:rPr>
          <w:fldChar w:fldCharType="end"/>
        </w:r>
      </w:hyperlink>
    </w:p>
    <w:p w14:paraId="30D6A2BB" w14:textId="34A8EB1E" w:rsidR="00EF692F" w:rsidRDefault="00CF6066">
      <w:pPr>
        <w:pStyle w:val="TOC1"/>
        <w:rPr>
          <w:rFonts w:asciiTheme="minorHAnsi" w:eastAsiaTheme="minorEastAsia" w:hAnsiTheme="minorHAnsi" w:cstheme="minorBidi"/>
          <w:b w:val="0"/>
          <w:noProof/>
          <w:lang w:bidi="ar-SA"/>
        </w:rPr>
      </w:pPr>
      <w:hyperlink w:anchor="_Toc526505108" w:history="1">
        <w:r w:rsidR="00EF692F" w:rsidRPr="007A35F1">
          <w:rPr>
            <w:rStyle w:val="Hyperlink"/>
            <w:noProof/>
          </w:rPr>
          <w:t>2.</w:t>
        </w:r>
        <w:r w:rsidR="00EF692F">
          <w:rPr>
            <w:rFonts w:asciiTheme="minorHAnsi" w:eastAsiaTheme="minorEastAsia" w:hAnsiTheme="minorHAnsi" w:cstheme="minorBidi"/>
            <w:b w:val="0"/>
            <w:noProof/>
            <w:lang w:bidi="ar-SA"/>
          </w:rPr>
          <w:tab/>
        </w:r>
        <w:r w:rsidR="00EF692F" w:rsidRPr="007A35F1">
          <w:rPr>
            <w:rStyle w:val="Hyperlink"/>
            <w:noProof/>
          </w:rPr>
          <w:t>Conceptual Models and Indicators to Assess Biostimulatory Impacts in Wadeable Streams</w:t>
        </w:r>
        <w:r w:rsidR="00EF692F">
          <w:rPr>
            <w:noProof/>
            <w:webHidden/>
          </w:rPr>
          <w:tab/>
        </w:r>
        <w:r w:rsidR="00EF692F">
          <w:rPr>
            <w:noProof/>
            <w:webHidden/>
          </w:rPr>
          <w:fldChar w:fldCharType="begin"/>
        </w:r>
        <w:r w:rsidR="00EF692F">
          <w:rPr>
            <w:noProof/>
            <w:webHidden/>
          </w:rPr>
          <w:instrText xml:space="preserve"> PAGEREF _Toc526505108 \h </w:instrText>
        </w:r>
        <w:r w:rsidR="00EF692F">
          <w:rPr>
            <w:noProof/>
            <w:webHidden/>
          </w:rPr>
        </w:r>
        <w:r w:rsidR="00EF692F">
          <w:rPr>
            <w:noProof/>
            <w:webHidden/>
          </w:rPr>
          <w:fldChar w:fldCharType="separate"/>
        </w:r>
        <w:r w:rsidR="00772F7E">
          <w:rPr>
            <w:noProof/>
            <w:webHidden/>
          </w:rPr>
          <w:t>7</w:t>
        </w:r>
        <w:r w:rsidR="00EF692F">
          <w:rPr>
            <w:noProof/>
            <w:webHidden/>
          </w:rPr>
          <w:fldChar w:fldCharType="end"/>
        </w:r>
      </w:hyperlink>
    </w:p>
    <w:p w14:paraId="352DB6B4" w14:textId="639202C4" w:rsidR="00EF692F" w:rsidRDefault="00CF6066">
      <w:pPr>
        <w:pStyle w:val="TOC2"/>
        <w:tabs>
          <w:tab w:val="left" w:pos="1440"/>
        </w:tabs>
        <w:rPr>
          <w:rFonts w:asciiTheme="minorHAnsi" w:eastAsiaTheme="minorEastAsia" w:hAnsiTheme="minorHAnsi" w:cstheme="minorBidi"/>
          <w:i w:val="0"/>
          <w:lang w:bidi="ar-SA"/>
        </w:rPr>
      </w:pPr>
      <w:hyperlink w:anchor="_Toc526505109" w:history="1">
        <w:r w:rsidR="00EF692F" w:rsidRPr="007A35F1">
          <w:rPr>
            <w:rStyle w:val="Hyperlink"/>
          </w:rPr>
          <w:t>2.1</w:t>
        </w:r>
        <w:r w:rsidR="00EF692F">
          <w:rPr>
            <w:rFonts w:asciiTheme="minorHAnsi" w:eastAsiaTheme="minorEastAsia" w:hAnsiTheme="minorHAnsi" w:cstheme="minorBidi"/>
            <w:i w:val="0"/>
            <w:lang w:bidi="ar-SA"/>
          </w:rPr>
          <w:tab/>
        </w:r>
        <w:r w:rsidR="00EF692F" w:rsidRPr="007A35F1">
          <w:rPr>
            <w:rStyle w:val="Hyperlink"/>
          </w:rPr>
          <w:t>Conceptual Models of Eutrophication in Wadeable Streams</w:t>
        </w:r>
        <w:r w:rsidR="00EF692F">
          <w:rPr>
            <w:webHidden/>
          </w:rPr>
          <w:tab/>
        </w:r>
        <w:r w:rsidR="00EF692F">
          <w:rPr>
            <w:webHidden/>
          </w:rPr>
          <w:fldChar w:fldCharType="begin"/>
        </w:r>
        <w:r w:rsidR="00EF692F">
          <w:rPr>
            <w:webHidden/>
          </w:rPr>
          <w:instrText xml:space="preserve"> PAGEREF _Toc526505109 \h </w:instrText>
        </w:r>
        <w:r w:rsidR="00EF692F">
          <w:rPr>
            <w:webHidden/>
          </w:rPr>
        </w:r>
        <w:r w:rsidR="00EF692F">
          <w:rPr>
            <w:webHidden/>
          </w:rPr>
          <w:fldChar w:fldCharType="separate"/>
        </w:r>
        <w:r w:rsidR="00772F7E">
          <w:rPr>
            <w:webHidden/>
          </w:rPr>
          <w:t>7</w:t>
        </w:r>
        <w:r w:rsidR="00EF692F">
          <w:rPr>
            <w:webHidden/>
          </w:rPr>
          <w:fldChar w:fldCharType="end"/>
        </w:r>
      </w:hyperlink>
    </w:p>
    <w:p w14:paraId="35C6D7E8" w14:textId="3765A2BC" w:rsidR="00EF692F" w:rsidRDefault="00CF6066">
      <w:pPr>
        <w:pStyle w:val="TOC3"/>
        <w:rPr>
          <w:rFonts w:asciiTheme="minorHAnsi" w:eastAsiaTheme="minorEastAsia" w:hAnsiTheme="minorHAnsi" w:cstheme="minorBidi"/>
          <w:noProof/>
          <w:lang w:bidi="ar-SA"/>
        </w:rPr>
      </w:pPr>
      <w:hyperlink w:anchor="_Toc526505110" w:history="1">
        <w:r w:rsidR="00EF692F" w:rsidRPr="007A35F1">
          <w:rPr>
            <w:rStyle w:val="Hyperlink"/>
            <w:noProof/>
          </w:rPr>
          <w:t>2.1.1 Changes in Autotrophic (Primary Producers) and Heterotrophic Communities</w:t>
        </w:r>
        <w:r w:rsidR="00EF692F">
          <w:rPr>
            <w:noProof/>
            <w:webHidden/>
          </w:rPr>
          <w:tab/>
        </w:r>
        <w:r w:rsidR="00EF692F">
          <w:rPr>
            <w:noProof/>
            <w:webHidden/>
          </w:rPr>
          <w:fldChar w:fldCharType="begin"/>
        </w:r>
        <w:r w:rsidR="00EF692F">
          <w:rPr>
            <w:noProof/>
            <w:webHidden/>
          </w:rPr>
          <w:instrText xml:space="preserve"> PAGEREF _Toc526505110 \h </w:instrText>
        </w:r>
        <w:r w:rsidR="00EF692F">
          <w:rPr>
            <w:noProof/>
            <w:webHidden/>
          </w:rPr>
        </w:r>
        <w:r w:rsidR="00EF692F">
          <w:rPr>
            <w:noProof/>
            <w:webHidden/>
          </w:rPr>
          <w:fldChar w:fldCharType="separate"/>
        </w:r>
        <w:r w:rsidR="00772F7E">
          <w:rPr>
            <w:noProof/>
            <w:webHidden/>
          </w:rPr>
          <w:t>11</w:t>
        </w:r>
        <w:r w:rsidR="00EF692F">
          <w:rPr>
            <w:noProof/>
            <w:webHidden/>
          </w:rPr>
          <w:fldChar w:fldCharType="end"/>
        </w:r>
      </w:hyperlink>
    </w:p>
    <w:p w14:paraId="2855A1D2" w14:textId="740CFE5A" w:rsidR="00EF692F" w:rsidRDefault="00CF6066">
      <w:pPr>
        <w:pStyle w:val="TOC3"/>
        <w:rPr>
          <w:rFonts w:asciiTheme="minorHAnsi" w:eastAsiaTheme="minorEastAsia" w:hAnsiTheme="minorHAnsi" w:cstheme="minorBidi"/>
          <w:noProof/>
          <w:lang w:bidi="ar-SA"/>
        </w:rPr>
      </w:pPr>
      <w:hyperlink w:anchor="_Toc526505111" w:history="1">
        <w:r w:rsidR="00EF692F" w:rsidRPr="007A35F1">
          <w:rPr>
            <w:rStyle w:val="Hyperlink"/>
            <w:noProof/>
          </w:rPr>
          <w:t>2.1.2. Changes to Physical Habitat, Water and Benthic Chemistry</w:t>
        </w:r>
        <w:r w:rsidR="00EF692F">
          <w:rPr>
            <w:noProof/>
            <w:webHidden/>
          </w:rPr>
          <w:tab/>
        </w:r>
        <w:r w:rsidR="00EF692F">
          <w:rPr>
            <w:noProof/>
            <w:webHidden/>
          </w:rPr>
          <w:fldChar w:fldCharType="begin"/>
        </w:r>
        <w:r w:rsidR="00EF692F">
          <w:rPr>
            <w:noProof/>
            <w:webHidden/>
          </w:rPr>
          <w:instrText xml:space="preserve"> PAGEREF _Toc526505111 \h </w:instrText>
        </w:r>
        <w:r w:rsidR="00EF692F">
          <w:rPr>
            <w:noProof/>
            <w:webHidden/>
          </w:rPr>
        </w:r>
        <w:r w:rsidR="00EF692F">
          <w:rPr>
            <w:noProof/>
            <w:webHidden/>
          </w:rPr>
          <w:fldChar w:fldCharType="separate"/>
        </w:r>
        <w:r w:rsidR="00772F7E">
          <w:rPr>
            <w:noProof/>
            <w:webHidden/>
          </w:rPr>
          <w:t>12</w:t>
        </w:r>
        <w:r w:rsidR="00EF692F">
          <w:rPr>
            <w:noProof/>
            <w:webHidden/>
          </w:rPr>
          <w:fldChar w:fldCharType="end"/>
        </w:r>
      </w:hyperlink>
    </w:p>
    <w:p w14:paraId="782DB427" w14:textId="17941E76" w:rsidR="00EF692F" w:rsidRDefault="00CF6066">
      <w:pPr>
        <w:pStyle w:val="TOC3"/>
        <w:rPr>
          <w:rFonts w:asciiTheme="minorHAnsi" w:eastAsiaTheme="minorEastAsia" w:hAnsiTheme="minorHAnsi" w:cstheme="minorBidi"/>
          <w:noProof/>
          <w:lang w:bidi="ar-SA"/>
        </w:rPr>
      </w:pPr>
      <w:hyperlink w:anchor="_Toc526505112" w:history="1">
        <w:r w:rsidR="00EF692F" w:rsidRPr="007A35F1">
          <w:rPr>
            <w:rStyle w:val="Hyperlink"/>
            <w:noProof/>
          </w:rPr>
          <w:t>2.1.3 Changes to Primary and Secondary Consumers</w:t>
        </w:r>
        <w:r w:rsidR="00EF692F">
          <w:rPr>
            <w:noProof/>
            <w:webHidden/>
          </w:rPr>
          <w:tab/>
        </w:r>
        <w:r w:rsidR="00EF692F">
          <w:rPr>
            <w:noProof/>
            <w:webHidden/>
          </w:rPr>
          <w:fldChar w:fldCharType="begin"/>
        </w:r>
        <w:r w:rsidR="00EF692F">
          <w:rPr>
            <w:noProof/>
            <w:webHidden/>
          </w:rPr>
          <w:instrText xml:space="preserve"> PAGEREF _Toc526505112 \h </w:instrText>
        </w:r>
        <w:r w:rsidR="00EF692F">
          <w:rPr>
            <w:noProof/>
            <w:webHidden/>
          </w:rPr>
        </w:r>
        <w:r w:rsidR="00EF692F">
          <w:rPr>
            <w:noProof/>
            <w:webHidden/>
          </w:rPr>
          <w:fldChar w:fldCharType="separate"/>
        </w:r>
        <w:r w:rsidR="00772F7E">
          <w:rPr>
            <w:noProof/>
            <w:webHidden/>
          </w:rPr>
          <w:t>16</w:t>
        </w:r>
        <w:r w:rsidR="00EF692F">
          <w:rPr>
            <w:noProof/>
            <w:webHidden/>
          </w:rPr>
          <w:fldChar w:fldCharType="end"/>
        </w:r>
      </w:hyperlink>
    </w:p>
    <w:p w14:paraId="0C652539" w14:textId="3B515967" w:rsidR="00EF692F" w:rsidRDefault="00CF6066">
      <w:pPr>
        <w:pStyle w:val="TOC3"/>
        <w:rPr>
          <w:rFonts w:asciiTheme="minorHAnsi" w:eastAsiaTheme="minorEastAsia" w:hAnsiTheme="minorHAnsi" w:cstheme="minorBidi"/>
          <w:noProof/>
          <w:lang w:bidi="ar-SA"/>
        </w:rPr>
      </w:pPr>
      <w:hyperlink w:anchor="_Toc526505113" w:history="1">
        <w:r w:rsidR="00EF692F" w:rsidRPr="007A35F1">
          <w:rPr>
            <w:rStyle w:val="Hyperlink"/>
            <w:noProof/>
          </w:rPr>
          <w:t>2.1.4 Linkage of Wadeable Stream Eutrophication to Impaired Uses</w:t>
        </w:r>
        <w:r w:rsidR="00EF692F">
          <w:rPr>
            <w:noProof/>
            <w:webHidden/>
          </w:rPr>
          <w:tab/>
        </w:r>
        <w:r w:rsidR="00EF692F">
          <w:rPr>
            <w:noProof/>
            <w:webHidden/>
          </w:rPr>
          <w:fldChar w:fldCharType="begin"/>
        </w:r>
        <w:r w:rsidR="00EF692F">
          <w:rPr>
            <w:noProof/>
            <w:webHidden/>
          </w:rPr>
          <w:instrText xml:space="preserve"> PAGEREF _Toc526505113 \h </w:instrText>
        </w:r>
        <w:r w:rsidR="00EF692F">
          <w:rPr>
            <w:noProof/>
            <w:webHidden/>
          </w:rPr>
        </w:r>
        <w:r w:rsidR="00EF692F">
          <w:rPr>
            <w:noProof/>
            <w:webHidden/>
          </w:rPr>
          <w:fldChar w:fldCharType="separate"/>
        </w:r>
        <w:r w:rsidR="00772F7E">
          <w:rPr>
            <w:noProof/>
            <w:webHidden/>
          </w:rPr>
          <w:t>17</w:t>
        </w:r>
        <w:r w:rsidR="00EF692F">
          <w:rPr>
            <w:noProof/>
            <w:webHidden/>
          </w:rPr>
          <w:fldChar w:fldCharType="end"/>
        </w:r>
      </w:hyperlink>
    </w:p>
    <w:p w14:paraId="1F51A24C" w14:textId="2F5140F4" w:rsidR="00EF692F" w:rsidRDefault="00CF6066">
      <w:pPr>
        <w:pStyle w:val="TOC2"/>
        <w:rPr>
          <w:rFonts w:asciiTheme="minorHAnsi" w:eastAsiaTheme="minorEastAsia" w:hAnsiTheme="minorHAnsi" w:cstheme="minorBidi"/>
          <w:i w:val="0"/>
          <w:lang w:bidi="ar-SA"/>
        </w:rPr>
      </w:pPr>
      <w:hyperlink w:anchor="_Toc526505114" w:history="1">
        <w:r w:rsidR="00EF692F" w:rsidRPr="007A35F1">
          <w:rPr>
            <w:rStyle w:val="Hyperlink"/>
          </w:rPr>
          <w:t>2.2. Evaluation of Candidate Eutrophication Indicators</w:t>
        </w:r>
        <w:r w:rsidR="00EF692F">
          <w:rPr>
            <w:webHidden/>
          </w:rPr>
          <w:tab/>
        </w:r>
        <w:r w:rsidR="00EF692F">
          <w:rPr>
            <w:webHidden/>
          </w:rPr>
          <w:fldChar w:fldCharType="begin"/>
        </w:r>
        <w:r w:rsidR="00EF692F">
          <w:rPr>
            <w:webHidden/>
          </w:rPr>
          <w:instrText xml:space="preserve"> PAGEREF _Toc526505114 \h </w:instrText>
        </w:r>
        <w:r w:rsidR="00EF692F">
          <w:rPr>
            <w:webHidden/>
          </w:rPr>
        </w:r>
        <w:r w:rsidR="00EF692F">
          <w:rPr>
            <w:webHidden/>
          </w:rPr>
          <w:fldChar w:fldCharType="separate"/>
        </w:r>
        <w:r w:rsidR="00772F7E">
          <w:rPr>
            <w:webHidden/>
          </w:rPr>
          <w:t>18</w:t>
        </w:r>
        <w:r w:rsidR="00EF692F">
          <w:rPr>
            <w:webHidden/>
          </w:rPr>
          <w:fldChar w:fldCharType="end"/>
        </w:r>
      </w:hyperlink>
    </w:p>
    <w:p w14:paraId="19CC05FE" w14:textId="315C0A94" w:rsidR="00EF692F" w:rsidRDefault="00CF6066">
      <w:pPr>
        <w:pStyle w:val="TOC3"/>
        <w:rPr>
          <w:rFonts w:asciiTheme="minorHAnsi" w:eastAsiaTheme="minorEastAsia" w:hAnsiTheme="minorHAnsi" w:cstheme="minorBidi"/>
          <w:noProof/>
          <w:lang w:bidi="ar-SA"/>
        </w:rPr>
      </w:pPr>
      <w:hyperlink w:anchor="_Toc526505115" w:history="1">
        <w:r w:rsidR="00EF692F" w:rsidRPr="007A35F1">
          <w:rPr>
            <w:rStyle w:val="Hyperlink"/>
            <w:noProof/>
          </w:rPr>
          <w:t>2.2.1 Criteria for Selection of Candidate Eutrophication Indicators</w:t>
        </w:r>
        <w:r w:rsidR="00EF692F">
          <w:rPr>
            <w:noProof/>
            <w:webHidden/>
          </w:rPr>
          <w:tab/>
        </w:r>
        <w:r w:rsidR="00EF692F">
          <w:rPr>
            <w:noProof/>
            <w:webHidden/>
          </w:rPr>
          <w:fldChar w:fldCharType="begin"/>
        </w:r>
        <w:r w:rsidR="00EF692F">
          <w:rPr>
            <w:noProof/>
            <w:webHidden/>
          </w:rPr>
          <w:instrText xml:space="preserve"> PAGEREF _Toc526505115 \h </w:instrText>
        </w:r>
        <w:r w:rsidR="00EF692F">
          <w:rPr>
            <w:noProof/>
            <w:webHidden/>
          </w:rPr>
        </w:r>
        <w:r w:rsidR="00EF692F">
          <w:rPr>
            <w:noProof/>
            <w:webHidden/>
          </w:rPr>
          <w:fldChar w:fldCharType="separate"/>
        </w:r>
        <w:r w:rsidR="00772F7E">
          <w:rPr>
            <w:noProof/>
            <w:webHidden/>
          </w:rPr>
          <w:t>18</w:t>
        </w:r>
        <w:r w:rsidR="00EF692F">
          <w:rPr>
            <w:noProof/>
            <w:webHidden/>
          </w:rPr>
          <w:fldChar w:fldCharType="end"/>
        </w:r>
      </w:hyperlink>
    </w:p>
    <w:p w14:paraId="430EA695" w14:textId="511538F1" w:rsidR="00EF692F" w:rsidRDefault="00CF6066">
      <w:pPr>
        <w:pStyle w:val="TOC3"/>
        <w:rPr>
          <w:rFonts w:asciiTheme="minorHAnsi" w:eastAsiaTheme="minorEastAsia" w:hAnsiTheme="minorHAnsi" w:cstheme="minorBidi"/>
          <w:noProof/>
          <w:lang w:bidi="ar-SA"/>
        </w:rPr>
      </w:pPr>
      <w:hyperlink w:anchor="_Toc526505116" w:history="1">
        <w:r w:rsidR="00EF692F" w:rsidRPr="007A35F1">
          <w:rPr>
            <w:rStyle w:val="Hyperlink"/>
            <w:noProof/>
          </w:rPr>
          <w:t>2.2.2 Evaluation of Algal Abundance, Aquatic Plants, and Organic Matter Accumulation Indicators</w:t>
        </w:r>
        <w:r w:rsidR="00EF692F">
          <w:rPr>
            <w:noProof/>
            <w:webHidden/>
          </w:rPr>
          <w:tab/>
        </w:r>
        <w:r w:rsidR="00EF692F">
          <w:rPr>
            <w:noProof/>
            <w:webHidden/>
          </w:rPr>
          <w:fldChar w:fldCharType="begin"/>
        </w:r>
        <w:r w:rsidR="00EF692F">
          <w:rPr>
            <w:noProof/>
            <w:webHidden/>
          </w:rPr>
          <w:instrText xml:space="preserve"> PAGEREF _Toc526505116 \h </w:instrText>
        </w:r>
        <w:r w:rsidR="00EF692F">
          <w:rPr>
            <w:noProof/>
            <w:webHidden/>
          </w:rPr>
        </w:r>
        <w:r w:rsidR="00EF692F">
          <w:rPr>
            <w:noProof/>
            <w:webHidden/>
          </w:rPr>
          <w:fldChar w:fldCharType="separate"/>
        </w:r>
        <w:r w:rsidR="00772F7E">
          <w:rPr>
            <w:noProof/>
            <w:webHidden/>
          </w:rPr>
          <w:t>21</w:t>
        </w:r>
        <w:r w:rsidR="00EF692F">
          <w:rPr>
            <w:noProof/>
            <w:webHidden/>
          </w:rPr>
          <w:fldChar w:fldCharType="end"/>
        </w:r>
      </w:hyperlink>
    </w:p>
    <w:p w14:paraId="24197CA5" w14:textId="5D9BD4F9" w:rsidR="00EF692F" w:rsidRDefault="00CF6066">
      <w:pPr>
        <w:pStyle w:val="TOC3"/>
        <w:rPr>
          <w:rFonts w:asciiTheme="minorHAnsi" w:eastAsiaTheme="minorEastAsia" w:hAnsiTheme="minorHAnsi" w:cstheme="minorBidi"/>
          <w:noProof/>
          <w:lang w:bidi="ar-SA"/>
        </w:rPr>
      </w:pPr>
      <w:hyperlink w:anchor="_Toc526505117" w:history="1">
        <w:r w:rsidR="00EF692F" w:rsidRPr="007A35F1">
          <w:rPr>
            <w:rStyle w:val="Hyperlink"/>
            <w:noProof/>
          </w:rPr>
          <w:t>2.2.3 Algal or Benthic Macroinvertebrate Community Composition</w:t>
        </w:r>
        <w:r w:rsidR="00EF692F">
          <w:rPr>
            <w:noProof/>
            <w:webHidden/>
          </w:rPr>
          <w:tab/>
        </w:r>
        <w:r w:rsidR="00EF692F">
          <w:rPr>
            <w:noProof/>
            <w:webHidden/>
          </w:rPr>
          <w:fldChar w:fldCharType="begin"/>
        </w:r>
        <w:r w:rsidR="00EF692F">
          <w:rPr>
            <w:noProof/>
            <w:webHidden/>
          </w:rPr>
          <w:instrText xml:space="preserve"> PAGEREF _Toc526505117 \h </w:instrText>
        </w:r>
        <w:r w:rsidR="00EF692F">
          <w:rPr>
            <w:noProof/>
            <w:webHidden/>
          </w:rPr>
        </w:r>
        <w:r w:rsidR="00EF692F">
          <w:rPr>
            <w:noProof/>
            <w:webHidden/>
          </w:rPr>
          <w:fldChar w:fldCharType="separate"/>
        </w:r>
        <w:r w:rsidR="00772F7E">
          <w:rPr>
            <w:noProof/>
            <w:webHidden/>
          </w:rPr>
          <w:t>23</w:t>
        </w:r>
        <w:r w:rsidR="00EF692F">
          <w:rPr>
            <w:noProof/>
            <w:webHidden/>
          </w:rPr>
          <w:fldChar w:fldCharType="end"/>
        </w:r>
      </w:hyperlink>
    </w:p>
    <w:p w14:paraId="00CF899B" w14:textId="25680B6A" w:rsidR="00EF692F" w:rsidRDefault="00CF6066">
      <w:pPr>
        <w:pStyle w:val="TOC3"/>
        <w:rPr>
          <w:rFonts w:asciiTheme="minorHAnsi" w:eastAsiaTheme="minorEastAsia" w:hAnsiTheme="minorHAnsi" w:cstheme="minorBidi"/>
          <w:noProof/>
          <w:lang w:bidi="ar-SA"/>
        </w:rPr>
      </w:pPr>
      <w:hyperlink w:anchor="_Toc526505118" w:history="1">
        <w:r w:rsidR="00EF692F" w:rsidRPr="007A35F1">
          <w:rPr>
            <w:rStyle w:val="Hyperlink"/>
            <w:noProof/>
          </w:rPr>
          <w:t>2.2.4 Harmful Algal Bloom Cell Density and Toxin Concentrations</w:t>
        </w:r>
        <w:r w:rsidR="00EF692F">
          <w:rPr>
            <w:noProof/>
            <w:webHidden/>
          </w:rPr>
          <w:tab/>
        </w:r>
        <w:r w:rsidR="00EF692F">
          <w:rPr>
            <w:noProof/>
            <w:webHidden/>
          </w:rPr>
          <w:fldChar w:fldCharType="begin"/>
        </w:r>
        <w:r w:rsidR="00EF692F">
          <w:rPr>
            <w:noProof/>
            <w:webHidden/>
          </w:rPr>
          <w:instrText xml:space="preserve"> PAGEREF _Toc526505118 \h </w:instrText>
        </w:r>
        <w:r w:rsidR="00EF692F">
          <w:rPr>
            <w:noProof/>
            <w:webHidden/>
          </w:rPr>
        </w:r>
        <w:r w:rsidR="00EF692F">
          <w:rPr>
            <w:noProof/>
            <w:webHidden/>
          </w:rPr>
          <w:fldChar w:fldCharType="separate"/>
        </w:r>
        <w:r w:rsidR="00772F7E">
          <w:rPr>
            <w:noProof/>
            <w:webHidden/>
          </w:rPr>
          <w:t>25</w:t>
        </w:r>
        <w:r w:rsidR="00EF692F">
          <w:rPr>
            <w:noProof/>
            <w:webHidden/>
          </w:rPr>
          <w:fldChar w:fldCharType="end"/>
        </w:r>
      </w:hyperlink>
    </w:p>
    <w:p w14:paraId="34DEB39C" w14:textId="170F32E2" w:rsidR="00EF692F" w:rsidRDefault="00CF6066">
      <w:pPr>
        <w:pStyle w:val="TOC3"/>
        <w:rPr>
          <w:rFonts w:asciiTheme="minorHAnsi" w:eastAsiaTheme="minorEastAsia" w:hAnsiTheme="minorHAnsi" w:cstheme="minorBidi"/>
          <w:noProof/>
          <w:lang w:bidi="ar-SA"/>
        </w:rPr>
      </w:pPr>
      <w:hyperlink w:anchor="_Toc526505119" w:history="1">
        <w:r w:rsidR="00EF692F" w:rsidRPr="007A35F1">
          <w:rPr>
            <w:rStyle w:val="Hyperlink"/>
            <w:noProof/>
          </w:rPr>
          <w:t>2.2.5 Indicators of Water Column or Benthic Chemistry</w:t>
        </w:r>
        <w:r w:rsidR="00EF692F">
          <w:rPr>
            <w:noProof/>
            <w:webHidden/>
          </w:rPr>
          <w:tab/>
        </w:r>
        <w:r w:rsidR="00EF692F">
          <w:rPr>
            <w:noProof/>
            <w:webHidden/>
          </w:rPr>
          <w:fldChar w:fldCharType="begin"/>
        </w:r>
        <w:r w:rsidR="00EF692F">
          <w:rPr>
            <w:noProof/>
            <w:webHidden/>
          </w:rPr>
          <w:instrText xml:space="preserve"> PAGEREF _Toc526505119 \h </w:instrText>
        </w:r>
        <w:r w:rsidR="00EF692F">
          <w:rPr>
            <w:noProof/>
            <w:webHidden/>
          </w:rPr>
        </w:r>
        <w:r w:rsidR="00EF692F">
          <w:rPr>
            <w:noProof/>
            <w:webHidden/>
          </w:rPr>
          <w:fldChar w:fldCharType="separate"/>
        </w:r>
        <w:r w:rsidR="00772F7E">
          <w:rPr>
            <w:noProof/>
            <w:webHidden/>
          </w:rPr>
          <w:t>29</w:t>
        </w:r>
        <w:r w:rsidR="00EF692F">
          <w:rPr>
            <w:noProof/>
            <w:webHidden/>
          </w:rPr>
          <w:fldChar w:fldCharType="end"/>
        </w:r>
      </w:hyperlink>
    </w:p>
    <w:p w14:paraId="5E9D3945" w14:textId="09965E76" w:rsidR="00EF692F" w:rsidRDefault="00CF6066">
      <w:pPr>
        <w:pStyle w:val="TOC2"/>
        <w:rPr>
          <w:rFonts w:asciiTheme="minorHAnsi" w:eastAsiaTheme="minorEastAsia" w:hAnsiTheme="minorHAnsi" w:cstheme="minorBidi"/>
          <w:i w:val="0"/>
          <w:lang w:bidi="ar-SA"/>
        </w:rPr>
      </w:pPr>
      <w:hyperlink w:anchor="_Toc526505120" w:history="1">
        <w:r w:rsidR="00EF692F" w:rsidRPr="007A35F1">
          <w:rPr>
            <w:rStyle w:val="Hyperlink"/>
          </w:rPr>
          <w:t>2.3 Biostimulatory Substances and Conditions</w:t>
        </w:r>
        <w:r w:rsidR="00EF692F">
          <w:rPr>
            <w:webHidden/>
          </w:rPr>
          <w:tab/>
        </w:r>
        <w:r w:rsidR="00EF692F">
          <w:rPr>
            <w:webHidden/>
          </w:rPr>
          <w:fldChar w:fldCharType="begin"/>
        </w:r>
        <w:r w:rsidR="00EF692F">
          <w:rPr>
            <w:webHidden/>
          </w:rPr>
          <w:instrText xml:space="preserve"> PAGEREF _Toc526505120 \h </w:instrText>
        </w:r>
        <w:r w:rsidR="00EF692F">
          <w:rPr>
            <w:webHidden/>
          </w:rPr>
        </w:r>
        <w:r w:rsidR="00EF692F">
          <w:rPr>
            <w:webHidden/>
          </w:rPr>
          <w:fldChar w:fldCharType="separate"/>
        </w:r>
        <w:r w:rsidR="00772F7E">
          <w:rPr>
            <w:webHidden/>
          </w:rPr>
          <w:t>33</w:t>
        </w:r>
        <w:r w:rsidR="00EF692F">
          <w:rPr>
            <w:webHidden/>
          </w:rPr>
          <w:fldChar w:fldCharType="end"/>
        </w:r>
      </w:hyperlink>
    </w:p>
    <w:p w14:paraId="50AAE9FD" w14:textId="24EBC0B8" w:rsidR="00EF692F" w:rsidRDefault="00CF6066">
      <w:pPr>
        <w:pStyle w:val="TOC3"/>
        <w:rPr>
          <w:rFonts w:asciiTheme="minorHAnsi" w:eastAsiaTheme="minorEastAsia" w:hAnsiTheme="minorHAnsi" w:cstheme="minorBidi"/>
          <w:noProof/>
          <w:lang w:bidi="ar-SA"/>
        </w:rPr>
      </w:pPr>
      <w:hyperlink w:anchor="_Toc526505121" w:history="1">
        <w:r w:rsidR="00EF692F" w:rsidRPr="007A35F1">
          <w:rPr>
            <w:rStyle w:val="Hyperlink"/>
            <w:noProof/>
          </w:rPr>
          <w:t>2.3.1 Nutrient and Organic Matter Pollution</w:t>
        </w:r>
        <w:r w:rsidR="00EF692F">
          <w:rPr>
            <w:noProof/>
            <w:webHidden/>
          </w:rPr>
          <w:tab/>
        </w:r>
        <w:r w:rsidR="00EF692F">
          <w:rPr>
            <w:noProof/>
            <w:webHidden/>
          </w:rPr>
          <w:fldChar w:fldCharType="begin"/>
        </w:r>
        <w:r w:rsidR="00EF692F">
          <w:rPr>
            <w:noProof/>
            <w:webHidden/>
          </w:rPr>
          <w:instrText xml:space="preserve"> PAGEREF _Toc526505121 \h </w:instrText>
        </w:r>
        <w:r w:rsidR="00EF692F">
          <w:rPr>
            <w:noProof/>
            <w:webHidden/>
          </w:rPr>
        </w:r>
        <w:r w:rsidR="00EF692F">
          <w:rPr>
            <w:noProof/>
            <w:webHidden/>
          </w:rPr>
          <w:fldChar w:fldCharType="separate"/>
        </w:r>
        <w:r w:rsidR="00772F7E">
          <w:rPr>
            <w:noProof/>
            <w:webHidden/>
          </w:rPr>
          <w:t>33</w:t>
        </w:r>
        <w:r w:rsidR="00EF692F">
          <w:rPr>
            <w:noProof/>
            <w:webHidden/>
          </w:rPr>
          <w:fldChar w:fldCharType="end"/>
        </w:r>
      </w:hyperlink>
    </w:p>
    <w:p w14:paraId="47DF6FDE" w14:textId="4048434F" w:rsidR="00EF692F" w:rsidRDefault="00CF6066">
      <w:pPr>
        <w:pStyle w:val="TOC3"/>
        <w:rPr>
          <w:rFonts w:asciiTheme="minorHAnsi" w:eastAsiaTheme="minorEastAsia" w:hAnsiTheme="minorHAnsi" w:cstheme="minorBidi"/>
          <w:noProof/>
          <w:lang w:bidi="ar-SA"/>
        </w:rPr>
      </w:pPr>
      <w:hyperlink w:anchor="_Toc526505122" w:history="1">
        <w:r w:rsidR="00EF692F" w:rsidRPr="007A35F1">
          <w:rPr>
            <w:rStyle w:val="Hyperlink"/>
            <w:noProof/>
          </w:rPr>
          <w:t>2.3.2 Irradiance, Water Clarity, and Temperature</w:t>
        </w:r>
        <w:r w:rsidR="00EF692F">
          <w:rPr>
            <w:noProof/>
            <w:webHidden/>
          </w:rPr>
          <w:tab/>
        </w:r>
        <w:r w:rsidR="00EF692F">
          <w:rPr>
            <w:noProof/>
            <w:webHidden/>
          </w:rPr>
          <w:fldChar w:fldCharType="begin"/>
        </w:r>
        <w:r w:rsidR="00EF692F">
          <w:rPr>
            <w:noProof/>
            <w:webHidden/>
          </w:rPr>
          <w:instrText xml:space="preserve"> PAGEREF _Toc526505122 \h </w:instrText>
        </w:r>
        <w:r w:rsidR="00EF692F">
          <w:rPr>
            <w:noProof/>
            <w:webHidden/>
          </w:rPr>
        </w:r>
        <w:r w:rsidR="00EF692F">
          <w:rPr>
            <w:noProof/>
            <w:webHidden/>
          </w:rPr>
          <w:fldChar w:fldCharType="separate"/>
        </w:r>
        <w:r w:rsidR="00772F7E">
          <w:rPr>
            <w:noProof/>
            <w:webHidden/>
          </w:rPr>
          <w:t>36</w:t>
        </w:r>
        <w:r w:rsidR="00EF692F">
          <w:rPr>
            <w:noProof/>
            <w:webHidden/>
          </w:rPr>
          <w:fldChar w:fldCharType="end"/>
        </w:r>
      </w:hyperlink>
    </w:p>
    <w:p w14:paraId="61D37322" w14:textId="6E24EE05" w:rsidR="00EF692F" w:rsidRDefault="00CF6066">
      <w:pPr>
        <w:pStyle w:val="TOC3"/>
        <w:rPr>
          <w:rFonts w:asciiTheme="minorHAnsi" w:eastAsiaTheme="minorEastAsia" w:hAnsiTheme="minorHAnsi" w:cstheme="minorBidi"/>
          <w:noProof/>
          <w:lang w:bidi="ar-SA"/>
        </w:rPr>
      </w:pPr>
      <w:hyperlink w:anchor="_Toc526505123" w:history="1">
        <w:r w:rsidR="00EF692F" w:rsidRPr="007A35F1">
          <w:rPr>
            <w:rStyle w:val="Hyperlink"/>
            <w:noProof/>
          </w:rPr>
          <w:t>2.3.3 Hydromodification and Physical Habitat Alteration</w:t>
        </w:r>
        <w:r w:rsidR="00EF692F">
          <w:rPr>
            <w:noProof/>
            <w:webHidden/>
          </w:rPr>
          <w:tab/>
        </w:r>
        <w:r w:rsidR="00EF692F">
          <w:rPr>
            <w:noProof/>
            <w:webHidden/>
          </w:rPr>
          <w:fldChar w:fldCharType="begin"/>
        </w:r>
        <w:r w:rsidR="00EF692F">
          <w:rPr>
            <w:noProof/>
            <w:webHidden/>
          </w:rPr>
          <w:instrText xml:space="preserve"> PAGEREF _Toc526505123 \h </w:instrText>
        </w:r>
        <w:r w:rsidR="00EF692F">
          <w:rPr>
            <w:noProof/>
            <w:webHidden/>
          </w:rPr>
        </w:r>
        <w:r w:rsidR="00EF692F">
          <w:rPr>
            <w:noProof/>
            <w:webHidden/>
          </w:rPr>
          <w:fldChar w:fldCharType="separate"/>
        </w:r>
        <w:r w:rsidR="00772F7E">
          <w:rPr>
            <w:noProof/>
            <w:webHidden/>
          </w:rPr>
          <w:t>37</w:t>
        </w:r>
        <w:r w:rsidR="00EF692F">
          <w:rPr>
            <w:noProof/>
            <w:webHidden/>
          </w:rPr>
          <w:fldChar w:fldCharType="end"/>
        </w:r>
      </w:hyperlink>
    </w:p>
    <w:p w14:paraId="07F4D73E" w14:textId="46531CD4" w:rsidR="00EF692F" w:rsidRDefault="00CF6066">
      <w:pPr>
        <w:pStyle w:val="TOC3"/>
        <w:rPr>
          <w:rFonts w:asciiTheme="minorHAnsi" w:eastAsiaTheme="minorEastAsia" w:hAnsiTheme="minorHAnsi" w:cstheme="minorBidi"/>
          <w:noProof/>
          <w:lang w:bidi="ar-SA"/>
        </w:rPr>
      </w:pPr>
      <w:hyperlink w:anchor="_Toc526505124" w:history="1">
        <w:r w:rsidR="00EF692F" w:rsidRPr="007A35F1">
          <w:rPr>
            <w:rStyle w:val="Hyperlink"/>
            <w:noProof/>
          </w:rPr>
          <w:t>2.3.4 Other Biostimulatory Factors</w:t>
        </w:r>
        <w:r w:rsidR="00EF692F">
          <w:rPr>
            <w:noProof/>
            <w:webHidden/>
          </w:rPr>
          <w:tab/>
        </w:r>
        <w:r w:rsidR="00EF692F">
          <w:rPr>
            <w:noProof/>
            <w:webHidden/>
          </w:rPr>
          <w:fldChar w:fldCharType="begin"/>
        </w:r>
        <w:r w:rsidR="00EF692F">
          <w:rPr>
            <w:noProof/>
            <w:webHidden/>
          </w:rPr>
          <w:instrText xml:space="preserve"> PAGEREF _Toc526505124 \h </w:instrText>
        </w:r>
        <w:r w:rsidR="00EF692F">
          <w:rPr>
            <w:noProof/>
            <w:webHidden/>
          </w:rPr>
        </w:r>
        <w:r w:rsidR="00EF692F">
          <w:rPr>
            <w:noProof/>
            <w:webHidden/>
          </w:rPr>
          <w:fldChar w:fldCharType="separate"/>
        </w:r>
        <w:r w:rsidR="00772F7E">
          <w:rPr>
            <w:noProof/>
            <w:webHidden/>
          </w:rPr>
          <w:t>40</w:t>
        </w:r>
        <w:r w:rsidR="00EF692F">
          <w:rPr>
            <w:noProof/>
            <w:webHidden/>
          </w:rPr>
          <w:fldChar w:fldCharType="end"/>
        </w:r>
      </w:hyperlink>
    </w:p>
    <w:p w14:paraId="56F20A9D" w14:textId="0F6DF4A0" w:rsidR="00EF692F" w:rsidRDefault="00CF6066">
      <w:pPr>
        <w:pStyle w:val="TOC3"/>
        <w:rPr>
          <w:rFonts w:asciiTheme="minorHAnsi" w:eastAsiaTheme="minorEastAsia" w:hAnsiTheme="minorHAnsi" w:cstheme="minorBidi"/>
          <w:noProof/>
          <w:lang w:bidi="ar-SA"/>
        </w:rPr>
      </w:pPr>
      <w:hyperlink w:anchor="_Toc526505125" w:history="1">
        <w:r w:rsidR="00EF692F" w:rsidRPr="007A35F1">
          <w:rPr>
            <w:rStyle w:val="Hyperlink"/>
            <w:noProof/>
          </w:rPr>
          <w:t>2.3.5 Origins, Variability and Natural Background in Biostimulatory Substances and Drivers</w:t>
        </w:r>
        <w:r w:rsidR="00EF692F">
          <w:rPr>
            <w:noProof/>
            <w:webHidden/>
          </w:rPr>
          <w:tab/>
        </w:r>
        <w:r w:rsidR="00EF692F">
          <w:rPr>
            <w:noProof/>
            <w:webHidden/>
          </w:rPr>
          <w:fldChar w:fldCharType="begin"/>
        </w:r>
        <w:r w:rsidR="00EF692F">
          <w:rPr>
            <w:noProof/>
            <w:webHidden/>
          </w:rPr>
          <w:instrText xml:space="preserve"> PAGEREF _Toc526505125 \h </w:instrText>
        </w:r>
        <w:r w:rsidR="00EF692F">
          <w:rPr>
            <w:noProof/>
            <w:webHidden/>
          </w:rPr>
        </w:r>
        <w:r w:rsidR="00EF692F">
          <w:rPr>
            <w:noProof/>
            <w:webHidden/>
          </w:rPr>
          <w:fldChar w:fldCharType="separate"/>
        </w:r>
        <w:r w:rsidR="00772F7E">
          <w:rPr>
            <w:noProof/>
            <w:webHidden/>
          </w:rPr>
          <w:t>40</w:t>
        </w:r>
        <w:r w:rsidR="00EF692F">
          <w:rPr>
            <w:noProof/>
            <w:webHidden/>
          </w:rPr>
          <w:fldChar w:fldCharType="end"/>
        </w:r>
      </w:hyperlink>
    </w:p>
    <w:p w14:paraId="1E8DFF81" w14:textId="3E4FE19F" w:rsidR="00EF692F" w:rsidRDefault="00CF6066">
      <w:pPr>
        <w:pStyle w:val="TOC2"/>
        <w:rPr>
          <w:rFonts w:asciiTheme="minorHAnsi" w:eastAsiaTheme="minorEastAsia" w:hAnsiTheme="minorHAnsi" w:cstheme="minorBidi"/>
          <w:i w:val="0"/>
          <w:lang w:bidi="ar-SA"/>
        </w:rPr>
      </w:pPr>
      <w:hyperlink w:anchor="_Toc526505126" w:history="1">
        <w:r w:rsidR="00EF692F" w:rsidRPr="007A35F1">
          <w:rPr>
            <w:rStyle w:val="Hyperlink"/>
          </w:rPr>
          <w:t>2.4 Summary of Review of Indicators for Use in Wadeable Streams Biostimulatory Assessment</w:t>
        </w:r>
        <w:r w:rsidR="00EF692F">
          <w:rPr>
            <w:webHidden/>
          </w:rPr>
          <w:tab/>
        </w:r>
        <w:r w:rsidR="00EF692F">
          <w:rPr>
            <w:webHidden/>
          </w:rPr>
          <w:fldChar w:fldCharType="begin"/>
        </w:r>
        <w:r w:rsidR="00EF692F">
          <w:rPr>
            <w:webHidden/>
          </w:rPr>
          <w:instrText xml:space="preserve"> PAGEREF _Toc526505126 \h </w:instrText>
        </w:r>
        <w:r w:rsidR="00EF692F">
          <w:rPr>
            <w:webHidden/>
          </w:rPr>
        </w:r>
        <w:r w:rsidR="00EF692F">
          <w:rPr>
            <w:webHidden/>
          </w:rPr>
          <w:fldChar w:fldCharType="separate"/>
        </w:r>
        <w:r w:rsidR="00772F7E">
          <w:rPr>
            <w:webHidden/>
          </w:rPr>
          <w:t>40</w:t>
        </w:r>
        <w:r w:rsidR="00EF692F">
          <w:rPr>
            <w:webHidden/>
          </w:rPr>
          <w:fldChar w:fldCharType="end"/>
        </w:r>
      </w:hyperlink>
    </w:p>
    <w:p w14:paraId="488FC2DE" w14:textId="2ACECC17" w:rsidR="00EF692F" w:rsidRDefault="00CF6066">
      <w:pPr>
        <w:pStyle w:val="TOC1"/>
        <w:rPr>
          <w:rFonts w:asciiTheme="minorHAnsi" w:eastAsiaTheme="minorEastAsia" w:hAnsiTheme="minorHAnsi" w:cstheme="minorBidi"/>
          <w:b w:val="0"/>
          <w:noProof/>
          <w:lang w:bidi="ar-SA"/>
        </w:rPr>
      </w:pPr>
      <w:hyperlink w:anchor="_Toc526505127" w:history="1">
        <w:r w:rsidR="00EF692F" w:rsidRPr="007A35F1">
          <w:rPr>
            <w:rStyle w:val="Hyperlink"/>
            <w:caps/>
            <w:noProof/>
          </w:rPr>
          <w:t>3.</w:t>
        </w:r>
        <w:r w:rsidR="00EF692F">
          <w:rPr>
            <w:rFonts w:asciiTheme="minorHAnsi" w:eastAsiaTheme="minorEastAsia" w:hAnsiTheme="minorHAnsi" w:cstheme="minorBidi"/>
            <w:b w:val="0"/>
            <w:noProof/>
            <w:lang w:bidi="ar-SA"/>
          </w:rPr>
          <w:tab/>
        </w:r>
        <w:r w:rsidR="00EF692F" w:rsidRPr="007A35F1">
          <w:rPr>
            <w:rStyle w:val="Hyperlink"/>
            <w:caps/>
            <w:noProof/>
          </w:rPr>
          <w:t>Synthesis of Thresholds Supporting Decisions on Numeric Guidance for Biostimulatory Objectives</w:t>
        </w:r>
        <w:r w:rsidR="00EF692F">
          <w:rPr>
            <w:noProof/>
            <w:webHidden/>
          </w:rPr>
          <w:tab/>
        </w:r>
        <w:r w:rsidR="00EF692F">
          <w:rPr>
            <w:noProof/>
            <w:webHidden/>
          </w:rPr>
          <w:fldChar w:fldCharType="begin"/>
        </w:r>
        <w:r w:rsidR="00EF692F">
          <w:rPr>
            <w:noProof/>
            <w:webHidden/>
          </w:rPr>
          <w:instrText xml:space="preserve"> PAGEREF _Toc526505127 \h </w:instrText>
        </w:r>
        <w:r w:rsidR="00EF692F">
          <w:rPr>
            <w:noProof/>
            <w:webHidden/>
          </w:rPr>
        </w:r>
        <w:r w:rsidR="00EF692F">
          <w:rPr>
            <w:noProof/>
            <w:webHidden/>
          </w:rPr>
          <w:fldChar w:fldCharType="separate"/>
        </w:r>
        <w:r w:rsidR="00772F7E">
          <w:rPr>
            <w:noProof/>
            <w:webHidden/>
          </w:rPr>
          <w:t>43</w:t>
        </w:r>
        <w:r w:rsidR="00EF692F">
          <w:rPr>
            <w:noProof/>
            <w:webHidden/>
          </w:rPr>
          <w:fldChar w:fldCharType="end"/>
        </w:r>
      </w:hyperlink>
    </w:p>
    <w:p w14:paraId="4E3391AB" w14:textId="5420476D" w:rsidR="00EF692F" w:rsidRDefault="00CF6066">
      <w:pPr>
        <w:pStyle w:val="TOC2"/>
        <w:rPr>
          <w:rFonts w:asciiTheme="minorHAnsi" w:eastAsiaTheme="minorEastAsia" w:hAnsiTheme="minorHAnsi" w:cstheme="minorBidi"/>
          <w:i w:val="0"/>
          <w:lang w:bidi="ar-SA"/>
        </w:rPr>
      </w:pPr>
      <w:hyperlink w:anchor="_Toc526505128" w:history="1">
        <w:r w:rsidR="00EF692F" w:rsidRPr="007A35F1">
          <w:rPr>
            <w:rStyle w:val="Hyperlink"/>
          </w:rPr>
          <w:t>3.1. Approach to Synthesis and Key Terms</w:t>
        </w:r>
        <w:r w:rsidR="00EF692F">
          <w:rPr>
            <w:webHidden/>
          </w:rPr>
          <w:tab/>
        </w:r>
        <w:r w:rsidR="00EF692F">
          <w:rPr>
            <w:webHidden/>
          </w:rPr>
          <w:fldChar w:fldCharType="begin"/>
        </w:r>
        <w:r w:rsidR="00EF692F">
          <w:rPr>
            <w:webHidden/>
          </w:rPr>
          <w:instrText xml:space="preserve"> PAGEREF _Toc526505128 \h </w:instrText>
        </w:r>
        <w:r w:rsidR="00EF692F">
          <w:rPr>
            <w:webHidden/>
          </w:rPr>
        </w:r>
        <w:r w:rsidR="00EF692F">
          <w:rPr>
            <w:webHidden/>
          </w:rPr>
          <w:fldChar w:fldCharType="separate"/>
        </w:r>
        <w:r w:rsidR="00772F7E">
          <w:rPr>
            <w:webHidden/>
          </w:rPr>
          <w:t>45</w:t>
        </w:r>
        <w:r w:rsidR="00EF692F">
          <w:rPr>
            <w:webHidden/>
          </w:rPr>
          <w:fldChar w:fldCharType="end"/>
        </w:r>
      </w:hyperlink>
    </w:p>
    <w:p w14:paraId="2B6830DA" w14:textId="277109F6" w:rsidR="00EF692F" w:rsidRDefault="00CF6066">
      <w:pPr>
        <w:pStyle w:val="TOC2"/>
        <w:rPr>
          <w:rFonts w:asciiTheme="minorHAnsi" w:eastAsiaTheme="minorEastAsia" w:hAnsiTheme="minorHAnsi" w:cstheme="minorBidi"/>
          <w:i w:val="0"/>
          <w:lang w:bidi="ar-SA"/>
        </w:rPr>
      </w:pPr>
      <w:hyperlink w:anchor="_Toc526505129" w:history="1">
        <w:r w:rsidR="00EF692F" w:rsidRPr="007A35F1">
          <w:rPr>
            <w:rStyle w:val="Hyperlink"/>
          </w:rPr>
          <w:t>3.2 Biostimulatory Thresholds Protective Aquatic Life Related Uses</w:t>
        </w:r>
        <w:r w:rsidR="00EF692F">
          <w:rPr>
            <w:webHidden/>
          </w:rPr>
          <w:tab/>
        </w:r>
        <w:r w:rsidR="00EF692F">
          <w:rPr>
            <w:webHidden/>
          </w:rPr>
          <w:fldChar w:fldCharType="begin"/>
        </w:r>
        <w:r w:rsidR="00EF692F">
          <w:rPr>
            <w:webHidden/>
          </w:rPr>
          <w:instrText xml:space="preserve"> PAGEREF _Toc526505129 \h </w:instrText>
        </w:r>
        <w:r w:rsidR="00EF692F">
          <w:rPr>
            <w:webHidden/>
          </w:rPr>
        </w:r>
        <w:r w:rsidR="00EF692F">
          <w:rPr>
            <w:webHidden/>
          </w:rPr>
          <w:fldChar w:fldCharType="separate"/>
        </w:r>
        <w:r w:rsidR="00772F7E">
          <w:rPr>
            <w:webHidden/>
          </w:rPr>
          <w:t>46</w:t>
        </w:r>
        <w:r w:rsidR="00EF692F">
          <w:rPr>
            <w:webHidden/>
          </w:rPr>
          <w:fldChar w:fldCharType="end"/>
        </w:r>
      </w:hyperlink>
    </w:p>
    <w:p w14:paraId="5726EBF8" w14:textId="7C54F5B8" w:rsidR="00EF692F" w:rsidRDefault="00CF6066">
      <w:pPr>
        <w:pStyle w:val="TOC3"/>
        <w:rPr>
          <w:rFonts w:asciiTheme="minorHAnsi" w:eastAsiaTheme="minorEastAsia" w:hAnsiTheme="minorHAnsi" w:cstheme="minorBidi"/>
          <w:noProof/>
          <w:lang w:bidi="ar-SA"/>
        </w:rPr>
      </w:pPr>
      <w:hyperlink w:anchor="_Toc526505130" w:history="1">
        <w:r w:rsidR="00EF692F" w:rsidRPr="007A35F1">
          <w:rPr>
            <w:rStyle w:val="Hyperlink"/>
            <w:noProof/>
          </w:rPr>
          <w:t>3.2.1 Basis for BMI and Algal Aquatic Life Protection Endpoints in California</w:t>
        </w:r>
        <w:r w:rsidR="00EF692F">
          <w:rPr>
            <w:noProof/>
            <w:webHidden/>
          </w:rPr>
          <w:tab/>
        </w:r>
        <w:r w:rsidR="00EF692F">
          <w:rPr>
            <w:noProof/>
            <w:webHidden/>
          </w:rPr>
          <w:fldChar w:fldCharType="begin"/>
        </w:r>
        <w:r w:rsidR="00EF692F">
          <w:rPr>
            <w:noProof/>
            <w:webHidden/>
          </w:rPr>
          <w:instrText xml:space="preserve"> PAGEREF _Toc526505130 \h </w:instrText>
        </w:r>
        <w:r w:rsidR="00EF692F">
          <w:rPr>
            <w:noProof/>
            <w:webHidden/>
          </w:rPr>
        </w:r>
        <w:r w:rsidR="00EF692F">
          <w:rPr>
            <w:noProof/>
            <w:webHidden/>
          </w:rPr>
          <w:fldChar w:fldCharType="separate"/>
        </w:r>
        <w:r w:rsidR="00772F7E">
          <w:rPr>
            <w:noProof/>
            <w:webHidden/>
          </w:rPr>
          <w:t>46</w:t>
        </w:r>
        <w:r w:rsidR="00EF692F">
          <w:rPr>
            <w:noProof/>
            <w:webHidden/>
          </w:rPr>
          <w:fldChar w:fldCharType="end"/>
        </w:r>
      </w:hyperlink>
    </w:p>
    <w:p w14:paraId="0B375B98" w14:textId="226F93E2" w:rsidR="00EF692F" w:rsidRDefault="00CF6066">
      <w:pPr>
        <w:pStyle w:val="TOC3"/>
        <w:rPr>
          <w:rFonts w:asciiTheme="minorHAnsi" w:eastAsiaTheme="minorEastAsia" w:hAnsiTheme="minorHAnsi" w:cstheme="minorBidi"/>
          <w:noProof/>
          <w:lang w:bidi="ar-SA"/>
        </w:rPr>
      </w:pPr>
      <w:hyperlink w:anchor="_Toc526505131" w:history="1">
        <w:r w:rsidR="00EF692F" w:rsidRPr="007A35F1">
          <w:rPr>
            <w:rStyle w:val="Hyperlink"/>
            <w:noProof/>
          </w:rPr>
          <w:t>3.2.2 TN and TP Thresholds Protective of Biological Integrity</w:t>
        </w:r>
        <w:r w:rsidR="00EF692F">
          <w:rPr>
            <w:noProof/>
            <w:webHidden/>
          </w:rPr>
          <w:tab/>
        </w:r>
        <w:r w:rsidR="00EF692F">
          <w:rPr>
            <w:noProof/>
            <w:webHidden/>
          </w:rPr>
          <w:fldChar w:fldCharType="begin"/>
        </w:r>
        <w:r w:rsidR="00EF692F">
          <w:rPr>
            <w:noProof/>
            <w:webHidden/>
          </w:rPr>
          <w:instrText xml:space="preserve"> PAGEREF _Toc526505131 \h </w:instrText>
        </w:r>
        <w:r w:rsidR="00EF692F">
          <w:rPr>
            <w:noProof/>
            <w:webHidden/>
          </w:rPr>
        </w:r>
        <w:r w:rsidR="00EF692F">
          <w:rPr>
            <w:noProof/>
            <w:webHidden/>
          </w:rPr>
          <w:fldChar w:fldCharType="separate"/>
        </w:r>
        <w:r w:rsidR="00772F7E">
          <w:rPr>
            <w:noProof/>
            <w:webHidden/>
          </w:rPr>
          <w:t>49</w:t>
        </w:r>
        <w:r w:rsidR="00EF692F">
          <w:rPr>
            <w:noProof/>
            <w:webHidden/>
          </w:rPr>
          <w:fldChar w:fldCharType="end"/>
        </w:r>
      </w:hyperlink>
    </w:p>
    <w:p w14:paraId="65C1892B" w14:textId="7CBD6007" w:rsidR="00EF692F" w:rsidRDefault="00CF6066">
      <w:pPr>
        <w:pStyle w:val="TOC3"/>
        <w:rPr>
          <w:rFonts w:asciiTheme="minorHAnsi" w:eastAsiaTheme="minorEastAsia" w:hAnsiTheme="minorHAnsi" w:cstheme="minorBidi"/>
          <w:noProof/>
          <w:lang w:bidi="ar-SA"/>
        </w:rPr>
      </w:pPr>
      <w:hyperlink w:anchor="_Toc526505132" w:history="1">
        <w:r w:rsidR="00EF692F" w:rsidRPr="007A35F1">
          <w:rPr>
            <w:rStyle w:val="Hyperlink"/>
            <w:noProof/>
          </w:rPr>
          <w:t>3.2.3 Benthic Chlorophyll-a and AFDM Thresholds Protective of Biological Integrity</w:t>
        </w:r>
        <w:r w:rsidR="00EF692F">
          <w:rPr>
            <w:noProof/>
            <w:webHidden/>
          </w:rPr>
          <w:tab/>
        </w:r>
        <w:r w:rsidR="00EF692F">
          <w:rPr>
            <w:noProof/>
            <w:webHidden/>
          </w:rPr>
          <w:fldChar w:fldCharType="begin"/>
        </w:r>
        <w:r w:rsidR="00EF692F">
          <w:rPr>
            <w:noProof/>
            <w:webHidden/>
          </w:rPr>
          <w:instrText xml:space="preserve"> PAGEREF _Toc526505132 \h </w:instrText>
        </w:r>
        <w:r w:rsidR="00EF692F">
          <w:rPr>
            <w:noProof/>
            <w:webHidden/>
          </w:rPr>
        </w:r>
        <w:r w:rsidR="00EF692F">
          <w:rPr>
            <w:noProof/>
            <w:webHidden/>
          </w:rPr>
          <w:fldChar w:fldCharType="separate"/>
        </w:r>
        <w:r w:rsidR="00772F7E">
          <w:rPr>
            <w:noProof/>
            <w:webHidden/>
          </w:rPr>
          <w:t>58</w:t>
        </w:r>
        <w:r w:rsidR="00EF692F">
          <w:rPr>
            <w:noProof/>
            <w:webHidden/>
          </w:rPr>
          <w:fldChar w:fldCharType="end"/>
        </w:r>
      </w:hyperlink>
    </w:p>
    <w:p w14:paraId="4CB8243E" w14:textId="62FE6B57" w:rsidR="00EF692F" w:rsidRDefault="00CF6066">
      <w:pPr>
        <w:pStyle w:val="TOC2"/>
        <w:rPr>
          <w:rFonts w:asciiTheme="minorHAnsi" w:eastAsiaTheme="minorEastAsia" w:hAnsiTheme="minorHAnsi" w:cstheme="minorBidi"/>
          <w:i w:val="0"/>
          <w:lang w:bidi="ar-SA"/>
        </w:rPr>
      </w:pPr>
      <w:hyperlink w:anchor="_Toc526505133" w:history="1">
        <w:r w:rsidR="00EF692F" w:rsidRPr="007A35F1">
          <w:rPr>
            <w:rStyle w:val="Hyperlink"/>
          </w:rPr>
          <w:t>3.3 Other Biostimulatory Thresholds Protective of Aquatic Life Uses</w:t>
        </w:r>
        <w:r w:rsidR="00EF692F">
          <w:rPr>
            <w:webHidden/>
          </w:rPr>
          <w:tab/>
        </w:r>
        <w:r w:rsidR="00EF692F">
          <w:rPr>
            <w:webHidden/>
          </w:rPr>
          <w:fldChar w:fldCharType="begin"/>
        </w:r>
        <w:r w:rsidR="00EF692F">
          <w:rPr>
            <w:webHidden/>
          </w:rPr>
          <w:instrText xml:space="preserve"> PAGEREF _Toc526505133 \h </w:instrText>
        </w:r>
        <w:r w:rsidR="00EF692F">
          <w:rPr>
            <w:webHidden/>
          </w:rPr>
        </w:r>
        <w:r w:rsidR="00EF692F">
          <w:rPr>
            <w:webHidden/>
          </w:rPr>
          <w:fldChar w:fldCharType="separate"/>
        </w:r>
        <w:r w:rsidR="00772F7E">
          <w:rPr>
            <w:webHidden/>
          </w:rPr>
          <w:t>62</w:t>
        </w:r>
        <w:r w:rsidR="00EF692F">
          <w:rPr>
            <w:webHidden/>
          </w:rPr>
          <w:fldChar w:fldCharType="end"/>
        </w:r>
      </w:hyperlink>
    </w:p>
    <w:p w14:paraId="4F532E65" w14:textId="3128E7DE" w:rsidR="00EF692F" w:rsidRDefault="00CF6066">
      <w:pPr>
        <w:pStyle w:val="TOC3"/>
        <w:rPr>
          <w:rFonts w:asciiTheme="minorHAnsi" w:eastAsiaTheme="minorEastAsia" w:hAnsiTheme="minorHAnsi" w:cstheme="minorBidi"/>
          <w:noProof/>
          <w:lang w:bidi="ar-SA"/>
        </w:rPr>
      </w:pPr>
      <w:hyperlink w:anchor="_Toc526505134" w:history="1">
        <w:r w:rsidR="00EF692F" w:rsidRPr="007A35F1">
          <w:rPr>
            <w:rStyle w:val="Hyperlink"/>
            <w:noProof/>
          </w:rPr>
          <w:t>3.3.1 Sestonic (Water Column) Chl-a and Associated TN and TP Thresholds</w:t>
        </w:r>
        <w:r w:rsidR="00EF692F">
          <w:rPr>
            <w:noProof/>
            <w:webHidden/>
          </w:rPr>
          <w:tab/>
        </w:r>
        <w:r w:rsidR="00EF692F">
          <w:rPr>
            <w:noProof/>
            <w:webHidden/>
          </w:rPr>
          <w:fldChar w:fldCharType="begin"/>
        </w:r>
        <w:r w:rsidR="00EF692F">
          <w:rPr>
            <w:noProof/>
            <w:webHidden/>
          </w:rPr>
          <w:instrText xml:space="preserve"> PAGEREF _Toc526505134 \h </w:instrText>
        </w:r>
        <w:r w:rsidR="00EF692F">
          <w:rPr>
            <w:noProof/>
            <w:webHidden/>
          </w:rPr>
        </w:r>
        <w:r w:rsidR="00EF692F">
          <w:rPr>
            <w:noProof/>
            <w:webHidden/>
          </w:rPr>
          <w:fldChar w:fldCharType="separate"/>
        </w:r>
        <w:r w:rsidR="00772F7E">
          <w:rPr>
            <w:noProof/>
            <w:webHidden/>
          </w:rPr>
          <w:t>62</w:t>
        </w:r>
        <w:r w:rsidR="00EF692F">
          <w:rPr>
            <w:noProof/>
            <w:webHidden/>
          </w:rPr>
          <w:fldChar w:fldCharType="end"/>
        </w:r>
      </w:hyperlink>
    </w:p>
    <w:p w14:paraId="4527CAA8" w14:textId="78392F5D" w:rsidR="00EF692F" w:rsidRDefault="00CF6066">
      <w:pPr>
        <w:pStyle w:val="TOC3"/>
        <w:rPr>
          <w:rFonts w:asciiTheme="minorHAnsi" w:eastAsiaTheme="minorEastAsia" w:hAnsiTheme="minorHAnsi" w:cstheme="minorBidi"/>
          <w:noProof/>
          <w:lang w:bidi="ar-SA"/>
        </w:rPr>
      </w:pPr>
      <w:hyperlink w:anchor="_Toc526505135" w:history="1">
        <w:r w:rsidR="00EF692F" w:rsidRPr="007A35F1">
          <w:rPr>
            <w:rStyle w:val="Hyperlink"/>
            <w:noProof/>
          </w:rPr>
          <w:t>3.3.2 Dissolved Oxygen and pH: Water Board Basin Plans</w:t>
        </w:r>
        <w:r w:rsidR="00EF692F">
          <w:rPr>
            <w:noProof/>
            <w:webHidden/>
          </w:rPr>
          <w:tab/>
        </w:r>
        <w:r w:rsidR="00EF692F">
          <w:rPr>
            <w:noProof/>
            <w:webHidden/>
          </w:rPr>
          <w:fldChar w:fldCharType="begin"/>
        </w:r>
        <w:r w:rsidR="00EF692F">
          <w:rPr>
            <w:noProof/>
            <w:webHidden/>
          </w:rPr>
          <w:instrText xml:space="preserve"> PAGEREF _Toc526505135 \h </w:instrText>
        </w:r>
        <w:r w:rsidR="00EF692F">
          <w:rPr>
            <w:noProof/>
            <w:webHidden/>
          </w:rPr>
        </w:r>
        <w:r w:rsidR="00EF692F">
          <w:rPr>
            <w:noProof/>
            <w:webHidden/>
          </w:rPr>
          <w:fldChar w:fldCharType="separate"/>
        </w:r>
        <w:r w:rsidR="00772F7E">
          <w:rPr>
            <w:noProof/>
            <w:webHidden/>
          </w:rPr>
          <w:t>66</w:t>
        </w:r>
        <w:r w:rsidR="00EF692F">
          <w:rPr>
            <w:noProof/>
            <w:webHidden/>
          </w:rPr>
          <w:fldChar w:fldCharType="end"/>
        </w:r>
      </w:hyperlink>
    </w:p>
    <w:p w14:paraId="22967370" w14:textId="1F84A774" w:rsidR="00EF692F" w:rsidRDefault="00CF6066">
      <w:pPr>
        <w:pStyle w:val="TOC3"/>
        <w:rPr>
          <w:rFonts w:asciiTheme="minorHAnsi" w:eastAsiaTheme="minorEastAsia" w:hAnsiTheme="minorHAnsi" w:cstheme="minorBidi"/>
          <w:noProof/>
          <w:lang w:bidi="ar-SA"/>
        </w:rPr>
      </w:pPr>
      <w:hyperlink w:anchor="_Toc526505136" w:history="1">
        <w:r w:rsidR="00EF692F" w:rsidRPr="007A35F1">
          <w:rPr>
            <w:rStyle w:val="Hyperlink"/>
            <w:noProof/>
          </w:rPr>
          <w:t>3.3.3 DO Diel Variability and Associated TN and TP Thresholds</w:t>
        </w:r>
        <w:r w:rsidR="00EF692F">
          <w:rPr>
            <w:noProof/>
            <w:webHidden/>
          </w:rPr>
          <w:tab/>
        </w:r>
        <w:r w:rsidR="00EF692F">
          <w:rPr>
            <w:noProof/>
            <w:webHidden/>
          </w:rPr>
          <w:fldChar w:fldCharType="begin"/>
        </w:r>
        <w:r w:rsidR="00EF692F">
          <w:rPr>
            <w:noProof/>
            <w:webHidden/>
          </w:rPr>
          <w:instrText xml:space="preserve"> PAGEREF _Toc526505136 \h </w:instrText>
        </w:r>
        <w:r w:rsidR="00EF692F">
          <w:rPr>
            <w:noProof/>
            <w:webHidden/>
          </w:rPr>
        </w:r>
        <w:r w:rsidR="00EF692F">
          <w:rPr>
            <w:noProof/>
            <w:webHidden/>
          </w:rPr>
          <w:fldChar w:fldCharType="separate"/>
        </w:r>
        <w:r w:rsidR="00772F7E">
          <w:rPr>
            <w:noProof/>
            <w:webHidden/>
          </w:rPr>
          <w:t>67</w:t>
        </w:r>
        <w:r w:rsidR="00EF692F">
          <w:rPr>
            <w:noProof/>
            <w:webHidden/>
          </w:rPr>
          <w:fldChar w:fldCharType="end"/>
        </w:r>
      </w:hyperlink>
    </w:p>
    <w:p w14:paraId="00D75274" w14:textId="3406DA8C" w:rsidR="00EF692F" w:rsidRDefault="00CF6066">
      <w:pPr>
        <w:pStyle w:val="TOC3"/>
        <w:rPr>
          <w:rFonts w:asciiTheme="minorHAnsi" w:eastAsiaTheme="minorEastAsia" w:hAnsiTheme="minorHAnsi" w:cstheme="minorBidi"/>
          <w:noProof/>
          <w:lang w:bidi="ar-SA"/>
        </w:rPr>
      </w:pPr>
      <w:hyperlink w:anchor="_Toc526505137" w:history="1">
        <w:r w:rsidR="00EF692F" w:rsidRPr="007A35F1">
          <w:rPr>
            <w:rStyle w:val="Hyperlink"/>
            <w:noProof/>
          </w:rPr>
          <w:t>3.3.4 CyanoHAB Cell Density and Toxins</w:t>
        </w:r>
        <w:r w:rsidR="00EF692F">
          <w:rPr>
            <w:noProof/>
            <w:webHidden/>
          </w:rPr>
          <w:tab/>
        </w:r>
        <w:r w:rsidR="00EF692F">
          <w:rPr>
            <w:noProof/>
            <w:webHidden/>
          </w:rPr>
          <w:fldChar w:fldCharType="begin"/>
        </w:r>
        <w:r w:rsidR="00EF692F">
          <w:rPr>
            <w:noProof/>
            <w:webHidden/>
          </w:rPr>
          <w:instrText xml:space="preserve"> PAGEREF _Toc526505137 \h </w:instrText>
        </w:r>
        <w:r w:rsidR="00EF692F">
          <w:rPr>
            <w:noProof/>
            <w:webHidden/>
          </w:rPr>
        </w:r>
        <w:r w:rsidR="00EF692F">
          <w:rPr>
            <w:noProof/>
            <w:webHidden/>
          </w:rPr>
          <w:fldChar w:fldCharType="separate"/>
        </w:r>
        <w:r w:rsidR="00772F7E">
          <w:rPr>
            <w:noProof/>
            <w:webHidden/>
          </w:rPr>
          <w:t>70</w:t>
        </w:r>
        <w:r w:rsidR="00EF692F">
          <w:rPr>
            <w:noProof/>
            <w:webHidden/>
          </w:rPr>
          <w:fldChar w:fldCharType="end"/>
        </w:r>
      </w:hyperlink>
    </w:p>
    <w:p w14:paraId="5F82D98C" w14:textId="05CD65C9" w:rsidR="00EF692F" w:rsidRDefault="00CF6066">
      <w:pPr>
        <w:pStyle w:val="TOC2"/>
        <w:rPr>
          <w:rFonts w:asciiTheme="minorHAnsi" w:eastAsiaTheme="minorEastAsia" w:hAnsiTheme="minorHAnsi" w:cstheme="minorBidi"/>
          <w:i w:val="0"/>
          <w:lang w:bidi="ar-SA"/>
        </w:rPr>
      </w:pPr>
      <w:hyperlink w:anchor="_Toc526505138" w:history="1">
        <w:r w:rsidR="00EF692F" w:rsidRPr="007A35F1">
          <w:rPr>
            <w:rStyle w:val="Hyperlink"/>
          </w:rPr>
          <w:t>3.4 Biostimulatory Thresholds Protective of Human Use Protection Endpoints</w:t>
        </w:r>
        <w:r w:rsidR="00EF692F">
          <w:rPr>
            <w:webHidden/>
          </w:rPr>
          <w:tab/>
        </w:r>
        <w:r w:rsidR="00EF692F">
          <w:rPr>
            <w:webHidden/>
          </w:rPr>
          <w:fldChar w:fldCharType="begin"/>
        </w:r>
        <w:r w:rsidR="00EF692F">
          <w:rPr>
            <w:webHidden/>
          </w:rPr>
          <w:instrText xml:space="preserve"> PAGEREF _Toc526505138 \h </w:instrText>
        </w:r>
        <w:r w:rsidR="00EF692F">
          <w:rPr>
            <w:webHidden/>
          </w:rPr>
        </w:r>
        <w:r w:rsidR="00EF692F">
          <w:rPr>
            <w:webHidden/>
          </w:rPr>
          <w:fldChar w:fldCharType="separate"/>
        </w:r>
        <w:r w:rsidR="00772F7E">
          <w:rPr>
            <w:webHidden/>
          </w:rPr>
          <w:t>73</w:t>
        </w:r>
        <w:r w:rsidR="00EF692F">
          <w:rPr>
            <w:webHidden/>
          </w:rPr>
          <w:fldChar w:fldCharType="end"/>
        </w:r>
      </w:hyperlink>
    </w:p>
    <w:p w14:paraId="39E0AC8C" w14:textId="64197500" w:rsidR="00EF692F" w:rsidRDefault="00CF6066">
      <w:pPr>
        <w:pStyle w:val="TOC3"/>
        <w:rPr>
          <w:rFonts w:asciiTheme="minorHAnsi" w:eastAsiaTheme="minorEastAsia" w:hAnsiTheme="minorHAnsi" w:cstheme="minorBidi"/>
          <w:noProof/>
          <w:lang w:bidi="ar-SA"/>
        </w:rPr>
      </w:pPr>
      <w:hyperlink w:anchor="_Toc526505139" w:history="1">
        <w:r w:rsidR="00EF692F" w:rsidRPr="007A35F1">
          <w:rPr>
            <w:rStyle w:val="Hyperlink"/>
            <w:noProof/>
          </w:rPr>
          <w:t>3.4.1. CyanoHAB Cell Density, Toxin Concentrations, and Associated Chl-a and Nutrient Thresholds</w:t>
        </w:r>
        <w:r w:rsidR="00EF692F">
          <w:rPr>
            <w:noProof/>
            <w:webHidden/>
          </w:rPr>
          <w:tab/>
        </w:r>
        <w:r w:rsidR="00EF692F">
          <w:rPr>
            <w:noProof/>
            <w:webHidden/>
          </w:rPr>
          <w:fldChar w:fldCharType="begin"/>
        </w:r>
        <w:r w:rsidR="00EF692F">
          <w:rPr>
            <w:noProof/>
            <w:webHidden/>
          </w:rPr>
          <w:instrText xml:space="preserve"> PAGEREF _Toc526505139 \h </w:instrText>
        </w:r>
        <w:r w:rsidR="00EF692F">
          <w:rPr>
            <w:noProof/>
            <w:webHidden/>
          </w:rPr>
        </w:r>
        <w:r w:rsidR="00EF692F">
          <w:rPr>
            <w:noProof/>
            <w:webHidden/>
          </w:rPr>
          <w:fldChar w:fldCharType="separate"/>
        </w:r>
        <w:r w:rsidR="00772F7E">
          <w:rPr>
            <w:noProof/>
            <w:webHidden/>
          </w:rPr>
          <w:t>73</w:t>
        </w:r>
        <w:r w:rsidR="00EF692F">
          <w:rPr>
            <w:noProof/>
            <w:webHidden/>
          </w:rPr>
          <w:fldChar w:fldCharType="end"/>
        </w:r>
      </w:hyperlink>
    </w:p>
    <w:p w14:paraId="7B48503F" w14:textId="0A8D60AE" w:rsidR="00EF692F" w:rsidRDefault="00CF6066">
      <w:pPr>
        <w:pStyle w:val="TOC3"/>
        <w:rPr>
          <w:rFonts w:asciiTheme="minorHAnsi" w:eastAsiaTheme="minorEastAsia" w:hAnsiTheme="minorHAnsi" w:cstheme="minorBidi"/>
          <w:noProof/>
          <w:lang w:bidi="ar-SA"/>
        </w:rPr>
      </w:pPr>
      <w:hyperlink w:anchor="_Toc526505140" w:history="1">
        <w:r w:rsidR="00EF692F" w:rsidRPr="007A35F1">
          <w:rPr>
            <w:rStyle w:val="Hyperlink"/>
            <w:noProof/>
          </w:rPr>
          <w:t>3.4.2 Macroalgal Percent Cover, Benthic Chl-a Impacting Recreational Use</w:t>
        </w:r>
        <w:r w:rsidR="00EF692F">
          <w:rPr>
            <w:noProof/>
            <w:webHidden/>
          </w:rPr>
          <w:tab/>
        </w:r>
        <w:r w:rsidR="00EF692F">
          <w:rPr>
            <w:noProof/>
            <w:webHidden/>
          </w:rPr>
          <w:fldChar w:fldCharType="begin"/>
        </w:r>
        <w:r w:rsidR="00EF692F">
          <w:rPr>
            <w:noProof/>
            <w:webHidden/>
          </w:rPr>
          <w:instrText xml:space="preserve"> PAGEREF _Toc526505140 \h </w:instrText>
        </w:r>
        <w:r w:rsidR="00EF692F">
          <w:rPr>
            <w:noProof/>
            <w:webHidden/>
          </w:rPr>
        </w:r>
        <w:r w:rsidR="00EF692F">
          <w:rPr>
            <w:noProof/>
            <w:webHidden/>
          </w:rPr>
          <w:fldChar w:fldCharType="separate"/>
        </w:r>
        <w:r w:rsidR="00772F7E">
          <w:rPr>
            <w:noProof/>
            <w:webHidden/>
          </w:rPr>
          <w:t>76</w:t>
        </w:r>
        <w:r w:rsidR="00EF692F">
          <w:rPr>
            <w:noProof/>
            <w:webHidden/>
          </w:rPr>
          <w:fldChar w:fldCharType="end"/>
        </w:r>
      </w:hyperlink>
    </w:p>
    <w:p w14:paraId="203B757A" w14:textId="01E92678" w:rsidR="00EF692F" w:rsidRDefault="00CF6066">
      <w:pPr>
        <w:pStyle w:val="TOC3"/>
        <w:rPr>
          <w:rFonts w:asciiTheme="minorHAnsi" w:eastAsiaTheme="minorEastAsia" w:hAnsiTheme="minorHAnsi" w:cstheme="minorBidi"/>
          <w:noProof/>
          <w:lang w:bidi="ar-SA"/>
        </w:rPr>
      </w:pPr>
      <w:hyperlink w:anchor="_Toc526505141" w:history="1">
        <w:r w:rsidR="00EF692F" w:rsidRPr="007A35F1">
          <w:rPr>
            <w:rStyle w:val="Hyperlink"/>
            <w:noProof/>
          </w:rPr>
          <w:t>3.4.3 DOC and Trihalomethane</w:t>
        </w:r>
        <w:r w:rsidR="00EF692F">
          <w:rPr>
            <w:noProof/>
            <w:webHidden/>
          </w:rPr>
          <w:tab/>
        </w:r>
        <w:r w:rsidR="00EF692F">
          <w:rPr>
            <w:noProof/>
            <w:webHidden/>
          </w:rPr>
          <w:fldChar w:fldCharType="begin"/>
        </w:r>
        <w:r w:rsidR="00EF692F">
          <w:rPr>
            <w:noProof/>
            <w:webHidden/>
          </w:rPr>
          <w:instrText xml:space="preserve"> PAGEREF _Toc526505141 \h </w:instrText>
        </w:r>
        <w:r w:rsidR="00EF692F">
          <w:rPr>
            <w:noProof/>
            <w:webHidden/>
          </w:rPr>
        </w:r>
        <w:r w:rsidR="00EF692F">
          <w:rPr>
            <w:noProof/>
            <w:webHidden/>
          </w:rPr>
          <w:fldChar w:fldCharType="separate"/>
        </w:r>
        <w:r w:rsidR="00772F7E">
          <w:rPr>
            <w:noProof/>
            <w:webHidden/>
          </w:rPr>
          <w:t>78</w:t>
        </w:r>
        <w:r w:rsidR="00EF692F">
          <w:rPr>
            <w:noProof/>
            <w:webHidden/>
          </w:rPr>
          <w:fldChar w:fldCharType="end"/>
        </w:r>
      </w:hyperlink>
    </w:p>
    <w:p w14:paraId="24169513" w14:textId="7C7A4229" w:rsidR="00EF692F" w:rsidRDefault="00CF6066">
      <w:pPr>
        <w:pStyle w:val="TOC1"/>
        <w:rPr>
          <w:rFonts w:asciiTheme="minorHAnsi" w:eastAsiaTheme="minorEastAsia" w:hAnsiTheme="minorHAnsi" w:cstheme="minorBidi"/>
          <w:b w:val="0"/>
          <w:noProof/>
          <w:lang w:bidi="ar-SA"/>
        </w:rPr>
      </w:pPr>
      <w:hyperlink w:anchor="_Toc526505142" w:history="1">
        <w:r w:rsidR="00EF692F" w:rsidRPr="007A35F1">
          <w:rPr>
            <w:rStyle w:val="Hyperlink"/>
            <w:noProof/>
          </w:rPr>
          <w:t>4.</w:t>
        </w:r>
        <w:r w:rsidR="00EF692F">
          <w:rPr>
            <w:rFonts w:asciiTheme="minorHAnsi" w:eastAsiaTheme="minorEastAsia" w:hAnsiTheme="minorHAnsi" w:cstheme="minorBidi"/>
            <w:b w:val="0"/>
            <w:noProof/>
            <w:lang w:bidi="ar-SA"/>
          </w:rPr>
          <w:tab/>
        </w:r>
        <w:r w:rsidR="00EF692F" w:rsidRPr="007A35F1">
          <w:rPr>
            <w:rStyle w:val="Hyperlink"/>
            <w:noProof/>
          </w:rPr>
          <w:t>Summary</w:t>
        </w:r>
        <w:r w:rsidR="00EF692F">
          <w:rPr>
            <w:noProof/>
            <w:webHidden/>
          </w:rPr>
          <w:tab/>
        </w:r>
        <w:r w:rsidR="00EF692F">
          <w:rPr>
            <w:noProof/>
            <w:webHidden/>
          </w:rPr>
          <w:fldChar w:fldCharType="begin"/>
        </w:r>
        <w:r w:rsidR="00EF692F">
          <w:rPr>
            <w:noProof/>
            <w:webHidden/>
          </w:rPr>
          <w:instrText xml:space="preserve"> PAGEREF _Toc526505142 \h </w:instrText>
        </w:r>
        <w:r w:rsidR="00EF692F">
          <w:rPr>
            <w:noProof/>
            <w:webHidden/>
          </w:rPr>
        </w:r>
        <w:r w:rsidR="00EF692F">
          <w:rPr>
            <w:noProof/>
            <w:webHidden/>
          </w:rPr>
          <w:fldChar w:fldCharType="separate"/>
        </w:r>
        <w:r w:rsidR="00772F7E">
          <w:rPr>
            <w:noProof/>
            <w:webHidden/>
          </w:rPr>
          <w:t>80</w:t>
        </w:r>
        <w:r w:rsidR="00EF692F">
          <w:rPr>
            <w:noProof/>
            <w:webHidden/>
          </w:rPr>
          <w:fldChar w:fldCharType="end"/>
        </w:r>
      </w:hyperlink>
    </w:p>
    <w:p w14:paraId="1161C5E2" w14:textId="052C748E" w:rsidR="00EF692F" w:rsidRDefault="00CF6066">
      <w:pPr>
        <w:pStyle w:val="TOC1"/>
        <w:rPr>
          <w:rFonts w:asciiTheme="minorHAnsi" w:eastAsiaTheme="minorEastAsia" w:hAnsiTheme="minorHAnsi" w:cstheme="minorBidi"/>
          <w:b w:val="0"/>
          <w:noProof/>
          <w:lang w:bidi="ar-SA"/>
        </w:rPr>
      </w:pPr>
      <w:hyperlink w:anchor="_Toc526505143" w:history="1">
        <w:r w:rsidR="00EF692F" w:rsidRPr="007A35F1">
          <w:rPr>
            <w:rStyle w:val="Hyperlink"/>
            <w:noProof/>
            <w:lang w:val="en"/>
          </w:rPr>
          <w:t>References</w:t>
        </w:r>
        <w:r w:rsidR="00EF692F">
          <w:rPr>
            <w:noProof/>
            <w:webHidden/>
          </w:rPr>
          <w:tab/>
        </w:r>
        <w:r w:rsidR="00EF692F">
          <w:rPr>
            <w:noProof/>
            <w:webHidden/>
          </w:rPr>
          <w:fldChar w:fldCharType="begin"/>
        </w:r>
        <w:r w:rsidR="00EF692F">
          <w:rPr>
            <w:noProof/>
            <w:webHidden/>
          </w:rPr>
          <w:instrText xml:space="preserve"> PAGEREF _Toc526505143 \h </w:instrText>
        </w:r>
        <w:r w:rsidR="00EF692F">
          <w:rPr>
            <w:noProof/>
            <w:webHidden/>
          </w:rPr>
        </w:r>
        <w:r w:rsidR="00EF692F">
          <w:rPr>
            <w:noProof/>
            <w:webHidden/>
          </w:rPr>
          <w:fldChar w:fldCharType="separate"/>
        </w:r>
        <w:r w:rsidR="00772F7E">
          <w:rPr>
            <w:noProof/>
            <w:webHidden/>
          </w:rPr>
          <w:t>87</w:t>
        </w:r>
        <w:r w:rsidR="00EF692F">
          <w:rPr>
            <w:noProof/>
            <w:webHidden/>
          </w:rPr>
          <w:fldChar w:fldCharType="end"/>
        </w:r>
      </w:hyperlink>
    </w:p>
    <w:p w14:paraId="6EF1299E" w14:textId="6E9381B9" w:rsidR="00EF692F" w:rsidRDefault="00CF6066">
      <w:pPr>
        <w:pStyle w:val="TOC1"/>
        <w:rPr>
          <w:rFonts w:asciiTheme="minorHAnsi" w:eastAsiaTheme="minorEastAsia" w:hAnsiTheme="minorHAnsi" w:cstheme="minorBidi"/>
          <w:b w:val="0"/>
          <w:noProof/>
          <w:lang w:bidi="ar-SA"/>
        </w:rPr>
      </w:pPr>
      <w:hyperlink w:anchor="_Toc526505144" w:history="1">
        <w:r w:rsidR="00EF692F" w:rsidRPr="007A35F1">
          <w:rPr>
            <w:rStyle w:val="Hyperlink"/>
            <w:noProof/>
          </w:rPr>
          <w:t>Appendix I</w:t>
        </w:r>
        <w:r w:rsidR="00EF692F">
          <w:rPr>
            <w:noProof/>
            <w:webHidden/>
          </w:rPr>
          <w:tab/>
        </w:r>
        <w:r w:rsidR="00EF692F">
          <w:rPr>
            <w:noProof/>
            <w:webHidden/>
          </w:rPr>
          <w:fldChar w:fldCharType="begin"/>
        </w:r>
        <w:r w:rsidR="00EF692F">
          <w:rPr>
            <w:noProof/>
            <w:webHidden/>
          </w:rPr>
          <w:instrText xml:space="preserve"> PAGEREF _Toc526505144 \h </w:instrText>
        </w:r>
        <w:r w:rsidR="00EF692F">
          <w:rPr>
            <w:noProof/>
            <w:webHidden/>
          </w:rPr>
        </w:r>
        <w:r w:rsidR="00EF692F">
          <w:rPr>
            <w:noProof/>
            <w:webHidden/>
          </w:rPr>
          <w:fldChar w:fldCharType="separate"/>
        </w:r>
        <w:r w:rsidR="00772F7E">
          <w:rPr>
            <w:noProof/>
            <w:webHidden/>
          </w:rPr>
          <w:t>102</w:t>
        </w:r>
        <w:r w:rsidR="00EF692F">
          <w:rPr>
            <w:noProof/>
            <w:webHidden/>
          </w:rPr>
          <w:fldChar w:fldCharType="end"/>
        </w:r>
      </w:hyperlink>
    </w:p>
    <w:p w14:paraId="34D68D48" w14:textId="7B70CBA1" w:rsidR="00EF692F" w:rsidRDefault="00CF6066">
      <w:pPr>
        <w:pStyle w:val="TOC2"/>
        <w:rPr>
          <w:rFonts w:asciiTheme="minorHAnsi" w:eastAsiaTheme="minorEastAsia" w:hAnsiTheme="minorHAnsi" w:cstheme="minorBidi"/>
          <w:i w:val="0"/>
          <w:lang w:bidi="ar-SA"/>
        </w:rPr>
      </w:pPr>
      <w:hyperlink w:anchor="_Toc526505145" w:history="1">
        <w:r w:rsidR="00EF692F" w:rsidRPr="007A35F1">
          <w:rPr>
            <w:rStyle w:val="Hyperlink"/>
          </w:rPr>
          <w:t>Important Definitions</w:t>
        </w:r>
        <w:r w:rsidR="00EF692F">
          <w:rPr>
            <w:webHidden/>
          </w:rPr>
          <w:tab/>
        </w:r>
        <w:r w:rsidR="00EF692F">
          <w:rPr>
            <w:webHidden/>
          </w:rPr>
          <w:fldChar w:fldCharType="begin"/>
        </w:r>
        <w:r w:rsidR="00EF692F">
          <w:rPr>
            <w:webHidden/>
          </w:rPr>
          <w:instrText xml:space="preserve"> PAGEREF _Toc526505145 \h </w:instrText>
        </w:r>
        <w:r w:rsidR="00EF692F">
          <w:rPr>
            <w:webHidden/>
          </w:rPr>
        </w:r>
        <w:r w:rsidR="00EF692F">
          <w:rPr>
            <w:webHidden/>
          </w:rPr>
          <w:fldChar w:fldCharType="separate"/>
        </w:r>
        <w:r w:rsidR="00772F7E">
          <w:rPr>
            <w:webHidden/>
          </w:rPr>
          <w:t>102</w:t>
        </w:r>
        <w:r w:rsidR="00EF692F">
          <w:rPr>
            <w:webHidden/>
          </w:rPr>
          <w:fldChar w:fldCharType="end"/>
        </w:r>
      </w:hyperlink>
    </w:p>
    <w:p w14:paraId="1C238B3A" w14:textId="3635BD33" w:rsidR="005826AF" w:rsidRPr="00C94B8D" w:rsidRDefault="00236EBE" w:rsidP="00E80040">
      <w:pPr>
        <w:pStyle w:val="TOC2"/>
        <w:tabs>
          <w:tab w:val="left" w:pos="1440"/>
        </w:tabs>
      </w:pPr>
      <w:r>
        <w:fldChar w:fldCharType="end"/>
      </w:r>
    </w:p>
    <w:p w14:paraId="1AA0E19A" w14:textId="77777777" w:rsidR="005826AF" w:rsidRPr="00C94B8D" w:rsidRDefault="005826AF" w:rsidP="005826AF">
      <w:pPr>
        <w:rPr>
          <w:color w:val="365F91"/>
          <w:sz w:val="28"/>
          <w:szCs w:val="28"/>
        </w:rPr>
      </w:pPr>
      <w:r w:rsidRPr="00C94B8D">
        <w:br w:type="page"/>
      </w:r>
    </w:p>
    <w:p w14:paraId="28FB86E5" w14:textId="77777777" w:rsidR="005826AF" w:rsidRPr="003D3640" w:rsidRDefault="005826AF" w:rsidP="005826AF">
      <w:pPr>
        <w:pStyle w:val="Heading1"/>
      </w:pPr>
      <w:bookmarkStart w:id="4" w:name="_Toc526505103"/>
      <w:r w:rsidRPr="003D3640">
        <w:t>List of Tables</w:t>
      </w:r>
      <w:bookmarkEnd w:id="4"/>
    </w:p>
    <w:p w14:paraId="06D56527" w14:textId="14CF0506" w:rsidR="00C26519" w:rsidRDefault="00236EBE">
      <w:pPr>
        <w:pStyle w:val="TOC1"/>
        <w:rPr>
          <w:rFonts w:asciiTheme="minorHAnsi" w:eastAsiaTheme="minorEastAsia" w:hAnsiTheme="minorHAnsi" w:cstheme="minorBidi"/>
          <w:b w:val="0"/>
          <w:noProof/>
          <w:lang w:bidi="ar-SA"/>
        </w:rPr>
      </w:pPr>
      <w:r>
        <w:fldChar w:fldCharType="begin"/>
      </w:r>
      <w:r w:rsidR="00CE4A04">
        <w:instrText xml:space="preserve"> TOC \h \z \t "TOT,1" </w:instrText>
      </w:r>
      <w:r>
        <w:fldChar w:fldCharType="separate"/>
      </w:r>
      <w:hyperlink w:anchor="_Toc526489904" w:history="1">
        <w:r w:rsidR="00C26519" w:rsidRPr="0009415D">
          <w:rPr>
            <w:rStyle w:val="Hyperlink"/>
            <w:noProof/>
          </w:rPr>
          <w:t>Table 1.1. Designated Beneficial Uses in California Surface Waters. We note that while this document does not provide specific guidance pertaining to estuarine and marine-related uses, the Water Board is charged with protecting downstream uses in selecting numeric guidance, so these uses are relevant to wadeable stream numeric guidance.</w:t>
        </w:r>
        <w:r w:rsidR="00C26519">
          <w:rPr>
            <w:noProof/>
            <w:webHidden/>
          </w:rPr>
          <w:tab/>
        </w:r>
        <w:r w:rsidR="00C26519">
          <w:rPr>
            <w:noProof/>
            <w:webHidden/>
          </w:rPr>
          <w:fldChar w:fldCharType="begin"/>
        </w:r>
        <w:r w:rsidR="00C26519">
          <w:rPr>
            <w:noProof/>
            <w:webHidden/>
          </w:rPr>
          <w:instrText xml:space="preserve"> PAGEREF _Toc526489904 \h </w:instrText>
        </w:r>
        <w:r w:rsidR="00C26519">
          <w:rPr>
            <w:noProof/>
            <w:webHidden/>
          </w:rPr>
        </w:r>
        <w:r w:rsidR="00C26519">
          <w:rPr>
            <w:noProof/>
            <w:webHidden/>
          </w:rPr>
          <w:fldChar w:fldCharType="separate"/>
        </w:r>
        <w:r w:rsidR="00772F7E">
          <w:rPr>
            <w:noProof/>
            <w:webHidden/>
          </w:rPr>
          <w:t>2</w:t>
        </w:r>
        <w:r w:rsidR="00C26519">
          <w:rPr>
            <w:noProof/>
            <w:webHidden/>
          </w:rPr>
          <w:fldChar w:fldCharType="end"/>
        </w:r>
      </w:hyperlink>
    </w:p>
    <w:p w14:paraId="439631C7" w14:textId="5C619CB1" w:rsidR="00C26519" w:rsidRDefault="00CF6066">
      <w:pPr>
        <w:pStyle w:val="TOC1"/>
        <w:rPr>
          <w:rFonts w:asciiTheme="minorHAnsi" w:eastAsiaTheme="minorEastAsia" w:hAnsiTheme="minorHAnsi" w:cstheme="minorBidi"/>
          <w:b w:val="0"/>
          <w:noProof/>
          <w:lang w:bidi="ar-SA"/>
        </w:rPr>
      </w:pPr>
      <w:hyperlink w:anchor="_Toc526489905" w:history="1">
        <w:r w:rsidR="00C26519" w:rsidRPr="0009415D">
          <w:rPr>
            <w:rStyle w:val="Hyperlink"/>
            <w:rFonts w:eastAsia="Arial"/>
            <w:noProof/>
          </w:rPr>
          <w:t xml:space="preserve">Table 1.2. </w:t>
        </w:r>
        <w:r w:rsidR="00C26519" w:rsidRPr="0009415D">
          <w:rPr>
            <w:rStyle w:val="Hyperlink"/>
            <w:noProof/>
          </w:rPr>
          <w:t>Biostimulatory objective language, from each Regional Water Board Basin Plans</w:t>
        </w:r>
        <w:r w:rsidR="00C26519">
          <w:rPr>
            <w:noProof/>
            <w:webHidden/>
          </w:rPr>
          <w:tab/>
        </w:r>
        <w:r w:rsidR="00C26519">
          <w:rPr>
            <w:noProof/>
            <w:webHidden/>
          </w:rPr>
          <w:fldChar w:fldCharType="begin"/>
        </w:r>
        <w:r w:rsidR="00C26519">
          <w:rPr>
            <w:noProof/>
            <w:webHidden/>
          </w:rPr>
          <w:instrText xml:space="preserve"> PAGEREF _Toc526489905 \h </w:instrText>
        </w:r>
        <w:r w:rsidR="00C26519">
          <w:rPr>
            <w:noProof/>
            <w:webHidden/>
          </w:rPr>
        </w:r>
        <w:r w:rsidR="00C26519">
          <w:rPr>
            <w:noProof/>
            <w:webHidden/>
          </w:rPr>
          <w:fldChar w:fldCharType="separate"/>
        </w:r>
        <w:r w:rsidR="00772F7E">
          <w:rPr>
            <w:noProof/>
            <w:webHidden/>
          </w:rPr>
          <w:t>3</w:t>
        </w:r>
        <w:r w:rsidR="00C26519">
          <w:rPr>
            <w:noProof/>
            <w:webHidden/>
          </w:rPr>
          <w:fldChar w:fldCharType="end"/>
        </w:r>
      </w:hyperlink>
    </w:p>
    <w:p w14:paraId="74008A5D" w14:textId="5138472B" w:rsidR="00C26519" w:rsidRDefault="00CF6066">
      <w:pPr>
        <w:pStyle w:val="TOC1"/>
        <w:rPr>
          <w:rFonts w:asciiTheme="minorHAnsi" w:eastAsiaTheme="minorEastAsia" w:hAnsiTheme="minorHAnsi" w:cstheme="minorBidi"/>
          <w:b w:val="0"/>
          <w:noProof/>
          <w:lang w:bidi="ar-SA"/>
        </w:rPr>
      </w:pPr>
      <w:hyperlink w:anchor="_Toc526489906" w:history="1">
        <w:r w:rsidR="00C26519" w:rsidRPr="0009415D">
          <w:rPr>
            <w:rStyle w:val="Hyperlink"/>
            <w:rFonts w:cs="Arial"/>
            <w:noProof/>
          </w:rPr>
          <w:t xml:space="preserve">Table 1.3. </w:t>
        </w:r>
        <w:r w:rsidR="00C26519" w:rsidRPr="0009415D">
          <w:rPr>
            <w:rStyle w:val="Hyperlink"/>
            <w:noProof/>
          </w:rPr>
          <w:t xml:space="preserve">The </w:t>
        </w:r>
        <w:r w:rsidR="00C26519" w:rsidRPr="0009415D">
          <w:rPr>
            <w:rStyle w:val="Hyperlink"/>
            <w:rFonts w:eastAsia="Tw Cen MT"/>
            <w:noProof/>
          </w:rPr>
          <w:t>State Water Board established five guiding principles which frame t</w:t>
        </w:r>
        <w:r w:rsidR="00C26519" w:rsidRPr="0009415D">
          <w:rPr>
            <w:rStyle w:val="Hyperlink"/>
            <w:rFonts w:eastAsia="Tw Cen MT,Calibri"/>
            <w:noProof/>
          </w:rPr>
          <w:t xml:space="preserve">he </w:t>
        </w:r>
        <w:r w:rsidR="00C26519" w:rsidRPr="0009415D">
          <w:rPr>
            <w:rStyle w:val="Hyperlink"/>
            <w:noProof/>
          </w:rPr>
          <w:t xml:space="preserve">regulatory approach </w:t>
        </w:r>
        <w:r w:rsidR="00C26519" w:rsidRPr="0009415D">
          <w:rPr>
            <w:rStyle w:val="Hyperlink"/>
            <w:rFonts w:eastAsia="Tw Cen MT,Calibri"/>
            <w:noProof/>
          </w:rPr>
          <w:t>for</w:t>
        </w:r>
        <w:r w:rsidR="00C26519" w:rsidRPr="0009415D">
          <w:rPr>
            <w:rStyle w:val="Hyperlink"/>
            <w:noProof/>
          </w:rPr>
          <w:t xml:space="preserve"> the Biostimulatory-Biointegrity Project </w:t>
        </w:r>
        <w:r w:rsidR="00C26519" w:rsidRPr="0009415D">
          <w:rPr>
            <w:rStyle w:val="Hyperlink"/>
            <w:rFonts w:eastAsia="Tw Cen MT,Calibri"/>
            <w:noProof/>
          </w:rPr>
          <w:t>and provide</w:t>
        </w:r>
        <w:r w:rsidR="00C26519" w:rsidRPr="0009415D">
          <w:rPr>
            <w:rStyle w:val="Hyperlink"/>
            <w:noProof/>
          </w:rPr>
          <w:t xml:space="preserve"> important context for the science required to support policy options under consideration</w:t>
        </w:r>
        <w:r w:rsidR="00C26519" w:rsidRPr="0009415D">
          <w:rPr>
            <w:rStyle w:val="Hyperlink"/>
            <w:rFonts w:eastAsia="Tw Cen MT,Calibri"/>
            <w:noProof/>
          </w:rPr>
          <w:t xml:space="preserve"> (State Water Board Biointegrity Work Plan 2010; State Water Board Nutrient Control Plan 2014; State Water Board Focus Group Outreach Document, 2016).</w:t>
        </w:r>
        <w:r w:rsidR="00C26519">
          <w:rPr>
            <w:noProof/>
            <w:webHidden/>
          </w:rPr>
          <w:tab/>
        </w:r>
        <w:r w:rsidR="00C26519">
          <w:rPr>
            <w:noProof/>
            <w:webHidden/>
          </w:rPr>
          <w:fldChar w:fldCharType="begin"/>
        </w:r>
        <w:r w:rsidR="00C26519">
          <w:rPr>
            <w:noProof/>
            <w:webHidden/>
          </w:rPr>
          <w:instrText xml:space="preserve"> PAGEREF _Toc526489906 \h </w:instrText>
        </w:r>
        <w:r w:rsidR="00C26519">
          <w:rPr>
            <w:noProof/>
            <w:webHidden/>
          </w:rPr>
        </w:r>
        <w:r w:rsidR="00C26519">
          <w:rPr>
            <w:noProof/>
            <w:webHidden/>
          </w:rPr>
          <w:fldChar w:fldCharType="separate"/>
        </w:r>
        <w:r w:rsidR="00772F7E">
          <w:rPr>
            <w:noProof/>
            <w:webHidden/>
          </w:rPr>
          <w:t>5</w:t>
        </w:r>
        <w:r w:rsidR="00C26519">
          <w:rPr>
            <w:noProof/>
            <w:webHidden/>
          </w:rPr>
          <w:fldChar w:fldCharType="end"/>
        </w:r>
      </w:hyperlink>
    </w:p>
    <w:p w14:paraId="53C90147" w14:textId="17A42CA3" w:rsidR="00C26519" w:rsidRDefault="00CF6066">
      <w:pPr>
        <w:pStyle w:val="TOC1"/>
        <w:rPr>
          <w:rFonts w:asciiTheme="minorHAnsi" w:eastAsiaTheme="minorEastAsia" w:hAnsiTheme="minorHAnsi" w:cstheme="minorBidi"/>
          <w:b w:val="0"/>
          <w:noProof/>
          <w:lang w:bidi="ar-SA"/>
        </w:rPr>
      </w:pPr>
      <w:hyperlink w:anchor="_Toc526489907" w:history="1">
        <w:r w:rsidR="00C26519" w:rsidRPr="0009415D">
          <w:rPr>
            <w:rStyle w:val="Hyperlink"/>
            <w:noProof/>
          </w:rPr>
          <w:t>Table 1.4. Key organizing assumptions and scientific principles supporting the biostimulatory policy (see explanation on each principle summarized from Sutula 2018).</w:t>
        </w:r>
        <w:r w:rsidR="00C26519">
          <w:rPr>
            <w:noProof/>
            <w:webHidden/>
          </w:rPr>
          <w:tab/>
        </w:r>
        <w:r w:rsidR="00C26519">
          <w:rPr>
            <w:noProof/>
            <w:webHidden/>
          </w:rPr>
          <w:fldChar w:fldCharType="begin"/>
        </w:r>
        <w:r w:rsidR="00C26519">
          <w:rPr>
            <w:noProof/>
            <w:webHidden/>
          </w:rPr>
          <w:instrText xml:space="preserve"> PAGEREF _Toc526489907 \h </w:instrText>
        </w:r>
        <w:r w:rsidR="00C26519">
          <w:rPr>
            <w:noProof/>
            <w:webHidden/>
          </w:rPr>
        </w:r>
        <w:r w:rsidR="00C26519">
          <w:rPr>
            <w:noProof/>
            <w:webHidden/>
          </w:rPr>
          <w:fldChar w:fldCharType="separate"/>
        </w:r>
        <w:r w:rsidR="00772F7E">
          <w:rPr>
            <w:noProof/>
            <w:webHidden/>
          </w:rPr>
          <w:t>6</w:t>
        </w:r>
        <w:r w:rsidR="00C26519">
          <w:rPr>
            <w:noProof/>
            <w:webHidden/>
          </w:rPr>
          <w:fldChar w:fldCharType="end"/>
        </w:r>
      </w:hyperlink>
    </w:p>
    <w:p w14:paraId="6142E56C" w14:textId="16CB95AD" w:rsidR="00C26519" w:rsidRDefault="00CF6066">
      <w:pPr>
        <w:pStyle w:val="TOC1"/>
        <w:rPr>
          <w:rFonts w:asciiTheme="minorHAnsi" w:eastAsiaTheme="minorEastAsia" w:hAnsiTheme="minorHAnsi" w:cstheme="minorBidi"/>
          <w:b w:val="0"/>
          <w:noProof/>
          <w:lang w:bidi="ar-SA"/>
        </w:rPr>
      </w:pPr>
      <w:hyperlink w:anchor="_Toc526489908" w:history="1">
        <w:r w:rsidR="00C26519" w:rsidRPr="0009415D">
          <w:rPr>
            <w:rStyle w:val="Hyperlink"/>
            <w:noProof/>
          </w:rPr>
          <w:t>Table 2.1. Most Important Risk Pathways Associated with Impairment of Sensitive Uses by Nutrient Pollution and Eutrophication. Aquatic life -related uses, ALU, are grouped to include: COLD, WARM, MIGR, RARE, and SPWN beneficial uses. Birds, amphibian and terrestrial wildlife are represented under WILD, MIGR, and RARE. Poor water quality can be linked to human or aquatic/wildlife uses.</w:t>
        </w:r>
        <w:r w:rsidR="00C26519">
          <w:rPr>
            <w:noProof/>
            <w:webHidden/>
          </w:rPr>
          <w:tab/>
        </w:r>
        <w:r w:rsidR="00C26519">
          <w:rPr>
            <w:noProof/>
            <w:webHidden/>
          </w:rPr>
          <w:fldChar w:fldCharType="begin"/>
        </w:r>
        <w:r w:rsidR="00C26519">
          <w:rPr>
            <w:noProof/>
            <w:webHidden/>
          </w:rPr>
          <w:instrText xml:space="preserve"> PAGEREF _Toc526489908 \h </w:instrText>
        </w:r>
        <w:r w:rsidR="00C26519">
          <w:rPr>
            <w:noProof/>
            <w:webHidden/>
          </w:rPr>
        </w:r>
        <w:r w:rsidR="00C26519">
          <w:rPr>
            <w:noProof/>
            <w:webHidden/>
          </w:rPr>
          <w:fldChar w:fldCharType="separate"/>
        </w:r>
        <w:r w:rsidR="00772F7E">
          <w:rPr>
            <w:noProof/>
            <w:webHidden/>
          </w:rPr>
          <w:t>8</w:t>
        </w:r>
        <w:r w:rsidR="00C26519">
          <w:rPr>
            <w:noProof/>
            <w:webHidden/>
          </w:rPr>
          <w:fldChar w:fldCharType="end"/>
        </w:r>
      </w:hyperlink>
    </w:p>
    <w:p w14:paraId="5E6837E6" w14:textId="14C83BA7" w:rsidR="00C26519" w:rsidRDefault="00CF6066">
      <w:pPr>
        <w:pStyle w:val="TOC1"/>
        <w:rPr>
          <w:rFonts w:asciiTheme="minorHAnsi" w:eastAsiaTheme="minorEastAsia" w:hAnsiTheme="minorHAnsi" w:cstheme="minorBidi"/>
          <w:b w:val="0"/>
          <w:noProof/>
          <w:lang w:bidi="ar-SA"/>
        </w:rPr>
      </w:pPr>
      <w:hyperlink w:anchor="_Toc526489909" w:history="1">
        <w:r w:rsidR="00C26519" w:rsidRPr="0009415D">
          <w:rPr>
            <w:rStyle w:val="Hyperlink"/>
            <w:noProof/>
          </w:rPr>
          <w:t>Table 2.2.  Linkage of eutrophication impairment pathways to specific measures of organic matter accumulation, altered benthic and water column chemistry and harmful algal blooms and associated toxins in wadeable streams.</w:t>
        </w:r>
        <w:r w:rsidR="00C26519">
          <w:rPr>
            <w:noProof/>
            <w:webHidden/>
          </w:rPr>
          <w:tab/>
        </w:r>
        <w:r w:rsidR="00C26519">
          <w:rPr>
            <w:noProof/>
            <w:webHidden/>
          </w:rPr>
          <w:fldChar w:fldCharType="begin"/>
        </w:r>
        <w:r w:rsidR="00C26519">
          <w:rPr>
            <w:noProof/>
            <w:webHidden/>
          </w:rPr>
          <w:instrText xml:space="preserve"> PAGEREF _Toc526489909 \h </w:instrText>
        </w:r>
        <w:r w:rsidR="00C26519">
          <w:rPr>
            <w:noProof/>
            <w:webHidden/>
          </w:rPr>
        </w:r>
        <w:r w:rsidR="00C26519">
          <w:rPr>
            <w:noProof/>
            <w:webHidden/>
          </w:rPr>
          <w:fldChar w:fldCharType="separate"/>
        </w:r>
        <w:r w:rsidR="00772F7E">
          <w:rPr>
            <w:noProof/>
            <w:webHidden/>
          </w:rPr>
          <w:t>10</w:t>
        </w:r>
        <w:r w:rsidR="00C26519">
          <w:rPr>
            <w:noProof/>
            <w:webHidden/>
          </w:rPr>
          <w:fldChar w:fldCharType="end"/>
        </w:r>
      </w:hyperlink>
    </w:p>
    <w:p w14:paraId="5F356053" w14:textId="39D51160" w:rsidR="00C26519" w:rsidRDefault="00CF6066">
      <w:pPr>
        <w:pStyle w:val="TOC1"/>
        <w:rPr>
          <w:rFonts w:asciiTheme="minorHAnsi" w:eastAsiaTheme="minorEastAsia" w:hAnsiTheme="minorHAnsi" w:cstheme="minorBidi"/>
          <w:b w:val="0"/>
          <w:noProof/>
          <w:lang w:bidi="ar-SA"/>
        </w:rPr>
      </w:pPr>
      <w:hyperlink w:anchor="_Toc526489910" w:history="1">
        <w:r w:rsidR="00C26519" w:rsidRPr="0009415D">
          <w:rPr>
            <w:rStyle w:val="Hyperlink"/>
            <w:noProof/>
          </w:rPr>
          <w:t>Table 2.3.  Evaluation of wadeable stream eutrophication response measures vis-à-vis evaluation criteria. Asterisk (*) denotes applicability to eutrophication diagnosis at the metric level. Number represents strength of measure for each evaluation criterion, from 3 = best to 1= worst, while no number indicates no basis. Y= used in SWAMP or PSA assessments. H= human uses (REC1, MUN); AL = Aquatic life uses (WARM, COLD, WILD, RARE, SPAWN, MIGR)</w:t>
        </w:r>
        <w:r w:rsidR="00C26519">
          <w:rPr>
            <w:noProof/>
            <w:webHidden/>
          </w:rPr>
          <w:tab/>
        </w:r>
        <w:r w:rsidR="00C26519">
          <w:rPr>
            <w:noProof/>
            <w:webHidden/>
          </w:rPr>
          <w:fldChar w:fldCharType="begin"/>
        </w:r>
        <w:r w:rsidR="00C26519">
          <w:rPr>
            <w:noProof/>
            <w:webHidden/>
          </w:rPr>
          <w:instrText xml:space="preserve"> PAGEREF _Toc526489910 \h </w:instrText>
        </w:r>
        <w:r w:rsidR="00C26519">
          <w:rPr>
            <w:noProof/>
            <w:webHidden/>
          </w:rPr>
        </w:r>
        <w:r w:rsidR="00C26519">
          <w:rPr>
            <w:noProof/>
            <w:webHidden/>
          </w:rPr>
          <w:fldChar w:fldCharType="separate"/>
        </w:r>
        <w:r w:rsidR="00772F7E">
          <w:rPr>
            <w:noProof/>
            <w:webHidden/>
          </w:rPr>
          <w:t>20</w:t>
        </w:r>
        <w:r w:rsidR="00C26519">
          <w:rPr>
            <w:noProof/>
            <w:webHidden/>
          </w:rPr>
          <w:fldChar w:fldCharType="end"/>
        </w:r>
      </w:hyperlink>
    </w:p>
    <w:p w14:paraId="1DBD2DF7" w14:textId="61DDF965" w:rsidR="00C26519" w:rsidRDefault="00CF6066">
      <w:pPr>
        <w:pStyle w:val="TOC1"/>
        <w:rPr>
          <w:rFonts w:asciiTheme="minorHAnsi" w:eastAsiaTheme="minorEastAsia" w:hAnsiTheme="minorHAnsi" w:cstheme="minorBidi"/>
          <w:b w:val="0"/>
          <w:noProof/>
          <w:lang w:bidi="ar-SA"/>
        </w:rPr>
      </w:pPr>
      <w:hyperlink w:anchor="_Toc526489911" w:history="1">
        <w:r w:rsidR="00C26519" w:rsidRPr="0009415D">
          <w:rPr>
            <w:rStyle w:val="Hyperlink"/>
            <w:noProof/>
          </w:rPr>
          <w:t>Table. 2.6 Major CyanoHAB genera, their ability to fix N2, harmful characteristics and toxins produced, and the range of potential mitigation strategies, from Paerl at al. (2016). Notations are defined as S, some species; M, most species; *, only feasible in relatively small system; #, only in systems that exhibit vertically-stratified conditions during bloom periods; $ following environmental assessment and only if dredge spoils can be deposited outside the watershed.</w:t>
        </w:r>
        <w:r w:rsidR="00C26519">
          <w:rPr>
            <w:noProof/>
            <w:webHidden/>
          </w:rPr>
          <w:tab/>
        </w:r>
        <w:r w:rsidR="00C26519">
          <w:rPr>
            <w:noProof/>
            <w:webHidden/>
          </w:rPr>
          <w:fldChar w:fldCharType="begin"/>
        </w:r>
        <w:r w:rsidR="00C26519">
          <w:rPr>
            <w:noProof/>
            <w:webHidden/>
          </w:rPr>
          <w:instrText xml:space="preserve"> PAGEREF _Toc526489911 \h </w:instrText>
        </w:r>
        <w:r w:rsidR="00C26519">
          <w:rPr>
            <w:noProof/>
            <w:webHidden/>
          </w:rPr>
        </w:r>
        <w:r w:rsidR="00C26519">
          <w:rPr>
            <w:noProof/>
            <w:webHidden/>
          </w:rPr>
          <w:fldChar w:fldCharType="separate"/>
        </w:r>
        <w:r w:rsidR="00772F7E">
          <w:rPr>
            <w:noProof/>
            <w:webHidden/>
          </w:rPr>
          <w:t>27</w:t>
        </w:r>
        <w:r w:rsidR="00C26519">
          <w:rPr>
            <w:noProof/>
            <w:webHidden/>
          </w:rPr>
          <w:fldChar w:fldCharType="end"/>
        </w:r>
      </w:hyperlink>
    </w:p>
    <w:p w14:paraId="7D992016" w14:textId="1D7D614D" w:rsidR="00C26519" w:rsidRDefault="00CF6066">
      <w:pPr>
        <w:pStyle w:val="TOC1"/>
        <w:rPr>
          <w:rFonts w:asciiTheme="minorHAnsi" w:eastAsiaTheme="minorEastAsia" w:hAnsiTheme="minorHAnsi" w:cstheme="minorBidi"/>
          <w:b w:val="0"/>
          <w:noProof/>
          <w:lang w:bidi="ar-SA"/>
        </w:rPr>
      </w:pPr>
      <w:hyperlink w:anchor="_Toc526489912" w:history="1">
        <w:r w:rsidR="00C26519" w:rsidRPr="0009415D">
          <w:rPr>
            <w:rStyle w:val="Hyperlink"/>
            <w:noProof/>
          </w:rPr>
          <w:t>Table 2.7. Nutrient species relevant biostimulatory impacts to beneficial uses.</w:t>
        </w:r>
        <w:r w:rsidR="00C26519">
          <w:rPr>
            <w:noProof/>
            <w:webHidden/>
          </w:rPr>
          <w:tab/>
        </w:r>
        <w:r w:rsidR="00C26519">
          <w:rPr>
            <w:noProof/>
            <w:webHidden/>
          </w:rPr>
          <w:fldChar w:fldCharType="begin"/>
        </w:r>
        <w:r w:rsidR="00C26519">
          <w:rPr>
            <w:noProof/>
            <w:webHidden/>
          </w:rPr>
          <w:instrText xml:space="preserve"> PAGEREF _Toc526489912 \h </w:instrText>
        </w:r>
        <w:r w:rsidR="00C26519">
          <w:rPr>
            <w:noProof/>
            <w:webHidden/>
          </w:rPr>
        </w:r>
        <w:r w:rsidR="00C26519">
          <w:rPr>
            <w:noProof/>
            <w:webHidden/>
          </w:rPr>
          <w:fldChar w:fldCharType="separate"/>
        </w:r>
        <w:r w:rsidR="00772F7E">
          <w:rPr>
            <w:noProof/>
            <w:webHidden/>
          </w:rPr>
          <w:t>34</w:t>
        </w:r>
        <w:r w:rsidR="00C26519">
          <w:rPr>
            <w:noProof/>
            <w:webHidden/>
          </w:rPr>
          <w:fldChar w:fldCharType="end"/>
        </w:r>
      </w:hyperlink>
    </w:p>
    <w:p w14:paraId="7670F781" w14:textId="25754384" w:rsidR="00C26519" w:rsidRDefault="00CF6066">
      <w:pPr>
        <w:pStyle w:val="TOC1"/>
        <w:rPr>
          <w:rFonts w:asciiTheme="minorHAnsi" w:eastAsiaTheme="minorEastAsia" w:hAnsiTheme="minorHAnsi" w:cstheme="minorBidi"/>
          <w:b w:val="0"/>
          <w:noProof/>
          <w:lang w:bidi="ar-SA"/>
        </w:rPr>
      </w:pPr>
      <w:hyperlink w:anchor="_Toc526489913" w:history="1">
        <w:r w:rsidR="00C26519" w:rsidRPr="0009415D">
          <w:rPr>
            <w:rStyle w:val="Hyperlink"/>
            <w:noProof/>
          </w:rPr>
          <w:t>Table 2.8. Effects of elevated ammonia in fish (from US EPA 2010).</w:t>
        </w:r>
        <w:r w:rsidR="00C26519">
          <w:rPr>
            <w:noProof/>
            <w:webHidden/>
          </w:rPr>
          <w:tab/>
        </w:r>
        <w:r w:rsidR="00C26519">
          <w:rPr>
            <w:noProof/>
            <w:webHidden/>
          </w:rPr>
          <w:fldChar w:fldCharType="begin"/>
        </w:r>
        <w:r w:rsidR="00C26519">
          <w:rPr>
            <w:noProof/>
            <w:webHidden/>
          </w:rPr>
          <w:instrText xml:space="preserve"> PAGEREF _Toc526489913 \h </w:instrText>
        </w:r>
        <w:r w:rsidR="00C26519">
          <w:rPr>
            <w:noProof/>
            <w:webHidden/>
          </w:rPr>
        </w:r>
        <w:r w:rsidR="00C26519">
          <w:rPr>
            <w:noProof/>
            <w:webHidden/>
          </w:rPr>
          <w:fldChar w:fldCharType="separate"/>
        </w:r>
        <w:r w:rsidR="00772F7E">
          <w:rPr>
            <w:noProof/>
            <w:webHidden/>
          </w:rPr>
          <w:t>35</w:t>
        </w:r>
        <w:r w:rsidR="00C26519">
          <w:rPr>
            <w:noProof/>
            <w:webHidden/>
          </w:rPr>
          <w:fldChar w:fldCharType="end"/>
        </w:r>
      </w:hyperlink>
    </w:p>
    <w:p w14:paraId="66D41875" w14:textId="453DE363" w:rsidR="00C26519" w:rsidRDefault="00CF6066">
      <w:pPr>
        <w:pStyle w:val="TOC1"/>
        <w:rPr>
          <w:rFonts w:asciiTheme="minorHAnsi" w:eastAsiaTheme="minorEastAsia" w:hAnsiTheme="minorHAnsi" w:cstheme="minorBidi"/>
          <w:b w:val="0"/>
          <w:noProof/>
          <w:lang w:bidi="ar-SA"/>
        </w:rPr>
      </w:pPr>
      <w:hyperlink w:anchor="_Toc526489914" w:history="1">
        <w:r w:rsidR="00C26519" w:rsidRPr="0009415D">
          <w:rPr>
            <w:rStyle w:val="Hyperlink"/>
            <w:noProof/>
          </w:rPr>
          <w:t>Table 2.9 List of physical habitat disturbance type and specific metrics that characterize that type.</w:t>
        </w:r>
        <w:r w:rsidR="00C26519">
          <w:rPr>
            <w:noProof/>
            <w:webHidden/>
          </w:rPr>
          <w:tab/>
        </w:r>
        <w:r w:rsidR="00C26519">
          <w:rPr>
            <w:noProof/>
            <w:webHidden/>
          </w:rPr>
          <w:fldChar w:fldCharType="begin"/>
        </w:r>
        <w:r w:rsidR="00C26519">
          <w:rPr>
            <w:noProof/>
            <w:webHidden/>
          </w:rPr>
          <w:instrText xml:space="preserve"> PAGEREF _Toc526489914 \h </w:instrText>
        </w:r>
        <w:r w:rsidR="00C26519">
          <w:rPr>
            <w:noProof/>
            <w:webHidden/>
          </w:rPr>
        </w:r>
        <w:r w:rsidR="00C26519">
          <w:rPr>
            <w:noProof/>
            <w:webHidden/>
          </w:rPr>
          <w:fldChar w:fldCharType="separate"/>
        </w:r>
        <w:r w:rsidR="00772F7E">
          <w:rPr>
            <w:noProof/>
            <w:webHidden/>
          </w:rPr>
          <w:t>39</w:t>
        </w:r>
        <w:r w:rsidR="00C26519">
          <w:rPr>
            <w:noProof/>
            <w:webHidden/>
          </w:rPr>
          <w:fldChar w:fldCharType="end"/>
        </w:r>
      </w:hyperlink>
    </w:p>
    <w:p w14:paraId="71BB1F6F" w14:textId="7906D9AA" w:rsidR="00C26519" w:rsidRDefault="00CF6066">
      <w:pPr>
        <w:pStyle w:val="TOC1"/>
        <w:rPr>
          <w:rFonts w:asciiTheme="minorHAnsi" w:eastAsiaTheme="minorEastAsia" w:hAnsiTheme="minorHAnsi" w:cstheme="minorBidi"/>
          <w:b w:val="0"/>
          <w:noProof/>
          <w:lang w:bidi="ar-SA"/>
        </w:rPr>
      </w:pPr>
      <w:hyperlink w:anchor="_Toc526489915" w:history="1">
        <w:r w:rsidR="00C26519" w:rsidRPr="0009415D">
          <w:rPr>
            <w:rStyle w:val="Hyperlink"/>
            <w:noProof/>
          </w:rPr>
          <w:t>Table 2.10.  Summary of wadeable streams biostimulatory indicators recommended for use in wadeable streams biostimulatory assessment. Absence from list does not imply that other indicators cannot be used, based on expert judgment on a watershed basis. Beneficial use (BU) type refers to major pathway of impact to aquatic life (AL) related uses or to human (H) uses.</w:t>
        </w:r>
        <w:r w:rsidR="00C26519">
          <w:rPr>
            <w:noProof/>
            <w:webHidden/>
          </w:rPr>
          <w:tab/>
        </w:r>
        <w:r w:rsidR="00C26519">
          <w:rPr>
            <w:noProof/>
            <w:webHidden/>
          </w:rPr>
          <w:fldChar w:fldCharType="begin"/>
        </w:r>
        <w:r w:rsidR="00C26519">
          <w:rPr>
            <w:noProof/>
            <w:webHidden/>
          </w:rPr>
          <w:instrText xml:space="preserve"> PAGEREF _Toc526489915 \h </w:instrText>
        </w:r>
        <w:r w:rsidR="00C26519">
          <w:rPr>
            <w:noProof/>
            <w:webHidden/>
          </w:rPr>
        </w:r>
        <w:r w:rsidR="00C26519">
          <w:rPr>
            <w:noProof/>
            <w:webHidden/>
          </w:rPr>
          <w:fldChar w:fldCharType="separate"/>
        </w:r>
        <w:r w:rsidR="00772F7E">
          <w:rPr>
            <w:noProof/>
            <w:webHidden/>
          </w:rPr>
          <w:t>42</w:t>
        </w:r>
        <w:r w:rsidR="00C26519">
          <w:rPr>
            <w:noProof/>
            <w:webHidden/>
          </w:rPr>
          <w:fldChar w:fldCharType="end"/>
        </w:r>
      </w:hyperlink>
    </w:p>
    <w:p w14:paraId="32B1EAD9" w14:textId="271C231F" w:rsidR="00C26519" w:rsidRDefault="00CF6066">
      <w:pPr>
        <w:pStyle w:val="TOC1"/>
        <w:rPr>
          <w:rFonts w:asciiTheme="minorHAnsi" w:eastAsiaTheme="minorEastAsia" w:hAnsiTheme="minorHAnsi" w:cstheme="minorBidi"/>
          <w:b w:val="0"/>
          <w:noProof/>
          <w:lang w:bidi="ar-SA"/>
        </w:rPr>
      </w:pPr>
      <w:hyperlink w:anchor="_Toc526489916" w:history="1">
        <w:r w:rsidR="00C26519" w:rsidRPr="0009415D">
          <w:rPr>
            <w:rStyle w:val="Hyperlink"/>
            <w:noProof/>
          </w:rPr>
          <w:t>Table 3.1.  Scientific basis for wadeable streams biostimulatory indicator numeric target. Beneficial use (BU) type refers to major pathway of impact to aquatic life (AL) related uses or to human (H) uses.</w:t>
        </w:r>
        <w:r w:rsidR="00C26519">
          <w:rPr>
            <w:noProof/>
            <w:webHidden/>
          </w:rPr>
          <w:tab/>
        </w:r>
        <w:r w:rsidR="00C26519">
          <w:rPr>
            <w:noProof/>
            <w:webHidden/>
          </w:rPr>
          <w:fldChar w:fldCharType="begin"/>
        </w:r>
        <w:r w:rsidR="00C26519">
          <w:rPr>
            <w:noProof/>
            <w:webHidden/>
          </w:rPr>
          <w:instrText xml:space="preserve"> PAGEREF _Toc526489916 \h </w:instrText>
        </w:r>
        <w:r w:rsidR="00C26519">
          <w:rPr>
            <w:noProof/>
            <w:webHidden/>
          </w:rPr>
        </w:r>
        <w:r w:rsidR="00C26519">
          <w:rPr>
            <w:noProof/>
            <w:webHidden/>
          </w:rPr>
          <w:fldChar w:fldCharType="separate"/>
        </w:r>
        <w:r w:rsidR="00772F7E">
          <w:rPr>
            <w:noProof/>
            <w:webHidden/>
          </w:rPr>
          <w:t>44</w:t>
        </w:r>
        <w:r w:rsidR="00C26519">
          <w:rPr>
            <w:noProof/>
            <w:webHidden/>
          </w:rPr>
          <w:fldChar w:fldCharType="end"/>
        </w:r>
      </w:hyperlink>
    </w:p>
    <w:p w14:paraId="6E8B54AE" w14:textId="1BFBB142" w:rsidR="00C26519" w:rsidRDefault="00CF6066">
      <w:pPr>
        <w:pStyle w:val="TOC1"/>
        <w:rPr>
          <w:rFonts w:asciiTheme="minorHAnsi" w:eastAsiaTheme="minorEastAsia" w:hAnsiTheme="minorHAnsi" w:cstheme="minorBidi"/>
          <w:b w:val="0"/>
          <w:noProof/>
          <w:lang w:bidi="ar-SA"/>
        </w:rPr>
      </w:pPr>
      <w:hyperlink w:anchor="_Toc526489917" w:history="1">
        <w:r w:rsidR="00C26519" w:rsidRPr="0009415D">
          <w:rPr>
            <w:rStyle w:val="Hyperlink"/>
            <w:noProof/>
          </w:rPr>
          <w:t>Table 3.2 Range of TN and TP thresholds associated with protection of CSCI and ASCI_H at a relative probability of 90% confidence, at varying levels of percentile of reference, from 30</w:t>
        </w:r>
        <w:r w:rsidR="00C26519" w:rsidRPr="0009415D">
          <w:rPr>
            <w:rStyle w:val="Hyperlink"/>
            <w:noProof/>
            <w:vertAlign w:val="superscript"/>
          </w:rPr>
          <w:t>th</w:t>
        </w:r>
        <w:r w:rsidR="00C26519" w:rsidRPr="0009415D">
          <w:rPr>
            <w:rStyle w:val="Hyperlink"/>
            <w:noProof/>
          </w:rPr>
          <w:t xml:space="preserve"> to 1</w:t>
        </w:r>
        <w:r w:rsidR="00C26519" w:rsidRPr="0009415D">
          <w:rPr>
            <w:rStyle w:val="Hyperlink"/>
            <w:noProof/>
            <w:vertAlign w:val="superscript"/>
          </w:rPr>
          <w:t>st</w:t>
        </w:r>
        <w:r w:rsidR="00C26519" w:rsidRPr="0009415D">
          <w:rPr>
            <w:rStyle w:val="Hyperlink"/>
            <w:noProof/>
          </w:rPr>
          <w:t>. Relative risk is provided for calibration versus validation datasets. All targets passed validation (i.e., the lower 95% confidence interval of the relative risk estimate was greater than 1 for both calibration and validation data sets. BI goal refers to CSCI or ASCI endpoint (30</w:t>
        </w:r>
        <w:r w:rsidR="00C26519" w:rsidRPr="0009415D">
          <w:rPr>
            <w:rStyle w:val="Hyperlink"/>
            <w:noProof/>
            <w:vertAlign w:val="superscript"/>
          </w:rPr>
          <w:t>th</w:t>
        </w:r>
        <w:r w:rsidR="00C26519" w:rsidRPr="0009415D">
          <w:rPr>
            <w:rStyle w:val="Hyperlink"/>
            <w:noProof/>
          </w:rPr>
          <w:t>, 10</w:t>
        </w:r>
        <w:r w:rsidR="00C26519" w:rsidRPr="0009415D">
          <w:rPr>
            <w:rStyle w:val="Hyperlink"/>
            <w:noProof/>
            <w:vertAlign w:val="superscript"/>
          </w:rPr>
          <w:t>th</w:t>
        </w:r>
        <w:r w:rsidR="00C26519" w:rsidRPr="0009415D">
          <w:rPr>
            <w:rStyle w:val="Hyperlink"/>
            <w:noProof/>
          </w:rPr>
          <w:t xml:space="preserve"> or 1</w:t>
        </w:r>
        <w:r w:rsidR="00C26519" w:rsidRPr="0009415D">
          <w:rPr>
            <w:rStyle w:val="Hyperlink"/>
            <w:noProof/>
            <w:vertAlign w:val="superscript"/>
          </w:rPr>
          <w:t>st</w:t>
        </w:r>
        <w:r w:rsidR="00C26519" w:rsidRPr="0009415D">
          <w:rPr>
            <w:rStyle w:val="Hyperlink"/>
            <w:noProof/>
          </w:rPr>
          <w:t>).</w:t>
        </w:r>
        <w:r w:rsidR="00C26519">
          <w:rPr>
            <w:noProof/>
            <w:webHidden/>
          </w:rPr>
          <w:tab/>
        </w:r>
        <w:r w:rsidR="00C26519">
          <w:rPr>
            <w:noProof/>
            <w:webHidden/>
          </w:rPr>
          <w:fldChar w:fldCharType="begin"/>
        </w:r>
        <w:r w:rsidR="00C26519">
          <w:rPr>
            <w:noProof/>
            <w:webHidden/>
          </w:rPr>
          <w:instrText xml:space="preserve"> PAGEREF _Toc526489917 \h </w:instrText>
        </w:r>
        <w:r w:rsidR="00C26519">
          <w:rPr>
            <w:noProof/>
            <w:webHidden/>
          </w:rPr>
        </w:r>
        <w:r w:rsidR="00C26519">
          <w:rPr>
            <w:noProof/>
            <w:webHidden/>
          </w:rPr>
          <w:fldChar w:fldCharType="separate"/>
        </w:r>
        <w:r w:rsidR="00772F7E">
          <w:rPr>
            <w:noProof/>
            <w:webHidden/>
          </w:rPr>
          <w:t>50</w:t>
        </w:r>
        <w:r w:rsidR="00C26519">
          <w:rPr>
            <w:noProof/>
            <w:webHidden/>
          </w:rPr>
          <w:fldChar w:fldCharType="end"/>
        </w:r>
      </w:hyperlink>
    </w:p>
    <w:p w14:paraId="723C8CD8" w14:textId="25B1CBB2" w:rsidR="00C26519" w:rsidRDefault="00CF6066">
      <w:pPr>
        <w:pStyle w:val="TOC1"/>
        <w:rPr>
          <w:rFonts w:asciiTheme="minorHAnsi" w:eastAsiaTheme="minorEastAsia" w:hAnsiTheme="minorHAnsi" w:cstheme="minorBidi"/>
          <w:b w:val="0"/>
          <w:noProof/>
          <w:lang w:bidi="ar-SA"/>
        </w:rPr>
      </w:pPr>
      <w:hyperlink w:anchor="_Toc526489918" w:history="1">
        <w:r w:rsidR="00C26519" w:rsidRPr="0009415D">
          <w:rPr>
            <w:rStyle w:val="Hyperlink"/>
            <w:noProof/>
          </w:rPr>
          <w:t>Table 3.3. Median, 75</w:t>
        </w:r>
        <w:r w:rsidR="00C26519" w:rsidRPr="0009415D">
          <w:rPr>
            <w:rStyle w:val="Hyperlink"/>
            <w:noProof/>
            <w:vertAlign w:val="superscript"/>
          </w:rPr>
          <w:t>th</w:t>
        </w:r>
        <w:r w:rsidR="00C26519" w:rsidRPr="0009415D">
          <w:rPr>
            <w:rStyle w:val="Hyperlink"/>
            <w:noProof/>
          </w:rPr>
          <w:t>, and 95</w:t>
        </w:r>
        <w:r w:rsidR="00C26519" w:rsidRPr="0009415D">
          <w:rPr>
            <w:rStyle w:val="Hyperlink"/>
            <w:noProof/>
            <w:vertAlign w:val="superscript"/>
          </w:rPr>
          <w:t>th</w:t>
        </w:r>
        <w:r w:rsidR="00C26519" w:rsidRPr="0009415D">
          <w:rPr>
            <w:rStyle w:val="Hyperlink"/>
            <w:noProof/>
          </w:rPr>
          <w:t xml:space="preserve"> percentiles of raw (unweighted) TN, TP benthic chlorophyll </w:t>
        </w:r>
        <w:r w:rsidR="00C26519" w:rsidRPr="0009415D">
          <w:rPr>
            <w:rStyle w:val="Hyperlink"/>
            <w:i/>
            <w:noProof/>
          </w:rPr>
          <w:t>a</w:t>
        </w:r>
        <w:r w:rsidR="00C26519" w:rsidRPr="0009415D">
          <w:rPr>
            <w:rStyle w:val="Hyperlink"/>
            <w:noProof/>
          </w:rPr>
          <w:t>, AFDM, and macroalgal percent cover (PCT_MAP), statewide and by region, at Reference sites (both probability and targeted datasets included). SE: standard error of the mean; CI: confidence interval (95%).</w:t>
        </w:r>
        <w:r w:rsidR="00C26519">
          <w:rPr>
            <w:noProof/>
            <w:webHidden/>
          </w:rPr>
          <w:tab/>
        </w:r>
        <w:r w:rsidR="00C26519">
          <w:rPr>
            <w:noProof/>
            <w:webHidden/>
          </w:rPr>
          <w:fldChar w:fldCharType="begin"/>
        </w:r>
        <w:r w:rsidR="00C26519">
          <w:rPr>
            <w:noProof/>
            <w:webHidden/>
          </w:rPr>
          <w:instrText xml:space="preserve"> PAGEREF _Toc526489918 \h </w:instrText>
        </w:r>
        <w:r w:rsidR="00C26519">
          <w:rPr>
            <w:noProof/>
            <w:webHidden/>
          </w:rPr>
        </w:r>
        <w:r w:rsidR="00C26519">
          <w:rPr>
            <w:noProof/>
            <w:webHidden/>
          </w:rPr>
          <w:fldChar w:fldCharType="separate"/>
        </w:r>
        <w:r w:rsidR="00772F7E">
          <w:rPr>
            <w:noProof/>
            <w:webHidden/>
          </w:rPr>
          <w:t>51</w:t>
        </w:r>
        <w:r w:rsidR="00C26519">
          <w:rPr>
            <w:noProof/>
            <w:webHidden/>
          </w:rPr>
          <w:fldChar w:fldCharType="end"/>
        </w:r>
      </w:hyperlink>
    </w:p>
    <w:p w14:paraId="17F44191" w14:textId="224DEBC9" w:rsidR="00C26519" w:rsidRDefault="00CF6066">
      <w:pPr>
        <w:pStyle w:val="TOC1"/>
        <w:rPr>
          <w:rFonts w:asciiTheme="minorHAnsi" w:eastAsiaTheme="minorEastAsia" w:hAnsiTheme="minorHAnsi" w:cstheme="minorBidi"/>
          <w:b w:val="0"/>
          <w:noProof/>
          <w:lang w:bidi="ar-SA"/>
        </w:rPr>
      </w:pPr>
      <w:hyperlink w:anchor="_Toc526489919" w:history="1">
        <w:r w:rsidR="00C26519" w:rsidRPr="0009415D">
          <w:rPr>
            <w:rStyle w:val="Hyperlink"/>
            <w:noProof/>
          </w:rPr>
          <w:t>Table 3.4. Change point thresholds for stream responses to nutrient concentrations, summarized across aquatic life indicators. Min: Minimum reported threshold. Max: Maximum reported threshold. TP and TN concentrations are in mg/L</w:t>
        </w:r>
        <w:r w:rsidR="00C26519">
          <w:rPr>
            <w:noProof/>
            <w:webHidden/>
          </w:rPr>
          <w:tab/>
        </w:r>
        <w:r w:rsidR="00C26519">
          <w:rPr>
            <w:noProof/>
            <w:webHidden/>
          </w:rPr>
          <w:fldChar w:fldCharType="begin"/>
        </w:r>
        <w:r w:rsidR="00C26519">
          <w:rPr>
            <w:noProof/>
            <w:webHidden/>
          </w:rPr>
          <w:instrText xml:space="preserve"> PAGEREF _Toc526489919 \h </w:instrText>
        </w:r>
        <w:r w:rsidR="00C26519">
          <w:rPr>
            <w:noProof/>
            <w:webHidden/>
          </w:rPr>
        </w:r>
        <w:r w:rsidR="00C26519">
          <w:rPr>
            <w:noProof/>
            <w:webHidden/>
          </w:rPr>
          <w:fldChar w:fldCharType="separate"/>
        </w:r>
        <w:r w:rsidR="00772F7E">
          <w:rPr>
            <w:noProof/>
            <w:webHidden/>
          </w:rPr>
          <w:t>55</w:t>
        </w:r>
        <w:r w:rsidR="00C26519">
          <w:rPr>
            <w:noProof/>
            <w:webHidden/>
          </w:rPr>
          <w:fldChar w:fldCharType="end"/>
        </w:r>
      </w:hyperlink>
    </w:p>
    <w:p w14:paraId="10841E56" w14:textId="21BFCD34" w:rsidR="00C26519" w:rsidRDefault="00CF6066">
      <w:pPr>
        <w:pStyle w:val="TOC1"/>
        <w:rPr>
          <w:rFonts w:asciiTheme="minorHAnsi" w:eastAsiaTheme="minorEastAsia" w:hAnsiTheme="minorHAnsi" w:cstheme="minorBidi"/>
          <w:b w:val="0"/>
          <w:noProof/>
          <w:lang w:bidi="ar-SA"/>
        </w:rPr>
      </w:pPr>
      <w:hyperlink w:anchor="_Toc526489920" w:history="1">
        <w:r w:rsidR="00C26519" w:rsidRPr="0009415D">
          <w:rPr>
            <w:rStyle w:val="Hyperlink"/>
            <w:noProof/>
          </w:rPr>
          <w:t>Table 3.5 Candidate nutrient threshold values based on 90</w:t>
        </w:r>
        <w:r w:rsidR="00C26519" w:rsidRPr="0009415D">
          <w:rPr>
            <w:rStyle w:val="Hyperlink"/>
            <w:noProof/>
            <w:vertAlign w:val="superscript"/>
          </w:rPr>
          <w:t>th</w:t>
        </w:r>
        <w:r w:rsidR="00C26519" w:rsidRPr="0009415D">
          <w:rPr>
            <w:rStyle w:val="Hyperlink"/>
            <w:noProof/>
          </w:rPr>
          <w:t xml:space="preserve"> percentile of reference and stress-response change point analyses in wadeable streams of New Mexico, based on frequency distributions and ranges of endpoints by nutrient and stream class. From Jessup et al. (2015).</w:t>
        </w:r>
        <w:r w:rsidR="00C26519">
          <w:rPr>
            <w:noProof/>
            <w:webHidden/>
          </w:rPr>
          <w:tab/>
        </w:r>
        <w:r w:rsidR="00C26519">
          <w:rPr>
            <w:noProof/>
            <w:webHidden/>
          </w:rPr>
          <w:fldChar w:fldCharType="begin"/>
        </w:r>
        <w:r w:rsidR="00C26519">
          <w:rPr>
            <w:noProof/>
            <w:webHidden/>
          </w:rPr>
          <w:instrText xml:space="preserve"> PAGEREF _Toc526489920 \h </w:instrText>
        </w:r>
        <w:r w:rsidR="00C26519">
          <w:rPr>
            <w:noProof/>
            <w:webHidden/>
          </w:rPr>
        </w:r>
        <w:r w:rsidR="00C26519">
          <w:rPr>
            <w:noProof/>
            <w:webHidden/>
          </w:rPr>
          <w:fldChar w:fldCharType="separate"/>
        </w:r>
        <w:r w:rsidR="00772F7E">
          <w:rPr>
            <w:noProof/>
            <w:webHidden/>
          </w:rPr>
          <w:t>56</w:t>
        </w:r>
        <w:r w:rsidR="00C26519">
          <w:rPr>
            <w:noProof/>
            <w:webHidden/>
          </w:rPr>
          <w:fldChar w:fldCharType="end"/>
        </w:r>
      </w:hyperlink>
    </w:p>
    <w:p w14:paraId="378C87BC" w14:textId="0D53733B" w:rsidR="00C26519" w:rsidRDefault="00CF6066">
      <w:pPr>
        <w:pStyle w:val="TOC1"/>
        <w:rPr>
          <w:rFonts w:asciiTheme="minorHAnsi" w:eastAsiaTheme="minorEastAsia" w:hAnsiTheme="minorHAnsi" w:cstheme="minorBidi"/>
          <w:b w:val="0"/>
          <w:noProof/>
          <w:lang w:bidi="ar-SA"/>
        </w:rPr>
      </w:pPr>
      <w:hyperlink w:anchor="_Toc526489921" w:history="1">
        <w:r w:rsidR="00C26519" w:rsidRPr="0009415D">
          <w:rPr>
            <w:rStyle w:val="Hyperlink"/>
            <w:noProof/>
          </w:rPr>
          <w:t>Table 3.6 Summary of CA numeric TN and TP translator (San Diego Board) and adopted nutrient criteria for rivers and streams across U.S. States and Territories. All TN and TP values are given in mg/L. Guam values are for Nitrate-N and phosphate-P.</w:t>
        </w:r>
        <w:r w:rsidR="00C26519">
          <w:rPr>
            <w:noProof/>
            <w:webHidden/>
          </w:rPr>
          <w:tab/>
        </w:r>
        <w:r w:rsidR="00C26519">
          <w:rPr>
            <w:noProof/>
            <w:webHidden/>
          </w:rPr>
          <w:fldChar w:fldCharType="begin"/>
        </w:r>
        <w:r w:rsidR="00C26519">
          <w:rPr>
            <w:noProof/>
            <w:webHidden/>
          </w:rPr>
          <w:instrText xml:space="preserve"> PAGEREF _Toc526489921 \h </w:instrText>
        </w:r>
        <w:r w:rsidR="00C26519">
          <w:rPr>
            <w:noProof/>
            <w:webHidden/>
          </w:rPr>
        </w:r>
        <w:r w:rsidR="00C26519">
          <w:rPr>
            <w:noProof/>
            <w:webHidden/>
          </w:rPr>
          <w:fldChar w:fldCharType="separate"/>
        </w:r>
        <w:r w:rsidR="00772F7E">
          <w:rPr>
            <w:noProof/>
            <w:webHidden/>
          </w:rPr>
          <w:t>56</w:t>
        </w:r>
        <w:r w:rsidR="00C26519">
          <w:rPr>
            <w:noProof/>
            <w:webHidden/>
          </w:rPr>
          <w:fldChar w:fldCharType="end"/>
        </w:r>
      </w:hyperlink>
    </w:p>
    <w:p w14:paraId="253FFD82" w14:textId="068BCB0F" w:rsidR="00C26519" w:rsidRDefault="00CF6066">
      <w:pPr>
        <w:pStyle w:val="TOC1"/>
        <w:rPr>
          <w:rFonts w:asciiTheme="minorHAnsi" w:eastAsiaTheme="minorEastAsia" w:hAnsiTheme="minorHAnsi" w:cstheme="minorBidi"/>
          <w:b w:val="0"/>
          <w:noProof/>
          <w:lang w:bidi="ar-SA"/>
        </w:rPr>
      </w:pPr>
      <w:hyperlink w:anchor="_Toc526489922" w:history="1">
        <w:r w:rsidR="00C26519" w:rsidRPr="0009415D">
          <w:rPr>
            <w:rStyle w:val="Hyperlink"/>
            <w:noProof/>
          </w:rPr>
          <w:t>Table 3.7 Range of benthic chl-a and AFDM thresholds associated with protection of CSCI and ASCI_H at a relative probability of 90% confidence, at varying levels of percentile of reference, from 30</w:t>
        </w:r>
        <w:r w:rsidR="00C26519" w:rsidRPr="0009415D">
          <w:rPr>
            <w:rStyle w:val="Hyperlink"/>
            <w:noProof/>
            <w:vertAlign w:val="superscript"/>
          </w:rPr>
          <w:t>th</w:t>
        </w:r>
        <w:r w:rsidR="00C26519" w:rsidRPr="0009415D">
          <w:rPr>
            <w:rStyle w:val="Hyperlink"/>
            <w:noProof/>
          </w:rPr>
          <w:t xml:space="preserve"> to 1</w:t>
        </w:r>
        <w:r w:rsidR="00C26519" w:rsidRPr="0009415D">
          <w:rPr>
            <w:rStyle w:val="Hyperlink"/>
            <w:noProof/>
            <w:vertAlign w:val="superscript"/>
          </w:rPr>
          <w:t>st</w:t>
        </w:r>
        <w:r w:rsidR="00C26519" w:rsidRPr="0009415D">
          <w:rPr>
            <w:rStyle w:val="Hyperlink"/>
            <w:noProof/>
          </w:rPr>
          <w:t>. Relative risk is provided for calibration versus validation datasets. All targets passed validation (i.e., the lower 95% confidence interval of the relative risk estimate was greater than 1 for both calibration and validation data sets. BI goal refers to CSCI or ASCI endpoint (30</w:t>
        </w:r>
        <w:r w:rsidR="00C26519" w:rsidRPr="0009415D">
          <w:rPr>
            <w:rStyle w:val="Hyperlink"/>
            <w:noProof/>
            <w:vertAlign w:val="superscript"/>
          </w:rPr>
          <w:t>th</w:t>
        </w:r>
        <w:r w:rsidR="00C26519" w:rsidRPr="0009415D">
          <w:rPr>
            <w:rStyle w:val="Hyperlink"/>
            <w:noProof/>
          </w:rPr>
          <w:t>, 10</w:t>
        </w:r>
        <w:r w:rsidR="00C26519" w:rsidRPr="0009415D">
          <w:rPr>
            <w:rStyle w:val="Hyperlink"/>
            <w:noProof/>
            <w:vertAlign w:val="superscript"/>
          </w:rPr>
          <w:t>th</w:t>
        </w:r>
        <w:r w:rsidR="00C26519" w:rsidRPr="0009415D">
          <w:rPr>
            <w:rStyle w:val="Hyperlink"/>
            <w:noProof/>
          </w:rPr>
          <w:t xml:space="preserve"> or 1</w:t>
        </w:r>
        <w:r w:rsidR="00C26519" w:rsidRPr="0009415D">
          <w:rPr>
            <w:rStyle w:val="Hyperlink"/>
            <w:noProof/>
            <w:vertAlign w:val="superscript"/>
          </w:rPr>
          <w:t>st</w:t>
        </w:r>
        <w:r w:rsidR="00C26519" w:rsidRPr="0009415D">
          <w:rPr>
            <w:rStyle w:val="Hyperlink"/>
            <w:noProof/>
          </w:rPr>
          <w:t>).</w:t>
        </w:r>
        <w:r w:rsidR="00C26519">
          <w:rPr>
            <w:noProof/>
            <w:webHidden/>
          </w:rPr>
          <w:tab/>
        </w:r>
        <w:r w:rsidR="00C26519">
          <w:rPr>
            <w:noProof/>
            <w:webHidden/>
          </w:rPr>
          <w:fldChar w:fldCharType="begin"/>
        </w:r>
        <w:r w:rsidR="00C26519">
          <w:rPr>
            <w:noProof/>
            <w:webHidden/>
          </w:rPr>
          <w:instrText xml:space="preserve"> PAGEREF _Toc526489922 \h </w:instrText>
        </w:r>
        <w:r w:rsidR="00C26519">
          <w:rPr>
            <w:noProof/>
            <w:webHidden/>
          </w:rPr>
        </w:r>
        <w:r w:rsidR="00C26519">
          <w:rPr>
            <w:noProof/>
            <w:webHidden/>
          </w:rPr>
          <w:fldChar w:fldCharType="separate"/>
        </w:r>
        <w:r w:rsidR="00772F7E">
          <w:rPr>
            <w:noProof/>
            <w:webHidden/>
          </w:rPr>
          <w:t>58</w:t>
        </w:r>
        <w:r w:rsidR="00C26519">
          <w:rPr>
            <w:noProof/>
            <w:webHidden/>
          </w:rPr>
          <w:fldChar w:fldCharType="end"/>
        </w:r>
      </w:hyperlink>
    </w:p>
    <w:p w14:paraId="22ED1F46" w14:textId="74512C98" w:rsidR="00C26519" w:rsidRDefault="00CF6066">
      <w:pPr>
        <w:pStyle w:val="TOC1"/>
        <w:rPr>
          <w:rFonts w:asciiTheme="minorHAnsi" w:eastAsiaTheme="minorEastAsia" w:hAnsiTheme="minorHAnsi" w:cstheme="minorBidi"/>
          <w:b w:val="0"/>
          <w:noProof/>
          <w:lang w:bidi="ar-SA"/>
        </w:rPr>
      </w:pPr>
      <w:hyperlink w:anchor="_Toc526489923" w:history="1">
        <w:r w:rsidR="00C26519" w:rsidRPr="0009415D">
          <w:rPr>
            <w:rStyle w:val="Hyperlink"/>
            <w:noProof/>
          </w:rPr>
          <w:t>Table 3.8 Summary of literature sources of benthic chlorophyll-a thresholds (mg/m2) for wadeable streams</w:t>
        </w:r>
        <w:r w:rsidR="00C26519">
          <w:rPr>
            <w:noProof/>
            <w:webHidden/>
          </w:rPr>
          <w:tab/>
        </w:r>
        <w:r w:rsidR="00C26519">
          <w:rPr>
            <w:noProof/>
            <w:webHidden/>
          </w:rPr>
          <w:fldChar w:fldCharType="begin"/>
        </w:r>
        <w:r w:rsidR="00C26519">
          <w:rPr>
            <w:noProof/>
            <w:webHidden/>
          </w:rPr>
          <w:instrText xml:space="preserve"> PAGEREF _Toc526489923 \h </w:instrText>
        </w:r>
        <w:r w:rsidR="00C26519">
          <w:rPr>
            <w:noProof/>
            <w:webHidden/>
          </w:rPr>
        </w:r>
        <w:r w:rsidR="00C26519">
          <w:rPr>
            <w:noProof/>
            <w:webHidden/>
          </w:rPr>
          <w:fldChar w:fldCharType="separate"/>
        </w:r>
        <w:r w:rsidR="00772F7E">
          <w:rPr>
            <w:noProof/>
            <w:webHidden/>
          </w:rPr>
          <w:t>62</w:t>
        </w:r>
        <w:r w:rsidR="00C26519">
          <w:rPr>
            <w:noProof/>
            <w:webHidden/>
          </w:rPr>
          <w:fldChar w:fldCharType="end"/>
        </w:r>
      </w:hyperlink>
    </w:p>
    <w:p w14:paraId="7DD578FF" w14:textId="5CBE0DE4" w:rsidR="00C26519" w:rsidRDefault="00CF6066">
      <w:pPr>
        <w:pStyle w:val="TOC1"/>
        <w:rPr>
          <w:rFonts w:asciiTheme="minorHAnsi" w:eastAsiaTheme="minorEastAsia" w:hAnsiTheme="minorHAnsi" w:cstheme="minorBidi"/>
          <w:b w:val="0"/>
          <w:noProof/>
          <w:lang w:bidi="ar-SA"/>
        </w:rPr>
      </w:pPr>
      <w:hyperlink w:anchor="_Toc526489924" w:history="1">
        <w:r w:rsidR="00C26519" w:rsidRPr="0009415D">
          <w:rPr>
            <w:rStyle w:val="Hyperlink"/>
            <w:noProof/>
          </w:rPr>
          <w:t>Table 3.9 Summary of sestonic chlorophyll-a values from peer-reviewed literature-based sources. Single sample = SS</w:t>
        </w:r>
        <w:r w:rsidR="00C26519">
          <w:rPr>
            <w:noProof/>
            <w:webHidden/>
          </w:rPr>
          <w:tab/>
        </w:r>
        <w:r w:rsidR="00C26519">
          <w:rPr>
            <w:noProof/>
            <w:webHidden/>
          </w:rPr>
          <w:fldChar w:fldCharType="begin"/>
        </w:r>
        <w:r w:rsidR="00C26519">
          <w:rPr>
            <w:noProof/>
            <w:webHidden/>
          </w:rPr>
          <w:instrText xml:space="preserve"> PAGEREF _Toc526489924 \h </w:instrText>
        </w:r>
        <w:r w:rsidR="00C26519">
          <w:rPr>
            <w:noProof/>
            <w:webHidden/>
          </w:rPr>
        </w:r>
        <w:r w:rsidR="00C26519">
          <w:rPr>
            <w:noProof/>
            <w:webHidden/>
          </w:rPr>
          <w:fldChar w:fldCharType="separate"/>
        </w:r>
        <w:r w:rsidR="00772F7E">
          <w:rPr>
            <w:noProof/>
            <w:webHidden/>
          </w:rPr>
          <w:t>65</w:t>
        </w:r>
        <w:r w:rsidR="00C26519">
          <w:rPr>
            <w:noProof/>
            <w:webHidden/>
          </w:rPr>
          <w:fldChar w:fldCharType="end"/>
        </w:r>
      </w:hyperlink>
    </w:p>
    <w:p w14:paraId="018FD42A" w14:textId="4E30466A" w:rsidR="00C26519" w:rsidRDefault="00CF6066">
      <w:pPr>
        <w:pStyle w:val="TOC1"/>
        <w:rPr>
          <w:rFonts w:asciiTheme="minorHAnsi" w:eastAsiaTheme="minorEastAsia" w:hAnsiTheme="minorHAnsi" w:cstheme="minorBidi"/>
          <w:b w:val="0"/>
          <w:noProof/>
          <w:lang w:bidi="ar-SA"/>
        </w:rPr>
      </w:pPr>
      <w:hyperlink w:anchor="_Toc526489925" w:history="1">
        <w:r w:rsidR="00C26519" w:rsidRPr="0009415D">
          <w:rPr>
            <w:rStyle w:val="Hyperlink"/>
            <w:noProof/>
          </w:rPr>
          <w:t>Table 3.10 Summary of freshwater DO objectives excerpted from Regional Board Basin Plans. From www.waterboards.ca.gov</w:t>
        </w:r>
        <w:r w:rsidR="00C26519">
          <w:rPr>
            <w:noProof/>
            <w:webHidden/>
          </w:rPr>
          <w:tab/>
        </w:r>
        <w:r w:rsidR="00C26519">
          <w:rPr>
            <w:noProof/>
            <w:webHidden/>
          </w:rPr>
          <w:fldChar w:fldCharType="begin"/>
        </w:r>
        <w:r w:rsidR="00C26519">
          <w:rPr>
            <w:noProof/>
            <w:webHidden/>
          </w:rPr>
          <w:instrText xml:space="preserve"> PAGEREF _Toc526489925 \h </w:instrText>
        </w:r>
        <w:r w:rsidR="00C26519">
          <w:rPr>
            <w:noProof/>
            <w:webHidden/>
          </w:rPr>
        </w:r>
        <w:r w:rsidR="00C26519">
          <w:rPr>
            <w:noProof/>
            <w:webHidden/>
          </w:rPr>
          <w:fldChar w:fldCharType="separate"/>
        </w:r>
        <w:r w:rsidR="00772F7E">
          <w:rPr>
            <w:noProof/>
            <w:webHidden/>
          </w:rPr>
          <w:t>66</w:t>
        </w:r>
        <w:r w:rsidR="00C26519">
          <w:rPr>
            <w:noProof/>
            <w:webHidden/>
          </w:rPr>
          <w:fldChar w:fldCharType="end"/>
        </w:r>
      </w:hyperlink>
    </w:p>
    <w:p w14:paraId="05CAF6C0" w14:textId="7CCD810F" w:rsidR="00C26519" w:rsidRDefault="00CF6066">
      <w:pPr>
        <w:pStyle w:val="TOC1"/>
        <w:rPr>
          <w:rFonts w:asciiTheme="minorHAnsi" w:eastAsiaTheme="minorEastAsia" w:hAnsiTheme="minorHAnsi" w:cstheme="minorBidi"/>
          <w:b w:val="0"/>
          <w:noProof/>
          <w:lang w:bidi="ar-SA"/>
        </w:rPr>
      </w:pPr>
      <w:hyperlink w:anchor="_Toc526489926" w:history="1">
        <w:r w:rsidR="00C26519" w:rsidRPr="0009415D">
          <w:rPr>
            <w:rStyle w:val="Hyperlink"/>
            <w:noProof/>
          </w:rPr>
          <w:t>Table 3.11 Threshold ranges for Delta DO derived from reference distributions (Ref Dist. 90</w:t>
        </w:r>
        <w:r w:rsidR="00C26519" w:rsidRPr="0009415D">
          <w:rPr>
            <w:rStyle w:val="Hyperlink"/>
            <w:noProof/>
            <w:vertAlign w:val="superscript"/>
          </w:rPr>
          <w:t>th</w:t>
        </w:r>
        <w:r w:rsidR="00C26519" w:rsidRPr="0009415D">
          <w:rPr>
            <w:rStyle w:val="Hyperlink"/>
            <w:noProof/>
          </w:rPr>
          <w:t xml:space="preserve">), the reference distribution 90% confidence interval (Ref Dist. CI90), regression interpolation range (Reg Int Range), change point analyses (CPA) median and CPA ranges associated with benthic macroinvertebrates (BMI) and nutrients. NA refers to where thresholds did not pass the validation test. Delta DO = DO range = 2* diel variability. From Jessup et al. (2015).  </w:t>
        </w:r>
        <w:r w:rsidR="00C26519">
          <w:rPr>
            <w:noProof/>
            <w:webHidden/>
          </w:rPr>
          <w:tab/>
        </w:r>
        <w:r w:rsidR="00C26519">
          <w:rPr>
            <w:noProof/>
            <w:webHidden/>
          </w:rPr>
          <w:fldChar w:fldCharType="begin"/>
        </w:r>
        <w:r w:rsidR="00C26519">
          <w:rPr>
            <w:noProof/>
            <w:webHidden/>
          </w:rPr>
          <w:instrText xml:space="preserve"> PAGEREF _Toc526489926 \h </w:instrText>
        </w:r>
        <w:r w:rsidR="00C26519">
          <w:rPr>
            <w:noProof/>
            <w:webHidden/>
          </w:rPr>
        </w:r>
        <w:r w:rsidR="00C26519">
          <w:rPr>
            <w:noProof/>
            <w:webHidden/>
          </w:rPr>
          <w:fldChar w:fldCharType="separate"/>
        </w:r>
        <w:r w:rsidR="00772F7E">
          <w:rPr>
            <w:noProof/>
            <w:webHidden/>
          </w:rPr>
          <w:t>68</w:t>
        </w:r>
        <w:r w:rsidR="00C26519">
          <w:rPr>
            <w:noProof/>
            <w:webHidden/>
          </w:rPr>
          <w:fldChar w:fldCharType="end"/>
        </w:r>
      </w:hyperlink>
    </w:p>
    <w:p w14:paraId="5668CCA9" w14:textId="28E2F5EF" w:rsidR="00C26519" w:rsidRDefault="00CF6066">
      <w:pPr>
        <w:pStyle w:val="TOC1"/>
        <w:rPr>
          <w:rFonts w:asciiTheme="minorHAnsi" w:eastAsiaTheme="minorEastAsia" w:hAnsiTheme="minorHAnsi" w:cstheme="minorBidi"/>
          <w:b w:val="0"/>
          <w:noProof/>
          <w:lang w:bidi="ar-SA"/>
        </w:rPr>
      </w:pPr>
      <w:hyperlink w:anchor="_Toc526489927" w:history="1">
        <w:r w:rsidR="00C26519" w:rsidRPr="0009415D">
          <w:rPr>
            <w:rStyle w:val="Hyperlink"/>
            <w:noProof/>
          </w:rPr>
          <w:t>Table 3.12 Summary of diel DO thresholds and associated TN and TP protection thresholds from peer-reviewed and grey literature-based sources.</w:t>
        </w:r>
        <w:r w:rsidR="00C26519">
          <w:rPr>
            <w:noProof/>
            <w:webHidden/>
          </w:rPr>
          <w:tab/>
        </w:r>
        <w:r w:rsidR="00C26519">
          <w:rPr>
            <w:noProof/>
            <w:webHidden/>
          </w:rPr>
          <w:fldChar w:fldCharType="begin"/>
        </w:r>
        <w:r w:rsidR="00C26519">
          <w:rPr>
            <w:noProof/>
            <w:webHidden/>
          </w:rPr>
          <w:instrText xml:space="preserve"> PAGEREF _Toc526489927 \h </w:instrText>
        </w:r>
        <w:r w:rsidR="00C26519">
          <w:rPr>
            <w:noProof/>
            <w:webHidden/>
          </w:rPr>
        </w:r>
        <w:r w:rsidR="00C26519">
          <w:rPr>
            <w:noProof/>
            <w:webHidden/>
          </w:rPr>
          <w:fldChar w:fldCharType="separate"/>
        </w:r>
        <w:r w:rsidR="00772F7E">
          <w:rPr>
            <w:noProof/>
            <w:webHidden/>
          </w:rPr>
          <w:t>69</w:t>
        </w:r>
        <w:r w:rsidR="00C26519">
          <w:rPr>
            <w:noProof/>
            <w:webHidden/>
          </w:rPr>
          <w:fldChar w:fldCharType="end"/>
        </w:r>
      </w:hyperlink>
    </w:p>
    <w:p w14:paraId="0D805B7A" w14:textId="2432A356" w:rsidR="00C26519" w:rsidRDefault="00CF6066">
      <w:pPr>
        <w:pStyle w:val="TOC1"/>
        <w:rPr>
          <w:rFonts w:asciiTheme="minorHAnsi" w:eastAsiaTheme="minorEastAsia" w:hAnsiTheme="minorHAnsi" w:cstheme="minorBidi"/>
          <w:b w:val="0"/>
          <w:noProof/>
          <w:lang w:bidi="ar-SA"/>
        </w:rPr>
      </w:pPr>
      <w:hyperlink w:anchor="_Toc526489928" w:history="1">
        <w:r w:rsidR="00C26519" w:rsidRPr="0009415D">
          <w:rPr>
            <w:rStyle w:val="Hyperlink"/>
            <w:noProof/>
          </w:rPr>
          <w:t>Table 3.13 Summary of toxins from cyanobacterial blooms, including genera and action mechanism (from Zanchett and Oliveira-Fihlo 2013).</w:t>
        </w:r>
        <w:r w:rsidR="00C26519">
          <w:rPr>
            <w:noProof/>
            <w:webHidden/>
          </w:rPr>
          <w:tab/>
        </w:r>
        <w:r w:rsidR="00C26519">
          <w:rPr>
            <w:noProof/>
            <w:webHidden/>
          </w:rPr>
          <w:fldChar w:fldCharType="begin"/>
        </w:r>
        <w:r w:rsidR="00C26519">
          <w:rPr>
            <w:noProof/>
            <w:webHidden/>
          </w:rPr>
          <w:instrText xml:space="preserve"> PAGEREF _Toc526489928 \h </w:instrText>
        </w:r>
        <w:r w:rsidR="00C26519">
          <w:rPr>
            <w:noProof/>
            <w:webHidden/>
          </w:rPr>
        </w:r>
        <w:r w:rsidR="00C26519">
          <w:rPr>
            <w:noProof/>
            <w:webHidden/>
          </w:rPr>
          <w:fldChar w:fldCharType="separate"/>
        </w:r>
        <w:r w:rsidR="00772F7E">
          <w:rPr>
            <w:noProof/>
            <w:webHidden/>
          </w:rPr>
          <w:t>71</w:t>
        </w:r>
        <w:r w:rsidR="00C26519">
          <w:rPr>
            <w:noProof/>
            <w:webHidden/>
          </w:rPr>
          <w:fldChar w:fldCharType="end"/>
        </w:r>
      </w:hyperlink>
    </w:p>
    <w:p w14:paraId="10421703" w14:textId="2C468CB4" w:rsidR="00C26519" w:rsidRDefault="00CF6066">
      <w:pPr>
        <w:pStyle w:val="TOC1"/>
        <w:rPr>
          <w:rFonts w:asciiTheme="minorHAnsi" w:eastAsiaTheme="minorEastAsia" w:hAnsiTheme="minorHAnsi" w:cstheme="minorBidi"/>
          <w:b w:val="0"/>
          <w:noProof/>
          <w:lang w:bidi="ar-SA"/>
        </w:rPr>
      </w:pPr>
      <w:hyperlink w:anchor="_Toc526489929" w:history="1">
        <w:r w:rsidR="00C26519" w:rsidRPr="0009415D">
          <w:rPr>
            <w:rStyle w:val="Hyperlink"/>
            <w:noProof/>
          </w:rPr>
          <w:t>Table 3.14 Toxicity of microcystins for some species of fish. From Zanchett and Oliveira-Fihlo (2013).</w:t>
        </w:r>
        <w:r w:rsidR="00C26519">
          <w:rPr>
            <w:noProof/>
            <w:webHidden/>
          </w:rPr>
          <w:tab/>
        </w:r>
        <w:r w:rsidR="00C26519">
          <w:rPr>
            <w:noProof/>
            <w:webHidden/>
          </w:rPr>
          <w:fldChar w:fldCharType="begin"/>
        </w:r>
        <w:r w:rsidR="00C26519">
          <w:rPr>
            <w:noProof/>
            <w:webHidden/>
          </w:rPr>
          <w:instrText xml:space="preserve"> PAGEREF _Toc526489929 \h </w:instrText>
        </w:r>
        <w:r w:rsidR="00C26519">
          <w:rPr>
            <w:noProof/>
            <w:webHidden/>
          </w:rPr>
        </w:r>
        <w:r w:rsidR="00C26519">
          <w:rPr>
            <w:noProof/>
            <w:webHidden/>
          </w:rPr>
          <w:fldChar w:fldCharType="separate"/>
        </w:r>
        <w:r w:rsidR="00772F7E">
          <w:rPr>
            <w:noProof/>
            <w:webHidden/>
          </w:rPr>
          <w:t>72</w:t>
        </w:r>
        <w:r w:rsidR="00C26519">
          <w:rPr>
            <w:noProof/>
            <w:webHidden/>
          </w:rPr>
          <w:fldChar w:fldCharType="end"/>
        </w:r>
      </w:hyperlink>
    </w:p>
    <w:p w14:paraId="527990B3" w14:textId="2EC1BA8E" w:rsidR="00C26519" w:rsidRDefault="00CF6066">
      <w:pPr>
        <w:pStyle w:val="TOC1"/>
        <w:rPr>
          <w:rFonts w:asciiTheme="minorHAnsi" w:eastAsiaTheme="minorEastAsia" w:hAnsiTheme="minorHAnsi" w:cstheme="minorBidi"/>
          <w:b w:val="0"/>
          <w:noProof/>
          <w:lang w:bidi="ar-SA"/>
        </w:rPr>
      </w:pPr>
      <w:hyperlink w:anchor="_Toc526489930" w:history="1">
        <w:r w:rsidR="00C26519" w:rsidRPr="0009415D">
          <w:rPr>
            <w:rStyle w:val="Hyperlink"/>
            <w:noProof/>
          </w:rPr>
          <w:t>Table 3.15 California Office of Environmental Health Hazard Assessment (OEHHA) recommended cyanotoxin action levels under selected scenarios (from OEHHA 2012).</w:t>
        </w:r>
        <w:r w:rsidR="00C26519">
          <w:rPr>
            <w:noProof/>
            <w:webHidden/>
          </w:rPr>
          <w:tab/>
        </w:r>
        <w:r w:rsidR="00C26519">
          <w:rPr>
            <w:noProof/>
            <w:webHidden/>
          </w:rPr>
          <w:fldChar w:fldCharType="begin"/>
        </w:r>
        <w:r w:rsidR="00C26519">
          <w:rPr>
            <w:noProof/>
            <w:webHidden/>
          </w:rPr>
          <w:instrText xml:space="preserve"> PAGEREF _Toc526489930 \h </w:instrText>
        </w:r>
        <w:r w:rsidR="00C26519">
          <w:rPr>
            <w:noProof/>
            <w:webHidden/>
          </w:rPr>
        </w:r>
        <w:r w:rsidR="00C26519">
          <w:rPr>
            <w:noProof/>
            <w:webHidden/>
          </w:rPr>
          <w:fldChar w:fldCharType="separate"/>
        </w:r>
        <w:r w:rsidR="00772F7E">
          <w:rPr>
            <w:noProof/>
            <w:webHidden/>
          </w:rPr>
          <w:t>73</w:t>
        </w:r>
        <w:r w:rsidR="00C26519">
          <w:rPr>
            <w:noProof/>
            <w:webHidden/>
          </w:rPr>
          <w:fldChar w:fldCharType="end"/>
        </w:r>
      </w:hyperlink>
    </w:p>
    <w:p w14:paraId="1CB10F3A" w14:textId="081B8230" w:rsidR="00C26519" w:rsidRDefault="00CF6066">
      <w:pPr>
        <w:pStyle w:val="TOC1"/>
        <w:rPr>
          <w:rFonts w:asciiTheme="minorHAnsi" w:eastAsiaTheme="minorEastAsia" w:hAnsiTheme="minorHAnsi" w:cstheme="minorBidi"/>
          <w:b w:val="0"/>
          <w:noProof/>
          <w:lang w:bidi="ar-SA"/>
        </w:rPr>
      </w:pPr>
      <w:hyperlink w:anchor="_Toc526489931" w:history="1">
        <w:r w:rsidR="00C26519" w:rsidRPr="0009415D">
          <w:rPr>
            <w:rStyle w:val="Hyperlink"/>
            <w:rFonts w:eastAsia="Arial"/>
            <w:noProof/>
          </w:rPr>
          <w:t>Table 3.16. CCHAB trigger levels for cyanotoxin impacts to human health (from MyWaterQualityPortal.ca.gov).</w:t>
        </w:r>
        <w:r w:rsidR="00C26519">
          <w:rPr>
            <w:noProof/>
            <w:webHidden/>
          </w:rPr>
          <w:tab/>
        </w:r>
        <w:r w:rsidR="00C26519">
          <w:rPr>
            <w:noProof/>
            <w:webHidden/>
          </w:rPr>
          <w:fldChar w:fldCharType="begin"/>
        </w:r>
        <w:r w:rsidR="00C26519">
          <w:rPr>
            <w:noProof/>
            <w:webHidden/>
          </w:rPr>
          <w:instrText xml:space="preserve"> PAGEREF _Toc526489931 \h </w:instrText>
        </w:r>
        <w:r w:rsidR="00C26519">
          <w:rPr>
            <w:noProof/>
            <w:webHidden/>
          </w:rPr>
        </w:r>
        <w:r w:rsidR="00C26519">
          <w:rPr>
            <w:noProof/>
            <w:webHidden/>
          </w:rPr>
          <w:fldChar w:fldCharType="separate"/>
        </w:r>
        <w:r w:rsidR="00772F7E">
          <w:rPr>
            <w:noProof/>
            <w:webHidden/>
          </w:rPr>
          <w:t>74</w:t>
        </w:r>
        <w:r w:rsidR="00C26519">
          <w:rPr>
            <w:noProof/>
            <w:webHidden/>
          </w:rPr>
          <w:fldChar w:fldCharType="end"/>
        </w:r>
      </w:hyperlink>
    </w:p>
    <w:p w14:paraId="10805465" w14:textId="12E2A582" w:rsidR="00C26519" w:rsidRDefault="00CF6066">
      <w:pPr>
        <w:pStyle w:val="TOC1"/>
        <w:rPr>
          <w:rFonts w:asciiTheme="minorHAnsi" w:eastAsiaTheme="minorEastAsia" w:hAnsiTheme="minorHAnsi" w:cstheme="minorBidi"/>
          <w:b w:val="0"/>
          <w:noProof/>
          <w:lang w:bidi="ar-SA"/>
        </w:rPr>
      </w:pPr>
      <w:hyperlink w:anchor="_Toc526489933" w:history="1">
        <w:r w:rsidR="00C26519" w:rsidRPr="0009415D">
          <w:rPr>
            <w:rStyle w:val="Hyperlink"/>
            <w:noProof/>
          </w:rPr>
          <w:t>Table 4.1 Range of TN, TP thresholds, Benthic Chl-a, AFDM associated with protection of CSCI and ASCI_H at a relative probability of 90% confidence, at varying levels of percentile of reference, from 30</w:t>
        </w:r>
        <w:r w:rsidR="00C26519" w:rsidRPr="0009415D">
          <w:rPr>
            <w:rStyle w:val="Hyperlink"/>
            <w:noProof/>
            <w:vertAlign w:val="superscript"/>
          </w:rPr>
          <w:t>th</w:t>
        </w:r>
        <w:r w:rsidR="00C26519" w:rsidRPr="0009415D">
          <w:rPr>
            <w:rStyle w:val="Hyperlink"/>
            <w:noProof/>
          </w:rPr>
          <w:t xml:space="preserve"> to 1</w:t>
        </w:r>
        <w:r w:rsidR="00C26519" w:rsidRPr="0009415D">
          <w:rPr>
            <w:rStyle w:val="Hyperlink"/>
            <w:noProof/>
            <w:vertAlign w:val="superscript"/>
          </w:rPr>
          <w:t>st</w:t>
        </w:r>
        <w:r w:rsidR="00C26519" w:rsidRPr="0009415D">
          <w:rPr>
            <w:rStyle w:val="Hyperlink"/>
            <w:noProof/>
          </w:rPr>
          <w:t>. compared to reference distribution and taxon-specific changepoints for eutrophication factors. Red text highlights reference distributions that are higher than the derived Ref10 threshold, or taxon-specific change-points that are below the derived Ref10 threshold. SBA: soft-bodied algae. BMI: Benthic macroinvertebrates. n: number of reference sites. From Mazor et al. in prep.</w:t>
        </w:r>
        <w:r w:rsidR="00C26519">
          <w:rPr>
            <w:noProof/>
            <w:webHidden/>
          </w:rPr>
          <w:tab/>
        </w:r>
        <w:r w:rsidR="00C26519">
          <w:rPr>
            <w:noProof/>
            <w:webHidden/>
          </w:rPr>
          <w:fldChar w:fldCharType="begin"/>
        </w:r>
        <w:r w:rsidR="00C26519">
          <w:rPr>
            <w:noProof/>
            <w:webHidden/>
          </w:rPr>
          <w:instrText xml:space="preserve"> PAGEREF _Toc526489933 \h </w:instrText>
        </w:r>
        <w:r w:rsidR="00C26519">
          <w:rPr>
            <w:noProof/>
            <w:webHidden/>
          </w:rPr>
        </w:r>
        <w:r w:rsidR="00C26519">
          <w:rPr>
            <w:noProof/>
            <w:webHidden/>
          </w:rPr>
          <w:fldChar w:fldCharType="separate"/>
        </w:r>
        <w:r w:rsidR="00772F7E">
          <w:rPr>
            <w:noProof/>
            <w:webHidden/>
          </w:rPr>
          <w:t>82</w:t>
        </w:r>
        <w:r w:rsidR="00C26519">
          <w:rPr>
            <w:noProof/>
            <w:webHidden/>
          </w:rPr>
          <w:fldChar w:fldCharType="end"/>
        </w:r>
      </w:hyperlink>
    </w:p>
    <w:p w14:paraId="0363DCE3" w14:textId="62B9A3FF" w:rsidR="005826AF" w:rsidRPr="00C94B8D" w:rsidRDefault="00236EBE" w:rsidP="005826AF">
      <w:r>
        <w:fldChar w:fldCharType="end"/>
      </w:r>
    </w:p>
    <w:p w14:paraId="291DB2EE" w14:textId="77777777" w:rsidR="0050052D" w:rsidRDefault="0050052D">
      <w:pPr>
        <w:spacing w:after="0" w:line="240" w:lineRule="auto"/>
        <w:rPr>
          <w:b/>
          <w:bCs/>
          <w:color w:val="365F91"/>
          <w:sz w:val="28"/>
          <w:szCs w:val="28"/>
        </w:rPr>
      </w:pPr>
      <w:r>
        <w:br w:type="page"/>
      </w:r>
    </w:p>
    <w:p w14:paraId="73660C5B" w14:textId="77777777" w:rsidR="005826AF" w:rsidRPr="003D3640" w:rsidRDefault="005826AF" w:rsidP="005826AF">
      <w:pPr>
        <w:pStyle w:val="Heading1"/>
      </w:pPr>
      <w:bookmarkStart w:id="5" w:name="_Toc526505104"/>
      <w:r w:rsidRPr="003D3640">
        <w:t>List of Figures</w:t>
      </w:r>
      <w:bookmarkEnd w:id="5"/>
    </w:p>
    <w:p w14:paraId="1B7945FB" w14:textId="7E1DDD52" w:rsidR="00C26519" w:rsidRDefault="00236EBE">
      <w:pPr>
        <w:pStyle w:val="TOC1"/>
        <w:rPr>
          <w:rFonts w:asciiTheme="minorHAnsi" w:eastAsiaTheme="minorEastAsia" w:hAnsiTheme="minorHAnsi" w:cstheme="minorBidi"/>
          <w:b w:val="0"/>
          <w:noProof/>
          <w:lang w:bidi="ar-SA"/>
        </w:rPr>
      </w:pPr>
      <w:r>
        <w:fldChar w:fldCharType="begin"/>
      </w:r>
      <w:r w:rsidR="009B3395">
        <w:instrText xml:space="preserve"> TOC \h \z \t "TOF,1" </w:instrText>
      </w:r>
      <w:r>
        <w:fldChar w:fldCharType="separate"/>
      </w:r>
      <w:hyperlink w:anchor="_Toc526489934" w:history="1">
        <w:r w:rsidR="00C26519" w:rsidRPr="003C0210">
          <w:rPr>
            <w:rStyle w:val="Hyperlink"/>
            <w:noProof/>
          </w:rPr>
          <w:t>Figure 1.1. Conceptual representation of biostimulatory conditions and substances that result in eutrophication.  Photo from Santa Margarita River.</w:t>
        </w:r>
        <w:r w:rsidR="00C26519">
          <w:rPr>
            <w:noProof/>
            <w:webHidden/>
          </w:rPr>
          <w:tab/>
        </w:r>
        <w:r w:rsidR="00C26519">
          <w:rPr>
            <w:noProof/>
            <w:webHidden/>
          </w:rPr>
          <w:fldChar w:fldCharType="begin"/>
        </w:r>
        <w:r w:rsidR="00C26519">
          <w:rPr>
            <w:noProof/>
            <w:webHidden/>
          </w:rPr>
          <w:instrText xml:space="preserve"> PAGEREF _Toc526489934 \h </w:instrText>
        </w:r>
        <w:r w:rsidR="00C26519">
          <w:rPr>
            <w:noProof/>
            <w:webHidden/>
          </w:rPr>
        </w:r>
        <w:r w:rsidR="00C26519">
          <w:rPr>
            <w:noProof/>
            <w:webHidden/>
          </w:rPr>
          <w:fldChar w:fldCharType="separate"/>
        </w:r>
        <w:r w:rsidR="00772F7E">
          <w:rPr>
            <w:noProof/>
            <w:webHidden/>
          </w:rPr>
          <w:t>2</w:t>
        </w:r>
        <w:r w:rsidR="00C26519">
          <w:rPr>
            <w:noProof/>
            <w:webHidden/>
          </w:rPr>
          <w:fldChar w:fldCharType="end"/>
        </w:r>
      </w:hyperlink>
    </w:p>
    <w:p w14:paraId="167E7837" w14:textId="26E58244" w:rsidR="00C26519" w:rsidRDefault="00CF6066">
      <w:pPr>
        <w:pStyle w:val="TOC1"/>
        <w:rPr>
          <w:rFonts w:asciiTheme="minorHAnsi" w:eastAsiaTheme="minorEastAsia" w:hAnsiTheme="minorHAnsi" w:cstheme="minorBidi"/>
          <w:b w:val="0"/>
          <w:noProof/>
          <w:lang w:bidi="ar-SA"/>
        </w:rPr>
      </w:pPr>
      <w:hyperlink w:anchor="_Toc526489935" w:history="1">
        <w:r w:rsidR="00C26519" w:rsidRPr="003C0210">
          <w:rPr>
            <w:rStyle w:val="Hyperlink"/>
            <w:noProof/>
          </w:rPr>
          <w:t>Figure 2.1. Example of simplified conceptual model for pathways in which nutrients and other biostimulatory conditions result in adverse ecosystem responses, which impact ecosystem services and impair beneficial uses in waterbodies</w:t>
        </w:r>
        <w:r w:rsidR="00C26519">
          <w:rPr>
            <w:noProof/>
            <w:webHidden/>
          </w:rPr>
          <w:tab/>
        </w:r>
        <w:r w:rsidR="00C26519">
          <w:rPr>
            <w:noProof/>
            <w:webHidden/>
          </w:rPr>
          <w:fldChar w:fldCharType="begin"/>
        </w:r>
        <w:r w:rsidR="00C26519">
          <w:rPr>
            <w:noProof/>
            <w:webHidden/>
          </w:rPr>
          <w:instrText xml:space="preserve"> PAGEREF _Toc526489935 \h </w:instrText>
        </w:r>
        <w:r w:rsidR="00C26519">
          <w:rPr>
            <w:noProof/>
            <w:webHidden/>
          </w:rPr>
        </w:r>
        <w:r w:rsidR="00C26519">
          <w:rPr>
            <w:noProof/>
            <w:webHidden/>
          </w:rPr>
          <w:fldChar w:fldCharType="separate"/>
        </w:r>
        <w:r w:rsidR="00772F7E">
          <w:rPr>
            <w:noProof/>
            <w:webHidden/>
          </w:rPr>
          <w:t>9</w:t>
        </w:r>
        <w:r w:rsidR="00C26519">
          <w:rPr>
            <w:noProof/>
            <w:webHidden/>
          </w:rPr>
          <w:fldChar w:fldCharType="end"/>
        </w:r>
      </w:hyperlink>
    </w:p>
    <w:p w14:paraId="0CD69B25" w14:textId="55211193" w:rsidR="00C26519" w:rsidRDefault="00CF6066">
      <w:pPr>
        <w:pStyle w:val="TOC1"/>
        <w:rPr>
          <w:rFonts w:asciiTheme="minorHAnsi" w:eastAsiaTheme="minorEastAsia" w:hAnsiTheme="minorHAnsi" w:cstheme="minorBidi"/>
          <w:b w:val="0"/>
          <w:noProof/>
          <w:lang w:bidi="ar-SA"/>
        </w:rPr>
      </w:pPr>
      <w:hyperlink w:anchor="_Toc526489936" w:history="1">
        <w:r w:rsidR="00C26519" w:rsidRPr="003C0210">
          <w:rPr>
            <w:rStyle w:val="Hyperlink"/>
            <w:noProof/>
          </w:rPr>
          <w:t>Figure 2.2. Examples of (left panel) attached and floating filamentous algal mats and (right panel) detrital organic matter in the Santa Margarita River (from Sutula et al. 2018).</w:t>
        </w:r>
        <w:r w:rsidR="00C26519">
          <w:rPr>
            <w:noProof/>
            <w:webHidden/>
          </w:rPr>
          <w:tab/>
        </w:r>
        <w:r w:rsidR="00C26519">
          <w:rPr>
            <w:noProof/>
            <w:webHidden/>
          </w:rPr>
          <w:fldChar w:fldCharType="begin"/>
        </w:r>
        <w:r w:rsidR="00C26519">
          <w:rPr>
            <w:noProof/>
            <w:webHidden/>
          </w:rPr>
          <w:instrText xml:space="preserve"> PAGEREF _Toc526489936 \h </w:instrText>
        </w:r>
        <w:r w:rsidR="00C26519">
          <w:rPr>
            <w:noProof/>
            <w:webHidden/>
          </w:rPr>
        </w:r>
        <w:r w:rsidR="00C26519">
          <w:rPr>
            <w:noProof/>
            <w:webHidden/>
          </w:rPr>
          <w:fldChar w:fldCharType="separate"/>
        </w:r>
        <w:r w:rsidR="00772F7E">
          <w:rPr>
            <w:noProof/>
            <w:webHidden/>
          </w:rPr>
          <w:t>11</w:t>
        </w:r>
        <w:r w:rsidR="00C26519">
          <w:rPr>
            <w:noProof/>
            <w:webHidden/>
          </w:rPr>
          <w:fldChar w:fldCharType="end"/>
        </w:r>
      </w:hyperlink>
    </w:p>
    <w:p w14:paraId="200A80A8" w14:textId="1626759E" w:rsidR="00C26519" w:rsidRDefault="00CF6066">
      <w:pPr>
        <w:pStyle w:val="TOC1"/>
        <w:rPr>
          <w:rFonts w:asciiTheme="minorHAnsi" w:eastAsiaTheme="minorEastAsia" w:hAnsiTheme="minorHAnsi" w:cstheme="minorBidi"/>
          <w:b w:val="0"/>
          <w:noProof/>
          <w:lang w:bidi="ar-SA"/>
        </w:rPr>
      </w:pPr>
      <w:hyperlink w:anchor="_Toc526489937" w:history="1">
        <w:r w:rsidR="00C26519" w:rsidRPr="003C0210">
          <w:rPr>
            <w:rStyle w:val="Hyperlink"/>
            <w:noProof/>
          </w:rPr>
          <w:t>Figure 2.3 Diel swings in DO and pH associated with high algal and heterotrophic biomass in Fallbrook Creek, Santa Margarita River watershed. A late season rain event on May 7</w:t>
        </w:r>
        <w:r w:rsidR="00C26519" w:rsidRPr="003C0210">
          <w:rPr>
            <w:rStyle w:val="Hyperlink"/>
            <w:noProof/>
            <w:vertAlign w:val="superscript"/>
          </w:rPr>
          <w:t>th</w:t>
        </w:r>
        <w:r w:rsidR="00C26519" w:rsidRPr="003C0210">
          <w:rPr>
            <w:rStyle w:val="Hyperlink"/>
            <w:noProof/>
          </w:rPr>
          <w:t xml:space="preserve"> scoured algae from this site, thus dampening the effect on the amplitude the diel swing. From Sutula and Shultz (2018).</w:t>
        </w:r>
        <w:r w:rsidR="00C26519">
          <w:rPr>
            <w:noProof/>
            <w:webHidden/>
          </w:rPr>
          <w:tab/>
        </w:r>
        <w:r w:rsidR="00C26519">
          <w:rPr>
            <w:noProof/>
            <w:webHidden/>
          </w:rPr>
          <w:fldChar w:fldCharType="begin"/>
        </w:r>
        <w:r w:rsidR="00C26519">
          <w:rPr>
            <w:noProof/>
            <w:webHidden/>
          </w:rPr>
          <w:instrText xml:space="preserve"> PAGEREF _Toc526489937 \h </w:instrText>
        </w:r>
        <w:r w:rsidR="00C26519">
          <w:rPr>
            <w:noProof/>
            <w:webHidden/>
          </w:rPr>
        </w:r>
        <w:r w:rsidR="00C26519">
          <w:rPr>
            <w:noProof/>
            <w:webHidden/>
          </w:rPr>
          <w:fldChar w:fldCharType="separate"/>
        </w:r>
        <w:r w:rsidR="00772F7E">
          <w:rPr>
            <w:noProof/>
            <w:webHidden/>
          </w:rPr>
          <w:t>12</w:t>
        </w:r>
        <w:r w:rsidR="00C26519">
          <w:rPr>
            <w:noProof/>
            <w:webHidden/>
          </w:rPr>
          <w:fldChar w:fldCharType="end"/>
        </w:r>
      </w:hyperlink>
    </w:p>
    <w:p w14:paraId="4DF678EF" w14:textId="72A80F7E" w:rsidR="00C26519" w:rsidRDefault="00CF6066">
      <w:pPr>
        <w:pStyle w:val="TOC1"/>
        <w:rPr>
          <w:rFonts w:asciiTheme="minorHAnsi" w:eastAsiaTheme="minorEastAsia" w:hAnsiTheme="minorHAnsi" w:cstheme="minorBidi"/>
          <w:b w:val="0"/>
          <w:noProof/>
          <w:lang w:bidi="ar-SA"/>
        </w:rPr>
      </w:pPr>
      <w:hyperlink w:anchor="_Toc526489938" w:history="1">
        <w:r w:rsidR="00C26519" w:rsidRPr="003C0210">
          <w:rPr>
            <w:rStyle w:val="Hyperlink"/>
            <w:noProof/>
          </w:rPr>
          <w:t>Figure 2.4  Examples of pathways of adverse impacts of eutrophication on consumers, incuding benthic invertebrates and fish.</w:t>
        </w:r>
        <w:r w:rsidR="00C26519">
          <w:rPr>
            <w:noProof/>
            <w:webHidden/>
          </w:rPr>
          <w:tab/>
        </w:r>
        <w:r w:rsidR="00C26519">
          <w:rPr>
            <w:noProof/>
            <w:webHidden/>
          </w:rPr>
          <w:fldChar w:fldCharType="begin"/>
        </w:r>
        <w:r w:rsidR="00C26519">
          <w:rPr>
            <w:noProof/>
            <w:webHidden/>
          </w:rPr>
          <w:instrText xml:space="preserve"> PAGEREF _Toc526489938 \h </w:instrText>
        </w:r>
        <w:r w:rsidR="00C26519">
          <w:rPr>
            <w:noProof/>
            <w:webHidden/>
          </w:rPr>
        </w:r>
        <w:r w:rsidR="00C26519">
          <w:rPr>
            <w:noProof/>
            <w:webHidden/>
          </w:rPr>
          <w:fldChar w:fldCharType="separate"/>
        </w:r>
        <w:r w:rsidR="00772F7E">
          <w:rPr>
            <w:noProof/>
            <w:webHidden/>
          </w:rPr>
          <w:t>17</w:t>
        </w:r>
        <w:r w:rsidR="00C26519">
          <w:rPr>
            <w:noProof/>
            <w:webHidden/>
          </w:rPr>
          <w:fldChar w:fldCharType="end"/>
        </w:r>
      </w:hyperlink>
    </w:p>
    <w:p w14:paraId="038A42BE" w14:textId="76D2BF00" w:rsidR="00C26519" w:rsidRDefault="00CF6066">
      <w:pPr>
        <w:pStyle w:val="TOC1"/>
        <w:rPr>
          <w:rFonts w:asciiTheme="minorHAnsi" w:eastAsiaTheme="minorEastAsia" w:hAnsiTheme="minorHAnsi" w:cstheme="minorBidi"/>
          <w:b w:val="0"/>
          <w:noProof/>
          <w:lang w:bidi="ar-SA"/>
        </w:rPr>
      </w:pPr>
      <w:hyperlink w:anchor="_Toc526489939" w:history="1">
        <w:r w:rsidR="00C26519" w:rsidRPr="003C0210">
          <w:rPr>
            <w:rStyle w:val="Hyperlink"/>
            <w:noProof/>
          </w:rPr>
          <w:t>Figure 2.5  Examples of pathways of adverse impacts of eutrophication on human uses, including water supply and water resources and recreational uses.</w:t>
        </w:r>
        <w:r w:rsidR="00C26519">
          <w:rPr>
            <w:noProof/>
            <w:webHidden/>
          </w:rPr>
          <w:tab/>
        </w:r>
        <w:r w:rsidR="00C26519">
          <w:rPr>
            <w:noProof/>
            <w:webHidden/>
          </w:rPr>
          <w:fldChar w:fldCharType="begin"/>
        </w:r>
        <w:r w:rsidR="00C26519">
          <w:rPr>
            <w:noProof/>
            <w:webHidden/>
          </w:rPr>
          <w:instrText xml:space="preserve"> PAGEREF _Toc526489939 \h </w:instrText>
        </w:r>
        <w:r w:rsidR="00C26519">
          <w:rPr>
            <w:noProof/>
            <w:webHidden/>
          </w:rPr>
        </w:r>
        <w:r w:rsidR="00C26519">
          <w:rPr>
            <w:noProof/>
            <w:webHidden/>
          </w:rPr>
          <w:fldChar w:fldCharType="separate"/>
        </w:r>
        <w:r w:rsidR="00772F7E">
          <w:rPr>
            <w:noProof/>
            <w:webHidden/>
          </w:rPr>
          <w:t>18</w:t>
        </w:r>
        <w:r w:rsidR="00C26519">
          <w:rPr>
            <w:noProof/>
            <w:webHidden/>
          </w:rPr>
          <w:fldChar w:fldCharType="end"/>
        </w:r>
      </w:hyperlink>
    </w:p>
    <w:p w14:paraId="6A2F254C" w14:textId="40A76F4C" w:rsidR="00C26519" w:rsidRDefault="00CF6066">
      <w:pPr>
        <w:pStyle w:val="TOC1"/>
        <w:rPr>
          <w:rFonts w:asciiTheme="minorHAnsi" w:eastAsiaTheme="minorEastAsia" w:hAnsiTheme="minorHAnsi" w:cstheme="minorBidi"/>
          <w:b w:val="0"/>
          <w:noProof/>
          <w:lang w:bidi="ar-SA"/>
        </w:rPr>
      </w:pPr>
      <w:hyperlink w:anchor="_Toc526489940" w:history="1">
        <w:r w:rsidR="00C26519" w:rsidRPr="003C0210">
          <w:rPr>
            <w:rStyle w:val="Hyperlink"/>
            <w:noProof/>
          </w:rPr>
          <w:t>Figure 2.6 Sestonic, phytoplankton blooms in an ag-dominated channel of Central Coast. Photo credit: NRCS.usda.gov</w:t>
        </w:r>
        <w:r w:rsidR="00C26519">
          <w:rPr>
            <w:noProof/>
            <w:webHidden/>
          </w:rPr>
          <w:tab/>
        </w:r>
        <w:r w:rsidR="00C26519">
          <w:rPr>
            <w:noProof/>
            <w:webHidden/>
          </w:rPr>
          <w:fldChar w:fldCharType="begin"/>
        </w:r>
        <w:r w:rsidR="00C26519">
          <w:rPr>
            <w:noProof/>
            <w:webHidden/>
          </w:rPr>
          <w:instrText xml:space="preserve"> PAGEREF _Toc526489940 \h </w:instrText>
        </w:r>
        <w:r w:rsidR="00C26519">
          <w:rPr>
            <w:noProof/>
            <w:webHidden/>
          </w:rPr>
        </w:r>
        <w:r w:rsidR="00C26519">
          <w:rPr>
            <w:noProof/>
            <w:webHidden/>
          </w:rPr>
          <w:fldChar w:fldCharType="separate"/>
        </w:r>
        <w:r w:rsidR="00772F7E">
          <w:rPr>
            <w:noProof/>
            <w:webHidden/>
          </w:rPr>
          <w:t>22</w:t>
        </w:r>
        <w:r w:rsidR="00C26519">
          <w:rPr>
            <w:noProof/>
            <w:webHidden/>
          </w:rPr>
          <w:fldChar w:fldCharType="end"/>
        </w:r>
      </w:hyperlink>
    </w:p>
    <w:p w14:paraId="2DB6D03E" w14:textId="3A30224F" w:rsidR="00C26519" w:rsidRDefault="00CF6066">
      <w:pPr>
        <w:pStyle w:val="TOC1"/>
        <w:rPr>
          <w:rFonts w:asciiTheme="minorHAnsi" w:eastAsiaTheme="minorEastAsia" w:hAnsiTheme="minorHAnsi" w:cstheme="minorBidi"/>
          <w:b w:val="0"/>
          <w:noProof/>
          <w:lang w:bidi="ar-SA"/>
        </w:rPr>
      </w:pPr>
      <w:hyperlink w:anchor="_Toc526489941" w:history="1">
        <w:r w:rsidR="00C26519" w:rsidRPr="003C0210">
          <w:rPr>
            <w:rStyle w:val="Hyperlink"/>
            <w:noProof/>
          </w:rPr>
          <w:t>Figure 2.7 The Biological Condition Gradient (BCG) is a conceptual model that describes the changes in aquatic communities, measured by aquatic life indicators, as a function of stress (Davies and Jackson 2006; Figure 3.1). This model describes the predictable transition of biotic communities, as measured by ALU indicators, as a function of increasing stress, from pristine to slightly modified ecological condition, then moderate, and finally, very low ecological condition. These relationships can be linear or non-linear in nature; a wide variety of statistical methods have been used to model the fundamental relationships among stressors, community responses, and environmental co-factors that mediate response to stress.</w:t>
        </w:r>
        <w:r w:rsidR="00C26519">
          <w:rPr>
            <w:noProof/>
            <w:webHidden/>
          </w:rPr>
          <w:tab/>
        </w:r>
        <w:r w:rsidR="00C26519">
          <w:rPr>
            <w:noProof/>
            <w:webHidden/>
          </w:rPr>
          <w:fldChar w:fldCharType="begin"/>
        </w:r>
        <w:r w:rsidR="00C26519">
          <w:rPr>
            <w:noProof/>
            <w:webHidden/>
          </w:rPr>
          <w:instrText xml:space="preserve"> PAGEREF _Toc526489941 \h </w:instrText>
        </w:r>
        <w:r w:rsidR="00C26519">
          <w:rPr>
            <w:noProof/>
            <w:webHidden/>
          </w:rPr>
        </w:r>
        <w:r w:rsidR="00C26519">
          <w:rPr>
            <w:noProof/>
            <w:webHidden/>
          </w:rPr>
          <w:fldChar w:fldCharType="separate"/>
        </w:r>
        <w:r w:rsidR="00772F7E">
          <w:rPr>
            <w:noProof/>
            <w:webHidden/>
          </w:rPr>
          <w:t>24</w:t>
        </w:r>
        <w:r w:rsidR="00C26519">
          <w:rPr>
            <w:noProof/>
            <w:webHidden/>
          </w:rPr>
          <w:fldChar w:fldCharType="end"/>
        </w:r>
      </w:hyperlink>
    </w:p>
    <w:p w14:paraId="595FA91F" w14:textId="31D97BEE" w:rsidR="00C26519" w:rsidRDefault="00CF6066">
      <w:pPr>
        <w:pStyle w:val="TOC1"/>
        <w:rPr>
          <w:rFonts w:asciiTheme="minorHAnsi" w:eastAsiaTheme="minorEastAsia" w:hAnsiTheme="minorHAnsi" w:cstheme="minorBidi"/>
          <w:b w:val="0"/>
          <w:noProof/>
          <w:lang w:bidi="ar-SA"/>
        </w:rPr>
      </w:pPr>
      <w:hyperlink w:anchor="_Toc526489942" w:history="1">
        <w:r w:rsidR="00C26519" w:rsidRPr="003C0210">
          <w:rPr>
            <w:rStyle w:val="Hyperlink"/>
            <w:noProof/>
          </w:rPr>
          <w:t>Figure 2.8. Conceptual model of factors affecting algal blooms (including HABs) including warmer water, drought and decreased flow, decreased mixing, increased residence time, and increased N and P inputs from agricultural, industrial and urban sources. From Paerl et al. 2011.</w:t>
        </w:r>
        <w:r w:rsidR="00C26519">
          <w:rPr>
            <w:noProof/>
            <w:webHidden/>
          </w:rPr>
          <w:tab/>
        </w:r>
        <w:r w:rsidR="00C26519">
          <w:rPr>
            <w:noProof/>
            <w:webHidden/>
          </w:rPr>
          <w:fldChar w:fldCharType="begin"/>
        </w:r>
        <w:r w:rsidR="00C26519">
          <w:rPr>
            <w:noProof/>
            <w:webHidden/>
          </w:rPr>
          <w:instrText xml:space="preserve"> PAGEREF _Toc526489942 \h </w:instrText>
        </w:r>
        <w:r w:rsidR="00C26519">
          <w:rPr>
            <w:noProof/>
            <w:webHidden/>
          </w:rPr>
        </w:r>
        <w:r w:rsidR="00C26519">
          <w:rPr>
            <w:noProof/>
            <w:webHidden/>
          </w:rPr>
          <w:fldChar w:fldCharType="separate"/>
        </w:r>
        <w:r w:rsidR="00772F7E">
          <w:rPr>
            <w:noProof/>
            <w:webHidden/>
          </w:rPr>
          <w:t>28</w:t>
        </w:r>
        <w:r w:rsidR="00C26519">
          <w:rPr>
            <w:noProof/>
            <w:webHidden/>
          </w:rPr>
          <w:fldChar w:fldCharType="end"/>
        </w:r>
      </w:hyperlink>
    </w:p>
    <w:p w14:paraId="45E7F8DB" w14:textId="2614F757" w:rsidR="00C26519" w:rsidRDefault="00CF6066">
      <w:pPr>
        <w:pStyle w:val="TOC1"/>
        <w:rPr>
          <w:rFonts w:asciiTheme="minorHAnsi" w:eastAsiaTheme="minorEastAsia" w:hAnsiTheme="minorHAnsi" w:cstheme="minorBidi"/>
          <w:b w:val="0"/>
          <w:noProof/>
          <w:lang w:bidi="ar-SA"/>
        </w:rPr>
      </w:pPr>
      <w:hyperlink w:anchor="_Toc526489943" w:history="1">
        <w:r w:rsidR="00C26519" w:rsidRPr="003C0210">
          <w:rPr>
            <w:rStyle w:val="Hyperlink"/>
            <w:noProof/>
          </w:rPr>
          <w:t>Figure 2.9. Comparative evaluation of fishery response to nutrients along continuum of oligotrophic, mesotrophic, eutrophic and dystrophic states of primary productivity (Nixon 1995). Although higher nutrient inputs initially increase the productivity of fisheries, ecological systems worldwide show negative effects as nutrient loading increases and hypoxic or anoxic conditions develop. Each generic curve in the lower half of the figure represents the reaction of a species guild to increasing nutrient supplies. From Diaz and Solow (1995).</w:t>
        </w:r>
        <w:r w:rsidR="00C26519">
          <w:rPr>
            <w:noProof/>
            <w:webHidden/>
          </w:rPr>
          <w:tab/>
        </w:r>
        <w:r w:rsidR="00C26519">
          <w:rPr>
            <w:noProof/>
            <w:webHidden/>
          </w:rPr>
          <w:fldChar w:fldCharType="begin"/>
        </w:r>
        <w:r w:rsidR="00C26519">
          <w:rPr>
            <w:noProof/>
            <w:webHidden/>
          </w:rPr>
          <w:instrText xml:space="preserve"> PAGEREF _Toc526489943 \h </w:instrText>
        </w:r>
        <w:r w:rsidR="00C26519">
          <w:rPr>
            <w:noProof/>
            <w:webHidden/>
          </w:rPr>
        </w:r>
        <w:r w:rsidR="00C26519">
          <w:rPr>
            <w:noProof/>
            <w:webHidden/>
          </w:rPr>
          <w:fldChar w:fldCharType="separate"/>
        </w:r>
        <w:r w:rsidR="00772F7E">
          <w:rPr>
            <w:noProof/>
            <w:webHidden/>
          </w:rPr>
          <w:t>31</w:t>
        </w:r>
        <w:r w:rsidR="00C26519">
          <w:rPr>
            <w:noProof/>
            <w:webHidden/>
          </w:rPr>
          <w:fldChar w:fldCharType="end"/>
        </w:r>
      </w:hyperlink>
    </w:p>
    <w:p w14:paraId="6F42C74B" w14:textId="70510366" w:rsidR="00C26519" w:rsidRDefault="00CF6066">
      <w:pPr>
        <w:pStyle w:val="TOC1"/>
        <w:rPr>
          <w:rFonts w:asciiTheme="minorHAnsi" w:eastAsiaTheme="minorEastAsia" w:hAnsiTheme="minorHAnsi" w:cstheme="minorBidi"/>
          <w:b w:val="0"/>
          <w:noProof/>
          <w:lang w:bidi="ar-SA"/>
        </w:rPr>
      </w:pPr>
      <w:hyperlink w:anchor="_Toc526489944" w:history="1">
        <w:r w:rsidR="00C26519" w:rsidRPr="003C0210">
          <w:rPr>
            <w:rStyle w:val="Hyperlink"/>
            <w:noProof/>
          </w:rPr>
          <w:t>Figure 3.1. Examples of statistical approaches to determining the point along stressor gradient where ecosystem response shifts from no-effect to adverse-effects. The left panel illustrates an example “step function” in the relationship between stressor and ecological response; here statistical methods can be used to identify the level of stress (or threshold, as indicated by the dashed line) at which an aquatic life indicator value changes abruptly. The right panel illustrates a quantile regression in which a target value for a benthic macroinvertebrate or algal bioassessment index score is used to interpolate the level of stressor (e.g., nutrient concentrations or algal biomass) that should not be exceeded in order to protect biointegrity.</w:t>
        </w:r>
        <w:r w:rsidR="00C26519">
          <w:rPr>
            <w:noProof/>
            <w:webHidden/>
          </w:rPr>
          <w:tab/>
        </w:r>
        <w:r w:rsidR="00C26519">
          <w:rPr>
            <w:noProof/>
            <w:webHidden/>
          </w:rPr>
          <w:fldChar w:fldCharType="begin"/>
        </w:r>
        <w:r w:rsidR="00C26519">
          <w:rPr>
            <w:noProof/>
            <w:webHidden/>
          </w:rPr>
          <w:instrText xml:space="preserve"> PAGEREF _Toc526489944 \h </w:instrText>
        </w:r>
        <w:r w:rsidR="00C26519">
          <w:rPr>
            <w:noProof/>
            <w:webHidden/>
          </w:rPr>
        </w:r>
        <w:r w:rsidR="00C26519">
          <w:rPr>
            <w:noProof/>
            <w:webHidden/>
          </w:rPr>
          <w:fldChar w:fldCharType="separate"/>
        </w:r>
        <w:r w:rsidR="00772F7E">
          <w:rPr>
            <w:noProof/>
            <w:webHidden/>
          </w:rPr>
          <w:t>46</w:t>
        </w:r>
        <w:r w:rsidR="00C26519">
          <w:rPr>
            <w:noProof/>
            <w:webHidden/>
          </w:rPr>
          <w:fldChar w:fldCharType="end"/>
        </w:r>
      </w:hyperlink>
    </w:p>
    <w:p w14:paraId="6FE46B00" w14:textId="63A0CEBD" w:rsidR="00C26519" w:rsidRDefault="00CF6066">
      <w:pPr>
        <w:pStyle w:val="TOC1"/>
        <w:rPr>
          <w:rFonts w:asciiTheme="minorHAnsi" w:eastAsiaTheme="minorEastAsia" w:hAnsiTheme="minorHAnsi" w:cstheme="minorBidi"/>
          <w:b w:val="0"/>
          <w:noProof/>
          <w:lang w:bidi="ar-SA"/>
        </w:rPr>
      </w:pPr>
      <w:hyperlink w:anchor="_Toc526489945" w:history="1">
        <w:r w:rsidR="00C26519" w:rsidRPr="003C0210">
          <w:rPr>
            <w:rStyle w:val="Hyperlink"/>
            <w:noProof/>
          </w:rPr>
          <w:t>Figure 3.2 Graphical representation of the percentile of reference approach, as applied to CSCI scores from reference sites, showing the 30</w:t>
        </w:r>
        <w:r w:rsidR="00C26519" w:rsidRPr="003C0210">
          <w:rPr>
            <w:rStyle w:val="Hyperlink"/>
            <w:noProof/>
            <w:vertAlign w:val="superscript"/>
          </w:rPr>
          <w:t>th</w:t>
        </w:r>
        <w:r w:rsidR="00C26519" w:rsidRPr="003C0210">
          <w:rPr>
            <w:rStyle w:val="Hyperlink"/>
            <w:noProof/>
          </w:rPr>
          <w:t>, 10</w:t>
        </w:r>
        <w:r w:rsidR="00C26519" w:rsidRPr="003C0210">
          <w:rPr>
            <w:rStyle w:val="Hyperlink"/>
            <w:noProof/>
            <w:vertAlign w:val="superscript"/>
          </w:rPr>
          <w:t>th</w:t>
        </w:r>
        <w:r w:rsidR="00C26519" w:rsidRPr="003C0210">
          <w:rPr>
            <w:rStyle w:val="Hyperlink"/>
            <w:noProof/>
          </w:rPr>
          <w:t xml:space="preserve"> and 1</w:t>
        </w:r>
        <w:r w:rsidR="00C26519" w:rsidRPr="003C0210">
          <w:rPr>
            <w:rStyle w:val="Hyperlink"/>
            <w:noProof/>
            <w:vertAlign w:val="superscript"/>
          </w:rPr>
          <w:t>st</w:t>
        </w:r>
        <w:r w:rsidR="00C26519" w:rsidRPr="003C0210">
          <w:rPr>
            <w:rStyle w:val="Hyperlink"/>
            <w:noProof/>
          </w:rPr>
          <w:t xml:space="preserve"> percentile, with narrative descriptions of condition “bins.”  Data from Mazor et al. (2016).</w:t>
        </w:r>
        <w:r w:rsidR="00C26519">
          <w:rPr>
            <w:noProof/>
            <w:webHidden/>
          </w:rPr>
          <w:tab/>
        </w:r>
        <w:r w:rsidR="00C26519">
          <w:rPr>
            <w:noProof/>
            <w:webHidden/>
          </w:rPr>
          <w:fldChar w:fldCharType="begin"/>
        </w:r>
        <w:r w:rsidR="00C26519">
          <w:rPr>
            <w:noProof/>
            <w:webHidden/>
          </w:rPr>
          <w:instrText xml:space="preserve"> PAGEREF _Toc526489945 \h </w:instrText>
        </w:r>
        <w:r w:rsidR="00C26519">
          <w:rPr>
            <w:noProof/>
            <w:webHidden/>
          </w:rPr>
        </w:r>
        <w:r w:rsidR="00C26519">
          <w:rPr>
            <w:noProof/>
            <w:webHidden/>
          </w:rPr>
          <w:fldChar w:fldCharType="separate"/>
        </w:r>
        <w:r w:rsidR="00772F7E">
          <w:rPr>
            <w:noProof/>
            <w:webHidden/>
          </w:rPr>
          <w:t>47</w:t>
        </w:r>
        <w:r w:rsidR="00C26519">
          <w:rPr>
            <w:noProof/>
            <w:webHidden/>
          </w:rPr>
          <w:fldChar w:fldCharType="end"/>
        </w:r>
      </w:hyperlink>
    </w:p>
    <w:p w14:paraId="28E9C86D" w14:textId="3B16E19A" w:rsidR="00C26519" w:rsidRDefault="00CF6066">
      <w:pPr>
        <w:pStyle w:val="TOC1"/>
        <w:rPr>
          <w:rFonts w:asciiTheme="minorHAnsi" w:eastAsiaTheme="minorEastAsia" w:hAnsiTheme="minorHAnsi" w:cstheme="minorBidi"/>
          <w:b w:val="0"/>
          <w:noProof/>
          <w:lang w:bidi="ar-SA"/>
        </w:rPr>
      </w:pPr>
      <w:hyperlink w:anchor="_Toc526489946" w:history="1">
        <w:r w:rsidR="00C26519" w:rsidRPr="003C0210">
          <w:rPr>
            <w:rStyle w:val="Hyperlink"/>
            <w:noProof/>
          </w:rPr>
          <w:t>Figure 3.3 Crosswalk of BCG narratives and BCG-derived CSCI and ASCI scores (right side of each panel) to a percentile of reference narratives and scores (left sides of each panel). Figure not drawn to scale. Data from Paul et al. (in prep).</w:t>
        </w:r>
        <w:r w:rsidR="00C26519">
          <w:rPr>
            <w:noProof/>
            <w:webHidden/>
          </w:rPr>
          <w:tab/>
        </w:r>
        <w:r w:rsidR="00C26519">
          <w:rPr>
            <w:noProof/>
            <w:webHidden/>
          </w:rPr>
          <w:fldChar w:fldCharType="begin"/>
        </w:r>
        <w:r w:rsidR="00C26519">
          <w:rPr>
            <w:noProof/>
            <w:webHidden/>
          </w:rPr>
          <w:instrText xml:space="preserve"> PAGEREF _Toc526489946 \h </w:instrText>
        </w:r>
        <w:r w:rsidR="00C26519">
          <w:rPr>
            <w:noProof/>
            <w:webHidden/>
          </w:rPr>
        </w:r>
        <w:r w:rsidR="00C26519">
          <w:rPr>
            <w:noProof/>
            <w:webHidden/>
          </w:rPr>
          <w:fldChar w:fldCharType="separate"/>
        </w:r>
        <w:r w:rsidR="00772F7E">
          <w:rPr>
            <w:noProof/>
            <w:webHidden/>
          </w:rPr>
          <w:t>48</w:t>
        </w:r>
        <w:r w:rsidR="00C26519">
          <w:rPr>
            <w:noProof/>
            <w:webHidden/>
          </w:rPr>
          <w:fldChar w:fldCharType="end"/>
        </w:r>
      </w:hyperlink>
    </w:p>
    <w:p w14:paraId="2BBAC6F4" w14:textId="720CCE9F" w:rsidR="00C26519" w:rsidRDefault="00CF6066">
      <w:pPr>
        <w:pStyle w:val="TOC1"/>
        <w:rPr>
          <w:rFonts w:asciiTheme="minorHAnsi" w:eastAsiaTheme="minorEastAsia" w:hAnsiTheme="minorHAnsi" w:cstheme="minorBidi"/>
          <w:b w:val="0"/>
          <w:noProof/>
          <w:lang w:bidi="ar-SA"/>
        </w:rPr>
      </w:pPr>
      <w:hyperlink w:anchor="_Toc526489947" w:history="1">
        <w:r w:rsidR="00C26519" w:rsidRPr="003C0210">
          <w:rPr>
            <w:rStyle w:val="Hyperlink"/>
            <w:noProof/>
          </w:rPr>
          <w:t>Figure 3.4. Targets for eutrophication indicators that provide a 90% relative probability of exceeding a range of biointegrity goals.  Points represent the estimated threshold, and lines represent the 95% confidence interval around the estimate. Color indicates the biointegrity index that was evaluated. Points plotted on the right edge of a panel indicate that a target was not found within the evaluated range of the eutrophication factor; similarly, lines that extend to the edge of a panel indicate that the confidence limits extended past the evaluated range of the eutrophication factor. Dark-hued symbols indicate eutrophication targets that met validation criteria (i.e., relative risks significantly &gt; 1 in both calibration and validation data sets), whereas light-hued symbols indicate targets that did not meet validation criteria</w:t>
        </w:r>
        <w:r w:rsidR="00C26519">
          <w:rPr>
            <w:noProof/>
            <w:webHidden/>
          </w:rPr>
          <w:tab/>
        </w:r>
        <w:r w:rsidR="00C26519">
          <w:rPr>
            <w:noProof/>
            <w:webHidden/>
          </w:rPr>
          <w:fldChar w:fldCharType="begin"/>
        </w:r>
        <w:r w:rsidR="00C26519">
          <w:rPr>
            <w:noProof/>
            <w:webHidden/>
          </w:rPr>
          <w:instrText xml:space="preserve"> PAGEREF _Toc526489947 \h </w:instrText>
        </w:r>
        <w:r w:rsidR="00C26519">
          <w:rPr>
            <w:noProof/>
            <w:webHidden/>
          </w:rPr>
        </w:r>
        <w:r w:rsidR="00C26519">
          <w:rPr>
            <w:noProof/>
            <w:webHidden/>
          </w:rPr>
          <w:fldChar w:fldCharType="separate"/>
        </w:r>
        <w:r w:rsidR="00772F7E">
          <w:rPr>
            <w:noProof/>
            <w:webHidden/>
          </w:rPr>
          <w:t>52</w:t>
        </w:r>
        <w:r w:rsidR="00C26519">
          <w:rPr>
            <w:noProof/>
            <w:webHidden/>
          </w:rPr>
          <w:fldChar w:fldCharType="end"/>
        </w:r>
      </w:hyperlink>
    </w:p>
    <w:p w14:paraId="376F51D0" w14:textId="2227AD8C" w:rsidR="00C26519" w:rsidRDefault="00CF6066">
      <w:pPr>
        <w:pStyle w:val="TOC1"/>
        <w:rPr>
          <w:rFonts w:asciiTheme="minorHAnsi" w:eastAsiaTheme="minorEastAsia" w:hAnsiTheme="minorHAnsi" w:cstheme="minorBidi"/>
          <w:b w:val="0"/>
          <w:noProof/>
          <w:lang w:bidi="ar-SA"/>
        </w:rPr>
      </w:pPr>
      <w:hyperlink w:anchor="_Toc526489948" w:history="1">
        <w:r w:rsidR="00C26519" w:rsidRPr="003C0210">
          <w:rPr>
            <w:rStyle w:val="Hyperlink"/>
            <w:noProof/>
          </w:rPr>
          <w:t>Figure 3.5. From Fetscher et al. 2014. Ranges of thresholds of ALU response by “ALU category” for two biomass and two nutrient gradients.  Circles correspond to the mean of thresholds within each category, and triangles are the medians. Dashed lines indicate the 75</w:t>
        </w:r>
        <w:r w:rsidR="00C26519" w:rsidRPr="003C0210">
          <w:rPr>
            <w:rStyle w:val="Hyperlink"/>
            <w:noProof/>
            <w:vertAlign w:val="superscript"/>
          </w:rPr>
          <w:t>th</w:t>
        </w:r>
        <w:r w:rsidR="00C26519" w:rsidRPr="003C0210">
          <w:rPr>
            <w:rStyle w:val="Hyperlink"/>
            <w:noProof/>
          </w:rPr>
          <w:t xml:space="preserve"> percentile of the indicator in question among Reference sites statewide.</w:t>
        </w:r>
        <w:r w:rsidR="00C26519">
          <w:rPr>
            <w:noProof/>
            <w:webHidden/>
          </w:rPr>
          <w:tab/>
        </w:r>
        <w:r w:rsidR="00C26519">
          <w:rPr>
            <w:noProof/>
            <w:webHidden/>
          </w:rPr>
          <w:fldChar w:fldCharType="begin"/>
        </w:r>
        <w:r w:rsidR="00C26519">
          <w:rPr>
            <w:noProof/>
            <w:webHidden/>
          </w:rPr>
          <w:instrText xml:space="preserve"> PAGEREF _Toc526489948 \h </w:instrText>
        </w:r>
        <w:r w:rsidR="00C26519">
          <w:rPr>
            <w:noProof/>
            <w:webHidden/>
          </w:rPr>
        </w:r>
        <w:r w:rsidR="00C26519">
          <w:rPr>
            <w:noProof/>
            <w:webHidden/>
          </w:rPr>
          <w:fldChar w:fldCharType="separate"/>
        </w:r>
        <w:r w:rsidR="00772F7E">
          <w:rPr>
            <w:noProof/>
            <w:webHidden/>
          </w:rPr>
          <w:t>53</w:t>
        </w:r>
        <w:r w:rsidR="00C26519">
          <w:rPr>
            <w:noProof/>
            <w:webHidden/>
          </w:rPr>
          <w:fldChar w:fldCharType="end"/>
        </w:r>
      </w:hyperlink>
    </w:p>
    <w:p w14:paraId="44A263DE" w14:textId="27822377" w:rsidR="00C26519" w:rsidRDefault="00CF6066">
      <w:pPr>
        <w:pStyle w:val="TOC1"/>
        <w:rPr>
          <w:rFonts w:asciiTheme="minorHAnsi" w:eastAsiaTheme="minorEastAsia" w:hAnsiTheme="minorHAnsi" w:cstheme="minorBidi"/>
          <w:b w:val="0"/>
          <w:noProof/>
          <w:lang w:bidi="ar-SA"/>
        </w:rPr>
      </w:pPr>
      <w:hyperlink w:anchor="_Toc526489949" w:history="1">
        <w:r w:rsidR="00C26519" w:rsidRPr="003C0210">
          <w:rPr>
            <w:rStyle w:val="Hyperlink"/>
            <w:noProof/>
          </w:rPr>
          <w:t>Figure 3.6 Titan plots showing changepoints in species presence/absence as a function of increasing TN  (left panel) and TP concentration (right panel). From Mazor et al. (in prep).</w:t>
        </w:r>
        <w:r w:rsidR="00C26519">
          <w:rPr>
            <w:noProof/>
            <w:webHidden/>
          </w:rPr>
          <w:tab/>
        </w:r>
        <w:r w:rsidR="00C26519">
          <w:rPr>
            <w:noProof/>
            <w:webHidden/>
          </w:rPr>
          <w:fldChar w:fldCharType="begin"/>
        </w:r>
        <w:r w:rsidR="00C26519">
          <w:rPr>
            <w:noProof/>
            <w:webHidden/>
          </w:rPr>
          <w:instrText xml:space="preserve"> PAGEREF _Toc526489949 \h </w:instrText>
        </w:r>
        <w:r w:rsidR="00C26519">
          <w:rPr>
            <w:noProof/>
            <w:webHidden/>
          </w:rPr>
        </w:r>
        <w:r w:rsidR="00C26519">
          <w:rPr>
            <w:noProof/>
            <w:webHidden/>
          </w:rPr>
          <w:fldChar w:fldCharType="separate"/>
        </w:r>
        <w:r w:rsidR="00772F7E">
          <w:rPr>
            <w:noProof/>
            <w:webHidden/>
          </w:rPr>
          <w:t>54</w:t>
        </w:r>
        <w:r w:rsidR="00C26519">
          <w:rPr>
            <w:noProof/>
            <w:webHidden/>
          </w:rPr>
          <w:fldChar w:fldCharType="end"/>
        </w:r>
      </w:hyperlink>
    </w:p>
    <w:p w14:paraId="24DE042E" w14:textId="357EFCE4" w:rsidR="00C26519" w:rsidRDefault="00CF6066">
      <w:pPr>
        <w:pStyle w:val="TOC1"/>
        <w:rPr>
          <w:rFonts w:asciiTheme="minorHAnsi" w:eastAsiaTheme="minorEastAsia" w:hAnsiTheme="minorHAnsi" w:cstheme="minorBidi"/>
          <w:b w:val="0"/>
          <w:noProof/>
          <w:lang w:bidi="ar-SA"/>
        </w:rPr>
      </w:pPr>
      <w:hyperlink w:anchor="_Toc526489950" w:history="1">
        <w:r w:rsidR="00C26519" w:rsidRPr="003C0210">
          <w:rPr>
            <w:rStyle w:val="Hyperlink"/>
            <w:noProof/>
          </w:rPr>
          <w:t>Figure 3.7 Titan plots showing changepoints in species presence/absence as a function of increasing benthic chl-a by species (left panel) and by grouping of BMI and algal increasers versus decreasers). X -axis on both plots is benthic chl-a (mg/m2). From Mazor et al. (in prep).</w:t>
        </w:r>
        <w:r w:rsidR="00C26519">
          <w:rPr>
            <w:noProof/>
            <w:webHidden/>
          </w:rPr>
          <w:tab/>
        </w:r>
        <w:r w:rsidR="00C26519">
          <w:rPr>
            <w:noProof/>
            <w:webHidden/>
          </w:rPr>
          <w:fldChar w:fldCharType="begin"/>
        </w:r>
        <w:r w:rsidR="00C26519">
          <w:rPr>
            <w:noProof/>
            <w:webHidden/>
          </w:rPr>
          <w:instrText xml:space="preserve"> PAGEREF _Toc526489950 \h </w:instrText>
        </w:r>
        <w:r w:rsidR="00C26519">
          <w:rPr>
            <w:noProof/>
            <w:webHidden/>
          </w:rPr>
        </w:r>
        <w:r w:rsidR="00C26519">
          <w:rPr>
            <w:noProof/>
            <w:webHidden/>
          </w:rPr>
          <w:fldChar w:fldCharType="separate"/>
        </w:r>
        <w:r w:rsidR="00772F7E">
          <w:rPr>
            <w:noProof/>
            <w:webHidden/>
          </w:rPr>
          <w:t>59</w:t>
        </w:r>
        <w:r w:rsidR="00C26519">
          <w:rPr>
            <w:noProof/>
            <w:webHidden/>
          </w:rPr>
          <w:fldChar w:fldCharType="end"/>
        </w:r>
      </w:hyperlink>
    </w:p>
    <w:p w14:paraId="74532BF4" w14:textId="3756E70A" w:rsidR="00C26519" w:rsidRDefault="00CF6066">
      <w:pPr>
        <w:pStyle w:val="TOC1"/>
        <w:rPr>
          <w:rFonts w:asciiTheme="minorHAnsi" w:eastAsiaTheme="minorEastAsia" w:hAnsiTheme="minorHAnsi" w:cstheme="minorBidi"/>
          <w:b w:val="0"/>
          <w:noProof/>
          <w:lang w:bidi="ar-SA"/>
        </w:rPr>
      </w:pPr>
      <w:hyperlink w:anchor="_Toc526489951" w:history="1">
        <w:r w:rsidR="00C26519" w:rsidRPr="003C0210">
          <w:rPr>
            <w:rStyle w:val="Hyperlink"/>
            <w:noProof/>
          </w:rPr>
          <w:t>Figure 3.8 Titan plots showing changepoints in species presence/absence as a function of increasing AFDM (mg/cm2) by species (left panel) and by grouping of BMI and algal increasers versus decreasers). X-axis on both plots is AFDM (mg/cm2). From Mazor et al. (in prep).</w:t>
        </w:r>
        <w:r w:rsidR="00C26519">
          <w:rPr>
            <w:noProof/>
            <w:webHidden/>
          </w:rPr>
          <w:tab/>
        </w:r>
        <w:r w:rsidR="00C26519">
          <w:rPr>
            <w:noProof/>
            <w:webHidden/>
          </w:rPr>
          <w:fldChar w:fldCharType="begin"/>
        </w:r>
        <w:r w:rsidR="00C26519">
          <w:rPr>
            <w:noProof/>
            <w:webHidden/>
          </w:rPr>
          <w:instrText xml:space="preserve"> PAGEREF _Toc526489951 \h </w:instrText>
        </w:r>
        <w:r w:rsidR="00C26519">
          <w:rPr>
            <w:noProof/>
            <w:webHidden/>
          </w:rPr>
        </w:r>
        <w:r w:rsidR="00C26519">
          <w:rPr>
            <w:noProof/>
            <w:webHidden/>
          </w:rPr>
          <w:fldChar w:fldCharType="separate"/>
        </w:r>
        <w:r w:rsidR="00772F7E">
          <w:rPr>
            <w:noProof/>
            <w:webHidden/>
          </w:rPr>
          <w:t>60</w:t>
        </w:r>
        <w:r w:rsidR="00C26519">
          <w:rPr>
            <w:noProof/>
            <w:webHidden/>
          </w:rPr>
          <w:fldChar w:fldCharType="end"/>
        </w:r>
      </w:hyperlink>
    </w:p>
    <w:p w14:paraId="2777F05B" w14:textId="04E46C8C" w:rsidR="00C26519" w:rsidRDefault="00CF6066">
      <w:pPr>
        <w:pStyle w:val="TOC1"/>
        <w:rPr>
          <w:rFonts w:asciiTheme="minorHAnsi" w:eastAsiaTheme="minorEastAsia" w:hAnsiTheme="minorHAnsi" w:cstheme="minorBidi"/>
          <w:b w:val="0"/>
          <w:noProof/>
          <w:lang w:bidi="ar-SA"/>
        </w:rPr>
      </w:pPr>
      <w:hyperlink w:anchor="_Toc526489953" w:history="1">
        <w:r w:rsidR="00C26519" w:rsidRPr="003C0210">
          <w:rPr>
            <w:rStyle w:val="Hyperlink"/>
            <w:noProof/>
          </w:rPr>
          <w:t>Figure 3.9 Left panel: simulated mean (summer 2000) chl-a (solid line) and cyanobacterial percentage of sestonic   algal biovolume at reach B-54 of the Blue Earth River (dashed line) as a function of TSS. Right panel: percentage sestonic cyanobacteria in different reaches of five Minnesota Rivers in summer 2000 as a function of TN (top) and TSS (bottom). From Carlton et al. 2009.</w:t>
        </w:r>
        <w:r w:rsidR="00C26519">
          <w:rPr>
            <w:noProof/>
            <w:webHidden/>
          </w:rPr>
          <w:tab/>
        </w:r>
        <w:r w:rsidR="00C26519">
          <w:rPr>
            <w:noProof/>
            <w:webHidden/>
          </w:rPr>
          <w:fldChar w:fldCharType="begin"/>
        </w:r>
        <w:r w:rsidR="00C26519">
          <w:rPr>
            <w:noProof/>
            <w:webHidden/>
          </w:rPr>
          <w:instrText xml:space="preserve"> PAGEREF _Toc526489953 \h </w:instrText>
        </w:r>
        <w:r w:rsidR="00C26519">
          <w:rPr>
            <w:noProof/>
            <w:webHidden/>
          </w:rPr>
        </w:r>
        <w:r w:rsidR="00C26519">
          <w:rPr>
            <w:noProof/>
            <w:webHidden/>
          </w:rPr>
          <w:fldChar w:fldCharType="separate"/>
        </w:r>
        <w:r w:rsidR="00772F7E">
          <w:rPr>
            <w:noProof/>
            <w:webHidden/>
          </w:rPr>
          <w:t>64</w:t>
        </w:r>
        <w:r w:rsidR="00C26519">
          <w:rPr>
            <w:noProof/>
            <w:webHidden/>
          </w:rPr>
          <w:fldChar w:fldCharType="end"/>
        </w:r>
      </w:hyperlink>
    </w:p>
    <w:p w14:paraId="3F4C8E41" w14:textId="05A63243" w:rsidR="00C26519" w:rsidRDefault="00CF6066">
      <w:pPr>
        <w:pStyle w:val="TOC1"/>
        <w:rPr>
          <w:rFonts w:asciiTheme="minorHAnsi" w:eastAsiaTheme="minorEastAsia" w:hAnsiTheme="minorHAnsi" w:cstheme="minorBidi"/>
          <w:b w:val="0"/>
          <w:noProof/>
          <w:lang w:bidi="ar-SA"/>
        </w:rPr>
      </w:pPr>
      <w:hyperlink w:anchor="_Toc526489954" w:history="1">
        <w:r w:rsidR="00C26519" w:rsidRPr="003C0210">
          <w:rPr>
            <w:rStyle w:val="Hyperlink"/>
            <w:rFonts w:eastAsia="Arial"/>
            <w:noProof/>
          </w:rPr>
          <w:t>F</w:t>
        </w:r>
        <w:r w:rsidR="00C26519" w:rsidRPr="003C0210">
          <w:rPr>
            <w:rStyle w:val="Hyperlink"/>
            <w:rFonts w:eastAsia="Arial"/>
            <w:noProof/>
            <w:spacing w:val="-1"/>
          </w:rPr>
          <w:t>i</w:t>
        </w:r>
        <w:r w:rsidR="00C26519" w:rsidRPr="003C0210">
          <w:rPr>
            <w:rStyle w:val="Hyperlink"/>
            <w:rFonts w:eastAsia="Arial"/>
            <w:noProof/>
          </w:rPr>
          <w:t>g</w:t>
        </w:r>
        <w:r w:rsidR="00C26519" w:rsidRPr="003C0210">
          <w:rPr>
            <w:rStyle w:val="Hyperlink"/>
            <w:rFonts w:eastAsia="Arial"/>
            <w:noProof/>
            <w:spacing w:val="-1"/>
          </w:rPr>
          <w:t>u</w:t>
        </w:r>
        <w:r w:rsidR="00C26519" w:rsidRPr="003C0210">
          <w:rPr>
            <w:rStyle w:val="Hyperlink"/>
            <w:rFonts w:eastAsia="Arial"/>
            <w:noProof/>
          </w:rPr>
          <w:t>re</w:t>
        </w:r>
        <w:r w:rsidR="00C26519" w:rsidRPr="003C0210">
          <w:rPr>
            <w:rStyle w:val="Hyperlink"/>
            <w:rFonts w:eastAsia="Arial"/>
            <w:noProof/>
            <w:spacing w:val="-4"/>
          </w:rPr>
          <w:t xml:space="preserve"> 3.10 </w:t>
        </w:r>
        <w:r w:rsidR="00C26519" w:rsidRPr="003C0210">
          <w:rPr>
            <w:rStyle w:val="Hyperlink"/>
            <w:rFonts w:eastAsia="Arial"/>
            <w:noProof/>
          </w:rPr>
          <w:t>Ra</w:t>
        </w:r>
        <w:r w:rsidR="00C26519" w:rsidRPr="003C0210">
          <w:rPr>
            <w:rStyle w:val="Hyperlink"/>
            <w:rFonts w:eastAsia="Arial"/>
            <w:noProof/>
            <w:spacing w:val="1"/>
          </w:rPr>
          <w:t>n</w:t>
        </w:r>
        <w:r w:rsidR="00C26519" w:rsidRPr="003C0210">
          <w:rPr>
            <w:rStyle w:val="Hyperlink"/>
            <w:rFonts w:eastAsia="Arial"/>
            <w:noProof/>
          </w:rPr>
          <w:t>ge</w:t>
        </w:r>
        <w:r w:rsidR="00C26519" w:rsidRPr="003C0210">
          <w:rPr>
            <w:rStyle w:val="Hyperlink"/>
            <w:rFonts w:eastAsia="Arial"/>
            <w:noProof/>
            <w:spacing w:val="-6"/>
          </w:rPr>
          <w:t xml:space="preserve"> </w:t>
        </w:r>
        <w:r w:rsidR="00C26519" w:rsidRPr="003C0210">
          <w:rPr>
            <w:rStyle w:val="Hyperlink"/>
            <w:rFonts w:eastAsia="Arial"/>
            <w:noProof/>
            <w:spacing w:val="1"/>
          </w:rPr>
          <w:t>o</w:t>
        </w:r>
        <w:r w:rsidR="00C26519" w:rsidRPr="003C0210">
          <w:rPr>
            <w:rStyle w:val="Hyperlink"/>
            <w:rFonts w:eastAsia="Arial"/>
            <w:noProof/>
          </w:rPr>
          <w:t>f</w:t>
        </w:r>
        <w:r w:rsidR="00C26519" w:rsidRPr="003C0210">
          <w:rPr>
            <w:rStyle w:val="Hyperlink"/>
            <w:rFonts w:eastAsia="Arial"/>
            <w:noProof/>
            <w:spacing w:val="-6"/>
          </w:rPr>
          <w:t xml:space="preserve"> </w:t>
        </w:r>
        <w:r w:rsidR="00C26519" w:rsidRPr="003C0210">
          <w:rPr>
            <w:rStyle w:val="Hyperlink"/>
            <w:rFonts w:eastAsia="Arial"/>
            <w:noProof/>
            <w:spacing w:val="1"/>
          </w:rPr>
          <w:t>d</w:t>
        </w:r>
        <w:r w:rsidR="00C26519" w:rsidRPr="003C0210">
          <w:rPr>
            <w:rStyle w:val="Hyperlink"/>
            <w:rFonts w:eastAsia="Arial"/>
            <w:noProof/>
            <w:spacing w:val="-1"/>
          </w:rPr>
          <w:t>i</w:t>
        </w:r>
        <w:r w:rsidR="00C26519" w:rsidRPr="003C0210">
          <w:rPr>
            <w:rStyle w:val="Hyperlink"/>
            <w:rFonts w:eastAsia="Arial"/>
            <w:noProof/>
            <w:spacing w:val="1"/>
          </w:rPr>
          <w:t>e</w:t>
        </w:r>
        <w:r w:rsidR="00C26519" w:rsidRPr="003C0210">
          <w:rPr>
            <w:rStyle w:val="Hyperlink"/>
            <w:rFonts w:eastAsia="Arial"/>
            <w:noProof/>
          </w:rPr>
          <w:t>l</w:t>
        </w:r>
        <w:r w:rsidR="00C26519" w:rsidRPr="003C0210">
          <w:rPr>
            <w:rStyle w:val="Hyperlink"/>
            <w:rFonts w:eastAsia="Arial"/>
            <w:noProof/>
            <w:w w:val="99"/>
          </w:rPr>
          <w:t xml:space="preserve"> </w:t>
        </w:r>
        <w:r w:rsidR="00C26519" w:rsidRPr="003C0210">
          <w:rPr>
            <w:rStyle w:val="Hyperlink"/>
            <w:rFonts w:eastAsia="Arial"/>
            <w:noProof/>
            <w:spacing w:val="1"/>
          </w:rPr>
          <w:t>v</w:t>
        </w:r>
        <w:r w:rsidR="00C26519" w:rsidRPr="003C0210">
          <w:rPr>
            <w:rStyle w:val="Hyperlink"/>
            <w:rFonts w:eastAsia="Arial"/>
            <w:noProof/>
          </w:rPr>
          <w:t>ari</w:t>
        </w:r>
        <w:r w:rsidR="00C26519" w:rsidRPr="003C0210">
          <w:rPr>
            <w:rStyle w:val="Hyperlink"/>
            <w:rFonts w:eastAsia="Arial"/>
            <w:noProof/>
            <w:spacing w:val="-1"/>
          </w:rPr>
          <w:t>a</w:t>
        </w:r>
        <w:r w:rsidR="00C26519" w:rsidRPr="003C0210">
          <w:rPr>
            <w:rStyle w:val="Hyperlink"/>
            <w:rFonts w:eastAsia="Arial"/>
            <w:noProof/>
            <w:spacing w:val="1"/>
          </w:rPr>
          <w:t>b</w:t>
        </w:r>
        <w:r w:rsidR="00C26519" w:rsidRPr="003C0210">
          <w:rPr>
            <w:rStyle w:val="Hyperlink"/>
            <w:rFonts w:eastAsia="Arial"/>
            <w:noProof/>
            <w:spacing w:val="-1"/>
          </w:rPr>
          <w:t>i</w:t>
        </w:r>
        <w:r w:rsidR="00C26519" w:rsidRPr="003C0210">
          <w:rPr>
            <w:rStyle w:val="Hyperlink"/>
            <w:rFonts w:eastAsia="Arial"/>
            <w:noProof/>
            <w:spacing w:val="1"/>
          </w:rPr>
          <w:t>l</w:t>
        </w:r>
        <w:r w:rsidR="00C26519" w:rsidRPr="003C0210">
          <w:rPr>
            <w:rStyle w:val="Hyperlink"/>
            <w:rFonts w:eastAsia="Arial"/>
            <w:noProof/>
            <w:spacing w:val="-1"/>
          </w:rPr>
          <w:t>i</w:t>
        </w:r>
        <w:r w:rsidR="00C26519" w:rsidRPr="003C0210">
          <w:rPr>
            <w:rStyle w:val="Hyperlink"/>
            <w:rFonts w:eastAsia="Arial"/>
            <w:noProof/>
          </w:rPr>
          <w:t>ty</w:t>
        </w:r>
        <w:r w:rsidR="00C26519" w:rsidRPr="003C0210">
          <w:rPr>
            <w:rStyle w:val="Hyperlink"/>
            <w:rFonts w:eastAsia="Arial"/>
            <w:noProof/>
            <w:spacing w:val="-9"/>
          </w:rPr>
          <w:t xml:space="preserve"> </w:t>
        </w:r>
        <w:r w:rsidR="00C26519" w:rsidRPr="003C0210">
          <w:rPr>
            <w:rStyle w:val="Hyperlink"/>
            <w:rFonts w:eastAsia="Arial"/>
            <w:noProof/>
            <w:spacing w:val="-2"/>
          </w:rPr>
          <w:t>i</w:t>
        </w:r>
        <w:r w:rsidR="00C26519" w:rsidRPr="003C0210">
          <w:rPr>
            <w:rStyle w:val="Hyperlink"/>
            <w:rFonts w:eastAsia="Arial"/>
            <w:noProof/>
          </w:rPr>
          <w:t>n</w:t>
        </w:r>
        <w:r w:rsidR="00C26519" w:rsidRPr="003C0210">
          <w:rPr>
            <w:rStyle w:val="Hyperlink"/>
            <w:rFonts w:eastAsia="Arial"/>
            <w:noProof/>
            <w:spacing w:val="-7"/>
          </w:rPr>
          <w:t xml:space="preserve"> </w:t>
        </w:r>
        <w:r w:rsidR="00C26519" w:rsidRPr="003C0210">
          <w:rPr>
            <w:rStyle w:val="Hyperlink"/>
            <w:rFonts w:eastAsia="Arial"/>
            <w:noProof/>
          </w:rPr>
          <w:t>24-</w:t>
        </w:r>
        <w:r w:rsidR="00C26519" w:rsidRPr="003C0210">
          <w:rPr>
            <w:rStyle w:val="Hyperlink"/>
            <w:rFonts w:eastAsia="Arial"/>
            <w:noProof/>
            <w:spacing w:val="1"/>
          </w:rPr>
          <w:t>h</w:t>
        </w:r>
        <w:r w:rsidR="00C26519" w:rsidRPr="003C0210">
          <w:rPr>
            <w:rStyle w:val="Hyperlink"/>
            <w:rFonts w:eastAsia="Arial"/>
            <w:noProof/>
          </w:rPr>
          <w:t>o</w:t>
        </w:r>
        <w:r w:rsidR="00C26519" w:rsidRPr="003C0210">
          <w:rPr>
            <w:rStyle w:val="Hyperlink"/>
            <w:rFonts w:eastAsia="Arial"/>
            <w:noProof/>
            <w:spacing w:val="-1"/>
          </w:rPr>
          <w:t>u</w:t>
        </w:r>
        <w:r w:rsidR="00C26519" w:rsidRPr="003C0210">
          <w:rPr>
            <w:rStyle w:val="Hyperlink"/>
            <w:rFonts w:eastAsia="Arial"/>
            <w:noProof/>
          </w:rPr>
          <w:t>r</w:t>
        </w:r>
        <w:r w:rsidR="00C26519" w:rsidRPr="003C0210">
          <w:rPr>
            <w:rStyle w:val="Hyperlink"/>
            <w:rFonts w:eastAsia="Arial"/>
            <w:noProof/>
            <w:w w:val="99"/>
          </w:rPr>
          <w:t xml:space="preserve"> </w:t>
        </w:r>
        <w:r w:rsidR="00C26519" w:rsidRPr="003C0210">
          <w:rPr>
            <w:rStyle w:val="Hyperlink"/>
            <w:rFonts w:eastAsia="Arial"/>
            <w:noProof/>
          </w:rPr>
          <w:t>d</w:t>
        </w:r>
        <w:r w:rsidR="00C26519" w:rsidRPr="003C0210">
          <w:rPr>
            <w:rStyle w:val="Hyperlink"/>
            <w:rFonts w:eastAsia="Arial"/>
            <w:noProof/>
            <w:spacing w:val="-1"/>
          </w:rPr>
          <w:t>e</w:t>
        </w:r>
        <w:r w:rsidR="00C26519" w:rsidRPr="003C0210">
          <w:rPr>
            <w:rStyle w:val="Hyperlink"/>
            <w:rFonts w:eastAsia="Arial"/>
            <w:noProof/>
            <w:spacing w:val="1"/>
          </w:rPr>
          <w:t>p</w:t>
        </w:r>
        <w:r w:rsidR="00C26519" w:rsidRPr="003C0210">
          <w:rPr>
            <w:rStyle w:val="Hyperlink"/>
            <w:rFonts w:eastAsia="Arial"/>
            <w:noProof/>
            <w:spacing w:val="-1"/>
          </w:rPr>
          <w:t>l</w:t>
        </w:r>
        <w:r w:rsidR="00C26519" w:rsidRPr="003C0210">
          <w:rPr>
            <w:rStyle w:val="Hyperlink"/>
            <w:rFonts w:eastAsia="Arial"/>
            <w:noProof/>
          </w:rPr>
          <w:t>oym</w:t>
        </w:r>
        <w:r w:rsidR="00C26519" w:rsidRPr="003C0210">
          <w:rPr>
            <w:rStyle w:val="Hyperlink"/>
            <w:rFonts w:eastAsia="Arial"/>
            <w:noProof/>
            <w:spacing w:val="1"/>
          </w:rPr>
          <w:t>e</w:t>
        </w:r>
        <w:r w:rsidR="00C26519" w:rsidRPr="003C0210">
          <w:rPr>
            <w:rStyle w:val="Hyperlink"/>
            <w:rFonts w:eastAsia="Arial"/>
            <w:noProof/>
          </w:rPr>
          <w:t>nts</w:t>
        </w:r>
        <w:r w:rsidR="00C26519" w:rsidRPr="003C0210">
          <w:rPr>
            <w:rStyle w:val="Hyperlink"/>
            <w:rFonts w:eastAsia="Arial"/>
            <w:noProof/>
            <w:spacing w:val="-7"/>
          </w:rPr>
          <w:t xml:space="preserve"> </w:t>
        </w:r>
        <w:r w:rsidR="00C26519" w:rsidRPr="003C0210">
          <w:rPr>
            <w:rStyle w:val="Hyperlink"/>
            <w:rFonts w:eastAsia="Arial"/>
            <w:noProof/>
          </w:rPr>
          <w:t>of</w:t>
        </w:r>
        <w:r w:rsidR="00C26519" w:rsidRPr="003C0210">
          <w:rPr>
            <w:rStyle w:val="Hyperlink"/>
            <w:rFonts w:eastAsia="Arial"/>
            <w:noProof/>
            <w:spacing w:val="-6"/>
          </w:rPr>
          <w:t xml:space="preserve"> </w:t>
        </w:r>
        <w:r w:rsidR="00C26519" w:rsidRPr="003C0210">
          <w:rPr>
            <w:rStyle w:val="Hyperlink"/>
            <w:rFonts w:eastAsia="Arial"/>
            <w:noProof/>
          </w:rPr>
          <w:t>DO</w:t>
        </w:r>
        <w:r w:rsidR="00C26519" w:rsidRPr="003C0210">
          <w:rPr>
            <w:rStyle w:val="Hyperlink"/>
            <w:rFonts w:eastAsia="Arial"/>
            <w:noProof/>
            <w:spacing w:val="-6"/>
          </w:rPr>
          <w:t xml:space="preserve"> </w:t>
        </w:r>
        <w:r w:rsidR="00C26519" w:rsidRPr="003C0210">
          <w:rPr>
            <w:rStyle w:val="Hyperlink"/>
            <w:rFonts w:eastAsia="Arial"/>
            <w:noProof/>
          </w:rPr>
          <w:t>f</w:t>
        </w:r>
        <w:r w:rsidR="00C26519" w:rsidRPr="003C0210">
          <w:rPr>
            <w:rStyle w:val="Hyperlink"/>
            <w:rFonts w:eastAsia="Arial"/>
            <w:noProof/>
            <w:spacing w:val="-1"/>
          </w:rPr>
          <w:t>o</w:t>
        </w:r>
        <w:r w:rsidR="00C26519" w:rsidRPr="003C0210">
          <w:rPr>
            <w:rStyle w:val="Hyperlink"/>
            <w:rFonts w:eastAsia="Arial"/>
            <w:noProof/>
          </w:rPr>
          <w:t>r</w:t>
        </w:r>
        <w:r w:rsidR="00C26519" w:rsidRPr="003C0210">
          <w:rPr>
            <w:rStyle w:val="Hyperlink"/>
            <w:rFonts w:eastAsia="Arial"/>
            <w:noProof/>
            <w:spacing w:val="-4"/>
          </w:rPr>
          <w:t xml:space="preserve"> </w:t>
        </w:r>
        <w:r w:rsidR="00C26519" w:rsidRPr="003C0210">
          <w:rPr>
            <w:rStyle w:val="Hyperlink"/>
            <w:rFonts w:eastAsia="Arial"/>
            <w:noProof/>
          </w:rPr>
          <w:t>C</w:t>
        </w:r>
        <w:r w:rsidR="00C26519" w:rsidRPr="003C0210">
          <w:rPr>
            <w:rStyle w:val="Hyperlink"/>
            <w:rFonts w:eastAsia="Arial"/>
            <w:noProof/>
            <w:spacing w:val="2"/>
          </w:rPr>
          <w:t>e</w:t>
        </w:r>
        <w:r w:rsidR="00C26519" w:rsidRPr="003C0210">
          <w:rPr>
            <w:rStyle w:val="Hyperlink"/>
            <w:rFonts w:eastAsia="Arial"/>
            <w:noProof/>
            <w:spacing w:val="1"/>
          </w:rPr>
          <w:t>n</w:t>
        </w:r>
        <w:r w:rsidR="00C26519" w:rsidRPr="003C0210">
          <w:rPr>
            <w:rStyle w:val="Hyperlink"/>
            <w:rFonts w:eastAsia="Arial"/>
            <w:noProof/>
          </w:rPr>
          <w:t>tral</w:t>
        </w:r>
        <w:r w:rsidR="00C26519" w:rsidRPr="003C0210">
          <w:rPr>
            <w:rStyle w:val="Hyperlink"/>
            <w:rFonts w:eastAsia="Arial"/>
            <w:noProof/>
            <w:w w:val="99"/>
          </w:rPr>
          <w:t xml:space="preserve"> </w:t>
        </w:r>
        <w:r w:rsidR="00C26519" w:rsidRPr="003C0210">
          <w:rPr>
            <w:rStyle w:val="Hyperlink"/>
            <w:rFonts w:eastAsia="Arial"/>
            <w:noProof/>
          </w:rPr>
          <w:t>Coast</w:t>
        </w:r>
        <w:r w:rsidR="00C26519" w:rsidRPr="003C0210">
          <w:rPr>
            <w:rStyle w:val="Hyperlink"/>
            <w:rFonts w:eastAsia="Arial"/>
            <w:noProof/>
            <w:spacing w:val="-8"/>
          </w:rPr>
          <w:t xml:space="preserve"> </w:t>
        </w:r>
        <w:r w:rsidR="00C26519" w:rsidRPr="003C0210">
          <w:rPr>
            <w:rStyle w:val="Hyperlink"/>
            <w:rFonts w:eastAsia="Arial"/>
            <w:noProof/>
            <w:spacing w:val="1"/>
          </w:rPr>
          <w:t>s</w:t>
        </w:r>
        <w:r w:rsidR="00C26519" w:rsidRPr="003C0210">
          <w:rPr>
            <w:rStyle w:val="Hyperlink"/>
            <w:rFonts w:eastAsia="Arial"/>
            <w:noProof/>
          </w:rPr>
          <w:t>tre</w:t>
        </w:r>
        <w:r w:rsidR="00C26519" w:rsidRPr="003C0210">
          <w:rPr>
            <w:rStyle w:val="Hyperlink"/>
            <w:rFonts w:eastAsia="Arial"/>
            <w:noProof/>
            <w:spacing w:val="1"/>
          </w:rPr>
          <w:t>a</w:t>
        </w:r>
        <w:r w:rsidR="00C26519" w:rsidRPr="003C0210">
          <w:rPr>
            <w:rStyle w:val="Hyperlink"/>
            <w:rFonts w:eastAsia="Arial"/>
            <w:noProof/>
          </w:rPr>
          <w:t>ms</w:t>
        </w:r>
        <w:r w:rsidR="00C26519" w:rsidRPr="003C0210">
          <w:rPr>
            <w:rStyle w:val="Hyperlink"/>
            <w:rFonts w:eastAsia="Arial"/>
            <w:noProof/>
            <w:spacing w:val="-6"/>
          </w:rPr>
          <w:t xml:space="preserve"> </w:t>
        </w:r>
        <w:r w:rsidR="00C26519" w:rsidRPr="003C0210">
          <w:rPr>
            <w:rStyle w:val="Hyperlink"/>
            <w:rFonts w:eastAsia="Arial"/>
            <w:noProof/>
          </w:rPr>
          <w:t>t</w:t>
        </w:r>
        <w:r w:rsidR="00C26519" w:rsidRPr="003C0210">
          <w:rPr>
            <w:rStyle w:val="Hyperlink"/>
            <w:rFonts w:eastAsia="Arial"/>
            <w:noProof/>
            <w:spacing w:val="-1"/>
          </w:rPr>
          <w:t>h</w:t>
        </w:r>
        <w:r w:rsidR="00C26519" w:rsidRPr="003C0210">
          <w:rPr>
            <w:rStyle w:val="Hyperlink"/>
            <w:rFonts w:eastAsia="Arial"/>
            <w:noProof/>
          </w:rPr>
          <w:t>at</w:t>
        </w:r>
        <w:r w:rsidR="00C26519" w:rsidRPr="003C0210">
          <w:rPr>
            <w:rStyle w:val="Hyperlink"/>
            <w:rFonts w:eastAsia="Arial"/>
            <w:noProof/>
            <w:spacing w:val="-5"/>
          </w:rPr>
          <w:t xml:space="preserve"> </w:t>
        </w:r>
        <w:r w:rsidR="00C26519" w:rsidRPr="003C0210">
          <w:rPr>
            <w:rStyle w:val="Hyperlink"/>
            <w:rFonts w:eastAsia="Arial"/>
            <w:noProof/>
          </w:rPr>
          <w:t>always</w:t>
        </w:r>
        <w:r w:rsidR="00C26519" w:rsidRPr="003C0210">
          <w:rPr>
            <w:rStyle w:val="Hyperlink"/>
            <w:rFonts w:eastAsia="Arial"/>
            <w:noProof/>
            <w:spacing w:val="-7"/>
          </w:rPr>
          <w:t xml:space="preserve"> </w:t>
        </w:r>
        <w:r w:rsidR="00C26519" w:rsidRPr="003C0210">
          <w:rPr>
            <w:rStyle w:val="Hyperlink"/>
            <w:rFonts w:eastAsia="Arial"/>
            <w:noProof/>
          </w:rPr>
          <w:t>m</w:t>
        </w:r>
        <w:r w:rsidR="00C26519" w:rsidRPr="003C0210">
          <w:rPr>
            <w:rStyle w:val="Hyperlink"/>
            <w:rFonts w:eastAsia="Arial"/>
            <w:noProof/>
            <w:spacing w:val="-1"/>
          </w:rPr>
          <w:t>e</w:t>
        </w:r>
        <w:r w:rsidR="00C26519" w:rsidRPr="003C0210">
          <w:rPr>
            <w:rStyle w:val="Hyperlink"/>
            <w:rFonts w:eastAsia="Arial"/>
            <w:noProof/>
          </w:rPr>
          <w:t>t</w:t>
        </w:r>
        <w:r w:rsidR="00C26519" w:rsidRPr="003C0210">
          <w:rPr>
            <w:rStyle w:val="Hyperlink"/>
            <w:rFonts w:eastAsia="Arial"/>
            <w:noProof/>
            <w:w w:val="99"/>
          </w:rPr>
          <w:t xml:space="preserve"> </w:t>
        </w:r>
        <w:r w:rsidR="00C26519" w:rsidRPr="003C0210">
          <w:rPr>
            <w:rStyle w:val="Hyperlink"/>
            <w:rFonts w:eastAsia="Arial"/>
            <w:noProof/>
          </w:rPr>
          <w:t>C</w:t>
        </w:r>
        <w:r w:rsidR="00C26519" w:rsidRPr="003C0210">
          <w:rPr>
            <w:rStyle w:val="Hyperlink"/>
            <w:rFonts w:eastAsia="Arial"/>
            <w:noProof/>
            <w:spacing w:val="1"/>
          </w:rPr>
          <w:t>O</w:t>
        </w:r>
        <w:r w:rsidR="00C26519" w:rsidRPr="003C0210">
          <w:rPr>
            <w:rStyle w:val="Hyperlink"/>
            <w:rFonts w:eastAsia="Arial"/>
            <w:noProof/>
          </w:rPr>
          <w:t>LD</w:t>
        </w:r>
        <w:r w:rsidR="00C26519" w:rsidRPr="003C0210">
          <w:rPr>
            <w:rStyle w:val="Hyperlink"/>
            <w:rFonts w:eastAsia="Arial"/>
            <w:noProof/>
            <w:spacing w:val="-7"/>
          </w:rPr>
          <w:t xml:space="preserve"> </w:t>
        </w:r>
        <w:r w:rsidR="00C26519" w:rsidRPr="003C0210">
          <w:rPr>
            <w:rStyle w:val="Hyperlink"/>
            <w:rFonts w:eastAsia="Arial"/>
            <w:noProof/>
          </w:rPr>
          <w:t>(top</w:t>
        </w:r>
        <w:r w:rsidR="00C26519" w:rsidRPr="003C0210">
          <w:rPr>
            <w:rStyle w:val="Hyperlink"/>
            <w:rFonts w:eastAsia="Arial"/>
            <w:noProof/>
            <w:spacing w:val="-6"/>
          </w:rPr>
          <w:t xml:space="preserve"> </w:t>
        </w:r>
        <w:r w:rsidR="00C26519" w:rsidRPr="003C0210">
          <w:rPr>
            <w:rStyle w:val="Hyperlink"/>
            <w:rFonts w:eastAsia="Arial"/>
            <w:noProof/>
          </w:rPr>
          <w:t>p</w:t>
        </w:r>
        <w:r w:rsidR="00C26519" w:rsidRPr="003C0210">
          <w:rPr>
            <w:rStyle w:val="Hyperlink"/>
            <w:rFonts w:eastAsia="Arial"/>
            <w:noProof/>
            <w:spacing w:val="1"/>
          </w:rPr>
          <w:t>a</w:t>
        </w:r>
        <w:r w:rsidR="00C26519" w:rsidRPr="003C0210">
          <w:rPr>
            <w:rStyle w:val="Hyperlink"/>
            <w:rFonts w:eastAsia="Arial"/>
            <w:noProof/>
          </w:rPr>
          <w:t>n</w:t>
        </w:r>
        <w:r w:rsidR="00C26519" w:rsidRPr="003C0210">
          <w:rPr>
            <w:rStyle w:val="Hyperlink"/>
            <w:rFonts w:eastAsia="Arial"/>
            <w:noProof/>
            <w:spacing w:val="-1"/>
          </w:rPr>
          <w:t>el</w:t>
        </w:r>
        <w:r w:rsidR="00C26519" w:rsidRPr="003C0210">
          <w:rPr>
            <w:rStyle w:val="Hyperlink"/>
            <w:rFonts w:eastAsia="Arial"/>
            <w:noProof/>
          </w:rPr>
          <w:t>)</w:t>
        </w:r>
        <w:r w:rsidR="00C26519" w:rsidRPr="003C0210">
          <w:rPr>
            <w:rStyle w:val="Hyperlink"/>
            <w:rFonts w:eastAsia="Arial"/>
            <w:noProof/>
            <w:spacing w:val="-4"/>
          </w:rPr>
          <w:t xml:space="preserve"> </w:t>
        </w:r>
        <w:r w:rsidR="00C26519" w:rsidRPr="003C0210">
          <w:rPr>
            <w:rStyle w:val="Hyperlink"/>
            <w:rFonts w:eastAsia="Arial"/>
            <w:noProof/>
          </w:rPr>
          <w:t>a</w:t>
        </w:r>
        <w:r w:rsidR="00C26519" w:rsidRPr="003C0210">
          <w:rPr>
            <w:rStyle w:val="Hyperlink"/>
            <w:rFonts w:eastAsia="Arial"/>
            <w:noProof/>
            <w:spacing w:val="-1"/>
          </w:rPr>
          <w:t>n</w:t>
        </w:r>
        <w:r w:rsidR="00C26519" w:rsidRPr="003C0210">
          <w:rPr>
            <w:rStyle w:val="Hyperlink"/>
            <w:rFonts w:eastAsia="Arial"/>
            <w:noProof/>
          </w:rPr>
          <w:t>d</w:t>
        </w:r>
        <w:r w:rsidR="00C26519" w:rsidRPr="003C0210">
          <w:rPr>
            <w:rStyle w:val="Hyperlink"/>
            <w:rFonts w:eastAsia="Arial"/>
            <w:noProof/>
            <w:spacing w:val="-7"/>
          </w:rPr>
          <w:t xml:space="preserve"> </w:t>
        </w:r>
        <w:r w:rsidR="00C26519" w:rsidRPr="003C0210">
          <w:rPr>
            <w:rStyle w:val="Hyperlink"/>
            <w:rFonts w:eastAsia="Arial"/>
            <w:noProof/>
            <w:spacing w:val="3"/>
          </w:rPr>
          <w:t>WA</w:t>
        </w:r>
        <w:r w:rsidR="00C26519" w:rsidRPr="003C0210">
          <w:rPr>
            <w:rStyle w:val="Hyperlink"/>
            <w:rFonts w:eastAsia="Arial"/>
            <w:noProof/>
            <w:spacing w:val="2"/>
          </w:rPr>
          <w:t>R</w:t>
        </w:r>
        <w:r w:rsidR="00C26519" w:rsidRPr="003C0210">
          <w:rPr>
            <w:rStyle w:val="Hyperlink"/>
            <w:rFonts w:eastAsia="Arial"/>
            <w:noProof/>
          </w:rPr>
          <w:t>M</w:t>
        </w:r>
        <w:r w:rsidR="00C26519" w:rsidRPr="003C0210">
          <w:rPr>
            <w:rStyle w:val="Hyperlink"/>
            <w:rFonts w:eastAsia="Arial"/>
            <w:noProof/>
            <w:w w:val="99"/>
          </w:rPr>
          <w:t xml:space="preserve"> </w:t>
        </w:r>
        <w:r w:rsidR="00C26519" w:rsidRPr="003C0210">
          <w:rPr>
            <w:rStyle w:val="Hyperlink"/>
            <w:rFonts w:eastAsia="Arial"/>
            <w:noProof/>
          </w:rPr>
          <w:t>(b</w:t>
        </w:r>
        <w:r w:rsidR="00C26519" w:rsidRPr="003C0210">
          <w:rPr>
            <w:rStyle w:val="Hyperlink"/>
            <w:rFonts w:eastAsia="Arial"/>
            <w:noProof/>
            <w:spacing w:val="-1"/>
          </w:rPr>
          <w:t>o</w:t>
        </w:r>
        <w:r w:rsidR="00C26519" w:rsidRPr="003C0210">
          <w:rPr>
            <w:rStyle w:val="Hyperlink"/>
            <w:rFonts w:eastAsia="Arial"/>
            <w:noProof/>
          </w:rPr>
          <w:t>tt</w:t>
        </w:r>
        <w:r w:rsidR="00C26519" w:rsidRPr="003C0210">
          <w:rPr>
            <w:rStyle w:val="Hyperlink"/>
            <w:rFonts w:eastAsia="Arial"/>
            <w:noProof/>
            <w:spacing w:val="1"/>
          </w:rPr>
          <w:t>o</w:t>
        </w:r>
        <w:r w:rsidR="00C26519" w:rsidRPr="003C0210">
          <w:rPr>
            <w:rStyle w:val="Hyperlink"/>
            <w:rFonts w:eastAsia="Arial"/>
            <w:noProof/>
          </w:rPr>
          <w:t>m</w:t>
        </w:r>
        <w:r w:rsidR="00C26519" w:rsidRPr="003C0210">
          <w:rPr>
            <w:rStyle w:val="Hyperlink"/>
            <w:rFonts w:eastAsia="Arial"/>
            <w:noProof/>
            <w:spacing w:val="-10"/>
          </w:rPr>
          <w:t xml:space="preserve"> </w:t>
        </w:r>
        <w:r w:rsidR="00C26519" w:rsidRPr="003C0210">
          <w:rPr>
            <w:rStyle w:val="Hyperlink"/>
            <w:rFonts w:eastAsia="Arial"/>
            <w:noProof/>
            <w:spacing w:val="-1"/>
          </w:rPr>
          <w:t>p</w:t>
        </w:r>
        <w:r w:rsidR="00C26519" w:rsidRPr="003C0210">
          <w:rPr>
            <w:rStyle w:val="Hyperlink"/>
            <w:rFonts w:eastAsia="Arial"/>
            <w:noProof/>
            <w:spacing w:val="1"/>
          </w:rPr>
          <w:t>a</w:t>
        </w:r>
        <w:r w:rsidR="00C26519" w:rsidRPr="003C0210">
          <w:rPr>
            <w:rStyle w:val="Hyperlink"/>
            <w:rFonts w:eastAsia="Arial"/>
            <w:noProof/>
          </w:rPr>
          <w:t>n</w:t>
        </w:r>
        <w:r w:rsidR="00C26519" w:rsidRPr="003C0210">
          <w:rPr>
            <w:rStyle w:val="Hyperlink"/>
            <w:rFonts w:eastAsia="Arial"/>
            <w:noProof/>
            <w:spacing w:val="1"/>
          </w:rPr>
          <w:t>e</w:t>
        </w:r>
        <w:r w:rsidR="00C26519" w:rsidRPr="003C0210">
          <w:rPr>
            <w:rStyle w:val="Hyperlink"/>
            <w:rFonts w:eastAsia="Arial"/>
            <w:noProof/>
            <w:spacing w:val="-1"/>
          </w:rPr>
          <w:t>l</w:t>
        </w:r>
        <w:r w:rsidR="00C26519" w:rsidRPr="003C0210">
          <w:rPr>
            <w:rStyle w:val="Hyperlink"/>
            <w:rFonts w:eastAsia="Arial"/>
            <w:noProof/>
          </w:rPr>
          <w:t>)</w:t>
        </w:r>
        <w:r w:rsidR="00C26519" w:rsidRPr="003C0210">
          <w:rPr>
            <w:rStyle w:val="Hyperlink"/>
            <w:rFonts w:eastAsia="Arial"/>
            <w:noProof/>
            <w:spacing w:val="-8"/>
          </w:rPr>
          <w:t xml:space="preserve"> </w:t>
        </w:r>
        <w:r w:rsidR="00C26519" w:rsidRPr="003C0210">
          <w:rPr>
            <w:rStyle w:val="Hyperlink"/>
            <w:rFonts w:eastAsia="Arial"/>
            <w:noProof/>
          </w:rPr>
          <w:t>DO</w:t>
        </w:r>
        <w:r w:rsidR="00C26519" w:rsidRPr="003C0210">
          <w:rPr>
            <w:rStyle w:val="Hyperlink"/>
            <w:rFonts w:eastAsia="Arial"/>
            <w:noProof/>
            <w:spacing w:val="-8"/>
          </w:rPr>
          <w:t xml:space="preserve"> </w:t>
        </w:r>
        <w:r w:rsidR="00C26519" w:rsidRPr="003C0210">
          <w:rPr>
            <w:rStyle w:val="Hyperlink"/>
            <w:rFonts w:eastAsia="Arial"/>
            <w:noProof/>
          </w:rPr>
          <w:t>o</w:t>
        </w:r>
        <w:r w:rsidR="00C26519" w:rsidRPr="003C0210">
          <w:rPr>
            <w:rStyle w:val="Hyperlink"/>
            <w:rFonts w:eastAsia="Arial"/>
            <w:noProof/>
            <w:spacing w:val="1"/>
          </w:rPr>
          <w:t>b</w:t>
        </w:r>
        <w:r w:rsidR="00C26519" w:rsidRPr="003C0210">
          <w:rPr>
            <w:rStyle w:val="Hyperlink"/>
            <w:rFonts w:eastAsia="Arial"/>
            <w:noProof/>
            <w:spacing w:val="-1"/>
          </w:rPr>
          <w:t>j</w:t>
        </w:r>
        <w:r w:rsidR="00C26519" w:rsidRPr="003C0210">
          <w:rPr>
            <w:rStyle w:val="Hyperlink"/>
            <w:rFonts w:eastAsia="Arial"/>
            <w:noProof/>
          </w:rPr>
          <w:t>ec</w:t>
        </w:r>
        <w:r w:rsidR="00C26519" w:rsidRPr="003C0210">
          <w:rPr>
            <w:rStyle w:val="Hyperlink"/>
            <w:rFonts w:eastAsia="Arial"/>
            <w:noProof/>
            <w:spacing w:val="2"/>
          </w:rPr>
          <w:t>t</w:t>
        </w:r>
        <w:r w:rsidR="00C26519" w:rsidRPr="003C0210">
          <w:rPr>
            <w:rStyle w:val="Hyperlink"/>
            <w:rFonts w:eastAsia="Arial"/>
            <w:noProof/>
            <w:spacing w:val="-1"/>
          </w:rPr>
          <w:t>i</w:t>
        </w:r>
        <w:r w:rsidR="00C26519" w:rsidRPr="003C0210">
          <w:rPr>
            <w:rStyle w:val="Hyperlink"/>
            <w:rFonts w:eastAsia="Arial"/>
            <w:noProof/>
            <w:spacing w:val="1"/>
          </w:rPr>
          <w:t>v</w:t>
        </w:r>
        <w:r w:rsidR="00C26519" w:rsidRPr="003C0210">
          <w:rPr>
            <w:rStyle w:val="Hyperlink"/>
            <w:rFonts w:eastAsia="Arial"/>
            <w:noProof/>
          </w:rPr>
          <w:t>es.</w:t>
        </w:r>
        <w:r w:rsidR="00C26519" w:rsidRPr="003C0210">
          <w:rPr>
            <w:rStyle w:val="Hyperlink"/>
            <w:rFonts w:eastAsia="Arial"/>
            <w:noProof/>
            <w:w w:val="99"/>
          </w:rPr>
          <w:t xml:space="preserve"> </w:t>
        </w:r>
        <w:r w:rsidR="00C26519" w:rsidRPr="003C0210">
          <w:rPr>
            <w:rStyle w:val="Hyperlink"/>
            <w:rFonts w:eastAsia="Arial"/>
            <w:noProof/>
          </w:rPr>
          <w:t>From</w:t>
        </w:r>
        <w:r w:rsidR="00C26519" w:rsidRPr="003C0210">
          <w:rPr>
            <w:rStyle w:val="Hyperlink"/>
            <w:rFonts w:eastAsia="Arial"/>
            <w:noProof/>
            <w:spacing w:val="-7"/>
          </w:rPr>
          <w:t xml:space="preserve"> </w:t>
        </w:r>
        <w:r w:rsidR="00C26519" w:rsidRPr="003C0210">
          <w:rPr>
            <w:rStyle w:val="Hyperlink"/>
            <w:rFonts w:eastAsia="Arial"/>
            <w:noProof/>
            <w:spacing w:val="3"/>
          </w:rPr>
          <w:t>W</w:t>
        </w:r>
        <w:r w:rsidR="00C26519" w:rsidRPr="003C0210">
          <w:rPr>
            <w:rStyle w:val="Hyperlink"/>
            <w:rFonts w:eastAsia="Arial"/>
            <w:noProof/>
          </w:rPr>
          <w:t>or</w:t>
        </w:r>
        <w:r w:rsidR="00C26519" w:rsidRPr="003C0210">
          <w:rPr>
            <w:rStyle w:val="Hyperlink"/>
            <w:rFonts w:eastAsia="Arial"/>
            <w:noProof/>
            <w:spacing w:val="1"/>
          </w:rPr>
          <w:t>c</w:t>
        </w:r>
        <w:r w:rsidR="00C26519" w:rsidRPr="003C0210">
          <w:rPr>
            <w:rStyle w:val="Hyperlink"/>
            <w:rFonts w:eastAsia="Arial"/>
            <w:noProof/>
          </w:rPr>
          <w:t>ester</w:t>
        </w:r>
        <w:r w:rsidR="00C26519" w:rsidRPr="003C0210">
          <w:rPr>
            <w:rStyle w:val="Hyperlink"/>
            <w:rFonts w:eastAsia="Arial"/>
            <w:noProof/>
            <w:spacing w:val="-7"/>
          </w:rPr>
          <w:t xml:space="preserve"> </w:t>
        </w:r>
        <w:r w:rsidR="00C26519" w:rsidRPr="003C0210">
          <w:rPr>
            <w:rStyle w:val="Hyperlink"/>
            <w:rFonts w:eastAsia="Arial"/>
            <w:noProof/>
          </w:rPr>
          <w:t>et</w:t>
        </w:r>
        <w:r w:rsidR="00C26519" w:rsidRPr="003C0210">
          <w:rPr>
            <w:rStyle w:val="Hyperlink"/>
            <w:rFonts w:eastAsia="Arial"/>
            <w:noProof/>
            <w:spacing w:val="-7"/>
          </w:rPr>
          <w:t xml:space="preserve"> </w:t>
        </w:r>
        <w:r w:rsidR="00C26519" w:rsidRPr="003C0210">
          <w:rPr>
            <w:rStyle w:val="Hyperlink"/>
            <w:rFonts w:eastAsia="Arial"/>
            <w:noProof/>
            <w:spacing w:val="-1"/>
          </w:rPr>
          <w:t>al</w:t>
        </w:r>
        <w:r w:rsidR="00C26519" w:rsidRPr="003C0210">
          <w:rPr>
            <w:rStyle w:val="Hyperlink"/>
            <w:rFonts w:eastAsia="Arial"/>
            <w:noProof/>
          </w:rPr>
          <w:t>.</w:t>
        </w:r>
        <w:r w:rsidR="00C26519" w:rsidRPr="003C0210">
          <w:rPr>
            <w:rStyle w:val="Hyperlink"/>
            <w:rFonts w:eastAsia="Arial"/>
            <w:noProof/>
            <w:spacing w:val="-7"/>
          </w:rPr>
          <w:t xml:space="preserve"> </w:t>
        </w:r>
        <w:r w:rsidR="00C26519" w:rsidRPr="003C0210">
          <w:rPr>
            <w:rStyle w:val="Hyperlink"/>
            <w:rFonts w:eastAsia="Arial"/>
            <w:noProof/>
          </w:rPr>
          <w:t>(</w:t>
        </w:r>
        <w:r w:rsidR="00C26519" w:rsidRPr="003C0210">
          <w:rPr>
            <w:rStyle w:val="Hyperlink"/>
            <w:rFonts w:eastAsia="Arial"/>
            <w:noProof/>
            <w:spacing w:val="2"/>
          </w:rPr>
          <w:t>2</w:t>
        </w:r>
        <w:r w:rsidR="00C26519" w:rsidRPr="003C0210">
          <w:rPr>
            <w:rStyle w:val="Hyperlink"/>
            <w:rFonts w:eastAsia="Arial"/>
            <w:noProof/>
          </w:rPr>
          <w:t>0</w:t>
        </w:r>
        <w:r w:rsidR="00C26519" w:rsidRPr="003C0210">
          <w:rPr>
            <w:rStyle w:val="Hyperlink"/>
            <w:rFonts w:eastAsia="Arial"/>
            <w:noProof/>
            <w:spacing w:val="1"/>
          </w:rPr>
          <w:t>1</w:t>
        </w:r>
        <w:r w:rsidR="00C26519" w:rsidRPr="003C0210">
          <w:rPr>
            <w:rStyle w:val="Hyperlink"/>
            <w:rFonts w:eastAsia="Arial"/>
            <w:noProof/>
          </w:rPr>
          <w:t>0)</w:t>
        </w:r>
        <w:r w:rsidR="00C26519">
          <w:rPr>
            <w:noProof/>
            <w:webHidden/>
          </w:rPr>
          <w:tab/>
        </w:r>
        <w:r w:rsidR="00C26519">
          <w:rPr>
            <w:noProof/>
            <w:webHidden/>
          </w:rPr>
          <w:fldChar w:fldCharType="begin"/>
        </w:r>
        <w:r w:rsidR="00C26519">
          <w:rPr>
            <w:noProof/>
            <w:webHidden/>
          </w:rPr>
          <w:instrText xml:space="preserve"> PAGEREF _Toc526489954 \h </w:instrText>
        </w:r>
        <w:r w:rsidR="00C26519">
          <w:rPr>
            <w:noProof/>
            <w:webHidden/>
          </w:rPr>
        </w:r>
        <w:r w:rsidR="00C26519">
          <w:rPr>
            <w:noProof/>
            <w:webHidden/>
          </w:rPr>
          <w:fldChar w:fldCharType="separate"/>
        </w:r>
        <w:r w:rsidR="00772F7E">
          <w:rPr>
            <w:noProof/>
            <w:webHidden/>
          </w:rPr>
          <w:t>67</w:t>
        </w:r>
        <w:r w:rsidR="00C26519">
          <w:rPr>
            <w:noProof/>
            <w:webHidden/>
          </w:rPr>
          <w:fldChar w:fldCharType="end"/>
        </w:r>
      </w:hyperlink>
    </w:p>
    <w:p w14:paraId="76FA1A1E" w14:textId="43964694" w:rsidR="00C26519" w:rsidRDefault="00CF6066">
      <w:pPr>
        <w:pStyle w:val="TOC1"/>
        <w:rPr>
          <w:rFonts w:asciiTheme="minorHAnsi" w:eastAsiaTheme="minorEastAsia" w:hAnsiTheme="minorHAnsi" w:cstheme="minorBidi"/>
          <w:b w:val="0"/>
          <w:noProof/>
          <w:lang w:bidi="ar-SA"/>
        </w:rPr>
      </w:pPr>
      <w:hyperlink w:anchor="_Toc526489955" w:history="1">
        <w:r w:rsidR="00C26519" w:rsidRPr="003C0210">
          <w:rPr>
            <w:rStyle w:val="Hyperlink"/>
            <w:noProof/>
          </w:rPr>
          <w:t>Figure 3.11 Left Panel: Schematic of diel oxygen fluctuations as a function or autotrophic photosynthesis (daylight only) or autrotrophic and heterotrophic respiration (day and night) for a 24-hour period. Center line represents “mean” trend in DO. Diel range = maximum – minimum, while the amplitude is referred to as the “variability”. Right Panel: examples of relationship between diel DO variability (termed flux here) and % tolerant fish individuals. 75</w:t>
        </w:r>
        <w:r w:rsidR="00C26519" w:rsidRPr="003C0210">
          <w:rPr>
            <w:rStyle w:val="Hyperlink"/>
            <w:noProof/>
            <w:vertAlign w:val="superscript"/>
          </w:rPr>
          <w:t>th</w:t>
        </w:r>
        <w:r w:rsidR="00C26519" w:rsidRPr="003C0210">
          <w:rPr>
            <w:rStyle w:val="Hyperlink"/>
            <w:noProof/>
          </w:rPr>
          <w:t xml:space="preserve"> percentile additive quantile regression smoothing (AQRS) showing upper breakpoint only. From Minnesota River Nutrient Study, Heiskary and Bouchard (2015)</w:t>
        </w:r>
        <w:r w:rsidR="00C26519">
          <w:rPr>
            <w:noProof/>
            <w:webHidden/>
          </w:rPr>
          <w:tab/>
        </w:r>
        <w:r w:rsidR="00C26519">
          <w:rPr>
            <w:noProof/>
            <w:webHidden/>
          </w:rPr>
          <w:fldChar w:fldCharType="begin"/>
        </w:r>
        <w:r w:rsidR="00C26519">
          <w:rPr>
            <w:noProof/>
            <w:webHidden/>
          </w:rPr>
          <w:instrText xml:space="preserve"> PAGEREF _Toc526489955 \h </w:instrText>
        </w:r>
        <w:r w:rsidR="00C26519">
          <w:rPr>
            <w:noProof/>
            <w:webHidden/>
          </w:rPr>
        </w:r>
        <w:r w:rsidR="00C26519">
          <w:rPr>
            <w:noProof/>
            <w:webHidden/>
          </w:rPr>
          <w:fldChar w:fldCharType="separate"/>
        </w:r>
        <w:r w:rsidR="00772F7E">
          <w:rPr>
            <w:noProof/>
            <w:webHidden/>
          </w:rPr>
          <w:t>68</w:t>
        </w:r>
        <w:r w:rsidR="00C26519">
          <w:rPr>
            <w:noProof/>
            <w:webHidden/>
          </w:rPr>
          <w:fldChar w:fldCharType="end"/>
        </w:r>
      </w:hyperlink>
    </w:p>
    <w:p w14:paraId="73C8EE2D" w14:textId="68757740" w:rsidR="00C26519" w:rsidRDefault="00CF6066">
      <w:pPr>
        <w:pStyle w:val="TOC1"/>
        <w:rPr>
          <w:rFonts w:asciiTheme="minorHAnsi" w:eastAsiaTheme="minorEastAsia" w:hAnsiTheme="minorHAnsi" w:cstheme="minorBidi"/>
          <w:b w:val="0"/>
          <w:noProof/>
          <w:lang w:bidi="ar-SA"/>
        </w:rPr>
      </w:pPr>
      <w:hyperlink w:anchor="_Toc526489956" w:history="1">
        <w:r w:rsidR="00C26519" w:rsidRPr="003C0210">
          <w:rPr>
            <w:rStyle w:val="Hyperlink"/>
            <w:noProof/>
          </w:rPr>
          <w:t>Figure 3.12 Examples of probability-based relationships that describe risk of exceeding a microcystin value of 1 µg/L with increasing sestonic chl-a, TN, and TP. From Yuan et al. 2014.</w:t>
        </w:r>
        <w:r w:rsidR="00C26519">
          <w:rPr>
            <w:noProof/>
            <w:webHidden/>
          </w:rPr>
          <w:tab/>
        </w:r>
        <w:r w:rsidR="00C26519">
          <w:rPr>
            <w:noProof/>
            <w:webHidden/>
          </w:rPr>
          <w:fldChar w:fldCharType="begin"/>
        </w:r>
        <w:r w:rsidR="00C26519">
          <w:rPr>
            <w:noProof/>
            <w:webHidden/>
          </w:rPr>
          <w:instrText xml:space="preserve"> PAGEREF _Toc526489956 \h </w:instrText>
        </w:r>
        <w:r w:rsidR="00C26519">
          <w:rPr>
            <w:noProof/>
            <w:webHidden/>
          </w:rPr>
        </w:r>
        <w:r w:rsidR="00C26519">
          <w:rPr>
            <w:noProof/>
            <w:webHidden/>
          </w:rPr>
          <w:fldChar w:fldCharType="separate"/>
        </w:r>
        <w:r w:rsidR="00772F7E">
          <w:rPr>
            <w:noProof/>
            <w:webHidden/>
          </w:rPr>
          <w:t>76</w:t>
        </w:r>
        <w:r w:rsidR="00C26519">
          <w:rPr>
            <w:noProof/>
            <w:webHidden/>
          </w:rPr>
          <w:fldChar w:fldCharType="end"/>
        </w:r>
      </w:hyperlink>
    </w:p>
    <w:p w14:paraId="7E662928" w14:textId="5282016F" w:rsidR="00C26519" w:rsidRDefault="00CF6066">
      <w:pPr>
        <w:pStyle w:val="TOC1"/>
        <w:rPr>
          <w:rFonts w:asciiTheme="minorHAnsi" w:eastAsiaTheme="minorEastAsia" w:hAnsiTheme="minorHAnsi" w:cstheme="minorBidi"/>
          <w:b w:val="0"/>
          <w:noProof/>
          <w:lang w:bidi="ar-SA"/>
        </w:rPr>
      </w:pPr>
      <w:hyperlink w:anchor="_Toc526489957" w:history="1">
        <w:r w:rsidR="00C26519" w:rsidRPr="003C0210">
          <w:rPr>
            <w:rStyle w:val="Hyperlink"/>
            <w:noProof/>
          </w:rPr>
          <w:t>Figure 3.13 Percent desirable responses from the By-Mail and On-River Surveys. Each histogram set of two bars represents a photograph, with associated benthic chl-a biomass (40-1280 mg/m2) top line of X -axis and the representative percent cover range taken from field notes associated with each photograph below each biomass estimate.  Error bars are the 95% confidence level of each proportion, expressed as percent error.Modified from Suplee et al. (2009).</w:t>
        </w:r>
        <w:r w:rsidR="00C26519">
          <w:rPr>
            <w:noProof/>
            <w:webHidden/>
          </w:rPr>
          <w:tab/>
        </w:r>
        <w:r w:rsidR="00C26519">
          <w:rPr>
            <w:noProof/>
            <w:webHidden/>
          </w:rPr>
          <w:fldChar w:fldCharType="begin"/>
        </w:r>
        <w:r w:rsidR="00C26519">
          <w:rPr>
            <w:noProof/>
            <w:webHidden/>
          </w:rPr>
          <w:instrText xml:space="preserve"> PAGEREF _Toc526489957 \h </w:instrText>
        </w:r>
        <w:r w:rsidR="00C26519">
          <w:rPr>
            <w:noProof/>
            <w:webHidden/>
          </w:rPr>
        </w:r>
        <w:r w:rsidR="00C26519">
          <w:rPr>
            <w:noProof/>
            <w:webHidden/>
          </w:rPr>
          <w:fldChar w:fldCharType="separate"/>
        </w:r>
        <w:r w:rsidR="00772F7E">
          <w:rPr>
            <w:noProof/>
            <w:webHidden/>
          </w:rPr>
          <w:t>77</w:t>
        </w:r>
        <w:r w:rsidR="00C26519">
          <w:rPr>
            <w:noProof/>
            <w:webHidden/>
          </w:rPr>
          <w:fldChar w:fldCharType="end"/>
        </w:r>
      </w:hyperlink>
    </w:p>
    <w:p w14:paraId="3045EAA1" w14:textId="5700F1EE" w:rsidR="00C26519" w:rsidRDefault="00CF6066">
      <w:pPr>
        <w:pStyle w:val="TOC1"/>
        <w:rPr>
          <w:rFonts w:asciiTheme="minorHAnsi" w:eastAsiaTheme="minorEastAsia" w:hAnsiTheme="minorHAnsi" w:cstheme="minorBidi"/>
          <w:b w:val="0"/>
          <w:noProof/>
          <w:lang w:bidi="ar-SA"/>
        </w:rPr>
      </w:pPr>
      <w:hyperlink w:anchor="_Toc526489958" w:history="1">
        <w:r w:rsidR="00C26519" w:rsidRPr="003C0210">
          <w:rPr>
            <w:rStyle w:val="Hyperlink"/>
            <w:noProof/>
          </w:rPr>
          <w:t>Figure 3.14 Scatter plot of benthic chl-a on X-axis versus percent cover on Y axis (left panel) and (right panel) relative probability of meeting attached macroalgal percent cover (MAP) goal of 13, 30, 50, and 70 % cover. Dashed red lines in graph on left represent this range of cover targets. Dashed lines on the right panel graphic indicate threholds associated with different levels of confidence from 95%, 90% and 80% (top to bottom).</w:t>
        </w:r>
        <w:r w:rsidR="00C26519">
          <w:rPr>
            <w:noProof/>
            <w:webHidden/>
          </w:rPr>
          <w:tab/>
        </w:r>
        <w:r w:rsidR="00C26519">
          <w:rPr>
            <w:noProof/>
            <w:webHidden/>
          </w:rPr>
          <w:fldChar w:fldCharType="begin"/>
        </w:r>
        <w:r w:rsidR="00C26519">
          <w:rPr>
            <w:noProof/>
            <w:webHidden/>
          </w:rPr>
          <w:instrText xml:space="preserve"> PAGEREF _Toc526489958 \h </w:instrText>
        </w:r>
        <w:r w:rsidR="00C26519">
          <w:rPr>
            <w:noProof/>
            <w:webHidden/>
          </w:rPr>
        </w:r>
        <w:r w:rsidR="00C26519">
          <w:rPr>
            <w:noProof/>
            <w:webHidden/>
          </w:rPr>
          <w:fldChar w:fldCharType="separate"/>
        </w:r>
        <w:r w:rsidR="00772F7E">
          <w:rPr>
            <w:noProof/>
            <w:webHidden/>
          </w:rPr>
          <w:t>78</w:t>
        </w:r>
        <w:r w:rsidR="00C26519">
          <w:rPr>
            <w:noProof/>
            <w:webHidden/>
          </w:rPr>
          <w:fldChar w:fldCharType="end"/>
        </w:r>
      </w:hyperlink>
    </w:p>
    <w:p w14:paraId="0546E926" w14:textId="7FE9496B" w:rsidR="00C26519" w:rsidRDefault="00CF6066">
      <w:pPr>
        <w:pStyle w:val="TOC1"/>
        <w:rPr>
          <w:rFonts w:asciiTheme="minorHAnsi" w:eastAsiaTheme="minorEastAsia" w:hAnsiTheme="minorHAnsi" w:cstheme="minorBidi"/>
          <w:b w:val="0"/>
          <w:noProof/>
          <w:lang w:bidi="ar-SA"/>
        </w:rPr>
      </w:pPr>
      <w:hyperlink w:anchor="_Toc526489959" w:history="1">
        <w:r w:rsidR="00C26519" w:rsidRPr="003C0210">
          <w:rPr>
            <w:rStyle w:val="Hyperlink"/>
            <w:noProof/>
          </w:rPr>
          <w:t>Figure 4.1 Ranges of literature derived TN (left panel) and TP (right panel) thresholds relative to adopted state criteria. Top panel represents threshold derived from CA wadeable stream bioassessment data (Mazor et al. in prep, Fetscher et al. 2014). In ASCI and CSCI REF30-01 bars, mean represents REF10. REF75th and 90th are the ecoregional ranges, while the mean line represents the statewide mean. Middle panel represents published studies of change point analyses (nCPA) for other states/territories and includes a variety of stream types including wadeable and nonwadeable streams. Bottom panel summarizes adopted criteria. Ranges in bar represents adopted criteria for different stream types or classes. NMAR = Northern Mariana, AS =American Samoa, PR= Puerto Rico</w:t>
        </w:r>
        <w:r w:rsidR="00C26519">
          <w:rPr>
            <w:noProof/>
            <w:webHidden/>
          </w:rPr>
          <w:tab/>
        </w:r>
        <w:r w:rsidR="00C26519">
          <w:rPr>
            <w:noProof/>
            <w:webHidden/>
          </w:rPr>
          <w:fldChar w:fldCharType="begin"/>
        </w:r>
        <w:r w:rsidR="00C26519">
          <w:rPr>
            <w:noProof/>
            <w:webHidden/>
          </w:rPr>
          <w:instrText xml:space="preserve"> PAGEREF _Toc526489959 \h </w:instrText>
        </w:r>
        <w:r w:rsidR="00C26519">
          <w:rPr>
            <w:noProof/>
            <w:webHidden/>
          </w:rPr>
        </w:r>
        <w:r w:rsidR="00C26519">
          <w:rPr>
            <w:noProof/>
            <w:webHidden/>
          </w:rPr>
          <w:fldChar w:fldCharType="separate"/>
        </w:r>
        <w:r w:rsidR="00772F7E">
          <w:rPr>
            <w:noProof/>
            <w:webHidden/>
          </w:rPr>
          <w:t>83</w:t>
        </w:r>
        <w:r w:rsidR="00C26519">
          <w:rPr>
            <w:noProof/>
            <w:webHidden/>
          </w:rPr>
          <w:fldChar w:fldCharType="end"/>
        </w:r>
      </w:hyperlink>
    </w:p>
    <w:p w14:paraId="0C6B154C" w14:textId="61E4D8F6" w:rsidR="00C26519" w:rsidRDefault="00CF6066">
      <w:pPr>
        <w:pStyle w:val="TOC1"/>
        <w:rPr>
          <w:rFonts w:asciiTheme="minorHAnsi" w:eastAsiaTheme="minorEastAsia" w:hAnsiTheme="minorHAnsi" w:cstheme="minorBidi"/>
          <w:b w:val="0"/>
          <w:noProof/>
          <w:lang w:bidi="ar-SA"/>
        </w:rPr>
      </w:pPr>
      <w:hyperlink w:anchor="_Toc526489960" w:history="1">
        <w:r w:rsidR="00C26519" w:rsidRPr="003C0210">
          <w:rPr>
            <w:rStyle w:val="Hyperlink"/>
            <w:noProof/>
          </w:rPr>
          <w:t>Figure 4.2 Threshold benthic chl-a ranges for CA wadeable stream bioassessment data (top panel; Mazor et al. in prep and Fetscher et al. 2014), compared to other literature values protective of aquatic life (bottom panel). Mean of ASCI and CSCI REC30-01 bars represents REF10. REF75th and 90th show the ecoregional range and the statewide mean line. Change point analyses =nCPA. Thresholds protective of BMI and trout in New Zealand (NZ) are mean values; IL thresholds are protective against &gt; 10% BGA. North American (N.A.) trophic state range represent boundaries of oligotrophic and eutrophic streams, while IN values represent min, mean and max change points for BMI, algae and fish</w:t>
        </w:r>
        <w:r w:rsidR="00C26519">
          <w:rPr>
            <w:noProof/>
            <w:webHidden/>
          </w:rPr>
          <w:tab/>
        </w:r>
        <w:r w:rsidR="00C26519">
          <w:rPr>
            <w:noProof/>
            <w:webHidden/>
          </w:rPr>
          <w:fldChar w:fldCharType="begin"/>
        </w:r>
        <w:r w:rsidR="00C26519">
          <w:rPr>
            <w:noProof/>
            <w:webHidden/>
          </w:rPr>
          <w:instrText xml:space="preserve"> PAGEREF _Toc526489960 \h </w:instrText>
        </w:r>
        <w:r w:rsidR="00C26519">
          <w:rPr>
            <w:noProof/>
            <w:webHidden/>
          </w:rPr>
        </w:r>
        <w:r w:rsidR="00C26519">
          <w:rPr>
            <w:noProof/>
            <w:webHidden/>
          </w:rPr>
          <w:fldChar w:fldCharType="separate"/>
        </w:r>
        <w:r w:rsidR="00772F7E">
          <w:rPr>
            <w:noProof/>
            <w:webHidden/>
          </w:rPr>
          <w:t>84</w:t>
        </w:r>
        <w:r w:rsidR="00C26519">
          <w:rPr>
            <w:noProof/>
            <w:webHidden/>
          </w:rPr>
          <w:fldChar w:fldCharType="end"/>
        </w:r>
      </w:hyperlink>
    </w:p>
    <w:p w14:paraId="029D9556" w14:textId="578D5DBE" w:rsidR="00C26519" w:rsidRDefault="00CF6066">
      <w:pPr>
        <w:pStyle w:val="TOC1"/>
        <w:rPr>
          <w:rFonts w:asciiTheme="minorHAnsi" w:eastAsiaTheme="minorEastAsia" w:hAnsiTheme="minorHAnsi" w:cstheme="minorBidi"/>
          <w:b w:val="0"/>
          <w:noProof/>
          <w:lang w:bidi="ar-SA"/>
        </w:rPr>
      </w:pPr>
      <w:hyperlink w:anchor="_Toc526489962" w:history="1">
        <w:r w:rsidR="00C26519" w:rsidRPr="003C0210">
          <w:rPr>
            <w:rStyle w:val="Hyperlink"/>
            <w:noProof/>
          </w:rPr>
          <w:t>Figure 4.3 Ranges of biomass associated with achieving recreational use-related macroalgal cover targets, derived from CA bioassessment data (top panel) versus other state guidance/criteria protective of recreational use (bottom panel).  Other state adopted criteria/guidance for macroalgal cover protective of REC2 have typicaly been in the range of &lt;20-25%; within CA, the Central Coast Water has used 50% cover to be protective of REC2.</w:t>
        </w:r>
        <w:r w:rsidR="00C26519">
          <w:rPr>
            <w:noProof/>
            <w:webHidden/>
          </w:rPr>
          <w:tab/>
        </w:r>
        <w:r w:rsidR="00C26519">
          <w:rPr>
            <w:noProof/>
            <w:webHidden/>
          </w:rPr>
          <w:fldChar w:fldCharType="begin"/>
        </w:r>
        <w:r w:rsidR="00C26519">
          <w:rPr>
            <w:noProof/>
            <w:webHidden/>
          </w:rPr>
          <w:instrText xml:space="preserve"> PAGEREF _Toc526489962 \h </w:instrText>
        </w:r>
        <w:r w:rsidR="00C26519">
          <w:rPr>
            <w:noProof/>
            <w:webHidden/>
          </w:rPr>
        </w:r>
        <w:r w:rsidR="00C26519">
          <w:rPr>
            <w:noProof/>
            <w:webHidden/>
          </w:rPr>
          <w:fldChar w:fldCharType="separate"/>
        </w:r>
        <w:r w:rsidR="00772F7E">
          <w:rPr>
            <w:noProof/>
            <w:webHidden/>
          </w:rPr>
          <w:t>84</w:t>
        </w:r>
        <w:r w:rsidR="00C26519">
          <w:rPr>
            <w:noProof/>
            <w:webHidden/>
          </w:rPr>
          <w:fldChar w:fldCharType="end"/>
        </w:r>
      </w:hyperlink>
    </w:p>
    <w:p w14:paraId="7276BCD0" w14:textId="1971258E" w:rsidR="00C26519" w:rsidRDefault="00CF6066">
      <w:pPr>
        <w:pStyle w:val="TOC1"/>
        <w:rPr>
          <w:rFonts w:asciiTheme="minorHAnsi" w:eastAsiaTheme="minorEastAsia" w:hAnsiTheme="minorHAnsi" w:cstheme="minorBidi"/>
          <w:b w:val="0"/>
          <w:noProof/>
          <w:lang w:bidi="ar-SA"/>
        </w:rPr>
      </w:pPr>
      <w:hyperlink w:anchor="_Toc526489963" w:history="1">
        <w:r w:rsidR="00C26519" w:rsidRPr="003C0210">
          <w:rPr>
            <w:rStyle w:val="Hyperlink"/>
            <w:noProof/>
          </w:rPr>
          <w:t>Figure 4.4 Ranges of AFDM of aquatic life thresholds derived from California wadeable stream bioassessment data (Mazor et al. in prep, Fetscher et al. 2014). In ASCI and CSCI REC30-01 bars, mean represents REF10. REF75th and 90th is the ecoregional range, while the mean line represents the statewide mean. Change point analyses are designated as nCPA.</w:t>
        </w:r>
        <w:r w:rsidR="00C26519">
          <w:rPr>
            <w:noProof/>
            <w:webHidden/>
          </w:rPr>
          <w:tab/>
        </w:r>
        <w:r w:rsidR="00C26519">
          <w:rPr>
            <w:noProof/>
            <w:webHidden/>
          </w:rPr>
          <w:fldChar w:fldCharType="begin"/>
        </w:r>
        <w:r w:rsidR="00C26519">
          <w:rPr>
            <w:noProof/>
            <w:webHidden/>
          </w:rPr>
          <w:instrText xml:space="preserve"> PAGEREF _Toc526489963 \h </w:instrText>
        </w:r>
        <w:r w:rsidR="00C26519">
          <w:rPr>
            <w:noProof/>
            <w:webHidden/>
          </w:rPr>
        </w:r>
        <w:r w:rsidR="00C26519">
          <w:rPr>
            <w:noProof/>
            <w:webHidden/>
          </w:rPr>
          <w:fldChar w:fldCharType="separate"/>
        </w:r>
        <w:r w:rsidR="00772F7E">
          <w:rPr>
            <w:noProof/>
            <w:webHidden/>
          </w:rPr>
          <w:t>85</w:t>
        </w:r>
        <w:r w:rsidR="00C26519">
          <w:rPr>
            <w:noProof/>
            <w:webHidden/>
          </w:rPr>
          <w:fldChar w:fldCharType="end"/>
        </w:r>
      </w:hyperlink>
    </w:p>
    <w:p w14:paraId="531C0F46" w14:textId="217F7494" w:rsidR="00C26519" w:rsidRDefault="00CF6066">
      <w:pPr>
        <w:pStyle w:val="TOC1"/>
        <w:rPr>
          <w:rFonts w:asciiTheme="minorHAnsi" w:eastAsiaTheme="minorEastAsia" w:hAnsiTheme="minorHAnsi" w:cstheme="minorBidi"/>
          <w:b w:val="0"/>
          <w:noProof/>
          <w:lang w:bidi="ar-SA"/>
        </w:rPr>
      </w:pPr>
      <w:hyperlink w:anchor="_Toc526489965" w:history="1">
        <w:r w:rsidR="00C26519" w:rsidRPr="003C0210">
          <w:rPr>
            <w:rStyle w:val="Hyperlink"/>
            <w:noProof/>
          </w:rPr>
          <w:t>Figure 4.5. Ranges of literature derived Sestonic Chl-a thresholds  and adopted state criteria for wadeable versus nonwadeable streams. All threshold criteria sources above orange line are for wadeable streams and nearly all from peer-reviewed literature sources. The exception is the CA Central Coast Regional Water Board, which adopted 15 µg/L to interpret their biostimulatory objective, based on peer-reviewed literature sources. Below the line includes literature sources or adopted criteria for either non-wadeable streams or streams and rivers where the type is not specified (NS).</w:t>
        </w:r>
        <w:r w:rsidR="00C26519">
          <w:rPr>
            <w:noProof/>
            <w:webHidden/>
          </w:rPr>
          <w:tab/>
        </w:r>
        <w:r w:rsidR="00C26519">
          <w:rPr>
            <w:noProof/>
            <w:webHidden/>
          </w:rPr>
          <w:fldChar w:fldCharType="begin"/>
        </w:r>
        <w:r w:rsidR="00C26519">
          <w:rPr>
            <w:noProof/>
            <w:webHidden/>
          </w:rPr>
          <w:instrText xml:space="preserve"> PAGEREF _Toc526489965 \h </w:instrText>
        </w:r>
        <w:r w:rsidR="00C26519">
          <w:rPr>
            <w:noProof/>
            <w:webHidden/>
          </w:rPr>
        </w:r>
        <w:r w:rsidR="00C26519">
          <w:rPr>
            <w:noProof/>
            <w:webHidden/>
          </w:rPr>
          <w:fldChar w:fldCharType="separate"/>
        </w:r>
        <w:r w:rsidR="00772F7E">
          <w:rPr>
            <w:noProof/>
            <w:webHidden/>
          </w:rPr>
          <w:t>85</w:t>
        </w:r>
        <w:r w:rsidR="00C26519">
          <w:rPr>
            <w:noProof/>
            <w:webHidden/>
          </w:rPr>
          <w:fldChar w:fldCharType="end"/>
        </w:r>
      </w:hyperlink>
    </w:p>
    <w:p w14:paraId="12CD2849" w14:textId="17ACB860" w:rsidR="00C26519" w:rsidRDefault="00CF6066">
      <w:pPr>
        <w:pStyle w:val="TOC1"/>
        <w:rPr>
          <w:rFonts w:asciiTheme="minorHAnsi" w:eastAsiaTheme="minorEastAsia" w:hAnsiTheme="minorHAnsi" w:cstheme="minorBidi"/>
          <w:b w:val="0"/>
          <w:noProof/>
          <w:lang w:bidi="ar-SA"/>
        </w:rPr>
      </w:pPr>
      <w:hyperlink w:anchor="_Toc526489967" w:history="1">
        <w:r w:rsidR="00C26519" w:rsidRPr="003C0210">
          <w:rPr>
            <w:rStyle w:val="Hyperlink"/>
            <w:noProof/>
          </w:rPr>
          <w:t>Figure 4.7 Ranges of literature derived diel variability thresholds (California versus other states) relative to adopted state criteria.</w:t>
        </w:r>
        <w:r w:rsidR="00C26519">
          <w:rPr>
            <w:noProof/>
            <w:webHidden/>
          </w:rPr>
          <w:tab/>
        </w:r>
        <w:r w:rsidR="00C26519">
          <w:rPr>
            <w:noProof/>
            <w:webHidden/>
          </w:rPr>
          <w:fldChar w:fldCharType="begin"/>
        </w:r>
        <w:r w:rsidR="00C26519">
          <w:rPr>
            <w:noProof/>
            <w:webHidden/>
          </w:rPr>
          <w:instrText xml:space="preserve"> PAGEREF _Toc526489967 \h </w:instrText>
        </w:r>
        <w:r w:rsidR="00C26519">
          <w:rPr>
            <w:noProof/>
            <w:webHidden/>
          </w:rPr>
        </w:r>
        <w:r w:rsidR="00C26519">
          <w:rPr>
            <w:noProof/>
            <w:webHidden/>
          </w:rPr>
          <w:fldChar w:fldCharType="separate"/>
        </w:r>
        <w:r w:rsidR="00772F7E">
          <w:rPr>
            <w:noProof/>
            <w:webHidden/>
          </w:rPr>
          <w:t>86</w:t>
        </w:r>
        <w:r w:rsidR="00C26519">
          <w:rPr>
            <w:noProof/>
            <w:webHidden/>
          </w:rPr>
          <w:fldChar w:fldCharType="end"/>
        </w:r>
      </w:hyperlink>
    </w:p>
    <w:p w14:paraId="6325E6F8" w14:textId="3E9ECC99" w:rsidR="005826AF" w:rsidRPr="00C94B8D" w:rsidRDefault="00236EBE" w:rsidP="007748FE">
      <w:r>
        <w:fldChar w:fldCharType="end"/>
      </w:r>
    </w:p>
    <w:p w14:paraId="401AB261" w14:textId="77777777" w:rsidR="005826AF" w:rsidRDefault="00236EBE" w:rsidP="007748FE">
      <w:r w:rsidRPr="00066FBF">
        <w:fldChar w:fldCharType="begin"/>
      </w:r>
      <w:r w:rsidR="005826AF" w:rsidRPr="00066FBF">
        <w:instrText xml:space="preserve"> TOC \t "TOF" \c </w:instrText>
      </w:r>
      <w:r w:rsidRPr="00066FBF">
        <w:fldChar w:fldCharType="separate"/>
      </w:r>
    </w:p>
    <w:p w14:paraId="5B39F77F" w14:textId="77777777" w:rsidR="005826AF" w:rsidRDefault="00236EBE" w:rsidP="007748FE">
      <w:r w:rsidRPr="00066FBF">
        <w:fldChar w:fldCharType="end"/>
      </w:r>
    </w:p>
    <w:p w14:paraId="59D8AF2F" w14:textId="77777777" w:rsidR="00D16945" w:rsidRPr="003D3640" w:rsidRDefault="00D16945" w:rsidP="00644D68">
      <w:pPr>
        <w:pStyle w:val="Heading1"/>
        <w:sectPr w:rsidR="00D16945" w:rsidRPr="003D3640" w:rsidSect="00E80040">
          <w:headerReference w:type="default" r:id="rId14"/>
          <w:footerReference w:type="default" r:id="rId15"/>
          <w:pgSz w:w="12240" w:h="15840" w:code="1"/>
          <w:pgMar w:top="1440" w:right="1440" w:bottom="1440" w:left="1440" w:header="0" w:footer="0" w:gutter="0"/>
          <w:pgNumType w:fmt="lowerRoman" w:start="1"/>
          <w:cols w:space="720"/>
          <w:docGrid w:linePitch="360"/>
        </w:sectPr>
      </w:pPr>
    </w:p>
    <w:p w14:paraId="68C57510" w14:textId="77777777" w:rsidR="00BA6F7E" w:rsidRDefault="00BA6F7E" w:rsidP="008E7E7F">
      <w:pPr>
        <w:pStyle w:val="Heading1"/>
        <w:numPr>
          <w:ilvl w:val="0"/>
          <w:numId w:val="4"/>
        </w:numPr>
      </w:pPr>
      <w:bookmarkStart w:id="6" w:name="_Toc526505105"/>
      <w:r w:rsidRPr="002C0513">
        <w:t>Introduction</w:t>
      </w:r>
      <w:r w:rsidR="004A44D5">
        <w:t xml:space="preserve"> </w:t>
      </w:r>
      <w:r w:rsidR="000A5EDD">
        <w:t>and Purpose</w:t>
      </w:r>
      <w:bookmarkEnd w:id="6"/>
      <w:r w:rsidR="000A5EDD">
        <w:t xml:space="preserve"> </w:t>
      </w:r>
    </w:p>
    <w:p w14:paraId="7A28E297" w14:textId="77777777" w:rsidR="00BA6F7E" w:rsidRPr="00C94B8D" w:rsidRDefault="009B1AA9" w:rsidP="002C0513">
      <w:pPr>
        <w:pStyle w:val="Heading2"/>
      </w:pPr>
      <w:bookmarkStart w:id="7" w:name="_Toc526505106"/>
      <w:r>
        <w:t>1.1</w:t>
      </w:r>
      <w:r>
        <w:tab/>
      </w:r>
      <w:r w:rsidR="00BA6F7E" w:rsidRPr="00C94B8D">
        <w:t>Introduction</w:t>
      </w:r>
      <w:r w:rsidR="00DC6F10">
        <w:t xml:space="preserve"> and Purpose of Document</w:t>
      </w:r>
      <w:bookmarkEnd w:id="7"/>
    </w:p>
    <w:p w14:paraId="0D89BDC2" w14:textId="4D85912B" w:rsidR="001E693C" w:rsidRPr="001B4DEC" w:rsidRDefault="001E693C" w:rsidP="001E693C">
      <w:r w:rsidRPr="001B4DEC">
        <w:t xml:space="preserve">Eutrophication is a major environmental </w:t>
      </w:r>
      <w:r>
        <w:t xml:space="preserve">concern </w:t>
      </w:r>
      <w:r w:rsidRPr="001B4DEC">
        <w:t>in wadeable stream ecosystems worldwide (Dodds and Welch 2000</w:t>
      </w:r>
      <w:r w:rsidR="008622BF">
        <w:t>, USEPA 2006</w:t>
      </w:r>
      <w:r w:rsidRPr="001B4DEC">
        <w:t xml:space="preserve">), with demonstrated links between anthropogenic land use changes </w:t>
      </w:r>
      <w:r>
        <w:t xml:space="preserve">in the upstream watershed </w:t>
      </w:r>
      <w:r w:rsidRPr="001B4DEC">
        <w:t xml:space="preserve">and adverse impacts to </w:t>
      </w:r>
      <w:r>
        <w:t xml:space="preserve">stream </w:t>
      </w:r>
      <w:r w:rsidRPr="001B4DEC">
        <w:t>ecosystem condition and services. These impacts include restructuring of foundational algal and aquatic plant communities, resulting in high biomass of soft-bodied filamentous algae (</w:t>
      </w:r>
      <w:r w:rsidR="00077794">
        <w:t xml:space="preserve">Dodds and </w:t>
      </w:r>
      <w:r w:rsidR="008D6607">
        <w:t>Biggs</w:t>
      </w:r>
      <w:r w:rsidR="00077794">
        <w:t xml:space="preserve"> 2002</w:t>
      </w:r>
      <w:r w:rsidRPr="001B4DEC">
        <w:t xml:space="preserve">), which generally outcompete benthic diatoms and smother habitat for invertebrates and fish. Increased autotrophic and heterotrophic production result in wide fluctuation in dissolved oxygen </w:t>
      </w:r>
      <w:r w:rsidR="00077794" w:rsidRPr="001B4DEC">
        <w:t xml:space="preserve">and chronically low DO </w:t>
      </w:r>
      <w:r w:rsidRPr="001B4DEC">
        <w:t>(</w:t>
      </w:r>
      <w:r w:rsidR="00077794">
        <w:t>Dodds et al. 1998</w:t>
      </w:r>
      <w:r w:rsidRPr="001B4DEC">
        <w:t>). Stream benthic macroinvertebrate (BMI) communities shift in direct response to increased nutrient enrichment and eutrophication (</w:t>
      </w:r>
      <w:r w:rsidR="00077794">
        <w:t>Jessup et al. 2015</w:t>
      </w:r>
      <w:r w:rsidRPr="001B4DEC">
        <w:t xml:space="preserve">), towards an increase in pollution tolerant taxa, but lowered total BMI density and biomass. Fish-kills and lowered fishery production </w:t>
      </w:r>
      <w:r w:rsidR="00077794" w:rsidRPr="001B4DEC">
        <w:t xml:space="preserve">occur </w:t>
      </w:r>
      <w:r w:rsidRPr="001B4DEC">
        <w:t>(</w:t>
      </w:r>
      <w:r w:rsidR="00077794">
        <w:t>Miltner 2010</w:t>
      </w:r>
      <w:r w:rsidRPr="001B4DEC">
        <w:t xml:space="preserve">), along with increased frequency and extent of toxic harmful algal blooms, and poor water quality (Bates et al. 1989, Bates et al. 1991, Trainer et al. 2002, </w:t>
      </w:r>
      <w:r w:rsidR="00077794">
        <w:t xml:space="preserve">Carlton et al. 2009, </w:t>
      </w:r>
      <w:r w:rsidRPr="001B4DEC">
        <w:t>Heiskary and Bouchard 201</w:t>
      </w:r>
      <w:r w:rsidR="00077794">
        <w:t>5</w:t>
      </w:r>
      <w:r w:rsidRPr="001B4DEC">
        <w:t xml:space="preserve">). </w:t>
      </w:r>
      <w:r w:rsidR="00411EA9">
        <w:t>All</w:t>
      </w:r>
      <w:r>
        <w:t xml:space="preserve"> these changes significantly impact human uses, including stream withdrawls for potable uses, direct impacts to recreational and commercial fisheries (e.g.</w:t>
      </w:r>
      <w:r w:rsidR="00F82B1F">
        <w:t>,</w:t>
      </w:r>
      <w:r>
        <w:t xml:space="preserve"> salmonids), </w:t>
      </w:r>
      <w:r w:rsidR="00411EA9">
        <w:t>and impacted aesthetics</w:t>
      </w:r>
      <w:r>
        <w:t xml:space="preserve"> </w:t>
      </w:r>
      <w:r w:rsidR="00411EA9">
        <w:t xml:space="preserve">due to nuisance blooms, poor odor and taste. </w:t>
      </w:r>
      <w:r w:rsidR="00411EA9" w:rsidRPr="00C94B8D">
        <w:t xml:space="preserve">These </w:t>
      </w:r>
      <w:r w:rsidR="00411EA9">
        <w:t>impacts</w:t>
      </w:r>
      <w:r w:rsidR="00411EA9" w:rsidRPr="00C94B8D">
        <w:t xml:space="preserve"> have significant economic and social costs </w:t>
      </w:r>
      <w:r w:rsidR="00411EA9" w:rsidRPr="00C94B8D">
        <w:fldChar w:fldCharType="begin"/>
      </w:r>
      <w:r w:rsidR="00411EA9">
        <w:instrText xml:space="preserve"> ADDIN EN.CITE &lt;EndNote&gt;&lt;Cite&gt;&lt;Author&gt;Turner&lt;/Author&gt;&lt;Year&gt;1998&lt;/Year&gt;&lt;RecNum&gt;1245&lt;/RecNum&gt;&lt;DisplayText&gt;(Turner et al. 1998)&lt;/DisplayText&gt;&lt;record&gt;&lt;rec-number&gt;1245&lt;/rec-number&gt;&lt;ref-type name="Journal Article"&gt;17&lt;/ref-type&gt;&lt;contributors&gt;&lt;authors&gt;&lt;author&gt;Turner, R. E.&lt;/author&gt;&lt;author&gt;N. Qureshi&lt;/author&gt;&lt;author&gt;N.N. Rabalais&lt;/author&gt;&lt;author&gt;Q. Dortch&lt;/author&gt;&lt;author&gt;D. Justic&lt;/author&gt;&lt;author&gt;R.F. Shaw&lt;/author&gt;&lt;author&gt;J. Cope&lt;/author&gt;&lt;/authors&gt;&lt;/contributors&gt;&lt;titles&gt;&lt;title&gt;Fluctuating silicate: nitrate ratios and coastal plankton food webs&lt;/title&gt;&lt;secondary-title&gt;Proceedings of the National Academy of Sciences&lt;/secondary-title&gt;&lt;/titles&gt;&lt;periodical&gt;&lt;full-title&gt;Proceedings of the National Academy of Sciences&lt;/full-title&gt;&lt;/periodical&gt;&lt;pages&gt;13,048-13&lt;/pages&gt;&lt;volume&gt;95&lt;/volume&gt;&lt;dates&gt;&lt;year&gt;1998&lt;/year&gt;&lt;/dates&gt;&lt;urls&gt;&lt;/urls&gt;&lt;/record&gt;&lt;/Cite&gt;&lt;/EndNote&gt;</w:instrText>
      </w:r>
      <w:r w:rsidR="00411EA9" w:rsidRPr="00C94B8D">
        <w:fldChar w:fldCharType="separate"/>
      </w:r>
      <w:r w:rsidR="00411EA9">
        <w:rPr>
          <w:noProof/>
        </w:rPr>
        <w:t>(</w:t>
      </w:r>
      <w:hyperlink w:anchor="_ENREF_56" w:tooltip="Turner, 1998 #1245" w:history="1">
        <w:r w:rsidR="00411EA9">
          <w:rPr>
            <w:noProof/>
          </w:rPr>
          <w:t>Turner et al. 1998</w:t>
        </w:r>
      </w:hyperlink>
      <w:r w:rsidR="00411EA9">
        <w:rPr>
          <w:noProof/>
        </w:rPr>
        <w:t>)</w:t>
      </w:r>
      <w:r w:rsidR="00411EA9" w:rsidRPr="00C94B8D">
        <w:fldChar w:fldCharType="end"/>
      </w:r>
      <w:r w:rsidR="00411EA9" w:rsidRPr="00C94B8D">
        <w:t xml:space="preserve">. According to </w:t>
      </w:r>
      <w:r w:rsidR="00411EA9">
        <w:t>the U.S. Environmental Protection Agency (US</w:t>
      </w:r>
      <w:r w:rsidR="00411EA9" w:rsidRPr="00C94B8D">
        <w:t>EPA</w:t>
      </w:r>
      <w:r w:rsidR="00411EA9">
        <w:t>)</w:t>
      </w:r>
      <w:r w:rsidR="00411EA9" w:rsidRPr="00C94B8D">
        <w:t>, eutrophication is one of the top three leading causes of impairments of the nation’s waters (USEPA 2001</w:t>
      </w:r>
      <w:r w:rsidR="008622BF">
        <w:t>, 2006</w:t>
      </w:r>
      <w:r w:rsidR="00411EA9" w:rsidRPr="00C94B8D">
        <w:t xml:space="preserve">). Scientifically-based state water quality objectives and tools that relate these </w:t>
      </w:r>
      <w:r w:rsidR="00411EA9">
        <w:t>objectives</w:t>
      </w:r>
      <w:r w:rsidR="00411EA9" w:rsidRPr="00C94B8D">
        <w:t xml:space="preserve"> to management controls are needed to </w:t>
      </w:r>
      <w:r w:rsidR="00411EA9">
        <w:t>protect against</w:t>
      </w:r>
      <w:r w:rsidR="00411EA9" w:rsidRPr="00C94B8D">
        <w:t xml:space="preserve"> adverse effects from eutrophication</w:t>
      </w:r>
      <w:r w:rsidR="00B66194">
        <w:t>.</w:t>
      </w:r>
    </w:p>
    <w:p w14:paraId="78417B8A" w14:textId="77777777" w:rsidR="001E693C" w:rsidRPr="001B4DEC" w:rsidRDefault="001E693C" w:rsidP="001E693C">
      <w:r w:rsidRPr="001B4DEC">
        <w:t>Assessment approaches and water quality goals (WQG) are needed to prevent wadeable stream eutrophication from occurring and to provide numeric targets to restore watersheds where adverse effects have occurred.  While nutrient pollution (including forms of nitrogen and phosphorus) is a leading cause of eutrophication, scientific literature has demonstrated the shortcomings of using ambient nutrient concentrations alone to diagnose this problem (Welch et al. 1989, Fevold 1998, Chetelat et al. 1999, Heiskary and Markus 2001, Dodds et al. 2002, Heiskary and Bouchard 2013). Other factors that can cause or significantly contribute to eutrophication are associated with the conversion of watersheds to developed land uses, such as hydromodification, altered water temperature, and light availability, etc. (</w:t>
      </w:r>
      <w:r w:rsidR="00077794">
        <w:t>Paerl et al. 2011</w:t>
      </w:r>
      <w:r w:rsidRPr="001B4DEC">
        <w:t>).  In addition, biological response to nutrients depends on a variety of mitigating factors such as basin morphology and substrate characteristics, stream hydrology, biological community structure, grazing and seed populations. Thus, high nutrient concentrations are not an obligatory indicator of eutrophication and low concentrations do not necessarily indicate absence of eutrophication (Heiskary and Bouchard 201</w:t>
      </w:r>
      <w:r w:rsidR="00077794">
        <w:t>5</w:t>
      </w:r>
      <w:r w:rsidR="00411EA9">
        <w:t xml:space="preserve">). </w:t>
      </w:r>
      <w:r w:rsidRPr="001B4DEC">
        <w:t xml:space="preserve"> </w:t>
      </w:r>
    </w:p>
    <w:p w14:paraId="032D4297" w14:textId="4168013D" w:rsidR="001E693C" w:rsidRDefault="001E693C" w:rsidP="001E693C">
      <w:pPr>
        <w:jc w:val="both"/>
      </w:pPr>
      <w:r>
        <w:t>The California State Water Resources Control Board (State Water Board)</w:t>
      </w:r>
      <w:r w:rsidRPr="00150675">
        <w:t xml:space="preserve"> has </w:t>
      </w:r>
      <w:r>
        <w:t xml:space="preserve">an </w:t>
      </w:r>
      <w:r w:rsidRPr="00150675">
        <w:t>alternative approach to regulating eutrophication impacts of nutrient pollution</w:t>
      </w:r>
      <w:r>
        <w:t xml:space="preserve"> through an existing “biostimulatory” water quality narrative objective (WQO). As used here, “biostimulatory” refers to </w:t>
      </w:r>
      <w:r w:rsidRPr="006E5FCB">
        <w:t>refers to substances such as nutrients (i.e.</w:t>
      </w:r>
      <w:r w:rsidR="00F072B6">
        <w:t>,</w:t>
      </w:r>
      <w:r w:rsidRPr="006E5FCB">
        <w:t xml:space="preserve"> nitrogen and phosphorus) or conditions, such as altered temperature, hydrology, etc. that </w:t>
      </w:r>
      <w:r>
        <w:t>can cause eutrophication (Figure 1.1)</w:t>
      </w:r>
      <w:r w:rsidR="00A80F66">
        <w:t xml:space="preserve"> and can impact beneficial uses (Table 1.1)</w:t>
      </w:r>
      <w:r>
        <w:t>.  All California Regional Water Quality Control Boards (Regional Water Boards) have a narrative biostimulatory objective, e.g.</w:t>
      </w:r>
      <w:r w:rsidR="00F072B6">
        <w:t>,</w:t>
      </w:r>
      <w:r>
        <w:t xml:space="preserve"> “waters shall not contain biostimulatory substances in concentrations that promote aquatic growths to the extent that such growths cause nuisance or adversely affect beneficial uses” (Central Coast Water Board Basin Plan 1990); similar narrative language is used throughout California Water Board Basin Plans</w:t>
      </w:r>
      <w:r w:rsidR="000036FB">
        <w:t xml:space="preserve"> (Table 1.</w:t>
      </w:r>
      <w:r w:rsidR="00A80F66">
        <w:t>2</w:t>
      </w:r>
      <w:r w:rsidR="000036FB">
        <w:t>)</w:t>
      </w:r>
      <w:r>
        <w:t xml:space="preserve">. While narrative biostimulatory objective </w:t>
      </w:r>
      <w:r w:rsidR="00B24799">
        <w:t>theoretically</w:t>
      </w:r>
      <w:r>
        <w:t xml:space="preserve"> covers a wide range of environmental drivers, no consistent guidance exists to interpret this narrative objective </w:t>
      </w:r>
      <w:r w:rsidR="00AE6FEE">
        <w:t xml:space="preserve">in wadeable streams </w:t>
      </w:r>
      <w:r>
        <w:t xml:space="preserve">to prevent eutrophication or to guide nutrient management actions across the state. </w:t>
      </w:r>
    </w:p>
    <w:p w14:paraId="7A604C3B" w14:textId="77777777" w:rsidR="001E693C" w:rsidRDefault="001E693C" w:rsidP="001E693C">
      <w:pPr>
        <w:jc w:val="both"/>
      </w:pPr>
      <w:r>
        <w:rPr>
          <w:noProof/>
          <w:lang w:eastAsia="zh-CN" w:bidi="ar-SA"/>
        </w:rPr>
        <w:drawing>
          <wp:inline distT="0" distB="0" distL="0" distR="0" wp14:anchorId="72EDDF19" wp14:editId="2A94B0D4">
            <wp:extent cx="5946775" cy="2018030"/>
            <wp:effectExtent l="0" t="0" r="0" b="0"/>
            <wp:docPr id="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6775" cy="2018030"/>
                    </a:xfrm>
                    <a:prstGeom prst="rect">
                      <a:avLst/>
                    </a:prstGeom>
                    <a:noFill/>
                    <a:ln>
                      <a:noFill/>
                    </a:ln>
                  </pic:spPr>
                </pic:pic>
              </a:graphicData>
            </a:graphic>
          </wp:inline>
        </w:drawing>
      </w:r>
    </w:p>
    <w:p w14:paraId="5B59682C" w14:textId="77777777" w:rsidR="001E693C" w:rsidRDefault="001E693C" w:rsidP="001E693C">
      <w:pPr>
        <w:pStyle w:val="TOF"/>
      </w:pPr>
      <w:bookmarkStart w:id="8" w:name="_Toc524109880"/>
      <w:bookmarkStart w:id="9" w:name="_Toc526489934"/>
      <w:r>
        <w:t>Figure 1.1. Conceptual representation of biostimulatory conditions and substances that result in eutrophication.</w:t>
      </w:r>
      <w:bookmarkEnd w:id="8"/>
      <w:r>
        <w:t xml:space="preserve"> </w:t>
      </w:r>
      <w:r w:rsidR="00A80F66">
        <w:t xml:space="preserve"> Photo from Santa Margarita River.</w:t>
      </w:r>
      <w:bookmarkEnd w:id="9"/>
      <w:r w:rsidR="00A80F66">
        <w:t xml:space="preserve"> </w:t>
      </w:r>
    </w:p>
    <w:p w14:paraId="0FFE50C1" w14:textId="77777777" w:rsidR="00A80F66" w:rsidRDefault="00A80F66" w:rsidP="00A80F66">
      <w:pPr>
        <w:contextualSpacing/>
        <w:jc w:val="both"/>
      </w:pPr>
    </w:p>
    <w:p w14:paraId="2A6CBDC1" w14:textId="77777777" w:rsidR="00A80F66" w:rsidRDefault="00A80F66" w:rsidP="00A80F66">
      <w:pPr>
        <w:pStyle w:val="TOT"/>
      </w:pPr>
      <w:bookmarkStart w:id="10" w:name="_Toc526489904"/>
      <w:r w:rsidRPr="00FB2346">
        <w:t>Table 1.</w:t>
      </w:r>
      <w:r>
        <w:t>1</w:t>
      </w:r>
      <w:r w:rsidRPr="00FB2346">
        <w:t xml:space="preserve">. </w:t>
      </w:r>
      <w:r>
        <w:t>Designated Beneficial Uses in California Surface Waters. We note that while this document does not provide specific guidance pertaining to estuarine and marine-related uses, the Water Board is charged with protecting downstream uses in selecting numeric guidance, so these uses are relevant to wadeable stream numeric guidance.</w:t>
      </w:r>
      <w:bookmarkEnd w:id="10"/>
      <w:r>
        <w:t xml:space="preserve"> </w:t>
      </w:r>
    </w:p>
    <w:tbl>
      <w:tblPr>
        <w:tblW w:w="0" w:type="auto"/>
        <w:tblInd w:w="-5" w:type="dxa"/>
        <w:tblLook w:val="04A0" w:firstRow="1" w:lastRow="0" w:firstColumn="1" w:lastColumn="0" w:noHBand="0" w:noVBand="1"/>
      </w:tblPr>
      <w:tblGrid>
        <w:gridCol w:w="3065"/>
        <w:gridCol w:w="3240"/>
        <w:gridCol w:w="3060"/>
      </w:tblGrid>
      <w:tr w:rsidR="00A80F66" w14:paraId="247D50CF" w14:textId="77777777" w:rsidTr="003A3C97">
        <w:trPr>
          <w:trHeight w:val="2799"/>
        </w:trPr>
        <w:tc>
          <w:tcPr>
            <w:tcW w:w="3065" w:type="dxa"/>
            <w:shd w:val="clear" w:color="auto" w:fill="auto"/>
          </w:tcPr>
          <w:p w14:paraId="28B84D16" w14:textId="77777777" w:rsidR="00A80F66" w:rsidRDefault="00A80F66" w:rsidP="003A3C97">
            <w:pPr>
              <w:pStyle w:val="BodyText0"/>
              <w:spacing w:line="240" w:lineRule="auto"/>
              <w:ind w:left="167"/>
            </w:pPr>
            <w:r>
              <w:t>Agricultural supply</w:t>
            </w:r>
          </w:p>
          <w:p w14:paraId="417212C5" w14:textId="77777777" w:rsidR="00A80F66" w:rsidRDefault="00A80F66" w:rsidP="003A3C97">
            <w:pPr>
              <w:pStyle w:val="BodyText0"/>
              <w:spacing w:line="240" w:lineRule="auto"/>
              <w:ind w:left="167"/>
            </w:pPr>
            <w:r>
              <w:t>Areas of special biological significance</w:t>
            </w:r>
          </w:p>
          <w:p w14:paraId="5046D7DF" w14:textId="77777777" w:rsidR="00A80F66" w:rsidRDefault="00A80F66" w:rsidP="003A3C97">
            <w:pPr>
              <w:pStyle w:val="BodyText0"/>
              <w:spacing w:line="240" w:lineRule="auto"/>
              <w:ind w:left="167"/>
            </w:pPr>
            <w:r>
              <w:t xml:space="preserve">Aquaculture </w:t>
            </w:r>
          </w:p>
          <w:p w14:paraId="48D46AB7" w14:textId="77777777" w:rsidR="00A80F66" w:rsidRDefault="00A80F66" w:rsidP="003A3C97">
            <w:pPr>
              <w:pStyle w:val="BodyText0"/>
              <w:spacing w:line="240" w:lineRule="auto"/>
              <w:ind w:left="167"/>
            </w:pPr>
            <w:r>
              <w:t xml:space="preserve">Cold Freshwater Habitat </w:t>
            </w:r>
          </w:p>
          <w:p w14:paraId="180ECD1E" w14:textId="77777777" w:rsidR="00A80F66" w:rsidRDefault="00A80F66" w:rsidP="003A3C97">
            <w:pPr>
              <w:pStyle w:val="BodyText0"/>
              <w:spacing w:line="240" w:lineRule="auto"/>
              <w:ind w:left="167"/>
            </w:pPr>
            <w:r>
              <w:t xml:space="preserve">Freshwater Replenishment </w:t>
            </w:r>
          </w:p>
          <w:p w14:paraId="0ADFBB30" w14:textId="77777777" w:rsidR="00A80F66" w:rsidRDefault="00A80F66" w:rsidP="003A3C97">
            <w:pPr>
              <w:pStyle w:val="BodyText0"/>
              <w:spacing w:line="240" w:lineRule="auto"/>
              <w:ind w:left="167"/>
            </w:pPr>
            <w:r>
              <w:t xml:space="preserve">Groundwater Recharge </w:t>
            </w:r>
          </w:p>
          <w:p w14:paraId="441CD842" w14:textId="77777777" w:rsidR="00A80F66" w:rsidRDefault="00A80F66" w:rsidP="003A3C97">
            <w:pPr>
              <w:pStyle w:val="BodyText0"/>
              <w:spacing w:line="240" w:lineRule="auto"/>
              <w:ind w:left="167"/>
            </w:pPr>
            <w:r>
              <w:t xml:space="preserve">Fish Migration </w:t>
            </w:r>
          </w:p>
        </w:tc>
        <w:tc>
          <w:tcPr>
            <w:tcW w:w="3240" w:type="dxa"/>
            <w:shd w:val="clear" w:color="auto" w:fill="auto"/>
          </w:tcPr>
          <w:p w14:paraId="21A1422E" w14:textId="77777777" w:rsidR="00A80F66" w:rsidRDefault="00A80F66" w:rsidP="003A3C97">
            <w:pPr>
              <w:pStyle w:val="BodyText0"/>
              <w:spacing w:line="240" w:lineRule="auto"/>
              <w:ind w:left="167"/>
            </w:pPr>
            <w:r>
              <w:t xml:space="preserve">Hydropower Generation </w:t>
            </w:r>
          </w:p>
          <w:p w14:paraId="4274AF42" w14:textId="77777777" w:rsidR="00A80F66" w:rsidRDefault="00A80F66" w:rsidP="003A3C97">
            <w:pPr>
              <w:pStyle w:val="BodyText0"/>
              <w:spacing w:line="240" w:lineRule="auto"/>
              <w:ind w:left="167"/>
            </w:pPr>
            <w:r>
              <w:t xml:space="preserve">Municipal and Domestic Supply </w:t>
            </w:r>
          </w:p>
          <w:p w14:paraId="11745AEF" w14:textId="77777777" w:rsidR="00A80F66" w:rsidRDefault="00A80F66" w:rsidP="003A3C97">
            <w:pPr>
              <w:pStyle w:val="BodyText0"/>
              <w:spacing w:line="240" w:lineRule="auto"/>
              <w:ind w:left="167"/>
            </w:pPr>
            <w:r>
              <w:t xml:space="preserve">Navigation </w:t>
            </w:r>
          </w:p>
          <w:p w14:paraId="37D14224" w14:textId="77777777" w:rsidR="00A80F66" w:rsidRDefault="00A80F66" w:rsidP="003A3C97">
            <w:pPr>
              <w:pStyle w:val="BodyText0"/>
              <w:spacing w:line="240" w:lineRule="auto"/>
              <w:ind w:left="167"/>
            </w:pPr>
            <w:r>
              <w:t xml:space="preserve">Industrial Process Supply </w:t>
            </w:r>
          </w:p>
          <w:p w14:paraId="71E32535" w14:textId="77777777" w:rsidR="00A80F66" w:rsidRDefault="00A80F66" w:rsidP="003A3C97">
            <w:pPr>
              <w:pStyle w:val="BodyText0"/>
              <w:spacing w:line="240" w:lineRule="auto"/>
              <w:ind w:left="167"/>
            </w:pPr>
            <w:r>
              <w:t xml:space="preserve">Shellfish Harvesting </w:t>
            </w:r>
          </w:p>
          <w:p w14:paraId="3217630F" w14:textId="77777777" w:rsidR="00A80F66" w:rsidRDefault="00A80F66" w:rsidP="003A3C97">
            <w:pPr>
              <w:pStyle w:val="BodyText0"/>
              <w:spacing w:line="240" w:lineRule="auto"/>
              <w:ind w:left="167"/>
            </w:pPr>
            <w:r>
              <w:t xml:space="preserve">Fish Spawning </w:t>
            </w:r>
          </w:p>
          <w:p w14:paraId="463FF337" w14:textId="77777777" w:rsidR="00A80F66" w:rsidRDefault="00A80F66" w:rsidP="003A3C97">
            <w:pPr>
              <w:pStyle w:val="BodyText0"/>
              <w:spacing w:line="240" w:lineRule="auto"/>
              <w:ind w:left="167"/>
            </w:pPr>
            <w:r>
              <w:t xml:space="preserve">Tribal Use </w:t>
            </w:r>
          </w:p>
          <w:p w14:paraId="1E626ABC" w14:textId="77777777" w:rsidR="00A80F66" w:rsidRDefault="00A80F66" w:rsidP="003A3C97">
            <w:pPr>
              <w:pStyle w:val="BodyText0"/>
              <w:spacing w:line="240" w:lineRule="auto"/>
              <w:ind w:left="167"/>
            </w:pPr>
            <w:r>
              <w:t>Commercial and Shell Fisheries</w:t>
            </w:r>
          </w:p>
        </w:tc>
        <w:tc>
          <w:tcPr>
            <w:tcW w:w="3060" w:type="dxa"/>
            <w:shd w:val="clear" w:color="auto" w:fill="auto"/>
          </w:tcPr>
          <w:p w14:paraId="40A57B66" w14:textId="77777777" w:rsidR="00A80F66" w:rsidRDefault="00A80F66" w:rsidP="003A3C97">
            <w:pPr>
              <w:pStyle w:val="BodyText0"/>
              <w:spacing w:line="240" w:lineRule="auto"/>
              <w:ind w:left="167"/>
            </w:pPr>
            <w:r>
              <w:t xml:space="preserve">Rare and Endangered Species </w:t>
            </w:r>
          </w:p>
          <w:p w14:paraId="277BCE60" w14:textId="77777777" w:rsidR="00A80F66" w:rsidRDefault="00A80F66" w:rsidP="003A3C97">
            <w:pPr>
              <w:pStyle w:val="BodyText0"/>
              <w:spacing w:line="240" w:lineRule="auto"/>
              <w:ind w:left="167"/>
            </w:pPr>
            <w:r>
              <w:t xml:space="preserve">Water Contact Recreation </w:t>
            </w:r>
          </w:p>
          <w:p w14:paraId="53A8F5F1" w14:textId="77777777" w:rsidR="00A80F66" w:rsidRDefault="00A80F66" w:rsidP="003A3C97">
            <w:pPr>
              <w:pStyle w:val="BodyText0"/>
              <w:spacing w:line="240" w:lineRule="auto"/>
              <w:ind w:left="167"/>
            </w:pPr>
            <w:r>
              <w:t xml:space="preserve">Noncontact Water Recreation </w:t>
            </w:r>
          </w:p>
          <w:p w14:paraId="13EFF9D1" w14:textId="77777777" w:rsidR="00A80F66" w:rsidRDefault="00A80F66" w:rsidP="003A3C97">
            <w:pPr>
              <w:pStyle w:val="BodyText0"/>
              <w:spacing w:line="240" w:lineRule="auto"/>
              <w:ind w:left="167"/>
            </w:pPr>
            <w:r>
              <w:t>Estuarine Habitat</w:t>
            </w:r>
          </w:p>
          <w:p w14:paraId="784F838A" w14:textId="77777777" w:rsidR="00A80F66" w:rsidRDefault="00A80F66" w:rsidP="003A3C97">
            <w:pPr>
              <w:pStyle w:val="BodyText0"/>
              <w:spacing w:line="240" w:lineRule="auto"/>
              <w:ind w:left="167"/>
            </w:pPr>
            <w:r>
              <w:t xml:space="preserve">Warm Water Habitat </w:t>
            </w:r>
          </w:p>
          <w:p w14:paraId="1D764351" w14:textId="77777777" w:rsidR="00A80F66" w:rsidRDefault="00A80F66" w:rsidP="003A3C97">
            <w:pPr>
              <w:pStyle w:val="BodyText0"/>
              <w:spacing w:line="240" w:lineRule="auto"/>
              <w:ind w:left="167"/>
            </w:pPr>
            <w:r>
              <w:t xml:space="preserve">Marine Habitat </w:t>
            </w:r>
          </w:p>
          <w:p w14:paraId="5D012968" w14:textId="77777777" w:rsidR="00A80F66" w:rsidRDefault="00A80F66" w:rsidP="003A3C97">
            <w:pPr>
              <w:pStyle w:val="BodyText0"/>
              <w:spacing w:line="240" w:lineRule="auto"/>
              <w:ind w:left="167"/>
            </w:pPr>
            <w:r>
              <w:t xml:space="preserve">Cultural Use </w:t>
            </w:r>
          </w:p>
          <w:p w14:paraId="109E505A" w14:textId="77777777" w:rsidR="00A80F66" w:rsidRDefault="00A80F66" w:rsidP="003A3C97">
            <w:pPr>
              <w:pStyle w:val="BodyText0"/>
              <w:spacing w:line="240" w:lineRule="auto"/>
              <w:ind w:left="167"/>
            </w:pPr>
            <w:r>
              <w:t>Wildlife Habitat</w:t>
            </w:r>
          </w:p>
        </w:tc>
      </w:tr>
    </w:tbl>
    <w:p w14:paraId="7691CCF1" w14:textId="77777777" w:rsidR="00A80F66" w:rsidRDefault="00A80F66" w:rsidP="00A80F66">
      <w:pPr>
        <w:pStyle w:val="BodyText0"/>
        <w:spacing w:after="200"/>
        <w:jc w:val="both"/>
      </w:pPr>
    </w:p>
    <w:p w14:paraId="52703F26" w14:textId="77777777" w:rsidR="00A80F66" w:rsidRDefault="00A80F66">
      <w:pPr>
        <w:spacing w:after="0" w:line="240" w:lineRule="auto"/>
        <w:rPr>
          <w:rFonts w:ascii="Arial" w:eastAsia="Arial" w:hAnsi="Arial"/>
          <w:b/>
          <w:sz w:val="20"/>
        </w:rPr>
      </w:pPr>
      <w:r>
        <w:rPr>
          <w:rFonts w:eastAsia="Arial"/>
        </w:rPr>
        <w:br w:type="page"/>
      </w:r>
    </w:p>
    <w:p w14:paraId="3733698D" w14:textId="4D42E671" w:rsidR="00A80F66" w:rsidRDefault="00A80F66" w:rsidP="00A80F66">
      <w:pPr>
        <w:pStyle w:val="TOT"/>
        <w:rPr>
          <w:rFonts w:eastAsia="Arial" w:cs="Arial"/>
          <w:i/>
          <w:color w:val="000000"/>
          <w:szCs w:val="20"/>
        </w:rPr>
      </w:pPr>
      <w:bookmarkStart w:id="11" w:name="_Toc526489905"/>
      <w:r>
        <w:rPr>
          <w:rFonts w:eastAsia="Arial"/>
        </w:rPr>
        <w:t xml:space="preserve">Table 1.2. </w:t>
      </w:r>
      <w:r w:rsidRPr="00734D7D">
        <w:t xml:space="preserve">Biostimulatory </w:t>
      </w:r>
      <w:r>
        <w:t>o</w:t>
      </w:r>
      <w:r w:rsidRPr="00734D7D">
        <w:t xml:space="preserve">bjective </w:t>
      </w:r>
      <w:r>
        <w:t>l</w:t>
      </w:r>
      <w:r w:rsidRPr="00734D7D">
        <w:t xml:space="preserve">anguage, </w:t>
      </w:r>
      <w:r w:rsidR="00B24799">
        <w:t>f</w:t>
      </w:r>
      <w:r w:rsidR="00B24799" w:rsidRPr="00734D7D">
        <w:t>rom</w:t>
      </w:r>
      <w:r w:rsidRPr="00734D7D">
        <w:t xml:space="preserve"> </w:t>
      </w:r>
      <w:r>
        <w:t>e</w:t>
      </w:r>
      <w:r w:rsidRPr="00734D7D">
        <w:t xml:space="preserve">ach </w:t>
      </w:r>
      <w:r>
        <w:t>Regional Water Board</w:t>
      </w:r>
      <w:r w:rsidRPr="00734D7D">
        <w:t xml:space="preserve"> Basin </w:t>
      </w:r>
      <w:r>
        <w:t>Plans</w:t>
      </w:r>
      <w:bookmarkEnd w:id="11"/>
      <w:r w:rsidRPr="00734D7D">
        <w:t xml:space="preserve"> </w:t>
      </w:r>
    </w:p>
    <w:tbl>
      <w:tblPr>
        <w:tblStyle w:val="TableGrid"/>
        <w:tblW w:w="0" w:type="auto"/>
        <w:tblLook w:val="04A0" w:firstRow="1" w:lastRow="0" w:firstColumn="1" w:lastColumn="0" w:noHBand="0" w:noVBand="1"/>
      </w:tblPr>
      <w:tblGrid>
        <w:gridCol w:w="9350"/>
      </w:tblGrid>
      <w:tr w:rsidR="00A80F66" w14:paraId="214D1CDD" w14:textId="77777777" w:rsidTr="003A3C97">
        <w:tc>
          <w:tcPr>
            <w:tcW w:w="9350" w:type="dxa"/>
          </w:tcPr>
          <w:p w14:paraId="4A650A68" w14:textId="77777777" w:rsidR="00A80F66" w:rsidRPr="00734D7D" w:rsidRDefault="00A80F66" w:rsidP="003A3C97">
            <w:pPr>
              <w:spacing w:after="0"/>
              <w:jc w:val="both"/>
              <w:rPr>
                <w:sz w:val="20"/>
                <w:szCs w:val="20"/>
              </w:rPr>
            </w:pPr>
            <w:r w:rsidRPr="00734D7D">
              <w:rPr>
                <w:b/>
                <w:sz w:val="20"/>
                <w:szCs w:val="20"/>
              </w:rPr>
              <w:t>North Coast.</w:t>
            </w:r>
            <w:r w:rsidRPr="00734D7D">
              <w:rPr>
                <w:sz w:val="20"/>
                <w:szCs w:val="20"/>
              </w:rPr>
              <w:t xml:space="preserve"> Waters shall not contain biostimulatory substances in concentrations that promote aquatic growths to the extent that such growths cause nuisance or adversely affect beneficial uses.</w:t>
            </w:r>
          </w:p>
        </w:tc>
      </w:tr>
      <w:tr w:rsidR="00A80F66" w14:paraId="3F3CD150" w14:textId="77777777" w:rsidTr="003A3C97">
        <w:tc>
          <w:tcPr>
            <w:tcW w:w="9350" w:type="dxa"/>
          </w:tcPr>
          <w:p w14:paraId="2658FF09" w14:textId="77777777" w:rsidR="00A80F66" w:rsidRPr="00734D7D" w:rsidRDefault="00A80F66" w:rsidP="003A3C97">
            <w:pPr>
              <w:spacing w:after="0"/>
              <w:jc w:val="both"/>
              <w:rPr>
                <w:b/>
                <w:sz w:val="20"/>
                <w:szCs w:val="20"/>
              </w:rPr>
            </w:pPr>
            <w:r w:rsidRPr="00734D7D">
              <w:rPr>
                <w:b/>
                <w:sz w:val="20"/>
                <w:szCs w:val="20"/>
              </w:rPr>
              <w:t xml:space="preserve">San Francisco. </w:t>
            </w:r>
            <w:r w:rsidRPr="00734D7D">
              <w:rPr>
                <w:sz w:val="20"/>
                <w:szCs w:val="20"/>
              </w:rPr>
              <w:t>Waters shall not contain biostimulatory substances in concentrations that promote aquatic growths to the extent that such growths cause nuisance or adversely affect beneficial uses. Changes in chlorophyll a and associated phytoplankton communities follow complex dynamics that are sometimes associated with a discharge of biostimulatory substances. Irregular and extreme levels of chlorophyll a or phytoplankton blooms may indicate exceedance of this objective and require investigation.</w:t>
            </w:r>
          </w:p>
        </w:tc>
      </w:tr>
      <w:tr w:rsidR="00A80F66" w14:paraId="1FF4DBDC" w14:textId="77777777" w:rsidTr="003A3C97">
        <w:tc>
          <w:tcPr>
            <w:tcW w:w="9350" w:type="dxa"/>
          </w:tcPr>
          <w:p w14:paraId="1B36CA20" w14:textId="77777777" w:rsidR="00A80F66" w:rsidRPr="00734D7D" w:rsidRDefault="00A80F66" w:rsidP="003A3C97">
            <w:pPr>
              <w:spacing w:after="0"/>
              <w:jc w:val="both"/>
              <w:rPr>
                <w:sz w:val="20"/>
                <w:szCs w:val="20"/>
              </w:rPr>
            </w:pPr>
            <w:r w:rsidRPr="00734D7D">
              <w:rPr>
                <w:b/>
                <w:sz w:val="20"/>
                <w:szCs w:val="20"/>
              </w:rPr>
              <w:t>Central Coast.</w:t>
            </w:r>
            <w:r w:rsidRPr="00734D7D">
              <w:rPr>
                <w:sz w:val="20"/>
                <w:szCs w:val="20"/>
              </w:rPr>
              <w:t xml:space="preserve"> Waters shall not contain biostimulatory substances in concentrations that promote aquatic growths to the extent that such growths cause nuisance or adversely affect beneficial uses.</w:t>
            </w:r>
          </w:p>
        </w:tc>
      </w:tr>
      <w:tr w:rsidR="00A80F66" w14:paraId="046E87F2" w14:textId="77777777" w:rsidTr="003A3C97">
        <w:tc>
          <w:tcPr>
            <w:tcW w:w="9350" w:type="dxa"/>
          </w:tcPr>
          <w:p w14:paraId="0FA33D2C" w14:textId="4E044618" w:rsidR="00A80F66" w:rsidRPr="00734D7D" w:rsidRDefault="00A80F66" w:rsidP="003A3C97">
            <w:pPr>
              <w:spacing w:after="0"/>
              <w:jc w:val="both"/>
              <w:rPr>
                <w:sz w:val="20"/>
                <w:szCs w:val="20"/>
              </w:rPr>
            </w:pPr>
            <w:r w:rsidRPr="00734D7D">
              <w:rPr>
                <w:b/>
                <w:sz w:val="20"/>
                <w:szCs w:val="20"/>
              </w:rPr>
              <w:t>Los Angeles.</w:t>
            </w:r>
            <w:r w:rsidRPr="00734D7D">
              <w:rPr>
                <w:sz w:val="20"/>
                <w:szCs w:val="20"/>
              </w:rPr>
              <w:t xml:space="preserve"> Biostimulatory substances include excess nutrients (nitrogen</w:t>
            </w:r>
            <w:r w:rsidR="00F072B6">
              <w:rPr>
                <w:sz w:val="20"/>
                <w:szCs w:val="20"/>
              </w:rPr>
              <w:t xml:space="preserve"> and</w:t>
            </w:r>
            <w:r w:rsidRPr="00734D7D">
              <w:rPr>
                <w:sz w:val="20"/>
                <w:szCs w:val="20"/>
              </w:rPr>
              <w:t xml:space="preserve"> phosphorus) and other compounds that stimulate aquatic growth. In addition to being aesthetical</w:t>
            </w:r>
            <w:r w:rsidR="00F072B6">
              <w:rPr>
                <w:sz w:val="20"/>
                <w:szCs w:val="20"/>
              </w:rPr>
              <w:t>ly</w:t>
            </w:r>
            <w:r w:rsidRPr="00734D7D">
              <w:rPr>
                <w:sz w:val="20"/>
                <w:szCs w:val="20"/>
              </w:rPr>
              <w:t xml:space="preserve"> unpleasant (causing taste, odor, or color problems), this excessive growth can also cause other water quality problems. Waters shall not contain biostimulatory substances in concentrations that promote aquatic growth to the extent that such growth causes nuisance or adversely affects beneficial uses.</w:t>
            </w:r>
          </w:p>
        </w:tc>
      </w:tr>
      <w:tr w:rsidR="00A80F66" w14:paraId="0E16A719" w14:textId="77777777" w:rsidTr="003A3C97">
        <w:tc>
          <w:tcPr>
            <w:tcW w:w="9350" w:type="dxa"/>
          </w:tcPr>
          <w:p w14:paraId="1F6202EB" w14:textId="77777777" w:rsidR="00A80F66" w:rsidRPr="00734D7D" w:rsidRDefault="00A80F66" w:rsidP="003A3C97">
            <w:pPr>
              <w:spacing w:after="0"/>
              <w:jc w:val="both"/>
              <w:rPr>
                <w:sz w:val="20"/>
                <w:szCs w:val="20"/>
              </w:rPr>
            </w:pPr>
            <w:r w:rsidRPr="00734D7D">
              <w:rPr>
                <w:b/>
                <w:sz w:val="20"/>
                <w:szCs w:val="20"/>
              </w:rPr>
              <w:t>Central Valley</w:t>
            </w:r>
            <w:r w:rsidRPr="00734D7D">
              <w:rPr>
                <w:sz w:val="20"/>
                <w:szCs w:val="20"/>
              </w:rPr>
              <w:t>. Water shall not contain biostimulatory substances which promote aquatic growths in concentrations that cause nuisance or adversely affect beneficial uses.</w:t>
            </w:r>
          </w:p>
        </w:tc>
      </w:tr>
      <w:tr w:rsidR="00A80F66" w14:paraId="447798F9" w14:textId="77777777" w:rsidTr="003A3C97">
        <w:tc>
          <w:tcPr>
            <w:tcW w:w="9350" w:type="dxa"/>
          </w:tcPr>
          <w:p w14:paraId="161526A1" w14:textId="77777777" w:rsidR="00A80F66" w:rsidRPr="00734D7D" w:rsidRDefault="00A80F66" w:rsidP="003A3C97">
            <w:pPr>
              <w:spacing w:after="0"/>
              <w:jc w:val="both"/>
              <w:rPr>
                <w:sz w:val="20"/>
                <w:szCs w:val="20"/>
              </w:rPr>
            </w:pPr>
            <w:r w:rsidRPr="00734D7D">
              <w:rPr>
                <w:b/>
                <w:sz w:val="20"/>
                <w:szCs w:val="20"/>
              </w:rPr>
              <w:t>Lahontan.</w:t>
            </w:r>
            <w:r w:rsidRPr="00734D7D">
              <w:rPr>
                <w:sz w:val="20"/>
                <w:szCs w:val="20"/>
              </w:rPr>
              <w:t xml:space="preserve"> Waters shall not contain biostimulatory substances in concentrations that promote aquatic growths to the extent that such growths cause nuisance or adversely affect the water for beneficial uses.</w:t>
            </w:r>
          </w:p>
        </w:tc>
      </w:tr>
      <w:tr w:rsidR="00A80F66" w14:paraId="639D6FED" w14:textId="77777777" w:rsidTr="003A3C97">
        <w:tc>
          <w:tcPr>
            <w:tcW w:w="9350" w:type="dxa"/>
          </w:tcPr>
          <w:p w14:paraId="3B3461EC" w14:textId="77777777" w:rsidR="00A80F66" w:rsidRPr="00734D7D" w:rsidRDefault="00A80F66" w:rsidP="003A3C97">
            <w:pPr>
              <w:spacing w:after="0"/>
              <w:rPr>
                <w:sz w:val="20"/>
                <w:szCs w:val="20"/>
              </w:rPr>
            </w:pPr>
            <w:r w:rsidRPr="00734D7D">
              <w:rPr>
                <w:b/>
                <w:sz w:val="20"/>
                <w:szCs w:val="20"/>
              </w:rPr>
              <w:t>Colorado</w:t>
            </w:r>
            <w:r w:rsidRPr="00734D7D">
              <w:rPr>
                <w:sz w:val="20"/>
                <w:szCs w:val="20"/>
              </w:rPr>
              <w:t>. Waters shall not contain biostimulatory substances in concentrations that promote aquatic growths to the extent that such growths cause nuisance or adversely affect beneficial uses. Nitrate and phosphate limitations will be placed on industrial discharges to New and Alamo Rivers and irrigation basins on a case-by-case basis, taking into consideration the beneficial uses of these streams.</w:t>
            </w:r>
          </w:p>
        </w:tc>
      </w:tr>
      <w:tr w:rsidR="00A80F66" w14:paraId="6F24F611" w14:textId="77777777" w:rsidTr="003A3C97">
        <w:tc>
          <w:tcPr>
            <w:tcW w:w="9350" w:type="dxa"/>
          </w:tcPr>
          <w:p w14:paraId="29DBC518" w14:textId="77777777" w:rsidR="00A80F66" w:rsidRPr="00734D7D" w:rsidRDefault="00A80F66" w:rsidP="003A3C97">
            <w:pPr>
              <w:spacing w:after="0"/>
              <w:jc w:val="both"/>
              <w:rPr>
                <w:sz w:val="20"/>
                <w:szCs w:val="20"/>
              </w:rPr>
            </w:pPr>
            <w:r w:rsidRPr="00734D7D">
              <w:rPr>
                <w:b/>
                <w:sz w:val="20"/>
                <w:szCs w:val="20"/>
              </w:rPr>
              <w:t>Santa Ana.</w:t>
            </w:r>
            <w:r w:rsidRPr="00734D7D">
              <w:rPr>
                <w:sz w:val="20"/>
                <w:szCs w:val="20"/>
              </w:rPr>
              <w:t xml:space="preserve"> Excessive growth of algae and/or other aquatic plants can degrade water quality. Algal blooms sometimes occur naturally, but they are often the result of excess nutrients (i.e., nitrogen, phosphorous) from waste discharges or nonpoint sources. These blooms can lead to problems with tastes, odors, color, and increased turbidity and can depress the dissolved oxygen content of the water, leading to fish kills. Floating algal scum and algal mats are also an aesthetically unpleasant nuisance. Waste discharges shall not contribute to excessive algal growth in inland surface receiving waters.</w:t>
            </w:r>
          </w:p>
        </w:tc>
      </w:tr>
      <w:tr w:rsidR="00A80F66" w14:paraId="16D304AE" w14:textId="77777777" w:rsidTr="003A3C97">
        <w:tc>
          <w:tcPr>
            <w:tcW w:w="9350" w:type="dxa"/>
          </w:tcPr>
          <w:p w14:paraId="3DE860B6" w14:textId="3CC5491C" w:rsidR="00A80F66" w:rsidRPr="00734D7D" w:rsidRDefault="00A80F66" w:rsidP="003A3C97">
            <w:pPr>
              <w:spacing w:after="0"/>
              <w:jc w:val="both"/>
              <w:rPr>
                <w:sz w:val="20"/>
                <w:szCs w:val="20"/>
              </w:rPr>
            </w:pPr>
            <w:r w:rsidRPr="00734D7D">
              <w:rPr>
                <w:b/>
                <w:sz w:val="20"/>
                <w:szCs w:val="20"/>
              </w:rPr>
              <w:t>San Diego</w:t>
            </w:r>
            <w:r w:rsidRPr="00734D7D">
              <w:rPr>
                <w:sz w:val="20"/>
                <w:szCs w:val="20"/>
              </w:rPr>
              <w:t>. Excessive growth of algae and/or other aquatic plants can degrade water quality. Algal blooms sometimes occur naturally; however, they are often the result of waste discharges or nonpoint source pollutants. Algal blooms depress the dissolved oxygen content of water and can result in fish kills. Algal blooms can also lead to problems with taste, odors, color, and increased turbidity. Floating algal scum and algal mats are also an aesthetically unpleasant nuisance. This general condition is known as eutrophication.</w:t>
            </w:r>
            <w:r>
              <w:rPr>
                <w:sz w:val="20"/>
                <w:szCs w:val="20"/>
              </w:rPr>
              <w:t xml:space="preserve"> </w:t>
            </w:r>
            <w:r w:rsidRPr="00734D7D">
              <w:rPr>
                <w:sz w:val="20"/>
                <w:szCs w:val="20"/>
              </w:rPr>
              <w:t>Concentrations of nitrogen and phosphorus, by</w:t>
            </w:r>
            <w:r>
              <w:rPr>
                <w:sz w:val="20"/>
                <w:szCs w:val="20"/>
              </w:rPr>
              <w:t xml:space="preserve"> </w:t>
            </w:r>
            <w:r w:rsidRPr="00734D7D">
              <w:rPr>
                <w:sz w:val="20"/>
                <w:szCs w:val="20"/>
              </w:rPr>
              <w:t>themselves or in combination with other</w:t>
            </w:r>
            <w:r>
              <w:rPr>
                <w:sz w:val="20"/>
                <w:szCs w:val="20"/>
              </w:rPr>
              <w:t xml:space="preserve"> </w:t>
            </w:r>
            <w:r w:rsidRPr="00734D7D">
              <w:rPr>
                <w:sz w:val="20"/>
                <w:szCs w:val="20"/>
              </w:rPr>
              <w:t>nutrients, shall be maintained at levels below</w:t>
            </w:r>
            <w:r w:rsidR="00F072B6">
              <w:rPr>
                <w:sz w:val="20"/>
                <w:szCs w:val="20"/>
              </w:rPr>
              <w:t xml:space="preserve"> </w:t>
            </w:r>
            <w:r w:rsidRPr="00734D7D">
              <w:rPr>
                <w:sz w:val="20"/>
                <w:szCs w:val="20"/>
              </w:rPr>
              <w:t>those which stimulate algae and emergent plant</w:t>
            </w:r>
            <w:r>
              <w:rPr>
                <w:sz w:val="20"/>
                <w:szCs w:val="20"/>
              </w:rPr>
              <w:t xml:space="preserve"> </w:t>
            </w:r>
            <w:r w:rsidRPr="00734D7D">
              <w:rPr>
                <w:sz w:val="20"/>
                <w:szCs w:val="20"/>
              </w:rPr>
              <w:t>growth. Threshold total phosphorus (P)</w:t>
            </w:r>
            <w:r>
              <w:rPr>
                <w:sz w:val="20"/>
                <w:szCs w:val="20"/>
              </w:rPr>
              <w:t xml:space="preserve"> </w:t>
            </w:r>
            <w:r w:rsidRPr="00734D7D">
              <w:rPr>
                <w:sz w:val="20"/>
                <w:szCs w:val="20"/>
              </w:rPr>
              <w:t>concentrations shall not exceed</w:t>
            </w:r>
            <w:r>
              <w:rPr>
                <w:sz w:val="20"/>
                <w:szCs w:val="20"/>
              </w:rPr>
              <w:t xml:space="preserve"> </w:t>
            </w:r>
            <w:r w:rsidRPr="00734D7D">
              <w:rPr>
                <w:sz w:val="20"/>
                <w:szCs w:val="20"/>
              </w:rPr>
              <w:t>0.05 milligrams per liter (mg/</w:t>
            </w:r>
            <w:r w:rsidR="00F072B6">
              <w:rPr>
                <w:sz w:val="20"/>
                <w:szCs w:val="20"/>
              </w:rPr>
              <w:t>L</w:t>
            </w:r>
            <w:r w:rsidRPr="00734D7D">
              <w:rPr>
                <w:sz w:val="20"/>
                <w:szCs w:val="20"/>
              </w:rPr>
              <w:t>) in any stream at</w:t>
            </w:r>
            <w:r>
              <w:rPr>
                <w:sz w:val="20"/>
                <w:szCs w:val="20"/>
              </w:rPr>
              <w:t xml:space="preserve"> </w:t>
            </w:r>
            <w:r w:rsidRPr="00734D7D">
              <w:rPr>
                <w:sz w:val="20"/>
                <w:szCs w:val="20"/>
              </w:rPr>
              <w:t>the point where it enters any standing body of</w:t>
            </w:r>
            <w:r>
              <w:rPr>
                <w:sz w:val="20"/>
                <w:szCs w:val="20"/>
              </w:rPr>
              <w:t xml:space="preserve"> </w:t>
            </w:r>
            <w:r w:rsidRPr="00734D7D">
              <w:rPr>
                <w:sz w:val="20"/>
                <w:szCs w:val="20"/>
              </w:rPr>
              <w:t>water, nor 0.025 mg/</w:t>
            </w:r>
            <w:r w:rsidR="00F072B6">
              <w:rPr>
                <w:sz w:val="20"/>
                <w:szCs w:val="20"/>
              </w:rPr>
              <w:t>L</w:t>
            </w:r>
            <w:r w:rsidR="00F072B6" w:rsidRPr="00734D7D">
              <w:rPr>
                <w:sz w:val="20"/>
                <w:szCs w:val="20"/>
              </w:rPr>
              <w:t xml:space="preserve"> </w:t>
            </w:r>
            <w:r w:rsidRPr="00734D7D">
              <w:rPr>
                <w:sz w:val="20"/>
                <w:szCs w:val="20"/>
              </w:rPr>
              <w:t>in any standing body of</w:t>
            </w:r>
            <w:r>
              <w:rPr>
                <w:sz w:val="20"/>
                <w:szCs w:val="20"/>
              </w:rPr>
              <w:t xml:space="preserve"> </w:t>
            </w:r>
            <w:r w:rsidRPr="00734D7D">
              <w:rPr>
                <w:sz w:val="20"/>
                <w:szCs w:val="20"/>
              </w:rPr>
              <w:t>water. A desired goal to prevent plant</w:t>
            </w:r>
            <w:r>
              <w:rPr>
                <w:sz w:val="20"/>
                <w:szCs w:val="20"/>
              </w:rPr>
              <w:t xml:space="preserve"> </w:t>
            </w:r>
            <w:r w:rsidRPr="00734D7D">
              <w:rPr>
                <w:sz w:val="20"/>
                <w:szCs w:val="20"/>
              </w:rPr>
              <w:t>nuisance in streams and other flowing waters</w:t>
            </w:r>
            <w:r>
              <w:rPr>
                <w:sz w:val="20"/>
                <w:szCs w:val="20"/>
              </w:rPr>
              <w:t xml:space="preserve"> </w:t>
            </w:r>
            <w:r w:rsidRPr="00734D7D">
              <w:rPr>
                <w:sz w:val="20"/>
                <w:szCs w:val="20"/>
              </w:rPr>
              <w:t>appears to be 0.1 mg/</w:t>
            </w:r>
            <w:r w:rsidR="00F072B6">
              <w:rPr>
                <w:sz w:val="20"/>
                <w:szCs w:val="20"/>
              </w:rPr>
              <w:t>L</w:t>
            </w:r>
            <w:r w:rsidR="00F072B6" w:rsidRPr="00734D7D">
              <w:rPr>
                <w:sz w:val="20"/>
                <w:szCs w:val="20"/>
              </w:rPr>
              <w:t xml:space="preserve"> </w:t>
            </w:r>
            <w:r w:rsidRPr="00734D7D">
              <w:rPr>
                <w:sz w:val="20"/>
                <w:szCs w:val="20"/>
              </w:rPr>
              <w:t>total P. These values are</w:t>
            </w:r>
            <w:r>
              <w:rPr>
                <w:sz w:val="20"/>
                <w:szCs w:val="20"/>
              </w:rPr>
              <w:t xml:space="preserve"> </w:t>
            </w:r>
            <w:r w:rsidRPr="00734D7D">
              <w:rPr>
                <w:sz w:val="20"/>
                <w:szCs w:val="20"/>
              </w:rPr>
              <w:t>not to be exceeded more than 10% of the time</w:t>
            </w:r>
            <w:r w:rsidR="00F072B6">
              <w:rPr>
                <w:sz w:val="20"/>
                <w:szCs w:val="20"/>
              </w:rPr>
              <w:t xml:space="preserve"> </w:t>
            </w:r>
            <w:r w:rsidRPr="00734D7D">
              <w:rPr>
                <w:sz w:val="20"/>
                <w:szCs w:val="20"/>
              </w:rPr>
              <w:t>unless studies of the specific water body in</w:t>
            </w:r>
            <w:r>
              <w:rPr>
                <w:sz w:val="20"/>
                <w:szCs w:val="20"/>
              </w:rPr>
              <w:t xml:space="preserve"> </w:t>
            </w:r>
            <w:r w:rsidRPr="00734D7D">
              <w:rPr>
                <w:sz w:val="20"/>
                <w:szCs w:val="20"/>
              </w:rPr>
              <w:t>question clearly show that water quality</w:t>
            </w:r>
            <w:r>
              <w:rPr>
                <w:sz w:val="20"/>
                <w:szCs w:val="20"/>
              </w:rPr>
              <w:t xml:space="preserve"> </w:t>
            </w:r>
            <w:r w:rsidRPr="00734D7D">
              <w:rPr>
                <w:sz w:val="20"/>
                <w:szCs w:val="20"/>
              </w:rPr>
              <w:t>objective changes are permissible, and changes</w:t>
            </w:r>
            <w:r>
              <w:rPr>
                <w:sz w:val="20"/>
                <w:szCs w:val="20"/>
              </w:rPr>
              <w:t xml:space="preserve"> </w:t>
            </w:r>
            <w:r w:rsidRPr="00734D7D">
              <w:rPr>
                <w:sz w:val="20"/>
                <w:szCs w:val="20"/>
              </w:rPr>
              <w:t>are approved by the Regional Board. Analogous</w:t>
            </w:r>
            <w:r>
              <w:rPr>
                <w:sz w:val="20"/>
                <w:szCs w:val="20"/>
              </w:rPr>
              <w:t xml:space="preserve"> </w:t>
            </w:r>
            <w:r w:rsidRPr="00734D7D">
              <w:rPr>
                <w:sz w:val="20"/>
                <w:szCs w:val="20"/>
              </w:rPr>
              <w:t>threshold values have not been set for nitrogen</w:t>
            </w:r>
            <w:r w:rsidR="00EC2A3D">
              <w:rPr>
                <w:sz w:val="20"/>
                <w:szCs w:val="20"/>
              </w:rPr>
              <w:t xml:space="preserve"> </w:t>
            </w:r>
            <w:r w:rsidRPr="00734D7D">
              <w:rPr>
                <w:sz w:val="20"/>
                <w:szCs w:val="20"/>
              </w:rPr>
              <w:t>compounds; however, natural ratios of nitrogen</w:t>
            </w:r>
            <w:r>
              <w:rPr>
                <w:sz w:val="20"/>
                <w:szCs w:val="20"/>
              </w:rPr>
              <w:t xml:space="preserve"> </w:t>
            </w:r>
            <w:r w:rsidRPr="00734D7D">
              <w:rPr>
                <w:sz w:val="20"/>
                <w:szCs w:val="20"/>
              </w:rPr>
              <w:t>to phosphorus are to be determined by</w:t>
            </w:r>
            <w:r>
              <w:rPr>
                <w:sz w:val="20"/>
                <w:szCs w:val="20"/>
              </w:rPr>
              <w:t xml:space="preserve"> </w:t>
            </w:r>
            <w:r w:rsidRPr="00734D7D">
              <w:rPr>
                <w:sz w:val="20"/>
                <w:szCs w:val="20"/>
              </w:rPr>
              <w:t>surveillance and monitoring and upheld. If data</w:t>
            </w:r>
            <w:r>
              <w:rPr>
                <w:sz w:val="20"/>
                <w:szCs w:val="20"/>
              </w:rPr>
              <w:t xml:space="preserve"> </w:t>
            </w:r>
            <w:r w:rsidRPr="00734D7D">
              <w:rPr>
                <w:sz w:val="20"/>
                <w:szCs w:val="20"/>
              </w:rPr>
              <w:t xml:space="preserve">are lacking, a ratio of </w:t>
            </w:r>
            <w:r w:rsidR="00B24799" w:rsidRPr="00734D7D">
              <w:rPr>
                <w:sz w:val="20"/>
                <w:szCs w:val="20"/>
              </w:rPr>
              <w:t>N: P</w:t>
            </w:r>
            <w:r w:rsidRPr="00734D7D">
              <w:rPr>
                <w:sz w:val="20"/>
                <w:szCs w:val="20"/>
              </w:rPr>
              <w:t xml:space="preserve"> = 10:</w:t>
            </w:r>
            <w:r w:rsidR="00B24799" w:rsidRPr="00734D7D">
              <w:rPr>
                <w:sz w:val="20"/>
                <w:szCs w:val="20"/>
              </w:rPr>
              <w:t>1,</w:t>
            </w:r>
            <w:r w:rsidRPr="00734D7D">
              <w:rPr>
                <w:sz w:val="20"/>
                <w:szCs w:val="20"/>
              </w:rPr>
              <w:t xml:space="preserve"> on a weight </w:t>
            </w:r>
            <w:r w:rsidR="00B24799" w:rsidRPr="00734D7D">
              <w:rPr>
                <w:sz w:val="20"/>
                <w:szCs w:val="20"/>
              </w:rPr>
              <w:t>to weight</w:t>
            </w:r>
            <w:r w:rsidRPr="00734D7D">
              <w:rPr>
                <w:sz w:val="20"/>
                <w:szCs w:val="20"/>
              </w:rPr>
              <w:t xml:space="preserve"> basis shall be used.</w:t>
            </w:r>
          </w:p>
        </w:tc>
      </w:tr>
    </w:tbl>
    <w:p w14:paraId="38674387" w14:textId="77777777" w:rsidR="00A80F66" w:rsidRDefault="00A80F66" w:rsidP="00A80F66">
      <w:pPr>
        <w:jc w:val="both"/>
      </w:pPr>
    </w:p>
    <w:p w14:paraId="6C967459" w14:textId="77777777" w:rsidR="00A80F66" w:rsidRDefault="00A80F66" w:rsidP="00A80F66">
      <w:pPr>
        <w:jc w:val="both"/>
      </w:pPr>
      <w:r>
        <w:t>To address this issue, t</w:t>
      </w:r>
      <w:r w:rsidRPr="00324983">
        <w:t xml:space="preserve">he State </w:t>
      </w:r>
      <w:r>
        <w:t>Water Board</w:t>
      </w:r>
      <w:r w:rsidRPr="00324983">
        <w:t xml:space="preserve"> is proposing to adopt a sta</w:t>
      </w:r>
      <w:r>
        <w:t xml:space="preserve">tewide water quality objective </w:t>
      </w:r>
      <w:r w:rsidRPr="00324983">
        <w:t>for Biostimulatory Substances and a program to implement it</w:t>
      </w:r>
      <w:r>
        <w:t>,</w:t>
      </w:r>
      <w:r w:rsidRPr="00324983">
        <w:t xml:space="preserve"> as an amendment to the Water Quality Control Plan for Inland Surface Water, Enclosed Bays and Estuarie</w:t>
      </w:r>
      <w:r>
        <w:t>s of California (ISWEBE Plan; SWRCB 2014)</w:t>
      </w:r>
      <w:r w:rsidRPr="00324983">
        <w:t xml:space="preserve">. </w:t>
      </w:r>
      <w:r>
        <w:t xml:space="preserve">Key principles </w:t>
      </w:r>
      <w:r w:rsidR="00A3733D">
        <w:t xml:space="preserve">for this planned policy were proposed by Water Board staff (Table 1.3). </w:t>
      </w:r>
      <w:r>
        <w:t>Because California is a large state and has a tremendous number and diversity of waterbodies, staff propose</w:t>
      </w:r>
      <w:r w:rsidR="00F072B6">
        <w:t>s</w:t>
      </w:r>
      <w:r>
        <w:t xml:space="preserve"> that numeric biostimulatory guidance will be adopted in three phases.  </w:t>
      </w:r>
      <w:r w:rsidRPr="00536C4D">
        <w:t>Phase I will establish the</w:t>
      </w:r>
      <w:r>
        <w:t xml:space="preserve"> </w:t>
      </w:r>
      <w:r w:rsidRPr="00386A73">
        <w:t>consistent conceptual foundation and approach supporting the interpretation of the narrative biostimulatory objective, applicable to all inland, enclosed bays, and estuarine waterbodies,</w:t>
      </w:r>
      <w:r>
        <w:t xml:space="preserve"> </w:t>
      </w:r>
      <w:r w:rsidRPr="009A6118">
        <w:t>and establish numeric guidance for wadeable streams</w:t>
      </w:r>
      <w:r>
        <w:t xml:space="preserve">.  </w:t>
      </w:r>
      <w:r w:rsidRPr="00511B7C">
        <w:t xml:space="preserve">As a part of this </w:t>
      </w:r>
      <w:r>
        <w:t>amendment,</w:t>
      </w:r>
      <w:r w:rsidRPr="00511B7C">
        <w:t xml:space="preserve"> the State Water Board intends to establish a</w:t>
      </w:r>
      <w:r>
        <w:t>n</w:t>
      </w:r>
      <w:r w:rsidRPr="00511B7C">
        <w:t xml:space="preserve"> Implementation Plan</w:t>
      </w:r>
      <w:r>
        <w:t xml:space="preserve"> to protect Biointegrity, which provides the conceptual basis for the protection of aquatic life</w:t>
      </w:r>
      <w:r>
        <w:rPr>
          <w:rFonts w:cs="Calibri"/>
        </w:rPr>
        <w:t>–</w:t>
      </w:r>
      <w:r>
        <w:t>related beneficial uses and numeric guidance specifically for wadeable streams</w:t>
      </w:r>
      <w:r w:rsidRPr="00511B7C">
        <w:t>.</w:t>
      </w:r>
      <w:r>
        <w:t xml:space="preserve"> For this document, wadeable streams are defined as follows:</w:t>
      </w:r>
    </w:p>
    <w:p w14:paraId="62FA6028" w14:textId="77777777" w:rsidR="00A80F66" w:rsidRPr="00F90F3C" w:rsidRDefault="00A80F66" w:rsidP="00A80F66">
      <w:pPr>
        <w:ind w:left="360" w:hanging="360"/>
        <w:jc w:val="both"/>
        <w:rPr>
          <w:i/>
        </w:rPr>
      </w:pPr>
      <w:r w:rsidRPr="00F90F3C">
        <w:rPr>
          <w:i/>
        </w:rPr>
        <w:tab/>
        <w:t xml:space="preserve">Rivers and streams are the freshwater wetlands and deepwater habitats contained within a channel with a linear path of flow and ocean derived salinities of &lt;0.5 ppt.  Rivers and streams are further classified into wadeable and non-wadeable streams.  </w:t>
      </w:r>
      <w:r w:rsidRPr="00F90F3C">
        <w:rPr>
          <w:b/>
          <w:i/>
        </w:rPr>
        <w:t>Wadeable streams, creeks and small rivers</w:t>
      </w:r>
      <w:r w:rsidRPr="00F90F3C">
        <w:rPr>
          <w:i/>
        </w:rPr>
        <w:t xml:space="preserve"> are thus called because they are shallow enough to be sampled using methods that involve wading into the water. They typically include waters classified as 1st through 4th order in the Strahler Stream Order classification system (based on the number of tributaries upstream), but some large rivers greater than the 5</w:t>
      </w:r>
      <w:r w:rsidRPr="00F90F3C">
        <w:rPr>
          <w:i/>
          <w:vertAlign w:val="superscript"/>
        </w:rPr>
        <w:t>th</w:t>
      </w:r>
      <w:r w:rsidRPr="00F90F3C">
        <w:rPr>
          <w:i/>
        </w:rPr>
        <w:t xml:space="preserve"> Strahler Stream order can be wadeable, particularly if they have intermittent flow.</w:t>
      </w:r>
      <w:r>
        <w:rPr>
          <w:i/>
        </w:rPr>
        <w:t xml:space="preserve"> </w:t>
      </w:r>
      <w:r w:rsidRPr="00F90F3C">
        <w:rPr>
          <w:i/>
        </w:rPr>
        <w:t xml:space="preserve">This classification into wadeable and non-wadeable is useful because it generally points to the types of response indicators that are applicable in each type of riverine environments and because numeric guidance developed based on wadeable stream bioassessment monitoring.  We note that some response indicators typical of non-wadeable streams can be of use in wadeable rivers, and visa-versa. Thus, this is meant to serve as a general guide, rather than a hard and fast rule.  </w:t>
      </w:r>
    </w:p>
    <w:p w14:paraId="3A47D90A" w14:textId="77777777" w:rsidR="00A80F66" w:rsidRDefault="00A80F66" w:rsidP="00A80F66">
      <w:pPr>
        <w:jc w:val="both"/>
      </w:pPr>
      <w:bookmarkStart w:id="12" w:name="_Toc422997697"/>
      <w:bookmarkStart w:id="13" w:name="_Toc524109866"/>
      <w:r>
        <w:t xml:space="preserve">The purpose of this document is to provide a synthesis of science supporting the development of numeric guidance to protect wadeable streams from eutrophication.  It has three aims. First, it provides general conceptual models of risk pathways by which nutrient pollution and eutrophication can impair beneficial uses in wadeable streams. Second, it provides a review of eutrophication indicators that can serve as the basis for assessing beneficial use protection status. Third, it summarizes available science supporting the selection of numeric targets to protect waterbodies against biostimulatory impacts.  </w:t>
      </w:r>
    </w:p>
    <w:p w14:paraId="715E2DCB" w14:textId="4D640913" w:rsidR="00A80F66" w:rsidRDefault="00A80F66" w:rsidP="00A80F66">
      <w:pPr>
        <w:rPr>
          <w:rFonts w:ascii="Arial" w:hAnsi="Arial" w:cs="Arial"/>
          <w:b/>
          <w:sz w:val="20"/>
          <w:szCs w:val="20"/>
        </w:rPr>
      </w:pPr>
      <w:r>
        <w:t xml:space="preserve">This document builds off the organizing assumptions and scientific principles, summarized in Sutula (2018), which provide an overarching approach to the assessment of biostimulatory impacts in California waterbodies (Table 1.4).These principles are derived by </w:t>
      </w:r>
      <w:r w:rsidRPr="00A10EFE">
        <w:rPr>
          <w:rFonts w:cs="Calibri"/>
          <w:color w:val="000000"/>
          <w:lang w:bidi="ar-SA"/>
        </w:rPr>
        <w:t xml:space="preserve">two decades or more of technical and policy discussions on approach to nutrient objectives (nutrient numeric endpoint or NNE; Tetra Tech 2006) that frame the Water Board staff preferred policy approach to addressing eutrophication (SWRCB 2014) and their current focus on biostimulatory objectives. They are also supported by more than a decade of experience in implementing and honing these </w:t>
      </w:r>
      <w:r>
        <w:rPr>
          <w:rFonts w:cs="Calibri"/>
          <w:color w:val="000000"/>
          <w:lang w:bidi="ar-SA"/>
        </w:rPr>
        <w:t>principles through several TMDLs</w:t>
      </w:r>
      <w:r w:rsidRPr="00A10EFE">
        <w:rPr>
          <w:rFonts w:cs="Calibri"/>
          <w:color w:val="000000"/>
          <w:lang w:bidi="ar-SA"/>
        </w:rPr>
        <w:t>. The</w:t>
      </w:r>
      <w:r>
        <w:rPr>
          <w:rFonts w:cs="Calibri"/>
          <w:color w:val="000000"/>
          <w:lang w:bidi="ar-SA"/>
        </w:rPr>
        <w:t>se</w:t>
      </w:r>
      <w:r w:rsidRPr="00A10EFE">
        <w:rPr>
          <w:rFonts w:cs="Calibri"/>
          <w:color w:val="000000"/>
          <w:lang w:bidi="ar-SA"/>
        </w:rPr>
        <w:t xml:space="preserve"> </w:t>
      </w:r>
      <w:r>
        <w:rPr>
          <w:rFonts w:cs="Calibri"/>
          <w:color w:val="000000"/>
          <w:lang w:bidi="ar-SA"/>
        </w:rPr>
        <w:t xml:space="preserve">organizing </w:t>
      </w:r>
      <w:r w:rsidRPr="00A10EFE">
        <w:rPr>
          <w:rFonts w:cs="Calibri"/>
          <w:color w:val="000000"/>
          <w:lang w:bidi="ar-SA"/>
        </w:rPr>
        <w:t>assumption</w:t>
      </w:r>
      <w:r>
        <w:rPr>
          <w:rFonts w:cs="Calibri"/>
          <w:color w:val="000000"/>
          <w:lang w:bidi="ar-SA"/>
        </w:rPr>
        <w:t>s</w:t>
      </w:r>
      <w:r w:rsidRPr="00A10EFE">
        <w:rPr>
          <w:rFonts w:cs="Calibri"/>
          <w:color w:val="000000"/>
          <w:lang w:bidi="ar-SA"/>
        </w:rPr>
        <w:t xml:space="preserve"> and </w:t>
      </w:r>
      <w:r>
        <w:rPr>
          <w:rFonts w:cs="Calibri"/>
          <w:color w:val="000000"/>
          <w:lang w:bidi="ar-SA"/>
        </w:rPr>
        <w:t xml:space="preserve">scientific </w:t>
      </w:r>
      <w:r w:rsidRPr="00A10EFE">
        <w:rPr>
          <w:rFonts w:cs="Calibri"/>
          <w:color w:val="000000"/>
          <w:lang w:bidi="ar-SA"/>
        </w:rPr>
        <w:t>principles are meant to provide a clear context and technical foun</w:t>
      </w:r>
      <w:r>
        <w:rPr>
          <w:rFonts w:cs="Calibri"/>
          <w:color w:val="000000"/>
          <w:lang w:bidi="ar-SA"/>
        </w:rPr>
        <w:t xml:space="preserve">dation for, but not </w:t>
      </w:r>
      <w:r w:rsidR="00F072B6">
        <w:rPr>
          <w:rFonts w:cs="Calibri"/>
          <w:color w:val="000000"/>
          <w:lang w:bidi="ar-SA"/>
        </w:rPr>
        <w:t xml:space="preserve">to </w:t>
      </w:r>
      <w:r>
        <w:rPr>
          <w:rFonts w:cs="Calibri"/>
          <w:color w:val="000000"/>
          <w:lang w:bidi="ar-SA"/>
        </w:rPr>
        <w:t xml:space="preserve">supercede, State Water Board </w:t>
      </w:r>
      <w:r w:rsidRPr="00A10EFE">
        <w:rPr>
          <w:rFonts w:cs="Calibri"/>
          <w:color w:val="000000"/>
          <w:lang w:bidi="ar-SA"/>
        </w:rPr>
        <w:t>policy decisions</w:t>
      </w:r>
      <w:r>
        <w:rPr>
          <w:rFonts w:cs="Calibri"/>
          <w:color w:val="000000"/>
          <w:lang w:bidi="ar-SA"/>
        </w:rPr>
        <w:t xml:space="preserve"> on biostimulatory objectives</w:t>
      </w:r>
      <w:r w:rsidRPr="00A10EFE">
        <w:rPr>
          <w:rFonts w:cs="Calibri"/>
          <w:color w:val="000000"/>
          <w:lang w:bidi="ar-SA"/>
        </w:rPr>
        <w:t xml:space="preserve">. </w:t>
      </w:r>
      <w:r>
        <w:rPr>
          <w:rFonts w:cs="Arial"/>
          <w:szCs w:val="20"/>
        </w:rPr>
        <w:br w:type="page"/>
      </w:r>
    </w:p>
    <w:p w14:paraId="450FCACB" w14:textId="77928026" w:rsidR="001E693C" w:rsidRPr="00352AE9" w:rsidRDefault="001E693C" w:rsidP="001E693C">
      <w:pPr>
        <w:pStyle w:val="TOT"/>
        <w:rPr>
          <w:rFonts w:cs="Arial"/>
          <w:szCs w:val="20"/>
        </w:rPr>
      </w:pPr>
      <w:bookmarkStart w:id="14" w:name="_Toc526489906"/>
      <w:r w:rsidRPr="00941AB8">
        <w:rPr>
          <w:rFonts w:cs="Arial"/>
          <w:szCs w:val="20"/>
        </w:rPr>
        <w:t>Table 1.</w:t>
      </w:r>
      <w:bookmarkEnd w:id="12"/>
      <w:r w:rsidR="00A80F66">
        <w:rPr>
          <w:rFonts w:cs="Arial"/>
          <w:szCs w:val="20"/>
        </w:rPr>
        <w:t>3</w:t>
      </w:r>
      <w:r>
        <w:rPr>
          <w:rFonts w:cs="Arial"/>
          <w:szCs w:val="20"/>
        </w:rPr>
        <w:t xml:space="preserve">. </w:t>
      </w:r>
      <w:r w:rsidRPr="0017150C">
        <w:t xml:space="preserve">The </w:t>
      </w:r>
      <w:r w:rsidRPr="009B3624">
        <w:rPr>
          <w:rFonts w:eastAsia="Tw Cen MT"/>
        </w:rPr>
        <w:t xml:space="preserve">State Water Board </w:t>
      </w:r>
      <w:r>
        <w:rPr>
          <w:rFonts w:eastAsia="Tw Cen MT"/>
        </w:rPr>
        <w:t>established five guiding principles which frame t</w:t>
      </w:r>
      <w:r w:rsidRPr="009B3624">
        <w:rPr>
          <w:rFonts w:eastAsia="Tw Cen MT,Calibri"/>
        </w:rPr>
        <w:t xml:space="preserve">he </w:t>
      </w:r>
      <w:r w:rsidRPr="0017150C">
        <w:t xml:space="preserve">regulatory approach </w:t>
      </w:r>
      <w:r>
        <w:rPr>
          <w:rFonts w:eastAsia="Tw Cen MT,Calibri"/>
        </w:rPr>
        <w:t>for</w:t>
      </w:r>
      <w:r w:rsidRPr="0017150C">
        <w:t xml:space="preserve"> the Biostimulatory-Biointegrity Project </w:t>
      </w:r>
      <w:r>
        <w:rPr>
          <w:rFonts w:eastAsia="Tw Cen MT,Calibri"/>
        </w:rPr>
        <w:t>and p</w:t>
      </w:r>
      <w:r w:rsidRPr="009B3624">
        <w:rPr>
          <w:rFonts w:eastAsia="Tw Cen MT,Calibri"/>
        </w:rPr>
        <w:t>rovide</w:t>
      </w:r>
      <w:r w:rsidRPr="0017150C">
        <w:t xml:space="preserve"> important context for the science required to support policy options under consideration</w:t>
      </w:r>
      <w:r>
        <w:rPr>
          <w:rFonts w:eastAsia="Tw Cen MT,Calibri"/>
        </w:rPr>
        <w:t xml:space="preserve"> (State Water Board Biointegrity Work Plan 2010; State Water Board Nutrient Control Plan 2014; State Water Board Focus Group Outreach Document, 2016).</w:t>
      </w:r>
      <w:bookmarkEnd w:id="13"/>
      <w:bookmarkEnd w:id="14"/>
      <w:r>
        <w:rPr>
          <w:rFonts w:eastAsia="Tw Cen MT,Calibri"/>
        </w:rPr>
        <w:t xml:space="preserve"> </w:t>
      </w:r>
    </w:p>
    <w:tbl>
      <w:tblPr>
        <w:tblW w:w="9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68"/>
      </w:tblGrid>
      <w:tr w:rsidR="001E693C" w:rsidRPr="00941AB8" w14:paraId="7D61BA01" w14:textId="77777777" w:rsidTr="00625153">
        <w:tc>
          <w:tcPr>
            <w:tcW w:w="9468" w:type="dxa"/>
            <w:shd w:val="clear" w:color="auto" w:fill="auto"/>
          </w:tcPr>
          <w:p w14:paraId="09E3A5F1" w14:textId="77777777" w:rsidR="001E693C" w:rsidRPr="00941AB8" w:rsidRDefault="001E693C" w:rsidP="00625153">
            <w:pPr>
              <w:autoSpaceDE w:val="0"/>
              <w:autoSpaceDN w:val="0"/>
              <w:adjustRightInd w:val="0"/>
              <w:spacing w:after="0"/>
              <w:jc w:val="both"/>
              <w:rPr>
                <w:rFonts w:ascii="Arial" w:hAnsi="Arial" w:cs="Arial"/>
                <w:sz w:val="20"/>
                <w:szCs w:val="20"/>
              </w:rPr>
            </w:pPr>
            <w:r w:rsidRPr="00941AB8">
              <w:rPr>
                <w:rFonts w:ascii="Arial" w:hAnsi="Arial" w:cs="Arial"/>
                <w:b/>
                <w:sz w:val="20"/>
                <w:szCs w:val="20"/>
              </w:rPr>
              <w:t>The State should develop objectives that address nutrient pollution and biostimulatory conditions (Figure 1</w:t>
            </w:r>
            <w:r>
              <w:rPr>
                <w:rFonts w:ascii="Arial" w:hAnsi="Arial" w:cs="Arial"/>
                <w:b/>
                <w:sz w:val="20"/>
                <w:szCs w:val="20"/>
              </w:rPr>
              <w:t>.1</w:t>
            </w:r>
            <w:r w:rsidRPr="00941AB8">
              <w:rPr>
                <w:rFonts w:ascii="Arial" w:hAnsi="Arial" w:cs="Arial"/>
                <w:b/>
                <w:sz w:val="20"/>
                <w:szCs w:val="20"/>
              </w:rPr>
              <w:t>).</w:t>
            </w:r>
            <w:r w:rsidRPr="00941AB8">
              <w:rPr>
                <w:rFonts w:ascii="Arial" w:hAnsi="Arial" w:cs="Arial"/>
                <w:sz w:val="20"/>
                <w:szCs w:val="20"/>
              </w:rPr>
              <w:t xml:space="preserve"> </w:t>
            </w:r>
            <w:r w:rsidRPr="00352AE9">
              <w:rPr>
                <w:rFonts w:ascii="Arial" w:hAnsi="Arial" w:cs="Arial"/>
                <w:sz w:val="20"/>
                <w:szCs w:val="20"/>
              </w:rPr>
              <w:t>Environmental variables such as hydrology, etc. can modify ecosystem response to nutrients. Anthropogenic activities that alter these environmental variables can be biostimulatory, even under low-nutrient conditions. Therefore, the Biostimulatory Substances Amendment should address both nutrient pollution and biostimulatory conditions.</w:t>
            </w:r>
          </w:p>
        </w:tc>
      </w:tr>
      <w:tr w:rsidR="001E693C" w:rsidRPr="00941AB8" w14:paraId="429FCD25" w14:textId="77777777" w:rsidTr="00625153">
        <w:tc>
          <w:tcPr>
            <w:tcW w:w="9468" w:type="dxa"/>
            <w:shd w:val="clear" w:color="auto" w:fill="auto"/>
          </w:tcPr>
          <w:p w14:paraId="2929C60E" w14:textId="77777777" w:rsidR="001E693C" w:rsidRPr="00941AB8" w:rsidRDefault="001E693C" w:rsidP="00625153">
            <w:pPr>
              <w:autoSpaceDE w:val="0"/>
              <w:autoSpaceDN w:val="0"/>
              <w:adjustRightInd w:val="0"/>
              <w:spacing w:after="0"/>
              <w:jc w:val="both"/>
              <w:rPr>
                <w:rFonts w:ascii="Arial" w:hAnsi="Arial" w:cs="Arial"/>
                <w:sz w:val="20"/>
                <w:szCs w:val="20"/>
              </w:rPr>
            </w:pPr>
            <w:r w:rsidRPr="00941AB8">
              <w:rPr>
                <w:rFonts w:ascii="Arial" w:hAnsi="Arial" w:cs="Arial"/>
                <w:b/>
                <w:sz w:val="20"/>
                <w:szCs w:val="20"/>
              </w:rPr>
              <w:t>The State should develop narrative nutrient objectives with numeric guidance.</w:t>
            </w:r>
            <w:r w:rsidRPr="00941AB8">
              <w:rPr>
                <w:rFonts w:ascii="Arial" w:hAnsi="Arial" w:cs="Arial"/>
                <w:sz w:val="20"/>
                <w:szCs w:val="20"/>
              </w:rPr>
              <w:t xml:space="preserve"> </w:t>
            </w:r>
            <w:r w:rsidRPr="00352AE9">
              <w:rPr>
                <w:rFonts w:ascii="Arial" w:hAnsi="Arial" w:cs="Arial"/>
                <w:sz w:val="20"/>
                <w:szCs w:val="20"/>
              </w:rPr>
              <w:t>The Biostimulatory Substances Amendment could include: a statewide numeric objective or a statewide narrative objective (with a numeric translator), and various regulatory control options for point and non-point sources including a watershed management approach. The numeric objective or numeric guidance is hereto referred as numeric guidance for simplicity.</w:t>
            </w:r>
          </w:p>
        </w:tc>
      </w:tr>
      <w:tr w:rsidR="001E693C" w:rsidRPr="00941AB8" w14:paraId="67A0ECD2" w14:textId="77777777" w:rsidTr="00625153">
        <w:tc>
          <w:tcPr>
            <w:tcW w:w="9468" w:type="dxa"/>
            <w:shd w:val="clear" w:color="auto" w:fill="auto"/>
          </w:tcPr>
          <w:p w14:paraId="078DD7EA" w14:textId="77777777" w:rsidR="001E693C" w:rsidRPr="00941AB8" w:rsidRDefault="001E693C" w:rsidP="00625153">
            <w:pPr>
              <w:spacing w:after="0"/>
              <w:rPr>
                <w:rFonts w:ascii="Arial" w:hAnsi="Arial" w:cs="Arial"/>
                <w:sz w:val="20"/>
                <w:szCs w:val="20"/>
              </w:rPr>
            </w:pPr>
            <w:r w:rsidRPr="00941AB8">
              <w:rPr>
                <w:rFonts w:ascii="Arial" w:hAnsi="Arial" w:cs="Arial"/>
                <w:b/>
                <w:sz w:val="20"/>
                <w:szCs w:val="20"/>
              </w:rPr>
              <w:t>Numeric guidance should have a strong linkage to beneficial use</w:t>
            </w:r>
            <w:r w:rsidRPr="00941AB8">
              <w:rPr>
                <w:rFonts w:ascii="Arial" w:hAnsi="Arial" w:cs="Arial"/>
                <w:sz w:val="20"/>
                <w:szCs w:val="20"/>
              </w:rPr>
              <w:t xml:space="preserve">. </w:t>
            </w:r>
            <w:r w:rsidRPr="00352AE9">
              <w:rPr>
                <w:rFonts w:ascii="Arial" w:hAnsi="Arial" w:cs="Arial"/>
                <w:sz w:val="20"/>
                <w:szCs w:val="20"/>
              </w:rPr>
              <w:t xml:space="preserve">Eutrophication results in adverse ecological responses in a water body. These ecological responses are directly linked to beneficial uses. The State </w:t>
            </w:r>
            <w:r>
              <w:rPr>
                <w:rFonts w:ascii="Arial" w:hAnsi="Arial" w:cs="Arial"/>
                <w:sz w:val="20"/>
                <w:szCs w:val="20"/>
              </w:rPr>
              <w:t xml:space="preserve">Water Board </w:t>
            </w:r>
            <w:r w:rsidRPr="00352AE9">
              <w:rPr>
                <w:rFonts w:ascii="Arial" w:hAnsi="Arial" w:cs="Arial"/>
                <w:sz w:val="20"/>
                <w:szCs w:val="20"/>
              </w:rPr>
              <w:t xml:space="preserve">is considering the option that the Biostimulatory Substances Amendment may consist of a set of numeric </w:t>
            </w:r>
            <w:r>
              <w:rPr>
                <w:rFonts w:ascii="Arial" w:hAnsi="Arial" w:cs="Arial"/>
                <w:sz w:val="20"/>
                <w:szCs w:val="20"/>
              </w:rPr>
              <w:t>endpoints</w:t>
            </w:r>
            <w:r w:rsidRPr="00352AE9">
              <w:rPr>
                <w:rFonts w:ascii="Arial" w:hAnsi="Arial" w:cs="Arial"/>
                <w:sz w:val="20"/>
                <w:szCs w:val="20"/>
              </w:rPr>
              <w:t xml:space="preserve"> for these ecological response indicators and </w:t>
            </w:r>
            <w:r>
              <w:rPr>
                <w:rFonts w:ascii="Arial" w:hAnsi="Arial" w:cs="Arial"/>
                <w:sz w:val="20"/>
                <w:szCs w:val="20"/>
              </w:rPr>
              <w:t xml:space="preserve">numeric targets for </w:t>
            </w:r>
            <w:r w:rsidRPr="00352AE9">
              <w:rPr>
                <w:rFonts w:ascii="Arial" w:hAnsi="Arial" w:cs="Arial"/>
                <w:sz w:val="20"/>
                <w:szCs w:val="20"/>
              </w:rPr>
              <w:t>nutrients.</w:t>
            </w:r>
          </w:p>
        </w:tc>
      </w:tr>
      <w:tr w:rsidR="001E693C" w:rsidRPr="00941AB8" w14:paraId="4E9C31C5" w14:textId="77777777" w:rsidTr="00625153">
        <w:tc>
          <w:tcPr>
            <w:tcW w:w="9468" w:type="dxa"/>
            <w:shd w:val="clear" w:color="auto" w:fill="auto"/>
          </w:tcPr>
          <w:p w14:paraId="23AA12B3" w14:textId="77777777" w:rsidR="001E693C" w:rsidRPr="00941AB8" w:rsidRDefault="001E693C" w:rsidP="00625153">
            <w:pPr>
              <w:autoSpaceDE w:val="0"/>
              <w:autoSpaceDN w:val="0"/>
              <w:adjustRightInd w:val="0"/>
              <w:spacing w:after="0"/>
              <w:jc w:val="both"/>
              <w:rPr>
                <w:rFonts w:ascii="Arial" w:hAnsi="Arial" w:cs="Arial"/>
                <w:b/>
                <w:sz w:val="20"/>
                <w:szCs w:val="20"/>
              </w:rPr>
            </w:pPr>
            <w:r w:rsidRPr="00941AB8">
              <w:rPr>
                <w:rFonts w:ascii="Arial" w:hAnsi="Arial" w:cs="Arial"/>
                <w:b/>
                <w:sz w:val="20"/>
                <w:szCs w:val="20"/>
              </w:rPr>
              <w:t xml:space="preserve">The State should have numeric guidance for all water body types. </w:t>
            </w:r>
            <w:r w:rsidRPr="00941AB8">
              <w:rPr>
                <w:rFonts w:ascii="Arial" w:hAnsi="Arial" w:cs="Arial"/>
                <w:sz w:val="20"/>
                <w:szCs w:val="20"/>
              </w:rPr>
              <w:t>The State Water Board intends to develop numeric guidance that translates the narrative objective for all water body types.</w:t>
            </w:r>
          </w:p>
        </w:tc>
      </w:tr>
      <w:tr w:rsidR="001E693C" w:rsidRPr="00941AB8" w14:paraId="5DEB669D" w14:textId="77777777" w:rsidTr="00625153">
        <w:tc>
          <w:tcPr>
            <w:tcW w:w="9468" w:type="dxa"/>
            <w:shd w:val="clear" w:color="auto" w:fill="auto"/>
          </w:tcPr>
          <w:p w14:paraId="592E3D1D" w14:textId="41518DE8" w:rsidR="001E693C" w:rsidRPr="00941AB8" w:rsidRDefault="001E693C" w:rsidP="00625153">
            <w:pPr>
              <w:autoSpaceDE w:val="0"/>
              <w:autoSpaceDN w:val="0"/>
              <w:adjustRightInd w:val="0"/>
              <w:spacing w:after="0"/>
              <w:jc w:val="both"/>
              <w:rPr>
                <w:rFonts w:ascii="Arial" w:hAnsi="Arial" w:cs="Arial"/>
                <w:sz w:val="20"/>
                <w:szCs w:val="20"/>
              </w:rPr>
            </w:pPr>
            <w:r w:rsidRPr="00941AB8">
              <w:rPr>
                <w:rFonts w:ascii="Arial" w:hAnsi="Arial" w:cs="Arial"/>
                <w:b/>
                <w:sz w:val="20"/>
                <w:szCs w:val="20"/>
              </w:rPr>
              <w:t xml:space="preserve">There should be statewide consistency with </w:t>
            </w:r>
            <w:r>
              <w:rPr>
                <w:rFonts w:ascii="Arial" w:hAnsi="Arial" w:cs="Arial"/>
                <w:b/>
                <w:sz w:val="20"/>
                <w:szCs w:val="20"/>
              </w:rPr>
              <w:t>eco–</w:t>
            </w:r>
            <w:r w:rsidRPr="00941AB8">
              <w:rPr>
                <w:rFonts w:ascii="Arial" w:hAnsi="Arial" w:cs="Arial"/>
                <w:b/>
                <w:sz w:val="20"/>
                <w:szCs w:val="20"/>
              </w:rPr>
              <w:t>regional flexibility</w:t>
            </w:r>
            <w:r w:rsidRPr="00941AB8">
              <w:rPr>
                <w:rFonts w:ascii="Arial" w:hAnsi="Arial" w:cs="Arial"/>
                <w:sz w:val="20"/>
                <w:szCs w:val="20"/>
              </w:rPr>
              <w:t>. Statewide consistency is important for equity among stakeholders</w:t>
            </w:r>
            <w:r w:rsidR="00176B02">
              <w:rPr>
                <w:rFonts w:ascii="Arial" w:hAnsi="Arial" w:cs="Arial"/>
                <w:sz w:val="20"/>
                <w:szCs w:val="20"/>
              </w:rPr>
              <w:t>;</w:t>
            </w:r>
            <w:r w:rsidRPr="00941AB8">
              <w:rPr>
                <w:rFonts w:ascii="Arial" w:hAnsi="Arial" w:cs="Arial"/>
                <w:sz w:val="20"/>
                <w:szCs w:val="20"/>
              </w:rPr>
              <w:t xml:space="preserve"> </w:t>
            </w:r>
            <w:r w:rsidR="00176B02">
              <w:rPr>
                <w:rFonts w:ascii="Arial" w:hAnsi="Arial" w:cs="Arial"/>
                <w:sz w:val="20"/>
                <w:szCs w:val="20"/>
              </w:rPr>
              <w:t>h</w:t>
            </w:r>
            <w:r w:rsidRPr="00941AB8">
              <w:rPr>
                <w:rFonts w:ascii="Arial" w:hAnsi="Arial" w:cs="Arial"/>
                <w:sz w:val="20"/>
                <w:szCs w:val="20"/>
              </w:rPr>
              <w:t xml:space="preserve">owever, the State has many different ecosystems, each of which has varying biological characteristics. Therefore, a defensible statewide program must accommodate the unique qualities of each ecoregion. </w:t>
            </w:r>
          </w:p>
        </w:tc>
      </w:tr>
    </w:tbl>
    <w:p w14:paraId="2ACC7026" w14:textId="77777777" w:rsidR="001E693C" w:rsidRDefault="001E693C" w:rsidP="001E693C">
      <w:pPr>
        <w:jc w:val="both"/>
      </w:pPr>
    </w:p>
    <w:p w14:paraId="7FF736D8" w14:textId="77777777" w:rsidR="00A3733D" w:rsidRDefault="00761761" w:rsidP="00A3733D">
      <w:pPr>
        <w:jc w:val="both"/>
      </w:pPr>
      <w:r w:rsidRPr="00A10EFE">
        <w:rPr>
          <w:rFonts w:cs="Calibri"/>
          <w:color w:val="000000"/>
          <w:lang w:bidi="ar-SA"/>
        </w:rPr>
        <w:t xml:space="preserve"> </w:t>
      </w:r>
      <w:r w:rsidR="00A3733D">
        <w:t xml:space="preserve">It is important to note that, in addition to nutrient enrichment and eutrophication, California’s complete suite of nutrient-related policies also addresses toxicity of certain forms of nitrogen, including toxicity of ammonia nitrogen to aquatic life and human health risks associated with elevated concentrations of nitrate and nitrite nitrogen in drinking water.  The policy related to ammonia toxicity is not being updated at this time and nitrogen toxicity is not addressed further in this document.  It is noted that the toxic levels for drinking water for all forms of inorganic nitrogen are generally greater than concentrations that are considered stimulatory or even saturating for plant and algal growth, and thus do not of themselves provide protection against adverse effects of nutrient enrichment.  </w:t>
      </w:r>
      <w:r w:rsidR="00A3733D" w:rsidRPr="00C10DB3">
        <w:t xml:space="preserve">  </w:t>
      </w:r>
    </w:p>
    <w:p w14:paraId="4A0002E4" w14:textId="77777777" w:rsidR="001E693C" w:rsidRDefault="001E693C" w:rsidP="001E693C">
      <w:pPr>
        <w:jc w:val="both"/>
      </w:pPr>
    </w:p>
    <w:p w14:paraId="7D7BB992" w14:textId="77777777" w:rsidR="00A80F66" w:rsidRDefault="00A80F66">
      <w:pPr>
        <w:spacing w:after="0" w:line="240" w:lineRule="auto"/>
        <w:rPr>
          <w:rFonts w:ascii="Arial" w:hAnsi="Arial"/>
          <w:b/>
          <w:sz w:val="20"/>
        </w:rPr>
      </w:pPr>
      <w:r>
        <w:br w:type="page"/>
      </w:r>
    </w:p>
    <w:p w14:paraId="0E8B0097" w14:textId="77777777" w:rsidR="00A10EFE" w:rsidRPr="00A10EFE" w:rsidRDefault="00AE6FEE" w:rsidP="00761761">
      <w:pPr>
        <w:pStyle w:val="TOT"/>
        <w:rPr>
          <w:rFonts w:ascii="Times New Roman" w:hAnsi="Times New Roman"/>
          <w:sz w:val="24"/>
          <w:szCs w:val="24"/>
          <w:lang w:bidi="ar-SA"/>
        </w:rPr>
      </w:pPr>
      <w:bookmarkStart w:id="15" w:name="_Toc526489907"/>
      <w:r>
        <w:t>Table 1.</w:t>
      </w:r>
      <w:r w:rsidR="00A80F66">
        <w:t>4</w:t>
      </w:r>
      <w:r w:rsidR="00726404">
        <w:t>.</w:t>
      </w:r>
      <w:r w:rsidR="00AD34E5">
        <w:t xml:space="preserve"> Key </w:t>
      </w:r>
      <w:r w:rsidR="00611555">
        <w:t>organizing assumptions</w:t>
      </w:r>
      <w:r w:rsidR="00312CE7">
        <w:t xml:space="preserve"> and scientific principles supporting </w:t>
      </w:r>
      <w:r w:rsidR="00F87591">
        <w:t>the</w:t>
      </w:r>
      <w:r w:rsidR="00312CE7">
        <w:t xml:space="preserve"> biostimulatory policy</w:t>
      </w:r>
      <w:r w:rsidR="00AD34E5">
        <w:t xml:space="preserve"> </w:t>
      </w:r>
      <w:r w:rsidR="005C3A87">
        <w:t>(</w:t>
      </w:r>
      <w:r w:rsidR="00312CE7">
        <w:t xml:space="preserve">see explanation on each principle </w:t>
      </w:r>
      <w:r w:rsidR="005C3A87">
        <w:t>summarized from Sutula 2018</w:t>
      </w:r>
      <w:r w:rsidR="00FB7ABC">
        <w:t>).</w:t>
      </w:r>
      <w:bookmarkEnd w:id="15"/>
      <w:r w:rsidR="00FB7ABC">
        <w:t xml:space="preserve"> </w:t>
      </w:r>
    </w:p>
    <w:tbl>
      <w:tblPr>
        <w:tblW w:w="9360" w:type="dxa"/>
        <w:tblInd w:w="-10" w:type="dxa"/>
        <w:tblCellMar>
          <w:top w:w="15" w:type="dxa"/>
          <w:left w:w="15" w:type="dxa"/>
          <w:bottom w:w="15" w:type="dxa"/>
          <w:right w:w="15" w:type="dxa"/>
        </w:tblCellMar>
        <w:tblLook w:val="04A0" w:firstRow="1" w:lastRow="0" w:firstColumn="1" w:lastColumn="0" w:noHBand="0" w:noVBand="1"/>
      </w:tblPr>
      <w:tblGrid>
        <w:gridCol w:w="9360"/>
      </w:tblGrid>
      <w:tr w:rsidR="00F87591" w:rsidRPr="00A10EFE" w14:paraId="413EFEE5" w14:textId="77777777" w:rsidTr="00A80F66">
        <w:tc>
          <w:tcPr>
            <w:tcW w:w="0" w:type="auto"/>
            <w:tcBorders>
              <w:top w:val="single" w:sz="12" w:space="0" w:color="auto"/>
              <w:left w:val="single" w:sz="8" w:space="0" w:color="B3CC82"/>
              <w:bottom w:val="single" w:sz="4" w:space="0" w:color="auto"/>
              <w:right w:val="single" w:sz="8" w:space="0" w:color="B3CC82"/>
            </w:tcBorders>
            <w:tcMar>
              <w:top w:w="0" w:type="dxa"/>
              <w:left w:w="115" w:type="dxa"/>
              <w:bottom w:w="0" w:type="dxa"/>
              <w:right w:w="115" w:type="dxa"/>
            </w:tcMar>
            <w:hideMark/>
          </w:tcPr>
          <w:p w14:paraId="05A25FB9" w14:textId="77777777" w:rsidR="00F87591" w:rsidRPr="00A10EFE" w:rsidRDefault="00F87591" w:rsidP="00A80F66">
            <w:pPr>
              <w:tabs>
                <w:tab w:val="left" w:pos="4485"/>
              </w:tabs>
              <w:spacing w:after="120" w:line="240" w:lineRule="auto"/>
              <w:jc w:val="both"/>
              <w:rPr>
                <w:rFonts w:ascii="Times New Roman" w:hAnsi="Times New Roman"/>
                <w:sz w:val="24"/>
                <w:szCs w:val="24"/>
                <w:lang w:bidi="ar-SA"/>
              </w:rPr>
            </w:pPr>
            <w:r>
              <w:rPr>
                <w:color w:val="000000"/>
              </w:rPr>
              <w:t xml:space="preserve">1. </w:t>
            </w:r>
            <w:r>
              <w:rPr>
                <w:b/>
                <w:i/>
                <w:color w:val="000000"/>
              </w:rPr>
              <w:t>“</w:t>
            </w:r>
            <w:r w:rsidRPr="00D977A9">
              <w:rPr>
                <w:b/>
                <w:color w:val="000000"/>
              </w:rPr>
              <w:t>Biostimulatory drivers</w:t>
            </w:r>
            <w:r>
              <w:rPr>
                <w:b/>
                <w:i/>
                <w:color w:val="000000"/>
              </w:rPr>
              <w:t xml:space="preserve">” </w:t>
            </w:r>
            <w:r w:rsidRPr="00D977A9">
              <w:rPr>
                <w:color w:val="000000"/>
              </w:rPr>
              <w:t>are</w:t>
            </w:r>
            <w:r w:rsidRPr="0097610E">
              <w:rPr>
                <w:color w:val="000000"/>
              </w:rPr>
              <w:t xml:space="preserve"> </w:t>
            </w:r>
            <w:r>
              <w:rPr>
                <w:color w:val="000000"/>
              </w:rPr>
              <w:t xml:space="preserve">defined as </w:t>
            </w:r>
            <w:r w:rsidRPr="00D977A9">
              <w:rPr>
                <w:b/>
                <w:color w:val="000000"/>
              </w:rPr>
              <w:t xml:space="preserve">substances </w:t>
            </w:r>
            <w:r>
              <w:rPr>
                <w:color w:val="000000"/>
              </w:rPr>
              <w:t>such as nutrients (i.e.</w:t>
            </w:r>
            <w:r w:rsidR="00176B02">
              <w:rPr>
                <w:color w:val="000000"/>
              </w:rPr>
              <w:t>,</w:t>
            </w:r>
            <w:r>
              <w:rPr>
                <w:color w:val="000000"/>
              </w:rPr>
              <w:t xml:space="preserve"> nitrogen and phosphorus and </w:t>
            </w:r>
            <w:r w:rsidRPr="00D977A9">
              <w:rPr>
                <w:color w:val="000000"/>
              </w:rPr>
              <w:t xml:space="preserve">associated </w:t>
            </w:r>
            <w:r>
              <w:rPr>
                <w:color w:val="000000"/>
              </w:rPr>
              <w:t>organic matter) or</w:t>
            </w:r>
            <w:r w:rsidRPr="00B316F4">
              <w:rPr>
                <w:color w:val="000000"/>
              </w:rPr>
              <w:t xml:space="preserve"> </w:t>
            </w:r>
            <w:r w:rsidRPr="00D977A9">
              <w:rPr>
                <w:b/>
                <w:color w:val="000000"/>
              </w:rPr>
              <w:t>condition</w:t>
            </w:r>
            <w:r w:rsidRPr="009A6118">
              <w:rPr>
                <w:b/>
                <w:color w:val="000000"/>
              </w:rPr>
              <w:t>s</w:t>
            </w:r>
            <w:r>
              <w:rPr>
                <w:color w:val="000000"/>
              </w:rPr>
              <w:t>, such as altered physical habitat, temperature, hydrology, etc. that can cause eutrophication.</w:t>
            </w:r>
          </w:p>
        </w:tc>
      </w:tr>
      <w:tr w:rsidR="00F87591" w:rsidRPr="00A10EFE" w14:paraId="3799E815" w14:textId="77777777" w:rsidTr="00A80F66">
        <w:tc>
          <w:tcPr>
            <w:tcW w:w="0" w:type="auto"/>
            <w:tcBorders>
              <w:top w:val="single" w:sz="4" w:space="0" w:color="auto"/>
              <w:left w:val="single" w:sz="8" w:space="0" w:color="B3CC82"/>
              <w:bottom w:val="single" w:sz="4" w:space="0" w:color="FFFFFF"/>
              <w:right w:val="single" w:sz="8" w:space="0" w:color="B3CC82"/>
            </w:tcBorders>
            <w:tcMar>
              <w:top w:w="0" w:type="dxa"/>
              <w:left w:w="115" w:type="dxa"/>
              <w:bottom w:w="0" w:type="dxa"/>
              <w:right w:w="115" w:type="dxa"/>
            </w:tcMar>
            <w:hideMark/>
          </w:tcPr>
          <w:p w14:paraId="28C563FF" w14:textId="77777777" w:rsidR="00F87591" w:rsidRPr="00A10EFE" w:rsidRDefault="00F87591" w:rsidP="00F87591">
            <w:pPr>
              <w:spacing w:after="120" w:line="240" w:lineRule="auto"/>
              <w:jc w:val="both"/>
              <w:rPr>
                <w:rFonts w:ascii="Times New Roman" w:hAnsi="Times New Roman"/>
                <w:sz w:val="24"/>
                <w:szCs w:val="24"/>
                <w:lang w:bidi="ar-SA"/>
              </w:rPr>
            </w:pPr>
            <w:r w:rsidRPr="000C3979">
              <w:rPr>
                <w:color w:val="000000"/>
              </w:rPr>
              <w:t>2. Assessment of biostimulatory impacts is based on the diagnosis of eutrophication and its consequences (e.g.</w:t>
            </w:r>
            <w:r w:rsidR="00176B02">
              <w:rPr>
                <w:color w:val="000000"/>
              </w:rPr>
              <w:t>,</w:t>
            </w:r>
            <w:r w:rsidRPr="000C3979">
              <w:rPr>
                <w:color w:val="000000"/>
              </w:rPr>
              <w:t xml:space="preserve"> poor odors and taste, cyanotoxins); inclusion of causal nutrients or other biostimulatory drivers are part of a comprehensive causal assessment and risk prevention approach.</w:t>
            </w:r>
          </w:p>
        </w:tc>
      </w:tr>
      <w:tr w:rsidR="00F87591" w:rsidRPr="00A10EFE" w14:paraId="2E102D7A" w14:textId="77777777" w:rsidTr="00A80F66">
        <w:tc>
          <w:tcPr>
            <w:tcW w:w="0" w:type="auto"/>
            <w:tcBorders>
              <w:top w:val="single" w:sz="4" w:space="0" w:color="auto"/>
              <w:left w:val="single" w:sz="8" w:space="0" w:color="B3CC82"/>
              <w:bottom w:val="single" w:sz="4" w:space="0" w:color="auto"/>
              <w:right w:val="single" w:sz="8" w:space="0" w:color="B3CC82"/>
            </w:tcBorders>
            <w:tcMar>
              <w:top w:w="0" w:type="dxa"/>
              <w:left w:w="115" w:type="dxa"/>
              <w:bottom w:w="0" w:type="dxa"/>
              <w:right w:w="115" w:type="dxa"/>
            </w:tcMar>
            <w:hideMark/>
          </w:tcPr>
          <w:p w14:paraId="26693B2E" w14:textId="77777777" w:rsidR="00F87591" w:rsidRPr="00A10EFE" w:rsidRDefault="00F87591" w:rsidP="00F87591">
            <w:pPr>
              <w:spacing w:after="120" w:line="240" w:lineRule="auto"/>
              <w:jc w:val="both"/>
              <w:rPr>
                <w:rFonts w:ascii="Times New Roman" w:hAnsi="Times New Roman"/>
                <w:sz w:val="24"/>
                <w:szCs w:val="24"/>
                <w:lang w:bidi="ar-SA"/>
              </w:rPr>
            </w:pPr>
            <w:r w:rsidRPr="000C3979">
              <w:rPr>
                <w:color w:val="000000"/>
              </w:rPr>
              <w:t>3. Biostimulatory impacts to beneficial uses will be assessed through an assessment framework developed for each waterbody type, with indicators that represent lines of evidence.</w:t>
            </w:r>
          </w:p>
        </w:tc>
      </w:tr>
      <w:tr w:rsidR="00F87591" w:rsidRPr="00A10EFE" w14:paraId="4115FFB1" w14:textId="77777777" w:rsidTr="00A80F66">
        <w:tc>
          <w:tcPr>
            <w:tcW w:w="0" w:type="auto"/>
            <w:tcBorders>
              <w:top w:val="single" w:sz="4" w:space="0" w:color="auto"/>
              <w:left w:val="single" w:sz="8" w:space="0" w:color="B3CC82"/>
              <w:bottom w:val="single" w:sz="4" w:space="0" w:color="auto"/>
              <w:right w:val="single" w:sz="8" w:space="0" w:color="B3CC82"/>
            </w:tcBorders>
            <w:tcMar>
              <w:top w:w="0" w:type="dxa"/>
              <w:left w:w="115" w:type="dxa"/>
              <w:bottom w:w="0" w:type="dxa"/>
              <w:right w:w="115" w:type="dxa"/>
            </w:tcMar>
            <w:hideMark/>
          </w:tcPr>
          <w:p w14:paraId="3DAD6C06" w14:textId="77777777" w:rsidR="00F87591" w:rsidRPr="00A10EFE" w:rsidRDefault="00F87591" w:rsidP="00F87591">
            <w:pPr>
              <w:spacing w:after="120" w:line="240" w:lineRule="auto"/>
              <w:jc w:val="both"/>
              <w:rPr>
                <w:rFonts w:ascii="Times New Roman" w:hAnsi="Times New Roman"/>
                <w:sz w:val="24"/>
                <w:szCs w:val="24"/>
                <w:lang w:bidi="ar-SA"/>
              </w:rPr>
            </w:pPr>
            <w:r w:rsidRPr="000C3979">
              <w:rPr>
                <w:color w:val="000000"/>
              </w:rPr>
              <w:t>4. Assessment of biostimulatory impacts should consider evidence for impacts to both human and wildlife (aquatic and terrestrial) related beneficial uses.</w:t>
            </w:r>
          </w:p>
        </w:tc>
      </w:tr>
      <w:tr w:rsidR="00F87591" w:rsidRPr="00A10EFE" w14:paraId="675C6271" w14:textId="77777777" w:rsidTr="00A80F66">
        <w:tc>
          <w:tcPr>
            <w:tcW w:w="0" w:type="auto"/>
            <w:tcBorders>
              <w:top w:val="single" w:sz="4" w:space="0" w:color="auto"/>
              <w:left w:val="single" w:sz="8" w:space="0" w:color="B3CC82"/>
              <w:bottom w:val="single" w:sz="4" w:space="0" w:color="auto"/>
              <w:right w:val="single" w:sz="8" w:space="0" w:color="B3CC82"/>
            </w:tcBorders>
            <w:tcMar>
              <w:top w:w="0" w:type="dxa"/>
              <w:left w:w="115" w:type="dxa"/>
              <w:bottom w:w="0" w:type="dxa"/>
              <w:right w:w="115" w:type="dxa"/>
            </w:tcMar>
            <w:hideMark/>
          </w:tcPr>
          <w:p w14:paraId="03FEF728" w14:textId="77777777" w:rsidR="00F87591" w:rsidRPr="00A10EFE" w:rsidRDefault="00F87591" w:rsidP="00F87591">
            <w:pPr>
              <w:spacing w:after="120" w:line="240" w:lineRule="auto"/>
              <w:jc w:val="both"/>
              <w:rPr>
                <w:rFonts w:ascii="Times New Roman" w:hAnsi="Times New Roman"/>
                <w:sz w:val="24"/>
                <w:szCs w:val="24"/>
                <w:lang w:bidi="ar-SA"/>
              </w:rPr>
            </w:pPr>
            <w:r>
              <w:rPr>
                <w:color w:val="000000"/>
              </w:rPr>
              <w:t>5. Statewide indices</w:t>
            </w:r>
            <w:r>
              <w:rPr>
                <w:b/>
                <w:i/>
                <w:color w:val="000000"/>
              </w:rPr>
              <w:t xml:space="preserve"> </w:t>
            </w:r>
            <w:r w:rsidRPr="000C3979">
              <w:rPr>
                <w:color w:val="000000"/>
              </w:rPr>
              <w:t>of</w:t>
            </w:r>
            <w:r>
              <w:rPr>
                <w:b/>
                <w:i/>
                <w:color w:val="000000"/>
              </w:rPr>
              <w:t xml:space="preserve"> biological integrity</w:t>
            </w:r>
            <w:r>
              <w:rPr>
                <w:color w:val="000000"/>
              </w:rPr>
              <w:t xml:space="preserve"> can be used as </w:t>
            </w:r>
            <w:r w:rsidRPr="00B316F4">
              <w:rPr>
                <w:color w:val="000000"/>
              </w:rPr>
              <w:t>assessment endpoints</w:t>
            </w:r>
            <w:r>
              <w:rPr>
                <w:color w:val="000000"/>
              </w:rPr>
              <w:t xml:space="preserve"> from which to derive ranges of biostimulatory targets that are protective of aquatic life related beneficial uses.</w:t>
            </w:r>
          </w:p>
        </w:tc>
      </w:tr>
      <w:tr w:rsidR="00F87591" w:rsidRPr="00A10EFE" w14:paraId="5B964ADC" w14:textId="77777777" w:rsidTr="00A80F66">
        <w:tc>
          <w:tcPr>
            <w:tcW w:w="0" w:type="auto"/>
            <w:tcBorders>
              <w:top w:val="single" w:sz="4" w:space="0" w:color="auto"/>
              <w:left w:val="single" w:sz="8" w:space="0" w:color="B3CC82"/>
              <w:bottom w:val="single" w:sz="4" w:space="0" w:color="auto"/>
              <w:right w:val="single" w:sz="8" w:space="0" w:color="B3CC82"/>
            </w:tcBorders>
            <w:tcMar>
              <w:top w:w="0" w:type="dxa"/>
              <w:left w:w="115" w:type="dxa"/>
              <w:bottom w:w="0" w:type="dxa"/>
              <w:right w:w="115" w:type="dxa"/>
            </w:tcMar>
            <w:hideMark/>
          </w:tcPr>
          <w:p w14:paraId="5E3969A2" w14:textId="77777777" w:rsidR="00F87591" w:rsidRPr="00A10EFE" w:rsidRDefault="00F87591" w:rsidP="00F87591">
            <w:pPr>
              <w:spacing w:after="120" w:line="240" w:lineRule="auto"/>
              <w:jc w:val="both"/>
              <w:rPr>
                <w:rFonts w:ascii="Times New Roman" w:hAnsi="Times New Roman"/>
                <w:sz w:val="24"/>
                <w:szCs w:val="24"/>
                <w:lang w:bidi="ar-SA"/>
              </w:rPr>
            </w:pPr>
            <w:r>
              <w:rPr>
                <w:color w:val="000000"/>
              </w:rPr>
              <w:t xml:space="preserve">6. </w:t>
            </w:r>
            <w:r w:rsidRPr="006E7877">
              <w:rPr>
                <w:color w:val="000000"/>
              </w:rPr>
              <w:t xml:space="preserve">To </w:t>
            </w:r>
            <w:r>
              <w:rPr>
                <w:color w:val="000000"/>
              </w:rPr>
              <w:t>address</w:t>
            </w:r>
            <w:r w:rsidRPr="006E7877">
              <w:rPr>
                <w:color w:val="000000"/>
              </w:rPr>
              <w:t xml:space="preserve"> total “biostimulatory” potential, thresholds should be based on total nutrients (as opposed to dissolved inorganic form) and for both nitrogen and phosphorus, as opposed to just controlling what is considered </w:t>
            </w:r>
            <w:r>
              <w:rPr>
                <w:color w:val="000000"/>
              </w:rPr>
              <w:t xml:space="preserve">the </w:t>
            </w:r>
            <w:r w:rsidRPr="006E7877">
              <w:rPr>
                <w:color w:val="000000"/>
              </w:rPr>
              <w:t xml:space="preserve">limiting </w:t>
            </w:r>
            <w:r>
              <w:rPr>
                <w:color w:val="000000"/>
              </w:rPr>
              <w:t xml:space="preserve">nutrient </w:t>
            </w:r>
            <w:r w:rsidRPr="006E7877">
              <w:rPr>
                <w:color w:val="000000"/>
              </w:rPr>
              <w:t>on-site (either nitrogen or phosphorus).</w:t>
            </w:r>
          </w:p>
        </w:tc>
      </w:tr>
      <w:tr w:rsidR="00F87591" w:rsidRPr="00A10EFE" w14:paraId="5D4E7C4D" w14:textId="77777777" w:rsidTr="00A80F66">
        <w:tc>
          <w:tcPr>
            <w:tcW w:w="0" w:type="auto"/>
            <w:tcBorders>
              <w:top w:val="single" w:sz="4" w:space="0" w:color="auto"/>
              <w:left w:val="single" w:sz="8" w:space="0" w:color="B3CC82"/>
              <w:bottom w:val="single" w:sz="4" w:space="0" w:color="auto"/>
              <w:right w:val="single" w:sz="8" w:space="0" w:color="B3CC82"/>
            </w:tcBorders>
            <w:tcMar>
              <w:top w:w="0" w:type="dxa"/>
              <w:left w:w="115" w:type="dxa"/>
              <w:bottom w:w="0" w:type="dxa"/>
              <w:right w:w="115" w:type="dxa"/>
            </w:tcMar>
            <w:hideMark/>
          </w:tcPr>
          <w:p w14:paraId="2FC2C00D" w14:textId="77777777" w:rsidR="00F87591" w:rsidRPr="00A10EFE" w:rsidRDefault="00F87591" w:rsidP="00F87591">
            <w:pPr>
              <w:spacing w:after="120" w:line="240" w:lineRule="auto"/>
              <w:jc w:val="both"/>
              <w:rPr>
                <w:rFonts w:ascii="Times New Roman" w:hAnsi="Times New Roman"/>
                <w:sz w:val="24"/>
                <w:szCs w:val="24"/>
                <w:lang w:bidi="ar-SA"/>
              </w:rPr>
            </w:pPr>
            <w:r>
              <w:rPr>
                <w:color w:val="000000"/>
              </w:rPr>
              <w:t xml:space="preserve">7. Eutrophication symptoms may be caused by biostimulatory </w:t>
            </w:r>
            <w:r w:rsidRPr="00D977A9">
              <w:rPr>
                <w:color w:val="000000"/>
              </w:rPr>
              <w:t>drivers</w:t>
            </w:r>
            <w:r>
              <w:rPr>
                <w:color w:val="000000"/>
              </w:rPr>
              <w:t xml:space="preserve"> far-field from the waterbody, and thus assessment </w:t>
            </w:r>
            <w:r w:rsidRPr="00D977A9">
              <w:rPr>
                <w:color w:val="000000"/>
              </w:rPr>
              <w:t>of biostimulatory impacts</w:t>
            </w:r>
            <w:r>
              <w:rPr>
                <w:b/>
                <w:i/>
                <w:color w:val="000000"/>
              </w:rPr>
              <w:t xml:space="preserve"> </w:t>
            </w:r>
            <w:r>
              <w:rPr>
                <w:color w:val="000000"/>
              </w:rPr>
              <w:t xml:space="preserve">should take a watershed-wide approach. </w:t>
            </w:r>
          </w:p>
        </w:tc>
      </w:tr>
      <w:tr w:rsidR="00F87591" w:rsidRPr="00A10EFE" w14:paraId="4C0777A9" w14:textId="77777777" w:rsidTr="00A80F66">
        <w:tc>
          <w:tcPr>
            <w:tcW w:w="0" w:type="auto"/>
            <w:tcBorders>
              <w:top w:val="single" w:sz="4" w:space="0" w:color="auto"/>
              <w:left w:val="single" w:sz="8" w:space="0" w:color="B3CC82"/>
              <w:bottom w:val="single" w:sz="4" w:space="0" w:color="auto"/>
              <w:right w:val="single" w:sz="8" w:space="0" w:color="B3CC82"/>
            </w:tcBorders>
            <w:tcMar>
              <w:top w:w="0" w:type="dxa"/>
              <w:left w:w="115" w:type="dxa"/>
              <w:bottom w:w="0" w:type="dxa"/>
              <w:right w:w="115" w:type="dxa"/>
            </w:tcMar>
            <w:hideMark/>
          </w:tcPr>
          <w:p w14:paraId="27037E0D" w14:textId="77777777" w:rsidR="00F87591" w:rsidRPr="00A10EFE" w:rsidRDefault="00F87591" w:rsidP="00F87591">
            <w:pPr>
              <w:spacing w:after="120" w:line="240" w:lineRule="auto"/>
              <w:jc w:val="both"/>
              <w:rPr>
                <w:rFonts w:ascii="Times New Roman" w:hAnsi="Times New Roman"/>
                <w:sz w:val="24"/>
                <w:szCs w:val="24"/>
                <w:lang w:bidi="ar-SA"/>
              </w:rPr>
            </w:pPr>
            <w:r>
              <w:rPr>
                <w:color w:val="000000"/>
              </w:rPr>
              <w:t xml:space="preserve">8. Biostimulatory conditions </w:t>
            </w:r>
            <w:r w:rsidRPr="00D977A9">
              <w:rPr>
                <w:color w:val="000000"/>
              </w:rPr>
              <w:t>can</w:t>
            </w:r>
            <w:r>
              <w:rPr>
                <w:color w:val="000000"/>
              </w:rPr>
              <w:t xml:space="preserve"> be a focal point of development of watershed-specific numeric targets and adaptive management strategies.</w:t>
            </w:r>
          </w:p>
        </w:tc>
      </w:tr>
      <w:tr w:rsidR="00F87591" w:rsidRPr="00A10EFE" w14:paraId="23AC7131" w14:textId="77777777" w:rsidTr="00A80F66">
        <w:tc>
          <w:tcPr>
            <w:tcW w:w="0" w:type="auto"/>
            <w:tcBorders>
              <w:top w:val="single" w:sz="4" w:space="0" w:color="auto"/>
              <w:left w:val="single" w:sz="8" w:space="0" w:color="B3CC82"/>
              <w:bottom w:val="single" w:sz="4" w:space="0" w:color="auto"/>
              <w:right w:val="single" w:sz="8" w:space="0" w:color="B3CC82"/>
            </w:tcBorders>
            <w:tcMar>
              <w:top w:w="0" w:type="dxa"/>
              <w:left w:w="115" w:type="dxa"/>
              <w:bottom w:w="0" w:type="dxa"/>
              <w:right w:w="115" w:type="dxa"/>
            </w:tcMar>
            <w:hideMark/>
          </w:tcPr>
          <w:p w14:paraId="55867E69" w14:textId="77777777" w:rsidR="00F87591" w:rsidRPr="00A10EFE" w:rsidRDefault="00F87591" w:rsidP="00F87591">
            <w:pPr>
              <w:spacing w:after="120" w:line="240" w:lineRule="auto"/>
              <w:jc w:val="both"/>
              <w:rPr>
                <w:rFonts w:ascii="Times New Roman" w:hAnsi="Times New Roman"/>
                <w:sz w:val="24"/>
                <w:szCs w:val="24"/>
                <w:lang w:bidi="ar-SA"/>
              </w:rPr>
            </w:pPr>
            <w:r>
              <w:rPr>
                <w:color w:val="000000"/>
              </w:rPr>
              <w:t xml:space="preserve">9. </w:t>
            </w:r>
            <w:r w:rsidRPr="00D977A9">
              <w:rPr>
                <w:color w:val="000000"/>
              </w:rPr>
              <w:t>Implementation options to address biostimulatory conditions and substances should recognize the complexity of these drivers and how they can vary spatially and temporally from watershed to watershed and among certain waterbodies.</w:t>
            </w:r>
          </w:p>
        </w:tc>
      </w:tr>
      <w:tr w:rsidR="00F87591" w:rsidRPr="00A10EFE" w14:paraId="0CECE0CB" w14:textId="77777777" w:rsidTr="00A80F66">
        <w:tc>
          <w:tcPr>
            <w:tcW w:w="0" w:type="auto"/>
            <w:tcBorders>
              <w:top w:val="single" w:sz="4" w:space="0" w:color="auto"/>
              <w:left w:val="single" w:sz="8" w:space="0" w:color="B3CC82"/>
              <w:bottom w:val="single" w:sz="12" w:space="0" w:color="auto"/>
              <w:right w:val="single" w:sz="8" w:space="0" w:color="B3CC82"/>
            </w:tcBorders>
            <w:tcMar>
              <w:top w:w="0" w:type="dxa"/>
              <w:left w:w="115" w:type="dxa"/>
              <w:bottom w:w="0" w:type="dxa"/>
              <w:right w:w="115" w:type="dxa"/>
            </w:tcMar>
            <w:hideMark/>
          </w:tcPr>
          <w:p w14:paraId="297F1F9F" w14:textId="77777777" w:rsidR="00F87591" w:rsidRPr="00A10EFE" w:rsidRDefault="00F87591" w:rsidP="00F87591">
            <w:pPr>
              <w:spacing w:after="120" w:line="240" w:lineRule="auto"/>
              <w:jc w:val="both"/>
              <w:rPr>
                <w:rFonts w:ascii="Times New Roman" w:hAnsi="Times New Roman"/>
                <w:sz w:val="24"/>
                <w:szCs w:val="24"/>
                <w:lang w:bidi="ar-SA"/>
              </w:rPr>
            </w:pPr>
            <w:r>
              <w:rPr>
                <w:color w:val="000000"/>
              </w:rPr>
              <w:t>10.</w:t>
            </w:r>
            <w:r w:rsidRPr="000C3979">
              <w:rPr>
                <w:color w:val="000000"/>
              </w:rPr>
              <w:t xml:space="preserve"> Generic conceptual models of biostimulatory impacts to waterbodies, presented here, should be refined to illustrate key hypotheses for how biostimulatory substances and conditions are linked to eutrophication symptoms and their relationship to designated waterbody uses. </w:t>
            </w:r>
          </w:p>
        </w:tc>
      </w:tr>
    </w:tbl>
    <w:p w14:paraId="767890E7" w14:textId="77777777" w:rsidR="00AE6FEE" w:rsidRDefault="00AE6FEE" w:rsidP="00A10EFE">
      <w:pPr>
        <w:pStyle w:val="TOT"/>
      </w:pPr>
    </w:p>
    <w:p w14:paraId="0A5BE0DD" w14:textId="77777777" w:rsidR="004211B4" w:rsidRPr="00C94B8D" w:rsidRDefault="004211B4" w:rsidP="004211B4">
      <w:pPr>
        <w:pStyle w:val="Heading2"/>
      </w:pPr>
      <w:bookmarkStart w:id="16" w:name="_Toc526505107"/>
      <w:r w:rsidRPr="00C94B8D">
        <w:t>1.</w:t>
      </w:r>
      <w:r w:rsidR="00A76C60">
        <w:t>2</w:t>
      </w:r>
      <w:r>
        <w:tab/>
      </w:r>
      <w:r w:rsidRPr="00C94B8D">
        <w:t>Document Organization</w:t>
      </w:r>
      <w:bookmarkEnd w:id="16"/>
    </w:p>
    <w:p w14:paraId="01CE23FA" w14:textId="77777777" w:rsidR="004211B4" w:rsidRPr="00C94B8D" w:rsidRDefault="004211B4" w:rsidP="004211B4">
      <w:r w:rsidRPr="00C94B8D">
        <w:t>The document is organized as follows:</w:t>
      </w:r>
    </w:p>
    <w:p w14:paraId="5C46EF4E" w14:textId="77777777" w:rsidR="004211B4" w:rsidRDefault="00A76C60" w:rsidP="00312CE7">
      <w:pPr>
        <w:ind w:left="360"/>
      </w:pPr>
      <w:r>
        <w:t>Section</w:t>
      </w:r>
      <w:r w:rsidR="004211B4" w:rsidRPr="00C94B8D">
        <w:t xml:space="preserve"> 1: Introduction, Purpose</w:t>
      </w:r>
      <w:r w:rsidR="004211B4">
        <w:t>, Policy Context,</w:t>
      </w:r>
      <w:r w:rsidR="004211B4" w:rsidRPr="00C94B8D">
        <w:t xml:space="preserve"> </w:t>
      </w:r>
      <w:r w:rsidR="004211B4">
        <w:t xml:space="preserve">and Organization </w:t>
      </w:r>
      <w:r w:rsidR="004211B4" w:rsidRPr="00C94B8D">
        <w:t xml:space="preserve">of Document, </w:t>
      </w:r>
      <w:r w:rsidR="004211B4">
        <w:t>Important Definitions</w:t>
      </w:r>
    </w:p>
    <w:p w14:paraId="28577A1A" w14:textId="77777777" w:rsidR="003F7721" w:rsidRDefault="00A76C60" w:rsidP="00312CE7">
      <w:pPr>
        <w:ind w:left="360"/>
      </w:pPr>
      <w:r>
        <w:t xml:space="preserve">Section </w:t>
      </w:r>
      <w:r w:rsidR="004211B4">
        <w:t>2: Biostimulatory C</w:t>
      </w:r>
      <w:r w:rsidR="004211B4" w:rsidRPr="00C94B8D">
        <w:t xml:space="preserve">onceptual </w:t>
      </w:r>
      <w:r w:rsidR="004211B4">
        <w:t>M</w:t>
      </w:r>
      <w:r w:rsidR="004211B4" w:rsidRPr="00C94B8D">
        <w:t>odels</w:t>
      </w:r>
      <w:r>
        <w:t xml:space="preserve"> </w:t>
      </w:r>
      <w:r w:rsidR="004211B4" w:rsidRPr="00C94B8D">
        <w:t xml:space="preserve">and </w:t>
      </w:r>
      <w:r w:rsidR="004211B4">
        <w:t>C</w:t>
      </w:r>
      <w:r w:rsidR="004211B4" w:rsidRPr="00C94B8D">
        <w:t xml:space="preserve">andidate </w:t>
      </w:r>
      <w:r w:rsidR="004211B4">
        <w:t>I</w:t>
      </w:r>
      <w:r w:rsidR="003F7721">
        <w:t xml:space="preserve">ndicators </w:t>
      </w:r>
      <w:r>
        <w:t>for Wadeable Streams</w:t>
      </w:r>
    </w:p>
    <w:p w14:paraId="3EF3FE1A" w14:textId="77777777" w:rsidR="00A76C60" w:rsidRDefault="00A76C60" w:rsidP="00312CE7">
      <w:pPr>
        <w:ind w:left="360"/>
      </w:pPr>
      <w:r>
        <w:t>Section 3: Summary of Science Supporting Selection of Numeric Targets in Wadeable Streams</w:t>
      </w:r>
    </w:p>
    <w:p w14:paraId="3168104D" w14:textId="77777777" w:rsidR="003F7721" w:rsidRDefault="003F7721" w:rsidP="003F7721">
      <w:r>
        <w:t xml:space="preserve">  </w:t>
      </w:r>
    </w:p>
    <w:p w14:paraId="0046202F" w14:textId="77777777" w:rsidR="004211B4" w:rsidRDefault="004211B4" w:rsidP="004211B4">
      <w:pPr>
        <w:pStyle w:val="TOT"/>
        <w:jc w:val="both"/>
      </w:pPr>
      <w:bookmarkStart w:id="17" w:name="_Toc291474557"/>
    </w:p>
    <w:p w14:paraId="1D4D661F" w14:textId="77777777" w:rsidR="002A34E1" w:rsidRDefault="00A76C60" w:rsidP="008E7E7F">
      <w:pPr>
        <w:pStyle w:val="Heading1"/>
        <w:numPr>
          <w:ilvl w:val="0"/>
          <w:numId w:val="4"/>
        </w:numPr>
      </w:pPr>
      <w:bookmarkStart w:id="18" w:name="_Toc526505108"/>
      <w:bookmarkStart w:id="19" w:name="_Toc261867228"/>
      <w:bookmarkStart w:id="20" w:name="_Toc290373919"/>
      <w:bookmarkEnd w:id="17"/>
      <w:r>
        <w:t xml:space="preserve">Conceptual Models and Indicators to </w:t>
      </w:r>
      <w:r w:rsidR="004211B4">
        <w:t xml:space="preserve">Assess </w:t>
      </w:r>
      <w:r w:rsidR="00181AA3">
        <w:t xml:space="preserve">Biostimulatory </w:t>
      </w:r>
      <w:r w:rsidR="004211B4">
        <w:t>Impacts</w:t>
      </w:r>
      <w:r>
        <w:t xml:space="preserve"> in Wadeable Streams</w:t>
      </w:r>
      <w:bookmarkEnd w:id="18"/>
      <w:r w:rsidR="004211B4">
        <w:t xml:space="preserve"> </w:t>
      </w:r>
    </w:p>
    <w:p w14:paraId="3D536BD6" w14:textId="77777777" w:rsidR="00A91EBA" w:rsidRDefault="00951AA9" w:rsidP="00766082">
      <w:pPr>
        <w:pStyle w:val="Heading2"/>
        <w:rPr>
          <w:lang w:bidi="ar-SA"/>
        </w:rPr>
      </w:pPr>
      <w:bookmarkStart w:id="21" w:name="_Toc526505109"/>
      <w:bookmarkEnd w:id="19"/>
      <w:bookmarkEnd w:id="20"/>
      <w:r>
        <w:rPr>
          <w:lang w:bidi="ar-SA"/>
        </w:rPr>
        <w:t>2.</w:t>
      </w:r>
      <w:r w:rsidR="00AD34E5">
        <w:rPr>
          <w:lang w:bidi="ar-SA"/>
        </w:rPr>
        <w:t>1</w:t>
      </w:r>
      <w:r>
        <w:rPr>
          <w:lang w:bidi="ar-SA"/>
        </w:rPr>
        <w:tab/>
      </w:r>
      <w:bookmarkStart w:id="22" w:name="_Toc290373924"/>
      <w:r w:rsidR="00A91EBA">
        <w:rPr>
          <w:lang w:bidi="ar-SA"/>
        </w:rPr>
        <w:t xml:space="preserve">Conceptual </w:t>
      </w:r>
      <w:r w:rsidR="00A91EBA" w:rsidRPr="00766082">
        <w:t>Models</w:t>
      </w:r>
      <w:r w:rsidR="00A91EBA">
        <w:rPr>
          <w:lang w:bidi="ar-SA"/>
        </w:rPr>
        <w:t xml:space="preserve"> </w:t>
      </w:r>
      <w:bookmarkEnd w:id="22"/>
      <w:r w:rsidR="008959E9">
        <w:rPr>
          <w:lang w:bidi="ar-SA"/>
        </w:rPr>
        <w:t>of Eutrophication</w:t>
      </w:r>
      <w:r w:rsidR="00AD34E5">
        <w:rPr>
          <w:lang w:bidi="ar-SA"/>
        </w:rPr>
        <w:t xml:space="preserve"> in Wadeable Streams</w:t>
      </w:r>
      <w:bookmarkEnd w:id="21"/>
      <w:r w:rsidR="008959E9">
        <w:rPr>
          <w:lang w:bidi="ar-SA"/>
        </w:rPr>
        <w:t xml:space="preserve"> </w:t>
      </w:r>
    </w:p>
    <w:p w14:paraId="445CB7ED" w14:textId="77777777" w:rsidR="00700D5A" w:rsidRDefault="00A91EBA" w:rsidP="0026661A">
      <w:pPr>
        <w:spacing w:after="120"/>
      </w:pPr>
      <w:r>
        <w:t xml:space="preserve">A simple </w:t>
      </w:r>
      <w:r w:rsidR="005C3A87">
        <w:t xml:space="preserve">generic </w:t>
      </w:r>
      <w:r>
        <w:t>conceptual model</w:t>
      </w:r>
      <w:r w:rsidRPr="00B61DD0">
        <w:t xml:space="preserve"> of </w:t>
      </w:r>
      <w:r w:rsidR="005C3A87">
        <w:t>wadeable stream</w:t>
      </w:r>
      <w:r w:rsidRPr="00B61DD0">
        <w:t xml:space="preserve"> </w:t>
      </w:r>
      <w:r>
        <w:t>ecological r</w:t>
      </w:r>
      <w:r w:rsidRPr="00B61DD0">
        <w:t xml:space="preserve">esponse to </w:t>
      </w:r>
      <w:r>
        <w:t>eutrophication can be described (Figure 2.</w:t>
      </w:r>
      <w:r w:rsidR="005C3A87">
        <w:t>1, Sutula 2018</w:t>
      </w:r>
      <w:r>
        <w:t xml:space="preserve">). </w:t>
      </w:r>
    </w:p>
    <w:p w14:paraId="3408C801" w14:textId="24F3E37A" w:rsidR="00700D5A" w:rsidRDefault="00700D5A" w:rsidP="00700D5A">
      <w:r>
        <w:t>Wadeable streams, in their natural and undisturbed state, feature low biomass and low productivity, but high diversity of a mosaic of primary producers (Paul et al. 2018), including benthic diatoms, soft-bodied algae (e.g.</w:t>
      </w:r>
      <w:r w:rsidR="00176B02">
        <w:t>,</w:t>
      </w:r>
      <w:r>
        <w:t xml:space="preserve"> macroalgae), submerged and emergent aquatic vegetation, and cyanobacteria, with a high percentage of pollution intolerant or rare taxa. The good water clarity typically provides strong light </w:t>
      </w:r>
      <w:r w:rsidR="00B24799">
        <w:t>penetration</w:t>
      </w:r>
      <w:r>
        <w:t xml:space="preserve"> to the bottom, enhancing benthic over planktonic primary producers. In oligotrophic</w:t>
      </w:r>
      <w:r w:rsidR="008E6E94">
        <w:t xml:space="preserve"> and mesotrophic</w:t>
      </w:r>
      <w:r>
        <w:t xml:space="preserve"> streams</w:t>
      </w:r>
      <w:r w:rsidR="008E6E94">
        <w:t xml:space="preserve"> (Dodds 2007)</w:t>
      </w:r>
      <w:r>
        <w:t xml:space="preserve">, dissolved organic nutrients dominate the nutrient pool, which are conserved and recycled through the activity of heterotrophic microbes (bacteria, </w:t>
      </w:r>
      <w:r w:rsidR="00B24799">
        <w:t>archaea</w:t>
      </w:r>
      <w:r>
        <w:t xml:space="preserve"> and fungi; Findlay 2010).  The diversity of habitats and food sources, with low ranges of natural stressors (nutrient forms, DO, pH, cyanotoxins), provide the basis for a complex matrix of community of primary producers, primary consumers (herbivores) and predators. </w:t>
      </w:r>
    </w:p>
    <w:p w14:paraId="4FED9E16" w14:textId="0F488C20" w:rsidR="00700D5A" w:rsidRDefault="00700D5A" w:rsidP="00700D5A">
      <w:r>
        <w:t xml:space="preserve">With watershed development, a series of factors change the range of natural variation in nutrients, light, temperature, and substrate (Hynes 1970, Cushing and Allan 2001, Delong and Brusven 1992, Miltner and Rankin 1998). Nutrient inputs are increased, changing the concentrations and ratios of nitrogen, phosphorus and silica, as well as micronutrients and trace elements and increasing the percentage of bioavailable nitrate, ammonium and phosphate relative to dissolved organic forms. Loss of floodplain habitat and riparian corridors increases light availability and increases temperature, a condition that is heightened as streams are armored to optimize the channel for flood control. Watershed development also reduced to changes in the flow and sedimentation, including increased retention time, decreased scour, and changes in substrate (including increased </w:t>
      </w:r>
      <w:r w:rsidR="00B24799">
        <w:t>embeddedness</w:t>
      </w:r>
      <w:r>
        <w:t xml:space="preserve"> of cobbles and pebbles with fine grained sediments). In some landscapes, turbidity increases, decreasing light penetration to the bottom. Invasive organisms can proliferate, in some cases reducing pressure from grazers that can exert a top down control on primary producer biomass.</w:t>
      </w:r>
    </w:p>
    <w:p w14:paraId="69D69605" w14:textId="77777777" w:rsidR="008521B6" w:rsidRDefault="00A91EBA" w:rsidP="00700D5A">
      <w:pPr>
        <w:spacing w:after="120"/>
      </w:pPr>
      <w:r>
        <w:t xml:space="preserve">The increased </w:t>
      </w:r>
      <w:r w:rsidR="00700D5A">
        <w:t xml:space="preserve">biostimulatory substances and conditions (nutrients </w:t>
      </w:r>
      <w:r>
        <w:t xml:space="preserve">and alterations in </w:t>
      </w:r>
      <w:r w:rsidR="00700D5A">
        <w:t xml:space="preserve">environmental </w:t>
      </w:r>
      <w:r>
        <w:t>factors</w:t>
      </w:r>
      <w:r w:rsidR="00700D5A">
        <w:t>)</w:t>
      </w:r>
      <w:r>
        <w:t xml:space="preserve"> can result in</w:t>
      </w:r>
      <w:r w:rsidR="008E6E94">
        <w:t xml:space="preserve">: </w:t>
      </w:r>
    </w:p>
    <w:p w14:paraId="68462A76" w14:textId="77777777" w:rsidR="008521B6" w:rsidRDefault="00A91EBA" w:rsidP="008E7E7F">
      <w:pPr>
        <w:pStyle w:val="ListParagraph"/>
        <w:numPr>
          <w:ilvl w:val="0"/>
          <w:numId w:val="7"/>
        </w:numPr>
        <w:spacing w:after="120"/>
      </w:pPr>
      <w:r>
        <w:t xml:space="preserve">Changes to aquatic </w:t>
      </w:r>
      <w:r w:rsidR="00D73132">
        <w:t>autotrophs (primary producers) and heterotrophs</w:t>
      </w:r>
      <w:r>
        <w:t xml:space="preserve">, </w:t>
      </w:r>
    </w:p>
    <w:p w14:paraId="66D7D93E" w14:textId="77777777" w:rsidR="008521B6" w:rsidRDefault="00A91EBA" w:rsidP="008E7E7F">
      <w:pPr>
        <w:pStyle w:val="ListParagraph"/>
        <w:numPr>
          <w:ilvl w:val="0"/>
          <w:numId w:val="7"/>
        </w:numPr>
        <w:spacing w:after="120"/>
      </w:pPr>
      <w:r>
        <w:t xml:space="preserve">Altered </w:t>
      </w:r>
      <w:r w:rsidR="00D73132">
        <w:t xml:space="preserve">physical habitat, </w:t>
      </w:r>
      <w:r>
        <w:t>water and sediment biogeochemistry</w:t>
      </w:r>
      <w:r w:rsidR="00495B7A">
        <w:t>,</w:t>
      </w:r>
      <w:r w:rsidR="008E6E94">
        <w:t xml:space="preserve"> and </w:t>
      </w:r>
    </w:p>
    <w:p w14:paraId="01B5FA57" w14:textId="77777777" w:rsidR="008521B6" w:rsidRDefault="00A91EBA" w:rsidP="008E7E7F">
      <w:pPr>
        <w:pStyle w:val="ListParagraph"/>
        <w:numPr>
          <w:ilvl w:val="0"/>
          <w:numId w:val="7"/>
        </w:numPr>
        <w:spacing w:after="120"/>
      </w:pPr>
      <w:r>
        <w:t>Altered community structure of secondary (invertebrates) and tertiary c</w:t>
      </w:r>
      <w:r w:rsidR="005C3A87">
        <w:t>onsumers (fish, birds, mammals)</w:t>
      </w:r>
      <w:r w:rsidR="008E6E94">
        <w:t xml:space="preserve">. </w:t>
      </w:r>
    </w:p>
    <w:p w14:paraId="3D5194C7" w14:textId="77777777" w:rsidR="00700D5A" w:rsidRDefault="00700D5A" w:rsidP="00700D5A">
      <w:pPr>
        <w:spacing w:after="120"/>
      </w:pPr>
      <w:r>
        <w:t xml:space="preserve">This cascade of effects has a direct effect on the ecosystem services and beneficial uses that wadeable streams provide (Table 2.1), including: </w:t>
      </w:r>
    </w:p>
    <w:p w14:paraId="7DC56079" w14:textId="77777777" w:rsidR="008E6E94" w:rsidRDefault="008E6E94" w:rsidP="008E6E94">
      <w:pPr>
        <w:numPr>
          <w:ilvl w:val="0"/>
          <w:numId w:val="1"/>
        </w:numPr>
        <w:spacing w:after="0"/>
        <w:ind w:left="763"/>
      </w:pPr>
      <w:r>
        <w:t xml:space="preserve">Reduced habitat for and direct impacts to aquatic life (including WARM, COLD, WILD) </w:t>
      </w:r>
    </w:p>
    <w:p w14:paraId="1812EC0F" w14:textId="77777777" w:rsidR="008E6E94" w:rsidRDefault="008E6E94" w:rsidP="008E6E94">
      <w:pPr>
        <w:numPr>
          <w:ilvl w:val="0"/>
          <w:numId w:val="1"/>
        </w:numPr>
        <w:spacing w:after="0"/>
        <w:ind w:left="763"/>
      </w:pPr>
      <w:r>
        <w:t xml:space="preserve">Reduced protection of biodiversity including rare, threatened and endangered species and migratory and spawning habitat (RARE, SPWN, MIGR) </w:t>
      </w:r>
    </w:p>
    <w:p w14:paraId="28F6B6B8" w14:textId="77777777" w:rsidR="008E6E94" w:rsidRDefault="008E6E94" w:rsidP="008E6E94">
      <w:pPr>
        <w:numPr>
          <w:ilvl w:val="0"/>
          <w:numId w:val="1"/>
        </w:numPr>
        <w:spacing w:after="0"/>
        <w:ind w:left="763"/>
      </w:pPr>
      <w:r>
        <w:t xml:space="preserve">Declines in productivity of </w:t>
      </w:r>
      <w:r w:rsidRPr="00953CEE">
        <w:t>commercial and recreational fisheries</w:t>
      </w:r>
      <w:r>
        <w:t xml:space="preserve"> (SHELL, COMM, AQUA)</w:t>
      </w:r>
      <w:r w:rsidRPr="00953CEE">
        <w:t>.</w:t>
      </w:r>
    </w:p>
    <w:p w14:paraId="1BCC7E52" w14:textId="77777777" w:rsidR="008E6E94" w:rsidRDefault="008E6E94" w:rsidP="008E6E94">
      <w:pPr>
        <w:numPr>
          <w:ilvl w:val="0"/>
          <w:numId w:val="1"/>
        </w:numPr>
        <w:spacing w:after="0"/>
        <w:ind w:left="763"/>
      </w:pPr>
      <w:r>
        <w:t>Poor visual aesthetics and increased odors (REC2)</w:t>
      </w:r>
    </w:p>
    <w:p w14:paraId="0F16E297" w14:textId="77777777" w:rsidR="008E6E94" w:rsidRDefault="008E6E94" w:rsidP="008E6E94">
      <w:pPr>
        <w:pStyle w:val="ListParagraph"/>
        <w:numPr>
          <w:ilvl w:val="0"/>
          <w:numId w:val="1"/>
        </w:numPr>
        <w:spacing w:after="0"/>
      </w:pPr>
      <w:r>
        <w:t>Maintenance of good water quality (MUN, REC1, COMM, AQUA, SHELL)</w:t>
      </w:r>
      <w:r w:rsidRPr="00953CEE">
        <w:t xml:space="preserve"> </w:t>
      </w:r>
    </w:p>
    <w:p w14:paraId="7BFF6350" w14:textId="77777777" w:rsidR="008E6E94" w:rsidRDefault="008E6E94" w:rsidP="008E6E94">
      <w:pPr>
        <w:spacing w:after="80" w:line="240" w:lineRule="auto"/>
      </w:pPr>
    </w:p>
    <w:p w14:paraId="0F91F791" w14:textId="77777777" w:rsidR="008E6E94" w:rsidRPr="0050502C" w:rsidRDefault="008E6E94" w:rsidP="008E6E94">
      <w:pPr>
        <w:pStyle w:val="TOT"/>
      </w:pPr>
      <w:bookmarkStart w:id="23" w:name="_Toc526489908"/>
      <w:r w:rsidRPr="0050502C">
        <w:t xml:space="preserve">Table </w:t>
      </w:r>
      <w:r>
        <w:t>2.1</w:t>
      </w:r>
      <w:r w:rsidRPr="0050502C">
        <w:t>. Most Important Risk Pathways</w:t>
      </w:r>
      <w:r>
        <w:t xml:space="preserve"> Associated with Impairment of </w:t>
      </w:r>
      <w:r w:rsidRPr="0050502C">
        <w:t xml:space="preserve">Sensitive Uses by </w:t>
      </w:r>
      <w:r>
        <w:t>Nutrient Pollution and Eutrophication. Aquatic life -related uses, ALU, are grouped to include: COLD, WARM, MIGR, RARE, and SPWN beneficial uses. Birds, amphibian and terrestrial wildlife are represented under WILD, MIGR, and RARE. Poor water quality can be linked to human or aquatic/wildlife uses.</w:t>
      </w:r>
      <w:bookmarkEnd w:id="23"/>
      <w:r>
        <w:t xml:space="preserve"> </w:t>
      </w:r>
    </w:p>
    <w:tbl>
      <w:tblPr>
        <w:tblW w:w="9402" w:type="dxa"/>
        <w:jc w:val="center"/>
        <w:tblBorders>
          <w:top w:val="single" w:sz="12" w:space="0" w:color="auto"/>
          <w:bottom w:val="single" w:sz="12" w:space="0" w:color="auto"/>
        </w:tblBorders>
        <w:tblLayout w:type="fixed"/>
        <w:tblCellMar>
          <w:top w:w="14" w:type="dxa"/>
          <w:left w:w="72" w:type="dxa"/>
          <w:bottom w:w="14" w:type="dxa"/>
          <w:right w:w="72" w:type="dxa"/>
        </w:tblCellMar>
        <w:tblLook w:val="00A0" w:firstRow="1" w:lastRow="0" w:firstColumn="1" w:lastColumn="0" w:noHBand="0" w:noVBand="0"/>
      </w:tblPr>
      <w:tblGrid>
        <w:gridCol w:w="2160"/>
        <w:gridCol w:w="1180"/>
        <w:gridCol w:w="1340"/>
        <w:gridCol w:w="1181"/>
        <w:gridCol w:w="1180"/>
        <w:gridCol w:w="1180"/>
        <w:gridCol w:w="1181"/>
      </w:tblGrid>
      <w:tr w:rsidR="008E6E94" w14:paraId="12667509" w14:textId="77777777" w:rsidTr="00554EB0">
        <w:trPr>
          <w:tblHeader/>
          <w:jc w:val="center"/>
        </w:trPr>
        <w:tc>
          <w:tcPr>
            <w:tcW w:w="2160" w:type="dxa"/>
            <w:tcBorders>
              <w:top w:val="single" w:sz="4" w:space="0" w:color="auto"/>
              <w:bottom w:val="single" w:sz="4" w:space="0" w:color="auto"/>
            </w:tcBorders>
            <w:shd w:val="clear" w:color="000080" w:fill="auto"/>
            <w:vAlign w:val="center"/>
          </w:tcPr>
          <w:p w14:paraId="6DD320C2" w14:textId="77777777" w:rsidR="008E6E94" w:rsidRPr="008A0924" w:rsidRDefault="008E6E94" w:rsidP="00554EB0">
            <w:pPr>
              <w:pStyle w:val="TableHeading"/>
            </w:pPr>
            <w:r>
              <w:t>Use</w:t>
            </w:r>
          </w:p>
        </w:tc>
        <w:tc>
          <w:tcPr>
            <w:tcW w:w="1180" w:type="dxa"/>
            <w:tcBorders>
              <w:top w:val="single" w:sz="4" w:space="0" w:color="auto"/>
              <w:bottom w:val="single" w:sz="4" w:space="0" w:color="auto"/>
            </w:tcBorders>
            <w:shd w:val="clear" w:color="000080" w:fill="auto"/>
            <w:tcMar>
              <w:left w:w="43" w:type="dxa"/>
              <w:right w:w="43" w:type="dxa"/>
            </w:tcMar>
            <w:vAlign w:val="center"/>
          </w:tcPr>
          <w:p w14:paraId="579C9D53" w14:textId="77777777" w:rsidR="008E6E94" w:rsidRPr="008A0924" w:rsidRDefault="008E6E94" w:rsidP="00554EB0">
            <w:pPr>
              <w:pStyle w:val="TableHeading"/>
            </w:pPr>
            <w:r>
              <w:t>Altered Aquatic Life</w:t>
            </w:r>
          </w:p>
        </w:tc>
        <w:tc>
          <w:tcPr>
            <w:tcW w:w="1340" w:type="dxa"/>
            <w:tcBorders>
              <w:top w:val="single" w:sz="4" w:space="0" w:color="auto"/>
              <w:bottom w:val="single" w:sz="4" w:space="0" w:color="auto"/>
            </w:tcBorders>
            <w:shd w:val="clear" w:color="000080" w:fill="auto"/>
            <w:tcMar>
              <w:left w:w="43" w:type="dxa"/>
              <w:right w:w="43" w:type="dxa"/>
            </w:tcMar>
            <w:vAlign w:val="center"/>
          </w:tcPr>
          <w:p w14:paraId="2E4C53E4" w14:textId="77777777" w:rsidR="008E6E94" w:rsidRPr="008A0924" w:rsidRDefault="008E6E94" w:rsidP="00554EB0">
            <w:pPr>
              <w:pStyle w:val="TableHeading"/>
            </w:pPr>
            <w:r>
              <w:t>Contaminated or Low Yield Fisheries</w:t>
            </w:r>
          </w:p>
        </w:tc>
        <w:tc>
          <w:tcPr>
            <w:tcW w:w="1181" w:type="dxa"/>
            <w:tcBorders>
              <w:top w:val="single" w:sz="4" w:space="0" w:color="auto"/>
              <w:bottom w:val="single" w:sz="4" w:space="0" w:color="auto"/>
            </w:tcBorders>
            <w:shd w:val="clear" w:color="000080" w:fill="auto"/>
            <w:tcMar>
              <w:left w:w="43" w:type="dxa"/>
              <w:right w:w="43" w:type="dxa"/>
            </w:tcMar>
            <w:vAlign w:val="center"/>
          </w:tcPr>
          <w:p w14:paraId="413B2A65" w14:textId="77777777" w:rsidR="008E6E94" w:rsidRPr="008A0924" w:rsidRDefault="008E6E94" w:rsidP="00554EB0">
            <w:pPr>
              <w:pStyle w:val="TableHeading"/>
            </w:pPr>
            <w:r>
              <w:t>Poor Taste and Odor</w:t>
            </w:r>
          </w:p>
        </w:tc>
        <w:tc>
          <w:tcPr>
            <w:tcW w:w="1180" w:type="dxa"/>
            <w:tcBorders>
              <w:top w:val="single" w:sz="4" w:space="0" w:color="auto"/>
              <w:bottom w:val="single" w:sz="4" w:space="0" w:color="auto"/>
            </w:tcBorders>
            <w:shd w:val="clear" w:color="000080" w:fill="auto"/>
            <w:tcMar>
              <w:left w:w="43" w:type="dxa"/>
              <w:right w:w="43" w:type="dxa"/>
            </w:tcMar>
            <w:vAlign w:val="center"/>
          </w:tcPr>
          <w:p w14:paraId="15D632FF" w14:textId="77777777" w:rsidR="008E6E94" w:rsidRPr="008A0924" w:rsidRDefault="008E6E94" w:rsidP="00554EB0">
            <w:pPr>
              <w:pStyle w:val="TableHeading"/>
            </w:pPr>
            <w:r>
              <w:t>Poor Aesthetics</w:t>
            </w:r>
          </w:p>
        </w:tc>
        <w:tc>
          <w:tcPr>
            <w:tcW w:w="1180" w:type="dxa"/>
            <w:tcBorders>
              <w:top w:val="single" w:sz="4" w:space="0" w:color="auto"/>
              <w:bottom w:val="single" w:sz="4" w:space="0" w:color="auto"/>
            </w:tcBorders>
            <w:shd w:val="clear" w:color="000080" w:fill="auto"/>
            <w:tcMar>
              <w:left w:w="43" w:type="dxa"/>
              <w:right w:w="43" w:type="dxa"/>
            </w:tcMar>
            <w:vAlign w:val="center"/>
          </w:tcPr>
          <w:p w14:paraId="556F0CFE" w14:textId="77777777" w:rsidR="008E6E94" w:rsidRPr="008A0924" w:rsidRDefault="008E6E94" w:rsidP="00554EB0">
            <w:pPr>
              <w:pStyle w:val="TableHeading"/>
            </w:pPr>
            <w:r>
              <w:t>Impeded Water Intake</w:t>
            </w:r>
          </w:p>
        </w:tc>
        <w:tc>
          <w:tcPr>
            <w:tcW w:w="1181" w:type="dxa"/>
            <w:tcBorders>
              <w:top w:val="single" w:sz="4" w:space="0" w:color="auto"/>
              <w:bottom w:val="single" w:sz="4" w:space="0" w:color="auto"/>
            </w:tcBorders>
            <w:shd w:val="clear" w:color="000080" w:fill="auto"/>
            <w:tcMar>
              <w:left w:w="43" w:type="dxa"/>
              <w:right w:w="43" w:type="dxa"/>
            </w:tcMar>
            <w:vAlign w:val="center"/>
          </w:tcPr>
          <w:p w14:paraId="20525A7F" w14:textId="77777777" w:rsidR="008E6E94" w:rsidRPr="008A0924" w:rsidRDefault="008E6E94" w:rsidP="00554EB0">
            <w:pPr>
              <w:pStyle w:val="TableHeading"/>
            </w:pPr>
            <w:r>
              <w:t>Poor Water Quality</w:t>
            </w:r>
          </w:p>
        </w:tc>
      </w:tr>
      <w:tr w:rsidR="008E6E94" w14:paraId="77740A25" w14:textId="77777777" w:rsidTr="00554EB0">
        <w:trPr>
          <w:jc w:val="center"/>
        </w:trPr>
        <w:tc>
          <w:tcPr>
            <w:tcW w:w="2160" w:type="dxa"/>
            <w:tcBorders>
              <w:top w:val="single" w:sz="4" w:space="0" w:color="auto"/>
            </w:tcBorders>
            <w:vAlign w:val="center"/>
          </w:tcPr>
          <w:p w14:paraId="7FA484E6" w14:textId="77777777" w:rsidR="008E6E94" w:rsidRPr="008A0924" w:rsidRDefault="008E6E94" w:rsidP="008E6E94">
            <w:pPr>
              <w:pStyle w:val="TableText0"/>
              <w:spacing w:before="60" w:after="60"/>
            </w:pPr>
            <w:r>
              <w:t>ALU</w:t>
            </w:r>
          </w:p>
        </w:tc>
        <w:tc>
          <w:tcPr>
            <w:tcW w:w="1180" w:type="dxa"/>
            <w:tcBorders>
              <w:top w:val="single" w:sz="4" w:space="0" w:color="auto"/>
            </w:tcBorders>
            <w:vAlign w:val="center"/>
          </w:tcPr>
          <w:p w14:paraId="658B7951" w14:textId="77777777" w:rsidR="008E6E94" w:rsidRDefault="008E6E94" w:rsidP="008E6E94">
            <w:pPr>
              <w:pStyle w:val="TableText0"/>
              <w:spacing w:before="60" w:after="60"/>
              <w:jc w:val="center"/>
              <w:rPr>
                <w:b/>
              </w:rPr>
            </w:pPr>
            <w:r>
              <w:rPr>
                <w:b/>
              </w:rPr>
              <w:t>X</w:t>
            </w:r>
          </w:p>
        </w:tc>
        <w:tc>
          <w:tcPr>
            <w:tcW w:w="1340" w:type="dxa"/>
            <w:tcBorders>
              <w:top w:val="single" w:sz="4" w:space="0" w:color="auto"/>
            </w:tcBorders>
            <w:vAlign w:val="center"/>
          </w:tcPr>
          <w:p w14:paraId="32BA0BBE" w14:textId="77777777" w:rsidR="008E6E94" w:rsidRDefault="008E6E94" w:rsidP="008E6E94">
            <w:pPr>
              <w:pStyle w:val="TableText0"/>
              <w:spacing w:before="60" w:after="60"/>
              <w:jc w:val="center"/>
              <w:rPr>
                <w:b/>
              </w:rPr>
            </w:pPr>
          </w:p>
        </w:tc>
        <w:tc>
          <w:tcPr>
            <w:tcW w:w="1181" w:type="dxa"/>
            <w:tcBorders>
              <w:top w:val="single" w:sz="4" w:space="0" w:color="auto"/>
            </w:tcBorders>
            <w:vAlign w:val="center"/>
          </w:tcPr>
          <w:p w14:paraId="26614068" w14:textId="77777777" w:rsidR="008E6E94" w:rsidRDefault="008E6E94" w:rsidP="008E6E94">
            <w:pPr>
              <w:pStyle w:val="TableText0"/>
              <w:spacing w:before="60" w:after="60"/>
              <w:jc w:val="center"/>
              <w:rPr>
                <w:b/>
              </w:rPr>
            </w:pPr>
          </w:p>
        </w:tc>
        <w:tc>
          <w:tcPr>
            <w:tcW w:w="1180" w:type="dxa"/>
            <w:tcBorders>
              <w:top w:val="single" w:sz="4" w:space="0" w:color="auto"/>
            </w:tcBorders>
            <w:vAlign w:val="center"/>
          </w:tcPr>
          <w:p w14:paraId="7BF09B16" w14:textId="77777777" w:rsidR="008E6E94" w:rsidRDefault="008E6E94" w:rsidP="008E6E94">
            <w:pPr>
              <w:pStyle w:val="TableText0"/>
              <w:spacing w:before="60" w:after="60"/>
              <w:jc w:val="center"/>
              <w:rPr>
                <w:b/>
              </w:rPr>
            </w:pPr>
          </w:p>
        </w:tc>
        <w:tc>
          <w:tcPr>
            <w:tcW w:w="1180" w:type="dxa"/>
            <w:tcBorders>
              <w:top w:val="single" w:sz="4" w:space="0" w:color="auto"/>
            </w:tcBorders>
            <w:vAlign w:val="center"/>
          </w:tcPr>
          <w:p w14:paraId="587A9BDE" w14:textId="77777777" w:rsidR="008E6E94" w:rsidRPr="008A0924" w:rsidRDefault="008E6E94" w:rsidP="008E6E94">
            <w:pPr>
              <w:pStyle w:val="TableText0"/>
              <w:spacing w:before="60" w:after="60"/>
              <w:jc w:val="center"/>
              <w:rPr>
                <w:b/>
              </w:rPr>
            </w:pPr>
          </w:p>
        </w:tc>
        <w:tc>
          <w:tcPr>
            <w:tcW w:w="1181" w:type="dxa"/>
            <w:tcBorders>
              <w:top w:val="single" w:sz="4" w:space="0" w:color="auto"/>
            </w:tcBorders>
            <w:vAlign w:val="center"/>
          </w:tcPr>
          <w:p w14:paraId="72BA7DAB" w14:textId="77777777" w:rsidR="008E6E94" w:rsidRDefault="008E6E94" w:rsidP="008E6E94">
            <w:pPr>
              <w:pStyle w:val="TableText0"/>
              <w:spacing w:before="60" w:after="60"/>
              <w:jc w:val="center"/>
              <w:rPr>
                <w:b/>
              </w:rPr>
            </w:pPr>
            <w:r>
              <w:rPr>
                <w:b/>
              </w:rPr>
              <w:t>X</w:t>
            </w:r>
          </w:p>
        </w:tc>
      </w:tr>
      <w:tr w:rsidR="008E6E94" w14:paraId="5DEFA38C" w14:textId="77777777" w:rsidTr="00554EB0">
        <w:trPr>
          <w:jc w:val="center"/>
        </w:trPr>
        <w:tc>
          <w:tcPr>
            <w:tcW w:w="2160" w:type="dxa"/>
            <w:vAlign w:val="center"/>
          </w:tcPr>
          <w:p w14:paraId="39B6258D" w14:textId="77777777" w:rsidR="008E6E94" w:rsidRDefault="008E6E94" w:rsidP="008E6E94">
            <w:pPr>
              <w:pStyle w:val="TableText0"/>
              <w:spacing w:before="60" w:after="60"/>
            </w:pPr>
            <w:r>
              <w:t>MIGR/WILD/RARE</w:t>
            </w:r>
          </w:p>
        </w:tc>
        <w:tc>
          <w:tcPr>
            <w:tcW w:w="1180" w:type="dxa"/>
            <w:vAlign w:val="center"/>
          </w:tcPr>
          <w:p w14:paraId="1BCB72A8" w14:textId="77777777" w:rsidR="008E6E94" w:rsidRDefault="008E6E94" w:rsidP="008E6E94">
            <w:pPr>
              <w:pStyle w:val="TableText0"/>
              <w:spacing w:before="60" w:after="60"/>
              <w:jc w:val="center"/>
              <w:rPr>
                <w:b/>
              </w:rPr>
            </w:pPr>
            <w:r>
              <w:rPr>
                <w:b/>
              </w:rPr>
              <w:t>X</w:t>
            </w:r>
          </w:p>
        </w:tc>
        <w:tc>
          <w:tcPr>
            <w:tcW w:w="1340" w:type="dxa"/>
            <w:vAlign w:val="center"/>
          </w:tcPr>
          <w:p w14:paraId="66FA681A" w14:textId="77777777" w:rsidR="008E6E94" w:rsidRDefault="008E6E94" w:rsidP="008E6E94">
            <w:pPr>
              <w:pStyle w:val="TableText0"/>
              <w:spacing w:before="60" w:after="60"/>
              <w:jc w:val="center"/>
              <w:rPr>
                <w:b/>
              </w:rPr>
            </w:pPr>
            <w:r>
              <w:rPr>
                <w:b/>
              </w:rPr>
              <w:t>X</w:t>
            </w:r>
          </w:p>
        </w:tc>
        <w:tc>
          <w:tcPr>
            <w:tcW w:w="1181" w:type="dxa"/>
            <w:vAlign w:val="center"/>
          </w:tcPr>
          <w:p w14:paraId="2F789BD1" w14:textId="77777777" w:rsidR="008E6E94" w:rsidRDefault="008E6E94" w:rsidP="008E6E94">
            <w:pPr>
              <w:pStyle w:val="TableText0"/>
              <w:spacing w:before="60" w:after="60"/>
              <w:jc w:val="center"/>
              <w:rPr>
                <w:b/>
              </w:rPr>
            </w:pPr>
            <w:r>
              <w:rPr>
                <w:b/>
              </w:rPr>
              <w:t>X</w:t>
            </w:r>
          </w:p>
        </w:tc>
        <w:tc>
          <w:tcPr>
            <w:tcW w:w="1180" w:type="dxa"/>
            <w:vAlign w:val="center"/>
          </w:tcPr>
          <w:p w14:paraId="40FE69C2" w14:textId="77777777" w:rsidR="008E6E94" w:rsidRDefault="008E6E94" w:rsidP="008E6E94">
            <w:pPr>
              <w:pStyle w:val="TableText0"/>
              <w:spacing w:before="60" w:after="60"/>
              <w:jc w:val="center"/>
              <w:rPr>
                <w:b/>
              </w:rPr>
            </w:pPr>
          </w:p>
        </w:tc>
        <w:tc>
          <w:tcPr>
            <w:tcW w:w="1180" w:type="dxa"/>
            <w:vAlign w:val="center"/>
          </w:tcPr>
          <w:p w14:paraId="7B2C003B" w14:textId="77777777" w:rsidR="008E6E94" w:rsidRPr="008A0924" w:rsidRDefault="008E6E94" w:rsidP="008E6E94">
            <w:pPr>
              <w:pStyle w:val="TableText0"/>
              <w:spacing w:before="60" w:after="60"/>
              <w:jc w:val="center"/>
              <w:rPr>
                <w:b/>
              </w:rPr>
            </w:pPr>
          </w:p>
        </w:tc>
        <w:tc>
          <w:tcPr>
            <w:tcW w:w="1181" w:type="dxa"/>
            <w:vAlign w:val="center"/>
          </w:tcPr>
          <w:p w14:paraId="6211BF95" w14:textId="77777777" w:rsidR="008E6E94" w:rsidRDefault="008E6E94" w:rsidP="008E6E94">
            <w:pPr>
              <w:pStyle w:val="TableText0"/>
              <w:spacing w:before="60" w:after="60"/>
              <w:jc w:val="center"/>
              <w:rPr>
                <w:b/>
              </w:rPr>
            </w:pPr>
            <w:r>
              <w:rPr>
                <w:b/>
              </w:rPr>
              <w:t>X</w:t>
            </w:r>
          </w:p>
        </w:tc>
      </w:tr>
      <w:tr w:rsidR="008E6E94" w14:paraId="08C9A20A" w14:textId="77777777" w:rsidTr="00554EB0">
        <w:trPr>
          <w:jc w:val="center"/>
        </w:trPr>
        <w:tc>
          <w:tcPr>
            <w:tcW w:w="2160" w:type="dxa"/>
            <w:vAlign w:val="center"/>
          </w:tcPr>
          <w:p w14:paraId="4D622BB1" w14:textId="77777777" w:rsidR="008E6E94" w:rsidRPr="008A0924" w:rsidRDefault="008E6E94" w:rsidP="008E6E94">
            <w:pPr>
              <w:pStyle w:val="TableText0"/>
              <w:spacing w:before="60" w:after="60"/>
            </w:pPr>
            <w:r>
              <w:t>COMM/SHELL/AQUA</w:t>
            </w:r>
          </w:p>
        </w:tc>
        <w:tc>
          <w:tcPr>
            <w:tcW w:w="1180" w:type="dxa"/>
            <w:vAlign w:val="center"/>
          </w:tcPr>
          <w:p w14:paraId="4A330C7A" w14:textId="77777777" w:rsidR="008E6E94" w:rsidRPr="008A0924" w:rsidRDefault="008E6E94" w:rsidP="008E6E94">
            <w:pPr>
              <w:pStyle w:val="TableText0"/>
              <w:spacing w:before="60" w:after="60"/>
              <w:jc w:val="center"/>
              <w:rPr>
                <w:b/>
              </w:rPr>
            </w:pPr>
            <w:r>
              <w:rPr>
                <w:b/>
              </w:rPr>
              <w:t>X</w:t>
            </w:r>
          </w:p>
        </w:tc>
        <w:tc>
          <w:tcPr>
            <w:tcW w:w="1340" w:type="dxa"/>
            <w:vAlign w:val="center"/>
          </w:tcPr>
          <w:p w14:paraId="237282BB" w14:textId="77777777" w:rsidR="008E6E94" w:rsidRPr="008A0924" w:rsidRDefault="008E6E94" w:rsidP="008E6E94">
            <w:pPr>
              <w:pStyle w:val="TableText0"/>
              <w:spacing w:before="60" w:after="60"/>
              <w:jc w:val="center"/>
              <w:rPr>
                <w:b/>
              </w:rPr>
            </w:pPr>
            <w:r>
              <w:rPr>
                <w:b/>
              </w:rPr>
              <w:t>X</w:t>
            </w:r>
          </w:p>
        </w:tc>
        <w:tc>
          <w:tcPr>
            <w:tcW w:w="1181" w:type="dxa"/>
            <w:vAlign w:val="center"/>
          </w:tcPr>
          <w:p w14:paraId="7B0E14AD" w14:textId="77777777" w:rsidR="008E6E94" w:rsidRPr="008A0924" w:rsidRDefault="008E6E94" w:rsidP="008E6E94">
            <w:pPr>
              <w:pStyle w:val="TableText0"/>
              <w:spacing w:before="60" w:after="60"/>
              <w:jc w:val="center"/>
              <w:rPr>
                <w:b/>
              </w:rPr>
            </w:pPr>
          </w:p>
        </w:tc>
        <w:tc>
          <w:tcPr>
            <w:tcW w:w="1180" w:type="dxa"/>
            <w:vAlign w:val="center"/>
          </w:tcPr>
          <w:p w14:paraId="663C1B65" w14:textId="77777777" w:rsidR="008E6E94" w:rsidRPr="008A0924" w:rsidRDefault="008E6E94" w:rsidP="008E6E94">
            <w:pPr>
              <w:pStyle w:val="TableText0"/>
              <w:spacing w:before="60" w:after="60"/>
              <w:jc w:val="center"/>
              <w:rPr>
                <w:b/>
              </w:rPr>
            </w:pPr>
          </w:p>
        </w:tc>
        <w:tc>
          <w:tcPr>
            <w:tcW w:w="1180" w:type="dxa"/>
            <w:vAlign w:val="center"/>
          </w:tcPr>
          <w:p w14:paraId="2AF3D6EC" w14:textId="77777777" w:rsidR="008E6E94" w:rsidRPr="008A0924" w:rsidRDefault="008E6E94" w:rsidP="008E6E94">
            <w:pPr>
              <w:pStyle w:val="TableText0"/>
              <w:spacing w:before="60" w:after="60"/>
              <w:jc w:val="center"/>
              <w:rPr>
                <w:b/>
              </w:rPr>
            </w:pPr>
          </w:p>
        </w:tc>
        <w:tc>
          <w:tcPr>
            <w:tcW w:w="1181" w:type="dxa"/>
            <w:vAlign w:val="center"/>
          </w:tcPr>
          <w:p w14:paraId="6788DE6B" w14:textId="77777777" w:rsidR="008E6E94" w:rsidRPr="008A0924" w:rsidRDefault="008E6E94" w:rsidP="008E6E94">
            <w:pPr>
              <w:pStyle w:val="TableText0"/>
              <w:spacing w:before="60" w:after="60"/>
              <w:jc w:val="center"/>
              <w:rPr>
                <w:b/>
              </w:rPr>
            </w:pPr>
            <w:r>
              <w:rPr>
                <w:b/>
              </w:rPr>
              <w:t>X</w:t>
            </w:r>
          </w:p>
        </w:tc>
      </w:tr>
      <w:tr w:rsidR="008E6E94" w14:paraId="3C10B68D" w14:textId="77777777" w:rsidTr="00554EB0">
        <w:trPr>
          <w:jc w:val="center"/>
        </w:trPr>
        <w:tc>
          <w:tcPr>
            <w:tcW w:w="2160" w:type="dxa"/>
            <w:vAlign w:val="center"/>
          </w:tcPr>
          <w:p w14:paraId="3A5A1414" w14:textId="77777777" w:rsidR="008E6E94" w:rsidRPr="008A0924" w:rsidRDefault="008E6E94" w:rsidP="008E6E94">
            <w:pPr>
              <w:pStyle w:val="TableText0"/>
              <w:spacing w:before="60" w:after="60"/>
            </w:pPr>
            <w:r>
              <w:t>TRIB/CULT</w:t>
            </w:r>
          </w:p>
        </w:tc>
        <w:tc>
          <w:tcPr>
            <w:tcW w:w="1180" w:type="dxa"/>
            <w:vAlign w:val="center"/>
          </w:tcPr>
          <w:p w14:paraId="2CC110D1" w14:textId="77777777" w:rsidR="008E6E94" w:rsidRPr="008A0924" w:rsidRDefault="008E6E94" w:rsidP="008E6E94">
            <w:pPr>
              <w:pStyle w:val="TableText0"/>
              <w:spacing w:before="60" w:after="60"/>
              <w:jc w:val="center"/>
              <w:rPr>
                <w:b/>
              </w:rPr>
            </w:pPr>
            <w:r>
              <w:rPr>
                <w:b/>
              </w:rPr>
              <w:t>X</w:t>
            </w:r>
          </w:p>
        </w:tc>
        <w:tc>
          <w:tcPr>
            <w:tcW w:w="1340" w:type="dxa"/>
            <w:vAlign w:val="center"/>
          </w:tcPr>
          <w:p w14:paraId="05AEFBB2" w14:textId="77777777" w:rsidR="008E6E94" w:rsidRPr="008A0924" w:rsidRDefault="008E6E94" w:rsidP="008E6E94">
            <w:pPr>
              <w:pStyle w:val="TableText0"/>
              <w:spacing w:before="60" w:after="60"/>
              <w:jc w:val="center"/>
              <w:rPr>
                <w:b/>
              </w:rPr>
            </w:pPr>
            <w:r>
              <w:rPr>
                <w:b/>
              </w:rPr>
              <w:t>X</w:t>
            </w:r>
          </w:p>
        </w:tc>
        <w:tc>
          <w:tcPr>
            <w:tcW w:w="1181" w:type="dxa"/>
            <w:vAlign w:val="center"/>
          </w:tcPr>
          <w:p w14:paraId="24FA8002" w14:textId="77777777" w:rsidR="008E6E94" w:rsidRPr="008A0924" w:rsidRDefault="008E6E94" w:rsidP="008E6E94">
            <w:pPr>
              <w:pStyle w:val="TableText0"/>
              <w:spacing w:before="60" w:after="60"/>
              <w:jc w:val="center"/>
              <w:rPr>
                <w:b/>
              </w:rPr>
            </w:pPr>
            <w:r>
              <w:rPr>
                <w:b/>
              </w:rPr>
              <w:t>X</w:t>
            </w:r>
          </w:p>
        </w:tc>
        <w:tc>
          <w:tcPr>
            <w:tcW w:w="1180" w:type="dxa"/>
            <w:vAlign w:val="center"/>
          </w:tcPr>
          <w:p w14:paraId="390D83E0" w14:textId="77777777" w:rsidR="008E6E94" w:rsidRPr="008A0924" w:rsidRDefault="008E6E94" w:rsidP="008E6E94">
            <w:pPr>
              <w:pStyle w:val="TableText0"/>
              <w:spacing w:before="60" w:after="60"/>
              <w:jc w:val="center"/>
              <w:rPr>
                <w:b/>
              </w:rPr>
            </w:pPr>
            <w:r>
              <w:rPr>
                <w:b/>
              </w:rPr>
              <w:t>X</w:t>
            </w:r>
          </w:p>
        </w:tc>
        <w:tc>
          <w:tcPr>
            <w:tcW w:w="1180" w:type="dxa"/>
            <w:vAlign w:val="center"/>
          </w:tcPr>
          <w:p w14:paraId="5688F639" w14:textId="77777777" w:rsidR="008E6E94" w:rsidRPr="008A0924" w:rsidRDefault="008E6E94" w:rsidP="008E6E94">
            <w:pPr>
              <w:pStyle w:val="TableText0"/>
              <w:spacing w:before="60" w:after="60"/>
              <w:jc w:val="center"/>
              <w:rPr>
                <w:b/>
              </w:rPr>
            </w:pPr>
            <w:r>
              <w:rPr>
                <w:b/>
              </w:rPr>
              <w:t>X</w:t>
            </w:r>
          </w:p>
        </w:tc>
        <w:tc>
          <w:tcPr>
            <w:tcW w:w="1181" w:type="dxa"/>
            <w:vAlign w:val="center"/>
          </w:tcPr>
          <w:p w14:paraId="5F5ADE58" w14:textId="77777777" w:rsidR="008E6E94" w:rsidRPr="008A0924" w:rsidRDefault="008E6E94" w:rsidP="008E6E94">
            <w:pPr>
              <w:pStyle w:val="TableText0"/>
              <w:spacing w:before="60" w:after="60"/>
              <w:jc w:val="center"/>
              <w:rPr>
                <w:b/>
              </w:rPr>
            </w:pPr>
            <w:r>
              <w:rPr>
                <w:b/>
              </w:rPr>
              <w:t>X</w:t>
            </w:r>
          </w:p>
        </w:tc>
      </w:tr>
      <w:tr w:rsidR="008E6E94" w14:paraId="097FC76B" w14:textId="77777777" w:rsidTr="00554EB0">
        <w:trPr>
          <w:jc w:val="center"/>
        </w:trPr>
        <w:tc>
          <w:tcPr>
            <w:tcW w:w="2160" w:type="dxa"/>
            <w:vAlign w:val="center"/>
          </w:tcPr>
          <w:p w14:paraId="68381E3B" w14:textId="77777777" w:rsidR="008E6E94" w:rsidRPr="008A0924" w:rsidRDefault="008E6E94" w:rsidP="008E6E94">
            <w:pPr>
              <w:pStyle w:val="TableText0"/>
              <w:spacing w:before="60" w:after="60"/>
            </w:pPr>
            <w:r w:rsidRPr="008A0924">
              <w:t>MUN</w:t>
            </w:r>
          </w:p>
        </w:tc>
        <w:tc>
          <w:tcPr>
            <w:tcW w:w="1180" w:type="dxa"/>
            <w:vAlign w:val="center"/>
          </w:tcPr>
          <w:p w14:paraId="4BECA38F" w14:textId="77777777" w:rsidR="008E6E94" w:rsidRPr="008A0924" w:rsidRDefault="008E6E94" w:rsidP="008E6E94">
            <w:pPr>
              <w:pStyle w:val="TableText0"/>
              <w:spacing w:before="60" w:after="60"/>
              <w:jc w:val="center"/>
              <w:rPr>
                <w:b/>
              </w:rPr>
            </w:pPr>
          </w:p>
        </w:tc>
        <w:tc>
          <w:tcPr>
            <w:tcW w:w="1340" w:type="dxa"/>
            <w:vAlign w:val="center"/>
          </w:tcPr>
          <w:p w14:paraId="504B94E4" w14:textId="77777777" w:rsidR="008E6E94" w:rsidRPr="008A0924" w:rsidRDefault="008E6E94" w:rsidP="008E6E94">
            <w:pPr>
              <w:pStyle w:val="TableText0"/>
              <w:spacing w:before="60" w:after="60"/>
              <w:jc w:val="center"/>
              <w:rPr>
                <w:b/>
              </w:rPr>
            </w:pPr>
          </w:p>
        </w:tc>
        <w:tc>
          <w:tcPr>
            <w:tcW w:w="1181" w:type="dxa"/>
            <w:vAlign w:val="center"/>
          </w:tcPr>
          <w:p w14:paraId="7E9BD6E6" w14:textId="77777777" w:rsidR="008E6E94" w:rsidRPr="008A0924" w:rsidRDefault="008E6E94" w:rsidP="008E6E94">
            <w:pPr>
              <w:pStyle w:val="TableText0"/>
              <w:spacing w:before="60" w:after="60"/>
              <w:jc w:val="center"/>
              <w:rPr>
                <w:b/>
              </w:rPr>
            </w:pPr>
            <w:r>
              <w:rPr>
                <w:b/>
              </w:rPr>
              <w:t>X</w:t>
            </w:r>
          </w:p>
        </w:tc>
        <w:tc>
          <w:tcPr>
            <w:tcW w:w="1180" w:type="dxa"/>
            <w:vAlign w:val="center"/>
          </w:tcPr>
          <w:p w14:paraId="3B904139" w14:textId="77777777" w:rsidR="008E6E94" w:rsidRPr="008A0924" w:rsidRDefault="008E6E94" w:rsidP="008E6E94">
            <w:pPr>
              <w:pStyle w:val="TableText0"/>
              <w:spacing w:before="60" w:after="60"/>
              <w:jc w:val="center"/>
              <w:rPr>
                <w:b/>
              </w:rPr>
            </w:pPr>
          </w:p>
        </w:tc>
        <w:tc>
          <w:tcPr>
            <w:tcW w:w="1180" w:type="dxa"/>
            <w:vAlign w:val="center"/>
          </w:tcPr>
          <w:p w14:paraId="2822F15D" w14:textId="77777777" w:rsidR="008E6E94" w:rsidRPr="008A0924" w:rsidRDefault="008E6E94" w:rsidP="008E6E94">
            <w:pPr>
              <w:pStyle w:val="TableText0"/>
              <w:spacing w:before="60" w:after="60"/>
              <w:jc w:val="center"/>
              <w:rPr>
                <w:b/>
              </w:rPr>
            </w:pPr>
            <w:r>
              <w:rPr>
                <w:b/>
              </w:rPr>
              <w:t>X</w:t>
            </w:r>
          </w:p>
        </w:tc>
        <w:tc>
          <w:tcPr>
            <w:tcW w:w="1181" w:type="dxa"/>
            <w:vAlign w:val="center"/>
          </w:tcPr>
          <w:p w14:paraId="5F924577" w14:textId="77777777" w:rsidR="008E6E94" w:rsidRPr="008A0924" w:rsidRDefault="008E6E94" w:rsidP="008E6E94">
            <w:pPr>
              <w:pStyle w:val="TableText0"/>
              <w:spacing w:before="60" w:after="60"/>
              <w:jc w:val="center"/>
              <w:rPr>
                <w:b/>
              </w:rPr>
            </w:pPr>
            <w:r>
              <w:rPr>
                <w:b/>
              </w:rPr>
              <w:t>X</w:t>
            </w:r>
          </w:p>
        </w:tc>
      </w:tr>
      <w:tr w:rsidR="008E6E94" w14:paraId="068566AD" w14:textId="77777777" w:rsidTr="00554EB0">
        <w:trPr>
          <w:jc w:val="center"/>
        </w:trPr>
        <w:tc>
          <w:tcPr>
            <w:tcW w:w="2160" w:type="dxa"/>
            <w:vAlign w:val="center"/>
          </w:tcPr>
          <w:p w14:paraId="0611F78A" w14:textId="77777777" w:rsidR="008E6E94" w:rsidRPr="008A0924" w:rsidRDefault="008E6E94" w:rsidP="008E6E94">
            <w:pPr>
              <w:pStyle w:val="TableText0"/>
              <w:spacing w:before="60" w:after="60"/>
            </w:pPr>
            <w:r>
              <w:t>IND</w:t>
            </w:r>
          </w:p>
        </w:tc>
        <w:tc>
          <w:tcPr>
            <w:tcW w:w="1180" w:type="dxa"/>
            <w:vAlign w:val="center"/>
          </w:tcPr>
          <w:p w14:paraId="7A522E4A" w14:textId="77777777" w:rsidR="008E6E94" w:rsidRPr="008A0924" w:rsidRDefault="008E6E94" w:rsidP="008E6E94">
            <w:pPr>
              <w:pStyle w:val="TableText0"/>
              <w:spacing w:before="60" w:after="60"/>
              <w:jc w:val="center"/>
              <w:rPr>
                <w:b/>
              </w:rPr>
            </w:pPr>
          </w:p>
        </w:tc>
        <w:tc>
          <w:tcPr>
            <w:tcW w:w="1340" w:type="dxa"/>
            <w:vAlign w:val="center"/>
          </w:tcPr>
          <w:p w14:paraId="3DC6BFD3" w14:textId="77777777" w:rsidR="008E6E94" w:rsidRPr="008A0924" w:rsidRDefault="008E6E94" w:rsidP="008E6E94">
            <w:pPr>
              <w:pStyle w:val="TableText0"/>
              <w:spacing w:before="60" w:after="60"/>
              <w:jc w:val="center"/>
              <w:rPr>
                <w:b/>
              </w:rPr>
            </w:pPr>
          </w:p>
        </w:tc>
        <w:tc>
          <w:tcPr>
            <w:tcW w:w="1181" w:type="dxa"/>
            <w:vAlign w:val="center"/>
          </w:tcPr>
          <w:p w14:paraId="0CB9CDB5" w14:textId="77777777" w:rsidR="008E6E94" w:rsidRPr="008A0924" w:rsidRDefault="008E6E94" w:rsidP="008E6E94">
            <w:pPr>
              <w:pStyle w:val="TableText0"/>
              <w:spacing w:before="60" w:after="60"/>
              <w:jc w:val="center"/>
              <w:rPr>
                <w:b/>
              </w:rPr>
            </w:pPr>
          </w:p>
        </w:tc>
        <w:tc>
          <w:tcPr>
            <w:tcW w:w="1180" w:type="dxa"/>
            <w:vAlign w:val="center"/>
          </w:tcPr>
          <w:p w14:paraId="4F155A3E" w14:textId="77777777" w:rsidR="008E6E94" w:rsidRPr="008A0924" w:rsidRDefault="008E6E94" w:rsidP="008E6E94">
            <w:pPr>
              <w:pStyle w:val="TableText0"/>
              <w:spacing w:before="60" w:after="60"/>
              <w:jc w:val="center"/>
              <w:rPr>
                <w:b/>
              </w:rPr>
            </w:pPr>
          </w:p>
        </w:tc>
        <w:tc>
          <w:tcPr>
            <w:tcW w:w="1180" w:type="dxa"/>
            <w:vAlign w:val="center"/>
          </w:tcPr>
          <w:p w14:paraId="0133CCED" w14:textId="77777777" w:rsidR="008E6E94" w:rsidRPr="008A0924" w:rsidRDefault="008E6E94" w:rsidP="008E6E94">
            <w:pPr>
              <w:pStyle w:val="TableText0"/>
              <w:spacing w:before="60" w:after="60"/>
              <w:jc w:val="center"/>
              <w:rPr>
                <w:b/>
              </w:rPr>
            </w:pPr>
            <w:r>
              <w:rPr>
                <w:b/>
              </w:rPr>
              <w:t>X</w:t>
            </w:r>
          </w:p>
        </w:tc>
        <w:tc>
          <w:tcPr>
            <w:tcW w:w="1181" w:type="dxa"/>
            <w:vAlign w:val="center"/>
          </w:tcPr>
          <w:p w14:paraId="3B494FC1" w14:textId="77777777" w:rsidR="008E6E94" w:rsidRPr="008A0924" w:rsidRDefault="008E6E94" w:rsidP="008E6E94">
            <w:pPr>
              <w:pStyle w:val="TableText0"/>
              <w:spacing w:before="60" w:after="60"/>
              <w:jc w:val="center"/>
              <w:rPr>
                <w:b/>
              </w:rPr>
            </w:pPr>
          </w:p>
        </w:tc>
      </w:tr>
      <w:tr w:rsidR="008E6E94" w14:paraId="62B10884" w14:textId="77777777" w:rsidTr="00554EB0">
        <w:trPr>
          <w:jc w:val="center"/>
        </w:trPr>
        <w:tc>
          <w:tcPr>
            <w:tcW w:w="2160" w:type="dxa"/>
            <w:vAlign w:val="center"/>
          </w:tcPr>
          <w:p w14:paraId="46C0A555" w14:textId="77777777" w:rsidR="008E6E94" w:rsidRDefault="008E6E94" w:rsidP="008E6E94">
            <w:pPr>
              <w:pStyle w:val="TableText0"/>
              <w:spacing w:before="60" w:after="60"/>
            </w:pPr>
            <w:r w:rsidRPr="008A0924">
              <w:t>REC-1</w:t>
            </w:r>
          </w:p>
        </w:tc>
        <w:tc>
          <w:tcPr>
            <w:tcW w:w="1180" w:type="dxa"/>
            <w:vAlign w:val="center"/>
          </w:tcPr>
          <w:p w14:paraId="67938757" w14:textId="77777777" w:rsidR="008E6E94" w:rsidRDefault="008E6E94" w:rsidP="008E6E94">
            <w:pPr>
              <w:pStyle w:val="TableText0"/>
              <w:spacing w:before="60" w:after="60"/>
              <w:jc w:val="center"/>
              <w:rPr>
                <w:b/>
              </w:rPr>
            </w:pPr>
          </w:p>
        </w:tc>
        <w:tc>
          <w:tcPr>
            <w:tcW w:w="1340" w:type="dxa"/>
            <w:vAlign w:val="center"/>
          </w:tcPr>
          <w:p w14:paraId="21BC102A" w14:textId="77777777" w:rsidR="008E6E94" w:rsidRDefault="008E6E94" w:rsidP="008E6E94">
            <w:pPr>
              <w:pStyle w:val="TableText0"/>
              <w:spacing w:before="60" w:after="60"/>
              <w:jc w:val="center"/>
              <w:rPr>
                <w:b/>
              </w:rPr>
            </w:pPr>
          </w:p>
        </w:tc>
        <w:tc>
          <w:tcPr>
            <w:tcW w:w="1181" w:type="dxa"/>
            <w:vAlign w:val="center"/>
          </w:tcPr>
          <w:p w14:paraId="46C4E2E4" w14:textId="77777777" w:rsidR="008E6E94" w:rsidRDefault="008E6E94" w:rsidP="008E6E94">
            <w:pPr>
              <w:pStyle w:val="TableText0"/>
              <w:spacing w:before="60" w:after="60"/>
              <w:jc w:val="center"/>
              <w:rPr>
                <w:b/>
              </w:rPr>
            </w:pPr>
            <w:r>
              <w:rPr>
                <w:b/>
              </w:rPr>
              <w:t>X</w:t>
            </w:r>
          </w:p>
        </w:tc>
        <w:tc>
          <w:tcPr>
            <w:tcW w:w="1180" w:type="dxa"/>
            <w:vAlign w:val="center"/>
          </w:tcPr>
          <w:p w14:paraId="0A41112F" w14:textId="77777777" w:rsidR="008E6E94" w:rsidRDefault="008E6E94" w:rsidP="008E6E94">
            <w:pPr>
              <w:pStyle w:val="TableText0"/>
              <w:spacing w:before="60" w:after="60"/>
              <w:jc w:val="center"/>
              <w:rPr>
                <w:b/>
              </w:rPr>
            </w:pPr>
          </w:p>
        </w:tc>
        <w:tc>
          <w:tcPr>
            <w:tcW w:w="1180" w:type="dxa"/>
            <w:vAlign w:val="center"/>
          </w:tcPr>
          <w:p w14:paraId="7D3CEF11" w14:textId="77777777" w:rsidR="008E6E94" w:rsidRPr="008A0924" w:rsidRDefault="008E6E94" w:rsidP="008E6E94">
            <w:pPr>
              <w:pStyle w:val="TableText0"/>
              <w:spacing w:before="60" w:after="60"/>
              <w:jc w:val="center"/>
              <w:rPr>
                <w:b/>
              </w:rPr>
            </w:pPr>
          </w:p>
        </w:tc>
        <w:tc>
          <w:tcPr>
            <w:tcW w:w="1181" w:type="dxa"/>
            <w:vAlign w:val="center"/>
          </w:tcPr>
          <w:p w14:paraId="25AC6BD1" w14:textId="77777777" w:rsidR="008E6E94" w:rsidRDefault="008E6E94" w:rsidP="008E6E94">
            <w:pPr>
              <w:pStyle w:val="TableText0"/>
              <w:spacing w:before="60" w:after="60"/>
              <w:jc w:val="center"/>
              <w:rPr>
                <w:b/>
              </w:rPr>
            </w:pPr>
            <w:r>
              <w:rPr>
                <w:b/>
              </w:rPr>
              <w:t>X</w:t>
            </w:r>
          </w:p>
        </w:tc>
      </w:tr>
      <w:tr w:rsidR="008E6E94" w14:paraId="0CFAAA7F" w14:textId="77777777" w:rsidTr="00554EB0">
        <w:trPr>
          <w:jc w:val="center"/>
        </w:trPr>
        <w:tc>
          <w:tcPr>
            <w:tcW w:w="2160" w:type="dxa"/>
            <w:vAlign w:val="center"/>
          </w:tcPr>
          <w:p w14:paraId="3CA096C1" w14:textId="77777777" w:rsidR="008E6E94" w:rsidRPr="008A0924" w:rsidRDefault="008E6E94" w:rsidP="008E6E94">
            <w:pPr>
              <w:pStyle w:val="TableText0"/>
              <w:spacing w:before="60" w:after="60"/>
            </w:pPr>
            <w:r w:rsidRPr="008A0924">
              <w:t>REC-2</w:t>
            </w:r>
          </w:p>
        </w:tc>
        <w:tc>
          <w:tcPr>
            <w:tcW w:w="1180" w:type="dxa"/>
            <w:vAlign w:val="center"/>
          </w:tcPr>
          <w:p w14:paraId="77C44C0B" w14:textId="77777777" w:rsidR="008E6E94" w:rsidRPr="008A0924" w:rsidRDefault="008E6E94" w:rsidP="008E6E94">
            <w:pPr>
              <w:pStyle w:val="TableText0"/>
              <w:spacing w:before="60" w:after="60"/>
              <w:jc w:val="center"/>
              <w:rPr>
                <w:b/>
              </w:rPr>
            </w:pPr>
            <w:r>
              <w:rPr>
                <w:b/>
              </w:rPr>
              <w:t>X</w:t>
            </w:r>
          </w:p>
        </w:tc>
        <w:tc>
          <w:tcPr>
            <w:tcW w:w="1340" w:type="dxa"/>
            <w:vAlign w:val="center"/>
          </w:tcPr>
          <w:p w14:paraId="40A62B58" w14:textId="77777777" w:rsidR="008E6E94" w:rsidRPr="008A0924" w:rsidRDefault="008E6E94" w:rsidP="008E6E94">
            <w:pPr>
              <w:pStyle w:val="TableText0"/>
              <w:spacing w:before="60" w:after="60"/>
              <w:jc w:val="center"/>
              <w:rPr>
                <w:b/>
              </w:rPr>
            </w:pPr>
            <w:r>
              <w:rPr>
                <w:b/>
              </w:rPr>
              <w:t>X</w:t>
            </w:r>
          </w:p>
        </w:tc>
        <w:tc>
          <w:tcPr>
            <w:tcW w:w="1181" w:type="dxa"/>
            <w:vAlign w:val="center"/>
          </w:tcPr>
          <w:p w14:paraId="41D9B7CB" w14:textId="77777777" w:rsidR="008E6E94" w:rsidRPr="008A0924" w:rsidRDefault="008E6E94" w:rsidP="008E6E94">
            <w:pPr>
              <w:pStyle w:val="TableText0"/>
              <w:spacing w:before="60" w:after="60"/>
              <w:jc w:val="center"/>
              <w:rPr>
                <w:b/>
              </w:rPr>
            </w:pPr>
            <w:r>
              <w:rPr>
                <w:b/>
              </w:rPr>
              <w:t>X</w:t>
            </w:r>
          </w:p>
        </w:tc>
        <w:tc>
          <w:tcPr>
            <w:tcW w:w="1180" w:type="dxa"/>
            <w:vAlign w:val="center"/>
          </w:tcPr>
          <w:p w14:paraId="586CC501" w14:textId="77777777" w:rsidR="008E6E94" w:rsidRPr="008A0924" w:rsidRDefault="008E6E94" w:rsidP="008E6E94">
            <w:pPr>
              <w:pStyle w:val="TableText0"/>
              <w:spacing w:before="60" w:after="60"/>
              <w:jc w:val="center"/>
              <w:rPr>
                <w:b/>
              </w:rPr>
            </w:pPr>
            <w:r>
              <w:rPr>
                <w:b/>
              </w:rPr>
              <w:t>X</w:t>
            </w:r>
          </w:p>
        </w:tc>
        <w:tc>
          <w:tcPr>
            <w:tcW w:w="1180" w:type="dxa"/>
            <w:vAlign w:val="center"/>
          </w:tcPr>
          <w:p w14:paraId="5FCEA488" w14:textId="77777777" w:rsidR="008E6E94" w:rsidRPr="008A0924" w:rsidRDefault="008E6E94" w:rsidP="008E6E94">
            <w:pPr>
              <w:pStyle w:val="TableText0"/>
              <w:spacing w:before="60" w:after="60"/>
              <w:jc w:val="center"/>
              <w:rPr>
                <w:b/>
              </w:rPr>
            </w:pPr>
          </w:p>
        </w:tc>
        <w:tc>
          <w:tcPr>
            <w:tcW w:w="1181" w:type="dxa"/>
            <w:vAlign w:val="center"/>
          </w:tcPr>
          <w:p w14:paraId="158AE833" w14:textId="77777777" w:rsidR="008E6E94" w:rsidRPr="008A0924" w:rsidRDefault="008E6E94" w:rsidP="008E6E94">
            <w:pPr>
              <w:pStyle w:val="TableText0"/>
              <w:spacing w:before="60" w:after="60"/>
              <w:jc w:val="center"/>
              <w:rPr>
                <w:b/>
              </w:rPr>
            </w:pPr>
            <w:r>
              <w:rPr>
                <w:b/>
              </w:rPr>
              <w:t>X</w:t>
            </w:r>
          </w:p>
        </w:tc>
      </w:tr>
    </w:tbl>
    <w:p w14:paraId="076B85EF" w14:textId="77777777" w:rsidR="008E6E94" w:rsidRDefault="008E6E94" w:rsidP="008E6E94">
      <w:pPr>
        <w:pStyle w:val="TableNotes"/>
      </w:pPr>
    </w:p>
    <w:p w14:paraId="42FDD35A" w14:textId="77777777" w:rsidR="008E6E94" w:rsidRDefault="008E6E94" w:rsidP="008E6E94">
      <w:pPr>
        <w:spacing w:after="80" w:line="240" w:lineRule="auto"/>
        <w:rPr>
          <w:sz w:val="18"/>
          <w:szCs w:val="18"/>
        </w:rPr>
      </w:pPr>
      <w:r w:rsidRPr="008E6E94">
        <w:rPr>
          <w:sz w:val="18"/>
          <w:szCs w:val="18"/>
        </w:rPr>
        <w:t xml:space="preserve">Note: This table attempts to highlight the </w:t>
      </w:r>
      <w:r w:rsidRPr="008E6E94">
        <w:rPr>
          <w:i/>
          <w:sz w:val="18"/>
          <w:szCs w:val="18"/>
        </w:rPr>
        <w:t>major</w:t>
      </w:r>
      <w:r w:rsidRPr="008E6E94">
        <w:rPr>
          <w:sz w:val="18"/>
          <w:szCs w:val="18"/>
        </w:rPr>
        <w:t xml:space="preserve"> stressor-response factors associated with a specific beneficial use.  Additional stressor-response relationships may also affect use support but are judged to be less likely as a primary cause of impairment of that use.  </w:t>
      </w:r>
    </w:p>
    <w:p w14:paraId="1EA20002" w14:textId="77777777" w:rsidR="008E6E94" w:rsidRDefault="008E6E94" w:rsidP="008E6E94">
      <w:pPr>
        <w:spacing w:after="80" w:line="240" w:lineRule="auto"/>
        <w:rPr>
          <w:sz w:val="18"/>
          <w:szCs w:val="18"/>
        </w:rPr>
      </w:pPr>
    </w:p>
    <w:p w14:paraId="47E71E2C" w14:textId="77777777" w:rsidR="008E6E94" w:rsidRDefault="008E6E94" w:rsidP="008E6E94">
      <w:pPr>
        <w:spacing w:after="80" w:line="240" w:lineRule="auto"/>
      </w:pPr>
      <w:r>
        <w:t>The changes that occur along the eutrophication gradient are described in detail below</w:t>
      </w:r>
      <w:r w:rsidR="008521B6">
        <w:t>, with specific eutrophication indicators and measures linked to pathways of impairment (Table 2.2)</w:t>
      </w:r>
      <w:r>
        <w:t xml:space="preserve">. </w:t>
      </w:r>
    </w:p>
    <w:p w14:paraId="087D68D6" w14:textId="77777777" w:rsidR="008521B6" w:rsidRDefault="008521B6" w:rsidP="008E6E94">
      <w:pPr>
        <w:spacing w:after="120"/>
        <w:rPr>
          <w:sz w:val="18"/>
          <w:szCs w:val="18"/>
        </w:rPr>
        <w:sectPr w:rsidR="008521B6" w:rsidSect="002E33CD">
          <w:pgSz w:w="12240" w:h="15840" w:code="1"/>
          <w:pgMar w:top="1440" w:right="1440" w:bottom="1440" w:left="1440" w:header="745" w:footer="728" w:gutter="0"/>
          <w:pgNumType w:start="1"/>
          <w:cols w:space="720"/>
          <w:titlePg/>
        </w:sectPr>
      </w:pPr>
    </w:p>
    <w:p w14:paraId="4E2B8DF7" w14:textId="77777777" w:rsidR="008E6E94" w:rsidRPr="008E6E94" w:rsidRDefault="008E6E94" w:rsidP="008E6E94">
      <w:pPr>
        <w:spacing w:after="120"/>
        <w:rPr>
          <w:sz w:val="18"/>
          <w:szCs w:val="18"/>
        </w:rPr>
      </w:pPr>
    </w:p>
    <w:p w14:paraId="77F22DB8" w14:textId="77777777" w:rsidR="005C3A87" w:rsidRDefault="008521B6" w:rsidP="005C3A87">
      <w:pPr>
        <w:spacing w:after="120"/>
      </w:pPr>
      <w:r>
        <w:rPr>
          <w:noProof/>
          <w:lang w:eastAsia="zh-CN" w:bidi="ar-SA"/>
        </w:rPr>
        <w:drawing>
          <wp:inline distT="114300" distB="114300" distL="114300" distR="114300" wp14:anchorId="25507A7A" wp14:editId="1B775C69">
            <wp:extent cx="7753350" cy="5124450"/>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7754046" cy="5124910"/>
                    </a:xfrm>
                    <a:prstGeom prst="rect">
                      <a:avLst/>
                    </a:prstGeom>
                    <a:ln/>
                  </pic:spPr>
                </pic:pic>
              </a:graphicData>
            </a:graphic>
          </wp:inline>
        </w:drawing>
      </w:r>
    </w:p>
    <w:p w14:paraId="20D0E8C0" w14:textId="77777777" w:rsidR="005C3A87" w:rsidRPr="00C53164" w:rsidRDefault="005C3A87" w:rsidP="005C3A87">
      <w:pPr>
        <w:pStyle w:val="TOF"/>
      </w:pPr>
      <w:bookmarkStart w:id="24" w:name="_Ref346203085"/>
      <w:bookmarkStart w:id="25" w:name="_Toc346280385"/>
      <w:bookmarkStart w:id="26" w:name="_Toc422997692"/>
      <w:bookmarkStart w:id="27" w:name="_Toc524109882"/>
      <w:bookmarkStart w:id="28" w:name="_Toc526489935"/>
      <w:r w:rsidRPr="00C53164">
        <w:t>Figure 2.</w:t>
      </w:r>
      <w:bookmarkEnd w:id="24"/>
      <w:r>
        <w:t>1</w:t>
      </w:r>
      <w:r w:rsidRPr="00C53164">
        <w:t xml:space="preserve">. Example of simplified conceptual model for pathways in which nutrients and other biostimulatory conditions </w:t>
      </w:r>
      <w:r>
        <w:t xml:space="preserve">result in adverse ecosystem responses, which impact ecosystem services and </w:t>
      </w:r>
      <w:r w:rsidRPr="00C53164">
        <w:t xml:space="preserve">impair beneficial uses in </w:t>
      </w:r>
      <w:bookmarkEnd w:id="25"/>
      <w:r w:rsidRPr="00C53164">
        <w:t>waterbodies</w:t>
      </w:r>
      <w:bookmarkEnd w:id="26"/>
      <w:bookmarkEnd w:id="27"/>
      <w:bookmarkEnd w:id="28"/>
    </w:p>
    <w:p w14:paraId="097DDFCD" w14:textId="77777777" w:rsidR="00700D5A" w:rsidRDefault="00700D5A" w:rsidP="00C6106A">
      <w:pPr>
        <w:pStyle w:val="TOT"/>
        <w:sectPr w:rsidR="00700D5A" w:rsidSect="0050052D">
          <w:pgSz w:w="15840" w:h="12240" w:orient="landscape" w:code="1"/>
          <w:pgMar w:top="1440" w:right="1440" w:bottom="1440" w:left="1440" w:header="745" w:footer="728" w:gutter="0"/>
          <w:cols w:space="720"/>
          <w:titlePg/>
          <w:docGrid w:linePitch="299"/>
        </w:sectPr>
      </w:pPr>
      <w:bookmarkStart w:id="29" w:name="_Ref346217661"/>
      <w:bookmarkStart w:id="30" w:name="_Ref326835201"/>
      <w:bookmarkStart w:id="31" w:name="_Ref68599761"/>
      <w:bookmarkStart w:id="32" w:name="_Toc422997699"/>
      <w:bookmarkStart w:id="33" w:name="_Toc524109868"/>
    </w:p>
    <w:bookmarkEnd w:id="29"/>
    <w:bookmarkEnd w:id="30"/>
    <w:bookmarkEnd w:id="31"/>
    <w:bookmarkEnd w:id="32"/>
    <w:bookmarkEnd w:id="33"/>
    <w:p w14:paraId="3CFF6AFA" w14:textId="77777777" w:rsidR="00806E7F" w:rsidRDefault="00C6106A" w:rsidP="008521B6">
      <w:pPr>
        <w:pStyle w:val="TOT"/>
      </w:pPr>
      <w:r w:rsidRPr="008521B6">
        <w:rPr>
          <w:rStyle w:val="TOTChar"/>
        </w:rPr>
        <w:t xml:space="preserve"> </w:t>
      </w:r>
      <w:bookmarkStart w:id="34" w:name="_Toc526489909"/>
      <w:bookmarkStart w:id="35" w:name="_Toc422997700"/>
      <w:r w:rsidR="00806E7F" w:rsidRPr="008521B6">
        <w:rPr>
          <w:rStyle w:val="TOTChar"/>
          <w:b/>
          <w:sz w:val="20"/>
        </w:rPr>
        <w:t xml:space="preserve">Table 2.2.  </w:t>
      </w:r>
      <w:r w:rsidR="008E6E94" w:rsidRPr="008521B6">
        <w:rPr>
          <w:rStyle w:val="TOTChar"/>
          <w:b/>
          <w:sz w:val="20"/>
        </w:rPr>
        <w:t>Linkage of eutrophication impairment pathways to specific</w:t>
      </w:r>
      <w:r w:rsidR="008E6E94" w:rsidRPr="008521B6">
        <w:t xml:space="preserve"> measures of organic matter accumulation, altered benthic and water column chemistry and harmful algal blooms and associated toxins in wadeable streams.</w:t>
      </w:r>
      <w:bookmarkEnd w:id="34"/>
      <w:r w:rsidR="008E6E94" w:rsidRPr="008521B6">
        <w:t xml:space="preserve"> </w:t>
      </w:r>
    </w:p>
    <w:p w14:paraId="2DB7D8CE" w14:textId="77777777" w:rsidR="008521B6" w:rsidRPr="008521B6" w:rsidRDefault="008521B6" w:rsidP="008521B6">
      <w:pPr>
        <w:pStyle w:val="TOT"/>
      </w:pPr>
    </w:p>
    <w:tbl>
      <w:tblPr>
        <w:tblW w:w="12870" w:type="dxa"/>
        <w:tblInd w:w="90" w:type="dxa"/>
        <w:tblBorders>
          <w:top w:val="single" w:sz="12" w:space="0" w:color="auto"/>
          <w:bottom w:val="single" w:sz="12" w:space="0" w:color="auto"/>
        </w:tblBorders>
        <w:tblLayout w:type="fixed"/>
        <w:tblCellMar>
          <w:top w:w="14" w:type="dxa"/>
          <w:left w:w="72" w:type="dxa"/>
          <w:bottom w:w="14" w:type="dxa"/>
          <w:right w:w="72" w:type="dxa"/>
        </w:tblCellMar>
        <w:tblLook w:val="00A0" w:firstRow="1" w:lastRow="0" w:firstColumn="1" w:lastColumn="0" w:noHBand="0" w:noVBand="0"/>
      </w:tblPr>
      <w:tblGrid>
        <w:gridCol w:w="5040"/>
        <w:gridCol w:w="1350"/>
        <w:gridCol w:w="1980"/>
        <w:gridCol w:w="1080"/>
        <w:gridCol w:w="1080"/>
        <w:gridCol w:w="1170"/>
        <w:gridCol w:w="1170"/>
      </w:tblGrid>
      <w:tr w:rsidR="00000FDF" w:rsidRPr="008A0924" w14:paraId="46A68BCF" w14:textId="77777777" w:rsidTr="008521B6">
        <w:trPr>
          <w:tblHeader/>
        </w:trPr>
        <w:tc>
          <w:tcPr>
            <w:tcW w:w="5040" w:type="dxa"/>
            <w:tcBorders>
              <w:top w:val="single" w:sz="4" w:space="0" w:color="auto"/>
              <w:bottom w:val="single" w:sz="4" w:space="0" w:color="auto"/>
            </w:tcBorders>
            <w:shd w:val="clear" w:color="000080" w:fill="auto"/>
            <w:vAlign w:val="center"/>
          </w:tcPr>
          <w:p w14:paraId="01052477" w14:textId="77777777" w:rsidR="00000FDF" w:rsidRPr="008A0924" w:rsidRDefault="00312CE7" w:rsidP="00554EB0">
            <w:pPr>
              <w:pStyle w:val="TableHeading"/>
              <w:spacing w:before="40" w:after="40"/>
              <w:jc w:val="left"/>
            </w:pPr>
            <w:r>
              <w:t>Response</w:t>
            </w:r>
            <w:r w:rsidR="00000FDF">
              <w:t xml:space="preserve"> Indicator</w:t>
            </w:r>
          </w:p>
        </w:tc>
        <w:tc>
          <w:tcPr>
            <w:tcW w:w="1350" w:type="dxa"/>
            <w:tcBorders>
              <w:top w:val="single" w:sz="4" w:space="0" w:color="auto"/>
              <w:bottom w:val="single" w:sz="4" w:space="0" w:color="auto"/>
            </w:tcBorders>
            <w:shd w:val="clear" w:color="000080" w:fill="auto"/>
          </w:tcPr>
          <w:p w14:paraId="3D54A39A" w14:textId="77777777" w:rsidR="00000FDF" w:rsidRDefault="00000FDF" w:rsidP="00554EB0">
            <w:pPr>
              <w:pStyle w:val="TableHeading"/>
              <w:spacing w:before="40" w:after="40"/>
            </w:pPr>
            <w:r>
              <w:t>Altered Aquatic Life</w:t>
            </w:r>
          </w:p>
        </w:tc>
        <w:tc>
          <w:tcPr>
            <w:tcW w:w="1980" w:type="dxa"/>
            <w:tcBorders>
              <w:top w:val="single" w:sz="4" w:space="0" w:color="auto"/>
              <w:bottom w:val="single" w:sz="4" w:space="0" w:color="auto"/>
            </w:tcBorders>
            <w:shd w:val="clear" w:color="000080" w:fill="auto"/>
          </w:tcPr>
          <w:p w14:paraId="73151187" w14:textId="77777777" w:rsidR="00000FDF" w:rsidRDefault="00000FDF" w:rsidP="00554EB0">
            <w:pPr>
              <w:pStyle w:val="TableHeading"/>
              <w:spacing w:before="40" w:after="40"/>
            </w:pPr>
            <w:r>
              <w:t>Contaminated or Low Yield Fisheries</w:t>
            </w:r>
          </w:p>
        </w:tc>
        <w:tc>
          <w:tcPr>
            <w:tcW w:w="1080" w:type="dxa"/>
            <w:tcBorders>
              <w:top w:val="single" w:sz="4" w:space="0" w:color="auto"/>
              <w:bottom w:val="single" w:sz="4" w:space="0" w:color="auto"/>
            </w:tcBorders>
            <w:shd w:val="clear" w:color="000080" w:fill="auto"/>
            <w:tcMar>
              <w:left w:w="43" w:type="dxa"/>
              <w:right w:w="43" w:type="dxa"/>
            </w:tcMar>
            <w:vAlign w:val="center"/>
          </w:tcPr>
          <w:p w14:paraId="0A4E5165" w14:textId="77777777" w:rsidR="00000FDF" w:rsidRPr="008A0924" w:rsidRDefault="00000FDF" w:rsidP="00554EB0">
            <w:pPr>
              <w:pStyle w:val="TableHeading"/>
              <w:spacing w:before="40" w:after="40"/>
            </w:pPr>
            <w:r>
              <w:t>Poor Taste and Odor</w:t>
            </w:r>
          </w:p>
        </w:tc>
        <w:tc>
          <w:tcPr>
            <w:tcW w:w="1080" w:type="dxa"/>
            <w:tcBorders>
              <w:top w:val="single" w:sz="4" w:space="0" w:color="auto"/>
              <w:bottom w:val="single" w:sz="4" w:space="0" w:color="auto"/>
            </w:tcBorders>
            <w:shd w:val="clear" w:color="000080" w:fill="auto"/>
            <w:tcMar>
              <w:left w:w="43" w:type="dxa"/>
              <w:right w:w="43" w:type="dxa"/>
            </w:tcMar>
            <w:vAlign w:val="center"/>
          </w:tcPr>
          <w:p w14:paraId="79955226" w14:textId="77777777" w:rsidR="00000FDF" w:rsidRPr="008A0924" w:rsidRDefault="00000FDF" w:rsidP="00554EB0">
            <w:pPr>
              <w:pStyle w:val="TableHeading"/>
              <w:spacing w:before="40" w:after="40"/>
            </w:pPr>
            <w:r>
              <w:t>Poor Aesthetics</w:t>
            </w:r>
          </w:p>
        </w:tc>
        <w:tc>
          <w:tcPr>
            <w:tcW w:w="1170" w:type="dxa"/>
            <w:tcBorders>
              <w:top w:val="single" w:sz="4" w:space="0" w:color="auto"/>
              <w:bottom w:val="single" w:sz="4" w:space="0" w:color="auto"/>
            </w:tcBorders>
            <w:shd w:val="clear" w:color="000080" w:fill="auto"/>
            <w:tcMar>
              <w:left w:w="43" w:type="dxa"/>
              <w:right w:w="43" w:type="dxa"/>
            </w:tcMar>
            <w:vAlign w:val="center"/>
          </w:tcPr>
          <w:p w14:paraId="707D806D" w14:textId="77777777" w:rsidR="00000FDF" w:rsidRPr="008A0924" w:rsidRDefault="00000FDF" w:rsidP="00554EB0">
            <w:pPr>
              <w:pStyle w:val="TableHeading"/>
              <w:spacing w:before="40" w:after="40"/>
            </w:pPr>
            <w:r>
              <w:t>Impeded Water Intake</w:t>
            </w:r>
          </w:p>
        </w:tc>
        <w:tc>
          <w:tcPr>
            <w:tcW w:w="1170" w:type="dxa"/>
            <w:tcBorders>
              <w:top w:val="single" w:sz="4" w:space="0" w:color="auto"/>
              <w:bottom w:val="single" w:sz="4" w:space="0" w:color="auto"/>
            </w:tcBorders>
            <w:shd w:val="clear" w:color="000080" w:fill="auto"/>
          </w:tcPr>
          <w:p w14:paraId="19B4C2EC" w14:textId="77777777" w:rsidR="00000FDF" w:rsidRDefault="00000FDF" w:rsidP="00554EB0">
            <w:pPr>
              <w:pStyle w:val="TableHeading"/>
              <w:spacing w:before="40" w:after="40"/>
            </w:pPr>
            <w:r>
              <w:t>Poor Water Quality</w:t>
            </w:r>
          </w:p>
        </w:tc>
      </w:tr>
      <w:tr w:rsidR="00D93D26" w:rsidRPr="008A0924" w14:paraId="20DC0766" w14:textId="77777777" w:rsidTr="008521B6">
        <w:tc>
          <w:tcPr>
            <w:tcW w:w="12870" w:type="dxa"/>
            <w:gridSpan w:val="7"/>
            <w:tcBorders>
              <w:top w:val="single" w:sz="4" w:space="0" w:color="auto"/>
            </w:tcBorders>
            <w:vAlign w:val="center"/>
          </w:tcPr>
          <w:p w14:paraId="7E4E6740" w14:textId="77777777" w:rsidR="00D93D26" w:rsidRDefault="00D93D26" w:rsidP="00D93D26">
            <w:pPr>
              <w:pStyle w:val="TableText0"/>
              <w:spacing w:before="40" w:after="40"/>
              <w:rPr>
                <w:b/>
              </w:rPr>
            </w:pPr>
            <w:r w:rsidRPr="00000FDF">
              <w:rPr>
                <w:b/>
              </w:rPr>
              <w:t>Organic Matter Accumulation</w:t>
            </w:r>
          </w:p>
        </w:tc>
      </w:tr>
      <w:tr w:rsidR="00000FDF" w:rsidRPr="008A0924" w14:paraId="33D11AF5" w14:textId="77777777" w:rsidTr="008521B6">
        <w:tc>
          <w:tcPr>
            <w:tcW w:w="5040" w:type="dxa"/>
            <w:tcBorders>
              <w:top w:val="single" w:sz="4" w:space="0" w:color="auto"/>
            </w:tcBorders>
            <w:vAlign w:val="center"/>
          </w:tcPr>
          <w:p w14:paraId="3414A55A" w14:textId="77777777" w:rsidR="00000FDF" w:rsidRDefault="00000FDF" w:rsidP="00554EB0">
            <w:pPr>
              <w:pStyle w:val="TableText0"/>
              <w:spacing w:before="40" w:after="40"/>
              <w:ind w:left="285"/>
            </w:pPr>
            <w:r>
              <w:t>Benthic and/or Planktonic Algal Biomass (</w:t>
            </w:r>
            <w:r w:rsidR="008521B6">
              <w:t>as chl-a)</w:t>
            </w:r>
            <w:r>
              <w:t xml:space="preserve"> </w:t>
            </w:r>
          </w:p>
        </w:tc>
        <w:tc>
          <w:tcPr>
            <w:tcW w:w="1350" w:type="dxa"/>
            <w:tcBorders>
              <w:top w:val="single" w:sz="4" w:space="0" w:color="auto"/>
            </w:tcBorders>
            <w:vAlign w:val="center"/>
          </w:tcPr>
          <w:p w14:paraId="17184A9C" w14:textId="77777777" w:rsidR="00000FDF" w:rsidRDefault="00000FDF" w:rsidP="00000FDF">
            <w:pPr>
              <w:pStyle w:val="TableText0"/>
              <w:spacing w:before="40" w:after="40"/>
              <w:jc w:val="center"/>
              <w:rPr>
                <w:b/>
              </w:rPr>
            </w:pPr>
            <w:r>
              <w:rPr>
                <w:b/>
              </w:rPr>
              <w:t>X</w:t>
            </w:r>
          </w:p>
        </w:tc>
        <w:tc>
          <w:tcPr>
            <w:tcW w:w="1980" w:type="dxa"/>
            <w:tcBorders>
              <w:top w:val="single" w:sz="4" w:space="0" w:color="auto"/>
            </w:tcBorders>
            <w:vAlign w:val="center"/>
          </w:tcPr>
          <w:p w14:paraId="19F2FF24" w14:textId="77777777" w:rsidR="00000FDF" w:rsidRDefault="00000FDF" w:rsidP="00000FDF">
            <w:pPr>
              <w:pStyle w:val="TableText0"/>
              <w:spacing w:before="40" w:after="40"/>
              <w:jc w:val="center"/>
              <w:rPr>
                <w:b/>
              </w:rPr>
            </w:pPr>
            <w:r>
              <w:rPr>
                <w:b/>
              </w:rPr>
              <w:t>X</w:t>
            </w:r>
          </w:p>
        </w:tc>
        <w:tc>
          <w:tcPr>
            <w:tcW w:w="1080" w:type="dxa"/>
            <w:tcBorders>
              <w:top w:val="single" w:sz="4" w:space="0" w:color="auto"/>
            </w:tcBorders>
            <w:vAlign w:val="center"/>
          </w:tcPr>
          <w:p w14:paraId="1A32D1F6" w14:textId="77777777" w:rsidR="00000FDF" w:rsidRDefault="00000FDF" w:rsidP="00000FDF">
            <w:pPr>
              <w:pStyle w:val="TableText0"/>
              <w:spacing w:before="40" w:after="40"/>
              <w:jc w:val="center"/>
              <w:rPr>
                <w:b/>
              </w:rPr>
            </w:pPr>
            <w:r>
              <w:rPr>
                <w:b/>
              </w:rPr>
              <w:t>X</w:t>
            </w:r>
          </w:p>
        </w:tc>
        <w:tc>
          <w:tcPr>
            <w:tcW w:w="1080" w:type="dxa"/>
            <w:tcBorders>
              <w:top w:val="single" w:sz="4" w:space="0" w:color="auto"/>
            </w:tcBorders>
            <w:vAlign w:val="center"/>
          </w:tcPr>
          <w:p w14:paraId="2AAD8197" w14:textId="77777777" w:rsidR="00000FDF" w:rsidRPr="008A0924" w:rsidRDefault="00000FDF" w:rsidP="00000FDF">
            <w:pPr>
              <w:pStyle w:val="TableText0"/>
              <w:spacing w:before="40" w:after="40"/>
              <w:jc w:val="center"/>
              <w:rPr>
                <w:b/>
              </w:rPr>
            </w:pPr>
            <w:r>
              <w:rPr>
                <w:b/>
              </w:rPr>
              <w:t>X</w:t>
            </w:r>
          </w:p>
        </w:tc>
        <w:tc>
          <w:tcPr>
            <w:tcW w:w="1170" w:type="dxa"/>
            <w:tcBorders>
              <w:top w:val="single" w:sz="4" w:space="0" w:color="auto"/>
            </w:tcBorders>
            <w:vAlign w:val="center"/>
          </w:tcPr>
          <w:p w14:paraId="5D5152AC" w14:textId="77777777" w:rsidR="00000FDF" w:rsidRDefault="00000FDF" w:rsidP="00000FDF">
            <w:pPr>
              <w:pStyle w:val="TableText0"/>
              <w:spacing w:before="40" w:after="40"/>
              <w:jc w:val="center"/>
              <w:rPr>
                <w:b/>
              </w:rPr>
            </w:pPr>
            <w:r>
              <w:rPr>
                <w:b/>
              </w:rPr>
              <w:t>X</w:t>
            </w:r>
          </w:p>
        </w:tc>
        <w:tc>
          <w:tcPr>
            <w:tcW w:w="1170" w:type="dxa"/>
            <w:tcBorders>
              <w:top w:val="single" w:sz="4" w:space="0" w:color="auto"/>
            </w:tcBorders>
            <w:vAlign w:val="center"/>
          </w:tcPr>
          <w:p w14:paraId="13DD8201" w14:textId="77777777" w:rsidR="00000FDF" w:rsidRDefault="00000FDF" w:rsidP="00000FDF">
            <w:pPr>
              <w:pStyle w:val="TableText0"/>
              <w:spacing w:before="40" w:after="40"/>
              <w:jc w:val="center"/>
              <w:rPr>
                <w:b/>
              </w:rPr>
            </w:pPr>
            <w:r>
              <w:rPr>
                <w:b/>
              </w:rPr>
              <w:t>X</w:t>
            </w:r>
          </w:p>
        </w:tc>
      </w:tr>
      <w:tr w:rsidR="00000FDF" w:rsidRPr="008A0924" w14:paraId="667DED6E" w14:textId="77777777" w:rsidTr="008521B6">
        <w:tc>
          <w:tcPr>
            <w:tcW w:w="5040" w:type="dxa"/>
            <w:tcBorders>
              <w:top w:val="single" w:sz="4" w:space="0" w:color="auto"/>
            </w:tcBorders>
            <w:vAlign w:val="center"/>
          </w:tcPr>
          <w:p w14:paraId="7804047D" w14:textId="77777777" w:rsidR="00000FDF" w:rsidRDefault="00000FDF" w:rsidP="00554EB0">
            <w:pPr>
              <w:pStyle w:val="TableText0"/>
              <w:spacing w:before="40" w:after="40"/>
              <w:ind w:left="285"/>
            </w:pPr>
            <w:r>
              <w:t xml:space="preserve">Benthic or floating macroalgal percent cover </w:t>
            </w:r>
          </w:p>
        </w:tc>
        <w:tc>
          <w:tcPr>
            <w:tcW w:w="1350" w:type="dxa"/>
            <w:tcBorders>
              <w:top w:val="single" w:sz="4" w:space="0" w:color="auto"/>
            </w:tcBorders>
            <w:vAlign w:val="center"/>
          </w:tcPr>
          <w:p w14:paraId="4D2D274C" w14:textId="77777777" w:rsidR="00000FDF" w:rsidRDefault="00000FDF" w:rsidP="00000FDF">
            <w:pPr>
              <w:pStyle w:val="TableText0"/>
              <w:spacing w:before="40" w:after="40"/>
              <w:jc w:val="center"/>
              <w:rPr>
                <w:b/>
              </w:rPr>
            </w:pPr>
            <w:r>
              <w:rPr>
                <w:b/>
              </w:rPr>
              <w:t>X</w:t>
            </w:r>
          </w:p>
        </w:tc>
        <w:tc>
          <w:tcPr>
            <w:tcW w:w="1980" w:type="dxa"/>
            <w:tcBorders>
              <w:top w:val="single" w:sz="4" w:space="0" w:color="auto"/>
            </w:tcBorders>
            <w:vAlign w:val="center"/>
          </w:tcPr>
          <w:p w14:paraId="58495A10" w14:textId="77777777" w:rsidR="00000FDF" w:rsidRDefault="00000FDF" w:rsidP="00000FDF">
            <w:pPr>
              <w:pStyle w:val="TableText0"/>
              <w:spacing w:before="40" w:after="40"/>
              <w:jc w:val="center"/>
              <w:rPr>
                <w:b/>
              </w:rPr>
            </w:pPr>
            <w:r>
              <w:rPr>
                <w:b/>
              </w:rPr>
              <w:t>X</w:t>
            </w:r>
          </w:p>
        </w:tc>
        <w:tc>
          <w:tcPr>
            <w:tcW w:w="1080" w:type="dxa"/>
            <w:tcBorders>
              <w:top w:val="single" w:sz="4" w:space="0" w:color="auto"/>
            </w:tcBorders>
            <w:vAlign w:val="center"/>
          </w:tcPr>
          <w:p w14:paraId="1110EE48" w14:textId="77777777" w:rsidR="00000FDF" w:rsidRDefault="00000FDF" w:rsidP="00000FDF">
            <w:pPr>
              <w:pStyle w:val="TableText0"/>
              <w:spacing w:before="40" w:after="40"/>
              <w:jc w:val="center"/>
              <w:rPr>
                <w:b/>
              </w:rPr>
            </w:pPr>
            <w:r>
              <w:rPr>
                <w:b/>
              </w:rPr>
              <w:t>X</w:t>
            </w:r>
          </w:p>
        </w:tc>
        <w:tc>
          <w:tcPr>
            <w:tcW w:w="1080" w:type="dxa"/>
            <w:tcBorders>
              <w:top w:val="single" w:sz="4" w:space="0" w:color="auto"/>
            </w:tcBorders>
            <w:vAlign w:val="center"/>
          </w:tcPr>
          <w:p w14:paraId="51920B29" w14:textId="77777777" w:rsidR="00000FDF" w:rsidRPr="008A0924" w:rsidRDefault="00000FDF" w:rsidP="00000FDF">
            <w:pPr>
              <w:pStyle w:val="TableText0"/>
              <w:spacing w:before="40" w:after="40"/>
              <w:jc w:val="center"/>
              <w:rPr>
                <w:b/>
              </w:rPr>
            </w:pPr>
            <w:r>
              <w:rPr>
                <w:b/>
              </w:rPr>
              <w:t>X</w:t>
            </w:r>
          </w:p>
        </w:tc>
        <w:tc>
          <w:tcPr>
            <w:tcW w:w="1170" w:type="dxa"/>
            <w:tcBorders>
              <w:top w:val="single" w:sz="4" w:space="0" w:color="auto"/>
            </w:tcBorders>
            <w:vAlign w:val="center"/>
          </w:tcPr>
          <w:p w14:paraId="6AC2F6EA" w14:textId="77777777" w:rsidR="00000FDF" w:rsidRDefault="00000FDF" w:rsidP="00000FDF">
            <w:pPr>
              <w:pStyle w:val="TableText0"/>
              <w:spacing w:before="40" w:after="40"/>
              <w:jc w:val="center"/>
              <w:rPr>
                <w:b/>
              </w:rPr>
            </w:pPr>
            <w:r>
              <w:rPr>
                <w:b/>
              </w:rPr>
              <w:t>X</w:t>
            </w:r>
          </w:p>
        </w:tc>
        <w:tc>
          <w:tcPr>
            <w:tcW w:w="1170" w:type="dxa"/>
            <w:tcBorders>
              <w:top w:val="single" w:sz="4" w:space="0" w:color="auto"/>
            </w:tcBorders>
            <w:vAlign w:val="center"/>
          </w:tcPr>
          <w:p w14:paraId="548752BD" w14:textId="77777777" w:rsidR="00000FDF" w:rsidRPr="008A0924" w:rsidRDefault="00000FDF" w:rsidP="00000FDF">
            <w:pPr>
              <w:pStyle w:val="TableText0"/>
              <w:spacing w:before="40" w:after="40"/>
              <w:jc w:val="center"/>
              <w:rPr>
                <w:b/>
              </w:rPr>
            </w:pPr>
            <w:r>
              <w:rPr>
                <w:b/>
              </w:rPr>
              <w:t>X</w:t>
            </w:r>
          </w:p>
        </w:tc>
      </w:tr>
      <w:tr w:rsidR="00000FDF" w:rsidRPr="008A0924" w14:paraId="59D62D63" w14:textId="77777777" w:rsidTr="008521B6">
        <w:tc>
          <w:tcPr>
            <w:tcW w:w="5040" w:type="dxa"/>
            <w:tcBorders>
              <w:top w:val="single" w:sz="4" w:space="0" w:color="auto"/>
            </w:tcBorders>
            <w:vAlign w:val="center"/>
          </w:tcPr>
          <w:p w14:paraId="080A8DD3" w14:textId="77777777" w:rsidR="00000FDF" w:rsidRDefault="00000FDF" w:rsidP="00000FDF">
            <w:pPr>
              <w:pStyle w:val="TableText0"/>
              <w:spacing w:before="40" w:after="40"/>
              <w:ind w:left="285"/>
            </w:pPr>
            <w:r>
              <w:t xml:space="preserve">Benthic or planktonic AFDM, or organic C, N, P </w:t>
            </w:r>
          </w:p>
        </w:tc>
        <w:tc>
          <w:tcPr>
            <w:tcW w:w="1350" w:type="dxa"/>
            <w:tcBorders>
              <w:top w:val="single" w:sz="4" w:space="0" w:color="auto"/>
            </w:tcBorders>
            <w:vAlign w:val="center"/>
          </w:tcPr>
          <w:p w14:paraId="17EF8A9B" w14:textId="77777777" w:rsidR="00000FDF" w:rsidRDefault="00000FDF" w:rsidP="00000FDF">
            <w:pPr>
              <w:pStyle w:val="TableText0"/>
              <w:spacing w:before="40" w:after="40"/>
              <w:jc w:val="center"/>
              <w:rPr>
                <w:b/>
              </w:rPr>
            </w:pPr>
            <w:r>
              <w:rPr>
                <w:b/>
              </w:rPr>
              <w:t>X</w:t>
            </w:r>
          </w:p>
        </w:tc>
        <w:tc>
          <w:tcPr>
            <w:tcW w:w="1980" w:type="dxa"/>
            <w:tcBorders>
              <w:top w:val="single" w:sz="4" w:space="0" w:color="auto"/>
            </w:tcBorders>
            <w:vAlign w:val="center"/>
          </w:tcPr>
          <w:p w14:paraId="5BA52390" w14:textId="77777777" w:rsidR="00000FDF" w:rsidRDefault="00000FDF" w:rsidP="00000FDF">
            <w:pPr>
              <w:pStyle w:val="TableText0"/>
              <w:spacing w:before="40" w:after="40"/>
              <w:jc w:val="center"/>
              <w:rPr>
                <w:b/>
              </w:rPr>
            </w:pPr>
            <w:r>
              <w:rPr>
                <w:b/>
              </w:rPr>
              <w:t>X</w:t>
            </w:r>
          </w:p>
        </w:tc>
        <w:tc>
          <w:tcPr>
            <w:tcW w:w="1080" w:type="dxa"/>
            <w:tcBorders>
              <w:top w:val="single" w:sz="4" w:space="0" w:color="auto"/>
            </w:tcBorders>
            <w:vAlign w:val="center"/>
          </w:tcPr>
          <w:p w14:paraId="6952418C" w14:textId="77777777" w:rsidR="00000FDF" w:rsidRDefault="00000FDF" w:rsidP="00000FDF">
            <w:pPr>
              <w:pStyle w:val="TableText0"/>
              <w:spacing w:before="40" w:after="40"/>
              <w:jc w:val="center"/>
              <w:rPr>
                <w:b/>
              </w:rPr>
            </w:pPr>
            <w:r>
              <w:rPr>
                <w:b/>
              </w:rPr>
              <w:t>X</w:t>
            </w:r>
          </w:p>
        </w:tc>
        <w:tc>
          <w:tcPr>
            <w:tcW w:w="1080" w:type="dxa"/>
            <w:tcBorders>
              <w:top w:val="single" w:sz="4" w:space="0" w:color="auto"/>
            </w:tcBorders>
            <w:vAlign w:val="center"/>
          </w:tcPr>
          <w:p w14:paraId="13A989D4" w14:textId="77777777" w:rsidR="00000FDF" w:rsidRPr="008A0924" w:rsidRDefault="00000FDF" w:rsidP="00000FDF">
            <w:pPr>
              <w:pStyle w:val="TableText0"/>
              <w:spacing w:before="40" w:after="40"/>
              <w:jc w:val="center"/>
              <w:rPr>
                <w:b/>
              </w:rPr>
            </w:pPr>
            <w:r>
              <w:rPr>
                <w:b/>
              </w:rPr>
              <w:t>X</w:t>
            </w:r>
          </w:p>
        </w:tc>
        <w:tc>
          <w:tcPr>
            <w:tcW w:w="1170" w:type="dxa"/>
            <w:tcBorders>
              <w:top w:val="single" w:sz="4" w:space="0" w:color="auto"/>
            </w:tcBorders>
            <w:vAlign w:val="center"/>
          </w:tcPr>
          <w:p w14:paraId="6A19480E" w14:textId="77777777" w:rsidR="00000FDF" w:rsidRDefault="00000FDF" w:rsidP="00000FDF">
            <w:pPr>
              <w:pStyle w:val="TableText0"/>
              <w:spacing w:before="40" w:after="40"/>
              <w:jc w:val="center"/>
              <w:rPr>
                <w:b/>
              </w:rPr>
            </w:pPr>
            <w:r>
              <w:rPr>
                <w:b/>
              </w:rPr>
              <w:t>X</w:t>
            </w:r>
          </w:p>
        </w:tc>
        <w:tc>
          <w:tcPr>
            <w:tcW w:w="1170" w:type="dxa"/>
            <w:tcBorders>
              <w:top w:val="single" w:sz="4" w:space="0" w:color="auto"/>
            </w:tcBorders>
            <w:vAlign w:val="center"/>
          </w:tcPr>
          <w:p w14:paraId="66EE2A35" w14:textId="77777777" w:rsidR="00000FDF" w:rsidRDefault="00000FDF" w:rsidP="00000FDF">
            <w:pPr>
              <w:pStyle w:val="TableText0"/>
              <w:spacing w:before="40" w:after="40"/>
              <w:jc w:val="center"/>
              <w:rPr>
                <w:b/>
              </w:rPr>
            </w:pPr>
            <w:r>
              <w:rPr>
                <w:b/>
              </w:rPr>
              <w:t>X</w:t>
            </w:r>
          </w:p>
        </w:tc>
      </w:tr>
      <w:tr w:rsidR="00000FDF" w:rsidRPr="008A0924" w14:paraId="02742363" w14:textId="77777777" w:rsidTr="008521B6">
        <w:tc>
          <w:tcPr>
            <w:tcW w:w="5040" w:type="dxa"/>
            <w:tcBorders>
              <w:top w:val="single" w:sz="4" w:space="0" w:color="auto"/>
            </w:tcBorders>
            <w:vAlign w:val="center"/>
          </w:tcPr>
          <w:p w14:paraId="08980BA8" w14:textId="77777777" w:rsidR="00000FDF" w:rsidRDefault="00000FDF" w:rsidP="00000FDF">
            <w:pPr>
              <w:pStyle w:val="TableText0"/>
              <w:spacing w:before="40" w:after="40"/>
              <w:ind w:left="285"/>
            </w:pPr>
            <w:r>
              <w:t>Aquatic macrophytes</w:t>
            </w:r>
            <w:r w:rsidR="008521B6">
              <w:t>:</w:t>
            </w:r>
            <w:r>
              <w:t xml:space="preserve"> biomass, shoot height, density </w:t>
            </w:r>
          </w:p>
        </w:tc>
        <w:tc>
          <w:tcPr>
            <w:tcW w:w="1350" w:type="dxa"/>
            <w:tcBorders>
              <w:top w:val="single" w:sz="4" w:space="0" w:color="auto"/>
            </w:tcBorders>
          </w:tcPr>
          <w:p w14:paraId="4C03D398" w14:textId="77777777" w:rsidR="00000FDF" w:rsidRDefault="00000FDF" w:rsidP="00000FDF">
            <w:pPr>
              <w:pStyle w:val="TableText0"/>
              <w:spacing w:before="40" w:after="40"/>
              <w:jc w:val="center"/>
              <w:rPr>
                <w:b/>
              </w:rPr>
            </w:pPr>
            <w:r>
              <w:rPr>
                <w:b/>
              </w:rPr>
              <w:t>X</w:t>
            </w:r>
          </w:p>
        </w:tc>
        <w:tc>
          <w:tcPr>
            <w:tcW w:w="1980" w:type="dxa"/>
            <w:tcBorders>
              <w:top w:val="single" w:sz="4" w:space="0" w:color="auto"/>
            </w:tcBorders>
          </w:tcPr>
          <w:p w14:paraId="49D94476" w14:textId="77777777" w:rsidR="00000FDF" w:rsidRDefault="00000FDF" w:rsidP="00000FDF">
            <w:pPr>
              <w:pStyle w:val="TableText0"/>
              <w:spacing w:before="40" w:after="40"/>
              <w:jc w:val="center"/>
              <w:rPr>
                <w:b/>
              </w:rPr>
            </w:pPr>
          </w:p>
        </w:tc>
        <w:tc>
          <w:tcPr>
            <w:tcW w:w="1080" w:type="dxa"/>
            <w:tcBorders>
              <w:top w:val="single" w:sz="4" w:space="0" w:color="auto"/>
            </w:tcBorders>
            <w:vAlign w:val="center"/>
          </w:tcPr>
          <w:p w14:paraId="2F243F54" w14:textId="77777777" w:rsidR="00000FDF" w:rsidRDefault="00000FDF" w:rsidP="00000FDF">
            <w:pPr>
              <w:pStyle w:val="TableText0"/>
              <w:spacing w:before="40" w:after="40"/>
              <w:jc w:val="center"/>
              <w:rPr>
                <w:b/>
              </w:rPr>
            </w:pPr>
          </w:p>
        </w:tc>
        <w:tc>
          <w:tcPr>
            <w:tcW w:w="1080" w:type="dxa"/>
            <w:tcBorders>
              <w:top w:val="single" w:sz="4" w:space="0" w:color="auto"/>
            </w:tcBorders>
            <w:vAlign w:val="center"/>
          </w:tcPr>
          <w:p w14:paraId="1C9E58E7" w14:textId="77777777" w:rsidR="00000FDF" w:rsidRPr="008A0924" w:rsidRDefault="00000FDF" w:rsidP="00000FDF">
            <w:pPr>
              <w:pStyle w:val="TableText0"/>
              <w:spacing w:before="40" w:after="40"/>
              <w:jc w:val="center"/>
              <w:rPr>
                <w:b/>
              </w:rPr>
            </w:pPr>
          </w:p>
        </w:tc>
        <w:tc>
          <w:tcPr>
            <w:tcW w:w="1170" w:type="dxa"/>
            <w:tcBorders>
              <w:top w:val="single" w:sz="4" w:space="0" w:color="auto"/>
            </w:tcBorders>
            <w:vAlign w:val="center"/>
          </w:tcPr>
          <w:p w14:paraId="01C5522A" w14:textId="77777777" w:rsidR="00000FDF" w:rsidRDefault="00000FDF" w:rsidP="00000FDF">
            <w:pPr>
              <w:pStyle w:val="TableText0"/>
              <w:spacing w:before="40" w:after="40"/>
              <w:jc w:val="center"/>
              <w:rPr>
                <w:b/>
              </w:rPr>
            </w:pPr>
            <w:r>
              <w:rPr>
                <w:b/>
              </w:rPr>
              <w:t>X</w:t>
            </w:r>
          </w:p>
        </w:tc>
        <w:tc>
          <w:tcPr>
            <w:tcW w:w="1170" w:type="dxa"/>
            <w:tcBorders>
              <w:top w:val="single" w:sz="4" w:space="0" w:color="auto"/>
            </w:tcBorders>
          </w:tcPr>
          <w:p w14:paraId="09EDCA3C" w14:textId="77777777" w:rsidR="00000FDF" w:rsidRDefault="00000FDF" w:rsidP="00000FDF">
            <w:pPr>
              <w:pStyle w:val="TableText0"/>
              <w:spacing w:before="40" w:after="40"/>
              <w:jc w:val="center"/>
              <w:rPr>
                <w:b/>
              </w:rPr>
            </w:pPr>
            <w:r>
              <w:rPr>
                <w:b/>
              </w:rPr>
              <w:t>X</w:t>
            </w:r>
          </w:p>
        </w:tc>
      </w:tr>
      <w:tr w:rsidR="00000FDF" w:rsidRPr="008A0924" w14:paraId="12C54046" w14:textId="77777777" w:rsidTr="008521B6">
        <w:tc>
          <w:tcPr>
            <w:tcW w:w="5040" w:type="dxa"/>
            <w:tcBorders>
              <w:top w:val="single" w:sz="4" w:space="0" w:color="auto"/>
            </w:tcBorders>
            <w:vAlign w:val="center"/>
          </w:tcPr>
          <w:p w14:paraId="3C7E514A" w14:textId="77777777" w:rsidR="00000FDF" w:rsidRDefault="00000FDF" w:rsidP="00000FDF">
            <w:pPr>
              <w:pStyle w:val="TableText0"/>
              <w:spacing w:before="40" w:after="40"/>
              <w:ind w:left="285"/>
            </w:pPr>
            <w:r>
              <w:t>Aquatic macrophyte percent cover</w:t>
            </w:r>
          </w:p>
        </w:tc>
        <w:tc>
          <w:tcPr>
            <w:tcW w:w="1350" w:type="dxa"/>
            <w:tcBorders>
              <w:top w:val="single" w:sz="4" w:space="0" w:color="auto"/>
            </w:tcBorders>
          </w:tcPr>
          <w:p w14:paraId="550167A4" w14:textId="77777777" w:rsidR="00000FDF" w:rsidRDefault="00000FDF" w:rsidP="00000FDF">
            <w:pPr>
              <w:pStyle w:val="TableText0"/>
              <w:spacing w:before="40" w:after="40"/>
              <w:jc w:val="center"/>
              <w:rPr>
                <w:b/>
              </w:rPr>
            </w:pPr>
            <w:r>
              <w:rPr>
                <w:b/>
              </w:rPr>
              <w:t>X</w:t>
            </w:r>
          </w:p>
        </w:tc>
        <w:tc>
          <w:tcPr>
            <w:tcW w:w="1980" w:type="dxa"/>
            <w:tcBorders>
              <w:top w:val="single" w:sz="4" w:space="0" w:color="auto"/>
            </w:tcBorders>
          </w:tcPr>
          <w:p w14:paraId="31F1EDC6" w14:textId="77777777" w:rsidR="00000FDF" w:rsidRDefault="00000FDF" w:rsidP="00000FDF">
            <w:pPr>
              <w:pStyle w:val="TableText0"/>
              <w:spacing w:before="40" w:after="40"/>
              <w:jc w:val="center"/>
              <w:rPr>
                <w:b/>
              </w:rPr>
            </w:pPr>
          </w:p>
        </w:tc>
        <w:tc>
          <w:tcPr>
            <w:tcW w:w="1080" w:type="dxa"/>
            <w:tcBorders>
              <w:top w:val="single" w:sz="4" w:space="0" w:color="auto"/>
            </w:tcBorders>
            <w:vAlign w:val="center"/>
          </w:tcPr>
          <w:p w14:paraId="293B8DB0" w14:textId="77777777" w:rsidR="00000FDF" w:rsidRDefault="00000FDF" w:rsidP="00000FDF">
            <w:pPr>
              <w:pStyle w:val="TableText0"/>
              <w:spacing w:before="40" w:after="40"/>
              <w:jc w:val="center"/>
              <w:rPr>
                <w:b/>
              </w:rPr>
            </w:pPr>
          </w:p>
        </w:tc>
        <w:tc>
          <w:tcPr>
            <w:tcW w:w="1080" w:type="dxa"/>
            <w:tcBorders>
              <w:top w:val="single" w:sz="4" w:space="0" w:color="auto"/>
            </w:tcBorders>
            <w:vAlign w:val="center"/>
          </w:tcPr>
          <w:p w14:paraId="6CB75AB9" w14:textId="77777777" w:rsidR="00000FDF" w:rsidRDefault="00000FDF" w:rsidP="00000FDF">
            <w:pPr>
              <w:pStyle w:val="TableText0"/>
              <w:spacing w:before="40" w:after="40"/>
              <w:jc w:val="center"/>
              <w:rPr>
                <w:b/>
              </w:rPr>
            </w:pPr>
            <w:r>
              <w:rPr>
                <w:b/>
              </w:rPr>
              <w:t>X</w:t>
            </w:r>
          </w:p>
        </w:tc>
        <w:tc>
          <w:tcPr>
            <w:tcW w:w="1170" w:type="dxa"/>
            <w:tcBorders>
              <w:top w:val="single" w:sz="4" w:space="0" w:color="auto"/>
            </w:tcBorders>
            <w:vAlign w:val="center"/>
          </w:tcPr>
          <w:p w14:paraId="5120577A" w14:textId="77777777" w:rsidR="00000FDF" w:rsidRDefault="00000FDF" w:rsidP="00000FDF">
            <w:pPr>
              <w:pStyle w:val="TableText0"/>
              <w:spacing w:before="40" w:after="40"/>
              <w:jc w:val="center"/>
              <w:rPr>
                <w:b/>
              </w:rPr>
            </w:pPr>
            <w:r>
              <w:rPr>
                <w:b/>
              </w:rPr>
              <w:t>X</w:t>
            </w:r>
          </w:p>
        </w:tc>
        <w:tc>
          <w:tcPr>
            <w:tcW w:w="1170" w:type="dxa"/>
            <w:tcBorders>
              <w:top w:val="single" w:sz="4" w:space="0" w:color="auto"/>
            </w:tcBorders>
          </w:tcPr>
          <w:p w14:paraId="60C8CF4A" w14:textId="77777777" w:rsidR="00000FDF" w:rsidRDefault="00000FDF" w:rsidP="00000FDF">
            <w:pPr>
              <w:pStyle w:val="TableText0"/>
              <w:spacing w:before="40" w:after="40"/>
              <w:jc w:val="center"/>
              <w:rPr>
                <w:b/>
              </w:rPr>
            </w:pPr>
          </w:p>
        </w:tc>
      </w:tr>
      <w:tr w:rsidR="00D93D26" w:rsidRPr="008A0924" w14:paraId="00CFC679" w14:textId="77777777" w:rsidTr="008521B6">
        <w:tc>
          <w:tcPr>
            <w:tcW w:w="12870" w:type="dxa"/>
            <w:gridSpan w:val="7"/>
            <w:tcBorders>
              <w:top w:val="single" w:sz="4" w:space="0" w:color="auto"/>
            </w:tcBorders>
            <w:vAlign w:val="center"/>
          </w:tcPr>
          <w:p w14:paraId="343F709B" w14:textId="77777777" w:rsidR="00D93D26" w:rsidRDefault="00D93D26" w:rsidP="00D93D26">
            <w:pPr>
              <w:pStyle w:val="TableText0"/>
              <w:spacing w:before="40" w:after="40"/>
              <w:rPr>
                <w:b/>
              </w:rPr>
            </w:pPr>
            <w:r w:rsidRPr="00000FDF">
              <w:rPr>
                <w:b/>
              </w:rPr>
              <w:t>Water Column or Benthic Chemistry</w:t>
            </w:r>
          </w:p>
        </w:tc>
      </w:tr>
      <w:tr w:rsidR="00000FDF" w:rsidRPr="008A0924" w14:paraId="41C900BE" w14:textId="77777777" w:rsidTr="008521B6">
        <w:tc>
          <w:tcPr>
            <w:tcW w:w="5040" w:type="dxa"/>
            <w:tcBorders>
              <w:top w:val="single" w:sz="4" w:space="0" w:color="auto"/>
            </w:tcBorders>
            <w:vAlign w:val="center"/>
          </w:tcPr>
          <w:p w14:paraId="3DFDD378" w14:textId="77777777" w:rsidR="00000FDF" w:rsidRDefault="00000FDF" w:rsidP="00000FDF">
            <w:pPr>
              <w:pStyle w:val="TableText0"/>
              <w:spacing w:before="40" w:after="40"/>
              <w:ind w:left="285"/>
            </w:pPr>
            <w:r>
              <w:t>Continuous DO and pH; Diel range</w:t>
            </w:r>
          </w:p>
        </w:tc>
        <w:tc>
          <w:tcPr>
            <w:tcW w:w="1350" w:type="dxa"/>
            <w:tcBorders>
              <w:top w:val="single" w:sz="4" w:space="0" w:color="auto"/>
            </w:tcBorders>
          </w:tcPr>
          <w:p w14:paraId="4DA66F52" w14:textId="77777777" w:rsidR="00000FDF" w:rsidRDefault="00000FDF" w:rsidP="00000FDF">
            <w:pPr>
              <w:pStyle w:val="TableText0"/>
              <w:spacing w:before="40" w:after="40"/>
              <w:jc w:val="center"/>
              <w:rPr>
                <w:b/>
              </w:rPr>
            </w:pPr>
            <w:r>
              <w:rPr>
                <w:b/>
              </w:rPr>
              <w:t>X</w:t>
            </w:r>
          </w:p>
        </w:tc>
        <w:tc>
          <w:tcPr>
            <w:tcW w:w="1980" w:type="dxa"/>
            <w:tcBorders>
              <w:top w:val="single" w:sz="4" w:space="0" w:color="auto"/>
            </w:tcBorders>
          </w:tcPr>
          <w:p w14:paraId="05098219" w14:textId="77777777" w:rsidR="00000FDF" w:rsidRDefault="00000FDF" w:rsidP="00000FDF">
            <w:pPr>
              <w:pStyle w:val="TableText0"/>
              <w:spacing w:before="40" w:after="40"/>
              <w:jc w:val="center"/>
              <w:rPr>
                <w:b/>
              </w:rPr>
            </w:pPr>
            <w:r>
              <w:rPr>
                <w:b/>
              </w:rPr>
              <w:t>X</w:t>
            </w:r>
          </w:p>
        </w:tc>
        <w:tc>
          <w:tcPr>
            <w:tcW w:w="1080" w:type="dxa"/>
            <w:tcBorders>
              <w:top w:val="single" w:sz="4" w:space="0" w:color="auto"/>
            </w:tcBorders>
            <w:vAlign w:val="center"/>
          </w:tcPr>
          <w:p w14:paraId="58D09C5F" w14:textId="77777777" w:rsidR="00000FDF" w:rsidRDefault="00000FDF" w:rsidP="00000FDF">
            <w:pPr>
              <w:pStyle w:val="TableText0"/>
              <w:spacing w:before="40" w:after="40"/>
              <w:jc w:val="center"/>
              <w:rPr>
                <w:b/>
              </w:rPr>
            </w:pPr>
          </w:p>
        </w:tc>
        <w:tc>
          <w:tcPr>
            <w:tcW w:w="1080" w:type="dxa"/>
            <w:tcBorders>
              <w:top w:val="single" w:sz="4" w:space="0" w:color="auto"/>
            </w:tcBorders>
            <w:vAlign w:val="center"/>
          </w:tcPr>
          <w:p w14:paraId="560BD78E" w14:textId="77777777" w:rsidR="00000FDF" w:rsidRPr="008A0924" w:rsidRDefault="00000FDF" w:rsidP="00000FDF">
            <w:pPr>
              <w:pStyle w:val="TableText0"/>
              <w:spacing w:before="40" w:after="40"/>
              <w:jc w:val="center"/>
              <w:rPr>
                <w:b/>
              </w:rPr>
            </w:pPr>
          </w:p>
        </w:tc>
        <w:tc>
          <w:tcPr>
            <w:tcW w:w="1170" w:type="dxa"/>
            <w:tcBorders>
              <w:top w:val="single" w:sz="4" w:space="0" w:color="auto"/>
            </w:tcBorders>
            <w:vAlign w:val="center"/>
          </w:tcPr>
          <w:p w14:paraId="1F5943C5" w14:textId="77777777" w:rsidR="00000FDF" w:rsidRDefault="00000FDF" w:rsidP="00000FDF">
            <w:pPr>
              <w:pStyle w:val="TableText0"/>
              <w:spacing w:before="40" w:after="40"/>
              <w:jc w:val="center"/>
              <w:rPr>
                <w:b/>
              </w:rPr>
            </w:pPr>
          </w:p>
        </w:tc>
        <w:tc>
          <w:tcPr>
            <w:tcW w:w="1170" w:type="dxa"/>
            <w:tcBorders>
              <w:top w:val="single" w:sz="4" w:space="0" w:color="auto"/>
            </w:tcBorders>
          </w:tcPr>
          <w:p w14:paraId="3E89A699" w14:textId="77777777" w:rsidR="00000FDF" w:rsidRDefault="00000FDF" w:rsidP="00000FDF">
            <w:pPr>
              <w:pStyle w:val="TableText0"/>
              <w:spacing w:before="40" w:after="40"/>
              <w:jc w:val="center"/>
              <w:rPr>
                <w:b/>
              </w:rPr>
            </w:pPr>
            <w:r>
              <w:rPr>
                <w:b/>
              </w:rPr>
              <w:t>X</w:t>
            </w:r>
          </w:p>
        </w:tc>
      </w:tr>
      <w:tr w:rsidR="00797B99" w:rsidRPr="008A0924" w14:paraId="39F89D25" w14:textId="77777777" w:rsidTr="008521B6">
        <w:tc>
          <w:tcPr>
            <w:tcW w:w="5040" w:type="dxa"/>
            <w:tcBorders>
              <w:top w:val="single" w:sz="4" w:space="0" w:color="000000" w:themeColor="text1"/>
              <w:bottom w:val="single" w:sz="4" w:space="0" w:color="000000" w:themeColor="text1"/>
            </w:tcBorders>
            <w:vAlign w:val="center"/>
          </w:tcPr>
          <w:p w14:paraId="572E4599" w14:textId="0F858F02" w:rsidR="00797B99" w:rsidRDefault="00797B99" w:rsidP="00000FDF">
            <w:pPr>
              <w:pStyle w:val="TableText0"/>
              <w:spacing w:before="40" w:after="40"/>
              <w:ind w:left="285"/>
            </w:pPr>
            <w:r>
              <w:t xml:space="preserve">Water </w:t>
            </w:r>
            <w:r w:rsidR="00B24799">
              <w:t>column</w:t>
            </w:r>
            <w:r>
              <w:t xml:space="preserve"> biological or sediment oxygen demand </w:t>
            </w:r>
          </w:p>
        </w:tc>
        <w:tc>
          <w:tcPr>
            <w:tcW w:w="1350" w:type="dxa"/>
            <w:tcBorders>
              <w:top w:val="single" w:sz="4" w:space="0" w:color="000000" w:themeColor="text1"/>
              <w:bottom w:val="single" w:sz="4" w:space="0" w:color="000000" w:themeColor="text1"/>
            </w:tcBorders>
          </w:tcPr>
          <w:p w14:paraId="2530F0DA" w14:textId="77777777" w:rsidR="00797B99" w:rsidRDefault="00797B99" w:rsidP="00000FDF">
            <w:pPr>
              <w:pStyle w:val="TableText0"/>
              <w:spacing w:before="40" w:after="40"/>
              <w:jc w:val="center"/>
              <w:rPr>
                <w:b/>
              </w:rPr>
            </w:pPr>
            <w:r>
              <w:rPr>
                <w:b/>
              </w:rPr>
              <w:t>X</w:t>
            </w:r>
          </w:p>
        </w:tc>
        <w:tc>
          <w:tcPr>
            <w:tcW w:w="1980" w:type="dxa"/>
            <w:tcBorders>
              <w:top w:val="single" w:sz="4" w:space="0" w:color="000000" w:themeColor="text1"/>
              <w:bottom w:val="single" w:sz="4" w:space="0" w:color="000000" w:themeColor="text1"/>
            </w:tcBorders>
          </w:tcPr>
          <w:p w14:paraId="61948EBF" w14:textId="77777777" w:rsidR="00797B99" w:rsidRDefault="00797B99" w:rsidP="00000FDF">
            <w:pPr>
              <w:pStyle w:val="TableText0"/>
              <w:spacing w:before="40" w:after="40"/>
              <w:jc w:val="center"/>
              <w:rPr>
                <w:b/>
              </w:rPr>
            </w:pPr>
            <w:r>
              <w:rPr>
                <w:b/>
              </w:rPr>
              <w:t>X</w:t>
            </w:r>
          </w:p>
        </w:tc>
        <w:tc>
          <w:tcPr>
            <w:tcW w:w="1080" w:type="dxa"/>
            <w:tcBorders>
              <w:top w:val="single" w:sz="4" w:space="0" w:color="000000" w:themeColor="text1"/>
              <w:bottom w:val="single" w:sz="4" w:space="0" w:color="000000" w:themeColor="text1"/>
            </w:tcBorders>
            <w:vAlign w:val="center"/>
          </w:tcPr>
          <w:p w14:paraId="1B350E08" w14:textId="77777777" w:rsidR="00797B99" w:rsidRPr="008A0924" w:rsidRDefault="00797B99" w:rsidP="00000FDF">
            <w:pPr>
              <w:pStyle w:val="TableText0"/>
              <w:spacing w:before="40" w:after="40"/>
              <w:jc w:val="center"/>
              <w:rPr>
                <w:b/>
              </w:rPr>
            </w:pPr>
          </w:p>
        </w:tc>
        <w:tc>
          <w:tcPr>
            <w:tcW w:w="1080" w:type="dxa"/>
            <w:tcBorders>
              <w:top w:val="single" w:sz="4" w:space="0" w:color="000000" w:themeColor="text1"/>
              <w:bottom w:val="single" w:sz="4" w:space="0" w:color="000000" w:themeColor="text1"/>
            </w:tcBorders>
            <w:vAlign w:val="center"/>
          </w:tcPr>
          <w:p w14:paraId="5D67F7CF" w14:textId="77777777" w:rsidR="00797B99" w:rsidRDefault="00797B99" w:rsidP="00000FDF">
            <w:pPr>
              <w:pStyle w:val="TableText0"/>
              <w:spacing w:before="40" w:after="40"/>
              <w:jc w:val="center"/>
              <w:rPr>
                <w:b/>
              </w:rPr>
            </w:pPr>
          </w:p>
        </w:tc>
        <w:tc>
          <w:tcPr>
            <w:tcW w:w="1170" w:type="dxa"/>
            <w:tcBorders>
              <w:top w:val="single" w:sz="4" w:space="0" w:color="000000" w:themeColor="text1"/>
              <w:bottom w:val="single" w:sz="4" w:space="0" w:color="000000" w:themeColor="text1"/>
            </w:tcBorders>
            <w:vAlign w:val="center"/>
          </w:tcPr>
          <w:p w14:paraId="789AB529" w14:textId="77777777" w:rsidR="00797B99" w:rsidRPr="008A0924" w:rsidRDefault="00797B99" w:rsidP="00000FDF">
            <w:pPr>
              <w:pStyle w:val="TableText0"/>
              <w:spacing w:before="40" w:after="40"/>
              <w:jc w:val="center"/>
              <w:rPr>
                <w:b/>
              </w:rPr>
            </w:pPr>
          </w:p>
        </w:tc>
        <w:tc>
          <w:tcPr>
            <w:tcW w:w="1170" w:type="dxa"/>
            <w:tcBorders>
              <w:top w:val="single" w:sz="4" w:space="0" w:color="000000" w:themeColor="text1"/>
              <w:bottom w:val="single" w:sz="4" w:space="0" w:color="000000" w:themeColor="text1"/>
            </w:tcBorders>
          </w:tcPr>
          <w:p w14:paraId="6224D47D" w14:textId="77777777" w:rsidR="00797B99" w:rsidRDefault="00797B99" w:rsidP="00000FDF">
            <w:pPr>
              <w:pStyle w:val="TableText0"/>
              <w:spacing w:before="40" w:after="40"/>
              <w:jc w:val="center"/>
              <w:rPr>
                <w:b/>
              </w:rPr>
            </w:pPr>
            <w:r>
              <w:rPr>
                <w:b/>
              </w:rPr>
              <w:t>X</w:t>
            </w:r>
          </w:p>
        </w:tc>
      </w:tr>
      <w:tr w:rsidR="00000FDF" w:rsidRPr="008A0924" w14:paraId="1ECFD32A" w14:textId="77777777" w:rsidTr="008521B6">
        <w:tc>
          <w:tcPr>
            <w:tcW w:w="5040" w:type="dxa"/>
            <w:tcBorders>
              <w:top w:val="single" w:sz="4" w:space="0" w:color="000000" w:themeColor="text1"/>
              <w:bottom w:val="single" w:sz="4" w:space="0" w:color="000000" w:themeColor="text1"/>
            </w:tcBorders>
            <w:vAlign w:val="center"/>
          </w:tcPr>
          <w:p w14:paraId="11B17733" w14:textId="77777777" w:rsidR="00000FDF" w:rsidRDefault="00000FDF" w:rsidP="00000FDF">
            <w:pPr>
              <w:pStyle w:val="TableText0"/>
              <w:spacing w:before="40" w:after="40"/>
              <w:ind w:left="285"/>
            </w:pPr>
            <w:r>
              <w:t>Gross Primary Production or Trophic State</w:t>
            </w:r>
          </w:p>
        </w:tc>
        <w:tc>
          <w:tcPr>
            <w:tcW w:w="1350" w:type="dxa"/>
            <w:tcBorders>
              <w:top w:val="single" w:sz="4" w:space="0" w:color="000000" w:themeColor="text1"/>
              <w:bottom w:val="single" w:sz="4" w:space="0" w:color="000000" w:themeColor="text1"/>
            </w:tcBorders>
          </w:tcPr>
          <w:p w14:paraId="6036A270" w14:textId="77777777" w:rsidR="00000FDF" w:rsidRDefault="00000FDF" w:rsidP="00000FDF">
            <w:pPr>
              <w:pStyle w:val="TableText0"/>
              <w:spacing w:before="40" w:after="40"/>
              <w:jc w:val="center"/>
              <w:rPr>
                <w:b/>
              </w:rPr>
            </w:pPr>
            <w:r>
              <w:rPr>
                <w:b/>
              </w:rPr>
              <w:t>X</w:t>
            </w:r>
          </w:p>
        </w:tc>
        <w:tc>
          <w:tcPr>
            <w:tcW w:w="1980" w:type="dxa"/>
            <w:tcBorders>
              <w:top w:val="single" w:sz="4" w:space="0" w:color="000000" w:themeColor="text1"/>
              <w:bottom w:val="single" w:sz="4" w:space="0" w:color="000000" w:themeColor="text1"/>
            </w:tcBorders>
          </w:tcPr>
          <w:p w14:paraId="2B028465" w14:textId="77777777" w:rsidR="00000FDF" w:rsidRDefault="00000FDF" w:rsidP="00000FDF">
            <w:pPr>
              <w:pStyle w:val="TableText0"/>
              <w:spacing w:before="40" w:after="40"/>
              <w:jc w:val="center"/>
              <w:rPr>
                <w:b/>
              </w:rPr>
            </w:pPr>
            <w:r>
              <w:rPr>
                <w:b/>
              </w:rPr>
              <w:t>X</w:t>
            </w:r>
          </w:p>
        </w:tc>
        <w:tc>
          <w:tcPr>
            <w:tcW w:w="1080" w:type="dxa"/>
            <w:tcBorders>
              <w:top w:val="single" w:sz="4" w:space="0" w:color="000000" w:themeColor="text1"/>
              <w:bottom w:val="single" w:sz="4" w:space="0" w:color="000000" w:themeColor="text1"/>
            </w:tcBorders>
            <w:vAlign w:val="center"/>
          </w:tcPr>
          <w:p w14:paraId="1A9DEB23" w14:textId="77777777" w:rsidR="00000FDF" w:rsidRPr="008A0924" w:rsidRDefault="00000FDF" w:rsidP="00000FDF">
            <w:pPr>
              <w:pStyle w:val="TableText0"/>
              <w:spacing w:before="40" w:after="40"/>
              <w:jc w:val="center"/>
              <w:rPr>
                <w:b/>
              </w:rPr>
            </w:pPr>
          </w:p>
        </w:tc>
        <w:tc>
          <w:tcPr>
            <w:tcW w:w="1080" w:type="dxa"/>
            <w:tcBorders>
              <w:top w:val="single" w:sz="4" w:space="0" w:color="000000" w:themeColor="text1"/>
              <w:bottom w:val="single" w:sz="4" w:space="0" w:color="000000" w:themeColor="text1"/>
            </w:tcBorders>
            <w:vAlign w:val="center"/>
          </w:tcPr>
          <w:p w14:paraId="37526C64" w14:textId="77777777" w:rsidR="00000FDF" w:rsidRPr="008A0924" w:rsidRDefault="00000FDF" w:rsidP="00000FDF">
            <w:pPr>
              <w:pStyle w:val="TableText0"/>
              <w:spacing w:before="40" w:after="40"/>
              <w:jc w:val="center"/>
              <w:rPr>
                <w:b/>
              </w:rPr>
            </w:pPr>
            <w:r>
              <w:rPr>
                <w:b/>
              </w:rPr>
              <w:t>X</w:t>
            </w:r>
          </w:p>
        </w:tc>
        <w:tc>
          <w:tcPr>
            <w:tcW w:w="1170" w:type="dxa"/>
            <w:tcBorders>
              <w:top w:val="single" w:sz="4" w:space="0" w:color="000000" w:themeColor="text1"/>
              <w:bottom w:val="single" w:sz="4" w:space="0" w:color="000000" w:themeColor="text1"/>
            </w:tcBorders>
            <w:vAlign w:val="center"/>
          </w:tcPr>
          <w:p w14:paraId="70150786" w14:textId="77777777" w:rsidR="00000FDF" w:rsidRPr="008A0924" w:rsidRDefault="00000FDF" w:rsidP="00000FDF">
            <w:pPr>
              <w:pStyle w:val="TableText0"/>
              <w:spacing w:before="40" w:after="40"/>
              <w:jc w:val="center"/>
              <w:rPr>
                <w:b/>
              </w:rPr>
            </w:pPr>
          </w:p>
        </w:tc>
        <w:tc>
          <w:tcPr>
            <w:tcW w:w="1170" w:type="dxa"/>
            <w:tcBorders>
              <w:top w:val="single" w:sz="4" w:space="0" w:color="000000" w:themeColor="text1"/>
              <w:bottom w:val="single" w:sz="4" w:space="0" w:color="000000" w:themeColor="text1"/>
            </w:tcBorders>
          </w:tcPr>
          <w:p w14:paraId="71CE9FA8" w14:textId="77777777" w:rsidR="00000FDF" w:rsidRDefault="00000FDF" w:rsidP="00000FDF">
            <w:pPr>
              <w:pStyle w:val="TableText0"/>
              <w:spacing w:before="40" w:after="40"/>
              <w:jc w:val="center"/>
              <w:rPr>
                <w:b/>
              </w:rPr>
            </w:pPr>
            <w:r>
              <w:rPr>
                <w:b/>
              </w:rPr>
              <w:t>X</w:t>
            </w:r>
          </w:p>
        </w:tc>
      </w:tr>
      <w:tr w:rsidR="00000FDF" w:rsidRPr="008A0924" w14:paraId="68A2DD99" w14:textId="77777777" w:rsidTr="008521B6">
        <w:tc>
          <w:tcPr>
            <w:tcW w:w="5040" w:type="dxa"/>
            <w:tcBorders>
              <w:top w:val="single" w:sz="4" w:space="0" w:color="000000" w:themeColor="text1"/>
              <w:bottom w:val="single" w:sz="4" w:space="0" w:color="000000" w:themeColor="text1"/>
            </w:tcBorders>
            <w:vAlign w:val="center"/>
          </w:tcPr>
          <w:p w14:paraId="25E4B1B9" w14:textId="77777777" w:rsidR="00000FDF" w:rsidRDefault="00000FDF" w:rsidP="00000FDF">
            <w:pPr>
              <w:pStyle w:val="TableText0"/>
              <w:spacing w:before="40" w:after="40"/>
              <w:ind w:left="285"/>
            </w:pPr>
            <w:r>
              <w:t>Dissolved organic carbon, trihalomethane</w:t>
            </w:r>
          </w:p>
        </w:tc>
        <w:tc>
          <w:tcPr>
            <w:tcW w:w="1350" w:type="dxa"/>
            <w:tcBorders>
              <w:top w:val="single" w:sz="4" w:space="0" w:color="000000" w:themeColor="text1"/>
              <w:bottom w:val="single" w:sz="4" w:space="0" w:color="000000" w:themeColor="text1"/>
            </w:tcBorders>
          </w:tcPr>
          <w:p w14:paraId="5182DA47" w14:textId="77777777" w:rsidR="00000FDF" w:rsidRDefault="00000FDF" w:rsidP="00000FDF">
            <w:pPr>
              <w:pStyle w:val="TableText0"/>
              <w:spacing w:before="40" w:after="40"/>
              <w:jc w:val="center"/>
              <w:rPr>
                <w:b/>
              </w:rPr>
            </w:pPr>
          </w:p>
        </w:tc>
        <w:tc>
          <w:tcPr>
            <w:tcW w:w="1980" w:type="dxa"/>
            <w:tcBorders>
              <w:top w:val="single" w:sz="4" w:space="0" w:color="000000" w:themeColor="text1"/>
              <w:bottom w:val="single" w:sz="4" w:space="0" w:color="000000" w:themeColor="text1"/>
            </w:tcBorders>
          </w:tcPr>
          <w:p w14:paraId="23FCA7FE" w14:textId="77777777" w:rsidR="00000FDF" w:rsidRDefault="008E6E94" w:rsidP="00000FDF">
            <w:pPr>
              <w:pStyle w:val="TableText0"/>
              <w:spacing w:before="40" w:after="40"/>
              <w:jc w:val="center"/>
              <w:rPr>
                <w:b/>
              </w:rPr>
            </w:pPr>
            <w:r>
              <w:rPr>
                <w:b/>
              </w:rPr>
              <w:t>X</w:t>
            </w:r>
          </w:p>
        </w:tc>
        <w:tc>
          <w:tcPr>
            <w:tcW w:w="1080" w:type="dxa"/>
            <w:tcBorders>
              <w:top w:val="single" w:sz="4" w:space="0" w:color="000000" w:themeColor="text1"/>
              <w:bottom w:val="single" w:sz="4" w:space="0" w:color="000000" w:themeColor="text1"/>
            </w:tcBorders>
            <w:vAlign w:val="center"/>
          </w:tcPr>
          <w:p w14:paraId="2EC578B7" w14:textId="77777777" w:rsidR="00000FDF" w:rsidRDefault="00000FDF" w:rsidP="00000FDF">
            <w:pPr>
              <w:pStyle w:val="TableText0"/>
              <w:spacing w:before="40" w:after="40"/>
              <w:jc w:val="center"/>
              <w:rPr>
                <w:b/>
              </w:rPr>
            </w:pPr>
          </w:p>
        </w:tc>
        <w:tc>
          <w:tcPr>
            <w:tcW w:w="1080" w:type="dxa"/>
            <w:tcBorders>
              <w:top w:val="single" w:sz="4" w:space="0" w:color="000000" w:themeColor="text1"/>
              <w:bottom w:val="single" w:sz="4" w:space="0" w:color="000000" w:themeColor="text1"/>
            </w:tcBorders>
            <w:vAlign w:val="center"/>
          </w:tcPr>
          <w:p w14:paraId="68B4DC38" w14:textId="77777777" w:rsidR="00000FDF" w:rsidRDefault="00000FDF" w:rsidP="00000FDF">
            <w:pPr>
              <w:pStyle w:val="TableText0"/>
              <w:spacing w:before="40" w:after="40"/>
              <w:jc w:val="center"/>
              <w:rPr>
                <w:b/>
              </w:rPr>
            </w:pPr>
          </w:p>
        </w:tc>
        <w:tc>
          <w:tcPr>
            <w:tcW w:w="1170" w:type="dxa"/>
            <w:tcBorders>
              <w:top w:val="single" w:sz="4" w:space="0" w:color="000000" w:themeColor="text1"/>
              <w:bottom w:val="single" w:sz="4" w:space="0" w:color="000000" w:themeColor="text1"/>
            </w:tcBorders>
            <w:vAlign w:val="center"/>
          </w:tcPr>
          <w:p w14:paraId="7D714514" w14:textId="77777777" w:rsidR="00000FDF" w:rsidRDefault="00000FDF" w:rsidP="00000FDF">
            <w:pPr>
              <w:pStyle w:val="TableText0"/>
              <w:spacing w:before="40" w:after="40"/>
              <w:jc w:val="center"/>
              <w:rPr>
                <w:b/>
              </w:rPr>
            </w:pPr>
          </w:p>
        </w:tc>
        <w:tc>
          <w:tcPr>
            <w:tcW w:w="1170" w:type="dxa"/>
            <w:tcBorders>
              <w:top w:val="single" w:sz="4" w:space="0" w:color="000000" w:themeColor="text1"/>
              <w:bottom w:val="single" w:sz="4" w:space="0" w:color="000000" w:themeColor="text1"/>
            </w:tcBorders>
          </w:tcPr>
          <w:p w14:paraId="7D741051" w14:textId="77777777" w:rsidR="00000FDF" w:rsidRDefault="00000FDF" w:rsidP="00000FDF">
            <w:pPr>
              <w:pStyle w:val="TableText0"/>
              <w:spacing w:before="40" w:after="40"/>
              <w:jc w:val="center"/>
              <w:rPr>
                <w:b/>
              </w:rPr>
            </w:pPr>
            <w:r>
              <w:rPr>
                <w:b/>
              </w:rPr>
              <w:t>X</w:t>
            </w:r>
          </w:p>
        </w:tc>
      </w:tr>
      <w:tr w:rsidR="00D93D26" w:rsidRPr="008A0924" w14:paraId="10E7F74E" w14:textId="77777777" w:rsidTr="008521B6">
        <w:tc>
          <w:tcPr>
            <w:tcW w:w="12870" w:type="dxa"/>
            <w:gridSpan w:val="7"/>
            <w:tcBorders>
              <w:top w:val="single" w:sz="4" w:space="0" w:color="000000" w:themeColor="text1"/>
              <w:bottom w:val="single" w:sz="4" w:space="0" w:color="000000" w:themeColor="text1"/>
            </w:tcBorders>
            <w:vAlign w:val="center"/>
          </w:tcPr>
          <w:p w14:paraId="4B1C1F42" w14:textId="77777777" w:rsidR="00D93D26" w:rsidRDefault="00D93D26" w:rsidP="00D93D26">
            <w:pPr>
              <w:pStyle w:val="TableText0"/>
              <w:spacing w:before="40" w:after="40"/>
              <w:rPr>
                <w:b/>
              </w:rPr>
            </w:pPr>
            <w:r w:rsidRPr="00000FDF">
              <w:rPr>
                <w:b/>
              </w:rPr>
              <w:t>Aquatic Community Measures</w:t>
            </w:r>
          </w:p>
        </w:tc>
      </w:tr>
      <w:tr w:rsidR="00000FDF" w:rsidRPr="008A0924" w14:paraId="52369F8A" w14:textId="77777777" w:rsidTr="008521B6">
        <w:tc>
          <w:tcPr>
            <w:tcW w:w="5040" w:type="dxa"/>
            <w:tcBorders>
              <w:top w:val="single" w:sz="4" w:space="0" w:color="000000" w:themeColor="text1"/>
              <w:bottom w:val="single" w:sz="4" w:space="0" w:color="000000" w:themeColor="text1"/>
            </w:tcBorders>
            <w:vAlign w:val="center"/>
          </w:tcPr>
          <w:p w14:paraId="2E071406" w14:textId="77777777" w:rsidR="00000FDF" w:rsidRPr="008A0924" w:rsidRDefault="00000FDF" w:rsidP="008521B6">
            <w:pPr>
              <w:pStyle w:val="TableText0"/>
              <w:spacing w:before="40" w:after="40"/>
              <w:ind w:left="285"/>
            </w:pPr>
            <w:r>
              <w:t>Planktonic or benthic algal community composition</w:t>
            </w:r>
          </w:p>
        </w:tc>
        <w:tc>
          <w:tcPr>
            <w:tcW w:w="1350" w:type="dxa"/>
            <w:tcBorders>
              <w:top w:val="single" w:sz="4" w:space="0" w:color="000000" w:themeColor="text1"/>
              <w:bottom w:val="single" w:sz="4" w:space="0" w:color="000000" w:themeColor="text1"/>
            </w:tcBorders>
          </w:tcPr>
          <w:p w14:paraId="6097F5DB" w14:textId="77777777" w:rsidR="00000FDF" w:rsidRDefault="00000FDF" w:rsidP="00000FDF">
            <w:pPr>
              <w:pStyle w:val="TableText0"/>
              <w:spacing w:before="40" w:after="40"/>
              <w:jc w:val="center"/>
              <w:rPr>
                <w:b/>
              </w:rPr>
            </w:pPr>
            <w:r>
              <w:rPr>
                <w:b/>
              </w:rPr>
              <w:t>X</w:t>
            </w:r>
          </w:p>
        </w:tc>
        <w:tc>
          <w:tcPr>
            <w:tcW w:w="1980" w:type="dxa"/>
            <w:tcBorders>
              <w:top w:val="single" w:sz="4" w:space="0" w:color="000000" w:themeColor="text1"/>
              <w:bottom w:val="single" w:sz="4" w:space="0" w:color="000000" w:themeColor="text1"/>
            </w:tcBorders>
          </w:tcPr>
          <w:p w14:paraId="40BFBDEE" w14:textId="77777777" w:rsidR="00000FDF" w:rsidRDefault="00000FDF" w:rsidP="00000FDF">
            <w:pPr>
              <w:pStyle w:val="TableText0"/>
              <w:spacing w:before="40" w:after="40"/>
              <w:jc w:val="center"/>
              <w:rPr>
                <w:b/>
              </w:rPr>
            </w:pPr>
            <w:r>
              <w:rPr>
                <w:b/>
              </w:rPr>
              <w:t>X</w:t>
            </w:r>
          </w:p>
        </w:tc>
        <w:tc>
          <w:tcPr>
            <w:tcW w:w="1080" w:type="dxa"/>
            <w:tcBorders>
              <w:top w:val="single" w:sz="4" w:space="0" w:color="000000" w:themeColor="text1"/>
              <w:bottom w:val="single" w:sz="4" w:space="0" w:color="000000" w:themeColor="text1"/>
            </w:tcBorders>
            <w:vAlign w:val="center"/>
          </w:tcPr>
          <w:p w14:paraId="16E63878" w14:textId="77777777" w:rsidR="00000FDF" w:rsidRPr="008A0924" w:rsidRDefault="00000FDF" w:rsidP="00000FDF">
            <w:pPr>
              <w:pStyle w:val="TableText0"/>
              <w:spacing w:before="40" w:after="40"/>
              <w:jc w:val="center"/>
              <w:rPr>
                <w:b/>
              </w:rPr>
            </w:pPr>
          </w:p>
        </w:tc>
        <w:tc>
          <w:tcPr>
            <w:tcW w:w="1080" w:type="dxa"/>
            <w:tcBorders>
              <w:top w:val="single" w:sz="4" w:space="0" w:color="000000" w:themeColor="text1"/>
              <w:bottom w:val="single" w:sz="4" w:space="0" w:color="000000" w:themeColor="text1"/>
            </w:tcBorders>
            <w:vAlign w:val="center"/>
          </w:tcPr>
          <w:p w14:paraId="19110161" w14:textId="77777777" w:rsidR="00000FDF" w:rsidRPr="008A0924" w:rsidRDefault="00000FDF" w:rsidP="00000FDF">
            <w:pPr>
              <w:pStyle w:val="TableText0"/>
              <w:spacing w:before="40" w:after="40"/>
              <w:jc w:val="center"/>
              <w:rPr>
                <w:b/>
              </w:rPr>
            </w:pPr>
          </w:p>
        </w:tc>
        <w:tc>
          <w:tcPr>
            <w:tcW w:w="1170" w:type="dxa"/>
            <w:tcBorders>
              <w:top w:val="single" w:sz="4" w:space="0" w:color="000000" w:themeColor="text1"/>
              <w:bottom w:val="single" w:sz="4" w:space="0" w:color="000000" w:themeColor="text1"/>
            </w:tcBorders>
            <w:vAlign w:val="center"/>
          </w:tcPr>
          <w:p w14:paraId="3C6E990A" w14:textId="77777777" w:rsidR="00000FDF" w:rsidRPr="008A0924" w:rsidRDefault="00000FDF" w:rsidP="00000FDF">
            <w:pPr>
              <w:pStyle w:val="TableText0"/>
              <w:spacing w:before="40" w:after="40"/>
              <w:jc w:val="center"/>
              <w:rPr>
                <w:b/>
              </w:rPr>
            </w:pPr>
          </w:p>
        </w:tc>
        <w:tc>
          <w:tcPr>
            <w:tcW w:w="1170" w:type="dxa"/>
            <w:tcBorders>
              <w:top w:val="single" w:sz="4" w:space="0" w:color="000000" w:themeColor="text1"/>
              <w:bottom w:val="single" w:sz="4" w:space="0" w:color="000000" w:themeColor="text1"/>
            </w:tcBorders>
          </w:tcPr>
          <w:p w14:paraId="79F1F450" w14:textId="77777777" w:rsidR="00000FDF" w:rsidRDefault="00000FDF" w:rsidP="00000FDF">
            <w:pPr>
              <w:pStyle w:val="TableText0"/>
              <w:spacing w:before="40" w:after="40"/>
              <w:jc w:val="center"/>
              <w:rPr>
                <w:b/>
              </w:rPr>
            </w:pPr>
          </w:p>
        </w:tc>
      </w:tr>
      <w:tr w:rsidR="00000FDF" w14:paraId="60B0127C" w14:textId="77777777" w:rsidTr="008521B6">
        <w:tc>
          <w:tcPr>
            <w:tcW w:w="5040" w:type="dxa"/>
            <w:tcBorders>
              <w:top w:val="single" w:sz="4" w:space="0" w:color="000000" w:themeColor="text1"/>
              <w:bottom w:val="single" w:sz="4" w:space="0" w:color="000000" w:themeColor="text1"/>
            </w:tcBorders>
            <w:vAlign w:val="center"/>
          </w:tcPr>
          <w:p w14:paraId="1493625A" w14:textId="77777777" w:rsidR="00000FDF" w:rsidRDefault="00000FDF" w:rsidP="008521B6">
            <w:pPr>
              <w:pStyle w:val="TableText0"/>
              <w:spacing w:before="40" w:after="40"/>
              <w:ind w:left="285"/>
            </w:pPr>
            <w:r>
              <w:t>Benthic macroinvertebrate community composition</w:t>
            </w:r>
          </w:p>
        </w:tc>
        <w:tc>
          <w:tcPr>
            <w:tcW w:w="1350" w:type="dxa"/>
            <w:tcBorders>
              <w:top w:val="single" w:sz="4" w:space="0" w:color="000000" w:themeColor="text1"/>
              <w:bottom w:val="single" w:sz="4" w:space="0" w:color="000000" w:themeColor="text1"/>
            </w:tcBorders>
          </w:tcPr>
          <w:p w14:paraId="7530DBC7" w14:textId="77777777" w:rsidR="00000FDF" w:rsidRDefault="00000FDF" w:rsidP="00000FDF">
            <w:pPr>
              <w:pStyle w:val="TableText0"/>
              <w:spacing w:before="40" w:after="40"/>
              <w:jc w:val="center"/>
              <w:rPr>
                <w:b/>
              </w:rPr>
            </w:pPr>
            <w:r>
              <w:rPr>
                <w:b/>
              </w:rPr>
              <w:t>X</w:t>
            </w:r>
          </w:p>
        </w:tc>
        <w:tc>
          <w:tcPr>
            <w:tcW w:w="1980" w:type="dxa"/>
            <w:tcBorders>
              <w:top w:val="single" w:sz="4" w:space="0" w:color="000000" w:themeColor="text1"/>
              <w:bottom w:val="single" w:sz="4" w:space="0" w:color="000000" w:themeColor="text1"/>
            </w:tcBorders>
          </w:tcPr>
          <w:p w14:paraId="6E6C4D43" w14:textId="77777777" w:rsidR="00000FDF" w:rsidRDefault="00000FDF" w:rsidP="00000FDF">
            <w:pPr>
              <w:pStyle w:val="TableText0"/>
              <w:spacing w:before="40" w:after="40"/>
              <w:jc w:val="center"/>
              <w:rPr>
                <w:b/>
              </w:rPr>
            </w:pPr>
            <w:r>
              <w:rPr>
                <w:b/>
              </w:rPr>
              <w:t>X</w:t>
            </w:r>
          </w:p>
        </w:tc>
        <w:tc>
          <w:tcPr>
            <w:tcW w:w="1080" w:type="dxa"/>
            <w:tcBorders>
              <w:top w:val="single" w:sz="4" w:space="0" w:color="000000" w:themeColor="text1"/>
              <w:bottom w:val="single" w:sz="4" w:space="0" w:color="000000" w:themeColor="text1"/>
            </w:tcBorders>
            <w:vAlign w:val="center"/>
          </w:tcPr>
          <w:p w14:paraId="4BDCF9CD" w14:textId="77777777" w:rsidR="00000FDF" w:rsidRDefault="00000FDF" w:rsidP="00000FDF">
            <w:pPr>
              <w:pStyle w:val="TableText0"/>
              <w:spacing w:before="40" w:after="40"/>
              <w:jc w:val="center"/>
              <w:rPr>
                <w:b/>
              </w:rPr>
            </w:pPr>
          </w:p>
        </w:tc>
        <w:tc>
          <w:tcPr>
            <w:tcW w:w="1080" w:type="dxa"/>
            <w:tcBorders>
              <w:top w:val="single" w:sz="4" w:space="0" w:color="000000" w:themeColor="text1"/>
              <w:bottom w:val="single" w:sz="4" w:space="0" w:color="000000" w:themeColor="text1"/>
            </w:tcBorders>
            <w:vAlign w:val="center"/>
          </w:tcPr>
          <w:p w14:paraId="77680E0D" w14:textId="77777777" w:rsidR="00000FDF" w:rsidRDefault="00000FDF" w:rsidP="00000FDF">
            <w:pPr>
              <w:pStyle w:val="TableText0"/>
              <w:spacing w:before="40" w:after="40"/>
              <w:jc w:val="center"/>
              <w:rPr>
                <w:b/>
              </w:rPr>
            </w:pPr>
          </w:p>
        </w:tc>
        <w:tc>
          <w:tcPr>
            <w:tcW w:w="1170" w:type="dxa"/>
            <w:tcBorders>
              <w:top w:val="single" w:sz="4" w:space="0" w:color="000000" w:themeColor="text1"/>
              <w:bottom w:val="single" w:sz="4" w:space="0" w:color="000000" w:themeColor="text1"/>
            </w:tcBorders>
            <w:vAlign w:val="center"/>
          </w:tcPr>
          <w:p w14:paraId="6DF00E18" w14:textId="77777777" w:rsidR="00000FDF" w:rsidRDefault="00000FDF" w:rsidP="00000FDF">
            <w:pPr>
              <w:pStyle w:val="TableText0"/>
              <w:spacing w:before="40" w:after="40"/>
              <w:jc w:val="center"/>
              <w:rPr>
                <w:b/>
              </w:rPr>
            </w:pPr>
          </w:p>
        </w:tc>
        <w:tc>
          <w:tcPr>
            <w:tcW w:w="1170" w:type="dxa"/>
            <w:tcBorders>
              <w:top w:val="single" w:sz="4" w:space="0" w:color="000000" w:themeColor="text1"/>
              <w:bottom w:val="single" w:sz="4" w:space="0" w:color="000000" w:themeColor="text1"/>
            </w:tcBorders>
          </w:tcPr>
          <w:p w14:paraId="2D5994D9" w14:textId="77777777" w:rsidR="00000FDF" w:rsidRDefault="00000FDF" w:rsidP="00000FDF">
            <w:pPr>
              <w:pStyle w:val="TableText0"/>
              <w:spacing w:before="40" w:after="40"/>
              <w:jc w:val="center"/>
              <w:rPr>
                <w:b/>
              </w:rPr>
            </w:pPr>
          </w:p>
        </w:tc>
      </w:tr>
      <w:tr w:rsidR="00D93D26" w14:paraId="78A36989" w14:textId="77777777" w:rsidTr="008521B6">
        <w:tc>
          <w:tcPr>
            <w:tcW w:w="12870" w:type="dxa"/>
            <w:gridSpan w:val="7"/>
            <w:tcBorders>
              <w:top w:val="single" w:sz="4" w:space="0" w:color="000000" w:themeColor="text1"/>
              <w:bottom w:val="single" w:sz="4" w:space="0" w:color="000000" w:themeColor="text1"/>
            </w:tcBorders>
            <w:vAlign w:val="center"/>
          </w:tcPr>
          <w:p w14:paraId="5DC20E17" w14:textId="77777777" w:rsidR="00D93D26" w:rsidRDefault="00D93D26" w:rsidP="00D93D26">
            <w:pPr>
              <w:pStyle w:val="TableText0"/>
              <w:spacing w:before="40" w:after="40"/>
              <w:rPr>
                <w:b/>
              </w:rPr>
            </w:pPr>
            <w:r w:rsidRPr="00000FDF">
              <w:rPr>
                <w:b/>
              </w:rPr>
              <w:t>Harmful Algal Bloom</w:t>
            </w:r>
          </w:p>
        </w:tc>
      </w:tr>
      <w:tr w:rsidR="00000FDF" w14:paraId="2C97AE0F" w14:textId="77777777" w:rsidTr="008521B6">
        <w:tc>
          <w:tcPr>
            <w:tcW w:w="5040" w:type="dxa"/>
            <w:tcBorders>
              <w:top w:val="single" w:sz="4" w:space="0" w:color="000000" w:themeColor="text1"/>
              <w:bottom w:val="single" w:sz="4" w:space="0" w:color="000000" w:themeColor="text1"/>
            </w:tcBorders>
            <w:vAlign w:val="center"/>
          </w:tcPr>
          <w:p w14:paraId="30149D2A" w14:textId="77777777" w:rsidR="00000FDF" w:rsidRDefault="00000FDF" w:rsidP="008521B6">
            <w:pPr>
              <w:pStyle w:val="TableText0"/>
              <w:spacing w:before="40" w:after="40"/>
              <w:ind w:left="375" w:hanging="90"/>
            </w:pPr>
            <w:r>
              <w:t>Benthic CyanoHAB cell density and toxin</w:t>
            </w:r>
          </w:p>
        </w:tc>
        <w:tc>
          <w:tcPr>
            <w:tcW w:w="1350" w:type="dxa"/>
            <w:tcBorders>
              <w:top w:val="single" w:sz="4" w:space="0" w:color="000000" w:themeColor="text1"/>
              <w:bottom w:val="single" w:sz="4" w:space="0" w:color="000000" w:themeColor="text1"/>
            </w:tcBorders>
          </w:tcPr>
          <w:p w14:paraId="21DE196B" w14:textId="77777777" w:rsidR="00000FDF" w:rsidRDefault="00000FDF" w:rsidP="00000FDF">
            <w:pPr>
              <w:pStyle w:val="TableText0"/>
              <w:spacing w:before="40" w:after="40"/>
              <w:jc w:val="center"/>
              <w:rPr>
                <w:b/>
              </w:rPr>
            </w:pPr>
            <w:r>
              <w:rPr>
                <w:b/>
              </w:rPr>
              <w:t>X</w:t>
            </w:r>
          </w:p>
        </w:tc>
        <w:tc>
          <w:tcPr>
            <w:tcW w:w="1980" w:type="dxa"/>
            <w:tcBorders>
              <w:top w:val="single" w:sz="4" w:space="0" w:color="000000" w:themeColor="text1"/>
              <w:bottom w:val="single" w:sz="4" w:space="0" w:color="000000" w:themeColor="text1"/>
            </w:tcBorders>
          </w:tcPr>
          <w:p w14:paraId="6081EA72" w14:textId="77777777" w:rsidR="00000FDF" w:rsidRDefault="00000FDF" w:rsidP="00000FDF">
            <w:pPr>
              <w:pStyle w:val="TableText0"/>
              <w:spacing w:before="40" w:after="40"/>
              <w:jc w:val="center"/>
              <w:rPr>
                <w:b/>
              </w:rPr>
            </w:pPr>
            <w:r>
              <w:rPr>
                <w:b/>
              </w:rPr>
              <w:t>X</w:t>
            </w:r>
          </w:p>
        </w:tc>
        <w:tc>
          <w:tcPr>
            <w:tcW w:w="1080" w:type="dxa"/>
            <w:tcBorders>
              <w:top w:val="single" w:sz="4" w:space="0" w:color="000000" w:themeColor="text1"/>
              <w:bottom w:val="single" w:sz="4" w:space="0" w:color="000000" w:themeColor="text1"/>
            </w:tcBorders>
            <w:vAlign w:val="center"/>
          </w:tcPr>
          <w:p w14:paraId="730C09AD" w14:textId="77777777" w:rsidR="00000FDF" w:rsidRDefault="00D93D26" w:rsidP="00000FDF">
            <w:pPr>
              <w:pStyle w:val="TableText0"/>
              <w:spacing w:before="40" w:after="40"/>
              <w:jc w:val="center"/>
              <w:rPr>
                <w:b/>
              </w:rPr>
            </w:pPr>
            <w:r>
              <w:rPr>
                <w:b/>
              </w:rPr>
              <w:t>X</w:t>
            </w:r>
          </w:p>
        </w:tc>
        <w:tc>
          <w:tcPr>
            <w:tcW w:w="1080" w:type="dxa"/>
            <w:tcBorders>
              <w:top w:val="single" w:sz="4" w:space="0" w:color="000000" w:themeColor="text1"/>
              <w:bottom w:val="single" w:sz="4" w:space="0" w:color="000000" w:themeColor="text1"/>
            </w:tcBorders>
            <w:vAlign w:val="center"/>
          </w:tcPr>
          <w:p w14:paraId="2FDC3220" w14:textId="77777777" w:rsidR="00000FDF" w:rsidRDefault="00D93D26" w:rsidP="00000FDF">
            <w:pPr>
              <w:pStyle w:val="TableText0"/>
              <w:spacing w:before="40" w:after="40"/>
              <w:jc w:val="center"/>
              <w:rPr>
                <w:b/>
              </w:rPr>
            </w:pPr>
            <w:r>
              <w:rPr>
                <w:b/>
              </w:rPr>
              <w:t>X</w:t>
            </w:r>
          </w:p>
        </w:tc>
        <w:tc>
          <w:tcPr>
            <w:tcW w:w="1170" w:type="dxa"/>
            <w:tcBorders>
              <w:top w:val="single" w:sz="4" w:space="0" w:color="000000" w:themeColor="text1"/>
              <w:bottom w:val="single" w:sz="4" w:space="0" w:color="000000" w:themeColor="text1"/>
            </w:tcBorders>
            <w:vAlign w:val="center"/>
          </w:tcPr>
          <w:p w14:paraId="2D7BCE44" w14:textId="77777777" w:rsidR="00000FDF" w:rsidRDefault="00000FDF" w:rsidP="00000FDF">
            <w:pPr>
              <w:pStyle w:val="TableText0"/>
              <w:spacing w:before="40" w:after="40"/>
              <w:jc w:val="center"/>
              <w:rPr>
                <w:b/>
              </w:rPr>
            </w:pPr>
          </w:p>
        </w:tc>
        <w:tc>
          <w:tcPr>
            <w:tcW w:w="1170" w:type="dxa"/>
            <w:tcBorders>
              <w:top w:val="single" w:sz="4" w:space="0" w:color="000000" w:themeColor="text1"/>
              <w:bottom w:val="single" w:sz="4" w:space="0" w:color="000000" w:themeColor="text1"/>
            </w:tcBorders>
          </w:tcPr>
          <w:p w14:paraId="01A4DBFA" w14:textId="77777777" w:rsidR="00000FDF" w:rsidRDefault="00D93D26" w:rsidP="00000FDF">
            <w:pPr>
              <w:pStyle w:val="TableText0"/>
              <w:spacing w:before="40" w:after="40"/>
              <w:jc w:val="center"/>
              <w:rPr>
                <w:b/>
              </w:rPr>
            </w:pPr>
            <w:r>
              <w:rPr>
                <w:b/>
              </w:rPr>
              <w:t>X</w:t>
            </w:r>
          </w:p>
        </w:tc>
      </w:tr>
      <w:tr w:rsidR="00000FDF" w:rsidRPr="008A0924" w14:paraId="5531CF72" w14:textId="77777777" w:rsidTr="008521B6">
        <w:tc>
          <w:tcPr>
            <w:tcW w:w="5040" w:type="dxa"/>
            <w:tcBorders>
              <w:top w:val="single" w:sz="4" w:space="0" w:color="000000" w:themeColor="text1"/>
              <w:bottom w:val="single" w:sz="4" w:space="0" w:color="000000" w:themeColor="text1"/>
            </w:tcBorders>
            <w:vAlign w:val="center"/>
          </w:tcPr>
          <w:p w14:paraId="51FD3DAE" w14:textId="77777777" w:rsidR="00000FDF" w:rsidRPr="008A0924" w:rsidRDefault="00000FDF" w:rsidP="008521B6">
            <w:pPr>
              <w:pStyle w:val="TableText0"/>
              <w:spacing w:before="40" w:after="40"/>
              <w:ind w:left="375" w:hanging="90"/>
            </w:pPr>
            <w:r>
              <w:t>Particulate CyanoHAB cell density and toxin</w:t>
            </w:r>
          </w:p>
        </w:tc>
        <w:tc>
          <w:tcPr>
            <w:tcW w:w="1350" w:type="dxa"/>
            <w:tcBorders>
              <w:top w:val="single" w:sz="4" w:space="0" w:color="000000" w:themeColor="text1"/>
              <w:bottom w:val="single" w:sz="4" w:space="0" w:color="000000" w:themeColor="text1"/>
            </w:tcBorders>
          </w:tcPr>
          <w:p w14:paraId="7B342572" w14:textId="77777777" w:rsidR="00000FDF" w:rsidRPr="008A0924" w:rsidRDefault="00D93D26" w:rsidP="00000FDF">
            <w:pPr>
              <w:pStyle w:val="TableText0"/>
              <w:spacing w:before="40" w:after="40"/>
              <w:jc w:val="center"/>
              <w:rPr>
                <w:b/>
              </w:rPr>
            </w:pPr>
            <w:r>
              <w:rPr>
                <w:b/>
              </w:rPr>
              <w:t>X</w:t>
            </w:r>
          </w:p>
        </w:tc>
        <w:tc>
          <w:tcPr>
            <w:tcW w:w="1980" w:type="dxa"/>
            <w:tcBorders>
              <w:top w:val="single" w:sz="4" w:space="0" w:color="000000" w:themeColor="text1"/>
              <w:bottom w:val="single" w:sz="4" w:space="0" w:color="000000" w:themeColor="text1"/>
            </w:tcBorders>
          </w:tcPr>
          <w:p w14:paraId="1A8D77DC" w14:textId="77777777" w:rsidR="00000FDF" w:rsidRDefault="00000FDF" w:rsidP="00000FDF">
            <w:pPr>
              <w:pStyle w:val="TableText0"/>
              <w:spacing w:before="40" w:after="40"/>
              <w:jc w:val="center"/>
              <w:rPr>
                <w:b/>
              </w:rPr>
            </w:pPr>
            <w:r>
              <w:rPr>
                <w:b/>
              </w:rPr>
              <w:t>X</w:t>
            </w:r>
          </w:p>
        </w:tc>
        <w:tc>
          <w:tcPr>
            <w:tcW w:w="1080" w:type="dxa"/>
            <w:tcBorders>
              <w:top w:val="single" w:sz="4" w:space="0" w:color="000000" w:themeColor="text1"/>
              <w:bottom w:val="single" w:sz="4" w:space="0" w:color="000000" w:themeColor="text1"/>
            </w:tcBorders>
            <w:vAlign w:val="center"/>
          </w:tcPr>
          <w:p w14:paraId="403BE6B3" w14:textId="77777777" w:rsidR="00000FDF" w:rsidRPr="008A0924" w:rsidRDefault="00D93D26" w:rsidP="00000FDF">
            <w:pPr>
              <w:pStyle w:val="TableText0"/>
              <w:spacing w:before="40" w:after="40"/>
              <w:jc w:val="center"/>
              <w:rPr>
                <w:b/>
              </w:rPr>
            </w:pPr>
            <w:r>
              <w:rPr>
                <w:b/>
              </w:rPr>
              <w:t>X</w:t>
            </w:r>
          </w:p>
        </w:tc>
        <w:tc>
          <w:tcPr>
            <w:tcW w:w="1080" w:type="dxa"/>
            <w:tcBorders>
              <w:top w:val="single" w:sz="4" w:space="0" w:color="000000" w:themeColor="text1"/>
              <w:bottom w:val="single" w:sz="4" w:space="0" w:color="000000" w:themeColor="text1"/>
            </w:tcBorders>
            <w:vAlign w:val="center"/>
          </w:tcPr>
          <w:p w14:paraId="550E2835" w14:textId="77777777" w:rsidR="00000FDF" w:rsidRPr="008A0924" w:rsidRDefault="00D93D26" w:rsidP="00000FDF">
            <w:pPr>
              <w:pStyle w:val="TableText0"/>
              <w:spacing w:before="40" w:after="40"/>
              <w:jc w:val="center"/>
              <w:rPr>
                <w:b/>
              </w:rPr>
            </w:pPr>
            <w:r>
              <w:rPr>
                <w:b/>
              </w:rPr>
              <w:t>X</w:t>
            </w:r>
          </w:p>
        </w:tc>
        <w:tc>
          <w:tcPr>
            <w:tcW w:w="1170" w:type="dxa"/>
            <w:tcBorders>
              <w:top w:val="single" w:sz="4" w:space="0" w:color="000000" w:themeColor="text1"/>
              <w:bottom w:val="single" w:sz="4" w:space="0" w:color="000000" w:themeColor="text1"/>
            </w:tcBorders>
            <w:vAlign w:val="center"/>
          </w:tcPr>
          <w:p w14:paraId="1B296886" w14:textId="77777777" w:rsidR="00000FDF" w:rsidRPr="008A0924" w:rsidRDefault="00000FDF" w:rsidP="00000FDF">
            <w:pPr>
              <w:pStyle w:val="TableText0"/>
              <w:spacing w:before="40" w:after="40"/>
              <w:jc w:val="center"/>
              <w:rPr>
                <w:b/>
              </w:rPr>
            </w:pPr>
          </w:p>
        </w:tc>
        <w:tc>
          <w:tcPr>
            <w:tcW w:w="1170" w:type="dxa"/>
            <w:tcBorders>
              <w:top w:val="single" w:sz="4" w:space="0" w:color="000000" w:themeColor="text1"/>
              <w:bottom w:val="single" w:sz="4" w:space="0" w:color="000000" w:themeColor="text1"/>
            </w:tcBorders>
          </w:tcPr>
          <w:p w14:paraId="1E9BAC68" w14:textId="77777777" w:rsidR="00000FDF" w:rsidRDefault="00D93D26" w:rsidP="00000FDF">
            <w:pPr>
              <w:pStyle w:val="TableText0"/>
              <w:spacing w:before="40" w:after="40"/>
              <w:jc w:val="center"/>
              <w:rPr>
                <w:b/>
              </w:rPr>
            </w:pPr>
            <w:r>
              <w:rPr>
                <w:b/>
              </w:rPr>
              <w:t>X</w:t>
            </w:r>
          </w:p>
        </w:tc>
      </w:tr>
      <w:tr w:rsidR="00000FDF" w:rsidRPr="008A0924" w14:paraId="4C79F159" w14:textId="77777777" w:rsidTr="008521B6">
        <w:tc>
          <w:tcPr>
            <w:tcW w:w="5040" w:type="dxa"/>
            <w:tcBorders>
              <w:top w:val="single" w:sz="4" w:space="0" w:color="000000" w:themeColor="text1"/>
              <w:bottom w:val="single" w:sz="4" w:space="0" w:color="000000" w:themeColor="text1"/>
            </w:tcBorders>
            <w:vAlign w:val="center"/>
          </w:tcPr>
          <w:p w14:paraId="72F0350F" w14:textId="77777777" w:rsidR="00000FDF" w:rsidRDefault="00000FDF" w:rsidP="008521B6">
            <w:pPr>
              <w:pStyle w:val="TableText0"/>
              <w:spacing w:before="40" w:after="40"/>
              <w:ind w:left="375" w:hanging="90"/>
            </w:pPr>
            <w:r>
              <w:t>CyanoHAB toxin concentration in tissue</w:t>
            </w:r>
          </w:p>
        </w:tc>
        <w:tc>
          <w:tcPr>
            <w:tcW w:w="1350" w:type="dxa"/>
            <w:tcBorders>
              <w:top w:val="single" w:sz="4" w:space="0" w:color="000000" w:themeColor="text1"/>
              <w:bottom w:val="single" w:sz="4" w:space="0" w:color="000000" w:themeColor="text1"/>
            </w:tcBorders>
          </w:tcPr>
          <w:p w14:paraId="043068D4" w14:textId="77777777" w:rsidR="00000FDF" w:rsidRDefault="00D93D26" w:rsidP="00000FDF">
            <w:pPr>
              <w:pStyle w:val="TableText0"/>
              <w:spacing w:before="40" w:after="40"/>
              <w:jc w:val="center"/>
              <w:rPr>
                <w:b/>
              </w:rPr>
            </w:pPr>
            <w:r>
              <w:rPr>
                <w:b/>
              </w:rPr>
              <w:t>X</w:t>
            </w:r>
          </w:p>
        </w:tc>
        <w:tc>
          <w:tcPr>
            <w:tcW w:w="1980" w:type="dxa"/>
            <w:tcBorders>
              <w:top w:val="single" w:sz="4" w:space="0" w:color="000000" w:themeColor="text1"/>
              <w:bottom w:val="single" w:sz="4" w:space="0" w:color="000000" w:themeColor="text1"/>
            </w:tcBorders>
          </w:tcPr>
          <w:p w14:paraId="5032418A" w14:textId="77777777" w:rsidR="00000FDF" w:rsidRDefault="00000FDF" w:rsidP="00000FDF">
            <w:pPr>
              <w:pStyle w:val="TableText0"/>
              <w:spacing w:before="40" w:after="40"/>
              <w:jc w:val="center"/>
              <w:rPr>
                <w:b/>
              </w:rPr>
            </w:pPr>
            <w:r>
              <w:rPr>
                <w:b/>
              </w:rPr>
              <w:t>X</w:t>
            </w:r>
          </w:p>
        </w:tc>
        <w:tc>
          <w:tcPr>
            <w:tcW w:w="1080" w:type="dxa"/>
            <w:tcBorders>
              <w:top w:val="single" w:sz="4" w:space="0" w:color="000000" w:themeColor="text1"/>
              <w:bottom w:val="single" w:sz="4" w:space="0" w:color="000000" w:themeColor="text1"/>
            </w:tcBorders>
            <w:vAlign w:val="center"/>
          </w:tcPr>
          <w:p w14:paraId="330931A3" w14:textId="77777777" w:rsidR="00000FDF" w:rsidRDefault="00D93D26" w:rsidP="00000FDF">
            <w:pPr>
              <w:pStyle w:val="TableText0"/>
              <w:spacing w:before="40" w:after="40"/>
              <w:jc w:val="center"/>
              <w:rPr>
                <w:b/>
              </w:rPr>
            </w:pPr>
            <w:r>
              <w:rPr>
                <w:b/>
              </w:rPr>
              <w:t>X</w:t>
            </w:r>
          </w:p>
        </w:tc>
        <w:tc>
          <w:tcPr>
            <w:tcW w:w="1080" w:type="dxa"/>
            <w:tcBorders>
              <w:top w:val="single" w:sz="4" w:space="0" w:color="000000" w:themeColor="text1"/>
              <w:bottom w:val="single" w:sz="4" w:space="0" w:color="000000" w:themeColor="text1"/>
            </w:tcBorders>
            <w:vAlign w:val="center"/>
          </w:tcPr>
          <w:p w14:paraId="02C20047" w14:textId="77777777" w:rsidR="00000FDF" w:rsidRDefault="00000FDF" w:rsidP="00000FDF">
            <w:pPr>
              <w:pStyle w:val="TableText0"/>
              <w:spacing w:before="40" w:after="40"/>
              <w:jc w:val="center"/>
              <w:rPr>
                <w:b/>
              </w:rPr>
            </w:pPr>
          </w:p>
        </w:tc>
        <w:tc>
          <w:tcPr>
            <w:tcW w:w="1170" w:type="dxa"/>
            <w:tcBorders>
              <w:top w:val="single" w:sz="4" w:space="0" w:color="000000" w:themeColor="text1"/>
              <w:bottom w:val="single" w:sz="4" w:space="0" w:color="000000" w:themeColor="text1"/>
            </w:tcBorders>
            <w:vAlign w:val="center"/>
          </w:tcPr>
          <w:p w14:paraId="679150E6" w14:textId="77777777" w:rsidR="00000FDF" w:rsidRDefault="00000FDF" w:rsidP="00000FDF">
            <w:pPr>
              <w:pStyle w:val="TableText0"/>
              <w:spacing w:before="40" w:after="40"/>
              <w:jc w:val="center"/>
              <w:rPr>
                <w:b/>
              </w:rPr>
            </w:pPr>
          </w:p>
        </w:tc>
        <w:tc>
          <w:tcPr>
            <w:tcW w:w="1170" w:type="dxa"/>
            <w:tcBorders>
              <w:top w:val="single" w:sz="4" w:space="0" w:color="000000" w:themeColor="text1"/>
              <w:bottom w:val="single" w:sz="4" w:space="0" w:color="000000" w:themeColor="text1"/>
            </w:tcBorders>
          </w:tcPr>
          <w:p w14:paraId="4CD96EBC" w14:textId="77777777" w:rsidR="00000FDF" w:rsidRDefault="00D93D26" w:rsidP="00000FDF">
            <w:pPr>
              <w:pStyle w:val="TableText0"/>
              <w:spacing w:before="40" w:after="40"/>
              <w:jc w:val="center"/>
              <w:rPr>
                <w:b/>
              </w:rPr>
            </w:pPr>
            <w:r>
              <w:rPr>
                <w:b/>
              </w:rPr>
              <w:t>X</w:t>
            </w:r>
          </w:p>
        </w:tc>
      </w:tr>
      <w:tr w:rsidR="00000FDF" w:rsidRPr="00852BC2" w14:paraId="6CCFDE74" w14:textId="77777777" w:rsidTr="008521B6">
        <w:tc>
          <w:tcPr>
            <w:tcW w:w="5040" w:type="dxa"/>
            <w:tcBorders>
              <w:top w:val="single" w:sz="4" w:space="0" w:color="000000" w:themeColor="text1"/>
              <w:bottom w:val="single" w:sz="4" w:space="0" w:color="000000" w:themeColor="text1"/>
            </w:tcBorders>
            <w:vAlign w:val="center"/>
          </w:tcPr>
          <w:p w14:paraId="7D2CAF02" w14:textId="77777777" w:rsidR="00000FDF" w:rsidRPr="00852BC2" w:rsidRDefault="00000FDF" w:rsidP="008521B6">
            <w:pPr>
              <w:pStyle w:val="TableText0"/>
              <w:spacing w:before="40" w:after="40"/>
              <w:ind w:left="375" w:hanging="90"/>
            </w:pPr>
            <w:r w:rsidRPr="00852BC2">
              <w:t>SPATT Toxin concentration</w:t>
            </w:r>
          </w:p>
        </w:tc>
        <w:tc>
          <w:tcPr>
            <w:tcW w:w="1350" w:type="dxa"/>
            <w:tcBorders>
              <w:top w:val="single" w:sz="4" w:space="0" w:color="000000" w:themeColor="text1"/>
              <w:bottom w:val="single" w:sz="4" w:space="0" w:color="000000" w:themeColor="text1"/>
            </w:tcBorders>
          </w:tcPr>
          <w:p w14:paraId="3642CB1A" w14:textId="77777777" w:rsidR="00000FDF" w:rsidRPr="00852BC2" w:rsidRDefault="00D93D26" w:rsidP="00000FDF">
            <w:pPr>
              <w:pStyle w:val="TableText0"/>
              <w:spacing w:before="40" w:after="40"/>
              <w:jc w:val="center"/>
              <w:rPr>
                <w:b/>
              </w:rPr>
            </w:pPr>
            <w:r>
              <w:rPr>
                <w:b/>
              </w:rPr>
              <w:t>X</w:t>
            </w:r>
          </w:p>
        </w:tc>
        <w:tc>
          <w:tcPr>
            <w:tcW w:w="1980" w:type="dxa"/>
            <w:tcBorders>
              <w:top w:val="single" w:sz="4" w:space="0" w:color="000000" w:themeColor="text1"/>
              <w:bottom w:val="single" w:sz="4" w:space="0" w:color="000000" w:themeColor="text1"/>
            </w:tcBorders>
          </w:tcPr>
          <w:p w14:paraId="3B766329" w14:textId="77777777" w:rsidR="00000FDF" w:rsidRPr="00852BC2" w:rsidRDefault="00D93D26" w:rsidP="00000FDF">
            <w:pPr>
              <w:pStyle w:val="TableText0"/>
              <w:spacing w:before="40" w:after="40"/>
              <w:jc w:val="center"/>
              <w:rPr>
                <w:b/>
              </w:rPr>
            </w:pPr>
            <w:r>
              <w:rPr>
                <w:b/>
              </w:rPr>
              <w:t>X</w:t>
            </w:r>
          </w:p>
        </w:tc>
        <w:tc>
          <w:tcPr>
            <w:tcW w:w="1080" w:type="dxa"/>
            <w:tcBorders>
              <w:top w:val="single" w:sz="4" w:space="0" w:color="000000" w:themeColor="text1"/>
              <w:bottom w:val="single" w:sz="4" w:space="0" w:color="000000" w:themeColor="text1"/>
            </w:tcBorders>
            <w:vAlign w:val="center"/>
          </w:tcPr>
          <w:p w14:paraId="47C6F702" w14:textId="77777777" w:rsidR="00000FDF" w:rsidRPr="00852BC2" w:rsidRDefault="00000FDF" w:rsidP="00000FDF">
            <w:pPr>
              <w:pStyle w:val="TableText0"/>
              <w:spacing w:before="40" w:after="40"/>
              <w:jc w:val="center"/>
              <w:rPr>
                <w:b/>
              </w:rPr>
            </w:pPr>
          </w:p>
        </w:tc>
        <w:tc>
          <w:tcPr>
            <w:tcW w:w="1080" w:type="dxa"/>
            <w:tcBorders>
              <w:top w:val="single" w:sz="4" w:space="0" w:color="000000" w:themeColor="text1"/>
              <w:bottom w:val="single" w:sz="4" w:space="0" w:color="000000" w:themeColor="text1"/>
            </w:tcBorders>
            <w:vAlign w:val="center"/>
          </w:tcPr>
          <w:p w14:paraId="36FEDCC5" w14:textId="77777777" w:rsidR="00000FDF" w:rsidRPr="00852BC2" w:rsidRDefault="00000FDF" w:rsidP="00000FDF">
            <w:pPr>
              <w:pStyle w:val="TableText0"/>
              <w:spacing w:before="40" w:after="40"/>
              <w:jc w:val="center"/>
              <w:rPr>
                <w:b/>
              </w:rPr>
            </w:pPr>
          </w:p>
        </w:tc>
        <w:tc>
          <w:tcPr>
            <w:tcW w:w="1170" w:type="dxa"/>
            <w:tcBorders>
              <w:top w:val="single" w:sz="4" w:space="0" w:color="000000" w:themeColor="text1"/>
              <w:bottom w:val="single" w:sz="4" w:space="0" w:color="000000" w:themeColor="text1"/>
            </w:tcBorders>
            <w:vAlign w:val="center"/>
          </w:tcPr>
          <w:p w14:paraId="6A68519F" w14:textId="77777777" w:rsidR="00000FDF" w:rsidRPr="00852BC2" w:rsidRDefault="00000FDF" w:rsidP="00000FDF">
            <w:pPr>
              <w:pStyle w:val="TableText0"/>
              <w:spacing w:before="40" w:after="40"/>
              <w:jc w:val="center"/>
              <w:rPr>
                <w:b/>
              </w:rPr>
            </w:pPr>
          </w:p>
        </w:tc>
        <w:tc>
          <w:tcPr>
            <w:tcW w:w="1170" w:type="dxa"/>
            <w:tcBorders>
              <w:top w:val="single" w:sz="4" w:space="0" w:color="000000" w:themeColor="text1"/>
              <w:bottom w:val="single" w:sz="4" w:space="0" w:color="000000" w:themeColor="text1"/>
            </w:tcBorders>
          </w:tcPr>
          <w:p w14:paraId="3F103BB8" w14:textId="77777777" w:rsidR="00000FDF" w:rsidRPr="00852BC2" w:rsidRDefault="00D93D26" w:rsidP="00000FDF">
            <w:pPr>
              <w:pStyle w:val="TableText0"/>
              <w:spacing w:before="40" w:after="40"/>
              <w:jc w:val="center"/>
              <w:rPr>
                <w:b/>
              </w:rPr>
            </w:pPr>
            <w:r>
              <w:rPr>
                <w:b/>
              </w:rPr>
              <w:t>X</w:t>
            </w:r>
          </w:p>
        </w:tc>
      </w:tr>
    </w:tbl>
    <w:p w14:paraId="7D95F575" w14:textId="77777777" w:rsidR="00806E7F" w:rsidRDefault="00806E7F" w:rsidP="00C6106A">
      <w:pPr>
        <w:pStyle w:val="TOT"/>
      </w:pPr>
    </w:p>
    <w:bookmarkEnd w:id="35"/>
    <w:p w14:paraId="7CF68A4D" w14:textId="77777777" w:rsidR="008521B6" w:rsidRDefault="008521B6" w:rsidP="00D01574">
      <w:pPr>
        <w:pStyle w:val="Heading3"/>
        <w:sectPr w:rsidR="008521B6" w:rsidSect="008521B6">
          <w:headerReference w:type="even" r:id="rId18"/>
          <w:headerReference w:type="default" r:id="rId19"/>
          <w:footerReference w:type="default" r:id="rId20"/>
          <w:headerReference w:type="first" r:id="rId21"/>
          <w:pgSz w:w="15840" w:h="12240" w:orient="landscape"/>
          <w:pgMar w:top="1440" w:right="1440" w:bottom="1440" w:left="1440" w:header="720" w:footer="720" w:gutter="0"/>
          <w:cols w:space="720"/>
          <w:docGrid w:linePitch="360"/>
        </w:sectPr>
      </w:pPr>
    </w:p>
    <w:p w14:paraId="1924B578" w14:textId="77777777" w:rsidR="00362B76" w:rsidRDefault="00362B76" w:rsidP="00D01574">
      <w:pPr>
        <w:pStyle w:val="Heading3"/>
      </w:pPr>
      <w:bookmarkStart w:id="36" w:name="_Toc526505110"/>
      <w:r>
        <w:t xml:space="preserve">2.1.1 Changes in </w:t>
      </w:r>
      <w:r w:rsidR="008102ED">
        <w:t>Autotrophic (</w:t>
      </w:r>
      <w:r>
        <w:t>Primary Producers</w:t>
      </w:r>
      <w:r w:rsidR="008102ED">
        <w:t xml:space="preserve">) and </w:t>
      </w:r>
      <w:r w:rsidR="008C620D">
        <w:t>Heterotrophic Communities</w:t>
      </w:r>
      <w:bookmarkEnd w:id="36"/>
    </w:p>
    <w:p w14:paraId="30527C0F" w14:textId="193F8849" w:rsidR="002D5254" w:rsidRDefault="009C37F0" w:rsidP="004F4A3D">
      <w:r>
        <w:t xml:space="preserve">The primary producer community in wadeable streams directly responses to these changes by 1) </w:t>
      </w:r>
      <w:r w:rsidR="0010414F">
        <w:t xml:space="preserve">increasing accumulated biomass of algae (diatoms and soft-bodied algae), aquatic plants, and toxigenic cyanobacteria; high biomass species such as filamentous algae, which form attached and floating mats, sometimes up to several meters in length, can dominate biomass and shade out other species, such a diatoms, which form periphytic mats on substrate underneath </w:t>
      </w:r>
      <w:r w:rsidR="0010414F" w:rsidRPr="00CF3401">
        <w:t>(</w:t>
      </w:r>
      <w:r w:rsidR="008102ED">
        <w:t>Figure 2.2</w:t>
      </w:r>
      <w:r w:rsidR="00625153">
        <w:t>, left panel</w:t>
      </w:r>
      <w:r w:rsidR="008102ED">
        <w:t xml:space="preserve">, </w:t>
      </w:r>
      <w:r w:rsidR="0010414F" w:rsidRPr="00CF3401">
        <w:t>Dodds and Gudder 1992</w:t>
      </w:r>
      <w:r w:rsidR="0010414F">
        <w:t>; Fetscher et al. 2016)</w:t>
      </w:r>
      <w:r w:rsidR="00917CBC">
        <w:t xml:space="preserve"> and</w:t>
      </w:r>
      <w:r w:rsidR="0010414F">
        <w:t xml:space="preserve"> 2) </w:t>
      </w:r>
      <w:r>
        <w:t xml:space="preserve">decreasing diversity of </w:t>
      </w:r>
      <w:r w:rsidRPr="00CF3401">
        <w:t>algal species composition</w:t>
      </w:r>
      <w:r>
        <w:t>, favoring pollution tolerant species to the exclusion of the sensitive taxa</w:t>
      </w:r>
      <w:r w:rsidRPr="00CF3401">
        <w:t xml:space="preserve"> (Stevenson 1996, Pan et al. 1996, Stevenson and Smol 2001)</w:t>
      </w:r>
      <w:r>
        <w:t xml:space="preserve">. </w:t>
      </w:r>
      <w:r w:rsidRPr="00CF3401">
        <w:t>and aquatic plants (e.g. Vitousek et al. 1997</w:t>
      </w:r>
      <w:r w:rsidR="00726404">
        <w:t>,</w:t>
      </w:r>
      <w:r w:rsidR="00726404" w:rsidRPr="00CF3401">
        <w:t xml:space="preserve"> </w:t>
      </w:r>
      <w:r w:rsidRPr="00CF3401">
        <w:t xml:space="preserve">Nijboer </w:t>
      </w:r>
      <w:r w:rsidR="00726404">
        <w:t>and</w:t>
      </w:r>
      <w:r w:rsidR="00726404" w:rsidRPr="00CF3401">
        <w:t xml:space="preserve"> </w:t>
      </w:r>
      <w:r w:rsidRPr="00CF3401">
        <w:t>Verdonschot 2004, Allan 2004, Heiskary and Bouchard 2016</w:t>
      </w:r>
      <w:r w:rsidR="0010414F">
        <w:t>)</w:t>
      </w:r>
      <w:r w:rsidR="00917CBC">
        <w:t xml:space="preserve">, 3) </w:t>
      </w:r>
      <w:r w:rsidR="00944F13">
        <w:t xml:space="preserve">favoring the proliferation of </w:t>
      </w:r>
      <w:r w:rsidR="00917CBC">
        <w:t xml:space="preserve">toxigenic cyanobacteria, </w:t>
      </w:r>
      <w:r w:rsidR="00944F13">
        <w:t>though</w:t>
      </w:r>
      <w:r w:rsidR="00917CBC">
        <w:t xml:space="preserve"> natura</w:t>
      </w:r>
      <w:r w:rsidR="00944F13">
        <w:t>l</w:t>
      </w:r>
      <w:r w:rsidR="00917CBC">
        <w:t>l</w:t>
      </w:r>
      <w:r w:rsidR="00944F13">
        <w:t xml:space="preserve">y </w:t>
      </w:r>
      <w:r w:rsidR="00B24799">
        <w:t>occurring</w:t>
      </w:r>
      <w:r w:rsidR="00917CBC">
        <w:t xml:space="preserve"> in streams (Fetscher et al. 2016), </w:t>
      </w:r>
      <w:r w:rsidR="007D264A">
        <w:t xml:space="preserve">which constitute both poor food quality as well as </w:t>
      </w:r>
      <w:r w:rsidR="00944F13">
        <w:t>a potential risk to human and aquatic life from exposure to cyanotoxins</w:t>
      </w:r>
      <w:r w:rsidR="00917CBC">
        <w:t>, and</w:t>
      </w:r>
      <w:r w:rsidR="0010414F">
        <w:t xml:space="preserve"> </w:t>
      </w:r>
      <w:r w:rsidR="00917CBC">
        <w:t>4</w:t>
      </w:r>
      <w:r w:rsidR="0010414F">
        <w:t xml:space="preserve">) </w:t>
      </w:r>
      <w:r w:rsidR="00917CBC">
        <w:t>i</w:t>
      </w:r>
      <w:r w:rsidR="0010414F">
        <w:t xml:space="preserve">n some cases, such as ag-dominated streams where high turbidity prevents light from reach bottom, the dominant algae shift from benthic forms to </w:t>
      </w:r>
      <w:r w:rsidR="002D5254">
        <w:t>phytoplankton</w:t>
      </w:r>
      <w:r w:rsidR="004F4A3D">
        <w:t xml:space="preserve"> (Sand-Jenson et al. 2000).</w:t>
      </w:r>
    </w:p>
    <w:tbl>
      <w:tblPr>
        <w:tblStyle w:val="TableGrid"/>
        <w:tblW w:w="0" w:type="auto"/>
        <w:tblLook w:val="04A0" w:firstRow="1" w:lastRow="0" w:firstColumn="1" w:lastColumn="0" w:noHBand="0" w:noVBand="1"/>
      </w:tblPr>
      <w:tblGrid>
        <w:gridCol w:w="4741"/>
        <w:gridCol w:w="4609"/>
      </w:tblGrid>
      <w:tr w:rsidR="008102ED" w14:paraId="75DF9C64" w14:textId="77777777" w:rsidTr="00D73132">
        <w:tc>
          <w:tcPr>
            <w:tcW w:w="45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76E1F84" w14:textId="77777777" w:rsidR="008102ED" w:rsidRDefault="008102ED" w:rsidP="002A62CA">
            <w:r w:rsidRPr="008102ED">
              <w:rPr>
                <w:noProof/>
                <w:lang w:eastAsia="zh-CN" w:bidi="ar-SA"/>
              </w:rPr>
              <w:drawing>
                <wp:inline distT="0" distB="0" distL="0" distR="0" wp14:anchorId="4D20E390" wp14:editId="01C6E6BB">
                  <wp:extent cx="2933700" cy="4599305"/>
                  <wp:effectExtent l="0" t="0" r="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2"/>
                          <a:stretch>
                            <a:fillRect/>
                          </a:stretch>
                        </pic:blipFill>
                        <pic:spPr>
                          <a:xfrm>
                            <a:off x="0" y="0"/>
                            <a:ext cx="2938664" cy="4607088"/>
                          </a:xfrm>
                          <a:prstGeom prst="rect">
                            <a:avLst/>
                          </a:prstGeom>
                        </pic:spPr>
                      </pic:pic>
                    </a:graphicData>
                  </a:graphic>
                </wp:inline>
              </w:drawing>
            </w:r>
          </w:p>
        </w:tc>
        <w:tc>
          <w:tcPr>
            <w:tcW w:w="48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6BC0384" w14:textId="77777777" w:rsidR="008102ED" w:rsidRDefault="008102ED" w:rsidP="002A62CA">
            <w:r w:rsidRPr="008102ED">
              <w:rPr>
                <w:noProof/>
                <w:lang w:eastAsia="zh-CN" w:bidi="ar-SA"/>
              </w:rPr>
              <w:drawing>
                <wp:inline distT="0" distB="0" distL="0" distR="0" wp14:anchorId="468E3820" wp14:editId="590BF333">
                  <wp:extent cx="2847975" cy="4533877"/>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3"/>
                          <a:stretch>
                            <a:fillRect/>
                          </a:stretch>
                        </pic:blipFill>
                        <pic:spPr>
                          <a:xfrm>
                            <a:off x="0" y="0"/>
                            <a:ext cx="2852535" cy="4541137"/>
                          </a:xfrm>
                          <a:prstGeom prst="rect">
                            <a:avLst/>
                          </a:prstGeom>
                        </pic:spPr>
                      </pic:pic>
                    </a:graphicData>
                  </a:graphic>
                </wp:inline>
              </w:drawing>
            </w:r>
          </w:p>
        </w:tc>
      </w:tr>
    </w:tbl>
    <w:p w14:paraId="1E7FA66F" w14:textId="77777777" w:rsidR="008102ED" w:rsidRDefault="008102ED" w:rsidP="008521B6">
      <w:pPr>
        <w:pStyle w:val="TOF"/>
      </w:pPr>
      <w:bookmarkStart w:id="37" w:name="_Toc526489936"/>
      <w:r>
        <w:t xml:space="preserve">Figure 2.2. Examples of </w:t>
      </w:r>
      <w:r w:rsidR="00625153">
        <w:t xml:space="preserve">(left panel) </w:t>
      </w:r>
      <w:r>
        <w:t xml:space="preserve">attached and floating filamentous algal mats </w:t>
      </w:r>
      <w:r w:rsidR="00C55B71">
        <w:t xml:space="preserve">and (right panel) detrital organic matter </w:t>
      </w:r>
      <w:r>
        <w:t>in the Santa Margarita River (from Sutula et al. 2018).</w:t>
      </w:r>
      <w:bookmarkEnd w:id="37"/>
      <w:r>
        <w:t xml:space="preserve"> </w:t>
      </w:r>
    </w:p>
    <w:p w14:paraId="2220BEC7" w14:textId="355C113E" w:rsidR="008521B6" w:rsidRDefault="008521B6" w:rsidP="002A62CA">
      <w:r>
        <w:t xml:space="preserve">Along this gradient of increased nutrient availability and organic matter accumulation, biomass of heterotrophic microbes (bacteria, </w:t>
      </w:r>
      <w:r w:rsidR="00B24799">
        <w:t>archaea</w:t>
      </w:r>
      <w:r>
        <w:t xml:space="preserve">, and fungi) also increases </w:t>
      </w:r>
      <w:r w:rsidRPr="00CF3401">
        <w:t>(Olapade and Leff 2005, Davis et al. 2010, Suberkropp et al. 2010)</w:t>
      </w:r>
      <w:r>
        <w:t>, which contributes to enhanced decomposition in the benthic boundary layer.  This microbial secondary production converts organic matter (including dissolved) into new bacterial biomass, which can be ingested and assimilated by macroconsumers (e.g., Wiegner et al. 2005, Findlay 2010). Less is understood about the changes in bacterial diversity along the eutrophication gradient and application of microbial metabarcoding to stream bioassessment is still in its infancy.</w:t>
      </w:r>
    </w:p>
    <w:p w14:paraId="5D439296" w14:textId="77777777" w:rsidR="00362B76" w:rsidRDefault="00362B76" w:rsidP="00D01574">
      <w:pPr>
        <w:pStyle w:val="Heading3"/>
      </w:pPr>
      <w:bookmarkStart w:id="38" w:name="_Toc526505111"/>
      <w:r>
        <w:t xml:space="preserve">2.1.2. Changes </w:t>
      </w:r>
      <w:r w:rsidR="00EB1B4F">
        <w:t xml:space="preserve">to </w:t>
      </w:r>
      <w:r w:rsidR="00625153">
        <w:t xml:space="preserve">Physical Habitat, </w:t>
      </w:r>
      <w:r>
        <w:t>Water and Benthic Chemistry</w:t>
      </w:r>
      <w:bookmarkEnd w:id="38"/>
    </w:p>
    <w:p w14:paraId="045B6A79" w14:textId="77777777" w:rsidR="00E24455" w:rsidRDefault="0013791B" w:rsidP="00DF6B3C">
      <w:r w:rsidRPr="0013791B">
        <w:rPr>
          <w:b/>
        </w:rPr>
        <w:t>Physical Habitat.</w:t>
      </w:r>
      <w:r>
        <w:t xml:space="preserve"> </w:t>
      </w:r>
      <w:r w:rsidR="00EB1B4F">
        <w:t>Increased biomass of autotrophs (primary producer) and heterotrophs in wadeable streams has multiple impacts. High biomass blooms can cause a dampening of streams velocity, reducing reoxygenation at the surface or inducing water column stratification (with supersaturated conditions at the surface and anoxic conditions at depth or within the mat; Dodds and Biggs 2002)</w:t>
      </w:r>
      <w:r w:rsidR="00E24455">
        <w:t xml:space="preserve">, and sedimentation or smothering of stream substrates. </w:t>
      </w:r>
      <w:r w:rsidR="00625153" w:rsidRPr="00625153">
        <w:t>Scour of high algal biomass upstream can be deposited throughout the stream drainage network</w:t>
      </w:r>
      <w:r w:rsidR="00625153">
        <w:t xml:space="preserve">, depositing fine-grained detrital organic matter and </w:t>
      </w:r>
      <w:r w:rsidR="00D73132">
        <w:t xml:space="preserve">fundamentally altering habitat </w:t>
      </w:r>
      <w:r w:rsidR="00625153">
        <w:t xml:space="preserve">for benthic invertebrates and </w:t>
      </w:r>
      <w:r w:rsidR="00D73132">
        <w:t xml:space="preserve">spawning </w:t>
      </w:r>
      <w:r w:rsidR="00625153">
        <w:t xml:space="preserve">fish (Figure 2.2, right panel, </w:t>
      </w:r>
      <w:r w:rsidR="004F4A3D">
        <w:t>Welch et al. 1989, Chessman et al. 1992</w:t>
      </w:r>
      <w:r w:rsidR="00E24455">
        <w:t>, Hawkins et al 1982</w:t>
      </w:r>
      <w:r w:rsidR="00625153">
        <w:t xml:space="preserve">). </w:t>
      </w:r>
      <w:r w:rsidR="00625153" w:rsidRPr="00625153">
        <w:t xml:space="preserve"> </w:t>
      </w:r>
    </w:p>
    <w:p w14:paraId="42105F9A" w14:textId="77777777" w:rsidR="00362B76" w:rsidRDefault="008521B6" w:rsidP="00DB0835">
      <w:pPr>
        <w:jc w:val="both"/>
      </w:pPr>
      <w:r w:rsidRPr="0050023D">
        <w:rPr>
          <w:rFonts w:asciiTheme="majorHAnsi" w:eastAsia="Arial" w:hAnsiTheme="majorHAnsi" w:cs="Arial"/>
          <w:i/>
          <w:noProof/>
          <w:sz w:val="24"/>
          <w:szCs w:val="24"/>
          <w:lang w:eastAsia="zh-CN" w:bidi="ar-SA"/>
        </w:rPr>
        <w:drawing>
          <wp:anchor distT="0" distB="0" distL="114300" distR="114300" simplePos="0" relativeHeight="251659264" behindDoc="0" locked="0" layoutInCell="1" allowOverlap="1" wp14:anchorId="3A7DD8A0" wp14:editId="08EC3796">
            <wp:simplePos x="0" y="0"/>
            <wp:positionH relativeFrom="margin">
              <wp:align>left</wp:align>
            </wp:positionH>
            <wp:positionV relativeFrom="paragraph">
              <wp:posOffset>62865</wp:posOffset>
            </wp:positionV>
            <wp:extent cx="3095625" cy="4619625"/>
            <wp:effectExtent l="0" t="0" r="9525" b="9525"/>
            <wp:wrapThrough wrapText="bothSides">
              <wp:wrapPolygon edited="0">
                <wp:start x="0" y="0"/>
                <wp:lineTo x="0" y="21555"/>
                <wp:lineTo x="21534" y="21555"/>
                <wp:lineTo x="21534" y="0"/>
                <wp:lineTo x="0" y="0"/>
              </wp:wrapPolygon>
            </wp:wrapThrough>
            <wp:docPr id="2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rotWithShape="1">
                    <a:blip r:embed="rId24">
                      <a:extLst>
                        <a:ext uri="{28A0092B-C50C-407E-A947-70E740481C1C}">
                          <a14:useLocalDpi xmlns:a14="http://schemas.microsoft.com/office/drawing/2010/main" val="0"/>
                        </a:ext>
                      </a:extLst>
                    </a:blip>
                    <a:srcRect l="33143" t="5195" r="31895"/>
                    <a:stretch/>
                  </pic:blipFill>
                  <pic:spPr bwMode="auto">
                    <a:xfrm>
                      <a:off x="0" y="0"/>
                      <a:ext cx="3095625" cy="4619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791B" w:rsidRPr="0013791B">
        <w:rPr>
          <w:b/>
        </w:rPr>
        <w:t xml:space="preserve">Dissolved Oxygen and pH. </w:t>
      </w:r>
      <w:r w:rsidR="00EB1B4F" w:rsidRPr="0013791B">
        <w:t>The</w:t>
      </w:r>
      <w:r w:rsidR="00EB1B4F">
        <w:t xml:space="preserve"> accumulation of algal and </w:t>
      </w:r>
      <w:r w:rsidR="00DF6B3C">
        <w:t>micr</w:t>
      </w:r>
      <w:r w:rsidR="004F4A3D">
        <w:t>o</w:t>
      </w:r>
      <w:r w:rsidR="00DF6B3C">
        <w:t>bial</w:t>
      </w:r>
      <w:r w:rsidR="00EB1B4F">
        <w:t xml:space="preserve"> biomass exerts a strong effect on stream chemistry</w:t>
      </w:r>
      <w:r w:rsidR="008102ED">
        <w:t>.</w:t>
      </w:r>
      <w:r w:rsidR="00E24455">
        <w:t xml:space="preserve">  L</w:t>
      </w:r>
      <w:r w:rsidR="00E24455" w:rsidRPr="00E24455">
        <w:t>abile carbon</w:t>
      </w:r>
      <w:r w:rsidR="00E24455">
        <w:t xml:space="preserve"> sources associated with photosynthesis and respiration cause large </w:t>
      </w:r>
      <w:r w:rsidR="00E24455" w:rsidRPr="00CF3401">
        <w:t>diel DO and pH swings</w:t>
      </w:r>
      <w:r w:rsidR="00E24455">
        <w:t xml:space="preserve">; labile carbon sources from dead algae and microbial </w:t>
      </w:r>
      <w:r w:rsidR="0011398A">
        <w:t>biomass</w:t>
      </w:r>
      <w:r w:rsidR="00E24455">
        <w:t xml:space="preserve"> accelerate </w:t>
      </w:r>
      <w:r w:rsidR="00E24455" w:rsidRPr="00E24455">
        <w:t>decomposition</w:t>
      </w:r>
      <w:r w:rsidR="0011398A">
        <w:t xml:space="preserve"> (Gray et al. 2002)</w:t>
      </w:r>
      <w:r w:rsidR="008C620D" w:rsidRPr="00CF3401">
        <w:t xml:space="preserve">, </w:t>
      </w:r>
      <w:r w:rsidR="00E24455">
        <w:t>lead</w:t>
      </w:r>
      <w:r w:rsidR="0011398A">
        <w:t>ing</w:t>
      </w:r>
      <w:r w:rsidR="00E24455">
        <w:t xml:space="preserve"> to decreased oxygen concentrations in the water column and</w:t>
      </w:r>
      <w:r w:rsidR="0011398A">
        <w:t xml:space="preserve"> </w:t>
      </w:r>
      <w:r w:rsidR="00E24455">
        <w:t>sediments, as the biological oxygen consumption exceeds the oxygen supply (Cloern 2001, Meyer-Reil and Koster 2000, Harper 1992</w:t>
      </w:r>
      <w:r w:rsidR="008C620D" w:rsidRPr="00CF3401">
        <w:t>; Mallin et al. 2006, Dodds 200</w:t>
      </w:r>
      <w:r w:rsidR="00DF6B3C">
        <w:t>7</w:t>
      </w:r>
      <w:r w:rsidR="008C620D" w:rsidRPr="00CF3401">
        <w:t>)</w:t>
      </w:r>
      <w:r w:rsidR="008102ED">
        <w:t>.</w:t>
      </w:r>
    </w:p>
    <w:p w14:paraId="093060E7" w14:textId="77777777" w:rsidR="00EB1B4F" w:rsidRDefault="00913FB7" w:rsidP="00913FB7">
      <w:pPr>
        <w:pStyle w:val="TOF"/>
      </w:pPr>
      <w:bookmarkStart w:id="39" w:name="_Toc526489937"/>
      <w:r>
        <w:t>Figure 2.3 Diel swings in DO and pH associated with high algal and heterotrophic biomass in Fallbrook Creek, Santa Margarita River watershed. A late season rain event on May 7</w:t>
      </w:r>
      <w:r w:rsidRPr="00913FB7">
        <w:rPr>
          <w:vertAlign w:val="superscript"/>
        </w:rPr>
        <w:t>th</w:t>
      </w:r>
      <w:r>
        <w:t xml:space="preserve"> scoured algae from this site, thus dampening the effect on the amplitude the diel swing. From Sutula and Shultz (2018).</w:t>
      </w:r>
      <w:bookmarkEnd w:id="39"/>
      <w:r>
        <w:t xml:space="preserve">  </w:t>
      </w:r>
    </w:p>
    <w:p w14:paraId="20023C1C" w14:textId="77777777" w:rsidR="008521B6" w:rsidRDefault="008521B6" w:rsidP="008521B6">
      <w:pPr>
        <w:jc w:val="both"/>
      </w:pPr>
    </w:p>
    <w:p w14:paraId="10C8CEDF" w14:textId="77777777" w:rsidR="008521B6" w:rsidRDefault="008521B6" w:rsidP="008521B6">
      <w:pPr>
        <w:jc w:val="both"/>
      </w:pPr>
      <w:r>
        <w:t>In the absence of oxygen, microbes use alternative electron acceptors (nitrate, manganese, iron, sulfate, and carbon dioxide) to oxidize organic material, resulting in release of hydrogen sulfide (in freshwater systems, found in marine shales) and/or ammonium, both of which are toxic to many aquatic organisms (Meyer-Reil and Koster 2000, Eyre and Ferguson 2002, Harper 1992). Anaerobic decomposition also increases release of phosphate from the sediments, potentially exacerbating conditions of nutrient enrichment (Harper 1992).</w:t>
      </w:r>
    </w:p>
    <w:p w14:paraId="02B50C8B" w14:textId="0CABCF79" w:rsidR="00C97F56" w:rsidRPr="00C97F56" w:rsidRDefault="00C97F56" w:rsidP="00C97F56">
      <w:pPr>
        <w:tabs>
          <w:tab w:val="left" w:pos="1530"/>
        </w:tabs>
        <w:jc w:val="both"/>
      </w:pPr>
      <w:r>
        <w:rPr>
          <w:b/>
        </w:rPr>
        <w:t>Gross Primary Production, Ecosystem Metabolism, and Trophic State</w:t>
      </w:r>
      <w:r w:rsidR="00604099">
        <w:rPr>
          <w:b/>
        </w:rPr>
        <w:t xml:space="preserve">. </w:t>
      </w:r>
      <w:r>
        <w:t xml:space="preserve">Dodds (2007) defined eutrophication in lotic habitats as an increase in factors that leads to greater whole-system heterotrophic or autotrophic metabolism. </w:t>
      </w:r>
      <w:r w:rsidRPr="00C97F56">
        <w:t xml:space="preserve">Stream ecosystem metabolism </w:t>
      </w:r>
      <w:r>
        <w:t>(EM) is comprised of</w:t>
      </w:r>
      <w:r w:rsidRPr="00C97F56">
        <w:t xml:space="preserve"> both gross primary production (GPP), which essentially </w:t>
      </w:r>
      <w:r w:rsidR="00B24799" w:rsidRPr="00C97F56">
        <w:t>represents</w:t>
      </w:r>
      <w:r w:rsidRPr="00C97F56">
        <w:t xml:space="preserve"> photosynthesis by aquatic autotrophs, and ecosystem respiration (ER), which comprises organic matter breakdown by both autotrophs and heterotrophs. </w:t>
      </w:r>
      <w:r>
        <w:t>S</w:t>
      </w:r>
      <w:r w:rsidRPr="00C97F56">
        <w:t xml:space="preserve">tream </w:t>
      </w:r>
      <w:r>
        <w:t>EM</w:t>
      </w:r>
      <w:r w:rsidRPr="00C97F56">
        <w:t xml:space="preserve"> is an integrative measure of stream structure and function </w:t>
      </w:r>
      <w:r>
        <w:t xml:space="preserve">and </w:t>
      </w:r>
      <w:r w:rsidRPr="00C97F56">
        <w:t>a fundamental indicator of nutrient and organic matter cycling (William-son et al. 2008</w:t>
      </w:r>
      <w:r w:rsidR="008521B6">
        <w:t>;</w:t>
      </w:r>
      <w:r>
        <w:t xml:space="preserve"> </w:t>
      </w:r>
      <w:r w:rsidRPr="00C97F56">
        <w:t>Izagirre et al. 2008). Because carbon cycling drives other nutrient cycles and provides a food-web base via autotrophic production and processing of allochthonous materials</w:t>
      </w:r>
      <w:r>
        <w:t xml:space="preserve"> (Findlay 2016)</w:t>
      </w:r>
      <w:r w:rsidRPr="00C97F56">
        <w:t xml:space="preserve">, factors that control rates of stream metabolism will probably regulate other properties </w:t>
      </w:r>
      <w:r>
        <w:t>such as</w:t>
      </w:r>
      <w:r w:rsidRPr="00C97F56">
        <w:t xml:space="preserve"> nutrient process rates and secondary production (Meyer et al. 2007).</w:t>
      </w:r>
      <w:r>
        <w:t xml:space="preserve"> Thus</w:t>
      </w:r>
      <w:r w:rsidR="00604099">
        <w:t>,</w:t>
      </w:r>
      <w:r>
        <w:t xml:space="preserve"> trophic state is </w:t>
      </w:r>
      <w:r w:rsidR="00604099">
        <w:t xml:space="preserve">strongly </w:t>
      </w:r>
      <w:r>
        <w:t xml:space="preserve">linked to the biological condition gradient (Jackson and Davies 2006), which underpins the integrity of aquatic life, the maintenance of efficient </w:t>
      </w:r>
      <w:r w:rsidR="00604099">
        <w:t>in-stream denitrification</w:t>
      </w:r>
      <w:r w:rsidR="008521B6">
        <w:t xml:space="preserve"> (Alexander et al. 2008)</w:t>
      </w:r>
      <w:r w:rsidR="00604099">
        <w:t xml:space="preserve">, and respiration of organic matter, all of which are ecosystem services, with related beneficial uses. </w:t>
      </w:r>
    </w:p>
    <w:p w14:paraId="76AEE791" w14:textId="02E2F9FF" w:rsidR="008D530D" w:rsidRDefault="00944F13" w:rsidP="00700D5A">
      <w:pPr>
        <w:tabs>
          <w:tab w:val="left" w:pos="1530"/>
        </w:tabs>
        <w:jc w:val="both"/>
      </w:pPr>
      <w:r w:rsidRPr="00944F13">
        <w:rPr>
          <w:b/>
        </w:rPr>
        <w:t>Freshwater HAB Toxins.</w:t>
      </w:r>
      <w:r>
        <w:t xml:space="preserve"> Toxin exposure from both planktonic and benthic cyanobacterial blooms poses a significant risk to humans and their pets and lifestock, aquatic life and wildlife (</w:t>
      </w:r>
      <w:r w:rsidR="00870331">
        <w:t>Anderson-Abbs et al. 2016</w:t>
      </w:r>
      <w:r>
        <w:t xml:space="preserve">). </w:t>
      </w:r>
      <w:r w:rsidRPr="00944F13">
        <w:t xml:space="preserve">In recent years, harmful algae blooms from cyanobacteria (CyanoHABs), and associated cyanotoxins, have gained national attention due to increases in the frequency and severity of blooms, and their impacts on drinking water sources, on bivalves and recreational fisheries, causing concerns of bioaccumulation to aquatic and human food chains. </w:t>
      </w:r>
      <w:r w:rsidR="008D530D">
        <w:t>Cyanobacterial harmful algal blooms (CyanoHABs)</w:t>
      </w:r>
      <w:r w:rsidR="008D530D" w:rsidRPr="008D530D">
        <w:t xml:space="preserve"> </w:t>
      </w:r>
      <w:r w:rsidR="008D530D">
        <w:t xml:space="preserve">are </w:t>
      </w:r>
      <w:r w:rsidR="008D530D" w:rsidRPr="008D530D">
        <w:t xml:space="preserve">composed of genera </w:t>
      </w:r>
      <w:r w:rsidR="008D530D">
        <w:t>that produce</w:t>
      </w:r>
      <w:r w:rsidR="008D530D" w:rsidRPr="008D530D">
        <w:t xml:space="preserve"> </w:t>
      </w:r>
      <w:r w:rsidR="00D719FF">
        <w:t>a n</w:t>
      </w:r>
      <w:r w:rsidR="00726404">
        <w:t>u</w:t>
      </w:r>
      <w:r w:rsidR="00D719FF">
        <w:t xml:space="preserve">mber of toxins (Table 2.2). </w:t>
      </w:r>
      <w:r w:rsidR="008D530D" w:rsidRPr="008D530D">
        <w:t xml:space="preserve"> </w:t>
      </w:r>
      <w:r w:rsidR="00D719FF">
        <w:t xml:space="preserve">Health effects on humans are generally well documented. For example, </w:t>
      </w:r>
      <w:r w:rsidR="008D530D" w:rsidRPr="008D530D">
        <w:t>anatoxin</w:t>
      </w:r>
      <w:r w:rsidR="00B24799">
        <w:t>s</w:t>
      </w:r>
      <w:r w:rsidR="008D530D" w:rsidRPr="008D530D">
        <w:t xml:space="preserve"> and saxitoxin</w:t>
      </w:r>
      <w:r w:rsidR="00B24799">
        <w:t>s</w:t>
      </w:r>
      <w:r w:rsidR="008D530D" w:rsidRPr="008D530D">
        <w:t xml:space="preserve"> </w:t>
      </w:r>
      <w:r w:rsidR="008D530D">
        <w:t>are</w:t>
      </w:r>
      <w:r w:rsidR="008D530D" w:rsidRPr="008D530D">
        <w:t xml:space="preserve"> neurotoxic. Anatoxin-a at sufficient doses produces paralysis, asphyxiation, and death. Saxitoxins are the causative agents in human paralytic shellfish poisoning. Microcystins are a family of at least 80 congeners </w:t>
      </w:r>
      <w:r w:rsidR="00726404">
        <w:t xml:space="preserve">that </w:t>
      </w:r>
      <w:r w:rsidR="008D530D" w:rsidRPr="008D530D">
        <w:t xml:space="preserve">are primarily hepatotoxic. Cylindrospermopsin primarily targets the liver, but also affect the kidney, spleen, thymus, and heart </w:t>
      </w:r>
      <w:r w:rsidR="008D530D">
        <w:t>via</w:t>
      </w:r>
      <w:r w:rsidR="008D530D" w:rsidRPr="008D530D">
        <w:t xml:space="preserve"> </w:t>
      </w:r>
      <w:r w:rsidR="00E779F9">
        <w:t>inhibition of protein synthesis</w:t>
      </w:r>
      <w:r w:rsidR="008D530D" w:rsidRPr="008D530D">
        <w:t>.</w:t>
      </w:r>
      <w:r w:rsidR="00E779F9">
        <w:t xml:space="preserve"> </w:t>
      </w:r>
      <w:r w:rsidR="00E779F9" w:rsidRPr="00E779F9">
        <w:t xml:space="preserve">All cyanobacteria produce lipopolysaccharides (LPS) </w:t>
      </w:r>
      <w:r w:rsidR="00E779F9">
        <w:t>in</w:t>
      </w:r>
      <w:r w:rsidR="00E779F9" w:rsidRPr="00E779F9">
        <w:t xml:space="preserve"> their cell wall</w:t>
      </w:r>
      <w:r w:rsidR="00E779F9">
        <w:t xml:space="preserve">s (Chorus and Bantram 1999); </w:t>
      </w:r>
      <w:r w:rsidR="00E779F9" w:rsidRPr="00E779F9">
        <w:t xml:space="preserve">dermal </w:t>
      </w:r>
      <w:r w:rsidR="00E779F9">
        <w:t>contact with</w:t>
      </w:r>
      <w:r w:rsidR="00E779F9" w:rsidRPr="00E779F9">
        <w:t xml:space="preserve"> LPS can cause skin rashes.</w:t>
      </w:r>
      <w:r w:rsidR="00E779F9">
        <w:t xml:space="preserve"> </w:t>
      </w:r>
      <w:r w:rsidR="00E779F9" w:rsidRPr="00E779F9">
        <w:t>Another common metaboli</w:t>
      </w:r>
      <w:r w:rsidR="00E779F9">
        <w:t>te</w:t>
      </w:r>
      <w:r w:rsidR="00E779F9" w:rsidRPr="00E779F9">
        <w:t xml:space="preserve"> </w:t>
      </w:r>
      <w:r w:rsidR="00E779F9">
        <w:t xml:space="preserve">of </w:t>
      </w:r>
      <w:r w:rsidR="00E779F9" w:rsidRPr="00E779F9">
        <w:t>cyano</w:t>
      </w:r>
      <w:r w:rsidR="00E779F9">
        <w:t xml:space="preserve">HAB blooms </w:t>
      </w:r>
      <w:r w:rsidR="00E779F9" w:rsidRPr="00E779F9">
        <w:t>is α-amino-β-methylaminoproprionic acid (BMAA)</w:t>
      </w:r>
      <w:r w:rsidR="00E779F9">
        <w:t xml:space="preserve">, </w:t>
      </w:r>
      <w:r w:rsidR="00E779F9" w:rsidRPr="00E779F9">
        <w:t xml:space="preserve">has been implicated in increased risk of neurodegenerative diseases </w:t>
      </w:r>
      <w:r w:rsidR="00E779F9">
        <w:t>(e.g.</w:t>
      </w:r>
      <w:r w:rsidR="00726404">
        <w:t>,</w:t>
      </w:r>
      <w:r w:rsidR="00E779F9">
        <w:t xml:space="preserve"> </w:t>
      </w:r>
      <w:r w:rsidR="00E779F9" w:rsidRPr="00E779F9">
        <w:t>amyotrophic lateral sclerosis and Parkinson’s disease in human epidemiological studies</w:t>
      </w:r>
      <w:r w:rsidR="00E779F9">
        <w:t xml:space="preserve">; </w:t>
      </w:r>
      <w:r w:rsidR="006C66D4">
        <w:t>Chiu et al. 2011, Kisby et</w:t>
      </w:r>
      <w:r w:rsidR="00726404">
        <w:t xml:space="preserve"> </w:t>
      </w:r>
      <w:r w:rsidR="006C66D4">
        <w:t>al. 2011</w:t>
      </w:r>
      <w:r w:rsidR="00E779F9">
        <w:t>) following chronic exposure (</w:t>
      </w:r>
      <w:r w:rsidR="006C66D4">
        <w:t>Dunlop et al. 2013</w:t>
      </w:r>
      <w:r w:rsidR="00E779F9">
        <w:t>)</w:t>
      </w:r>
      <w:r w:rsidR="00E779F9" w:rsidRPr="00E779F9">
        <w:t xml:space="preserve">. </w:t>
      </w:r>
    </w:p>
    <w:p w14:paraId="2EF692ED" w14:textId="77777777" w:rsidR="00D719FF" w:rsidRDefault="00D719FF" w:rsidP="00D719FF">
      <w:r>
        <w:t xml:space="preserve">Most cyanobacteria produce several different types of toxins, except for nodularin which is only produced by </w:t>
      </w:r>
      <w:r w:rsidRPr="005618AB">
        <w:rPr>
          <w:i/>
        </w:rPr>
        <w:t>Nodularia spumigena</w:t>
      </w:r>
      <w:r>
        <w:rPr>
          <w:i/>
        </w:rPr>
        <w:t xml:space="preserve">. </w:t>
      </w:r>
      <w:r w:rsidRPr="00F3166B">
        <w:rPr>
          <w:i/>
        </w:rPr>
        <w:t>Anabaena</w:t>
      </w:r>
      <w:r>
        <w:t xml:space="preserve"> species, including </w:t>
      </w:r>
      <w:r w:rsidRPr="00F3166B">
        <w:rPr>
          <w:i/>
        </w:rPr>
        <w:t>flos-aquae</w:t>
      </w:r>
      <w:r>
        <w:t xml:space="preserve">/ </w:t>
      </w:r>
      <w:r w:rsidRPr="00F3166B">
        <w:rPr>
          <w:i/>
        </w:rPr>
        <w:t>lemmermannii</w:t>
      </w:r>
      <w:r>
        <w:t xml:space="preserve">/ </w:t>
      </w:r>
      <w:r w:rsidRPr="00F3166B">
        <w:rPr>
          <w:i/>
        </w:rPr>
        <w:t>circinalis</w:t>
      </w:r>
      <w:r>
        <w:t xml:space="preserve">, may be the most toxically versatile of all the cyanobacteria as they can produce all the toxins, including BMAA, microcystins, cylindrospermopsin, anatoxin-a, anatoxin-a(S) and saxitoxins, save nodularin (Table 2.2). Nodularin is only produced by </w:t>
      </w:r>
      <w:r w:rsidRPr="00F3166B">
        <w:rPr>
          <w:i/>
        </w:rPr>
        <w:t>Nodularia spumigena</w:t>
      </w:r>
      <w:r>
        <w:t xml:space="preserve">. Another versatile toxin producer is </w:t>
      </w:r>
      <w:r w:rsidRPr="00F3166B">
        <w:rPr>
          <w:i/>
        </w:rPr>
        <w:t>Aphanizomenon flos-aquae</w:t>
      </w:r>
      <w:r>
        <w:t xml:space="preserve"> which produces BMAA, cylindrospermopsin, anatoxin-a and saxitoxins (Table 2.2).  </w:t>
      </w:r>
      <w:r w:rsidRPr="00F3166B">
        <w:rPr>
          <w:i/>
        </w:rPr>
        <w:t>Planktothrix</w:t>
      </w:r>
      <w:r>
        <w:t xml:space="preserve"> also produces four different toxins including BMAA, microcystins, anatoxin-a and saxitoxins. The cyanobacteria </w:t>
      </w:r>
      <w:r w:rsidRPr="00F3166B">
        <w:rPr>
          <w:i/>
        </w:rPr>
        <w:t>Cylindrospermopsis raciborskii</w:t>
      </w:r>
      <w:r>
        <w:t xml:space="preserve"> from whence cylindrospermopsin was originally isolated also produces saxitoxins (Table 2.2). Benthic cyanobacteria are also versatile when it comes to toxin production. For example, </w:t>
      </w:r>
      <w:r w:rsidRPr="00F3166B">
        <w:rPr>
          <w:i/>
        </w:rPr>
        <w:t>Oscillatoria limosa</w:t>
      </w:r>
      <w:r>
        <w:t xml:space="preserve"> can produce microcystins as well as anatoxin-a while </w:t>
      </w:r>
      <w:r w:rsidRPr="00F3166B">
        <w:rPr>
          <w:i/>
        </w:rPr>
        <w:t>Lyngbya wollei</w:t>
      </w:r>
      <w:r>
        <w:t xml:space="preserve"> can produce saxitoxins and dermatotoxins (Table 2.2). </w:t>
      </w:r>
    </w:p>
    <w:p w14:paraId="446F5235" w14:textId="08327E1D" w:rsidR="00D719FF" w:rsidRDefault="00D719FF" w:rsidP="008D6607">
      <w:pPr>
        <w:pStyle w:val="TOF"/>
      </w:pPr>
      <w:bookmarkStart w:id="40" w:name="_Toc414425008"/>
      <w:bookmarkStart w:id="41" w:name="_Toc425913522"/>
      <w:bookmarkStart w:id="42" w:name="_Toc426399072"/>
      <w:r>
        <w:t xml:space="preserve">Table </w:t>
      </w:r>
      <w:r w:rsidR="00B24799">
        <w:fldChar w:fldCharType="begin"/>
      </w:r>
      <w:r w:rsidR="00B24799">
        <w:instrText xml:space="preserve"> SEQ Table \* ARABIC </w:instrText>
      </w:r>
      <w:r w:rsidR="00B24799">
        <w:fldChar w:fldCharType="separate"/>
      </w:r>
      <w:r w:rsidR="00772F7E">
        <w:t>1</w:t>
      </w:r>
      <w:r w:rsidR="00B24799">
        <w:fldChar w:fldCharType="end"/>
      </w:r>
      <w:r>
        <w:t>.</w:t>
      </w:r>
      <w:r w:rsidR="008D6607">
        <w:t>3</w:t>
      </w:r>
      <w:r>
        <w:t xml:space="preserve">. Toxins produced by cyanobacteria. Based on data from Cox </w:t>
      </w:r>
      <w:r w:rsidRPr="009A6118">
        <w:t>et al.</w:t>
      </w:r>
      <w:r>
        <w:t xml:space="preserve"> 2005, Sivonen and Borner 2008, Cheung </w:t>
      </w:r>
      <w:r w:rsidRPr="009A6118">
        <w:t>et al.</w:t>
      </w:r>
      <w:r>
        <w:t xml:space="preserve"> 2013.</w:t>
      </w:r>
      <w:bookmarkEnd w:id="40"/>
      <w:bookmarkEnd w:id="41"/>
      <w:bookmarkEnd w:id="42"/>
      <w:r>
        <w:t xml:space="preserve"> From Berg and Sutula (2015)</w:t>
      </w:r>
    </w:p>
    <w:tbl>
      <w:tblPr>
        <w:tblStyle w:val="LightShading1"/>
        <w:tblW w:w="0" w:type="auto"/>
        <w:tblLayout w:type="fixed"/>
        <w:tblLook w:val="06A0" w:firstRow="1" w:lastRow="0" w:firstColumn="1" w:lastColumn="0" w:noHBand="1" w:noVBand="1"/>
      </w:tblPr>
      <w:tblGrid>
        <w:gridCol w:w="1618"/>
        <w:gridCol w:w="1103"/>
        <w:gridCol w:w="961"/>
        <w:gridCol w:w="1121"/>
        <w:gridCol w:w="953"/>
        <w:gridCol w:w="953"/>
        <w:gridCol w:w="926"/>
        <w:gridCol w:w="1113"/>
        <w:gridCol w:w="828"/>
      </w:tblGrid>
      <w:tr w:rsidR="00D719FF" w:rsidRPr="0097598C" w14:paraId="5762956A" w14:textId="77777777" w:rsidTr="00D719FF">
        <w:trPr>
          <w:cnfStyle w:val="100000000000" w:firstRow="1" w:lastRow="0" w:firstColumn="0" w:lastColumn="0" w:oddVBand="0" w:evenVBand="0" w:oddHBand="0" w:evenHBand="0" w:firstRowFirstColumn="0" w:firstRowLastColumn="0" w:lastRowFirstColumn="0" w:lastRowLastColumn="0"/>
          <w:trHeight w:val="1591"/>
        </w:trPr>
        <w:tc>
          <w:tcPr>
            <w:cnfStyle w:val="001000000000" w:firstRow="0" w:lastRow="0" w:firstColumn="1" w:lastColumn="0" w:oddVBand="0" w:evenVBand="0" w:oddHBand="0" w:evenHBand="0" w:firstRowFirstColumn="0" w:firstRowLastColumn="0" w:lastRowFirstColumn="0" w:lastRowLastColumn="0"/>
            <w:tcW w:w="1618" w:type="dxa"/>
          </w:tcPr>
          <w:p w14:paraId="7DB1995C" w14:textId="77777777" w:rsidR="00D719FF" w:rsidRPr="0097598C" w:rsidRDefault="00D719FF" w:rsidP="001040C7">
            <w:pPr>
              <w:jc w:val="center"/>
              <w:rPr>
                <w:rFonts w:ascii="Arial" w:hAnsi="Arial"/>
                <w:sz w:val="20"/>
                <w:szCs w:val="20"/>
              </w:rPr>
            </w:pPr>
          </w:p>
        </w:tc>
        <w:tc>
          <w:tcPr>
            <w:tcW w:w="1103" w:type="dxa"/>
            <w:textDirection w:val="btLr"/>
          </w:tcPr>
          <w:p w14:paraId="21556405" w14:textId="77777777" w:rsidR="00D719FF" w:rsidRPr="0097598C" w:rsidRDefault="00D719FF" w:rsidP="001040C7">
            <w:pPr>
              <w:jc w:val="center"/>
              <w:cnfStyle w:val="100000000000" w:firstRow="1" w:lastRow="0" w:firstColumn="0" w:lastColumn="0" w:oddVBand="0" w:evenVBand="0" w:oddHBand="0" w:evenHBand="0" w:firstRowFirstColumn="0" w:firstRowLastColumn="0" w:lastRowFirstColumn="0" w:lastRowLastColumn="0"/>
              <w:rPr>
                <w:rFonts w:ascii="Arial" w:hAnsi="Arial"/>
                <w:sz w:val="20"/>
                <w:szCs w:val="20"/>
              </w:rPr>
            </w:pPr>
            <w:r w:rsidRPr="0097598C">
              <w:rPr>
                <w:rFonts w:ascii="Arial" w:hAnsi="Arial"/>
                <w:sz w:val="20"/>
                <w:szCs w:val="20"/>
              </w:rPr>
              <w:t>Microcystin</w:t>
            </w:r>
          </w:p>
        </w:tc>
        <w:tc>
          <w:tcPr>
            <w:tcW w:w="961" w:type="dxa"/>
            <w:textDirection w:val="btLr"/>
          </w:tcPr>
          <w:p w14:paraId="63EAE88F" w14:textId="77777777" w:rsidR="00D719FF" w:rsidRPr="0097598C" w:rsidRDefault="00D719FF" w:rsidP="001040C7">
            <w:pPr>
              <w:jc w:val="center"/>
              <w:cnfStyle w:val="100000000000" w:firstRow="1" w:lastRow="0" w:firstColumn="0" w:lastColumn="0" w:oddVBand="0" w:evenVBand="0" w:oddHBand="0" w:evenHBand="0" w:firstRowFirstColumn="0" w:firstRowLastColumn="0" w:lastRowFirstColumn="0" w:lastRowLastColumn="0"/>
              <w:rPr>
                <w:rFonts w:ascii="Arial" w:hAnsi="Arial"/>
                <w:sz w:val="20"/>
                <w:szCs w:val="20"/>
              </w:rPr>
            </w:pPr>
            <w:r w:rsidRPr="0097598C">
              <w:rPr>
                <w:rFonts w:ascii="Arial" w:hAnsi="Arial"/>
                <w:sz w:val="20"/>
                <w:szCs w:val="20"/>
              </w:rPr>
              <w:t>Nodularin</w:t>
            </w:r>
          </w:p>
        </w:tc>
        <w:tc>
          <w:tcPr>
            <w:tcW w:w="1121" w:type="dxa"/>
            <w:textDirection w:val="btLr"/>
          </w:tcPr>
          <w:p w14:paraId="45E8A07F" w14:textId="77777777" w:rsidR="00D719FF" w:rsidRPr="0097598C" w:rsidRDefault="00D719FF" w:rsidP="001040C7">
            <w:pPr>
              <w:jc w:val="center"/>
              <w:cnfStyle w:val="100000000000" w:firstRow="1" w:lastRow="0" w:firstColumn="0" w:lastColumn="0" w:oddVBand="0" w:evenVBand="0" w:oddHBand="0" w:evenHBand="0" w:firstRowFirstColumn="0" w:firstRowLastColumn="0" w:lastRowFirstColumn="0" w:lastRowLastColumn="0"/>
              <w:rPr>
                <w:rFonts w:ascii="Arial" w:hAnsi="Arial"/>
                <w:sz w:val="20"/>
                <w:szCs w:val="20"/>
              </w:rPr>
            </w:pPr>
            <w:r w:rsidRPr="0097598C">
              <w:rPr>
                <w:rFonts w:ascii="Arial" w:hAnsi="Arial"/>
                <w:sz w:val="20"/>
                <w:szCs w:val="20"/>
              </w:rPr>
              <w:t>Cylindro-spermopsin</w:t>
            </w:r>
          </w:p>
        </w:tc>
        <w:tc>
          <w:tcPr>
            <w:tcW w:w="953" w:type="dxa"/>
            <w:textDirection w:val="btLr"/>
          </w:tcPr>
          <w:p w14:paraId="08620D38" w14:textId="77777777" w:rsidR="00D719FF" w:rsidRPr="0097598C" w:rsidRDefault="00D719FF" w:rsidP="001040C7">
            <w:pPr>
              <w:jc w:val="center"/>
              <w:cnfStyle w:val="100000000000" w:firstRow="1" w:lastRow="0" w:firstColumn="0" w:lastColumn="0" w:oddVBand="0" w:evenVBand="0" w:oddHBand="0" w:evenHBand="0" w:firstRowFirstColumn="0" w:firstRowLastColumn="0" w:lastRowFirstColumn="0" w:lastRowLastColumn="0"/>
              <w:rPr>
                <w:rFonts w:ascii="Arial" w:hAnsi="Arial"/>
                <w:sz w:val="20"/>
                <w:szCs w:val="20"/>
              </w:rPr>
            </w:pPr>
            <w:r w:rsidRPr="0097598C">
              <w:rPr>
                <w:rFonts w:ascii="Arial" w:hAnsi="Arial"/>
                <w:sz w:val="20"/>
                <w:szCs w:val="20"/>
              </w:rPr>
              <w:t>Anatoxin-a</w:t>
            </w:r>
          </w:p>
        </w:tc>
        <w:tc>
          <w:tcPr>
            <w:tcW w:w="953" w:type="dxa"/>
            <w:textDirection w:val="btLr"/>
          </w:tcPr>
          <w:p w14:paraId="34A1D218" w14:textId="77777777" w:rsidR="00D719FF" w:rsidRPr="0097598C" w:rsidRDefault="00D719FF" w:rsidP="001040C7">
            <w:pPr>
              <w:jc w:val="center"/>
              <w:cnfStyle w:val="100000000000" w:firstRow="1" w:lastRow="0" w:firstColumn="0" w:lastColumn="0" w:oddVBand="0" w:evenVBand="0" w:oddHBand="0" w:evenHBand="0" w:firstRowFirstColumn="0" w:firstRowLastColumn="0" w:lastRowFirstColumn="0" w:lastRowLastColumn="0"/>
              <w:rPr>
                <w:rFonts w:ascii="Arial" w:hAnsi="Arial"/>
                <w:sz w:val="20"/>
                <w:szCs w:val="20"/>
              </w:rPr>
            </w:pPr>
            <w:r w:rsidRPr="0097598C">
              <w:rPr>
                <w:rFonts w:ascii="Arial" w:hAnsi="Arial"/>
                <w:sz w:val="20"/>
                <w:szCs w:val="20"/>
              </w:rPr>
              <w:t>Anatoxina(S)</w:t>
            </w:r>
          </w:p>
        </w:tc>
        <w:tc>
          <w:tcPr>
            <w:tcW w:w="926" w:type="dxa"/>
            <w:textDirection w:val="btLr"/>
          </w:tcPr>
          <w:p w14:paraId="3F05B7C3" w14:textId="77777777" w:rsidR="00D719FF" w:rsidRPr="0097598C" w:rsidRDefault="00D719FF" w:rsidP="001040C7">
            <w:pPr>
              <w:jc w:val="center"/>
              <w:cnfStyle w:val="100000000000" w:firstRow="1" w:lastRow="0" w:firstColumn="0" w:lastColumn="0" w:oddVBand="0" w:evenVBand="0" w:oddHBand="0" w:evenHBand="0" w:firstRowFirstColumn="0" w:firstRowLastColumn="0" w:lastRowFirstColumn="0" w:lastRowLastColumn="0"/>
              <w:rPr>
                <w:rFonts w:ascii="Arial" w:hAnsi="Arial"/>
                <w:sz w:val="20"/>
                <w:szCs w:val="20"/>
              </w:rPr>
            </w:pPr>
            <w:r w:rsidRPr="0097598C">
              <w:rPr>
                <w:rFonts w:ascii="Arial" w:hAnsi="Arial"/>
                <w:sz w:val="20"/>
                <w:szCs w:val="20"/>
              </w:rPr>
              <w:t>Saxitoxin</w:t>
            </w:r>
          </w:p>
        </w:tc>
        <w:tc>
          <w:tcPr>
            <w:tcW w:w="1113" w:type="dxa"/>
            <w:textDirection w:val="btLr"/>
          </w:tcPr>
          <w:p w14:paraId="596793E6" w14:textId="77777777" w:rsidR="00D719FF" w:rsidRPr="0097598C" w:rsidRDefault="00D719FF" w:rsidP="001040C7">
            <w:pPr>
              <w:jc w:val="center"/>
              <w:cnfStyle w:val="100000000000" w:firstRow="1" w:lastRow="0" w:firstColumn="0" w:lastColumn="0" w:oddVBand="0" w:evenVBand="0" w:oddHBand="0" w:evenHBand="0" w:firstRowFirstColumn="0" w:firstRowLastColumn="0" w:lastRowFirstColumn="0" w:lastRowLastColumn="0"/>
              <w:rPr>
                <w:rFonts w:ascii="Arial" w:hAnsi="Arial"/>
                <w:sz w:val="20"/>
                <w:szCs w:val="20"/>
              </w:rPr>
            </w:pPr>
            <w:r w:rsidRPr="0097598C">
              <w:rPr>
                <w:rFonts w:ascii="Arial" w:hAnsi="Arial"/>
                <w:sz w:val="20"/>
                <w:szCs w:val="20"/>
              </w:rPr>
              <w:t>Dermatotoxin</w:t>
            </w:r>
          </w:p>
        </w:tc>
        <w:tc>
          <w:tcPr>
            <w:tcW w:w="828" w:type="dxa"/>
            <w:textDirection w:val="btLr"/>
          </w:tcPr>
          <w:p w14:paraId="75A1B325" w14:textId="77777777" w:rsidR="00D719FF" w:rsidRPr="0097598C" w:rsidRDefault="00D719FF" w:rsidP="001040C7">
            <w:pPr>
              <w:jc w:val="center"/>
              <w:cnfStyle w:val="100000000000" w:firstRow="1" w:lastRow="0" w:firstColumn="0" w:lastColumn="0" w:oddVBand="0" w:evenVBand="0" w:oddHBand="0" w:evenHBand="0" w:firstRowFirstColumn="0" w:firstRowLastColumn="0" w:lastRowFirstColumn="0" w:lastRowLastColumn="0"/>
              <w:rPr>
                <w:rFonts w:ascii="Arial" w:hAnsi="Arial"/>
                <w:sz w:val="20"/>
                <w:szCs w:val="20"/>
              </w:rPr>
            </w:pPr>
            <w:r w:rsidRPr="0097598C">
              <w:rPr>
                <w:rFonts w:ascii="Arial" w:hAnsi="Arial"/>
                <w:sz w:val="20"/>
                <w:szCs w:val="20"/>
              </w:rPr>
              <w:t>BMAA</w:t>
            </w:r>
          </w:p>
        </w:tc>
      </w:tr>
      <w:tr w:rsidR="00D719FF" w:rsidRPr="0006476F" w14:paraId="0AC74697" w14:textId="77777777" w:rsidTr="00D719FF">
        <w:tc>
          <w:tcPr>
            <w:cnfStyle w:val="001000000000" w:firstRow="0" w:lastRow="0" w:firstColumn="1" w:lastColumn="0" w:oddVBand="0" w:evenVBand="0" w:oddHBand="0" w:evenHBand="0" w:firstRowFirstColumn="0" w:firstRowLastColumn="0" w:lastRowFirstColumn="0" w:lastRowLastColumn="0"/>
            <w:tcW w:w="1618" w:type="dxa"/>
          </w:tcPr>
          <w:p w14:paraId="7C0AF0D3" w14:textId="77777777" w:rsidR="00D719FF" w:rsidRPr="0006476F" w:rsidRDefault="00D719FF" w:rsidP="001040C7">
            <w:pPr>
              <w:spacing w:after="120"/>
              <w:rPr>
                <w:rFonts w:ascii="Arial" w:hAnsi="Arial"/>
                <w:b w:val="0"/>
                <w:i/>
                <w:sz w:val="20"/>
                <w:szCs w:val="20"/>
              </w:rPr>
            </w:pPr>
            <w:r w:rsidRPr="0006476F">
              <w:rPr>
                <w:rFonts w:ascii="Arial" w:hAnsi="Arial"/>
                <w:b w:val="0"/>
                <w:i/>
                <w:sz w:val="20"/>
                <w:szCs w:val="20"/>
              </w:rPr>
              <w:t>Microcystis</w:t>
            </w:r>
          </w:p>
        </w:tc>
        <w:tc>
          <w:tcPr>
            <w:tcW w:w="1103" w:type="dxa"/>
          </w:tcPr>
          <w:p w14:paraId="4AC5CF61"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61" w:type="dxa"/>
          </w:tcPr>
          <w:p w14:paraId="21B1987A"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21" w:type="dxa"/>
          </w:tcPr>
          <w:p w14:paraId="35334ACD"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0BC96315"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47EAD07B"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26" w:type="dxa"/>
          </w:tcPr>
          <w:p w14:paraId="164CCCD6"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13" w:type="dxa"/>
          </w:tcPr>
          <w:p w14:paraId="1B5AF287"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828" w:type="dxa"/>
          </w:tcPr>
          <w:p w14:paraId="0B16F525"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r>
      <w:tr w:rsidR="00D719FF" w:rsidRPr="0006476F" w14:paraId="02032541" w14:textId="77777777" w:rsidTr="00D719FF">
        <w:tc>
          <w:tcPr>
            <w:cnfStyle w:val="001000000000" w:firstRow="0" w:lastRow="0" w:firstColumn="1" w:lastColumn="0" w:oddVBand="0" w:evenVBand="0" w:oddHBand="0" w:evenHBand="0" w:firstRowFirstColumn="0" w:firstRowLastColumn="0" w:lastRowFirstColumn="0" w:lastRowLastColumn="0"/>
            <w:tcW w:w="1618" w:type="dxa"/>
          </w:tcPr>
          <w:p w14:paraId="19EBC089" w14:textId="77777777" w:rsidR="00D719FF" w:rsidRPr="0006476F" w:rsidRDefault="00D719FF" w:rsidP="001040C7">
            <w:pPr>
              <w:spacing w:after="120"/>
              <w:rPr>
                <w:rFonts w:ascii="Arial" w:hAnsi="Arial"/>
                <w:b w:val="0"/>
                <w:i/>
                <w:sz w:val="20"/>
                <w:szCs w:val="20"/>
              </w:rPr>
            </w:pPr>
            <w:r w:rsidRPr="0006476F">
              <w:rPr>
                <w:rFonts w:ascii="Arial" w:hAnsi="Arial"/>
                <w:b w:val="0"/>
                <w:i/>
                <w:sz w:val="20"/>
                <w:szCs w:val="20"/>
              </w:rPr>
              <w:t>Planktothrix</w:t>
            </w:r>
          </w:p>
        </w:tc>
        <w:tc>
          <w:tcPr>
            <w:tcW w:w="1103" w:type="dxa"/>
          </w:tcPr>
          <w:p w14:paraId="04460BA9"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61" w:type="dxa"/>
          </w:tcPr>
          <w:p w14:paraId="0E39F53D"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21" w:type="dxa"/>
          </w:tcPr>
          <w:p w14:paraId="6081EA64"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7309F83C"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53" w:type="dxa"/>
          </w:tcPr>
          <w:p w14:paraId="608503F1"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26" w:type="dxa"/>
          </w:tcPr>
          <w:p w14:paraId="69F50EFD"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1113" w:type="dxa"/>
          </w:tcPr>
          <w:p w14:paraId="794CE2F6"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828" w:type="dxa"/>
          </w:tcPr>
          <w:p w14:paraId="15ABFC85"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r>
      <w:tr w:rsidR="00D719FF" w:rsidRPr="0006476F" w14:paraId="10DF80CB" w14:textId="77777777" w:rsidTr="00D719FF">
        <w:tc>
          <w:tcPr>
            <w:cnfStyle w:val="001000000000" w:firstRow="0" w:lastRow="0" w:firstColumn="1" w:lastColumn="0" w:oddVBand="0" w:evenVBand="0" w:oddHBand="0" w:evenHBand="0" w:firstRowFirstColumn="0" w:firstRowLastColumn="0" w:lastRowFirstColumn="0" w:lastRowLastColumn="0"/>
            <w:tcW w:w="1618" w:type="dxa"/>
          </w:tcPr>
          <w:p w14:paraId="4DB8E529" w14:textId="77777777" w:rsidR="00D719FF" w:rsidRPr="0006476F" w:rsidRDefault="00D719FF" w:rsidP="001040C7">
            <w:pPr>
              <w:spacing w:after="120"/>
              <w:rPr>
                <w:rFonts w:ascii="Arial" w:hAnsi="Arial"/>
                <w:b w:val="0"/>
                <w:i/>
                <w:sz w:val="20"/>
                <w:szCs w:val="20"/>
              </w:rPr>
            </w:pPr>
            <w:r w:rsidRPr="0006476F">
              <w:rPr>
                <w:rFonts w:ascii="Arial" w:hAnsi="Arial"/>
                <w:b w:val="0"/>
                <w:i/>
                <w:sz w:val="20"/>
                <w:szCs w:val="20"/>
              </w:rPr>
              <w:t xml:space="preserve">Anabaena </w:t>
            </w:r>
          </w:p>
        </w:tc>
        <w:tc>
          <w:tcPr>
            <w:tcW w:w="1103" w:type="dxa"/>
          </w:tcPr>
          <w:p w14:paraId="493C38BA"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61" w:type="dxa"/>
          </w:tcPr>
          <w:p w14:paraId="26591874"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21" w:type="dxa"/>
          </w:tcPr>
          <w:p w14:paraId="430BEEA9"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53" w:type="dxa"/>
          </w:tcPr>
          <w:p w14:paraId="3BCF9F0A"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53" w:type="dxa"/>
          </w:tcPr>
          <w:p w14:paraId="27150DB6"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26" w:type="dxa"/>
          </w:tcPr>
          <w:p w14:paraId="6DBBD91B"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1113" w:type="dxa"/>
          </w:tcPr>
          <w:p w14:paraId="5A84C06A"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828" w:type="dxa"/>
          </w:tcPr>
          <w:p w14:paraId="31D69A05"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r>
      <w:tr w:rsidR="00D719FF" w:rsidRPr="0006476F" w14:paraId="5A5B26AA" w14:textId="77777777" w:rsidTr="00D719FF">
        <w:tc>
          <w:tcPr>
            <w:cnfStyle w:val="001000000000" w:firstRow="0" w:lastRow="0" w:firstColumn="1" w:lastColumn="0" w:oddVBand="0" w:evenVBand="0" w:oddHBand="0" w:evenHBand="0" w:firstRowFirstColumn="0" w:firstRowLastColumn="0" w:lastRowFirstColumn="0" w:lastRowLastColumn="0"/>
            <w:tcW w:w="1618" w:type="dxa"/>
          </w:tcPr>
          <w:p w14:paraId="695CB074" w14:textId="77777777" w:rsidR="00D719FF" w:rsidRPr="0006476F" w:rsidRDefault="00D719FF" w:rsidP="001040C7">
            <w:pPr>
              <w:spacing w:after="120"/>
              <w:rPr>
                <w:rFonts w:ascii="Arial" w:hAnsi="Arial"/>
                <w:b w:val="0"/>
                <w:i/>
                <w:sz w:val="20"/>
                <w:szCs w:val="20"/>
              </w:rPr>
            </w:pPr>
            <w:r w:rsidRPr="0006476F">
              <w:rPr>
                <w:rFonts w:ascii="Arial" w:hAnsi="Arial"/>
                <w:b w:val="0"/>
                <w:i/>
                <w:sz w:val="20"/>
                <w:szCs w:val="20"/>
              </w:rPr>
              <w:t>Nostoc</w:t>
            </w:r>
          </w:p>
        </w:tc>
        <w:tc>
          <w:tcPr>
            <w:tcW w:w="1103" w:type="dxa"/>
          </w:tcPr>
          <w:p w14:paraId="23EA41A3"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61" w:type="dxa"/>
          </w:tcPr>
          <w:p w14:paraId="6CE4C87A"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21" w:type="dxa"/>
          </w:tcPr>
          <w:p w14:paraId="1FEBEE5A"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3923BA41"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2AAD1500"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26" w:type="dxa"/>
          </w:tcPr>
          <w:p w14:paraId="4D0B5C1E"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13" w:type="dxa"/>
          </w:tcPr>
          <w:p w14:paraId="47D9D0CD"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828" w:type="dxa"/>
          </w:tcPr>
          <w:p w14:paraId="0A2C2384"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r>
      <w:tr w:rsidR="00D719FF" w:rsidRPr="0006476F" w14:paraId="740237E1" w14:textId="77777777" w:rsidTr="00D719FF">
        <w:tc>
          <w:tcPr>
            <w:cnfStyle w:val="001000000000" w:firstRow="0" w:lastRow="0" w:firstColumn="1" w:lastColumn="0" w:oddVBand="0" w:evenVBand="0" w:oddHBand="0" w:evenHBand="0" w:firstRowFirstColumn="0" w:firstRowLastColumn="0" w:lastRowFirstColumn="0" w:lastRowLastColumn="0"/>
            <w:tcW w:w="1618" w:type="dxa"/>
          </w:tcPr>
          <w:p w14:paraId="75E72BEF" w14:textId="77777777" w:rsidR="00D719FF" w:rsidRPr="0006476F" w:rsidRDefault="00D719FF" w:rsidP="001040C7">
            <w:pPr>
              <w:spacing w:after="120"/>
              <w:rPr>
                <w:rFonts w:ascii="Arial" w:hAnsi="Arial"/>
                <w:b w:val="0"/>
                <w:i/>
                <w:sz w:val="20"/>
                <w:szCs w:val="20"/>
              </w:rPr>
            </w:pPr>
            <w:r w:rsidRPr="0006476F">
              <w:rPr>
                <w:rFonts w:ascii="Arial" w:hAnsi="Arial"/>
                <w:b w:val="0"/>
                <w:i/>
                <w:sz w:val="20"/>
                <w:szCs w:val="20"/>
              </w:rPr>
              <w:t>Anabaenopsis</w:t>
            </w:r>
          </w:p>
        </w:tc>
        <w:tc>
          <w:tcPr>
            <w:tcW w:w="1103" w:type="dxa"/>
          </w:tcPr>
          <w:p w14:paraId="408D6A68"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61" w:type="dxa"/>
          </w:tcPr>
          <w:p w14:paraId="0C37F7EB"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21" w:type="dxa"/>
          </w:tcPr>
          <w:p w14:paraId="5A2EA792"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4ADF6487"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77207CBC"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26" w:type="dxa"/>
          </w:tcPr>
          <w:p w14:paraId="345E3581"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13" w:type="dxa"/>
          </w:tcPr>
          <w:p w14:paraId="1D375D6C"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828" w:type="dxa"/>
          </w:tcPr>
          <w:p w14:paraId="7007BD9E"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r>
      <w:tr w:rsidR="00D719FF" w:rsidRPr="0006476F" w14:paraId="1F3923C2" w14:textId="77777777" w:rsidTr="00D719FF">
        <w:tc>
          <w:tcPr>
            <w:cnfStyle w:val="001000000000" w:firstRow="0" w:lastRow="0" w:firstColumn="1" w:lastColumn="0" w:oddVBand="0" w:evenVBand="0" w:oddHBand="0" w:evenHBand="0" w:firstRowFirstColumn="0" w:firstRowLastColumn="0" w:lastRowFirstColumn="0" w:lastRowLastColumn="0"/>
            <w:tcW w:w="1618" w:type="dxa"/>
          </w:tcPr>
          <w:p w14:paraId="142698B8" w14:textId="77777777" w:rsidR="00D719FF" w:rsidRPr="0006476F" w:rsidRDefault="00D719FF" w:rsidP="001040C7">
            <w:pPr>
              <w:spacing w:after="120"/>
              <w:rPr>
                <w:rFonts w:ascii="Arial" w:hAnsi="Arial"/>
                <w:b w:val="0"/>
                <w:i/>
                <w:sz w:val="20"/>
                <w:szCs w:val="20"/>
              </w:rPr>
            </w:pPr>
            <w:r w:rsidRPr="0006476F">
              <w:rPr>
                <w:rFonts w:ascii="Arial" w:hAnsi="Arial"/>
                <w:b w:val="0"/>
                <w:i/>
                <w:sz w:val="20"/>
                <w:szCs w:val="20"/>
              </w:rPr>
              <w:t>Radiocystis</w:t>
            </w:r>
          </w:p>
        </w:tc>
        <w:tc>
          <w:tcPr>
            <w:tcW w:w="1103" w:type="dxa"/>
          </w:tcPr>
          <w:p w14:paraId="27BD8690"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61" w:type="dxa"/>
          </w:tcPr>
          <w:p w14:paraId="2CE0133D"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21" w:type="dxa"/>
          </w:tcPr>
          <w:p w14:paraId="2B4EC53B"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07F13982"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4C37F83B"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26" w:type="dxa"/>
          </w:tcPr>
          <w:p w14:paraId="1A3ADEA1"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13" w:type="dxa"/>
          </w:tcPr>
          <w:p w14:paraId="5F7B8F3E"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828" w:type="dxa"/>
          </w:tcPr>
          <w:p w14:paraId="223325AD"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r>
      <w:tr w:rsidR="00D719FF" w:rsidRPr="0006476F" w14:paraId="66412378" w14:textId="77777777" w:rsidTr="00D719FF">
        <w:tc>
          <w:tcPr>
            <w:cnfStyle w:val="001000000000" w:firstRow="0" w:lastRow="0" w:firstColumn="1" w:lastColumn="0" w:oddVBand="0" w:evenVBand="0" w:oddHBand="0" w:evenHBand="0" w:firstRowFirstColumn="0" w:firstRowLastColumn="0" w:lastRowFirstColumn="0" w:lastRowLastColumn="0"/>
            <w:tcW w:w="1618" w:type="dxa"/>
          </w:tcPr>
          <w:p w14:paraId="6E1D8F02" w14:textId="77777777" w:rsidR="00D719FF" w:rsidRPr="0006476F" w:rsidRDefault="00D719FF" w:rsidP="001040C7">
            <w:pPr>
              <w:spacing w:after="120"/>
              <w:rPr>
                <w:rFonts w:ascii="Arial" w:hAnsi="Arial"/>
                <w:b w:val="0"/>
                <w:i/>
                <w:sz w:val="20"/>
                <w:szCs w:val="20"/>
              </w:rPr>
            </w:pPr>
            <w:r w:rsidRPr="0006476F">
              <w:rPr>
                <w:rFonts w:ascii="Arial" w:hAnsi="Arial"/>
                <w:b w:val="0"/>
                <w:i/>
                <w:sz w:val="20"/>
                <w:szCs w:val="20"/>
              </w:rPr>
              <w:t>Synechococcus</w:t>
            </w:r>
          </w:p>
        </w:tc>
        <w:tc>
          <w:tcPr>
            <w:tcW w:w="1103" w:type="dxa"/>
          </w:tcPr>
          <w:p w14:paraId="7F042F24"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61" w:type="dxa"/>
          </w:tcPr>
          <w:p w14:paraId="5E917C2D"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21" w:type="dxa"/>
          </w:tcPr>
          <w:p w14:paraId="0E55AD2E"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07E18798"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721B8970"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26" w:type="dxa"/>
          </w:tcPr>
          <w:p w14:paraId="257488DF"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13" w:type="dxa"/>
          </w:tcPr>
          <w:p w14:paraId="02B39E2B"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828" w:type="dxa"/>
          </w:tcPr>
          <w:p w14:paraId="3FC79237"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r>
      <w:tr w:rsidR="00D719FF" w:rsidRPr="0006476F" w14:paraId="4756A59B" w14:textId="77777777" w:rsidTr="00D719FF">
        <w:tc>
          <w:tcPr>
            <w:cnfStyle w:val="001000000000" w:firstRow="0" w:lastRow="0" w:firstColumn="1" w:lastColumn="0" w:oddVBand="0" w:evenVBand="0" w:oddHBand="0" w:evenHBand="0" w:firstRowFirstColumn="0" w:firstRowLastColumn="0" w:lastRowFirstColumn="0" w:lastRowLastColumn="0"/>
            <w:tcW w:w="1618" w:type="dxa"/>
          </w:tcPr>
          <w:p w14:paraId="6BFA9B1E" w14:textId="77777777" w:rsidR="00D719FF" w:rsidRPr="0006476F" w:rsidRDefault="00D719FF" w:rsidP="001040C7">
            <w:pPr>
              <w:spacing w:after="120"/>
              <w:rPr>
                <w:rFonts w:ascii="Arial" w:hAnsi="Arial"/>
                <w:b w:val="0"/>
                <w:i/>
                <w:sz w:val="20"/>
                <w:szCs w:val="20"/>
              </w:rPr>
            </w:pPr>
            <w:r w:rsidRPr="0006476F">
              <w:rPr>
                <w:rFonts w:ascii="Arial" w:hAnsi="Arial"/>
                <w:b w:val="0"/>
                <w:i/>
                <w:sz w:val="20"/>
                <w:szCs w:val="20"/>
              </w:rPr>
              <w:t>Phormidium</w:t>
            </w:r>
          </w:p>
        </w:tc>
        <w:tc>
          <w:tcPr>
            <w:tcW w:w="1103" w:type="dxa"/>
          </w:tcPr>
          <w:p w14:paraId="081DB6A7"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61" w:type="dxa"/>
          </w:tcPr>
          <w:p w14:paraId="76F4D5BE"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21" w:type="dxa"/>
          </w:tcPr>
          <w:p w14:paraId="29B8D941"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33735693"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53" w:type="dxa"/>
          </w:tcPr>
          <w:p w14:paraId="6ACD1593"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26" w:type="dxa"/>
          </w:tcPr>
          <w:p w14:paraId="58C18FE1"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13" w:type="dxa"/>
          </w:tcPr>
          <w:p w14:paraId="14B97EBC"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828" w:type="dxa"/>
          </w:tcPr>
          <w:p w14:paraId="2B3FBD87"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r>
      <w:tr w:rsidR="00D719FF" w:rsidRPr="0006476F" w14:paraId="73A6EFDA" w14:textId="77777777" w:rsidTr="00D719FF">
        <w:tc>
          <w:tcPr>
            <w:cnfStyle w:val="001000000000" w:firstRow="0" w:lastRow="0" w:firstColumn="1" w:lastColumn="0" w:oddVBand="0" w:evenVBand="0" w:oddHBand="0" w:evenHBand="0" w:firstRowFirstColumn="0" w:firstRowLastColumn="0" w:lastRowFirstColumn="0" w:lastRowLastColumn="0"/>
            <w:tcW w:w="1618" w:type="dxa"/>
          </w:tcPr>
          <w:p w14:paraId="621C02AC" w14:textId="77777777" w:rsidR="00D719FF" w:rsidRPr="0006476F" w:rsidRDefault="00D719FF" w:rsidP="001040C7">
            <w:pPr>
              <w:spacing w:after="120"/>
              <w:rPr>
                <w:rFonts w:ascii="Arial" w:hAnsi="Arial"/>
                <w:b w:val="0"/>
                <w:i/>
                <w:sz w:val="20"/>
                <w:szCs w:val="20"/>
              </w:rPr>
            </w:pPr>
            <w:r w:rsidRPr="0006476F">
              <w:rPr>
                <w:rFonts w:ascii="Arial" w:hAnsi="Arial"/>
                <w:b w:val="0"/>
                <w:i/>
                <w:sz w:val="20"/>
                <w:szCs w:val="20"/>
              </w:rPr>
              <w:t>Oscillatoria limosa</w:t>
            </w:r>
          </w:p>
        </w:tc>
        <w:tc>
          <w:tcPr>
            <w:tcW w:w="1103" w:type="dxa"/>
          </w:tcPr>
          <w:p w14:paraId="679F78BE"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61" w:type="dxa"/>
          </w:tcPr>
          <w:p w14:paraId="6BE7FF51"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21" w:type="dxa"/>
          </w:tcPr>
          <w:p w14:paraId="3E3AAEA7"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6C4B099E"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53" w:type="dxa"/>
          </w:tcPr>
          <w:p w14:paraId="15BCE125"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26" w:type="dxa"/>
          </w:tcPr>
          <w:p w14:paraId="0A160DE7"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13" w:type="dxa"/>
          </w:tcPr>
          <w:p w14:paraId="0B201902"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828" w:type="dxa"/>
          </w:tcPr>
          <w:p w14:paraId="696C1D24"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r>
      <w:tr w:rsidR="00D719FF" w:rsidRPr="0006476F" w14:paraId="029F712B" w14:textId="77777777" w:rsidTr="00D719FF">
        <w:tc>
          <w:tcPr>
            <w:cnfStyle w:val="001000000000" w:firstRow="0" w:lastRow="0" w:firstColumn="1" w:lastColumn="0" w:oddVBand="0" w:evenVBand="0" w:oddHBand="0" w:evenHBand="0" w:firstRowFirstColumn="0" w:firstRowLastColumn="0" w:lastRowFirstColumn="0" w:lastRowLastColumn="0"/>
            <w:tcW w:w="1618" w:type="dxa"/>
          </w:tcPr>
          <w:p w14:paraId="664C6F1C" w14:textId="77777777" w:rsidR="00D719FF" w:rsidRPr="0006476F" w:rsidRDefault="00D719FF" w:rsidP="001040C7">
            <w:pPr>
              <w:spacing w:after="120"/>
              <w:rPr>
                <w:rFonts w:ascii="Arial" w:hAnsi="Arial"/>
                <w:b w:val="0"/>
                <w:i/>
                <w:sz w:val="20"/>
                <w:szCs w:val="20"/>
              </w:rPr>
            </w:pPr>
            <w:r w:rsidRPr="0006476F">
              <w:rPr>
                <w:rFonts w:ascii="Arial" w:hAnsi="Arial"/>
                <w:b w:val="0"/>
                <w:i/>
                <w:sz w:val="20"/>
                <w:szCs w:val="20"/>
              </w:rPr>
              <w:t>Oscillatoria</w:t>
            </w:r>
          </w:p>
        </w:tc>
        <w:tc>
          <w:tcPr>
            <w:tcW w:w="1103" w:type="dxa"/>
          </w:tcPr>
          <w:p w14:paraId="1D4F7B30"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61" w:type="dxa"/>
          </w:tcPr>
          <w:p w14:paraId="0D359723"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21" w:type="dxa"/>
          </w:tcPr>
          <w:p w14:paraId="5BF3E41E"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36833AE6"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53" w:type="dxa"/>
          </w:tcPr>
          <w:p w14:paraId="637767E3"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26" w:type="dxa"/>
          </w:tcPr>
          <w:p w14:paraId="76D9639A"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13" w:type="dxa"/>
          </w:tcPr>
          <w:p w14:paraId="0CCEF99E"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828" w:type="dxa"/>
          </w:tcPr>
          <w:p w14:paraId="7B4AE0CF"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r>
      <w:tr w:rsidR="00D719FF" w:rsidRPr="0006476F" w14:paraId="16408A6F" w14:textId="77777777" w:rsidTr="00D719FF">
        <w:tc>
          <w:tcPr>
            <w:cnfStyle w:val="001000000000" w:firstRow="0" w:lastRow="0" w:firstColumn="1" w:lastColumn="0" w:oddVBand="0" w:evenVBand="0" w:oddHBand="0" w:evenHBand="0" w:firstRowFirstColumn="0" w:firstRowLastColumn="0" w:lastRowFirstColumn="0" w:lastRowLastColumn="0"/>
            <w:tcW w:w="1618" w:type="dxa"/>
          </w:tcPr>
          <w:p w14:paraId="39C53DC9" w14:textId="77777777" w:rsidR="00D719FF" w:rsidRPr="0006476F" w:rsidRDefault="00D719FF" w:rsidP="001040C7">
            <w:pPr>
              <w:spacing w:after="120"/>
              <w:rPr>
                <w:rFonts w:ascii="Arial" w:hAnsi="Arial"/>
                <w:b w:val="0"/>
                <w:i/>
                <w:sz w:val="20"/>
                <w:szCs w:val="20"/>
              </w:rPr>
            </w:pPr>
            <w:r w:rsidRPr="0006476F">
              <w:rPr>
                <w:rFonts w:ascii="Arial" w:hAnsi="Arial"/>
                <w:b w:val="0"/>
                <w:i/>
                <w:sz w:val="20"/>
                <w:szCs w:val="20"/>
              </w:rPr>
              <w:t>Nodularia</w:t>
            </w:r>
          </w:p>
        </w:tc>
        <w:tc>
          <w:tcPr>
            <w:tcW w:w="1103" w:type="dxa"/>
          </w:tcPr>
          <w:p w14:paraId="5EE02694"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61" w:type="dxa"/>
          </w:tcPr>
          <w:p w14:paraId="5834F573"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1121" w:type="dxa"/>
          </w:tcPr>
          <w:p w14:paraId="02B91605"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118E7E1C"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2288A5CF"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26" w:type="dxa"/>
          </w:tcPr>
          <w:p w14:paraId="6F4DB210"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13" w:type="dxa"/>
          </w:tcPr>
          <w:p w14:paraId="12B5150A"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828" w:type="dxa"/>
          </w:tcPr>
          <w:p w14:paraId="47F4D29C"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r>
      <w:tr w:rsidR="00D719FF" w:rsidRPr="0006476F" w14:paraId="14CBBED1" w14:textId="77777777" w:rsidTr="00D719FF">
        <w:tc>
          <w:tcPr>
            <w:cnfStyle w:val="001000000000" w:firstRow="0" w:lastRow="0" w:firstColumn="1" w:lastColumn="0" w:oddVBand="0" w:evenVBand="0" w:oddHBand="0" w:evenHBand="0" w:firstRowFirstColumn="0" w:firstRowLastColumn="0" w:lastRowFirstColumn="0" w:lastRowLastColumn="0"/>
            <w:tcW w:w="1618" w:type="dxa"/>
          </w:tcPr>
          <w:p w14:paraId="450B7D0C" w14:textId="77777777" w:rsidR="00D719FF" w:rsidRPr="0006476F" w:rsidRDefault="00D719FF" w:rsidP="001040C7">
            <w:pPr>
              <w:spacing w:after="120"/>
              <w:rPr>
                <w:rFonts w:ascii="Arial" w:hAnsi="Arial"/>
                <w:b w:val="0"/>
                <w:i/>
                <w:sz w:val="20"/>
                <w:szCs w:val="20"/>
              </w:rPr>
            </w:pPr>
            <w:r w:rsidRPr="0006476F">
              <w:rPr>
                <w:rFonts w:ascii="Arial" w:hAnsi="Arial"/>
                <w:b w:val="0"/>
                <w:i/>
                <w:sz w:val="20"/>
                <w:szCs w:val="20"/>
              </w:rPr>
              <w:t xml:space="preserve">Cylindro- spermopsis </w:t>
            </w:r>
          </w:p>
        </w:tc>
        <w:tc>
          <w:tcPr>
            <w:tcW w:w="1103" w:type="dxa"/>
          </w:tcPr>
          <w:p w14:paraId="64C8FC17"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61" w:type="dxa"/>
          </w:tcPr>
          <w:p w14:paraId="0D7BEA2E"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21" w:type="dxa"/>
          </w:tcPr>
          <w:p w14:paraId="65D3A8CC"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53" w:type="dxa"/>
          </w:tcPr>
          <w:p w14:paraId="03FF7BE5"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7B40B53D"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26" w:type="dxa"/>
          </w:tcPr>
          <w:p w14:paraId="7C75D613"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1113" w:type="dxa"/>
          </w:tcPr>
          <w:p w14:paraId="4FA28CEA"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828" w:type="dxa"/>
          </w:tcPr>
          <w:p w14:paraId="2A04CA25"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r>
      <w:tr w:rsidR="00D719FF" w:rsidRPr="0006476F" w14:paraId="561ACCEA" w14:textId="77777777" w:rsidTr="00D719FF">
        <w:tc>
          <w:tcPr>
            <w:cnfStyle w:val="001000000000" w:firstRow="0" w:lastRow="0" w:firstColumn="1" w:lastColumn="0" w:oddVBand="0" w:evenVBand="0" w:oddHBand="0" w:evenHBand="0" w:firstRowFirstColumn="0" w:firstRowLastColumn="0" w:lastRowFirstColumn="0" w:lastRowLastColumn="0"/>
            <w:tcW w:w="1618" w:type="dxa"/>
          </w:tcPr>
          <w:p w14:paraId="67641571" w14:textId="77777777" w:rsidR="00D719FF" w:rsidRPr="0006476F" w:rsidRDefault="00D719FF" w:rsidP="001040C7">
            <w:pPr>
              <w:spacing w:after="120"/>
              <w:rPr>
                <w:rFonts w:ascii="Arial" w:hAnsi="Arial"/>
                <w:b w:val="0"/>
                <w:i/>
                <w:sz w:val="20"/>
                <w:szCs w:val="20"/>
              </w:rPr>
            </w:pPr>
            <w:r w:rsidRPr="0006476F">
              <w:rPr>
                <w:rFonts w:ascii="Arial" w:hAnsi="Arial"/>
                <w:b w:val="0"/>
                <w:i/>
                <w:sz w:val="20"/>
                <w:szCs w:val="20"/>
              </w:rPr>
              <w:t>Aphanizo- menon</w:t>
            </w:r>
          </w:p>
        </w:tc>
        <w:tc>
          <w:tcPr>
            <w:tcW w:w="1103" w:type="dxa"/>
          </w:tcPr>
          <w:p w14:paraId="05976EC4"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61" w:type="dxa"/>
          </w:tcPr>
          <w:p w14:paraId="1D80F919"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21" w:type="dxa"/>
          </w:tcPr>
          <w:p w14:paraId="77E0E7C8"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53" w:type="dxa"/>
          </w:tcPr>
          <w:p w14:paraId="0A28CA3D"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53" w:type="dxa"/>
          </w:tcPr>
          <w:p w14:paraId="59E32CE6"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26" w:type="dxa"/>
          </w:tcPr>
          <w:p w14:paraId="7B3E49DE"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1113" w:type="dxa"/>
          </w:tcPr>
          <w:p w14:paraId="1FA4D372"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828" w:type="dxa"/>
          </w:tcPr>
          <w:p w14:paraId="11507164"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r>
      <w:tr w:rsidR="00D719FF" w:rsidRPr="0006476F" w14:paraId="5657D539" w14:textId="77777777" w:rsidTr="00D719FF">
        <w:tc>
          <w:tcPr>
            <w:cnfStyle w:val="001000000000" w:firstRow="0" w:lastRow="0" w:firstColumn="1" w:lastColumn="0" w:oddVBand="0" w:evenVBand="0" w:oddHBand="0" w:evenHBand="0" w:firstRowFirstColumn="0" w:firstRowLastColumn="0" w:lastRowFirstColumn="0" w:lastRowLastColumn="0"/>
            <w:tcW w:w="1618" w:type="dxa"/>
          </w:tcPr>
          <w:p w14:paraId="5D3400B4" w14:textId="77777777" w:rsidR="00D719FF" w:rsidRPr="0006476F" w:rsidRDefault="00D719FF" w:rsidP="001040C7">
            <w:pPr>
              <w:spacing w:after="120"/>
              <w:rPr>
                <w:rFonts w:ascii="Arial" w:hAnsi="Arial"/>
                <w:b w:val="0"/>
                <w:i/>
                <w:sz w:val="20"/>
                <w:szCs w:val="20"/>
              </w:rPr>
            </w:pPr>
            <w:r w:rsidRPr="0006476F">
              <w:rPr>
                <w:rFonts w:ascii="Arial" w:hAnsi="Arial"/>
                <w:b w:val="0"/>
                <w:i/>
                <w:sz w:val="20"/>
                <w:szCs w:val="20"/>
              </w:rPr>
              <w:t>Raphidiopsis</w:t>
            </w:r>
          </w:p>
        </w:tc>
        <w:tc>
          <w:tcPr>
            <w:tcW w:w="1103" w:type="dxa"/>
          </w:tcPr>
          <w:p w14:paraId="2F0BCF1C"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61" w:type="dxa"/>
          </w:tcPr>
          <w:p w14:paraId="73153737"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21" w:type="dxa"/>
          </w:tcPr>
          <w:p w14:paraId="0FF43537"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53" w:type="dxa"/>
          </w:tcPr>
          <w:p w14:paraId="26AA38C1"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53" w:type="dxa"/>
          </w:tcPr>
          <w:p w14:paraId="6B4FF94F"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26" w:type="dxa"/>
          </w:tcPr>
          <w:p w14:paraId="761C4A8D"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13" w:type="dxa"/>
          </w:tcPr>
          <w:p w14:paraId="3664F0FE"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828" w:type="dxa"/>
          </w:tcPr>
          <w:p w14:paraId="597E1E28"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r>
      <w:tr w:rsidR="00D719FF" w:rsidRPr="0006476F" w14:paraId="4FCC073E" w14:textId="77777777" w:rsidTr="00D719FF">
        <w:tc>
          <w:tcPr>
            <w:cnfStyle w:val="001000000000" w:firstRow="0" w:lastRow="0" w:firstColumn="1" w:lastColumn="0" w:oddVBand="0" w:evenVBand="0" w:oddHBand="0" w:evenHBand="0" w:firstRowFirstColumn="0" w:firstRowLastColumn="0" w:lastRowFirstColumn="0" w:lastRowLastColumn="0"/>
            <w:tcW w:w="1618" w:type="dxa"/>
          </w:tcPr>
          <w:p w14:paraId="029BCCBE" w14:textId="77777777" w:rsidR="00D719FF" w:rsidRPr="0006476F" w:rsidRDefault="00D719FF" w:rsidP="001040C7">
            <w:pPr>
              <w:spacing w:after="120"/>
              <w:rPr>
                <w:rFonts w:ascii="Arial" w:hAnsi="Arial"/>
                <w:b w:val="0"/>
                <w:i/>
                <w:sz w:val="20"/>
                <w:szCs w:val="20"/>
              </w:rPr>
            </w:pPr>
            <w:r w:rsidRPr="0006476F">
              <w:rPr>
                <w:rFonts w:ascii="Arial" w:hAnsi="Arial"/>
                <w:b w:val="0"/>
                <w:i/>
                <w:sz w:val="20"/>
                <w:szCs w:val="20"/>
              </w:rPr>
              <w:t>Cylindro- spermum</w:t>
            </w:r>
          </w:p>
        </w:tc>
        <w:tc>
          <w:tcPr>
            <w:tcW w:w="1103" w:type="dxa"/>
          </w:tcPr>
          <w:p w14:paraId="2E0A511E"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61" w:type="dxa"/>
          </w:tcPr>
          <w:p w14:paraId="5CD6B94D"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21" w:type="dxa"/>
          </w:tcPr>
          <w:p w14:paraId="348FA1CE"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053F25B8"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53" w:type="dxa"/>
          </w:tcPr>
          <w:p w14:paraId="6296BB10"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26" w:type="dxa"/>
          </w:tcPr>
          <w:p w14:paraId="4B934FFF"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13" w:type="dxa"/>
          </w:tcPr>
          <w:p w14:paraId="6D70B4CA"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828" w:type="dxa"/>
          </w:tcPr>
          <w:p w14:paraId="17D48A58"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r>
      <w:tr w:rsidR="00D719FF" w:rsidRPr="0006476F" w14:paraId="12792C8D" w14:textId="77777777" w:rsidTr="00D719FF">
        <w:tc>
          <w:tcPr>
            <w:cnfStyle w:val="001000000000" w:firstRow="0" w:lastRow="0" w:firstColumn="1" w:lastColumn="0" w:oddVBand="0" w:evenVBand="0" w:oddHBand="0" w:evenHBand="0" w:firstRowFirstColumn="0" w:firstRowLastColumn="0" w:lastRowFirstColumn="0" w:lastRowLastColumn="0"/>
            <w:tcW w:w="1618" w:type="dxa"/>
          </w:tcPr>
          <w:p w14:paraId="613EB4FB" w14:textId="77777777" w:rsidR="00D719FF" w:rsidRPr="0006476F" w:rsidRDefault="00D719FF" w:rsidP="001040C7">
            <w:pPr>
              <w:spacing w:after="120"/>
              <w:rPr>
                <w:rFonts w:ascii="Arial" w:hAnsi="Arial"/>
                <w:b w:val="0"/>
                <w:i/>
                <w:sz w:val="20"/>
                <w:szCs w:val="20"/>
              </w:rPr>
            </w:pPr>
            <w:r w:rsidRPr="0006476F">
              <w:rPr>
                <w:rFonts w:ascii="Arial" w:hAnsi="Arial"/>
                <w:b w:val="0"/>
                <w:i/>
                <w:sz w:val="20"/>
                <w:szCs w:val="20"/>
              </w:rPr>
              <w:t xml:space="preserve">Lyngbya </w:t>
            </w:r>
          </w:p>
        </w:tc>
        <w:tc>
          <w:tcPr>
            <w:tcW w:w="1103" w:type="dxa"/>
          </w:tcPr>
          <w:p w14:paraId="3DB1EAC2"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61" w:type="dxa"/>
          </w:tcPr>
          <w:p w14:paraId="6D87EBB1"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21" w:type="dxa"/>
          </w:tcPr>
          <w:p w14:paraId="1269CFA1"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004EFD61"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715B13F4"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26" w:type="dxa"/>
          </w:tcPr>
          <w:p w14:paraId="4E196DCE"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1113" w:type="dxa"/>
          </w:tcPr>
          <w:p w14:paraId="40964AEF"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828" w:type="dxa"/>
          </w:tcPr>
          <w:p w14:paraId="60C57728"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r>
      <w:tr w:rsidR="00D719FF" w:rsidRPr="0006476F" w14:paraId="3A7C3C04" w14:textId="77777777" w:rsidTr="00D719FF">
        <w:tc>
          <w:tcPr>
            <w:cnfStyle w:val="001000000000" w:firstRow="0" w:lastRow="0" w:firstColumn="1" w:lastColumn="0" w:oddVBand="0" w:evenVBand="0" w:oddHBand="0" w:evenHBand="0" w:firstRowFirstColumn="0" w:firstRowLastColumn="0" w:lastRowFirstColumn="0" w:lastRowLastColumn="0"/>
            <w:tcW w:w="1618" w:type="dxa"/>
          </w:tcPr>
          <w:p w14:paraId="4DAEC9BB" w14:textId="77777777" w:rsidR="00D719FF" w:rsidRPr="0006476F" w:rsidRDefault="00D719FF" w:rsidP="001040C7">
            <w:pPr>
              <w:spacing w:after="120"/>
              <w:rPr>
                <w:rFonts w:ascii="Arial" w:hAnsi="Arial"/>
                <w:b w:val="0"/>
                <w:i/>
                <w:sz w:val="20"/>
                <w:szCs w:val="20"/>
              </w:rPr>
            </w:pPr>
            <w:r w:rsidRPr="0006476F">
              <w:rPr>
                <w:rFonts w:ascii="Arial" w:hAnsi="Arial"/>
                <w:b w:val="0"/>
                <w:i/>
                <w:sz w:val="20"/>
                <w:szCs w:val="20"/>
              </w:rPr>
              <w:t>Shizothrix</w:t>
            </w:r>
          </w:p>
        </w:tc>
        <w:tc>
          <w:tcPr>
            <w:tcW w:w="1103" w:type="dxa"/>
          </w:tcPr>
          <w:p w14:paraId="457DE0BA"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61" w:type="dxa"/>
          </w:tcPr>
          <w:p w14:paraId="09231897"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21" w:type="dxa"/>
          </w:tcPr>
          <w:p w14:paraId="2273043E"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31767885"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28FA506C"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26" w:type="dxa"/>
          </w:tcPr>
          <w:p w14:paraId="25EC0B5D"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13" w:type="dxa"/>
          </w:tcPr>
          <w:p w14:paraId="6B7CB73D"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828" w:type="dxa"/>
          </w:tcPr>
          <w:p w14:paraId="2A8E91CD"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r>
      <w:tr w:rsidR="00D719FF" w:rsidRPr="0006476F" w14:paraId="545EE661" w14:textId="77777777" w:rsidTr="00D719FF">
        <w:trPr>
          <w:trHeight w:val="520"/>
        </w:trPr>
        <w:tc>
          <w:tcPr>
            <w:cnfStyle w:val="001000000000" w:firstRow="0" w:lastRow="0" w:firstColumn="1" w:lastColumn="0" w:oddVBand="0" w:evenVBand="0" w:oddHBand="0" w:evenHBand="0" w:firstRowFirstColumn="0" w:firstRowLastColumn="0" w:lastRowFirstColumn="0" w:lastRowLastColumn="0"/>
            <w:tcW w:w="1618" w:type="dxa"/>
          </w:tcPr>
          <w:p w14:paraId="4B17376D" w14:textId="77777777" w:rsidR="00D719FF" w:rsidRPr="0006476F" w:rsidRDefault="00D719FF" w:rsidP="001040C7">
            <w:pPr>
              <w:spacing w:after="120"/>
              <w:rPr>
                <w:rFonts w:ascii="Arial" w:hAnsi="Arial"/>
                <w:b w:val="0"/>
                <w:i/>
                <w:sz w:val="20"/>
                <w:szCs w:val="20"/>
              </w:rPr>
            </w:pPr>
            <w:r w:rsidRPr="0006476F">
              <w:rPr>
                <w:rFonts w:ascii="Arial" w:hAnsi="Arial"/>
                <w:b w:val="0"/>
                <w:i/>
                <w:sz w:val="20"/>
                <w:szCs w:val="20"/>
              </w:rPr>
              <w:t>Umezakia natans</w:t>
            </w:r>
          </w:p>
        </w:tc>
        <w:tc>
          <w:tcPr>
            <w:tcW w:w="1103" w:type="dxa"/>
          </w:tcPr>
          <w:p w14:paraId="54B61F7F"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61" w:type="dxa"/>
          </w:tcPr>
          <w:p w14:paraId="69E32F3D"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21" w:type="dxa"/>
          </w:tcPr>
          <w:p w14:paraId="4B982AC6"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r w:rsidRPr="0006476F">
              <w:rPr>
                <w:rFonts w:ascii="Arial" w:hAnsi="Arial"/>
                <w:b/>
                <w:sz w:val="20"/>
                <w:szCs w:val="20"/>
              </w:rPr>
              <w:t>X</w:t>
            </w:r>
          </w:p>
        </w:tc>
        <w:tc>
          <w:tcPr>
            <w:tcW w:w="953" w:type="dxa"/>
          </w:tcPr>
          <w:p w14:paraId="27ADD230"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53" w:type="dxa"/>
          </w:tcPr>
          <w:p w14:paraId="52653043"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926" w:type="dxa"/>
          </w:tcPr>
          <w:p w14:paraId="0EF9565B"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1113" w:type="dxa"/>
          </w:tcPr>
          <w:p w14:paraId="0E7296A3"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c>
          <w:tcPr>
            <w:tcW w:w="828" w:type="dxa"/>
          </w:tcPr>
          <w:p w14:paraId="5D0999D2" w14:textId="77777777" w:rsidR="00D719FF" w:rsidRPr="0006476F" w:rsidRDefault="00D719FF" w:rsidP="001040C7">
            <w:pPr>
              <w:spacing w:after="120"/>
              <w:jc w:val="center"/>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tc>
      </w:tr>
    </w:tbl>
    <w:p w14:paraId="57B8EFF4" w14:textId="77777777" w:rsidR="00D719FF" w:rsidRDefault="00D719FF" w:rsidP="00D719FF">
      <w:pPr>
        <w:pStyle w:val="TableCaption"/>
        <w:sectPr w:rsidR="00D719FF" w:rsidSect="00F47AC3">
          <w:headerReference w:type="even" r:id="rId25"/>
          <w:headerReference w:type="default" r:id="rId26"/>
          <w:footerReference w:type="default" r:id="rId27"/>
          <w:headerReference w:type="first" r:id="rId28"/>
          <w:pgSz w:w="12240" w:h="15840"/>
          <w:pgMar w:top="1440" w:right="1440" w:bottom="1440" w:left="1440" w:header="720" w:footer="720" w:gutter="0"/>
          <w:cols w:space="720"/>
          <w:docGrid w:linePitch="360"/>
        </w:sectPr>
      </w:pPr>
    </w:p>
    <w:p w14:paraId="6CDA3FE0" w14:textId="5727E04B" w:rsidR="00944F13" w:rsidRDefault="00944F13" w:rsidP="00700D5A">
      <w:pPr>
        <w:tabs>
          <w:tab w:val="left" w:pos="1530"/>
        </w:tabs>
        <w:jc w:val="both"/>
      </w:pPr>
      <w:r w:rsidRPr="00944F13">
        <w:t xml:space="preserve">There are several well-documented problem areas in California that have been monitored through either assessment studies or water quality monitoring programs. Some of the areas with recurrent toxic cyanobacteria blooms include the Klamath River watershed (including Copco and Iron Gate Reservoirs), Clear Lake, Pinto Lake, lower Sacramento and San Joaquin Rivers and Delta, Lake Elsinore and several East San Francisco Bay Area lakes. The Klamath River and Pinto Lake have been placed on the State’s 303d list due to impairment caused by cyanotoxins. In the Klamath River Watershed, high cell densities of </w:t>
      </w:r>
      <w:r w:rsidRPr="009A6118">
        <w:rPr>
          <w:i/>
        </w:rPr>
        <w:t xml:space="preserve">Microcystis aeruginosa </w:t>
      </w:r>
      <w:r w:rsidRPr="00944F13">
        <w:t xml:space="preserve">and high concentrations of its toxin, microcystin, </w:t>
      </w:r>
      <w:r w:rsidR="008D6607">
        <w:t xml:space="preserve">have been observed </w:t>
      </w:r>
      <w:r w:rsidRPr="00944F13">
        <w:t xml:space="preserve">since 2004 (Kann 2004; Jacoby and Kann 2007; Fetcho 2007; Moisander et al. 2009). </w:t>
      </w:r>
      <w:r w:rsidRPr="009A6118">
        <w:rPr>
          <w:i/>
        </w:rPr>
        <w:t>Microcystis aeruginosa</w:t>
      </w:r>
      <w:r w:rsidRPr="00944F13">
        <w:t xml:space="preserve"> cells and microcystin have been documented in mussels (bivalves) and fish tissue collected from the river (Kann 2008). Concern with impact to recreational uses has caused the State to agree on voluntary listing guidance for cyanoHABs (Table 2.5, OEHHA 2012) and to undertake an annual pre-4th of July and Labor Day recreational lakes assessment to assess safe-to-swim</w:t>
      </w:r>
      <w:r w:rsidR="00376220">
        <w:t xml:space="preserve">. </w:t>
      </w:r>
      <w:r w:rsidR="00B24799">
        <w:t>Wadeable</w:t>
      </w:r>
      <w:r w:rsidR="00376220">
        <w:t xml:space="preserve"> stream habitats that are downstream of affected lakes pose a risk to human, aquatic life and wildlife uses. </w:t>
      </w:r>
    </w:p>
    <w:p w14:paraId="0BD16538" w14:textId="567D3915" w:rsidR="00944F13" w:rsidRDefault="00944F13" w:rsidP="00DB0835">
      <w:pPr>
        <w:jc w:val="both"/>
      </w:pPr>
      <w:r w:rsidRPr="00944F13">
        <w:t xml:space="preserve">Freshwater HABs and associated toxins can impact </w:t>
      </w:r>
      <w:r w:rsidR="00D719FF">
        <w:t>freshwater</w:t>
      </w:r>
      <w:r w:rsidR="0038385C">
        <w:t xml:space="preserve">, </w:t>
      </w:r>
      <w:r w:rsidRPr="00944F13">
        <w:t xml:space="preserve">estuarine and marine </w:t>
      </w:r>
      <w:r w:rsidR="00D719FF">
        <w:t>aquatic and wildlife uses and are not just an issue with lentic waterbodies</w:t>
      </w:r>
      <w:r w:rsidRPr="00944F13">
        <w:t xml:space="preserve">. </w:t>
      </w:r>
      <w:r w:rsidR="00D719FF" w:rsidRPr="007D264A">
        <w:t>Recent statewide assessment surveys of wadeable streams found that benthic cyanobacteria and related cyanotoxins are widely present, suggesting that these streams can be a significant cyanotoxin source to receiving waters (Fetscher et al. 2015). In statewide studies conducted from 2007 through 2013, samples were collected from more than 1,200 wadeable stream reaches. Analysis revealed a high occurrence of potentially toxic benthic cyanobacteria taxa, and detection of microcystins in one-third of reaches and 34% of stream kilometers. Detected toxins included lyngbyatoxin, saxitoxins, anatoxin-a, and microcystins (Fetscher et al. 2015). Additionally, the State Water Quality Control Board’s Surface Water Ambient Monitoring Program (SWAMP) has measured cyanotoxins in sediment at the bottom of major watersheds in most of the sampling sites.</w:t>
      </w:r>
      <w:r w:rsidR="00D719FF">
        <w:t xml:space="preserve"> The</w:t>
      </w:r>
      <w:r w:rsidRPr="00944F13">
        <w:t xml:space="preserve"> mortality of over 30 endangered California Sea Otters (</w:t>
      </w:r>
      <w:r w:rsidRPr="009A6118">
        <w:rPr>
          <w:i/>
        </w:rPr>
        <w:t>Enhydra lutris</w:t>
      </w:r>
      <w:r w:rsidRPr="00944F13">
        <w:t>) in Monterey Bay was determined to be due to microcystin intoxication, with ingestion of contaminated marine bivalves suggested as a primary mechanism (Miller et al. 2010). Pinto Lake, a eutrophic lake that experiences frequent cyanobacteria blooms and drains to Monterey Bay via the Pajaro River, was identified as the primary source of the toxin (Miller et al. 2010; Kudela 2011). Microcystin-laden water from the Pajaro River, and other tributaries to the Bay, flow</w:t>
      </w:r>
      <w:r w:rsidR="0038385C">
        <w:t>s</w:t>
      </w:r>
      <w:r w:rsidRPr="00944F13">
        <w:t xml:space="preserve"> to the coast where the toxin is biomagnified by bivalves, and ultimately consumed by otters (Miller et al. 2010). In tank studies, microcystins have been shown to bioaccumulate in commercially and recreationally-harvested invertebrates such as Pacific oysters (</w:t>
      </w:r>
      <w:r w:rsidRPr="009A6118">
        <w:rPr>
          <w:i/>
        </w:rPr>
        <w:t>Crassostrea gigas</w:t>
      </w:r>
      <w:r w:rsidRPr="00944F13">
        <w:t>) and mussels (</w:t>
      </w:r>
      <w:r w:rsidRPr="009A6118">
        <w:rPr>
          <w:i/>
        </w:rPr>
        <w:t>Mytilus edulis</w:t>
      </w:r>
      <w:r w:rsidRPr="00944F13">
        <w:t>) (Miller et al. 2010). Microcystins were shown to be present and persistent in most of the coastal watersheds that flow to the Monterey Bay National Marine Sanctuary from a 3-year time-series survey (Gibble and Kudela 2014); nutrient loading was determined to be a significant predictor of microcystin concentrations in the watersheds (Gibble and Kudela 2014). These studies have shown cyanotoxins to have far reaching effects downstream of their origin and have promoted cyanotoxins from predominantly a freshwater issue to a land-sea interface problem</w:t>
      </w:r>
      <w:r w:rsidR="00376220">
        <w:t xml:space="preserve"> (Howard et al. in prep)</w:t>
      </w:r>
      <w:r w:rsidRPr="00944F13">
        <w:t>.</w:t>
      </w:r>
    </w:p>
    <w:p w14:paraId="7B24DE19" w14:textId="65546187" w:rsidR="0013791B" w:rsidRDefault="0013791B" w:rsidP="0013791B">
      <w:pPr>
        <w:jc w:val="both"/>
      </w:pPr>
      <w:r w:rsidRPr="0013791B">
        <w:rPr>
          <w:b/>
        </w:rPr>
        <w:t xml:space="preserve">Dissolved Organic Carbon and Trihalomethanes. </w:t>
      </w:r>
      <w:r>
        <w:t>Trihalomethanes</w:t>
      </w:r>
      <w:r w:rsidRPr="005360FF">
        <w:t xml:space="preserve"> </w:t>
      </w:r>
      <w:r>
        <w:t>(THMs)</w:t>
      </w:r>
      <w:r w:rsidRPr="00B30EB1">
        <w:t xml:space="preserve"> </w:t>
      </w:r>
      <w:r>
        <w:t>are</w:t>
      </w:r>
      <w:r w:rsidRPr="00B55CC6">
        <w:t xml:space="preserve"> </w:t>
      </w:r>
      <w:r>
        <w:t>bypro</w:t>
      </w:r>
      <w:r w:rsidRPr="00CA0459">
        <w:t>d</w:t>
      </w:r>
      <w:r>
        <w:t>ucts</w:t>
      </w:r>
      <w:r w:rsidRPr="00B458EA">
        <w:t xml:space="preserve"> </w:t>
      </w:r>
      <w:r>
        <w:t>of</w:t>
      </w:r>
      <w:r w:rsidRPr="00B31443">
        <w:t xml:space="preserve"> </w:t>
      </w:r>
      <w:r>
        <w:t>dri</w:t>
      </w:r>
      <w:r w:rsidRPr="00CA0459">
        <w:t>n</w:t>
      </w:r>
      <w:r>
        <w:t>king</w:t>
      </w:r>
      <w:r w:rsidRPr="00D8190F">
        <w:t xml:space="preserve"> </w:t>
      </w:r>
      <w:r>
        <w:t>water</w:t>
      </w:r>
      <w:r w:rsidRPr="00B55CC6">
        <w:t xml:space="preserve"> </w:t>
      </w:r>
      <w:r>
        <w:t>treatment</w:t>
      </w:r>
      <w:r w:rsidRPr="000E28FE">
        <w:t xml:space="preserve"> </w:t>
      </w:r>
      <w:r>
        <w:t>that</w:t>
      </w:r>
      <w:r w:rsidRPr="00B55CC6">
        <w:t xml:space="preserve"> </w:t>
      </w:r>
      <w:r>
        <w:t>result</w:t>
      </w:r>
      <w:r w:rsidRPr="00B55CC6">
        <w:t xml:space="preserve"> </w:t>
      </w:r>
      <w:r w:rsidRPr="00CA0459">
        <w:t>f</w:t>
      </w:r>
      <w:r>
        <w:t>rom</w:t>
      </w:r>
      <w:r w:rsidRPr="00F47578">
        <w:t xml:space="preserve"> </w:t>
      </w:r>
      <w:r>
        <w:t>the</w:t>
      </w:r>
      <w:r w:rsidRPr="00B55CC6">
        <w:t xml:space="preserve"> </w:t>
      </w:r>
      <w:r>
        <w:t>chlorination</w:t>
      </w:r>
      <w:r w:rsidRPr="00D8190F">
        <w:t xml:space="preserve"> </w:t>
      </w:r>
      <w:r>
        <w:t>or bro</w:t>
      </w:r>
      <w:r w:rsidRPr="00B31443">
        <w:t>m</w:t>
      </w:r>
      <w:r>
        <w:t>ination</w:t>
      </w:r>
      <w:r w:rsidRPr="00D8190F">
        <w:t xml:space="preserve"> </w:t>
      </w:r>
      <w:r>
        <w:t>of</w:t>
      </w:r>
      <w:r w:rsidRPr="00B31443">
        <w:t xml:space="preserve"> </w:t>
      </w:r>
      <w:r>
        <w:t>certain</w:t>
      </w:r>
      <w:r w:rsidRPr="00F47578">
        <w:t xml:space="preserve"> </w:t>
      </w:r>
      <w:r>
        <w:t>dissolved or</w:t>
      </w:r>
      <w:r w:rsidRPr="00CA0459">
        <w:t>g</w:t>
      </w:r>
      <w:r>
        <w:t>anic</w:t>
      </w:r>
      <w:r w:rsidRPr="00B30EB1">
        <w:t xml:space="preserve"> </w:t>
      </w:r>
      <w:r>
        <w:t>carbon (DOC) compounds.</w:t>
      </w:r>
      <w:r w:rsidRPr="00B30EB1">
        <w:t xml:space="preserve"> </w:t>
      </w:r>
      <w:r>
        <w:t xml:space="preserve"> THMs include</w:t>
      </w:r>
      <w:r w:rsidRPr="00F47578">
        <w:t xml:space="preserve"> </w:t>
      </w:r>
      <w:r w:rsidR="00700D5A">
        <w:t>several</w:t>
      </w:r>
      <w:r w:rsidRPr="00B31443">
        <w:t xml:space="preserve"> </w:t>
      </w:r>
      <w:r>
        <w:t>kn</w:t>
      </w:r>
      <w:r w:rsidRPr="00CA0459">
        <w:t>o</w:t>
      </w:r>
      <w:r>
        <w:t>wn</w:t>
      </w:r>
      <w:r w:rsidRPr="00F47578">
        <w:t xml:space="preserve"> </w:t>
      </w:r>
      <w:r>
        <w:t>and</w:t>
      </w:r>
      <w:r w:rsidRPr="00B55CC6">
        <w:t xml:space="preserve"> </w:t>
      </w:r>
      <w:r>
        <w:t>suspected</w:t>
      </w:r>
      <w:r w:rsidRPr="00D8190F">
        <w:t xml:space="preserve"> </w:t>
      </w:r>
      <w:r>
        <w:t>carcinogens,</w:t>
      </w:r>
      <w:r w:rsidRPr="005360FF">
        <w:t xml:space="preserve"> </w:t>
      </w:r>
      <w:r>
        <w:t>creating</w:t>
      </w:r>
      <w:r w:rsidRPr="00B30EB1">
        <w:t xml:space="preserve"> </w:t>
      </w:r>
      <w:r>
        <w:t>concern</w:t>
      </w:r>
      <w:r w:rsidRPr="00B30EB1">
        <w:t xml:space="preserve"> </w:t>
      </w:r>
      <w:r>
        <w:t>for</w:t>
      </w:r>
      <w:r w:rsidRPr="00B55CC6">
        <w:t xml:space="preserve"> </w:t>
      </w:r>
      <w:r w:rsidRPr="00CA0459">
        <w:t>d</w:t>
      </w:r>
      <w:r>
        <w:t>rinking</w:t>
      </w:r>
      <w:r w:rsidRPr="00B30EB1">
        <w:t xml:space="preserve"> </w:t>
      </w:r>
      <w:r>
        <w:t>water</w:t>
      </w:r>
      <w:r w:rsidRPr="00B55CC6">
        <w:t xml:space="preserve"> </w:t>
      </w:r>
      <w:r>
        <w:t>safet</w:t>
      </w:r>
      <w:r w:rsidRPr="00B458EA">
        <w:t>y</w:t>
      </w:r>
      <w:r>
        <w:t>.</w:t>
      </w:r>
      <w:r w:rsidRPr="00F47578">
        <w:t xml:space="preserve"> </w:t>
      </w:r>
      <w:r>
        <w:t xml:space="preserve"> Algal metabolites</w:t>
      </w:r>
      <w:r w:rsidRPr="00B458EA">
        <w:t xml:space="preserve"> </w:t>
      </w:r>
      <w:r>
        <w:t>and</w:t>
      </w:r>
      <w:r w:rsidRPr="00B55CC6">
        <w:t xml:space="preserve"> </w:t>
      </w:r>
      <w:r>
        <w:t>deco</w:t>
      </w:r>
      <w:r w:rsidRPr="00B31443">
        <w:t>m</w:t>
      </w:r>
      <w:r>
        <w:t>position</w:t>
      </w:r>
      <w:r w:rsidRPr="005360FF">
        <w:t xml:space="preserve"> </w:t>
      </w:r>
      <w:r>
        <w:t>p</w:t>
      </w:r>
      <w:r w:rsidRPr="00CA0459">
        <w:t>r</w:t>
      </w:r>
      <w:r>
        <w:t>oducts</w:t>
      </w:r>
      <w:r w:rsidRPr="00D8190F">
        <w:t xml:space="preserve"> </w:t>
      </w:r>
      <w:r>
        <w:t>present</w:t>
      </w:r>
      <w:r w:rsidRPr="00F47578">
        <w:t xml:space="preserve"> </w:t>
      </w:r>
      <w:r>
        <w:t>in</w:t>
      </w:r>
      <w:r w:rsidRPr="00CA0459">
        <w:t xml:space="preserve"> </w:t>
      </w:r>
      <w:r>
        <w:t>raw</w:t>
      </w:r>
      <w:r w:rsidRPr="00B55CC6">
        <w:t xml:space="preserve"> </w:t>
      </w:r>
      <w:r>
        <w:t>water</w:t>
      </w:r>
      <w:r w:rsidRPr="00B55CC6">
        <w:t xml:space="preserve"> </w:t>
      </w:r>
      <w:r>
        <w:t>are</w:t>
      </w:r>
      <w:r w:rsidRPr="00B55CC6">
        <w:t xml:space="preserve"> </w:t>
      </w:r>
      <w:r>
        <w:t>candidates</w:t>
      </w:r>
      <w:r w:rsidRPr="00D8190F">
        <w:t xml:space="preserve"> </w:t>
      </w:r>
      <w:r>
        <w:t>for</w:t>
      </w:r>
      <w:r w:rsidRPr="00B55CC6">
        <w:t xml:space="preserve"> </w:t>
      </w:r>
      <w:r>
        <w:t>THM</w:t>
      </w:r>
      <w:r w:rsidRPr="00B55CC6">
        <w:t xml:space="preserve"> </w:t>
      </w:r>
      <w:r>
        <w:t>produc</w:t>
      </w:r>
      <w:r w:rsidRPr="00CA0459">
        <w:t>t</w:t>
      </w:r>
      <w:r>
        <w:t>ion (USEPA</w:t>
      </w:r>
      <w:r w:rsidRPr="000E28FE">
        <w:t xml:space="preserve"> </w:t>
      </w:r>
      <w:r>
        <w:t>2000b</w:t>
      </w:r>
      <w:r w:rsidR="00AF6776">
        <w:t>,</w:t>
      </w:r>
      <w:r w:rsidRPr="00F47578">
        <w:t xml:space="preserve"> </w:t>
      </w:r>
      <w:r>
        <w:t>Nigel</w:t>
      </w:r>
      <w:r w:rsidRPr="00B55CC6">
        <w:t xml:space="preserve"> </w:t>
      </w:r>
      <w:r>
        <w:t>et</w:t>
      </w:r>
      <w:r w:rsidRPr="00B55CC6">
        <w:t xml:space="preserve"> </w:t>
      </w:r>
      <w:r>
        <w:t>al.</w:t>
      </w:r>
      <w:r w:rsidRPr="00B55CC6">
        <w:t xml:space="preserve"> </w:t>
      </w:r>
      <w:r>
        <w:t>1998</w:t>
      </w:r>
      <w:r w:rsidR="00AF6776">
        <w:t>,</w:t>
      </w:r>
      <w:r w:rsidRPr="00B55CC6">
        <w:t xml:space="preserve"> </w:t>
      </w:r>
      <w:r>
        <w:t>Plummer</w:t>
      </w:r>
      <w:r w:rsidRPr="000E28FE">
        <w:t xml:space="preserve"> </w:t>
      </w:r>
      <w:r>
        <w:t>and</w:t>
      </w:r>
      <w:r w:rsidRPr="00B31443">
        <w:t xml:space="preserve"> </w:t>
      </w:r>
      <w:r>
        <w:t>Edzwald</w:t>
      </w:r>
      <w:r w:rsidRPr="000E28FE">
        <w:t xml:space="preserve"> </w:t>
      </w:r>
      <w:r>
        <w:t>2001).</w:t>
      </w:r>
      <w:r w:rsidRPr="00F47578">
        <w:t xml:space="preserve"> </w:t>
      </w:r>
      <w:r>
        <w:t xml:space="preserve"> USEPA</w:t>
      </w:r>
      <w:r w:rsidRPr="00B30EB1">
        <w:t xml:space="preserve"> </w:t>
      </w:r>
      <w:r>
        <w:t>(2003)</w:t>
      </w:r>
      <w:r w:rsidRPr="00F47578">
        <w:t xml:space="preserve"> </w:t>
      </w:r>
      <w:r>
        <w:t>suggests</w:t>
      </w:r>
      <w:r w:rsidRPr="00B30EB1">
        <w:t xml:space="preserve"> </w:t>
      </w:r>
      <w:r>
        <w:t>a</w:t>
      </w:r>
      <w:r w:rsidRPr="00CA0459">
        <w:t xml:space="preserve"> </w:t>
      </w:r>
      <w:r>
        <w:t>maxi</w:t>
      </w:r>
      <w:r w:rsidRPr="00B31443">
        <w:t>m</w:t>
      </w:r>
      <w:r w:rsidRPr="00B458EA">
        <w:t>u</w:t>
      </w:r>
      <w:r>
        <w:t>m</w:t>
      </w:r>
      <w:r w:rsidRPr="00D8190F">
        <w:t xml:space="preserve"> </w:t>
      </w:r>
      <w:r>
        <w:t>conta</w:t>
      </w:r>
      <w:r w:rsidRPr="00B31443">
        <w:t>m</w:t>
      </w:r>
      <w:r>
        <w:t>inant</w:t>
      </w:r>
      <w:r w:rsidRPr="00D8190F">
        <w:t xml:space="preserve"> </w:t>
      </w:r>
      <w:r>
        <w:t>level</w:t>
      </w:r>
      <w:r w:rsidRPr="00B55CC6">
        <w:t xml:space="preserve"> </w:t>
      </w:r>
      <w:r>
        <w:t>of</w:t>
      </w:r>
      <w:r w:rsidRPr="00B31443">
        <w:t xml:space="preserve"> </w:t>
      </w:r>
      <w:r>
        <w:t>0.080</w:t>
      </w:r>
      <w:r w:rsidRPr="00B55CC6">
        <w:t xml:space="preserve"> </w:t>
      </w:r>
      <w:r>
        <w:t>mg/L</w:t>
      </w:r>
      <w:r w:rsidRPr="00B55CC6">
        <w:t xml:space="preserve"> </w:t>
      </w:r>
      <w:r>
        <w:t>total</w:t>
      </w:r>
      <w:r w:rsidRPr="00B55CC6">
        <w:t xml:space="preserve"> </w:t>
      </w:r>
      <w:r>
        <w:t>T</w:t>
      </w:r>
      <w:r w:rsidRPr="00CA0459">
        <w:t>H</w:t>
      </w:r>
      <w:r>
        <w:t>M</w:t>
      </w:r>
      <w:r w:rsidRPr="00B55CC6">
        <w:t xml:space="preserve"> </w:t>
      </w:r>
      <w:r>
        <w:t>at</w:t>
      </w:r>
      <w:r w:rsidRPr="00B31443">
        <w:t xml:space="preserve"> </w:t>
      </w:r>
      <w:r>
        <w:t>any</w:t>
      </w:r>
      <w:r w:rsidRPr="00B55CC6">
        <w:t xml:space="preserve"> </w:t>
      </w:r>
      <w:r>
        <w:t>po</w:t>
      </w:r>
      <w:r w:rsidRPr="00CA0459">
        <w:t>i</w:t>
      </w:r>
      <w:r>
        <w:t>nt</w:t>
      </w:r>
      <w:r w:rsidRPr="00B55CC6">
        <w:t xml:space="preserve"> </w:t>
      </w:r>
      <w:r>
        <w:t>in</w:t>
      </w:r>
      <w:r w:rsidRPr="00B31443">
        <w:t xml:space="preserve"> </w:t>
      </w:r>
      <w:r>
        <w:t>the water</w:t>
      </w:r>
      <w:r w:rsidRPr="00B55CC6">
        <w:t xml:space="preserve"> </w:t>
      </w:r>
      <w:r>
        <w:t>distribution</w:t>
      </w:r>
      <w:r w:rsidRPr="00B458EA">
        <w:t xml:space="preserve"> </w:t>
      </w:r>
      <w:r w:rsidRPr="00CA0459">
        <w:t>s</w:t>
      </w:r>
      <w:r w:rsidRPr="00B458EA">
        <w:t>y</w:t>
      </w:r>
      <w:r>
        <w:t>ste</w:t>
      </w:r>
      <w:r w:rsidRPr="00B31443">
        <w:t>m</w:t>
      </w:r>
      <w:r>
        <w:t>.  Higher levels of TOC also increase the amount and costs of disinfectants required to achieve disinfection goals.</w:t>
      </w:r>
    </w:p>
    <w:p w14:paraId="50694D3B" w14:textId="77777777" w:rsidR="0013791B" w:rsidRDefault="0013791B" w:rsidP="0013791B">
      <w:pPr>
        <w:pStyle w:val="BodyText0"/>
      </w:pPr>
      <w:r w:rsidRPr="00243B4D">
        <w:t xml:space="preserve">The DOC content of natural waters can be increased by algal production; however, in most cases, the total DOC supply is dominated by loading of organic compounds from the watershed. </w:t>
      </w:r>
      <w:r>
        <w:t xml:space="preserve"> </w:t>
      </w:r>
      <w:r w:rsidRPr="00243B4D">
        <w:t xml:space="preserve">It is unlikely that response </w:t>
      </w:r>
      <w:r>
        <w:t>endpoints</w:t>
      </w:r>
      <w:r w:rsidRPr="00243B4D">
        <w:t xml:space="preserve"> for nutrients would be defined </w:t>
      </w:r>
      <w:r>
        <w:t>solel</w:t>
      </w:r>
      <w:r w:rsidRPr="00243B4D">
        <w:t xml:space="preserve">y in terms of DOC or specific THM precursors. </w:t>
      </w:r>
      <w:r>
        <w:t xml:space="preserve"> </w:t>
      </w:r>
      <w:r w:rsidRPr="00243B4D">
        <w:t>However, information from water treatment system operators on acceptable levels of algae</w:t>
      </w:r>
      <w:r>
        <w:t xml:space="preserve"> and DOC</w:t>
      </w:r>
      <w:r w:rsidRPr="00243B4D">
        <w:t xml:space="preserve"> in raw water consistent with meeting THM guidelines </w:t>
      </w:r>
      <w:r>
        <w:t>is</w:t>
      </w:r>
      <w:r w:rsidRPr="00243B4D">
        <w:t xml:space="preserve"> an important input to the determination of </w:t>
      </w:r>
      <w:r>
        <w:t>nutrient-associated impairment of</w:t>
      </w:r>
      <w:r w:rsidRPr="00243B4D">
        <w:t xml:space="preserve"> MUN water uses.</w:t>
      </w:r>
      <w:r>
        <w:t xml:space="preserve">  </w:t>
      </w:r>
    </w:p>
    <w:p w14:paraId="72C4BCDA" w14:textId="77777777" w:rsidR="00362B76" w:rsidRDefault="00362B76" w:rsidP="00D01574">
      <w:pPr>
        <w:pStyle w:val="Heading3"/>
      </w:pPr>
      <w:bookmarkStart w:id="43" w:name="_Toc526505112"/>
      <w:r>
        <w:t xml:space="preserve">2.1.3 Changes to </w:t>
      </w:r>
      <w:r w:rsidR="004F4A3D">
        <w:t xml:space="preserve">Primary and Secondary </w:t>
      </w:r>
      <w:r>
        <w:t>Consumers</w:t>
      </w:r>
      <w:bookmarkEnd w:id="43"/>
    </w:p>
    <w:p w14:paraId="008DF108" w14:textId="180EB494" w:rsidR="004F4A3D" w:rsidRDefault="004F4A3D" w:rsidP="00870331">
      <w:pPr>
        <w:jc w:val="both"/>
      </w:pPr>
      <w:r>
        <w:t>Algae and aquatics plants are consumed by primary consumers (herbivores) or after they die, the organic matter is added to the detrital cycle and either decomposed by decomposers (bacteria and fungi) or ingested by detritivores. Secondary consumers (predators</w:t>
      </w:r>
      <w:r w:rsidR="0011398A">
        <w:t xml:space="preserve">; benthic invertebrates, fish, amphibians) </w:t>
      </w:r>
      <w:r>
        <w:t xml:space="preserve">rely on </w:t>
      </w:r>
      <w:r w:rsidR="0011398A">
        <w:t xml:space="preserve">these </w:t>
      </w:r>
      <w:r>
        <w:t xml:space="preserve">energy sources from primary consumers. These consumers form the basis of the wadeable stream food webs and are fundamental to aquatic life related uses. Examples include benthic and pelagic invertebrates, fish, amphibians, birds and mammals that depend on the riparian habitat for food and refuge. </w:t>
      </w:r>
      <w:r w:rsidR="002051BD">
        <w:t xml:space="preserve">Here we focus on benthic macroinvertebrates (BMI) and fish, especially salmonids, because of linkage to key beneficial uses associated with aquatic life protection (Mazor et al. 2016, San Diego Regional Board </w:t>
      </w:r>
      <w:r w:rsidR="00870331">
        <w:t xml:space="preserve">Proposed Bioobjectives Policy; </w:t>
      </w:r>
      <w:r w:rsidR="00870331" w:rsidRPr="00870331">
        <w:t>www.waterboards.ca.gov/sandiego/water_issues/programs/basin_plan/bio_objectives/</w:t>
      </w:r>
      <w:r w:rsidR="002051BD">
        <w:t>) and ecosystem services (e.g.</w:t>
      </w:r>
      <w:r w:rsidR="00AF6776">
        <w:t>,</w:t>
      </w:r>
      <w:r w:rsidR="002051BD">
        <w:t xml:space="preserve"> COMM). </w:t>
      </w:r>
    </w:p>
    <w:p w14:paraId="606480DE" w14:textId="26FD0714" w:rsidR="001C49D4" w:rsidRDefault="002051BD" w:rsidP="00DB0835">
      <w:pPr>
        <w:jc w:val="both"/>
      </w:pPr>
      <w:r>
        <w:t xml:space="preserve">Wadeable stream benthic macroinvertebrate (BMI) </w:t>
      </w:r>
      <w:r w:rsidR="001C49D4">
        <w:t xml:space="preserve">and fish </w:t>
      </w:r>
      <w:r>
        <w:t xml:space="preserve">communities respond to physical habitat (flow and scouring velocities, substrate particle size, and relief, lithology, </w:t>
      </w:r>
      <w:r w:rsidR="00AB5975">
        <w:t xml:space="preserve">diversity of primary producers, </w:t>
      </w:r>
      <w:r>
        <w:t>and presence of organic matter and woody debris), all of which determine the diversity of microhabitats available for invertebrate colonization (Harper 1992, Malmqvist 2002, Wallace and Webster 1996, Hawkins et al. 1982, Cushing and Allan 2001</w:t>
      </w:r>
      <w:r w:rsidR="00AB5975">
        <w:t>, Mainstone and Parr 2002</w:t>
      </w:r>
      <w:r>
        <w:t>)</w:t>
      </w:r>
      <w:r w:rsidR="001C49D4">
        <w:t xml:space="preserve"> and spawning</w:t>
      </w:r>
      <w:r>
        <w:t xml:space="preserve">. Physiochemical parameters such as water temperature, light, dissolved oxygen, pH, </w:t>
      </w:r>
      <w:r w:rsidR="000009E9">
        <w:t xml:space="preserve">cyanotoxins et al. and toxic metabolites (ammonium, etc.) </w:t>
      </w:r>
      <w:r>
        <w:t>also influence community structure (Voshell 2002, Harper 1992, Cushing and Allan 2001). Other biological factors are controls on food supply, such as composition of autotrophic and heterotrophic communities, as well as competition and predation (Harper 1992, Wallace and Webster 1996, Hawkins et al. 1982).</w:t>
      </w:r>
      <w:r w:rsidR="001C49D4">
        <w:t xml:space="preserve"> </w:t>
      </w:r>
      <w:r w:rsidR="006130AE">
        <w:t>These responses a</w:t>
      </w:r>
      <w:r w:rsidR="00C6106A">
        <w:t xml:space="preserve">re species-, genus- or functional group specific; </w:t>
      </w:r>
      <w:r w:rsidR="0013791B">
        <w:t xml:space="preserve">these specific </w:t>
      </w:r>
      <w:r w:rsidR="00C6106A">
        <w:t>responses can be used in a diagnostic mode to identify if the biostimulatory drivers are related to direct impacts of e.g.</w:t>
      </w:r>
      <w:r w:rsidR="00AF6776">
        <w:t>,</w:t>
      </w:r>
      <w:r w:rsidR="00C6106A">
        <w:t xml:space="preserve"> nutrient, temperature, DO or pH, and/or to indirect pathways of organic matter accumulation and the impacts on habitat and food supply. </w:t>
      </w:r>
    </w:p>
    <w:p w14:paraId="0AB0B100" w14:textId="2E40D569" w:rsidR="00E8311F" w:rsidRDefault="001C49D4" w:rsidP="00DB0835">
      <w:pPr>
        <w:jc w:val="both"/>
      </w:pPr>
      <w:r>
        <w:t xml:space="preserve">All these physical and chemical gradients become increasingly altered as eutrophication progresses in wadeable streams, </w:t>
      </w:r>
      <w:r w:rsidR="000009E9">
        <w:t xml:space="preserve">modifying the physical and chemical habitat </w:t>
      </w:r>
      <w:r w:rsidR="00B109E3">
        <w:t xml:space="preserve">(as described above) </w:t>
      </w:r>
      <w:r w:rsidR="000009E9">
        <w:t>outside the range of tolerance of sensitive taxa</w:t>
      </w:r>
      <w:r w:rsidR="00B109E3">
        <w:t xml:space="preserve"> and altering the balanc</w:t>
      </w:r>
      <w:r w:rsidR="00E8311F">
        <w:t>e</w:t>
      </w:r>
      <w:r w:rsidR="00B109E3">
        <w:t xml:space="preserve"> of functional feedin</w:t>
      </w:r>
      <w:r w:rsidR="00AB5975">
        <w:t>g</w:t>
      </w:r>
      <w:r w:rsidR="00B109E3">
        <w:t xml:space="preserve"> groups</w:t>
      </w:r>
      <w:r w:rsidR="00E8311F">
        <w:t xml:space="preserve"> that rely on a diversity of organic matter sources or predation</w:t>
      </w:r>
      <w:r w:rsidR="00B109E3">
        <w:t xml:space="preserve"> (</w:t>
      </w:r>
      <w:r w:rsidR="00E8311F">
        <w:t xml:space="preserve">Figure 2.4; </w:t>
      </w:r>
      <w:r w:rsidR="000009E9">
        <w:t xml:space="preserve">Wallace and Webster 1996). </w:t>
      </w:r>
      <w:r>
        <w:t>In invertebrates, t</w:t>
      </w:r>
      <w:r w:rsidR="00AB5975">
        <w:t xml:space="preserve">he net </w:t>
      </w:r>
      <w:r w:rsidR="008D6607">
        <w:t>outcome</w:t>
      </w:r>
      <w:r w:rsidR="00AB5975">
        <w:t xml:space="preserve"> </w:t>
      </w:r>
      <w:r w:rsidR="008D6607">
        <w:t xml:space="preserve">is </w:t>
      </w:r>
      <w:r w:rsidR="00AB5975">
        <w:t xml:space="preserve">a decline in the diversity and abundance of organisms, with a shift away from “clean water taxa” </w:t>
      </w:r>
      <w:r w:rsidR="00AB5975" w:rsidRPr="00CF3401">
        <w:t>and grazers to favor scrapers and detritivores (e.g., Oligochaeta, Lumbriculidae; Miltner and Rankin 1998, Chambers et al. 2006)</w:t>
      </w:r>
      <w:r w:rsidR="00AB5975">
        <w:t xml:space="preserve">. </w:t>
      </w:r>
      <w:r>
        <w:t>Fish communities</w:t>
      </w:r>
      <w:r w:rsidR="00AB5975">
        <w:t xml:space="preserve"> respond typically with a reduction in diversity and domination by pollution tolerant species</w:t>
      </w:r>
      <w:r>
        <w:t xml:space="preserve"> (Heiskary and Bouchard 2016)</w:t>
      </w:r>
      <w:r w:rsidR="00E8311F">
        <w:t xml:space="preserve">. Both fish and BMI </w:t>
      </w:r>
      <w:r w:rsidR="00AB5975">
        <w:t xml:space="preserve">respond to lower DO by reducing metabolism, resulting in decreased growth and lower </w:t>
      </w:r>
      <w:r w:rsidR="00B24799">
        <w:t>predation</w:t>
      </w:r>
      <w:r w:rsidR="00AB5975">
        <w:t xml:space="preserve"> efficiency (Wannamaker and Rice 2000, Harper 1992). In</w:t>
      </w:r>
      <w:r>
        <w:t xml:space="preserve"> </w:t>
      </w:r>
      <w:r w:rsidR="00AB5975">
        <w:t>addition, the production and release of ammonium and sulfide during hypoxic conditions</w:t>
      </w:r>
      <w:r>
        <w:t xml:space="preserve"> </w:t>
      </w:r>
      <w:r w:rsidR="00AB5975">
        <w:t>may adversely affect reproduction and survival (Gray et al.</w:t>
      </w:r>
      <w:r>
        <w:t xml:space="preserve"> </w:t>
      </w:r>
      <w:r w:rsidR="00AB5975">
        <w:t xml:space="preserve">2002, Miltner and Rankin 1998, Hickey et al. 1999).  </w:t>
      </w:r>
      <w:r>
        <w:t xml:space="preserve">High pH levels can be toxic to fish and other organisms. High pH levels damage fish gills, eyes, and skin, and affect fish reproduction. High pH levels also increase the toxicity of some substances, such as ammonia. Low DO can also inhibit larval settlement (Baker and Mann 1992). </w:t>
      </w:r>
      <w:r w:rsidR="00376220">
        <w:t>The effects of cyanoHAB toxins on aquatic life, wildlife and domestic animals are generally not well</w:t>
      </w:r>
      <w:r w:rsidR="00AF6776">
        <w:t>-</w:t>
      </w:r>
      <w:r w:rsidR="00376220">
        <w:t xml:space="preserve">studied; a State Water Board review and data gaps analysis is in progress and should inform future sponsored research (Mehinto et al. in prep). </w:t>
      </w:r>
    </w:p>
    <w:p w14:paraId="3782FE9A" w14:textId="77777777" w:rsidR="007D264A" w:rsidRDefault="007D264A" w:rsidP="00DB0835">
      <w:pPr>
        <w:pStyle w:val="Heading3"/>
        <w:jc w:val="both"/>
      </w:pPr>
      <w:bookmarkStart w:id="44" w:name="_Toc526505113"/>
      <w:r>
        <w:t>2.1.4 Linkage of Wadeable Stream Eutrophication to Impaired Uses</w:t>
      </w:r>
      <w:bookmarkEnd w:id="44"/>
    </w:p>
    <w:p w14:paraId="376E3D3A" w14:textId="690C09B5" w:rsidR="001C49D4" w:rsidRDefault="00E8311F" w:rsidP="00DB0835">
      <w:pPr>
        <w:jc w:val="both"/>
      </w:pPr>
      <w:r>
        <w:t xml:space="preserve">Cumulatively, these impacts to algal, BMI and fish result in direct impacts to aquatic life, including impaired </w:t>
      </w:r>
      <w:r w:rsidR="00B24799">
        <w:t>warm water</w:t>
      </w:r>
      <w:r>
        <w:t xml:space="preserve"> (WARM) and </w:t>
      </w:r>
      <w:r w:rsidR="00B24799">
        <w:t>Coldwater</w:t>
      </w:r>
      <w:r>
        <w:t xml:space="preserve"> fisheries (COLD), as well as spawning (SPAWN) and migratory (MIGR) habitat for salmonids. </w:t>
      </w:r>
      <w:r w:rsidR="001C49D4">
        <w:t>Amphibians, mammals and birds depend on wadeable stream for forage, refuge and water. Altered trophic structure, low food quality or bioaccumulation of toxins in fish and invertebrates can directly impact</w:t>
      </w:r>
      <w:r>
        <w:t xml:space="preserve"> these wildlife (WILD), including rare or threatened and endangered (RARE), and migratory species (MIGR). </w:t>
      </w:r>
    </w:p>
    <w:p w14:paraId="1B2FA766" w14:textId="77777777" w:rsidR="00917CBC" w:rsidRDefault="00917CBC" w:rsidP="00DB0835">
      <w:pPr>
        <w:spacing w:after="0" w:line="240" w:lineRule="auto"/>
        <w:jc w:val="both"/>
      </w:pPr>
    </w:p>
    <w:p w14:paraId="0E35B8EB" w14:textId="77777777" w:rsidR="00917CBC" w:rsidRDefault="00917CBC" w:rsidP="00362B76">
      <w:pPr>
        <w:spacing w:after="0" w:line="240" w:lineRule="auto"/>
      </w:pPr>
      <w:r w:rsidRPr="00917CBC">
        <w:rPr>
          <w:noProof/>
          <w:lang w:eastAsia="zh-CN" w:bidi="ar-SA"/>
        </w:rPr>
        <w:drawing>
          <wp:inline distT="0" distB="0" distL="0" distR="0" wp14:anchorId="691D3794" wp14:editId="20EA0A8D">
            <wp:extent cx="5926332" cy="28860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0064" cy="2887893"/>
                    </a:xfrm>
                    <a:prstGeom prst="rect">
                      <a:avLst/>
                    </a:prstGeom>
                    <a:noFill/>
                    <a:ln>
                      <a:noFill/>
                    </a:ln>
                  </pic:spPr>
                </pic:pic>
              </a:graphicData>
            </a:graphic>
          </wp:inline>
        </w:drawing>
      </w:r>
    </w:p>
    <w:p w14:paraId="3E03C013" w14:textId="77777777" w:rsidR="007D264A" w:rsidRDefault="00190339" w:rsidP="00190339">
      <w:pPr>
        <w:pStyle w:val="TOF"/>
      </w:pPr>
      <w:bookmarkStart w:id="45" w:name="_Toc526489938"/>
      <w:r>
        <w:t>Figure 2.4  Examples of pathways of adverse impacts of eutrophication on consumers, incuding benthic invertebrates and fish.</w:t>
      </w:r>
      <w:bookmarkEnd w:id="45"/>
      <w:r>
        <w:t xml:space="preserve"> </w:t>
      </w:r>
    </w:p>
    <w:p w14:paraId="30EC754A" w14:textId="77777777" w:rsidR="00362B76" w:rsidRDefault="00362B76" w:rsidP="00362B76">
      <w:pPr>
        <w:spacing w:after="0" w:line="240" w:lineRule="auto"/>
      </w:pPr>
    </w:p>
    <w:p w14:paraId="7A5C704C" w14:textId="1952D96A" w:rsidR="00376220" w:rsidRDefault="00B24799" w:rsidP="00DB0835">
      <w:pPr>
        <w:jc w:val="both"/>
      </w:pPr>
      <w:r>
        <w:t>Wadeable</w:t>
      </w:r>
      <w:r w:rsidR="00376220">
        <w:t xml:space="preserve"> stream e</w:t>
      </w:r>
      <w:r w:rsidR="00376220" w:rsidRPr="00376220">
        <w:t xml:space="preserve">utrophication is responsible for direct impacts to human water resources and recreational uses. Several distinct pathways exist through which these impacts can occur (Nixon 1995, Paerl et al. 2011). First, human uses are impacted by poor aesthetics </w:t>
      </w:r>
      <w:r w:rsidR="00376220">
        <w:t xml:space="preserve">(REC2) </w:t>
      </w:r>
      <w:r w:rsidR="00376220" w:rsidRPr="00376220">
        <w:t>that result from visual scums, high biomass blooms, and odor that can result from decaying algal or bacterial biomass</w:t>
      </w:r>
      <w:r w:rsidR="00376220">
        <w:t xml:space="preserve"> (Suplee et al. 2012) as well as </w:t>
      </w:r>
      <w:r w:rsidR="00D2459A">
        <w:t>diminished</w:t>
      </w:r>
      <w:r w:rsidR="00376220">
        <w:t xml:space="preserve"> </w:t>
      </w:r>
      <w:r w:rsidR="00D2459A">
        <w:t xml:space="preserve">ecotourism potential from reduced </w:t>
      </w:r>
      <w:r w:rsidR="00376220">
        <w:t>biodiversity (WARM, COLD, RARE, WILD, MIGR, SPAWN)</w:t>
      </w:r>
      <w:r w:rsidR="00376220" w:rsidRPr="00376220">
        <w:t xml:space="preserve">.  Second, </w:t>
      </w:r>
      <w:r w:rsidR="00376220">
        <w:t xml:space="preserve">impacts to </w:t>
      </w:r>
      <w:r w:rsidR="00376220" w:rsidRPr="00376220">
        <w:t xml:space="preserve">recreational and commercial uses </w:t>
      </w:r>
      <w:r w:rsidR="00376220">
        <w:t>(WARM, COLD, COMM, AQUA</w:t>
      </w:r>
      <w:r w:rsidR="004A4D38">
        <w:t>, SHELL</w:t>
      </w:r>
      <w:r w:rsidR="00376220">
        <w:t xml:space="preserve">) </w:t>
      </w:r>
      <w:r w:rsidR="00376220" w:rsidRPr="00376220">
        <w:t>occur from the reduced abundance and biodiversity of aquatic and terrestrial wildlife (e.g.</w:t>
      </w:r>
      <w:r w:rsidR="00AF6776">
        <w:t>,</w:t>
      </w:r>
      <w:r w:rsidR="00376220" w:rsidRPr="00376220">
        <w:t xml:space="preserve"> salmonids, crabs, bivalves, sportsfish) and from harmful algal blooms. Third, primary contact recreation</w:t>
      </w:r>
      <w:r w:rsidR="00D2459A">
        <w:t xml:space="preserve"> (REC1)</w:t>
      </w:r>
      <w:r w:rsidR="00376220" w:rsidRPr="00376220">
        <w:t xml:space="preserve"> is directly impacted through the exposure of harmful algal blooms toxins from swimming, fishing, boating (including via aerosolized pathway</w:t>
      </w:r>
      <w:r w:rsidR="00D2459A">
        <w:t>s</w:t>
      </w:r>
      <w:r w:rsidR="00376220" w:rsidRPr="00376220">
        <w:t>)</w:t>
      </w:r>
      <w:r w:rsidR="00D2459A">
        <w:t xml:space="preserve"> and from proliferation of pathogenic bacteria</w:t>
      </w:r>
      <w:r w:rsidR="00376220" w:rsidRPr="00376220">
        <w:t xml:space="preserve">. Fourth, reduced quality of drinking water sources occurs from high HAB toxins, DOC, </w:t>
      </w:r>
      <w:r w:rsidR="0013791B">
        <w:t xml:space="preserve">and production of chlorinated </w:t>
      </w:r>
      <w:r w:rsidR="00376220" w:rsidRPr="00376220">
        <w:t>trihalomethanes</w:t>
      </w:r>
      <w:r w:rsidR="00D2459A">
        <w:t xml:space="preserve"> (MUN)</w:t>
      </w:r>
      <w:r w:rsidR="00376220" w:rsidRPr="00376220">
        <w:t xml:space="preserve">, which poses significant costs to water purveyors to remove to assure safe drinking water for the public. </w:t>
      </w:r>
    </w:p>
    <w:p w14:paraId="474CFA56" w14:textId="77777777" w:rsidR="00362B76" w:rsidRDefault="00917CBC" w:rsidP="00362B76">
      <w:pPr>
        <w:spacing w:after="0" w:line="240" w:lineRule="auto"/>
      </w:pPr>
      <w:r w:rsidRPr="00917CBC">
        <w:rPr>
          <w:noProof/>
          <w:lang w:eastAsia="zh-CN" w:bidi="ar-SA"/>
        </w:rPr>
        <w:drawing>
          <wp:inline distT="0" distB="0" distL="0" distR="0" wp14:anchorId="4DA37845" wp14:editId="1349DFFD">
            <wp:extent cx="6210300" cy="295705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20746" cy="2962025"/>
                    </a:xfrm>
                    <a:prstGeom prst="rect">
                      <a:avLst/>
                    </a:prstGeom>
                    <a:noFill/>
                    <a:ln>
                      <a:noFill/>
                    </a:ln>
                  </pic:spPr>
                </pic:pic>
              </a:graphicData>
            </a:graphic>
          </wp:inline>
        </w:drawing>
      </w:r>
    </w:p>
    <w:p w14:paraId="6F2C9047" w14:textId="77777777" w:rsidR="00917CBC" w:rsidRDefault="00917CBC" w:rsidP="00362B76">
      <w:pPr>
        <w:spacing w:after="0" w:line="240" w:lineRule="auto"/>
      </w:pPr>
    </w:p>
    <w:p w14:paraId="1BA7E83C" w14:textId="77777777" w:rsidR="00D2459A" w:rsidRDefault="00D2459A" w:rsidP="00D2459A">
      <w:pPr>
        <w:pStyle w:val="TOF"/>
      </w:pPr>
      <w:bookmarkStart w:id="46" w:name="_Toc526489939"/>
      <w:r>
        <w:t>Figure 2.5  Examples of pathways of adverse impacts of eutrophication on human uses, including water supply and water resources and recreational uses.</w:t>
      </w:r>
      <w:bookmarkEnd w:id="46"/>
      <w:r>
        <w:t xml:space="preserve"> </w:t>
      </w:r>
    </w:p>
    <w:p w14:paraId="138503C4" w14:textId="77777777" w:rsidR="00917CBC" w:rsidRDefault="00917CBC" w:rsidP="00362B76">
      <w:pPr>
        <w:spacing w:after="0" w:line="240" w:lineRule="auto"/>
      </w:pPr>
    </w:p>
    <w:p w14:paraId="70EE31FE" w14:textId="77777777" w:rsidR="00362B76" w:rsidRDefault="00362B76" w:rsidP="00D01574">
      <w:pPr>
        <w:pStyle w:val="Heading2"/>
      </w:pPr>
      <w:bookmarkStart w:id="47" w:name="_Toc526505114"/>
      <w:r>
        <w:t>2.2. Evaluation of Candidate Eutrophication Indicators</w:t>
      </w:r>
      <w:bookmarkEnd w:id="47"/>
      <w:r>
        <w:t xml:space="preserve"> </w:t>
      </w:r>
    </w:p>
    <w:p w14:paraId="7D00DB86" w14:textId="77777777" w:rsidR="009569CB" w:rsidRPr="00356B71" w:rsidRDefault="009569CB" w:rsidP="00812192">
      <w:pPr>
        <w:pStyle w:val="Heading3"/>
        <w:rPr>
          <w:lang w:bidi="ar-SA"/>
        </w:rPr>
      </w:pPr>
      <w:bookmarkStart w:id="48" w:name="_Toc526505115"/>
      <w:r>
        <w:t xml:space="preserve">2.2.1 </w:t>
      </w:r>
      <w:bookmarkStart w:id="49" w:name="_Toc294244970"/>
      <w:r w:rsidRPr="00356B71">
        <w:rPr>
          <w:lang w:bidi="ar-SA"/>
        </w:rPr>
        <w:t xml:space="preserve">Criteria for Selection of </w:t>
      </w:r>
      <w:r>
        <w:rPr>
          <w:lang w:bidi="ar-SA"/>
        </w:rPr>
        <w:t>Candidate Eutrophication</w:t>
      </w:r>
      <w:r w:rsidRPr="00356B71">
        <w:rPr>
          <w:lang w:bidi="ar-SA"/>
        </w:rPr>
        <w:t xml:space="preserve"> Indicators</w:t>
      </w:r>
      <w:bookmarkEnd w:id="48"/>
      <w:bookmarkEnd w:id="49"/>
    </w:p>
    <w:p w14:paraId="24F2A66E" w14:textId="27138A4A" w:rsidR="009569CB" w:rsidRPr="00C94B8D" w:rsidRDefault="009569CB" w:rsidP="009569CB">
      <w:pPr>
        <w:rPr>
          <w:b/>
        </w:rPr>
      </w:pPr>
      <w:r w:rsidRPr="00C94B8D">
        <w:t xml:space="preserve">The following criteria were used in the reviews of existing science to evaluate the utility of each indicator for </w:t>
      </w:r>
      <w:r w:rsidR="00662E7F">
        <w:t>use in a wadeable stream eutrophication assessment</w:t>
      </w:r>
      <w:r w:rsidRPr="00C94B8D">
        <w:t xml:space="preserve"> framework.</w:t>
      </w:r>
      <w:r w:rsidRPr="00C94B8D">
        <w:rPr>
          <w:b/>
        </w:rPr>
        <w:t xml:space="preserve"> </w:t>
      </w:r>
    </w:p>
    <w:p w14:paraId="0BE7A274" w14:textId="77777777" w:rsidR="009569CB" w:rsidRPr="00356B71" w:rsidRDefault="009569CB" w:rsidP="00A3733D">
      <w:pPr>
        <w:contextualSpacing/>
        <w:rPr>
          <w:b/>
          <w:u w:val="single"/>
        </w:rPr>
      </w:pPr>
      <w:r w:rsidRPr="00356B71">
        <w:rPr>
          <w:b/>
          <w:u w:val="single"/>
        </w:rPr>
        <w:t>Indicators Should:</w:t>
      </w:r>
    </w:p>
    <w:p w14:paraId="50500379" w14:textId="77777777" w:rsidR="009569CB" w:rsidRPr="00356B71" w:rsidRDefault="009569CB" w:rsidP="008E7E7F">
      <w:pPr>
        <w:pStyle w:val="ListParagraph"/>
        <w:numPr>
          <w:ilvl w:val="0"/>
          <w:numId w:val="2"/>
        </w:numPr>
      </w:pPr>
      <w:r w:rsidRPr="00356B71">
        <w:t xml:space="preserve">Have a clear link to beneficial uses </w:t>
      </w:r>
    </w:p>
    <w:p w14:paraId="28A20FCD" w14:textId="77777777" w:rsidR="00626DCF" w:rsidRDefault="00626DCF" w:rsidP="008E7E7F">
      <w:pPr>
        <w:pStyle w:val="ListParagraph"/>
        <w:numPr>
          <w:ilvl w:val="0"/>
          <w:numId w:val="2"/>
        </w:numPr>
      </w:pPr>
      <w:r w:rsidRPr="00356B71">
        <w:t>Must be able to show a trend either towards increasing or/and decreasing eutrophication with an acceptable signal: noise ratio</w:t>
      </w:r>
    </w:p>
    <w:p w14:paraId="6C44F2F4" w14:textId="77777777" w:rsidR="009569CB" w:rsidRDefault="009569CB" w:rsidP="008E7E7F">
      <w:pPr>
        <w:pStyle w:val="ListParagraph"/>
        <w:numPr>
          <w:ilvl w:val="0"/>
          <w:numId w:val="2"/>
        </w:numPr>
      </w:pPr>
      <w:r w:rsidRPr="00356B71">
        <w:t>Have a predictive relationship with causal factors such as nutrient</w:t>
      </w:r>
      <w:r w:rsidR="00A3733D">
        <w:t>s</w:t>
      </w:r>
      <w:r w:rsidRPr="00356B71">
        <w:t xml:space="preserve"> and </w:t>
      </w:r>
      <w:r w:rsidR="00A3733D">
        <w:t xml:space="preserve">biostimulatory drivers, modeled </w:t>
      </w:r>
      <w:r w:rsidRPr="00356B71">
        <w:t>empirical</w:t>
      </w:r>
      <w:r w:rsidR="00A3733D">
        <w:t>ly</w:t>
      </w:r>
      <w:r w:rsidRPr="00356B71">
        <w:t xml:space="preserve"> (as a statistical relationship or mechanistically through tools such as a simple dynamic simulation models) </w:t>
      </w:r>
    </w:p>
    <w:p w14:paraId="2C295F6C" w14:textId="77777777" w:rsidR="009569CB" w:rsidRDefault="009569CB" w:rsidP="008E7E7F">
      <w:pPr>
        <w:pStyle w:val="ListParagraph"/>
        <w:numPr>
          <w:ilvl w:val="0"/>
          <w:numId w:val="2"/>
        </w:numPr>
      </w:pPr>
      <w:r w:rsidRPr="00356B71">
        <w:t>Have a scientifically sound and practical measurement process</w:t>
      </w:r>
      <w:r w:rsidR="00827C63">
        <w:t xml:space="preserve">, with available SOP </w:t>
      </w:r>
    </w:p>
    <w:p w14:paraId="4A3E718C" w14:textId="77777777" w:rsidR="00626DCF" w:rsidRDefault="00626DCF" w:rsidP="008E7E7F">
      <w:pPr>
        <w:pStyle w:val="ListParagraph"/>
        <w:numPr>
          <w:ilvl w:val="0"/>
          <w:numId w:val="2"/>
        </w:numPr>
      </w:pPr>
      <w:r>
        <w:t>Have a scientific basis for a numeric target</w:t>
      </w:r>
    </w:p>
    <w:p w14:paraId="5896F45B" w14:textId="77777777" w:rsidR="009569CB" w:rsidRPr="00356B71" w:rsidRDefault="009569CB" w:rsidP="00A3733D">
      <w:pPr>
        <w:contextualSpacing/>
        <w:rPr>
          <w:b/>
          <w:u w:val="single"/>
        </w:rPr>
      </w:pPr>
      <w:r w:rsidRPr="00356B71">
        <w:rPr>
          <w:b/>
          <w:u w:val="single"/>
        </w:rPr>
        <w:t>It would be beneficial if indicators also:</w:t>
      </w:r>
    </w:p>
    <w:p w14:paraId="32292180" w14:textId="77777777" w:rsidR="009569CB" w:rsidRPr="00356B71" w:rsidRDefault="009569CB" w:rsidP="008E7E7F">
      <w:pPr>
        <w:pStyle w:val="ListParagraph"/>
        <w:numPr>
          <w:ilvl w:val="0"/>
          <w:numId w:val="3"/>
        </w:numPr>
      </w:pPr>
      <w:r w:rsidRPr="00356B71">
        <w:t>Were easy to understand to a non-technical audience (unambiguous)</w:t>
      </w:r>
    </w:p>
    <w:p w14:paraId="6EF6E830" w14:textId="77777777" w:rsidR="009569CB" w:rsidRPr="00356B71" w:rsidRDefault="00626DCF" w:rsidP="008E7E7F">
      <w:pPr>
        <w:pStyle w:val="ListParagraph"/>
        <w:numPr>
          <w:ilvl w:val="0"/>
          <w:numId w:val="3"/>
        </w:numPr>
      </w:pPr>
      <w:r>
        <w:t xml:space="preserve">Is currently in routine use in </w:t>
      </w:r>
      <w:r w:rsidR="00827C63">
        <w:t xml:space="preserve">statewide </w:t>
      </w:r>
      <w:r>
        <w:t>ambient monitoring programs</w:t>
      </w:r>
    </w:p>
    <w:p w14:paraId="11367E97" w14:textId="77777777" w:rsidR="00626DCF" w:rsidRDefault="009569CB" w:rsidP="008E7E7F">
      <w:pPr>
        <w:pStyle w:val="ListParagraph"/>
        <w:numPr>
          <w:ilvl w:val="0"/>
          <w:numId w:val="3"/>
        </w:numPr>
      </w:pPr>
      <w:r w:rsidRPr="00356B71">
        <w:t xml:space="preserve">Were adaptable for </w:t>
      </w:r>
      <w:r w:rsidR="00A3733D">
        <w:t>use at a range of spatial scales</w:t>
      </w:r>
    </w:p>
    <w:p w14:paraId="72A311C9" w14:textId="77777777" w:rsidR="00626DCF" w:rsidRDefault="00626DCF" w:rsidP="00700D5A">
      <w:pPr>
        <w:sectPr w:rsidR="00626DCF" w:rsidSect="00E86387">
          <w:pgSz w:w="12240" w:h="15840"/>
          <w:pgMar w:top="1440" w:right="1440" w:bottom="1440" w:left="1440" w:header="720" w:footer="720" w:gutter="0"/>
          <w:cols w:space="720"/>
          <w:docGrid w:linePitch="360"/>
        </w:sectPr>
      </w:pPr>
    </w:p>
    <w:p w14:paraId="74EE4F4A" w14:textId="6293565F" w:rsidR="00700D5A" w:rsidRDefault="00700D5A" w:rsidP="00700D5A">
      <w:pPr>
        <w:pStyle w:val="TOT"/>
      </w:pPr>
      <w:bookmarkStart w:id="50" w:name="_Toc526489910"/>
      <w:bookmarkStart w:id="51" w:name="_Hlk524332851"/>
      <w:r w:rsidRPr="0050502C">
        <w:t xml:space="preserve">Table </w:t>
      </w:r>
      <w:r>
        <w:t>2.</w:t>
      </w:r>
      <w:r w:rsidR="00AB645E">
        <w:t>3</w:t>
      </w:r>
      <w:r w:rsidRPr="0050502C">
        <w:t xml:space="preserve">.  </w:t>
      </w:r>
      <w:r w:rsidR="00B24799">
        <w:t>Evaluation</w:t>
      </w:r>
      <w:r w:rsidR="00827C63">
        <w:t xml:space="preserve"> of wadeable stream eutrophication response measures vis-à-vis evaluation criteria</w:t>
      </w:r>
      <w:r w:rsidRPr="0050502C">
        <w:t xml:space="preserve">. </w:t>
      </w:r>
      <w:r w:rsidR="00B24799">
        <w:t>Asterisk</w:t>
      </w:r>
      <w:r w:rsidR="00345FC9">
        <w:t xml:space="preserve"> (*) denotes applicability to eutrophication diagnosis a</w:t>
      </w:r>
      <w:r w:rsidR="009569CB">
        <w:t>t the metric level</w:t>
      </w:r>
      <w:r w:rsidR="00243BC8">
        <w:t>. Number represent</w:t>
      </w:r>
      <w:r w:rsidR="00827C63">
        <w:t>s</w:t>
      </w:r>
      <w:r w:rsidR="00243BC8">
        <w:t xml:space="preserve"> strength of measure for each evaluation criterion, from 3 = best to 1= worst, while no number indicates no basis. </w:t>
      </w:r>
      <w:r w:rsidR="005E413D">
        <w:t>Y= used in SWAMP or PSA assessments. H= human uses (REC1, MUN); AL = Aquatic life uses (WARM, COLD, WILD, RARE, SPAWN, MIGR)</w:t>
      </w:r>
      <w:bookmarkEnd w:id="50"/>
    </w:p>
    <w:tbl>
      <w:tblPr>
        <w:tblW w:w="12780" w:type="dxa"/>
        <w:tblInd w:w="90" w:type="dxa"/>
        <w:tblBorders>
          <w:top w:val="single" w:sz="12" w:space="0" w:color="auto"/>
          <w:bottom w:val="single" w:sz="12" w:space="0" w:color="auto"/>
        </w:tblBorders>
        <w:tblLayout w:type="fixed"/>
        <w:tblCellMar>
          <w:top w:w="14" w:type="dxa"/>
          <w:left w:w="72" w:type="dxa"/>
          <w:bottom w:w="14" w:type="dxa"/>
          <w:right w:w="72" w:type="dxa"/>
        </w:tblCellMar>
        <w:tblLook w:val="00A0" w:firstRow="1" w:lastRow="0" w:firstColumn="1" w:lastColumn="0" w:noHBand="0" w:noVBand="0"/>
      </w:tblPr>
      <w:tblGrid>
        <w:gridCol w:w="4680"/>
        <w:gridCol w:w="990"/>
        <w:gridCol w:w="720"/>
        <w:gridCol w:w="1080"/>
        <w:gridCol w:w="900"/>
        <w:gridCol w:w="810"/>
        <w:gridCol w:w="900"/>
        <w:gridCol w:w="1350"/>
        <w:gridCol w:w="1350"/>
      </w:tblGrid>
      <w:tr w:rsidR="005E413D" w:rsidRPr="008A0924" w14:paraId="286C0EA7" w14:textId="77777777" w:rsidTr="00DB42E5">
        <w:trPr>
          <w:tblHeader/>
        </w:trPr>
        <w:tc>
          <w:tcPr>
            <w:tcW w:w="4680" w:type="dxa"/>
            <w:tcBorders>
              <w:top w:val="single" w:sz="4" w:space="0" w:color="auto"/>
              <w:bottom w:val="single" w:sz="4" w:space="0" w:color="auto"/>
            </w:tcBorders>
            <w:shd w:val="clear" w:color="000080" w:fill="auto"/>
            <w:vAlign w:val="center"/>
          </w:tcPr>
          <w:p w14:paraId="7564D313" w14:textId="77777777" w:rsidR="005E413D" w:rsidRPr="008A0924" w:rsidRDefault="00345FC9" w:rsidP="0051290E">
            <w:pPr>
              <w:pStyle w:val="TableHeading"/>
              <w:spacing w:before="40" w:after="40"/>
              <w:jc w:val="left"/>
            </w:pPr>
            <w:r>
              <w:t>Biostimulatory Indicator</w:t>
            </w:r>
          </w:p>
        </w:tc>
        <w:tc>
          <w:tcPr>
            <w:tcW w:w="990" w:type="dxa"/>
            <w:tcBorders>
              <w:top w:val="single" w:sz="4" w:space="0" w:color="auto"/>
              <w:bottom w:val="single" w:sz="4" w:space="0" w:color="auto"/>
            </w:tcBorders>
            <w:shd w:val="clear" w:color="000080" w:fill="auto"/>
          </w:tcPr>
          <w:p w14:paraId="38027038" w14:textId="77777777" w:rsidR="005E413D" w:rsidRDefault="005E413D" w:rsidP="0051290E">
            <w:pPr>
              <w:pStyle w:val="TableHeading"/>
              <w:spacing w:before="40" w:after="40"/>
            </w:pPr>
            <w:r>
              <w:t>Linkage to BU</w:t>
            </w:r>
          </w:p>
        </w:tc>
        <w:tc>
          <w:tcPr>
            <w:tcW w:w="720" w:type="dxa"/>
            <w:tcBorders>
              <w:top w:val="single" w:sz="4" w:space="0" w:color="auto"/>
              <w:bottom w:val="single" w:sz="4" w:space="0" w:color="auto"/>
            </w:tcBorders>
            <w:shd w:val="clear" w:color="000080" w:fill="auto"/>
          </w:tcPr>
          <w:p w14:paraId="5097F8F9" w14:textId="77777777" w:rsidR="005E413D" w:rsidRDefault="005E413D" w:rsidP="0051290E">
            <w:pPr>
              <w:pStyle w:val="TableHeading"/>
              <w:spacing w:before="40" w:after="40"/>
            </w:pPr>
            <w:r>
              <w:t>BU Type</w:t>
            </w:r>
          </w:p>
        </w:tc>
        <w:tc>
          <w:tcPr>
            <w:tcW w:w="1080" w:type="dxa"/>
            <w:tcBorders>
              <w:top w:val="single" w:sz="4" w:space="0" w:color="auto"/>
              <w:bottom w:val="single" w:sz="4" w:space="0" w:color="auto"/>
            </w:tcBorders>
            <w:shd w:val="clear" w:color="000080" w:fill="auto"/>
            <w:tcMar>
              <w:left w:w="43" w:type="dxa"/>
              <w:right w:w="43" w:type="dxa"/>
            </w:tcMar>
            <w:vAlign w:val="center"/>
          </w:tcPr>
          <w:p w14:paraId="7137401F" w14:textId="77777777" w:rsidR="005E413D" w:rsidRPr="008A0924" w:rsidRDefault="005E413D" w:rsidP="0051290E">
            <w:pPr>
              <w:pStyle w:val="TableHeading"/>
              <w:spacing w:before="40" w:after="40"/>
            </w:pPr>
            <w:r>
              <w:t>Robust Signal: Noise</w:t>
            </w:r>
          </w:p>
        </w:tc>
        <w:tc>
          <w:tcPr>
            <w:tcW w:w="900" w:type="dxa"/>
            <w:tcBorders>
              <w:top w:val="single" w:sz="4" w:space="0" w:color="auto"/>
              <w:bottom w:val="single" w:sz="4" w:space="0" w:color="auto"/>
            </w:tcBorders>
            <w:shd w:val="clear" w:color="000080" w:fill="auto"/>
            <w:tcMar>
              <w:left w:w="43" w:type="dxa"/>
              <w:right w:w="43" w:type="dxa"/>
            </w:tcMar>
            <w:vAlign w:val="center"/>
          </w:tcPr>
          <w:p w14:paraId="6FA3D307" w14:textId="77777777" w:rsidR="005E413D" w:rsidRPr="008A0924" w:rsidRDefault="005E413D" w:rsidP="0051290E">
            <w:pPr>
              <w:pStyle w:val="TableHeading"/>
              <w:spacing w:before="40" w:after="40"/>
            </w:pPr>
            <w:r>
              <w:t xml:space="preserve">Cost Effective </w:t>
            </w:r>
          </w:p>
        </w:tc>
        <w:tc>
          <w:tcPr>
            <w:tcW w:w="810" w:type="dxa"/>
            <w:tcBorders>
              <w:top w:val="single" w:sz="4" w:space="0" w:color="auto"/>
              <w:bottom w:val="single" w:sz="4" w:space="0" w:color="auto"/>
            </w:tcBorders>
            <w:shd w:val="clear" w:color="000080" w:fill="auto"/>
            <w:tcMar>
              <w:left w:w="43" w:type="dxa"/>
              <w:right w:w="43" w:type="dxa"/>
            </w:tcMar>
            <w:vAlign w:val="center"/>
          </w:tcPr>
          <w:p w14:paraId="7AE3B7CA" w14:textId="77777777" w:rsidR="005E413D" w:rsidRPr="008A0924" w:rsidRDefault="005E413D" w:rsidP="0051290E">
            <w:pPr>
              <w:pStyle w:val="TableHeading"/>
              <w:spacing w:before="40" w:after="40"/>
            </w:pPr>
            <w:r>
              <w:t>In Routine Use</w:t>
            </w:r>
          </w:p>
        </w:tc>
        <w:tc>
          <w:tcPr>
            <w:tcW w:w="900" w:type="dxa"/>
            <w:tcBorders>
              <w:top w:val="single" w:sz="4" w:space="0" w:color="auto"/>
              <w:bottom w:val="single" w:sz="4" w:space="0" w:color="auto"/>
            </w:tcBorders>
            <w:shd w:val="clear" w:color="000080" w:fill="auto"/>
          </w:tcPr>
          <w:p w14:paraId="0D0EB127" w14:textId="77777777" w:rsidR="005E413D" w:rsidRDefault="005E413D" w:rsidP="0051290E">
            <w:pPr>
              <w:pStyle w:val="TableHeading"/>
              <w:spacing w:before="40" w:after="40"/>
            </w:pPr>
            <w:r>
              <w:t>SWAMP or PSA?</w:t>
            </w:r>
          </w:p>
        </w:tc>
        <w:tc>
          <w:tcPr>
            <w:tcW w:w="1350" w:type="dxa"/>
            <w:tcBorders>
              <w:top w:val="single" w:sz="4" w:space="0" w:color="auto"/>
              <w:bottom w:val="single" w:sz="4" w:space="0" w:color="auto"/>
            </w:tcBorders>
            <w:shd w:val="clear" w:color="000080" w:fill="auto"/>
            <w:tcMar>
              <w:left w:w="43" w:type="dxa"/>
              <w:right w:w="43" w:type="dxa"/>
            </w:tcMar>
            <w:vAlign w:val="center"/>
          </w:tcPr>
          <w:p w14:paraId="07AEE6E2" w14:textId="77777777" w:rsidR="005E413D" w:rsidRPr="008A0924" w:rsidRDefault="005E413D" w:rsidP="0051290E">
            <w:pPr>
              <w:pStyle w:val="TableHeading"/>
              <w:spacing w:before="40" w:after="40"/>
            </w:pPr>
            <w:r>
              <w:t>Model to Biostimulatory Drivers?</w:t>
            </w:r>
          </w:p>
        </w:tc>
        <w:tc>
          <w:tcPr>
            <w:tcW w:w="1350" w:type="dxa"/>
            <w:tcBorders>
              <w:top w:val="single" w:sz="4" w:space="0" w:color="auto"/>
              <w:bottom w:val="single" w:sz="4" w:space="0" w:color="auto"/>
            </w:tcBorders>
            <w:shd w:val="clear" w:color="000080" w:fill="auto"/>
          </w:tcPr>
          <w:p w14:paraId="5BDC2B0A" w14:textId="77777777" w:rsidR="005E413D" w:rsidRDefault="005E413D" w:rsidP="0051290E">
            <w:pPr>
              <w:pStyle w:val="TableHeading"/>
              <w:spacing w:before="40" w:after="40"/>
            </w:pPr>
            <w:r>
              <w:t>Basis for Numeric Target?</w:t>
            </w:r>
          </w:p>
        </w:tc>
      </w:tr>
      <w:tr w:rsidR="005E413D" w:rsidRPr="008A0924" w14:paraId="09BD6885" w14:textId="77777777" w:rsidTr="00DB42E5">
        <w:tc>
          <w:tcPr>
            <w:tcW w:w="12780" w:type="dxa"/>
            <w:gridSpan w:val="9"/>
            <w:tcBorders>
              <w:top w:val="single" w:sz="4" w:space="0" w:color="auto"/>
            </w:tcBorders>
          </w:tcPr>
          <w:p w14:paraId="547AE559" w14:textId="77777777" w:rsidR="005E413D" w:rsidRPr="00344AD0" w:rsidRDefault="005E413D" w:rsidP="0051290E">
            <w:pPr>
              <w:pStyle w:val="TableText0"/>
              <w:spacing w:before="40" w:after="40"/>
              <w:rPr>
                <w:b/>
                <w:i/>
              </w:rPr>
            </w:pPr>
            <w:r w:rsidRPr="00344AD0">
              <w:rPr>
                <w:b/>
                <w:i/>
              </w:rPr>
              <w:t>Organic Matter Accumulation</w:t>
            </w:r>
          </w:p>
        </w:tc>
      </w:tr>
      <w:tr w:rsidR="005E413D" w:rsidRPr="008A0924" w14:paraId="4657DC5B" w14:textId="77777777" w:rsidTr="00DB42E5">
        <w:tc>
          <w:tcPr>
            <w:tcW w:w="4680" w:type="dxa"/>
            <w:tcBorders>
              <w:top w:val="single" w:sz="4" w:space="0" w:color="auto"/>
            </w:tcBorders>
            <w:vAlign w:val="center"/>
          </w:tcPr>
          <w:p w14:paraId="425F59FC" w14:textId="77777777" w:rsidR="005E413D" w:rsidRDefault="005E413D" w:rsidP="00243BC8">
            <w:pPr>
              <w:pStyle w:val="TableText0"/>
              <w:spacing w:before="40" w:after="40"/>
              <w:ind w:left="285"/>
            </w:pPr>
            <w:r>
              <w:t xml:space="preserve">Benthic and/or </w:t>
            </w:r>
            <w:r w:rsidR="00E33380">
              <w:t>p</w:t>
            </w:r>
            <w:r>
              <w:t xml:space="preserve">lanktonic </w:t>
            </w:r>
            <w:r w:rsidR="00E33380">
              <w:t>a</w:t>
            </w:r>
            <w:r>
              <w:t xml:space="preserve">lgal </w:t>
            </w:r>
            <w:r w:rsidR="00E33380">
              <w:t>b</w:t>
            </w:r>
            <w:r>
              <w:t xml:space="preserve">iomass (benthic chl-a, water column chl-a) </w:t>
            </w:r>
          </w:p>
        </w:tc>
        <w:tc>
          <w:tcPr>
            <w:tcW w:w="990" w:type="dxa"/>
            <w:tcBorders>
              <w:top w:val="single" w:sz="4" w:space="0" w:color="auto"/>
            </w:tcBorders>
          </w:tcPr>
          <w:p w14:paraId="5F0BDDB4" w14:textId="77777777" w:rsidR="005E413D" w:rsidRDefault="005E413D" w:rsidP="0051290E">
            <w:pPr>
              <w:pStyle w:val="TableText0"/>
              <w:spacing w:before="40" w:after="40"/>
              <w:jc w:val="center"/>
              <w:rPr>
                <w:b/>
              </w:rPr>
            </w:pPr>
            <w:r>
              <w:rPr>
                <w:b/>
              </w:rPr>
              <w:t>3</w:t>
            </w:r>
          </w:p>
        </w:tc>
        <w:tc>
          <w:tcPr>
            <w:tcW w:w="720" w:type="dxa"/>
            <w:tcBorders>
              <w:top w:val="single" w:sz="4" w:space="0" w:color="auto"/>
            </w:tcBorders>
          </w:tcPr>
          <w:p w14:paraId="65453554" w14:textId="77777777" w:rsidR="005E413D" w:rsidRDefault="005E413D" w:rsidP="0051290E">
            <w:pPr>
              <w:pStyle w:val="TableText0"/>
              <w:spacing w:before="40" w:after="40"/>
              <w:jc w:val="center"/>
              <w:rPr>
                <w:b/>
              </w:rPr>
            </w:pPr>
            <w:r>
              <w:rPr>
                <w:b/>
              </w:rPr>
              <w:t>AL</w:t>
            </w:r>
          </w:p>
        </w:tc>
        <w:tc>
          <w:tcPr>
            <w:tcW w:w="1080" w:type="dxa"/>
            <w:tcBorders>
              <w:top w:val="single" w:sz="4" w:space="0" w:color="auto"/>
            </w:tcBorders>
            <w:vAlign w:val="center"/>
          </w:tcPr>
          <w:p w14:paraId="2B1BC9C8" w14:textId="77777777" w:rsidR="005E413D" w:rsidRDefault="005E413D" w:rsidP="0051290E">
            <w:pPr>
              <w:pStyle w:val="TableText0"/>
              <w:spacing w:before="40" w:after="40"/>
              <w:jc w:val="center"/>
              <w:rPr>
                <w:b/>
              </w:rPr>
            </w:pPr>
            <w:r>
              <w:rPr>
                <w:b/>
              </w:rPr>
              <w:t>3</w:t>
            </w:r>
          </w:p>
        </w:tc>
        <w:tc>
          <w:tcPr>
            <w:tcW w:w="900" w:type="dxa"/>
            <w:tcBorders>
              <w:top w:val="single" w:sz="4" w:space="0" w:color="auto"/>
            </w:tcBorders>
            <w:vAlign w:val="center"/>
          </w:tcPr>
          <w:p w14:paraId="6418D791" w14:textId="77777777" w:rsidR="005E413D" w:rsidRPr="008A0924" w:rsidRDefault="005E413D" w:rsidP="0051290E">
            <w:pPr>
              <w:pStyle w:val="TableText0"/>
              <w:spacing w:before="40" w:after="40"/>
              <w:jc w:val="center"/>
              <w:rPr>
                <w:b/>
              </w:rPr>
            </w:pPr>
            <w:r>
              <w:rPr>
                <w:b/>
              </w:rPr>
              <w:t>3</w:t>
            </w:r>
          </w:p>
        </w:tc>
        <w:tc>
          <w:tcPr>
            <w:tcW w:w="810" w:type="dxa"/>
            <w:tcBorders>
              <w:top w:val="single" w:sz="4" w:space="0" w:color="auto"/>
            </w:tcBorders>
            <w:vAlign w:val="center"/>
          </w:tcPr>
          <w:p w14:paraId="2812D4AE" w14:textId="77777777" w:rsidR="005E413D" w:rsidRDefault="005E413D" w:rsidP="0051290E">
            <w:pPr>
              <w:pStyle w:val="TableText0"/>
              <w:spacing w:before="40" w:after="40"/>
              <w:jc w:val="center"/>
              <w:rPr>
                <w:b/>
              </w:rPr>
            </w:pPr>
            <w:r>
              <w:rPr>
                <w:b/>
              </w:rPr>
              <w:t>3</w:t>
            </w:r>
          </w:p>
        </w:tc>
        <w:tc>
          <w:tcPr>
            <w:tcW w:w="900" w:type="dxa"/>
            <w:tcBorders>
              <w:top w:val="single" w:sz="4" w:space="0" w:color="auto"/>
            </w:tcBorders>
          </w:tcPr>
          <w:p w14:paraId="7575EC7A" w14:textId="77777777" w:rsidR="005E413D" w:rsidRDefault="005E413D" w:rsidP="0051290E">
            <w:pPr>
              <w:pStyle w:val="TableText0"/>
              <w:spacing w:before="40" w:after="40"/>
              <w:jc w:val="center"/>
              <w:rPr>
                <w:b/>
              </w:rPr>
            </w:pPr>
            <w:r>
              <w:rPr>
                <w:b/>
              </w:rPr>
              <w:t>Y</w:t>
            </w:r>
          </w:p>
        </w:tc>
        <w:tc>
          <w:tcPr>
            <w:tcW w:w="1350" w:type="dxa"/>
            <w:tcBorders>
              <w:top w:val="single" w:sz="4" w:space="0" w:color="auto"/>
            </w:tcBorders>
            <w:vAlign w:val="center"/>
          </w:tcPr>
          <w:p w14:paraId="47FDF949" w14:textId="77777777" w:rsidR="005E413D" w:rsidRPr="008A0924" w:rsidRDefault="005E413D" w:rsidP="0051290E">
            <w:pPr>
              <w:pStyle w:val="TableText0"/>
              <w:spacing w:before="40" w:after="40"/>
              <w:jc w:val="center"/>
              <w:rPr>
                <w:b/>
              </w:rPr>
            </w:pPr>
            <w:r>
              <w:rPr>
                <w:b/>
              </w:rPr>
              <w:t>3</w:t>
            </w:r>
          </w:p>
        </w:tc>
        <w:tc>
          <w:tcPr>
            <w:tcW w:w="1350" w:type="dxa"/>
            <w:tcBorders>
              <w:top w:val="single" w:sz="4" w:space="0" w:color="auto"/>
            </w:tcBorders>
          </w:tcPr>
          <w:p w14:paraId="75512DD3" w14:textId="77777777" w:rsidR="005E413D" w:rsidRDefault="005E413D" w:rsidP="0051290E">
            <w:pPr>
              <w:pStyle w:val="TableText0"/>
              <w:spacing w:before="40" w:after="40"/>
              <w:jc w:val="center"/>
              <w:rPr>
                <w:b/>
              </w:rPr>
            </w:pPr>
            <w:r>
              <w:rPr>
                <w:b/>
              </w:rPr>
              <w:t>3</w:t>
            </w:r>
          </w:p>
        </w:tc>
      </w:tr>
      <w:tr w:rsidR="005E413D" w:rsidRPr="008A0924" w14:paraId="3B683B68" w14:textId="77777777" w:rsidTr="00DB42E5">
        <w:tc>
          <w:tcPr>
            <w:tcW w:w="4680" w:type="dxa"/>
            <w:tcBorders>
              <w:top w:val="single" w:sz="4" w:space="0" w:color="auto"/>
            </w:tcBorders>
            <w:vAlign w:val="center"/>
          </w:tcPr>
          <w:p w14:paraId="33AD6DB2" w14:textId="77777777" w:rsidR="005E413D" w:rsidRDefault="005E413D" w:rsidP="00243BC8">
            <w:pPr>
              <w:pStyle w:val="TableText0"/>
              <w:spacing w:before="40" w:after="40"/>
              <w:ind w:left="285"/>
            </w:pPr>
            <w:r>
              <w:t xml:space="preserve">Benthic or floating macroalgal percent cover </w:t>
            </w:r>
          </w:p>
        </w:tc>
        <w:tc>
          <w:tcPr>
            <w:tcW w:w="990" w:type="dxa"/>
            <w:tcBorders>
              <w:top w:val="single" w:sz="4" w:space="0" w:color="auto"/>
            </w:tcBorders>
          </w:tcPr>
          <w:p w14:paraId="1F5608F4" w14:textId="77777777" w:rsidR="005E413D" w:rsidRDefault="005E413D" w:rsidP="0051290E">
            <w:pPr>
              <w:pStyle w:val="TableText0"/>
              <w:spacing w:before="40" w:after="40"/>
              <w:jc w:val="center"/>
              <w:rPr>
                <w:b/>
              </w:rPr>
            </w:pPr>
            <w:r>
              <w:rPr>
                <w:b/>
              </w:rPr>
              <w:t>3</w:t>
            </w:r>
          </w:p>
        </w:tc>
        <w:tc>
          <w:tcPr>
            <w:tcW w:w="720" w:type="dxa"/>
            <w:tcBorders>
              <w:top w:val="single" w:sz="4" w:space="0" w:color="auto"/>
            </w:tcBorders>
          </w:tcPr>
          <w:p w14:paraId="42A23076" w14:textId="77777777" w:rsidR="005E413D" w:rsidRDefault="005E413D" w:rsidP="0051290E">
            <w:pPr>
              <w:pStyle w:val="TableText0"/>
              <w:spacing w:before="40" w:after="40"/>
              <w:jc w:val="center"/>
              <w:rPr>
                <w:b/>
              </w:rPr>
            </w:pPr>
            <w:r>
              <w:rPr>
                <w:b/>
              </w:rPr>
              <w:t>AL, H</w:t>
            </w:r>
          </w:p>
        </w:tc>
        <w:tc>
          <w:tcPr>
            <w:tcW w:w="1080" w:type="dxa"/>
            <w:tcBorders>
              <w:top w:val="single" w:sz="4" w:space="0" w:color="auto"/>
            </w:tcBorders>
            <w:vAlign w:val="center"/>
          </w:tcPr>
          <w:p w14:paraId="632A0511" w14:textId="77777777" w:rsidR="005E413D" w:rsidRDefault="005E413D" w:rsidP="0051290E">
            <w:pPr>
              <w:pStyle w:val="TableText0"/>
              <w:spacing w:before="40" w:after="40"/>
              <w:jc w:val="center"/>
              <w:rPr>
                <w:b/>
              </w:rPr>
            </w:pPr>
            <w:r>
              <w:rPr>
                <w:b/>
              </w:rPr>
              <w:t>1</w:t>
            </w:r>
          </w:p>
        </w:tc>
        <w:tc>
          <w:tcPr>
            <w:tcW w:w="900" w:type="dxa"/>
            <w:tcBorders>
              <w:top w:val="single" w:sz="4" w:space="0" w:color="auto"/>
            </w:tcBorders>
            <w:vAlign w:val="center"/>
          </w:tcPr>
          <w:p w14:paraId="5E115416" w14:textId="77777777" w:rsidR="005E413D" w:rsidRPr="008A0924" w:rsidRDefault="005E413D" w:rsidP="0051290E">
            <w:pPr>
              <w:pStyle w:val="TableText0"/>
              <w:spacing w:before="40" w:after="40"/>
              <w:jc w:val="center"/>
              <w:rPr>
                <w:b/>
              </w:rPr>
            </w:pPr>
            <w:r>
              <w:rPr>
                <w:b/>
              </w:rPr>
              <w:t>3</w:t>
            </w:r>
          </w:p>
        </w:tc>
        <w:tc>
          <w:tcPr>
            <w:tcW w:w="810" w:type="dxa"/>
            <w:tcBorders>
              <w:top w:val="single" w:sz="4" w:space="0" w:color="auto"/>
            </w:tcBorders>
            <w:vAlign w:val="center"/>
          </w:tcPr>
          <w:p w14:paraId="59D3B3F2" w14:textId="77777777" w:rsidR="005E413D" w:rsidRDefault="005E413D" w:rsidP="0051290E">
            <w:pPr>
              <w:pStyle w:val="TableText0"/>
              <w:spacing w:before="40" w:after="40"/>
              <w:jc w:val="center"/>
              <w:rPr>
                <w:b/>
              </w:rPr>
            </w:pPr>
            <w:r>
              <w:rPr>
                <w:b/>
              </w:rPr>
              <w:t>3</w:t>
            </w:r>
          </w:p>
        </w:tc>
        <w:tc>
          <w:tcPr>
            <w:tcW w:w="900" w:type="dxa"/>
            <w:tcBorders>
              <w:top w:val="single" w:sz="4" w:space="0" w:color="auto"/>
            </w:tcBorders>
          </w:tcPr>
          <w:p w14:paraId="29AB3098" w14:textId="77777777" w:rsidR="005E413D" w:rsidRPr="008A0924" w:rsidRDefault="005E413D" w:rsidP="0051290E">
            <w:pPr>
              <w:pStyle w:val="TableText0"/>
              <w:spacing w:before="40" w:after="40"/>
              <w:jc w:val="center"/>
              <w:rPr>
                <w:b/>
              </w:rPr>
            </w:pPr>
            <w:r>
              <w:rPr>
                <w:b/>
              </w:rPr>
              <w:t>Y</w:t>
            </w:r>
          </w:p>
        </w:tc>
        <w:tc>
          <w:tcPr>
            <w:tcW w:w="1350" w:type="dxa"/>
            <w:tcBorders>
              <w:top w:val="single" w:sz="4" w:space="0" w:color="auto"/>
            </w:tcBorders>
            <w:vAlign w:val="center"/>
          </w:tcPr>
          <w:p w14:paraId="2773FD5A" w14:textId="77777777" w:rsidR="005E413D" w:rsidRPr="008A0924" w:rsidRDefault="005E413D" w:rsidP="0051290E">
            <w:pPr>
              <w:pStyle w:val="TableText0"/>
              <w:spacing w:before="40" w:after="40"/>
              <w:jc w:val="center"/>
              <w:rPr>
                <w:b/>
              </w:rPr>
            </w:pPr>
            <w:r>
              <w:rPr>
                <w:b/>
              </w:rPr>
              <w:t>1</w:t>
            </w:r>
          </w:p>
        </w:tc>
        <w:tc>
          <w:tcPr>
            <w:tcW w:w="1350" w:type="dxa"/>
            <w:tcBorders>
              <w:top w:val="single" w:sz="4" w:space="0" w:color="auto"/>
            </w:tcBorders>
          </w:tcPr>
          <w:p w14:paraId="27CB4023" w14:textId="77777777" w:rsidR="005E413D" w:rsidRPr="008A0924" w:rsidRDefault="00827C63" w:rsidP="0051290E">
            <w:pPr>
              <w:pStyle w:val="TableText0"/>
              <w:spacing w:before="40" w:after="40"/>
              <w:jc w:val="center"/>
              <w:rPr>
                <w:b/>
              </w:rPr>
            </w:pPr>
            <w:r>
              <w:rPr>
                <w:b/>
              </w:rPr>
              <w:t xml:space="preserve">AL= 1, H = </w:t>
            </w:r>
            <w:r w:rsidR="005E413D">
              <w:rPr>
                <w:b/>
              </w:rPr>
              <w:t>3</w:t>
            </w:r>
          </w:p>
        </w:tc>
      </w:tr>
      <w:tr w:rsidR="005E413D" w:rsidRPr="008A0924" w14:paraId="4BC827B0" w14:textId="77777777" w:rsidTr="00DB42E5">
        <w:tc>
          <w:tcPr>
            <w:tcW w:w="4680" w:type="dxa"/>
            <w:tcBorders>
              <w:top w:val="single" w:sz="4" w:space="0" w:color="auto"/>
            </w:tcBorders>
            <w:vAlign w:val="center"/>
          </w:tcPr>
          <w:p w14:paraId="28BBE391" w14:textId="77777777" w:rsidR="005E413D" w:rsidRDefault="005E413D" w:rsidP="00243BC8">
            <w:pPr>
              <w:pStyle w:val="TableText0"/>
              <w:spacing w:before="40" w:after="40"/>
              <w:ind w:left="285"/>
            </w:pPr>
            <w:r>
              <w:t>Benthic or planktonic AFDM, or organic C, N</w:t>
            </w:r>
            <w:r w:rsidR="00DB42E5">
              <w:t xml:space="preserve">, </w:t>
            </w:r>
            <w:r>
              <w:t xml:space="preserve">P </w:t>
            </w:r>
          </w:p>
        </w:tc>
        <w:tc>
          <w:tcPr>
            <w:tcW w:w="990" w:type="dxa"/>
            <w:tcBorders>
              <w:top w:val="single" w:sz="4" w:space="0" w:color="auto"/>
            </w:tcBorders>
          </w:tcPr>
          <w:p w14:paraId="4B1602E6" w14:textId="77777777" w:rsidR="005E413D" w:rsidRDefault="005E413D" w:rsidP="0051290E">
            <w:pPr>
              <w:pStyle w:val="TableText0"/>
              <w:spacing w:before="40" w:after="40"/>
              <w:jc w:val="center"/>
              <w:rPr>
                <w:b/>
              </w:rPr>
            </w:pPr>
            <w:r>
              <w:rPr>
                <w:b/>
              </w:rPr>
              <w:t>3</w:t>
            </w:r>
          </w:p>
        </w:tc>
        <w:tc>
          <w:tcPr>
            <w:tcW w:w="720" w:type="dxa"/>
            <w:tcBorders>
              <w:top w:val="single" w:sz="4" w:space="0" w:color="auto"/>
            </w:tcBorders>
          </w:tcPr>
          <w:p w14:paraId="267A0780" w14:textId="77777777" w:rsidR="005E413D" w:rsidRDefault="005E413D" w:rsidP="0051290E">
            <w:pPr>
              <w:pStyle w:val="TableText0"/>
              <w:spacing w:before="40" w:after="40"/>
              <w:jc w:val="center"/>
              <w:rPr>
                <w:b/>
              </w:rPr>
            </w:pPr>
            <w:r>
              <w:rPr>
                <w:b/>
              </w:rPr>
              <w:t>AL</w:t>
            </w:r>
          </w:p>
        </w:tc>
        <w:tc>
          <w:tcPr>
            <w:tcW w:w="1080" w:type="dxa"/>
            <w:tcBorders>
              <w:top w:val="single" w:sz="4" w:space="0" w:color="auto"/>
            </w:tcBorders>
            <w:vAlign w:val="center"/>
          </w:tcPr>
          <w:p w14:paraId="327E7A17" w14:textId="77777777" w:rsidR="005E413D" w:rsidRDefault="005E413D" w:rsidP="0051290E">
            <w:pPr>
              <w:pStyle w:val="TableText0"/>
              <w:spacing w:before="40" w:after="40"/>
              <w:jc w:val="center"/>
              <w:rPr>
                <w:b/>
              </w:rPr>
            </w:pPr>
            <w:r>
              <w:rPr>
                <w:b/>
              </w:rPr>
              <w:t>3</w:t>
            </w:r>
          </w:p>
        </w:tc>
        <w:tc>
          <w:tcPr>
            <w:tcW w:w="900" w:type="dxa"/>
            <w:tcBorders>
              <w:top w:val="single" w:sz="4" w:space="0" w:color="auto"/>
            </w:tcBorders>
            <w:vAlign w:val="center"/>
          </w:tcPr>
          <w:p w14:paraId="391E8DDC" w14:textId="77777777" w:rsidR="005E413D" w:rsidRPr="008A0924" w:rsidRDefault="005E413D" w:rsidP="0051290E">
            <w:pPr>
              <w:pStyle w:val="TableText0"/>
              <w:spacing w:before="40" w:after="40"/>
              <w:jc w:val="center"/>
              <w:rPr>
                <w:b/>
              </w:rPr>
            </w:pPr>
            <w:r>
              <w:rPr>
                <w:b/>
              </w:rPr>
              <w:t>3</w:t>
            </w:r>
          </w:p>
        </w:tc>
        <w:tc>
          <w:tcPr>
            <w:tcW w:w="810" w:type="dxa"/>
            <w:tcBorders>
              <w:top w:val="single" w:sz="4" w:space="0" w:color="auto"/>
            </w:tcBorders>
            <w:vAlign w:val="center"/>
          </w:tcPr>
          <w:p w14:paraId="64351207" w14:textId="77777777" w:rsidR="005E413D" w:rsidRDefault="005E413D" w:rsidP="0051290E">
            <w:pPr>
              <w:pStyle w:val="TableText0"/>
              <w:spacing w:before="40" w:after="40"/>
              <w:jc w:val="center"/>
              <w:rPr>
                <w:b/>
              </w:rPr>
            </w:pPr>
            <w:r>
              <w:rPr>
                <w:b/>
              </w:rPr>
              <w:t>3</w:t>
            </w:r>
          </w:p>
        </w:tc>
        <w:tc>
          <w:tcPr>
            <w:tcW w:w="900" w:type="dxa"/>
            <w:tcBorders>
              <w:top w:val="single" w:sz="4" w:space="0" w:color="auto"/>
            </w:tcBorders>
          </w:tcPr>
          <w:p w14:paraId="63017FF7" w14:textId="77777777" w:rsidR="005E413D" w:rsidRDefault="005E413D" w:rsidP="0051290E">
            <w:pPr>
              <w:pStyle w:val="TableText0"/>
              <w:spacing w:before="40" w:after="40"/>
              <w:jc w:val="center"/>
              <w:rPr>
                <w:b/>
              </w:rPr>
            </w:pPr>
            <w:r>
              <w:rPr>
                <w:b/>
              </w:rPr>
              <w:t>Y</w:t>
            </w:r>
          </w:p>
        </w:tc>
        <w:tc>
          <w:tcPr>
            <w:tcW w:w="1350" w:type="dxa"/>
            <w:tcBorders>
              <w:top w:val="single" w:sz="4" w:space="0" w:color="auto"/>
            </w:tcBorders>
            <w:vAlign w:val="center"/>
          </w:tcPr>
          <w:p w14:paraId="4B971660" w14:textId="77777777" w:rsidR="005E413D" w:rsidRPr="008A0924" w:rsidRDefault="005E413D" w:rsidP="0051290E">
            <w:pPr>
              <w:pStyle w:val="TableText0"/>
              <w:spacing w:before="40" w:after="40"/>
              <w:jc w:val="center"/>
              <w:rPr>
                <w:b/>
              </w:rPr>
            </w:pPr>
            <w:r>
              <w:rPr>
                <w:b/>
              </w:rPr>
              <w:t>3</w:t>
            </w:r>
          </w:p>
        </w:tc>
        <w:tc>
          <w:tcPr>
            <w:tcW w:w="1350" w:type="dxa"/>
            <w:tcBorders>
              <w:top w:val="single" w:sz="4" w:space="0" w:color="auto"/>
            </w:tcBorders>
          </w:tcPr>
          <w:p w14:paraId="7E422D13" w14:textId="77777777" w:rsidR="005E413D" w:rsidRDefault="005E413D" w:rsidP="0051290E">
            <w:pPr>
              <w:pStyle w:val="TableText0"/>
              <w:spacing w:before="40" w:after="40"/>
              <w:jc w:val="center"/>
              <w:rPr>
                <w:b/>
              </w:rPr>
            </w:pPr>
            <w:r>
              <w:rPr>
                <w:b/>
              </w:rPr>
              <w:t>3</w:t>
            </w:r>
          </w:p>
        </w:tc>
      </w:tr>
      <w:tr w:rsidR="005E413D" w:rsidRPr="008A0924" w14:paraId="2BBF6EE5" w14:textId="77777777" w:rsidTr="00DB42E5">
        <w:tc>
          <w:tcPr>
            <w:tcW w:w="4680" w:type="dxa"/>
            <w:tcBorders>
              <w:top w:val="single" w:sz="4" w:space="0" w:color="auto"/>
            </w:tcBorders>
            <w:vAlign w:val="center"/>
          </w:tcPr>
          <w:p w14:paraId="58A77975" w14:textId="77777777" w:rsidR="005E413D" w:rsidRDefault="005E413D" w:rsidP="00243BC8">
            <w:pPr>
              <w:pStyle w:val="TableText0"/>
              <w:spacing w:before="40" w:after="40"/>
              <w:ind w:left="285"/>
            </w:pPr>
            <w:r>
              <w:t xml:space="preserve">Aquatic macrophytes: biomass, shoot height, density </w:t>
            </w:r>
          </w:p>
        </w:tc>
        <w:tc>
          <w:tcPr>
            <w:tcW w:w="990" w:type="dxa"/>
            <w:tcBorders>
              <w:top w:val="single" w:sz="4" w:space="0" w:color="auto"/>
            </w:tcBorders>
          </w:tcPr>
          <w:p w14:paraId="2BEB5446" w14:textId="77777777" w:rsidR="005E413D" w:rsidRDefault="005E413D" w:rsidP="0051290E">
            <w:pPr>
              <w:pStyle w:val="TableText0"/>
              <w:spacing w:before="40" w:after="40"/>
              <w:jc w:val="center"/>
              <w:rPr>
                <w:b/>
              </w:rPr>
            </w:pPr>
            <w:r>
              <w:rPr>
                <w:b/>
              </w:rPr>
              <w:t>2</w:t>
            </w:r>
          </w:p>
        </w:tc>
        <w:tc>
          <w:tcPr>
            <w:tcW w:w="720" w:type="dxa"/>
            <w:tcBorders>
              <w:top w:val="single" w:sz="4" w:space="0" w:color="auto"/>
            </w:tcBorders>
          </w:tcPr>
          <w:p w14:paraId="7E0CC1F1" w14:textId="77777777" w:rsidR="005E413D" w:rsidRDefault="005E413D" w:rsidP="0051290E">
            <w:pPr>
              <w:pStyle w:val="TableText0"/>
              <w:spacing w:before="40" w:after="40"/>
              <w:jc w:val="center"/>
              <w:rPr>
                <w:b/>
              </w:rPr>
            </w:pPr>
            <w:r>
              <w:rPr>
                <w:b/>
              </w:rPr>
              <w:t>AL</w:t>
            </w:r>
          </w:p>
        </w:tc>
        <w:tc>
          <w:tcPr>
            <w:tcW w:w="1080" w:type="dxa"/>
            <w:tcBorders>
              <w:top w:val="single" w:sz="4" w:space="0" w:color="auto"/>
            </w:tcBorders>
            <w:vAlign w:val="center"/>
          </w:tcPr>
          <w:p w14:paraId="4A792373" w14:textId="77777777" w:rsidR="005E413D" w:rsidRDefault="005E413D" w:rsidP="0051290E">
            <w:pPr>
              <w:pStyle w:val="TableText0"/>
              <w:spacing w:before="40" w:after="40"/>
              <w:jc w:val="center"/>
              <w:rPr>
                <w:b/>
              </w:rPr>
            </w:pPr>
          </w:p>
        </w:tc>
        <w:tc>
          <w:tcPr>
            <w:tcW w:w="900" w:type="dxa"/>
            <w:tcBorders>
              <w:top w:val="single" w:sz="4" w:space="0" w:color="auto"/>
            </w:tcBorders>
            <w:vAlign w:val="center"/>
          </w:tcPr>
          <w:p w14:paraId="2451D802" w14:textId="77777777" w:rsidR="005E413D" w:rsidRPr="008A0924" w:rsidRDefault="005E413D" w:rsidP="0051290E">
            <w:pPr>
              <w:pStyle w:val="TableText0"/>
              <w:spacing w:before="40" w:after="40"/>
              <w:jc w:val="center"/>
              <w:rPr>
                <w:b/>
              </w:rPr>
            </w:pPr>
            <w:r>
              <w:rPr>
                <w:b/>
              </w:rPr>
              <w:t>1</w:t>
            </w:r>
          </w:p>
        </w:tc>
        <w:tc>
          <w:tcPr>
            <w:tcW w:w="810" w:type="dxa"/>
            <w:tcBorders>
              <w:top w:val="single" w:sz="4" w:space="0" w:color="auto"/>
            </w:tcBorders>
            <w:vAlign w:val="center"/>
          </w:tcPr>
          <w:p w14:paraId="72D88769" w14:textId="77777777" w:rsidR="005E413D" w:rsidRDefault="005E413D" w:rsidP="0051290E">
            <w:pPr>
              <w:pStyle w:val="TableText0"/>
              <w:spacing w:before="40" w:after="40"/>
              <w:jc w:val="center"/>
              <w:rPr>
                <w:b/>
              </w:rPr>
            </w:pPr>
            <w:r>
              <w:rPr>
                <w:b/>
              </w:rPr>
              <w:t>1</w:t>
            </w:r>
          </w:p>
        </w:tc>
        <w:tc>
          <w:tcPr>
            <w:tcW w:w="900" w:type="dxa"/>
            <w:tcBorders>
              <w:top w:val="single" w:sz="4" w:space="0" w:color="auto"/>
            </w:tcBorders>
          </w:tcPr>
          <w:p w14:paraId="77CFBA4E" w14:textId="77777777" w:rsidR="005E413D" w:rsidRDefault="005E413D" w:rsidP="0051290E">
            <w:pPr>
              <w:pStyle w:val="TableText0"/>
              <w:spacing w:before="40" w:after="40"/>
              <w:jc w:val="center"/>
              <w:rPr>
                <w:b/>
              </w:rPr>
            </w:pPr>
          </w:p>
        </w:tc>
        <w:tc>
          <w:tcPr>
            <w:tcW w:w="1350" w:type="dxa"/>
            <w:tcBorders>
              <w:top w:val="single" w:sz="4" w:space="0" w:color="auto"/>
            </w:tcBorders>
            <w:vAlign w:val="center"/>
          </w:tcPr>
          <w:p w14:paraId="772B4994" w14:textId="77777777" w:rsidR="005E413D" w:rsidRPr="008A0924" w:rsidRDefault="005E413D" w:rsidP="0051290E">
            <w:pPr>
              <w:pStyle w:val="TableText0"/>
              <w:spacing w:before="40" w:after="40"/>
              <w:jc w:val="center"/>
              <w:rPr>
                <w:b/>
              </w:rPr>
            </w:pPr>
            <w:r>
              <w:rPr>
                <w:b/>
              </w:rPr>
              <w:t>1</w:t>
            </w:r>
          </w:p>
        </w:tc>
        <w:tc>
          <w:tcPr>
            <w:tcW w:w="1350" w:type="dxa"/>
            <w:tcBorders>
              <w:top w:val="single" w:sz="4" w:space="0" w:color="auto"/>
            </w:tcBorders>
          </w:tcPr>
          <w:p w14:paraId="52B2ADB9" w14:textId="77777777" w:rsidR="005E413D" w:rsidRDefault="005E413D" w:rsidP="0051290E">
            <w:pPr>
              <w:pStyle w:val="TableText0"/>
              <w:spacing w:before="40" w:after="40"/>
              <w:jc w:val="center"/>
              <w:rPr>
                <w:b/>
              </w:rPr>
            </w:pPr>
          </w:p>
        </w:tc>
      </w:tr>
      <w:tr w:rsidR="005E413D" w:rsidRPr="008A0924" w14:paraId="6B0209C5" w14:textId="77777777" w:rsidTr="00DB42E5">
        <w:tc>
          <w:tcPr>
            <w:tcW w:w="4680" w:type="dxa"/>
            <w:tcBorders>
              <w:top w:val="single" w:sz="4" w:space="0" w:color="auto"/>
            </w:tcBorders>
            <w:vAlign w:val="center"/>
          </w:tcPr>
          <w:p w14:paraId="6A0E151D" w14:textId="77777777" w:rsidR="005E413D" w:rsidRDefault="005E413D" w:rsidP="00243BC8">
            <w:pPr>
              <w:pStyle w:val="TableText0"/>
              <w:spacing w:before="40" w:after="40"/>
              <w:ind w:left="285"/>
            </w:pPr>
            <w:r>
              <w:t>Aquatic macrophyte percent cover</w:t>
            </w:r>
          </w:p>
        </w:tc>
        <w:tc>
          <w:tcPr>
            <w:tcW w:w="990" w:type="dxa"/>
            <w:tcBorders>
              <w:top w:val="single" w:sz="4" w:space="0" w:color="auto"/>
            </w:tcBorders>
          </w:tcPr>
          <w:p w14:paraId="394CF624" w14:textId="77777777" w:rsidR="005E413D" w:rsidRDefault="005E413D" w:rsidP="0051290E">
            <w:pPr>
              <w:pStyle w:val="TableText0"/>
              <w:spacing w:before="40" w:after="40"/>
              <w:jc w:val="center"/>
              <w:rPr>
                <w:b/>
              </w:rPr>
            </w:pPr>
            <w:r>
              <w:rPr>
                <w:b/>
              </w:rPr>
              <w:t>1</w:t>
            </w:r>
          </w:p>
        </w:tc>
        <w:tc>
          <w:tcPr>
            <w:tcW w:w="720" w:type="dxa"/>
            <w:tcBorders>
              <w:top w:val="single" w:sz="4" w:space="0" w:color="auto"/>
            </w:tcBorders>
          </w:tcPr>
          <w:p w14:paraId="588B9F8A" w14:textId="77777777" w:rsidR="005E413D" w:rsidRDefault="005E413D" w:rsidP="0051290E">
            <w:pPr>
              <w:pStyle w:val="TableText0"/>
              <w:spacing w:before="40" w:after="40"/>
              <w:jc w:val="center"/>
              <w:rPr>
                <w:b/>
              </w:rPr>
            </w:pPr>
            <w:r>
              <w:rPr>
                <w:b/>
              </w:rPr>
              <w:t>AL</w:t>
            </w:r>
          </w:p>
        </w:tc>
        <w:tc>
          <w:tcPr>
            <w:tcW w:w="1080" w:type="dxa"/>
            <w:tcBorders>
              <w:top w:val="single" w:sz="4" w:space="0" w:color="auto"/>
            </w:tcBorders>
            <w:vAlign w:val="center"/>
          </w:tcPr>
          <w:p w14:paraId="7F745083" w14:textId="77777777" w:rsidR="005E413D" w:rsidRDefault="005E413D" w:rsidP="0051290E">
            <w:pPr>
              <w:pStyle w:val="TableText0"/>
              <w:spacing w:before="40" w:after="40"/>
              <w:jc w:val="center"/>
              <w:rPr>
                <w:b/>
              </w:rPr>
            </w:pPr>
          </w:p>
        </w:tc>
        <w:tc>
          <w:tcPr>
            <w:tcW w:w="900" w:type="dxa"/>
            <w:tcBorders>
              <w:top w:val="single" w:sz="4" w:space="0" w:color="auto"/>
            </w:tcBorders>
            <w:vAlign w:val="center"/>
          </w:tcPr>
          <w:p w14:paraId="2C41BA8F" w14:textId="77777777" w:rsidR="005E413D" w:rsidRDefault="005E413D" w:rsidP="0051290E">
            <w:pPr>
              <w:pStyle w:val="TableText0"/>
              <w:spacing w:before="40" w:after="40"/>
              <w:jc w:val="center"/>
              <w:rPr>
                <w:b/>
              </w:rPr>
            </w:pPr>
            <w:r>
              <w:rPr>
                <w:b/>
              </w:rPr>
              <w:t>3</w:t>
            </w:r>
          </w:p>
        </w:tc>
        <w:tc>
          <w:tcPr>
            <w:tcW w:w="810" w:type="dxa"/>
            <w:tcBorders>
              <w:top w:val="single" w:sz="4" w:space="0" w:color="auto"/>
            </w:tcBorders>
            <w:vAlign w:val="center"/>
          </w:tcPr>
          <w:p w14:paraId="709EDB49" w14:textId="77777777" w:rsidR="005E413D" w:rsidRDefault="005E413D" w:rsidP="0051290E">
            <w:pPr>
              <w:pStyle w:val="TableText0"/>
              <w:spacing w:before="40" w:after="40"/>
              <w:jc w:val="center"/>
              <w:rPr>
                <w:b/>
              </w:rPr>
            </w:pPr>
            <w:r>
              <w:rPr>
                <w:b/>
              </w:rPr>
              <w:t>3</w:t>
            </w:r>
          </w:p>
        </w:tc>
        <w:tc>
          <w:tcPr>
            <w:tcW w:w="900" w:type="dxa"/>
            <w:tcBorders>
              <w:top w:val="single" w:sz="4" w:space="0" w:color="auto"/>
            </w:tcBorders>
          </w:tcPr>
          <w:p w14:paraId="194F6979" w14:textId="77777777" w:rsidR="005E413D" w:rsidRDefault="005E413D" w:rsidP="0051290E">
            <w:pPr>
              <w:pStyle w:val="TableText0"/>
              <w:spacing w:before="40" w:after="40"/>
              <w:jc w:val="center"/>
              <w:rPr>
                <w:b/>
              </w:rPr>
            </w:pPr>
            <w:r>
              <w:rPr>
                <w:b/>
              </w:rPr>
              <w:t>Y</w:t>
            </w:r>
          </w:p>
        </w:tc>
        <w:tc>
          <w:tcPr>
            <w:tcW w:w="1350" w:type="dxa"/>
            <w:tcBorders>
              <w:top w:val="single" w:sz="4" w:space="0" w:color="auto"/>
            </w:tcBorders>
            <w:vAlign w:val="center"/>
          </w:tcPr>
          <w:p w14:paraId="168DF471" w14:textId="77777777" w:rsidR="005E413D" w:rsidRDefault="005E413D" w:rsidP="0051290E">
            <w:pPr>
              <w:pStyle w:val="TableText0"/>
              <w:spacing w:before="40" w:after="40"/>
              <w:jc w:val="center"/>
              <w:rPr>
                <w:b/>
              </w:rPr>
            </w:pPr>
            <w:r>
              <w:rPr>
                <w:b/>
              </w:rPr>
              <w:t>1</w:t>
            </w:r>
          </w:p>
        </w:tc>
        <w:tc>
          <w:tcPr>
            <w:tcW w:w="1350" w:type="dxa"/>
            <w:tcBorders>
              <w:top w:val="single" w:sz="4" w:space="0" w:color="auto"/>
            </w:tcBorders>
          </w:tcPr>
          <w:p w14:paraId="5EE75057" w14:textId="77777777" w:rsidR="005E413D" w:rsidRDefault="005E413D" w:rsidP="0051290E">
            <w:pPr>
              <w:pStyle w:val="TableText0"/>
              <w:spacing w:before="40" w:after="40"/>
              <w:jc w:val="center"/>
              <w:rPr>
                <w:b/>
              </w:rPr>
            </w:pPr>
          </w:p>
        </w:tc>
      </w:tr>
      <w:tr w:rsidR="005E413D" w:rsidRPr="008A0924" w14:paraId="051D1ECE" w14:textId="77777777" w:rsidTr="00DB42E5">
        <w:tc>
          <w:tcPr>
            <w:tcW w:w="12780" w:type="dxa"/>
            <w:gridSpan w:val="9"/>
            <w:tcBorders>
              <w:top w:val="single" w:sz="4" w:space="0" w:color="auto"/>
            </w:tcBorders>
          </w:tcPr>
          <w:p w14:paraId="483DC78C" w14:textId="77777777" w:rsidR="005E413D" w:rsidRPr="00344AD0" w:rsidRDefault="005E413D" w:rsidP="0051290E">
            <w:pPr>
              <w:pStyle w:val="TableText0"/>
              <w:spacing w:before="40" w:after="40"/>
              <w:rPr>
                <w:b/>
                <w:i/>
              </w:rPr>
            </w:pPr>
            <w:r w:rsidRPr="00344AD0">
              <w:rPr>
                <w:b/>
                <w:i/>
              </w:rPr>
              <w:t>Water and Benthic Chemistry</w:t>
            </w:r>
          </w:p>
        </w:tc>
      </w:tr>
      <w:tr w:rsidR="005E413D" w:rsidRPr="008A0924" w14:paraId="0B8C082F" w14:textId="77777777" w:rsidTr="00DB42E5">
        <w:tc>
          <w:tcPr>
            <w:tcW w:w="4680" w:type="dxa"/>
            <w:tcBorders>
              <w:top w:val="single" w:sz="4" w:space="0" w:color="auto"/>
            </w:tcBorders>
            <w:vAlign w:val="center"/>
          </w:tcPr>
          <w:p w14:paraId="49336940" w14:textId="77777777" w:rsidR="005E413D" w:rsidRDefault="005E413D" w:rsidP="00243BC8">
            <w:pPr>
              <w:pStyle w:val="TableText0"/>
              <w:spacing w:before="40" w:after="40"/>
              <w:ind w:left="285"/>
            </w:pPr>
            <w:r>
              <w:t xml:space="preserve">Continuous DO </w:t>
            </w:r>
            <w:r w:rsidR="00500645">
              <w:t xml:space="preserve">and pH; </w:t>
            </w:r>
            <w:r>
              <w:t>Diel range</w:t>
            </w:r>
          </w:p>
        </w:tc>
        <w:tc>
          <w:tcPr>
            <w:tcW w:w="990" w:type="dxa"/>
            <w:tcBorders>
              <w:top w:val="single" w:sz="4" w:space="0" w:color="auto"/>
            </w:tcBorders>
          </w:tcPr>
          <w:p w14:paraId="5459A0BA" w14:textId="77777777" w:rsidR="005E413D" w:rsidRDefault="005E413D" w:rsidP="0051290E">
            <w:pPr>
              <w:pStyle w:val="TableText0"/>
              <w:spacing w:before="40" w:after="40"/>
              <w:jc w:val="center"/>
              <w:rPr>
                <w:b/>
              </w:rPr>
            </w:pPr>
            <w:r>
              <w:rPr>
                <w:b/>
              </w:rPr>
              <w:t>3</w:t>
            </w:r>
          </w:p>
        </w:tc>
        <w:tc>
          <w:tcPr>
            <w:tcW w:w="720" w:type="dxa"/>
            <w:tcBorders>
              <w:top w:val="single" w:sz="4" w:space="0" w:color="auto"/>
            </w:tcBorders>
          </w:tcPr>
          <w:p w14:paraId="0D77EFAB" w14:textId="77777777" w:rsidR="005E413D" w:rsidRDefault="005E413D" w:rsidP="0051290E">
            <w:pPr>
              <w:pStyle w:val="TableText0"/>
              <w:spacing w:before="40" w:after="40"/>
              <w:jc w:val="center"/>
              <w:rPr>
                <w:b/>
              </w:rPr>
            </w:pPr>
            <w:r>
              <w:rPr>
                <w:b/>
              </w:rPr>
              <w:t>AL</w:t>
            </w:r>
          </w:p>
        </w:tc>
        <w:tc>
          <w:tcPr>
            <w:tcW w:w="1080" w:type="dxa"/>
            <w:tcBorders>
              <w:top w:val="single" w:sz="4" w:space="0" w:color="auto"/>
            </w:tcBorders>
            <w:vAlign w:val="center"/>
          </w:tcPr>
          <w:p w14:paraId="4D321C68" w14:textId="77777777" w:rsidR="005E413D" w:rsidRDefault="005E413D" w:rsidP="0051290E">
            <w:pPr>
              <w:pStyle w:val="TableText0"/>
              <w:spacing w:before="40" w:after="40"/>
              <w:jc w:val="center"/>
              <w:rPr>
                <w:b/>
              </w:rPr>
            </w:pPr>
            <w:r>
              <w:rPr>
                <w:b/>
              </w:rPr>
              <w:t>3</w:t>
            </w:r>
          </w:p>
        </w:tc>
        <w:tc>
          <w:tcPr>
            <w:tcW w:w="900" w:type="dxa"/>
            <w:tcBorders>
              <w:top w:val="single" w:sz="4" w:space="0" w:color="auto"/>
            </w:tcBorders>
            <w:vAlign w:val="center"/>
          </w:tcPr>
          <w:p w14:paraId="16789ED8" w14:textId="77777777" w:rsidR="005E413D" w:rsidRPr="008A0924" w:rsidRDefault="005E413D" w:rsidP="0051290E">
            <w:pPr>
              <w:pStyle w:val="TableText0"/>
              <w:spacing w:before="40" w:after="40"/>
              <w:jc w:val="center"/>
              <w:rPr>
                <w:b/>
              </w:rPr>
            </w:pPr>
            <w:r>
              <w:rPr>
                <w:b/>
              </w:rPr>
              <w:t>2</w:t>
            </w:r>
          </w:p>
        </w:tc>
        <w:tc>
          <w:tcPr>
            <w:tcW w:w="810" w:type="dxa"/>
            <w:tcBorders>
              <w:top w:val="single" w:sz="4" w:space="0" w:color="auto"/>
            </w:tcBorders>
            <w:vAlign w:val="center"/>
          </w:tcPr>
          <w:p w14:paraId="2C728EE0" w14:textId="77777777" w:rsidR="005E413D" w:rsidRDefault="005E413D" w:rsidP="0051290E">
            <w:pPr>
              <w:pStyle w:val="TableText0"/>
              <w:spacing w:before="40" w:after="40"/>
              <w:jc w:val="center"/>
              <w:rPr>
                <w:b/>
              </w:rPr>
            </w:pPr>
            <w:r>
              <w:rPr>
                <w:b/>
              </w:rPr>
              <w:t>3</w:t>
            </w:r>
          </w:p>
        </w:tc>
        <w:tc>
          <w:tcPr>
            <w:tcW w:w="900" w:type="dxa"/>
            <w:tcBorders>
              <w:top w:val="single" w:sz="4" w:space="0" w:color="auto"/>
            </w:tcBorders>
          </w:tcPr>
          <w:p w14:paraId="41DFE903" w14:textId="77777777" w:rsidR="005E413D" w:rsidRDefault="005E413D" w:rsidP="0051290E">
            <w:pPr>
              <w:pStyle w:val="TableText0"/>
              <w:spacing w:before="40" w:after="40"/>
              <w:jc w:val="center"/>
              <w:rPr>
                <w:b/>
              </w:rPr>
            </w:pPr>
          </w:p>
        </w:tc>
        <w:tc>
          <w:tcPr>
            <w:tcW w:w="1350" w:type="dxa"/>
            <w:tcBorders>
              <w:top w:val="single" w:sz="4" w:space="0" w:color="auto"/>
            </w:tcBorders>
            <w:vAlign w:val="center"/>
          </w:tcPr>
          <w:p w14:paraId="45FAF66D" w14:textId="77777777" w:rsidR="005E413D" w:rsidRPr="008A0924" w:rsidRDefault="005E413D" w:rsidP="0051290E">
            <w:pPr>
              <w:pStyle w:val="TableText0"/>
              <w:spacing w:before="40" w:after="40"/>
              <w:jc w:val="center"/>
              <w:rPr>
                <w:b/>
              </w:rPr>
            </w:pPr>
            <w:r>
              <w:rPr>
                <w:b/>
              </w:rPr>
              <w:t>3</w:t>
            </w:r>
          </w:p>
        </w:tc>
        <w:tc>
          <w:tcPr>
            <w:tcW w:w="1350" w:type="dxa"/>
            <w:tcBorders>
              <w:top w:val="single" w:sz="4" w:space="0" w:color="auto"/>
            </w:tcBorders>
          </w:tcPr>
          <w:p w14:paraId="47CC8160" w14:textId="77777777" w:rsidR="005E413D" w:rsidRPr="008A0924" w:rsidRDefault="005E413D" w:rsidP="0051290E">
            <w:pPr>
              <w:pStyle w:val="TableText0"/>
              <w:spacing w:before="40" w:after="40"/>
              <w:jc w:val="center"/>
              <w:rPr>
                <w:b/>
              </w:rPr>
            </w:pPr>
            <w:r>
              <w:rPr>
                <w:b/>
              </w:rPr>
              <w:t>3</w:t>
            </w:r>
          </w:p>
        </w:tc>
      </w:tr>
      <w:tr w:rsidR="005E413D" w:rsidRPr="008A0924" w14:paraId="563B3075" w14:textId="77777777" w:rsidTr="00DB42E5">
        <w:tc>
          <w:tcPr>
            <w:tcW w:w="4680" w:type="dxa"/>
            <w:tcBorders>
              <w:top w:val="single" w:sz="4" w:space="0" w:color="000000" w:themeColor="text1"/>
              <w:bottom w:val="single" w:sz="4" w:space="0" w:color="000000" w:themeColor="text1"/>
            </w:tcBorders>
            <w:vAlign w:val="center"/>
          </w:tcPr>
          <w:p w14:paraId="1622B16B" w14:textId="77777777" w:rsidR="005E413D" w:rsidRPr="008A0924" w:rsidRDefault="005E413D" w:rsidP="00243BC8">
            <w:pPr>
              <w:pStyle w:val="TableText0"/>
              <w:spacing w:before="40" w:after="40"/>
              <w:ind w:left="285"/>
            </w:pPr>
            <w:r>
              <w:t>Water column or sediment oxygen demand</w:t>
            </w:r>
          </w:p>
        </w:tc>
        <w:tc>
          <w:tcPr>
            <w:tcW w:w="990" w:type="dxa"/>
            <w:tcBorders>
              <w:top w:val="single" w:sz="4" w:space="0" w:color="000000" w:themeColor="text1"/>
              <w:bottom w:val="single" w:sz="4" w:space="0" w:color="000000" w:themeColor="text1"/>
            </w:tcBorders>
          </w:tcPr>
          <w:p w14:paraId="4BFD0E24" w14:textId="77777777" w:rsidR="005E413D" w:rsidRPr="008A0924" w:rsidRDefault="005E413D" w:rsidP="0051290E">
            <w:pPr>
              <w:pStyle w:val="TableText0"/>
              <w:spacing w:before="40" w:after="40"/>
              <w:jc w:val="center"/>
              <w:rPr>
                <w:b/>
              </w:rPr>
            </w:pPr>
            <w:r>
              <w:rPr>
                <w:b/>
              </w:rPr>
              <w:t>1</w:t>
            </w:r>
          </w:p>
        </w:tc>
        <w:tc>
          <w:tcPr>
            <w:tcW w:w="720" w:type="dxa"/>
            <w:tcBorders>
              <w:top w:val="single" w:sz="4" w:space="0" w:color="000000" w:themeColor="text1"/>
              <w:bottom w:val="single" w:sz="4" w:space="0" w:color="000000" w:themeColor="text1"/>
            </w:tcBorders>
          </w:tcPr>
          <w:p w14:paraId="461464BA" w14:textId="77777777" w:rsidR="005E413D" w:rsidRDefault="005E413D" w:rsidP="0051290E">
            <w:pPr>
              <w:pStyle w:val="TableText0"/>
              <w:spacing w:before="40" w:after="40"/>
              <w:jc w:val="center"/>
              <w:rPr>
                <w:b/>
              </w:rPr>
            </w:pPr>
            <w:r>
              <w:rPr>
                <w:b/>
              </w:rPr>
              <w:t>AL</w:t>
            </w:r>
          </w:p>
        </w:tc>
        <w:tc>
          <w:tcPr>
            <w:tcW w:w="1080" w:type="dxa"/>
            <w:tcBorders>
              <w:top w:val="single" w:sz="4" w:space="0" w:color="000000" w:themeColor="text1"/>
              <w:bottom w:val="single" w:sz="4" w:space="0" w:color="000000" w:themeColor="text1"/>
            </w:tcBorders>
            <w:vAlign w:val="center"/>
          </w:tcPr>
          <w:p w14:paraId="176911C2" w14:textId="77777777" w:rsidR="005E413D" w:rsidRPr="008A0924" w:rsidRDefault="005E413D" w:rsidP="0051290E">
            <w:pPr>
              <w:pStyle w:val="TableText0"/>
              <w:spacing w:before="40" w:after="40"/>
              <w:jc w:val="center"/>
              <w:rPr>
                <w:b/>
              </w:rPr>
            </w:pPr>
            <w:r>
              <w:rPr>
                <w:b/>
              </w:rPr>
              <w:t>1</w:t>
            </w:r>
          </w:p>
        </w:tc>
        <w:tc>
          <w:tcPr>
            <w:tcW w:w="900" w:type="dxa"/>
            <w:tcBorders>
              <w:top w:val="single" w:sz="4" w:space="0" w:color="000000" w:themeColor="text1"/>
              <w:bottom w:val="single" w:sz="4" w:space="0" w:color="000000" w:themeColor="text1"/>
            </w:tcBorders>
            <w:vAlign w:val="center"/>
          </w:tcPr>
          <w:p w14:paraId="34DAFF51" w14:textId="77777777" w:rsidR="005E413D" w:rsidRPr="008A0924" w:rsidRDefault="005E413D" w:rsidP="0051290E">
            <w:pPr>
              <w:pStyle w:val="TableText0"/>
              <w:spacing w:before="40" w:after="40"/>
              <w:jc w:val="center"/>
              <w:rPr>
                <w:b/>
              </w:rPr>
            </w:pPr>
            <w:r>
              <w:rPr>
                <w:b/>
              </w:rPr>
              <w:t>1</w:t>
            </w:r>
          </w:p>
        </w:tc>
        <w:tc>
          <w:tcPr>
            <w:tcW w:w="810" w:type="dxa"/>
            <w:tcBorders>
              <w:top w:val="single" w:sz="4" w:space="0" w:color="000000" w:themeColor="text1"/>
              <w:bottom w:val="single" w:sz="4" w:space="0" w:color="000000" w:themeColor="text1"/>
            </w:tcBorders>
            <w:vAlign w:val="center"/>
          </w:tcPr>
          <w:p w14:paraId="508196F9" w14:textId="77777777" w:rsidR="005E413D" w:rsidRPr="008A0924" w:rsidRDefault="005E413D" w:rsidP="0051290E">
            <w:pPr>
              <w:pStyle w:val="TableText0"/>
              <w:spacing w:before="40" w:after="40"/>
              <w:jc w:val="center"/>
              <w:rPr>
                <w:b/>
              </w:rPr>
            </w:pPr>
            <w:r>
              <w:rPr>
                <w:b/>
              </w:rPr>
              <w:t>1</w:t>
            </w:r>
          </w:p>
        </w:tc>
        <w:tc>
          <w:tcPr>
            <w:tcW w:w="900" w:type="dxa"/>
            <w:tcBorders>
              <w:top w:val="single" w:sz="4" w:space="0" w:color="000000" w:themeColor="text1"/>
              <w:bottom w:val="single" w:sz="4" w:space="0" w:color="000000" w:themeColor="text1"/>
            </w:tcBorders>
          </w:tcPr>
          <w:p w14:paraId="1689B26A" w14:textId="77777777" w:rsidR="005E413D" w:rsidRDefault="005E413D" w:rsidP="0051290E">
            <w:pPr>
              <w:pStyle w:val="TableText0"/>
              <w:spacing w:before="40" w:after="40"/>
              <w:jc w:val="center"/>
              <w:rPr>
                <w:b/>
              </w:rPr>
            </w:pPr>
          </w:p>
        </w:tc>
        <w:tc>
          <w:tcPr>
            <w:tcW w:w="1350" w:type="dxa"/>
            <w:tcBorders>
              <w:top w:val="single" w:sz="4" w:space="0" w:color="000000" w:themeColor="text1"/>
              <w:bottom w:val="single" w:sz="4" w:space="0" w:color="000000" w:themeColor="text1"/>
            </w:tcBorders>
            <w:vAlign w:val="center"/>
          </w:tcPr>
          <w:p w14:paraId="3B8E4BD3" w14:textId="77777777" w:rsidR="005E413D" w:rsidRPr="008A0924" w:rsidRDefault="005E413D" w:rsidP="0051290E">
            <w:pPr>
              <w:pStyle w:val="TableText0"/>
              <w:spacing w:before="40" w:after="40"/>
              <w:jc w:val="center"/>
              <w:rPr>
                <w:b/>
              </w:rPr>
            </w:pPr>
            <w:r>
              <w:rPr>
                <w:b/>
              </w:rPr>
              <w:t>3</w:t>
            </w:r>
          </w:p>
        </w:tc>
        <w:tc>
          <w:tcPr>
            <w:tcW w:w="1350" w:type="dxa"/>
            <w:tcBorders>
              <w:top w:val="single" w:sz="4" w:space="0" w:color="000000" w:themeColor="text1"/>
              <w:bottom w:val="single" w:sz="4" w:space="0" w:color="000000" w:themeColor="text1"/>
            </w:tcBorders>
          </w:tcPr>
          <w:p w14:paraId="5CFFA3C9" w14:textId="77777777" w:rsidR="005E413D" w:rsidRPr="008A0924" w:rsidRDefault="005E413D" w:rsidP="0051290E">
            <w:pPr>
              <w:pStyle w:val="TableText0"/>
              <w:spacing w:before="40" w:after="40"/>
              <w:jc w:val="center"/>
              <w:rPr>
                <w:b/>
              </w:rPr>
            </w:pPr>
          </w:p>
        </w:tc>
      </w:tr>
      <w:tr w:rsidR="005E413D" w:rsidRPr="008A0924" w14:paraId="5192881F" w14:textId="77777777" w:rsidTr="00DB42E5">
        <w:tc>
          <w:tcPr>
            <w:tcW w:w="4680" w:type="dxa"/>
            <w:tcBorders>
              <w:top w:val="single" w:sz="4" w:space="0" w:color="000000" w:themeColor="text1"/>
              <w:bottom w:val="single" w:sz="4" w:space="0" w:color="000000" w:themeColor="text1"/>
            </w:tcBorders>
            <w:vAlign w:val="center"/>
          </w:tcPr>
          <w:p w14:paraId="37BEDB8F" w14:textId="63E1DC53" w:rsidR="005E413D" w:rsidRDefault="00046126" w:rsidP="00243BC8">
            <w:pPr>
              <w:pStyle w:val="TableText0"/>
              <w:spacing w:before="40" w:after="40"/>
              <w:ind w:left="285"/>
            </w:pPr>
            <w:r>
              <w:t xml:space="preserve">Ecosystem </w:t>
            </w:r>
            <w:r w:rsidR="00B24799">
              <w:t>metabolism</w:t>
            </w:r>
            <w:r w:rsidR="00F26C76">
              <w:t xml:space="preserve"> </w:t>
            </w:r>
            <w:r w:rsidR="002D79E6">
              <w:t>and</w:t>
            </w:r>
            <w:r w:rsidR="000A2E36">
              <w:t xml:space="preserve"> </w:t>
            </w:r>
            <w:r w:rsidR="00E33380">
              <w:t>t</w:t>
            </w:r>
            <w:r w:rsidR="000A2E36">
              <w:t xml:space="preserve">rophic </w:t>
            </w:r>
            <w:r w:rsidR="00E33380">
              <w:t>s</w:t>
            </w:r>
            <w:r w:rsidR="000A2E36">
              <w:t>tate</w:t>
            </w:r>
          </w:p>
        </w:tc>
        <w:tc>
          <w:tcPr>
            <w:tcW w:w="990" w:type="dxa"/>
            <w:tcBorders>
              <w:top w:val="single" w:sz="4" w:space="0" w:color="000000" w:themeColor="text1"/>
              <w:bottom w:val="single" w:sz="4" w:space="0" w:color="000000" w:themeColor="text1"/>
            </w:tcBorders>
          </w:tcPr>
          <w:p w14:paraId="2FF9DBBC" w14:textId="77777777" w:rsidR="005E413D" w:rsidRDefault="00E42351" w:rsidP="0051290E">
            <w:pPr>
              <w:pStyle w:val="TableText0"/>
              <w:spacing w:before="40" w:after="40"/>
              <w:jc w:val="center"/>
              <w:rPr>
                <w:b/>
              </w:rPr>
            </w:pPr>
            <w:r>
              <w:rPr>
                <w:b/>
              </w:rPr>
              <w:t>2</w:t>
            </w:r>
          </w:p>
        </w:tc>
        <w:tc>
          <w:tcPr>
            <w:tcW w:w="720" w:type="dxa"/>
            <w:tcBorders>
              <w:top w:val="single" w:sz="4" w:space="0" w:color="000000" w:themeColor="text1"/>
              <w:bottom w:val="single" w:sz="4" w:space="0" w:color="000000" w:themeColor="text1"/>
            </w:tcBorders>
          </w:tcPr>
          <w:p w14:paraId="1F6F8C85" w14:textId="77777777" w:rsidR="005E413D" w:rsidRDefault="005E413D" w:rsidP="0051290E">
            <w:pPr>
              <w:pStyle w:val="TableText0"/>
              <w:spacing w:before="40" w:after="40"/>
              <w:jc w:val="center"/>
              <w:rPr>
                <w:b/>
              </w:rPr>
            </w:pPr>
            <w:r>
              <w:rPr>
                <w:b/>
              </w:rPr>
              <w:t>AL</w:t>
            </w:r>
          </w:p>
        </w:tc>
        <w:tc>
          <w:tcPr>
            <w:tcW w:w="1080" w:type="dxa"/>
            <w:tcBorders>
              <w:top w:val="single" w:sz="4" w:space="0" w:color="000000" w:themeColor="text1"/>
              <w:bottom w:val="single" w:sz="4" w:space="0" w:color="000000" w:themeColor="text1"/>
            </w:tcBorders>
            <w:vAlign w:val="center"/>
          </w:tcPr>
          <w:p w14:paraId="156EA043" w14:textId="77777777" w:rsidR="005E413D" w:rsidRPr="008A0924" w:rsidRDefault="00046126" w:rsidP="0051290E">
            <w:pPr>
              <w:pStyle w:val="TableText0"/>
              <w:spacing w:before="40" w:after="40"/>
              <w:jc w:val="center"/>
              <w:rPr>
                <w:b/>
              </w:rPr>
            </w:pPr>
            <w:r>
              <w:rPr>
                <w:b/>
              </w:rPr>
              <w:t>2</w:t>
            </w:r>
          </w:p>
        </w:tc>
        <w:tc>
          <w:tcPr>
            <w:tcW w:w="900" w:type="dxa"/>
            <w:tcBorders>
              <w:top w:val="single" w:sz="4" w:space="0" w:color="000000" w:themeColor="text1"/>
              <w:bottom w:val="single" w:sz="4" w:space="0" w:color="000000" w:themeColor="text1"/>
            </w:tcBorders>
            <w:vAlign w:val="center"/>
          </w:tcPr>
          <w:p w14:paraId="5006EAED" w14:textId="77777777" w:rsidR="005E413D" w:rsidRPr="008A0924" w:rsidRDefault="005E413D" w:rsidP="0051290E">
            <w:pPr>
              <w:pStyle w:val="TableText0"/>
              <w:spacing w:before="40" w:after="40"/>
              <w:jc w:val="center"/>
              <w:rPr>
                <w:b/>
              </w:rPr>
            </w:pPr>
            <w:r>
              <w:rPr>
                <w:b/>
              </w:rPr>
              <w:t>1</w:t>
            </w:r>
          </w:p>
        </w:tc>
        <w:tc>
          <w:tcPr>
            <w:tcW w:w="810" w:type="dxa"/>
            <w:tcBorders>
              <w:top w:val="single" w:sz="4" w:space="0" w:color="000000" w:themeColor="text1"/>
              <w:bottom w:val="single" w:sz="4" w:space="0" w:color="000000" w:themeColor="text1"/>
            </w:tcBorders>
            <w:vAlign w:val="center"/>
          </w:tcPr>
          <w:p w14:paraId="346F75F7" w14:textId="77777777" w:rsidR="005E413D" w:rsidRPr="008A0924" w:rsidRDefault="005E413D" w:rsidP="0051290E">
            <w:pPr>
              <w:pStyle w:val="TableText0"/>
              <w:spacing w:before="40" w:after="40"/>
              <w:jc w:val="center"/>
              <w:rPr>
                <w:b/>
              </w:rPr>
            </w:pPr>
            <w:r>
              <w:rPr>
                <w:b/>
              </w:rPr>
              <w:t>1</w:t>
            </w:r>
          </w:p>
        </w:tc>
        <w:tc>
          <w:tcPr>
            <w:tcW w:w="900" w:type="dxa"/>
            <w:tcBorders>
              <w:top w:val="single" w:sz="4" w:space="0" w:color="000000" w:themeColor="text1"/>
              <w:bottom w:val="single" w:sz="4" w:space="0" w:color="000000" w:themeColor="text1"/>
            </w:tcBorders>
          </w:tcPr>
          <w:p w14:paraId="330D65D7" w14:textId="77777777" w:rsidR="005E413D" w:rsidRDefault="005E413D" w:rsidP="0051290E">
            <w:pPr>
              <w:pStyle w:val="TableText0"/>
              <w:spacing w:before="40" w:after="40"/>
              <w:jc w:val="center"/>
              <w:rPr>
                <w:b/>
              </w:rPr>
            </w:pPr>
          </w:p>
        </w:tc>
        <w:tc>
          <w:tcPr>
            <w:tcW w:w="1350" w:type="dxa"/>
            <w:tcBorders>
              <w:top w:val="single" w:sz="4" w:space="0" w:color="000000" w:themeColor="text1"/>
              <w:bottom w:val="single" w:sz="4" w:space="0" w:color="000000" w:themeColor="text1"/>
            </w:tcBorders>
            <w:vAlign w:val="center"/>
          </w:tcPr>
          <w:p w14:paraId="2408AC2B" w14:textId="77777777" w:rsidR="005E413D" w:rsidRPr="008A0924" w:rsidRDefault="005E413D" w:rsidP="0051290E">
            <w:pPr>
              <w:pStyle w:val="TableText0"/>
              <w:spacing w:before="40" w:after="40"/>
              <w:jc w:val="center"/>
              <w:rPr>
                <w:b/>
              </w:rPr>
            </w:pPr>
            <w:r>
              <w:rPr>
                <w:b/>
              </w:rPr>
              <w:t>3</w:t>
            </w:r>
          </w:p>
        </w:tc>
        <w:tc>
          <w:tcPr>
            <w:tcW w:w="1350" w:type="dxa"/>
            <w:tcBorders>
              <w:top w:val="single" w:sz="4" w:space="0" w:color="000000" w:themeColor="text1"/>
              <w:bottom w:val="single" w:sz="4" w:space="0" w:color="000000" w:themeColor="text1"/>
            </w:tcBorders>
          </w:tcPr>
          <w:p w14:paraId="7BC1B6E6" w14:textId="77777777" w:rsidR="005E413D" w:rsidRPr="008A0924" w:rsidRDefault="005E413D" w:rsidP="0051290E">
            <w:pPr>
              <w:pStyle w:val="TableText0"/>
              <w:spacing w:before="40" w:after="40"/>
              <w:jc w:val="center"/>
              <w:rPr>
                <w:b/>
              </w:rPr>
            </w:pPr>
          </w:p>
        </w:tc>
      </w:tr>
      <w:tr w:rsidR="004B1BBF" w:rsidRPr="008A0924" w14:paraId="547462D7" w14:textId="77777777" w:rsidTr="00DB42E5">
        <w:tc>
          <w:tcPr>
            <w:tcW w:w="4680" w:type="dxa"/>
            <w:tcBorders>
              <w:top w:val="single" w:sz="4" w:space="0" w:color="000000" w:themeColor="text1"/>
              <w:bottom w:val="single" w:sz="4" w:space="0" w:color="000000" w:themeColor="text1"/>
            </w:tcBorders>
            <w:vAlign w:val="center"/>
          </w:tcPr>
          <w:p w14:paraId="7D7CDCC2" w14:textId="77777777" w:rsidR="004B1BBF" w:rsidRDefault="004B1BBF" w:rsidP="004B1BBF">
            <w:pPr>
              <w:pStyle w:val="TableText0"/>
              <w:spacing w:before="40" w:after="40"/>
              <w:ind w:left="285"/>
            </w:pPr>
            <w:r>
              <w:t>Dissolved organic carbon, trihalomethane</w:t>
            </w:r>
          </w:p>
        </w:tc>
        <w:tc>
          <w:tcPr>
            <w:tcW w:w="990" w:type="dxa"/>
            <w:tcBorders>
              <w:top w:val="single" w:sz="4" w:space="0" w:color="000000" w:themeColor="text1"/>
              <w:bottom w:val="single" w:sz="4" w:space="0" w:color="000000" w:themeColor="text1"/>
            </w:tcBorders>
          </w:tcPr>
          <w:p w14:paraId="3A2DF3F7" w14:textId="77777777" w:rsidR="004B1BBF" w:rsidRDefault="004B1BBF" w:rsidP="004B1BBF">
            <w:pPr>
              <w:pStyle w:val="TableText0"/>
              <w:spacing w:before="40" w:after="40"/>
              <w:jc w:val="center"/>
              <w:rPr>
                <w:b/>
              </w:rPr>
            </w:pPr>
            <w:r>
              <w:rPr>
                <w:b/>
              </w:rPr>
              <w:t>3</w:t>
            </w:r>
          </w:p>
        </w:tc>
        <w:tc>
          <w:tcPr>
            <w:tcW w:w="720" w:type="dxa"/>
            <w:tcBorders>
              <w:top w:val="single" w:sz="4" w:space="0" w:color="000000" w:themeColor="text1"/>
              <w:bottom w:val="single" w:sz="4" w:space="0" w:color="000000" w:themeColor="text1"/>
            </w:tcBorders>
          </w:tcPr>
          <w:p w14:paraId="0FF51D61" w14:textId="77777777" w:rsidR="004B1BBF" w:rsidRDefault="004B1BBF" w:rsidP="004B1BBF">
            <w:pPr>
              <w:pStyle w:val="TableText0"/>
              <w:spacing w:before="40" w:after="40"/>
              <w:jc w:val="center"/>
              <w:rPr>
                <w:b/>
              </w:rPr>
            </w:pPr>
            <w:r>
              <w:rPr>
                <w:b/>
              </w:rPr>
              <w:t>H</w:t>
            </w:r>
          </w:p>
        </w:tc>
        <w:tc>
          <w:tcPr>
            <w:tcW w:w="1080" w:type="dxa"/>
            <w:tcBorders>
              <w:top w:val="single" w:sz="4" w:space="0" w:color="000000" w:themeColor="text1"/>
              <w:bottom w:val="single" w:sz="4" w:space="0" w:color="000000" w:themeColor="text1"/>
            </w:tcBorders>
            <w:vAlign w:val="center"/>
          </w:tcPr>
          <w:p w14:paraId="4974D320" w14:textId="77777777" w:rsidR="004B1BBF" w:rsidRDefault="004B1BBF" w:rsidP="004B1BBF">
            <w:pPr>
              <w:pStyle w:val="TableText0"/>
              <w:spacing w:before="40" w:after="40"/>
              <w:jc w:val="center"/>
              <w:rPr>
                <w:b/>
              </w:rPr>
            </w:pPr>
            <w:r>
              <w:rPr>
                <w:b/>
              </w:rPr>
              <w:t>3</w:t>
            </w:r>
          </w:p>
        </w:tc>
        <w:tc>
          <w:tcPr>
            <w:tcW w:w="900" w:type="dxa"/>
            <w:tcBorders>
              <w:top w:val="single" w:sz="4" w:space="0" w:color="000000" w:themeColor="text1"/>
              <w:bottom w:val="single" w:sz="4" w:space="0" w:color="000000" w:themeColor="text1"/>
            </w:tcBorders>
            <w:vAlign w:val="center"/>
          </w:tcPr>
          <w:p w14:paraId="21D45801" w14:textId="77777777" w:rsidR="004B1BBF" w:rsidRDefault="004B1BBF" w:rsidP="004B1BBF">
            <w:pPr>
              <w:pStyle w:val="TableText0"/>
              <w:spacing w:before="40" w:after="40"/>
              <w:jc w:val="center"/>
              <w:rPr>
                <w:b/>
              </w:rPr>
            </w:pPr>
            <w:r>
              <w:rPr>
                <w:b/>
              </w:rPr>
              <w:t>3</w:t>
            </w:r>
          </w:p>
        </w:tc>
        <w:tc>
          <w:tcPr>
            <w:tcW w:w="810" w:type="dxa"/>
            <w:tcBorders>
              <w:top w:val="single" w:sz="4" w:space="0" w:color="000000" w:themeColor="text1"/>
              <w:bottom w:val="single" w:sz="4" w:space="0" w:color="000000" w:themeColor="text1"/>
            </w:tcBorders>
            <w:vAlign w:val="center"/>
          </w:tcPr>
          <w:p w14:paraId="6A40EEFC" w14:textId="77777777" w:rsidR="004B1BBF" w:rsidRDefault="004B1BBF" w:rsidP="004B1BBF">
            <w:pPr>
              <w:pStyle w:val="TableText0"/>
              <w:spacing w:before="40" w:after="40"/>
              <w:jc w:val="center"/>
              <w:rPr>
                <w:b/>
              </w:rPr>
            </w:pPr>
            <w:r>
              <w:rPr>
                <w:b/>
              </w:rPr>
              <w:t>3</w:t>
            </w:r>
          </w:p>
        </w:tc>
        <w:tc>
          <w:tcPr>
            <w:tcW w:w="900" w:type="dxa"/>
            <w:tcBorders>
              <w:top w:val="single" w:sz="4" w:space="0" w:color="000000" w:themeColor="text1"/>
              <w:bottom w:val="single" w:sz="4" w:space="0" w:color="000000" w:themeColor="text1"/>
            </w:tcBorders>
          </w:tcPr>
          <w:p w14:paraId="581D2478" w14:textId="77777777" w:rsidR="004B1BBF" w:rsidRDefault="004B1BBF" w:rsidP="004B1BBF">
            <w:pPr>
              <w:pStyle w:val="TableText0"/>
              <w:spacing w:before="40" w:after="40"/>
              <w:jc w:val="center"/>
              <w:rPr>
                <w:b/>
              </w:rPr>
            </w:pPr>
          </w:p>
        </w:tc>
        <w:tc>
          <w:tcPr>
            <w:tcW w:w="1350" w:type="dxa"/>
            <w:tcBorders>
              <w:top w:val="single" w:sz="4" w:space="0" w:color="000000" w:themeColor="text1"/>
              <w:bottom w:val="single" w:sz="4" w:space="0" w:color="000000" w:themeColor="text1"/>
            </w:tcBorders>
            <w:vAlign w:val="center"/>
          </w:tcPr>
          <w:p w14:paraId="710CF126" w14:textId="77777777" w:rsidR="004B1BBF" w:rsidRDefault="004B1BBF" w:rsidP="004B1BBF">
            <w:pPr>
              <w:pStyle w:val="TableText0"/>
              <w:spacing w:before="40" w:after="40"/>
              <w:jc w:val="center"/>
              <w:rPr>
                <w:b/>
              </w:rPr>
            </w:pPr>
            <w:r>
              <w:rPr>
                <w:b/>
              </w:rPr>
              <w:t>3</w:t>
            </w:r>
          </w:p>
        </w:tc>
        <w:tc>
          <w:tcPr>
            <w:tcW w:w="1350" w:type="dxa"/>
            <w:tcBorders>
              <w:top w:val="single" w:sz="4" w:space="0" w:color="000000" w:themeColor="text1"/>
              <w:bottom w:val="single" w:sz="4" w:space="0" w:color="000000" w:themeColor="text1"/>
            </w:tcBorders>
          </w:tcPr>
          <w:p w14:paraId="188C2BAE" w14:textId="77777777" w:rsidR="004B1BBF" w:rsidRDefault="00236CB8" w:rsidP="004B1BBF">
            <w:pPr>
              <w:pStyle w:val="TableText0"/>
              <w:spacing w:before="40" w:after="40"/>
              <w:jc w:val="center"/>
              <w:rPr>
                <w:b/>
              </w:rPr>
            </w:pPr>
            <w:r>
              <w:rPr>
                <w:b/>
              </w:rPr>
              <w:t>1</w:t>
            </w:r>
          </w:p>
        </w:tc>
      </w:tr>
      <w:tr w:rsidR="004B1BBF" w:rsidRPr="008A0924" w14:paraId="04279C38" w14:textId="77777777" w:rsidTr="00DB42E5">
        <w:tc>
          <w:tcPr>
            <w:tcW w:w="12780" w:type="dxa"/>
            <w:gridSpan w:val="9"/>
            <w:tcBorders>
              <w:top w:val="single" w:sz="4" w:space="0" w:color="000000" w:themeColor="text1"/>
              <w:bottom w:val="single" w:sz="4" w:space="0" w:color="000000" w:themeColor="text1"/>
            </w:tcBorders>
          </w:tcPr>
          <w:p w14:paraId="1000A787" w14:textId="77777777" w:rsidR="004B1BBF" w:rsidRPr="002E33CD" w:rsidRDefault="004B1BBF" w:rsidP="004B1BBF">
            <w:pPr>
              <w:pStyle w:val="TableText0"/>
              <w:spacing w:before="40" w:after="40"/>
              <w:rPr>
                <w:b/>
                <w:i/>
              </w:rPr>
            </w:pPr>
            <w:r w:rsidRPr="002E33CD">
              <w:rPr>
                <w:b/>
                <w:i/>
              </w:rPr>
              <w:t>Aquatic Community Measures</w:t>
            </w:r>
          </w:p>
        </w:tc>
      </w:tr>
      <w:tr w:rsidR="004B1BBF" w:rsidRPr="008A0924" w14:paraId="2AEF72B0" w14:textId="77777777" w:rsidTr="00DB42E5">
        <w:tc>
          <w:tcPr>
            <w:tcW w:w="4680" w:type="dxa"/>
            <w:tcBorders>
              <w:top w:val="single" w:sz="4" w:space="0" w:color="000000" w:themeColor="text1"/>
              <w:bottom w:val="single" w:sz="4" w:space="0" w:color="000000" w:themeColor="text1"/>
            </w:tcBorders>
            <w:vAlign w:val="center"/>
          </w:tcPr>
          <w:p w14:paraId="7EA0D054" w14:textId="77777777" w:rsidR="004B1BBF" w:rsidRPr="008A0924" w:rsidRDefault="004B1BBF" w:rsidP="00345FC9">
            <w:pPr>
              <w:pStyle w:val="TableText0"/>
              <w:spacing w:before="40" w:after="40"/>
              <w:ind w:left="375" w:hanging="91"/>
            </w:pPr>
            <w:r>
              <w:t>Planktonic or benthic algal community composition</w:t>
            </w:r>
          </w:p>
        </w:tc>
        <w:tc>
          <w:tcPr>
            <w:tcW w:w="990" w:type="dxa"/>
            <w:tcBorders>
              <w:top w:val="single" w:sz="4" w:space="0" w:color="000000" w:themeColor="text1"/>
              <w:bottom w:val="single" w:sz="4" w:space="0" w:color="000000" w:themeColor="text1"/>
            </w:tcBorders>
          </w:tcPr>
          <w:p w14:paraId="7A652B5C" w14:textId="77777777" w:rsidR="004B1BBF" w:rsidRDefault="004B1BBF" w:rsidP="004B1BBF">
            <w:pPr>
              <w:pStyle w:val="TableText0"/>
              <w:spacing w:before="40" w:after="40"/>
              <w:jc w:val="center"/>
              <w:rPr>
                <w:b/>
              </w:rPr>
            </w:pPr>
            <w:r>
              <w:rPr>
                <w:b/>
              </w:rPr>
              <w:t>3</w:t>
            </w:r>
          </w:p>
        </w:tc>
        <w:tc>
          <w:tcPr>
            <w:tcW w:w="720" w:type="dxa"/>
            <w:tcBorders>
              <w:top w:val="single" w:sz="4" w:space="0" w:color="000000" w:themeColor="text1"/>
              <w:bottom w:val="single" w:sz="4" w:space="0" w:color="000000" w:themeColor="text1"/>
            </w:tcBorders>
          </w:tcPr>
          <w:p w14:paraId="163D6A93" w14:textId="77777777" w:rsidR="004B1BBF" w:rsidRDefault="004B1BBF" w:rsidP="004B1BBF">
            <w:pPr>
              <w:pStyle w:val="TableText0"/>
              <w:spacing w:before="40" w:after="40"/>
              <w:jc w:val="center"/>
              <w:rPr>
                <w:b/>
              </w:rPr>
            </w:pPr>
            <w:r>
              <w:rPr>
                <w:b/>
              </w:rPr>
              <w:t>AL</w:t>
            </w:r>
          </w:p>
        </w:tc>
        <w:tc>
          <w:tcPr>
            <w:tcW w:w="1080" w:type="dxa"/>
            <w:tcBorders>
              <w:top w:val="single" w:sz="4" w:space="0" w:color="000000" w:themeColor="text1"/>
              <w:bottom w:val="single" w:sz="4" w:space="0" w:color="000000" w:themeColor="text1"/>
            </w:tcBorders>
            <w:vAlign w:val="center"/>
          </w:tcPr>
          <w:p w14:paraId="4D2E5082" w14:textId="77777777" w:rsidR="004B1BBF" w:rsidRPr="008A0924" w:rsidRDefault="004B1BBF" w:rsidP="004B1BBF">
            <w:pPr>
              <w:pStyle w:val="TableText0"/>
              <w:spacing w:before="40" w:after="40"/>
              <w:jc w:val="center"/>
              <w:rPr>
                <w:b/>
              </w:rPr>
            </w:pPr>
            <w:r>
              <w:rPr>
                <w:b/>
              </w:rPr>
              <w:t>3 *</w:t>
            </w:r>
          </w:p>
        </w:tc>
        <w:tc>
          <w:tcPr>
            <w:tcW w:w="900" w:type="dxa"/>
            <w:tcBorders>
              <w:top w:val="single" w:sz="4" w:space="0" w:color="000000" w:themeColor="text1"/>
              <w:bottom w:val="single" w:sz="4" w:space="0" w:color="000000" w:themeColor="text1"/>
            </w:tcBorders>
            <w:vAlign w:val="center"/>
          </w:tcPr>
          <w:p w14:paraId="04D37388" w14:textId="77777777" w:rsidR="004B1BBF" w:rsidRPr="008A0924" w:rsidRDefault="004B1BBF" w:rsidP="004B1BBF">
            <w:pPr>
              <w:pStyle w:val="TableText0"/>
              <w:spacing w:before="40" w:after="40"/>
              <w:jc w:val="center"/>
              <w:rPr>
                <w:b/>
              </w:rPr>
            </w:pPr>
            <w:r>
              <w:rPr>
                <w:b/>
              </w:rPr>
              <w:t>3</w:t>
            </w:r>
          </w:p>
        </w:tc>
        <w:tc>
          <w:tcPr>
            <w:tcW w:w="810" w:type="dxa"/>
            <w:tcBorders>
              <w:top w:val="single" w:sz="4" w:space="0" w:color="000000" w:themeColor="text1"/>
              <w:bottom w:val="single" w:sz="4" w:space="0" w:color="000000" w:themeColor="text1"/>
            </w:tcBorders>
            <w:vAlign w:val="center"/>
          </w:tcPr>
          <w:p w14:paraId="3F03D5E3" w14:textId="77777777" w:rsidR="004B1BBF" w:rsidRPr="008A0924" w:rsidRDefault="004B1BBF" w:rsidP="004B1BBF">
            <w:pPr>
              <w:pStyle w:val="TableText0"/>
              <w:spacing w:before="40" w:after="40"/>
              <w:jc w:val="center"/>
              <w:rPr>
                <w:b/>
              </w:rPr>
            </w:pPr>
            <w:r>
              <w:rPr>
                <w:b/>
              </w:rPr>
              <w:t>3</w:t>
            </w:r>
          </w:p>
        </w:tc>
        <w:tc>
          <w:tcPr>
            <w:tcW w:w="900" w:type="dxa"/>
            <w:tcBorders>
              <w:top w:val="single" w:sz="4" w:space="0" w:color="000000" w:themeColor="text1"/>
              <w:bottom w:val="single" w:sz="4" w:space="0" w:color="000000" w:themeColor="text1"/>
            </w:tcBorders>
          </w:tcPr>
          <w:p w14:paraId="1131491F" w14:textId="77777777" w:rsidR="004B1BBF" w:rsidRDefault="004B1BBF" w:rsidP="004B1BBF">
            <w:pPr>
              <w:pStyle w:val="TableText0"/>
              <w:spacing w:before="40" w:after="40"/>
              <w:jc w:val="center"/>
              <w:rPr>
                <w:b/>
              </w:rPr>
            </w:pPr>
            <w:r>
              <w:rPr>
                <w:b/>
              </w:rPr>
              <w:t>Y</w:t>
            </w:r>
          </w:p>
        </w:tc>
        <w:tc>
          <w:tcPr>
            <w:tcW w:w="1350" w:type="dxa"/>
            <w:tcBorders>
              <w:top w:val="single" w:sz="4" w:space="0" w:color="000000" w:themeColor="text1"/>
              <w:bottom w:val="single" w:sz="4" w:space="0" w:color="000000" w:themeColor="text1"/>
            </w:tcBorders>
            <w:vAlign w:val="center"/>
          </w:tcPr>
          <w:p w14:paraId="2ACEF411" w14:textId="77777777" w:rsidR="004B1BBF" w:rsidRPr="008A0924" w:rsidRDefault="004B1BBF" w:rsidP="004B1BBF">
            <w:pPr>
              <w:pStyle w:val="TableText0"/>
              <w:spacing w:before="40" w:after="40"/>
              <w:jc w:val="center"/>
              <w:rPr>
                <w:b/>
              </w:rPr>
            </w:pPr>
            <w:r>
              <w:rPr>
                <w:b/>
              </w:rPr>
              <w:t>2</w:t>
            </w:r>
          </w:p>
        </w:tc>
        <w:tc>
          <w:tcPr>
            <w:tcW w:w="1350" w:type="dxa"/>
            <w:tcBorders>
              <w:top w:val="single" w:sz="4" w:space="0" w:color="000000" w:themeColor="text1"/>
              <w:bottom w:val="single" w:sz="4" w:space="0" w:color="000000" w:themeColor="text1"/>
            </w:tcBorders>
          </w:tcPr>
          <w:p w14:paraId="607606CB" w14:textId="77777777" w:rsidR="004B1BBF" w:rsidRPr="008A0924" w:rsidRDefault="004B1BBF" w:rsidP="004B1BBF">
            <w:pPr>
              <w:pStyle w:val="TableText0"/>
              <w:spacing w:before="40" w:after="40"/>
              <w:jc w:val="center"/>
              <w:rPr>
                <w:b/>
              </w:rPr>
            </w:pPr>
            <w:r>
              <w:rPr>
                <w:b/>
              </w:rPr>
              <w:t>3</w:t>
            </w:r>
          </w:p>
        </w:tc>
      </w:tr>
      <w:tr w:rsidR="004B1BBF" w14:paraId="4838E949" w14:textId="77777777" w:rsidTr="00DB42E5">
        <w:tc>
          <w:tcPr>
            <w:tcW w:w="4680" w:type="dxa"/>
            <w:tcBorders>
              <w:top w:val="single" w:sz="4" w:space="0" w:color="000000" w:themeColor="text1"/>
              <w:bottom w:val="single" w:sz="4" w:space="0" w:color="000000" w:themeColor="text1"/>
            </w:tcBorders>
            <w:vAlign w:val="center"/>
          </w:tcPr>
          <w:p w14:paraId="3F0F94B7" w14:textId="77777777" w:rsidR="004B1BBF" w:rsidRDefault="004B1BBF" w:rsidP="00345FC9">
            <w:pPr>
              <w:pStyle w:val="TableText0"/>
              <w:spacing w:before="40" w:after="40"/>
              <w:ind w:left="375" w:hanging="91"/>
            </w:pPr>
            <w:r>
              <w:t>Benthic macroinvertebrate community composition</w:t>
            </w:r>
          </w:p>
        </w:tc>
        <w:tc>
          <w:tcPr>
            <w:tcW w:w="990" w:type="dxa"/>
            <w:tcBorders>
              <w:top w:val="single" w:sz="4" w:space="0" w:color="000000" w:themeColor="text1"/>
              <w:bottom w:val="single" w:sz="4" w:space="0" w:color="000000" w:themeColor="text1"/>
            </w:tcBorders>
          </w:tcPr>
          <w:p w14:paraId="53C914F5" w14:textId="77777777" w:rsidR="004B1BBF" w:rsidRDefault="004B1BBF" w:rsidP="004B1BBF">
            <w:pPr>
              <w:pStyle w:val="TableText0"/>
              <w:spacing w:before="40" w:after="40"/>
              <w:jc w:val="center"/>
              <w:rPr>
                <w:b/>
              </w:rPr>
            </w:pPr>
            <w:r>
              <w:rPr>
                <w:b/>
              </w:rPr>
              <w:t>3</w:t>
            </w:r>
          </w:p>
        </w:tc>
        <w:tc>
          <w:tcPr>
            <w:tcW w:w="720" w:type="dxa"/>
            <w:tcBorders>
              <w:top w:val="single" w:sz="4" w:space="0" w:color="000000" w:themeColor="text1"/>
              <w:bottom w:val="single" w:sz="4" w:space="0" w:color="000000" w:themeColor="text1"/>
            </w:tcBorders>
          </w:tcPr>
          <w:p w14:paraId="6435EB18" w14:textId="77777777" w:rsidR="004B1BBF" w:rsidRDefault="004B1BBF" w:rsidP="004B1BBF">
            <w:pPr>
              <w:pStyle w:val="TableText0"/>
              <w:spacing w:before="40" w:after="40"/>
              <w:jc w:val="center"/>
              <w:rPr>
                <w:b/>
              </w:rPr>
            </w:pPr>
            <w:r>
              <w:rPr>
                <w:b/>
              </w:rPr>
              <w:t>AL</w:t>
            </w:r>
          </w:p>
        </w:tc>
        <w:tc>
          <w:tcPr>
            <w:tcW w:w="1080" w:type="dxa"/>
            <w:tcBorders>
              <w:top w:val="single" w:sz="4" w:space="0" w:color="000000" w:themeColor="text1"/>
              <w:bottom w:val="single" w:sz="4" w:space="0" w:color="000000" w:themeColor="text1"/>
            </w:tcBorders>
            <w:vAlign w:val="center"/>
          </w:tcPr>
          <w:p w14:paraId="0388EDBC" w14:textId="77777777" w:rsidR="004B1BBF" w:rsidRDefault="004B1BBF" w:rsidP="004B1BBF">
            <w:pPr>
              <w:pStyle w:val="TableText0"/>
              <w:spacing w:before="40" w:after="40"/>
              <w:jc w:val="center"/>
              <w:rPr>
                <w:b/>
              </w:rPr>
            </w:pPr>
            <w:r>
              <w:rPr>
                <w:b/>
              </w:rPr>
              <w:t>3*</w:t>
            </w:r>
          </w:p>
        </w:tc>
        <w:tc>
          <w:tcPr>
            <w:tcW w:w="900" w:type="dxa"/>
            <w:tcBorders>
              <w:top w:val="single" w:sz="4" w:space="0" w:color="000000" w:themeColor="text1"/>
              <w:bottom w:val="single" w:sz="4" w:space="0" w:color="000000" w:themeColor="text1"/>
            </w:tcBorders>
            <w:vAlign w:val="center"/>
          </w:tcPr>
          <w:p w14:paraId="3714FBFF" w14:textId="77777777" w:rsidR="004B1BBF" w:rsidRDefault="004B1BBF" w:rsidP="004B1BBF">
            <w:pPr>
              <w:pStyle w:val="TableText0"/>
              <w:spacing w:before="40" w:after="40"/>
              <w:jc w:val="center"/>
              <w:rPr>
                <w:b/>
              </w:rPr>
            </w:pPr>
            <w:r>
              <w:rPr>
                <w:b/>
              </w:rPr>
              <w:t>3</w:t>
            </w:r>
          </w:p>
        </w:tc>
        <w:tc>
          <w:tcPr>
            <w:tcW w:w="810" w:type="dxa"/>
            <w:tcBorders>
              <w:top w:val="single" w:sz="4" w:space="0" w:color="000000" w:themeColor="text1"/>
              <w:bottom w:val="single" w:sz="4" w:space="0" w:color="000000" w:themeColor="text1"/>
            </w:tcBorders>
            <w:vAlign w:val="center"/>
          </w:tcPr>
          <w:p w14:paraId="3B14300B" w14:textId="77777777" w:rsidR="004B1BBF" w:rsidRDefault="004B1BBF" w:rsidP="004B1BBF">
            <w:pPr>
              <w:pStyle w:val="TableText0"/>
              <w:spacing w:before="40" w:after="40"/>
              <w:jc w:val="center"/>
              <w:rPr>
                <w:b/>
              </w:rPr>
            </w:pPr>
            <w:r>
              <w:rPr>
                <w:b/>
              </w:rPr>
              <w:t>3</w:t>
            </w:r>
          </w:p>
        </w:tc>
        <w:tc>
          <w:tcPr>
            <w:tcW w:w="900" w:type="dxa"/>
            <w:tcBorders>
              <w:top w:val="single" w:sz="4" w:space="0" w:color="000000" w:themeColor="text1"/>
              <w:bottom w:val="single" w:sz="4" w:space="0" w:color="000000" w:themeColor="text1"/>
            </w:tcBorders>
          </w:tcPr>
          <w:p w14:paraId="1083D7A3" w14:textId="77777777" w:rsidR="004B1BBF" w:rsidRDefault="004B1BBF" w:rsidP="004B1BBF">
            <w:pPr>
              <w:pStyle w:val="TableText0"/>
              <w:spacing w:before="40" w:after="40"/>
              <w:jc w:val="center"/>
              <w:rPr>
                <w:b/>
              </w:rPr>
            </w:pPr>
            <w:r>
              <w:rPr>
                <w:b/>
              </w:rPr>
              <w:t>Y</w:t>
            </w:r>
          </w:p>
        </w:tc>
        <w:tc>
          <w:tcPr>
            <w:tcW w:w="1350" w:type="dxa"/>
            <w:tcBorders>
              <w:top w:val="single" w:sz="4" w:space="0" w:color="000000" w:themeColor="text1"/>
              <w:bottom w:val="single" w:sz="4" w:space="0" w:color="000000" w:themeColor="text1"/>
            </w:tcBorders>
            <w:vAlign w:val="center"/>
          </w:tcPr>
          <w:p w14:paraId="2CF44030" w14:textId="77777777" w:rsidR="004B1BBF" w:rsidRDefault="004B1BBF" w:rsidP="004B1BBF">
            <w:pPr>
              <w:pStyle w:val="TableText0"/>
              <w:spacing w:before="40" w:after="40"/>
              <w:jc w:val="center"/>
              <w:rPr>
                <w:b/>
              </w:rPr>
            </w:pPr>
            <w:r>
              <w:rPr>
                <w:b/>
              </w:rPr>
              <w:t>2</w:t>
            </w:r>
          </w:p>
        </w:tc>
        <w:tc>
          <w:tcPr>
            <w:tcW w:w="1350" w:type="dxa"/>
            <w:tcBorders>
              <w:top w:val="single" w:sz="4" w:space="0" w:color="000000" w:themeColor="text1"/>
              <w:bottom w:val="single" w:sz="4" w:space="0" w:color="000000" w:themeColor="text1"/>
            </w:tcBorders>
          </w:tcPr>
          <w:p w14:paraId="314F3F37" w14:textId="77777777" w:rsidR="004B1BBF" w:rsidRDefault="004B1BBF" w:rsidP="004B1BBF">
            <w:pPr>
              <w:pStyle w:val="TableText0"/>
              <w:spacing w:before="40" w:after="40"/>
              <w:jc w:val="center"/>
              <w:rPr>
                <w:b/>
              </w:rPr>
            </w:pPr>
            <w:r>
              <w:rPr>
                <w:b/>
              </w:rPr>
              <w:t>3</w:t>
            </w:r>
          </w:p>
        </w:tc>
      </w:tr>
      <w:tr w:rsidR="004B1BBF" w14:paraId="0C0FBB58" w14:textId="77777777" w:rsidTr="00DB42E5">
        <w:trPr>
          <w:trHeight w:val="93"/>
        </w:trPr>
        <w:tc>
          <w:tcPr>
            <w:tcW w:w="12780" w:type="dxa"/>
            <w:gridSpan w:val="9"/>
            <w:tcBorders>
              <w:top w:val="single" w:sz="4" w:space="0" w:color="000000" w:themeColor="text1"/>
            </w:tcBorders>
          </w:tcPr>
          <w:p w14:paraId="4A5A7A39" w14:textId="77777777" w:rsidR="004B1BBF" w:rsidRPr="002E33CD" w:rsidRDefault="004B1BBF" w:rsidP="004B1BBF">
            <w:pPr>
              <w:pStyle w:val="TableText0"/>
              <w:spacing w:before="40" w:after="40"/>
              <w:rPr>
                <w:b/>
              </w:rPr>
            </w:pPr>
            <w:r w:rsidRPr="002E33CD">
              <w:rPr>
                <w:b/>
              </w:rPr>
              <w:t>Harmful Algal Blooms</w:t>
            </w:r>
          </w:p>
        </w:tc>
      </w:tr>
      <w:tr w:rsidR="004B1BBF" w14:paraId="7D524EA6" w14:textId="77777777" w:rsidTr="00DB42E5">
        <w:tc>
          <w:tcPr>
            <w:tcW w:w="4680" w:type="dxa"/>
            <w:tcBorders>
              <w:top w:val="single" w:sz="4" w:space="0" w:color="000000" w:themeColor="text1"/>
              <w:bottom w:val="single" w:sz="4" w:space="0" w:color="000000" w:themeColor="text1"/>
            </w:tcBorders>
            <w:vAlign w:val="center"/>
          </w:tcPr>
          <w:p w14:paraId="5292E241" w14:textId="77777777" w:rsidR="004B1BBF" w:rsidRDefault="004B1BBF" w:rsidP="00345FC9">
            <w:pPr>
              <w:pStyle w:val="TableText0"/>
              <w:spacing w:before="40" w:after="40"/>
              <w:ind w:left="375" w:hanging="91"/>
            </w:pPr>
            <w:r>
              <w:t xml:space="preserve">Benthic </w:t>
            </w:r>
            <w:r w:rsidR="00E33380">
              <w:t>c</w:t>
            </w:r>
            <w:r>
              <w:t>yanoHAB cell density and toxin</w:t>
            </w:r>
          </w:p>
        </w:tc>
        <w:tc>
          <w:tcPr>
            <w:tcW w:w="990" w:type="dxa"/>
            <w:tcBorders>
              <w:top w:val="single" w:sz="4" w:space="0" w:color="000000" w:themeColor="text1"/>
              <w:bottom w:val="single" w:sz="4" w:space="0" w:color="000000" w:themeColor="text1"/>
            </w:tcBorders>
          </w:tcPr>
          <w:p w14:paraId="67FEB5CC" w14:textId="77777777" w:rsidR="004B1BBF" w:rsidRDefault="004B1BBF" w:rsidP="004B1BBF">
            <w:pPr>
              <w:pStyle w:val="TableText0"/>
              <w:spacing w:before="40" w:after="40"/>
              <w:jc w:val="center"/>
              <w:rPr>
                <w:b/>
              </w:rPr>
            </w:pPr>
            <w:r>
              <w:rPr>
                <w:b/>
              </w:rPr>
              <w:t>3</w:t>
            </w:r>
          </w:p>
        </w:tc>
        <w:tc>
          <w:tcPr>
            <w:tcW w:w="720" w:type="dxa"/>
            <w:tcBorders>
              <w:top w:val="single" w:sz="4" w:space="0" w:color="000000" w:themeColor="text1"/>
              <w:bottom w:val="single" w:sz="4" w:space="0" w:color="000000" w:themeColor="text1"/>
            </w:tcBorders>
          </w:tcPr>
          <w:p w14:paraId="31913950" w14:textId="77777777" w:rsidR="004B1BBF" w:rsidRDefault="004B1BBF" w:rsidP="004B1BBF">
            <w:pPr>
              <w:pStyle w:val="TableText0"/>
              <w:spacing w:before="40" w:after="40"/>
              <w:jc w:val="center"/>
              <w:rPr>
                <w:b/>
              </w:rPr>
            </w:pPr>
            <w:r>
              <w:rPr>
                <w:b/>
              </w:rPr>
              <w:t>H, AL</w:t>
            </w:r>
          </w:p>
        </w:tc>
        <w:tc>
          <w:tcPr>
            <w:tcW w:w="1080" w:type="dxa"/>
            <w:tcBorders>
              <w:top w:val="single" w:sz="4" w:space="0" w:color="000000" w:themeColor="text1"/>
              <w:bottom w:val="single" w:sz="4" w:space="0" w:color="000000" w:themeColor="text1"/>
            </w:tcBorders>
            <w:vAlign w:val="center"/>
          </w:tcPr>
          <w:p w14:paraId="2B50829D" w14:textId="77777777" w:rsidR="004B1BBF" w:rsidRDefault="005B268E" w:rsidP="004B1BBF">
            <w:pPr>
              <w:pStyle w:val="TableText0"/>
              <w:spacing w:before="40" w:after="40"/>
              <w:jc w:val="center"/>
              <w:rPr>
                <w:b/>
              </w:rPr>
            </w:pPr>
            <w:r>
              <w:rPr>
                <w:b/>
              </w:rPr>
              <w:t>2</w:t>
            </w:r>
          </w:p>
        </w:tc>
        <w:tc>
          <w:tcPr>
            <w:tcW w:w="900" w:type="dxa"/>
            <w:tcBorders>
              <w:top w:val="single" w:sz="4" w:space="0" w:color="000000" w:themeColor="text1"/>
              <w:bottom w:val="single" w:sz="4" w:space="0" w:color="000000" w:themeColor="text1"/>
            </w:tcBorders>
            <w:vAlign w:val="center"/>
          </w:tcPr>
          <w:p w14:paraId="4AAF7EA0" w14:textId="77777777" w:rsidR="004B1BBF" w:rsidRDefault="004B1BBF" w:rsidP="004B1BBF">
            <w:pPr>
              <w:pStyle w:val="TableText0"/>
              <w:spacing w:before="40" w:after="40"/>
              <w:jc w:val="center"/>
              <w:rPr>
                <w:b/>
              </w:rPr>
            </w:pPr>
            <w:r>
              <w:rPr>
                <w:b/>
              </w:rPr>
              <w:t>3</w:t>
            </w:r>
          </w:p>
        </w:tc>
        <w:tc>
          <w:tcPr>
            <w:tcW w:w="810" w:type="dxa"/>
            <w:tcBorders>
              <w:top w:val="single" w:sz="4" w:space="0" w:color="000000" w:themeColor="text1"/>
              <w:bottom w:val="single" w:sz="4" w:space="0" w:color="000000" w:themeColor="text1"/>
            </w:tcBorders>
            <w:vAlign w:val="center"/>
          </w:tcPr>
          <w:p w14:paraId="4999A5CD" w14:textId="77777777" w:rsidR="004B1BBF" w:rsidRDefault="004B1BBF" w:rsidP="004B1BBF">
            <w:pPr>
              <w:pStyle w:val="TableText0"/>
              <w:spacing w:before="40" w:after="40"/>
              <w:jc w:val="center"/>
              <w:rPr>
                <w:b/>
              </w:rPr>
            </w:pPr>
            <w:r>
              <w:rPr>
                <w:b/>
              </w:rPr>
              <w:t>3</w:t>
            </w:r>
          </w:p>
        </w:tc>
        <w:tc>
          <w:tcPr>
            <w:tcW w:w="900" w:type="dxa"/>
            <w:tcBorders>
              <w:top w:val="single" w:sz="4" w:space="0" w:color="000000" w:themeColor="text1"/>
              <w:bottom w:val="single" w:sz="4" w:space="0" w:color="000000" w:themeColor="text1"/>
            </w:tcBorders>
          </w:tcPr>
          <w:p w14:paraId="267A95F9" w14:textId="77777777" w:rsidR="004B1BBF" w:rsidRDefault="004B1BBF" w:rsidP="004B1BBF">
            <w:pPr>
              <w:pStyle w:val="TableText0"/>
              <w:spacing w:before="40" w:after="40"/>
              <w:jc w:val="center"/>
              <w:rPr>
                <w:b/>
              </w:rPr>
            </w:pPr>
            <w:r>
              <w:rPr>
                <w:b/>
              </w:rPr>
              <w:t>Y</w:t>
            </w:r>
          </w:p>
        </w:tc>
        <w:tc>
          <w:tcPr>
            <w:tcW w:w="1350" w:type="dxa"/>
            <w:tcBorders>
              <w:top w:val="single" w:sz="4" w:space="0" w:color="000000" w:themeColor="text1"/>
              <w:bottom w:val="single" w:sz="4" w:space="0" w:color="000000" w:themeColor="text1"/>
            </w:tcBorders>
            <w:vAlign w:val="center"/>
          </w:tcPr>
          <w:p w14:paraId="47D82588" w14:textId="77777777" w:rsidR="004B1BBF" w:rsidRDefault="005B268E" w:rsidP="004B1BBF">
            <w:pPr>
              <w:pStyle w:val="TableText0"/>
              <w:spacing w:before="40" w:after="40"/>
              <w:jc w:val="center"/>
              <w:rPr>
                <w:b/>
              </w:rPr>
            </w:pPr>
            <w:r>
              <w:rPr>
                <w:b/>
              </w:rPr>
              <w:t>2</w:t>
            </w:r>
          </w:p>
        </w:tc>
        <w:tc>
          <w:tcPr>
            <w:tcW w:w="1350" w:type="dxa"/>
            <w:tcBorders>
              <w:top w:val="single" w:sz="4" w:space="0" w:color="000000" w:themeColor="text1"/>
              <w:bottom w:val="single" w:sz="4" w:space="0" w:color="000000" w:themeColor="text1"/>
            </w:tcBorders>
          </w:tcPr>
          <w:p w14:paraId="4A24B576" w14:textId="77777777" w:rsidR="004B1BBF" w:rsidRDefault="004B1BBF" w:rsidP="004B1BBF">
            <w:pPr>
              <w:pStyle w:val="TableText0"/>
              <w:spacing w:before="40" w:after="40"/>
              <w:jc w:val="center"/>
              <w:rPr>
                <w:b/>
              </w:rPr>
            </w:pPr>
            <w:r>
              <w:rPr>
                <w:b/>
              </w:rPr>
              <w:t>1</w:t>
            </w:r>
          </w:p>
        </w:tc>
      </w:tr>
      <w:tr w:rsidR="004B1BBF" w:rsidRPr="008A0924" w14:paraId="1738C7CB" w14:textId="77777777" w:rsidTr="00DB42E5">
        <w:tc>
          <w:tcPr>
            <w:tcW w:w="4680" w:type="dxa"/>
            <w:tcBorders>
              <w:top w:val="single" w:sz="4" w:space="0" w:color="000000" w:themeColor="text1"/>
              <w:bottom w:val="single" w:sz="4" w:space="0" w:color="000000" w:themeColor="text1"/>
            </w:tcBorders>
            <w:vAlign w:val="center"/>
          </w:tcPr>
          <w:p w14:paraId="59A02DE4" w14:textId="77777777" w:rsidR="004B1BBF" w:rsidRPr="008A0924" w:rsidRDefault="004B1BBF" w:rsidP="00345FC9">
            <w:pPr>
              <w:pStyle w:val="TableText0"/>
              <w:spacing w:before="40" w:after="40"/>
              <w:ind w:left="375" w:hanging="91"/>
            </w:pPr>
            <w:r>
              <w:t xml:space="preserve">Particulate </w:t>
            </w:r>
            <w:r w:rsidR="00E33380">
              <w:t>c</w:t>
            </w:r>
            <w:r>
              <w:t>yanoHAB cell density and toxin</w:t>
            </w:r>
          </w:p>
        </w:tc>
        <w:tc>
          <w:tcPr>
            <w:tcW w:w="990" w:type="dxa"/>
            <w:tcBorders>
              <w:top w:val="single" w:sz="4" w:space="0" w:color="000000" w:themeColor="text1"/>
              <w:bottom w:val="single" w:sz="4" w:space="0" w:color="000000" w:themeColor="text1"/>
            </w:tcBorders>
          </w:tcPr>
          <w:p w14:paraId="710D59C5" w14:textId="77777777" w:rsidR="004B1BBF" w:rsidRPr="008A0924" w:rsidRDefault="004B1BBF" w:rsidP="004B1BBF">
            <w:pPr>
              <w:pStyle w:val="TableText0"/>
              <w:spacing w:before="40" w:after="40"/>
              <w:jc w:val="center"/>
              <w:rPr>
                <w:b/>
              </w:rPr>
            </w:pPr>
            <w:r>
              <w:rPr>
                <w:b/>
              </w:rPr>
              <w:t>3</w:t>
            </w:r>
          </w:p>
        </w:tc>
        <w:tc>
          <w:tcPr>
            <w:tcW w:w="720" w:type="dxa"/>
            <w:tcBorders>
              <w:top w:val="single" w:sz="4" w:space="0" w:color="000000" w:themeColor="text1"/>
              <w:bottom w:val="single" w:sz="4" w:space="0" w:color="000000" w:themeColor="text1"/>
            </w:tcBorders>
          </w:tcPr>
          <w:p w14:paraId="2839C185" w14:textId="77777777" w:rsidR="004B1BBF" w:rsidRDefault="004B1BBF" w:rsidP="004B1BBF">
            <w:pPr>
              <w:pStyle w:val="TableText0"/>
              <w:spacing w:before="40" w:after="40"/>
              <w:jc w:val="center"/>
              <w:rPr>
                <w:b/>
              </w:rPr>
            </w:pPr>
            <w:r>
              <w:rPr>
                <w:b/>
              </w:rPr>
              <w:t>H, AL</w:t>
            </w:r>
          </w:p>
        </w:tc>
        <w:tc>
          <w:tcPr>
            <w:tcW w:w="1080" w:type="dxa"/>
            <w:tcBorders>
              <w:top w:val="single" w:sz="4" w:space="0" w:color="000000" w:themeColor="text1"/>
              <w:bottom w:val="single" w:sz="4" w:space="0" w:color="000000" w:themeColor="text1"/>
            </w:tcBorders>
            <w:vAlign w:val="center"/>
          </w:tcPr>
          <w:p w14:paraId="4AC1D4F8" w14:textId="77777777" w:rsidR="004B1BBF" w:rsidRPr="008A0924" w:rsidRDefault="005B268E" w:rsidP="004B1BBF">
            <w:pPr>
              <w:pStyle w:val="TableText0"/>
              <w:spacing w:before="40" w:after="40"/>
              <w:jc w:val="center"/>
              <w:rPr>
                <w:b/>
              </w:rPr>
            </w:pPr>
            <w:r>
              <w:rPr>
                <w:b/>
              </w:rPr>
              <w:t>3</w:t>
            </w:r>
          </w:p>
        </w:tc>
        <w:tc>
          <w:tcPr>
            <w:tcW w:w="900" w:type="dxa"/>
            <w:tcBorders>
              <w:top w:val="single" w:sz="4" w:space="0" w:color="000000" w:themeColor="text1"/>
              <w:bottom w:val="single" w:sz="4" w:space="0" w:color="000000" w:themeColor="text1"/>
            </w:tcBorders>
            <w:vAlign w:val="center"/>
          </w:tcPr>
          <w:p w14:paraId="09141D24" w14:textId="77777777" w:rsidR="004B1BBF" w:rsidRPr="008A0924" w:rsidRDefault="004B1BBF" w:rsidP="004B1BBF">
            <w:pPr>
              <w:pStyle w:val="TableText0"/>
              <w:spacing w:before="40" w:after="40"/>
              <w:jc w:val="center"/>
              <w:rPr>
                <w:b/>
              </w:rPr>
            </w:pPr>
            <w:r>
              <w:rPr>
                <w:b/>
              </w:rPr>
              <w:t>3</w:t>
            </w:r>
          </w:p>
        </w:tc>
        <w:tc>
          <w:tcPr>
            <w:tcW w:w="810" w:type="dxa"/>
            <w:tcBorders>
              <w:top w:val="single" w:sz="4" w:space="0" w:color="000000" w:themeColor="text1"/>
              <w:bottom w:val="single" w:sz="4" w:space="0" w:color="000000" w:themeColor="text1"/>
            </w:tcBorders>
            <w:vAlign w:val="center"/>
          </w:tcPr>
          <w:p w14:paraId="63AEA8E5" w14:textId="77777777" w:rsidR="004B1BBF" w:rsidRPr="008A0924" w:rsidRDefault="004B1BBF" w:rsidP="004B1BBF">
            <w:pPr>
              <w:pStyle w:val="TableText0"/>
              <w:spacing w:before="40" w:after="40"/>
              <w:jc w:val="center"/>
              <w:rPr>
                <w:b/>
              </w:rPr>
            </w:pPr>
            <w:r>
              <w:rPr>
                <w:b/>
              </w:rPr>
              <w:t>3</w:t>
            </w:r>
          </w:p>
        </w:tc>
        <w:tc>
          <w:tcPr>
            <w:tcW w:w="900" w:type="dxa"/>
            <w:tcBorders>
              <w:top w:val="single" w:sz="4" w:space="0" w:color="000000" w:themeColor="text1"/>
              <w:bottom w:val="single" w:sz="4" w:space="0" w:color="000000" w:themeColor="text1"/>
            </w:tcBorders>
          </w:tcPr>
          <w:p w14:paraId="3E924996" w14:textId="77777777" w:rsidR="004B1BBF" w:rsidRDefault="004B1BBF" w:rsidP="004B1BBF">
            <w:pPr>
              <w:pStyle w:val="TableText0"/>
              <w:spacing w:before="40" w:after="40"/>
              <w:jc w:val="center"/>
              <w:rPr>
                <w:b/>
              </w:rPr>
            </w:pPr>
            <w:r>
              <w:rPr>
                <w:b/>
              </w:rPr>
              <w:t>Y</w:t>
            </w:r>
          </w:p>
        </w:tc>
        <w:tc>
          <w:tcPr>
            <w:tcW w:w="1350" w:type="dxa"/>
            <w:tcBorders>
              <w:top w:val="single" w:sz="4" w:space="0" w:color="000000" w:themeColor="text1"/>
              <w:bottom w:val="single" w:sz="4" w:space="0" w:color="000000" w:themeColor="text1"/>
            </w:tcBorders>
            <w:vAlign w:val="center"/>
          </w:tcPr>
          <w:p w14:paraId="0D1DC4A8" w14:textId="77777777" w:rsidR="004B1BBF" w:rsidRPr="008A0924" w:rsidRDefault="004B1BBF" w:rsidP="004B1BBF">
            <w:pPr>
              <w:pStyle w:val="TableText0"/>
              <w:spacing w:before="40" w:after="40"/>
              <w:jc w:val="center"/>
              <w:rPr>
                <w:b/>
              </w:rPr>
            </w:pPr>
            <w:r>
              <w:rPr>
                <w:b/>
              </w:rPr>
              <w:t>2</w:t>
            </w:r>
          </w:p>
        </w:tc>
        <w:tc>
          <w:tcPr>
            <w:tcW w:w="1350" w:type="dxa"/>
            <w:tcBorders>
              <w:top w:val="single" w:sz="4" w:space="0" w:color="000000" w:themeColor="text1"/>
              <w:bottom w:val="single" w:sz="4" w:space="0" w:color="000000" w:themeColor="text1"/>
            </w:tcBorders>
          </w:tcPr>
          <w:p w14:paraId="4A0E073F" w14:textId="77777777" w:rsidR="004B1BBF" w:rsidRDefault="004B1BBF" w:rsidP="004B1BBF">
            <w:pPr>
              <w:pStyle w:val="TableText0"/>
              <w:spacing w:before="40" w:after="40"/>
              <w:jc w:val="center"/>
              <w:rPr>
                <w:b/>
              </w:rPr>
            </w:pPr>
            <w:r>
              <w:rPr>
                <w:b/>
              </w:rPr>
              <w:t>3</w:t>
            </w:r>
          </w:p>
        </w:tc>
      </w:tr>
      <w:tr w:rsidR="004B1BBF" w:rsidRPr="008A0924" w14:paraId="00649458" w14:textId="77777777" w:rsidTr="00DB42E5">
        <w:tc>
          <w:tcPr>
            <w:tcW w:w="4680" w:type="dxa"/>
            <w:tcBorders>
              <w:top w:val="single" w:sz="4" w:space="0" w:color="000000" w:themeColor="text1"/>
              <w:bottom w:val="single" w:sz="4" w:space="0" w:color="000000" w:themeColor="text1"/>
            </w:tcBorders>
            <w:vAlign w:val="center"/>
          </w:tcPr>
          <w:p w14:paraId="78556A4B" w14:textId="77777777" w:rsidR="004B1BBF" w:rsidRDefault="004B1BBF" w:rsidP="00345FC9">
            <w:pPr>
              <w:pStyle w:val="TableText0"/>
              <w:spacing w:before="40" w:after="40"/>
              <w:ind w:left="375" w:hanging="91"/>
            </w:pPr>
            <w:r>
              <w:t>CyanoHAB toxin concentration in tissue</w:t>
            </w:r>
          </w:p>
        </w:tc>
        <w:tc>
          <w:tcPr>
            <w:tcW w:w="990" w:type="dxa"/>
            <w:tcBorders>
              <w:top w:val="single" w:sz="4" w:space="0" w:color="000000" w:themeColor="text1"/>
              <w:bottom w:val="single" w:sz="4" w:space="0" w:color="000000" w:themeColor="text1"/>
            </w:tcBorders>
          </w:tcPr>
          <w:p w14:paraId="7FDBBE3F" w14:textId="77777777" w:rsidR="004B1BBF" w:rsidRDefault="004B1BBF" w:rsidP="004B1BBF">
            <w:pPr>
              <w:pStyle w:val="TableText0"/>
              <w:spacing w:before="40" w:after="40"/>
              <w:jc w:val="center"/>
              <w:rPr>
                <w:b/>
              </w:rPr>
            </w:pPr>
            <w:r>
              <w:rPr>
                <w:b/>
              </w:rPr>
              <w:t>3</w:t>
            </w:r>
          </w:p>
        </w:tc>
        <w:tc>
          <w:tcPr>
            <w:tcW w:w="720" w:type="dxa"/>
            <w:tcBorders>
              <w:top w:val="single" w:sz="4" w:space="0" w:color="000000" w:themeColor="text1"/>
              <w:bottom w:val="single" w:sz="4" w:space="0" w:color="000000" w:themeColor="text1"/>
            </w:tcBorders>
          </w:tcPr>
          <w:p w14:paraId="2C1E7298" w14:textId="77777777" w:rsidR="004B1BBF" w:rsidRDefault="004B1BBF" w:rsidP="004B1BBF">
            <w:pPr>
              <w:pStyle w:val="TableText0"/>
              <w:spacing w:before="40" w:after="40"/>
              <w:jc w:val="center"/>
              <w:rPr>
                <w:b/>
              </w:rPr>
            </w:pPr>
            <w:r>
              <w:rPr>
                <w:b/>
              </w:rPr>
              <w:t>H, AL</w:t>
            </w:r>
          </w:p>
        </w:tc>
        <w:tc>
          <w:tcPr>
            <w:tcW w:w="1080" w:type="dxa"/>
            <w:tcBorders>
              <w:top w:val="single" w:sz="4" w:space="0" w:color="000000" w:themeColor="text1"/>
              <w:bottom w:val="single" w:sz="4" w:space="0" w:color="000000" w:themeColor="text1"/>
            </w:tcBorders>
            <w:vAlign w:val="center"/>
          </w:tcPr>
          <w:p w14:paraId="271F06DD" w14:textId="77777777" w:rsidR="004B1BBF" w:rsidRDefault="005B268E" w:rsidP="004B1BBF">
            <w:pPr>
              <w:pStyle w:val="TableText0"/>
              <w:spacing w:before="40" w:after="40"/>
              <w:jc w:val="center"/>
              <w:rPr>
                <w:b/>
              </w:rPr>
            </w:pPr>
            <w:r>
              <w:rPr>
                <w:b/>
              </w:rPr>
              <w:t>3</w:t>
            </w:r>
          </w:p>
        </w:tc>
        <w:tc>
          <w:tcPr>
            <w:tcW w:w="900" w:type="dxa"/>
            <w:tcBorders>
              <w:top w:val="single" w:sz="4" w:space="0" w:color="000000" w:themeColor="text1"/>
              <w:bottom w:val="single" w:sz="4" w:space="0" w:color="000000" w:themeColor="text1"/>
            </w:tcBorders>
            <w:vAlign w:val="center"/>
          </w:tcPr>
          <w:p w14:paraId="6C57175C" w14:textId="77777777" w:rsidR="004B1BBF" w:rsidRDefault="004B1BBF" w:rsidP="004B1BBF">
            <w:pPr>
              <w:pStyle w:val="TableText0"/>
              <w:spacing w:before="40" w:after="40"/>
              <w:jc w:val="center"/>
              <w:rPr>
                <w:b/>
              </w:rPr>
            </w:pPr>
            <w:r>
              <w:rPr>
                <w:b/>
              </w:rPr>
              <w:t>3</w:t>
            </w:r>
          </w:p>
        </w:tc>
        <w:tc>
          <w:tcPr>
            <w:tcW w:w="810" w:type="dxa"/>
            <w:tcBorders>
              <w:top w:val="single" w:sz="4" w:space="0" w:color="000000" w:themeColor="text1"/>
              <w:bottom w:val="single" w:sz="4" w:space="0" w:color="000000" w:themeColor="text1"/>
            </w:tcBorders>
            <w:vAlign w:val="center"/>
          </w:tcPr>
          <w:p w14:paraId="642824C6" w14:textId="77777777" w:rsidR="004B1BBF" w:rsidRDefault="004B1BBF" w:rsidP="004B1BBF">
            <w:pPr>
              <w:pStyle w:val="TableText0"/>
              <w:spacing w:before="40" w:after="40"/>
              <w:jc w:val="center"/>
              <w:rPr>
                <w:b/>
              </w:rPr>
            </w:pPr>
            <w:r>
              <w:rPr>
                <w:b/>
              </w:rPr>
              <w:t>3</w:t>
            </w:r>
          </w:p>
        </w:tc>
        <w:tc>
          <w:tcPr>
            <w:tcW w:w="900" w:type="dxa"/>
            <w:tcBorders>
              <w:top w:val="single" w:sz="4" w:space="0" w:color="000000" w:themeColor="text1"/>
              <w:bottom w:val="single" w:sz="4" w:space="0" w:color="000000" w:themeColor="text1"/>
            </w:tcBorders>
          </w:tcPr>
          <w:p w14:paraId="73179F9C" w14:textId="77777777" w:rsidR="004B1BBF" w:rsidRDefault="004B1BBF" w:rsidP="004B1BBF">
            <w:pPr>
              <w:pStyle w:val="TableText0"/>
              <w:spacing w:before="40" w:after="40"/>
              <w:jc w:val="center"/>
              <w:rPr>
                <w:b/>
              </w:rPr>
            </w:pPr>
          </w:p>
        </w:tc>
        <w:tc>
          <w:tcPr>
            <w:tcW w:w="1350" w:type="dxa"/>
            <w:tcBorders>
              <w:top w:val="single" w:sz="4" w:space="0" w:color="000000" w:themeColor="text1"/>
              <w:bottom w:val="single" w:sz="4" w:space="0" w:color="000000" w:themeColor="text1"/>
            </w:tcBorders>
            <w:vAlign w:val="center"/>
          </w:tcPr>
          <w:p w14:paraId="6C532226" w14:textId="77777777" w:rsidR="004B1BBF" w:rsidRDefault="004B1BBF" w:rsidP="004B1BBF">
            <w:pPr>
              <w:pStyle w:val="TableText0"/>
              <w:spacing w:before="40" w:after="40"/>
              <w:jc w:val="center"/>
              <w:rPr>
                <w:b/>
              </w:rPr>
            </w:pPr>
            <w:r>
              <w:rPr>
                <w:b/>
              </w:rPr>
              <w:t>2</w:t>
            </w:r>
          </w:p>
        </w:tc>
        <w:tc>
          <w:tcPr>
            <w:tcW w:w="1350" w:type="dxa"/>
            <w:tcBorders>
              <w:top w:val="single" w:sz="4" w:space="0" w:color="000000" w:themeColor="text1"/>
              <w:bottom w:val="single" w:sz="4" w:space="0" w:color="000000" w:themeColor="text1"/>
            </w:tcBorders>
          </w:tcPr>
          <w:p w14:paraId="4C51FD05" w14:textId="77777777" w:rsidR="004B1BBF" w:rsidRDefault="004B1BBF" w:rsidP="004B1BBF">
            <w:pPr>
              <w:pStyle w:val="TableText0"/>
              <w:spacing w:before="40" w:after="40"/>
              <w:jc w:val="center"/>
              <w:rPr>
                <w:b/>
              </w:rPr>
            </w:pPr>
            <w:r>
              <w:rPr>
                <w:b/>
              </w:rPr>
              <w:t>3</w:t>
            </w:r>
          </w:p>
        </w:tc>
      </w:tr>
      <w:tr w:rsidR="004B1BBF" w:rsidRPr="00852BC2" w14:paraId="57B8FBBD" w14:textId="77777777" w:rsidTr="00DB42E5">
        <w:tc>
          <w:tcPr>
            <w:tcW w:w="4680" w:type="dxa"/>
            <w:tcBorders>
              <w:top w:val="single" w:sz="4" w:space="0" w:color="000000" w:themeColor="text1"/>
              <w:bottom w:val="single" w:sz="4" w:space="0" w:color="000000" w:themeColor="text1"/>
            </w:tcBorders>
            <w:vAlign w:val="center"/>
          </w:tcPr>
          <w:p w14:paraId="2D9B9A2F" w14:textId="77777777" w:rsidR="004B1BBF" w:rsidRPr="00852BC2" w:rsidRDefault="004B1BBF" w:rsidP="00345FC9">
            <w:pPr>
              <w:pStyle w:val="TableText0"/>
              <w:spacing w:before="40" w:after="40"/>
              <w:ind w:left="375" w:hanging="91"/>
            </w:pPr>
            <w:r w:rsidRPr="00852BC2">
              <w:t xml:space="preserve">SPATT </w:t>
            </w:r>
            <w:r w:rsidR="00E33380">
              <w:t>t</w:t>
            </w:r>
            <w:r w:rsidRPr="00852BC2">
              <w:t>oxin concentration</w:t>
            </w:r>
          </w:p>
        </w:tc>
        <w:tc>
          <w:tcPr>
            <w:tcW w:w="990" w:type="dxa"/>
            <w:tcBorders>
              <w:top w:val="single" w:sz="4" w:space="0" w:color="000000" w:themeColor="text1"/>
              <w:bottom w:val="single" w:sz="4" w:space="0" w:color="000000" w:themeColor="text1"/>
            </w:tcBorders>
          </w:tcPr>
          <w:p w14:paraId="4576C8FA" w14:textId="77777777" w:rsidR="004B1BBF" w:rsidRPr="00852BC2" w:rsidRDefault="004B1BBF" w:rsidP="004B1BBF">
            <w:pPr>
              <w:pStyle w:val="TableText0"/>
              <w:spacing w:before="40" w:after="40"/>
              <w:jc w:val="center"/>
              <w:rPr>
                <w:b/>
              </w:rPr>
            </w:pPr>
            <w:r w:rsidRPr="00852BC2">
              <w:rPr>
                <w:b/>
              </w:rPr>
              <w:t>2</w:t>
            </w:r>
          </w:p>
        </w:tc>
        <w:tc>
          <w:tcPr>
            <w:tcW w:w="720" w:type="dxa"/>
            <w:tcBorders>
              <w:top w:val="single" w:sz="4" w:space="0" w:color="000000" w:themeColor="text1"/>
              <w:bottom w:val="single" w:sz="4" w:space="0" w:color="000000" w:themeColor="text1"/>
            </w:tcBorders>
          </w:tcPr>
          <w:p w14:paraId="7909071E" w14:textId="77777777" w:rsidR="004B1BBF" w:rsidRPr="00852BC2" w:rsidRDefault="004B1BBF" w:rsidP="004B1BBF">
            <w:pPr>
              <w:pStyle w:val="TableText0"/>
              <w:spacing w:before="40" w:after="40"/>
              <w:jc w:val="center"/>
              <w:rPr>
                <w:b/>
              </w:rPr>
            </w:pPr>
            <w:r w:rsidRPr="00852BC2">
              <w:rPr>
                <w:b/>
              </w:rPr>
              <w:t>H, AL</w:t>
            </w:r>
          </w:p>
        </w:tc>
        <w:tc>
          <w:tcPr>
            <w:tcW w:w="1080" w:type="dxa"/>
            <w:tcBorders>
              <w:top w:val="single" w:sz="4" w:space="0" w:color="000000" w:themeColor="text1"/>
              <w:bottom w:val="single" w:sz="4" w:space="0" w:color="000000" w:themeColor="text1"/>
            </w:tcBorders>
            <w:vAlign w:val="center"/>
          </w:tcPr>
          <w:p w14:paraId="6A63041B" w14:textId="77777777" w:rsidR="004B1BBF" w:rsidRPr="00852BC2" w:rsidRDefault="005B268E" w:rsidP="004B1BBF">
            <w:pPr>
              <w:pStyle w:val="TableText0"/>
              <w:spacing w:before="40" w:after="40"/>
              <w:jc w:val="center"/>
              <w:rPr>
                <w:b/>
              </w:rPr>
            </w:pPr>
            <w:r>
              <w:rPr>
                <w:b/>
              </w:rPr>
              <w:t>3</w:t>
            </w:r>
          </w:p>
        </w:tc>
        <w:tc>
          <w:tcPr>
            <w:tcW w:w="900" w:type="dxa"/>
            <w:tcBorders>
              <w:top w:val="single" w:sz="4" w:space="0" w:color="000000" w:themeColor="text1"/>
              <w:bottom w:val="single" w:sz="4" w:space="0" w:color="000000" w:themeColor="text1"/>
            </w:tcBorders>
            <w:vAlign w:val="center"/>
          </w:tcPr>
          <w:p w14:paraId="73A16389" w14:textId="77777777" w:rsidR="004B1BBF" w:rsidRPr="00852BC2" w:rsidRDefault="004B1BBF" w:rsidP="004B1BBF">
            <w:pPr>
              <w:pStyle w:val="TableText0"/>
              <w:spacing w:before="40" w:after="40"/>
              <w:jc w:val="center"/>
              <w:rPr>
                <w:b/>
              </w:rPr>
            </w:pPr>
            <w:r w:rsidRPr="00852BC2">
              <w:rPr>
                <w:b/>
              </w:rPr>
              <w:t>3</w:t>
            </w:r>
          </w:p>
        </w:tc>
        <w:tc>
          <w:tcPr>
            <w:tcW w:w="810" w:type="dxa"/>
            <w:tcBorders>
              <w:top w:val="single" w:sz="4" w:space="0" w:color="000000" w:themeColor="text1"/>
              <w:bottom w:val="single" w:sz="4" w:space="0" w:color="000000" w:themeColor="text1"/>
            </w:tcBorders>
            <w:vAlign w:val="center"/>
          </w:tcPr>
          <w:p w14:paraId="117475E9" w14:textId="77777777" w:rsidR="004B1BBF" w:rsidRPr="00852BC2" w:rsidRDefault="004B1BBF" w:rsidP="004B1BBF">
            <w:pPr>
              <w:pStyle w:val="TableText0"/>
              <w:spacing w:before="40" w:after="40"/>
              <w:jc w:val="center"/>
              <w:rPr>
                <w:b/>
              </w:rPr>
            </w:pPr>
            <w:r w:rsidRPr="00852BC2">
              <w:rPr>
                <w:b/>
              </w:rPr>
              <w:t>2</w:t>
            </w:r>
          </w:p>
        </w:tc>
        <w:tc>
          <w:tcPr>
            <w:tcW w:w="900" w:type="dxa"/>
            <w:tcBorders>
              <w:top w:val="single" w:sz="4" w:space="0" w:color="000000" w:themeColor="text1"/>
              <w:bottom w:val="single" w:sz="4" w:space="0" w:color="000000" w:themeColor="text1"/>
            </w:tcBorders>
          </w:tcPr>
          <w:p w14:paraId="3BDC17EE" w14:textId="77777777" w:rsidR="004B1BBF" w:rsidRPr="00852BC2" w:rsidRDefault="004B1BBF" w:rsidP="004B1BBF">
            <w:pPr>
              <w:pStyle w:val="TableText0"/>
              <w:spacing w:before="40" w:after="40"/>
              <w:jc w:val="center"/>
              <w:rPr>
                <w:b/>
              </w:rPr>
            </w:pPr>
          </w:p>
        </w:tc>
        <w:tc>
          <w:tcPr>
            <w:tcW w:w="1350" w:type="dxa"/>
            <w:tcBorders>
              <w:top w:val="single" w:sz="4" w:space="0" w:color="000000" w:themeColor="text1"/>
              <w:bottom w:val="single" w:sz="4" w:space="0" w:color="000000" w:themeColor="text1"/>
            </w:tcBorders>
            <w:vAlign w:val="center"/>
          </w:tcPr>
          <w:p w14:paraId="058EC65A" w14:textId="77777777" w:rsidR="004B1BBF" w:rsidRPr="00852BC2" w:rsidRDefault="004B1BBF" w:rsidP="004B1BBF">
            <w:pPr>
              <w:pStyle w:val="TableText0"/>
              <w:spacing w:before="40" w:after="40"/>
              <w:jc w:val="center"/>
              <w:rPr>
                <w:b/>
              </w:rPr>
            </w:pPr>
            <w:r w:rsidRPr="00852BC2">
              <w:rPr>
                <w:b/>
              </w:rPr>
              <w:t>1</w:t>
            </w:r>
          </w:p>
        </w:tc>
        <w:tc>
          <w:tcPr>
            <w:tcW w:w="1350" w:type="dxa"/>
            <w:tcBorders>
              <w:top w:val="single" w:sz="4" w:space="0" w:color="000000" w:themeColor="text1"/>
              <w:bottom w:val="single" w:sz="4" w:space="0" w:color="000000" w:themeColor="text1"/>
            </w:tcBorders>
          </w:tcPr>
          <w:p w14:paraId="515C29B6" w14:textId="77777777" w:rsidR="004B1BBF" w:rsidRPr="00852BC2" w:rsidRDefault="004B1BBF" w:rsidP="004B1BBF">
            <w:pPr>
              <w:pStyle w:val="TableText0"/>
              <w:spacing w:before="40" w:after="40"/>
              <w:jc w:val="center"/>
              <w:rPr>
                <w:b/>
              </w:rPr>
            </w:pPr>
            <w:r w:rsidRPr="00852BC2">
              <w:rPr>
                <w:b/>
              </w:rPr>
              <w:t>1</w:t>
            </w:r>
          </w:p>
        </w:tc>
      </w:tr>
      <w:bookmarkEnd w:id="51"/>
    </w:tbl>
    <w:p w14:paraId="6E9E6C95" w14:textId="77777777" w:rsidR="00F81F4D" w:rsidRPr="00852BC2" w:rsidRDefault="00F81F4D" w:rsidP="00700D5A">
      <w:pPr>
        <w:sectPr w:rsidR="00F81F4D" w:rsidRPr="00852BC2" w:rsidSect="00E86387">
          <w:pgSz w:w="15840" w:h="12240" w:orient="landscape"/>
          <w:pgMar w:top="1440" w:right="1440" w:bottom="1440" w:left="1440" w:header="720" w:footer="720" w:gutter="0"/>
          <w:cols w:space="720"/>
          <w:docGrid w:linePitch="360"/>
        </w:sectPr>
      </w:pPr>
    </w:p>
    <w:p w14:paraId="4EB871AF" w14:textId="77777777" w:rsidR="00700D5A" w:rsidRPr="00852BC2" w:rsidRDefault="00626DCF" w:rsidP="00A173FF">
      <w:pPr>
        <w:pStyle w:val="Heading3"/>
      </w:pPr>
      <w:bookmarkStart w:id="52" w:name="_Toc526505116"/>
      <w:r w:rsidRPr="00852BC2">
        <w:t xml:space="preserve">2.2.2 </w:t>
      </w:r>
      <w:r w:rsidR="006969D9">
        <w:t xml:space="preserve">Evaluation of </w:t>
      </w:r>
      <w:r w:rsidR="00A052C5">
        <w:t>Alg</w:t>
      </w:r>
      <w:r w:rsidR="00DF15C3">
        <w:t>al Abundance</w:t>
      </w:r>
      <w:r w:rsidR="00A052C5">
        <w:t xml:space="preserve">, Aquatic Plants, and </w:t>
      </w:r>
      <w:r w:rsidRPr="00852BC2">
        <w:t>Organic Matter Accumulation</w:t>
      </w:r>
      <w:r w:rsidR="006969D9">
        <w:t xml:space="preserve"> Indicators</w:t>
      </w:r>
      <w:bookmarkEnd w:id="52"/>
    </w:p>
    <w:p w14:paraId="14EE3399" w14:textId="68AED2C5" w:rsidR="00E453CB" w:rsidRDefault="00E453CB" w:rsidP="00E33380">
      <w:pPr>
        <w:jc w:val="both"/>
      </w:pPr>
      <w:r>
        <w:t>Algae</w:t>
      </w:r>
      <w:r w:rsidR="00A052C5">
        <w:t>, aquatic plants, and associated detrital organic matter</w:t>
      </w:r>
      <w:r>
        <w:t xml:space="preserve"> are ubiquitous and essential components of all stream ecosystems (Stevenson 2014; Stevenson and Smol 2003</w:t>
      </w:r>
      <w:r w:rsidR="00A052C5">
        <w:t>, Findlay 2016</w:t>
      </w:r>
      <w:r>
        <w:t>), provide numerous ecosystem services and have a direct relationship to many beneficial uses designated by the State of California</w:t>
      </w:r>
      <w:r w:rsidR="006969D9">
        <w:t xml:space="preserve"> (see Section 2.1.2)</w:t>
      </w:r>
      <w:r>
        <w:t>. They are the primary energy source for many stream food webs, fixing carbon from the atmosphere through photosynthesis, which is then transmitted through the web via consumer pathways, the primary mechanism for support of WARM and COLD water beneficial uses</w:t>
      </w:r>
      <w:r w:rsidR="00B5410B">
        <w:t>, and thus by association other aquatic life uses (RARE, SPWN, MIGR, COMM, AQUA, SHELL)</w:t>
      </w:r>
      <w:r>
        <w:t xml:space="preserve">. They are represented by a vast range of different species, growth forms, and life histories. They strongly regulate nutrient uptake and sequestration and the oxygenation of the water column. Perturbation of the natural stream </w:t>
      </w:r>
      <w:r w:rsidR="00A052C5">
        <w:t xml:space="preserve">primary producer </w:t>
      </w:r>
      <w:r>
        <w:t xml:space="preserve">community can result in the impairment of one or more of these essential functions. Commercially and recreationally (COMM) important fisheries species have a life-history stage that is dependent on balanced algal </w:t>
      </w:r>
      <w:r w:rsidR="00A052C5">
        <w:t xml:space="preserve">and aquatic plant </w:t>
      </w:r>
      <w:r>
        <w:t>communities in wadeable streams, including several species of salmonids. The biomass and community composition of algae</w:t>
      </w:r>
      <w:r w:rsidR="00A052C5">
        <w:t>, aquatic plants,</w:t>
      </w:r>
      <w:r>
        <w:t xml:space="preserve"> and associated detrital organic matter can influence the population structure and growth rates o</w:t>
      </w:r>
      <w:r w:rsidR="00AD19FC">
        <w:t>f invertebrates and fish and in</w:t>
      </w:r>
      <w:r>
        <w:t xml:space="preserve"> supporting </w:t>
      </w:r>
      <w:r w:rsidR="00AD19FC">
        <w:t xml:space="preserve">terrestrial </w:t>
      </w:r>
      <w:r>
        <w:t>migratory birds</w:t>
      </w:r>
      <w:r w:rsidR="00AD19FC">
        <w:t xml:space="preserve"> and threatened and endangered amphibians and riparian dependent mammals</w:t>
      </w:r>
      <w:r>
        <w:t>, thus linking to</w:t>
      </w:r>
      <w:r w:rsidR="00DF15C3">
        <w:t xml:space="preserve"> WILD,</w:t>
      </w:r>
      <w:r>
        <w:t xml:space="preserve"> MIGR</w:t>
      </w:r>
      <w:r w:rsidR="00DF15C3">
        <w:t xml:space="preserve"> </w:t>
      </w:r>
      <w:r>
        <w:t xml:space="preserve">and RARE beneficial uses. </w:t>
      </w:r>
    </w:p>
    <w:p w14:paraId="113E3313" w14:textId="53AD4187" w:rsidR="00B5410B" w:rsidRDefault="008C63E1" w:rsidP="00E33380">
      <w:pPr>
        <w:jc w:val="both"/>
      </w:pPr>
      <w:r>
        <w:t>In wadeable streams with good light penetration</w:t>
      </w:r>
      <w:r w:rsidR="004B0086">
        <w:t xml:space="preserve"> to the stream bottom</w:t>
      </w:r>
      <w:r>
        <w:t>, most organic matter accumulation will be expressed as benthic or periphytic mats are found on a variety of different stream substrates (</w:t>
      </w:r>
      <w:r w:rsidR="00B5410B">
        <w:t>e.g.</w:t>
      </w:r>
      <w:r w:rsidR="003C004B">
        <w:t>,</w:t>
      </w:r>
      <w:r w:rsidR="00B5410B">
        <w:t xml:space="preserve"> </w:t>
      </w:r>
      <w:r>
        <w:t xml:space="preserve">sand, pebbles, cobble, </w:t>
      </w:r>
      <w:r w:rsidR="003C004B">
        <w:t xml:space="preserve">and </w:t>
      </w:r>
      <w:r>
        <w:t xml:space="preserve">boulders). </w:t>
      </w:r>
      <w:r w:rsidR="006859DF">
        <w:t xml:space="preserve">In turbid streams or in deep pools, </w:t>
      </w:r>
      <w:r w:rsidR="00B24799">
        <w:t>sestonic</w:t>
      </w:r>
      <w:r w:rsidR="006859DF">
        <w:t xml:space="preserve"> algae (phytoplankton) may dominate. </w:t>
      </w:r>
      <w:r>
        <w:t xml:space="preserve">The most commonly used of these biomass indicators are benthic </w:t>
      </w:r>
      <w:r w:rsidR="006859DF">
        <w:t xml:space="preserve">or sestonic </w:t>
      </w:r>
      <w:r>
        <w:t>chlorophyll a (benthic chl-a</w:t>
      </w:r>
      <w:r w:rsidR="006859DF">
        <w:t xml:space="preserve"> or water column chl-a</w:t>
      </w:r>
      <w:r>
        <w:t>), ash-free dry mass (AFDM) or carbon, nitrogen and phosphorus content</w:t>
      </w:r>
      <w:r w:rsidR="006859DF">
        <w:t xml:space="preserve"> (Ruttenberg </w:t>
      </w:r>
      <w:r w:rsidR="00B24799" w:rsidRPr="008E73A9">
        <w:t>and Goñi 1997</w:t>
      </w:r>
      <w:r w:rsidR="006859DF">
        <w:t>)</w:t>
      </w:r>
      <w:r>
        <w:t>, algal biovolume</w:t>
      </w:r>
      <w:r w:rsidRPr="00911CA5">
        <w:t xml:space="preserve"> </w:t>
      </w:r>
      <w:r>
        <w:t>(Barbour et al. 1999, USEPA 2000)</w:t>
      </w:r>
      <w:r w:rsidR="006859DF">
        <w:t xml:space="preserve">, or </w:t>
      </w:r>
      <w:r w:rsidR="006969D9">
        <w:t xml:space="preserve">macroalgal </w:t>
      </w:r>
      <w:r w:rsidR="006859DF">
        <w:t xml:space="preserve">percent cover (Fetscher et al. 2009, 2014). </w:t>
      </w:r>
      <w:r w:rsidR="00A173FF">
        <w:t>Benthic chl-a is a measure of one of the photosynthetic pigments found in algae</w:t>
      </w:r>
      <w:r w:rsidR="006969D9">
        <w:t xml:space="preserve"> and</w:t>
      </w:r>
      <w:r w:rsidR="00A173FF">
        <w:t xml:space="preserve"> has a long history of application for estimating algal biomass in aquatic systems</w:t>
      </w:r>
      <w:r w:rsidR="006969D9">
        <w:t xml:space="preserve"> (USEPA 2000)</w:t>
      </w:r>
      <w:r w:rsidR="00A173FF">
        <w:t xml:space="preserve">. </w:t>
      </w:r>
      <w:r w:rsidR="006A6F83">
        <w:t>ADFM or particulate organic carbon, nitrogen or phosphorus gives the organic matter or elemental weight of all algal and non-algal components in the system (e.g.  leaf litter and other non-algal detritus, microbes, small invertebrates, etc</w:t>
      </w:r>
      <w:r w:rsidR="003C004B">
        <w:t>.</w:t>
      </w:r>
      <w:r w:rsidR="006A6F83">
        <w:t>)</w:t>
      </w:r>
      <w:r w:rsidR="00DF15C3">
        <w:t xml:space="preserve"> and is thus useful as a total measure of organic matter accumulation. </w:t>
      </w:r>
      <w:r w:rsidR="00C87D3A">
        <w:t xml:space="preserve">Though AFDM is more commonly used (Fetscher et al. 2009), CHN is a more precise measure of organic carbon and nitrogen content that provides more information on the source of organic matter (terrestrial carbon with highly lignified, nitrogen-poor carbon content, or algal and microbial carbon with highly labile nitrogen-rich carbon sources; Ruttenberg </w:t>
      </w:r>
      <w:r w:rsidR="00C87D3A" w:rsidRPr="008E73A9">
        <w:t>and Goñi 1997</w:t>
      </w:r>
      <w:r w:rsidR="00C87D3A">
        <w:t>).  B</w:t>
      </w:r>
      <w:r w:rsidR="006A6F83">
        <w:t>iovolume is often used to estimate algal biomass (Barbour et al. 1999). For this estimate, the approximate dimensions of living cells are taken using microscopy and geometric equations used to estimate the volumetric mass of organic matter. Biomass can be estimated using published cell volume to biomass conversions.</w:t>
      </w:r>
      <w:r w:rsidR="006A6F83" w:rsidRPr="006A6F83">
        <w:t xml:space="preserve"> </w:t>
      </w:r>
      <w:r w:rsidR="00720D26">
        <w:t>P</w:t>
      </w:r>
      <w:r w:rsidR="006A6F83">
        <w:t>ercent cover of algae (diatoms, soft-bodied macroalgae)</w:t>
      </w:r>
      <w:r w:rsidR="00720D26">
        <w:t xml:space="preserve"> and vascular aquatic vegetation</w:t>
      </w:r>
      <w:r w:rsidR="006A6F83">
        <w:t xml:space="preserve"> is routinely estimated </w:t>
      </w:r>
      <w:r w:rsidR="002C3E72">
        <w:t xml:space="preserve">via visual estimates </w:t>
      </w:r>
      <w:r w:rsidR="006A6F83">
        <w:t xml:space="preserve">using a point-intercept method based on 11 transects within a 150 m reach in the California multihabitat sampling protocol (Fetscher et al. 2009). </w:t>
      </w:r>
      <w:r w:rsidR="002C3E72">
        <w:t xml:space="preserve">Percent cover of </w:t>
      </w:r>
      <w:r w:rsidR="00720D26">
        <w:t>vascular aquatic vegetation</w:t>
      </w:r>
      <w:r w:rsidR="002C3E72">
        <w:t xml:space="preserve"> is estimated with algae in the Fetscher et al. 2009 protocol, but biomass</w:t>
      </w:r>
      <w:r w:rsidR="00720D26">
        <w:t xml:space="preserve"> is not routinely sampled in </w:t>
      </w:r>
      <w:r w:rsidR="00AD19FC">
        <w:t xml:space="preserve">wadeable stream </w:t>
      </w:r>
      <w:r w:rsidR="00720D26">
        <w:t>rapid bioassessments</w:t>
      </w:r>
      <w:r w:rsidR="00AD19FC">
        <w:t>. In deepwater channels, such as in the San Joaquin and Sacramento Rivers, floating and submerged aquatic vegetation may be a more useful indicator of eutrophication</w:t>
      </w:r>
      <w:r w:rsidR="00C5540D">
        <w:t>, with direct impacts to navigation and water intakes via clogging</w:t>
      </w:r>
      <w:r w:rsidR="00AD19FC">
        <w:t xml:space="preserve"> (Boyer and Sutula 2016). </w:t>
      </w:r>
    </w:p>
    <w:p w14:paraId="1A3A261D" w14:textId="33ACF5CD" w:rsidR="00F87591" w:rsidRDefault="0052704A" w:rsidP="00E33380">
      <w:pPr>
        <w:jc w:val="both"/>
      </w:pPr>
      <w:r w:rsidRPr="0052704A">
        <w:rPr>
          <w:noProof/>
          <w:lang w:eastAsia="zh-CN" w:bidi="ar-SA"/>
        </w:rPr>
        <w:drawing>
          <wp:anchor distT="0" distB="0" distL="114300" distR="114300" simplePos="0" relativeHeight="251663360" behindDoc="0" locked="0" layoutInCell="1" allowOverlap="1" wp14:anchorId="14229620" wp14:editId="0DE5F95C">
            <wp:simplePos x="0" y="0"/>
            <wp:positionH relativeFrom="margin">
              <wp:align>left</wp:align>
            </wp:positionH>
            <wp:positionV relativeFrom="paragraph">
              <wp:posOffset>1208405</wp:posOffset>
            </wp:positionV>
            <wp:extent cx="3076575" cy="4105275"/>
            <wp:effectExtent l="0" t="0" r="9525"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76575" cy="4105275"/>
                    </a:xfrm>
                    <a:prstGeom prst="rect">
                      <a:avLst/>
                    </a:prstGeom>
                    <a:noFill/>
                    <a:ln>
                      <a:noFill/>
                    </a:ln>
                  </pic:spPr>
                </pic:pic>
              </a:graphicData>
            </a:graphic>
          </wp:anchor>
        </w:drawing>
      </w:r>
      <w:r w:rsidR="00F87591">
        <w:t xml:space="preserve">Few rivers algal communities are dominated by true phytoplankton, largely because the residence time is generally </w:t>
      </w:r>
      <w:r w:rsidR="00A3733D">
        <w:t>short,</w:t>
      </w:r>
      <w:r w:rsidR="00F87591">
        <w:t xml:space="preserve"> and phytoplankton are “washed out” before they can develop (Wehr and Descy 1998).  Other limitations include the general lack of stratification combined with turbidity which may lead to suspended algae spending less time in ideal light conditions than true lentic phytoplankton.  Nevertheless, large, low gradient streams may develop a large biomass of true phytoplankton, at least for part of the year (lower flow) in part of the channel (slower moving, higher residence time segments), in parts that are managed (above dams), or in ag- or timber- dominated areas with high suspended solids loads that prevent light from reaching the bottom</w:t>
      </w:r>
      <w:r w:rsidR="00AF51B8">
        <w:t xml:space="preserve"> (Figure 2.6)</w:t>
      </w:r>
      <w:r w:rsidR="00F87591">
        <w:t xml:space="preserve">.  Distinguishing true phytoplankton from tychoplankton (suspended benthic algae) is not possible using only chlorophyll a, but pathways of impact to aquatic life and human uses are similar (see conceptual models above).  </w:t>
      </w:r>
      <w:r w:rsidR="0084555A">
        <w:t>Therefore</w:t>
      </w:r>
      <w:r w:rsidR="00F71DAD">
        <w:t>,</w:t>
      </w:r>
      <w:r w:rsidR="0084555A">
        <w:t xml:space="preserve"> sestonic (water column) chl-a is a reasonable measure of algal biomass or organic matter accumulation, analogous to benthic chl-a, that is applicable to some California wadeable streams. Use of </w:t>
      </w:r>
      <w:r w:rsidR="0084555A" w:rsidRPr="009A6118">
        <w:rPr>
          <w:i/>
        </w:rPr>
        <w:t>in situ</w:t>
      </w:r>
      <w:r w:rsidR="0084555A">
        <w:t xml:space="preserve"> continuous instruments </w:t>
      </w:r>
      <w:r>
        <w:t>such as data loggers that measure</w:t>
      </w:r>
      <w:r w:rsidR="0084555A">
        <w:t xml:space="preserve"> chlorophyll</w:t>
      </w:r>
      <w:r>
        <w:t xml:space="preserve">-a fluorescence are practical for use over extended periods, but their outputs must always be tied back to discrete chl-a in water column samples for the results to be interpretable. </w:t>
      </w:r>
    </w:p>
    <w:p w14:paraId="43D4E194" w14:textId="77777777" w:rsidR="0052704A" w:rsidRDefault="0052704A" w:rsidP="0052704A">
      <w:pPr>
        <w:pStyle w:val="TOF"/>
      </w:pPr>
      <w:bookmarkStart w:id="53" w:name="_Toc526489940"/>
      <w:r>
        <w:t xml:space="preserve">Figure </w:t>
      </w:r>
      <w:r w:rsidR="00AF51B8">
        <w:t xml:space="preserve">2.6 </w:t>
      </w:r>
      <w:r>
        <w:t>Sestonic, phytoplankton blooms in an ag-dominated channel of Central Coast. Photo credit: NRCS.usda.gov</w:t>
      </w:r>
      <w:bookmarkEnd w:id="53"/>
    </w:p>
    <w:p w14:paraId="58DEC9B3" w14:textId="77777777" w:rsidR="0052704A" w:rsidRDefault="0052704A" w:rsidP="0052704A">
      <w:pPr>
        <w:pStyle w:val="TOF"/>
      </w:pPr>
    </w:p>
    <w:p w14:paraId="75ECB72F" w14:textId="012D6640" w:rsidR="008E73A9" w:rsidRDefault="00B5410B" w:rsidP="00312CE7">
      <w:pPr>
        <w:jc w:val="both"/>
      </w:pPr>
      <w:r>
        <w:t>Overall</w:t>
      </w:r>
      <w:r w:rsidR="00A36C09">
        <w:t>, a</w:t>
      </w:r>
      <w:r w:rsidRPr="00A052C5">
        <w:t xml:space="preserve">lgae </w:t>
      </w:r>
      <w:r>
        <w:t xml:space="preserve">and organic matter </w:t>
      </w:r>
      <w:r w:rsidRPr="00A052C5">
        <w:t xml:space="preserve">have a long history of use </w:t>
      </w:r>
      <w:r>
        <w:t xml:space="preserve">as </w:t>
      </w:r>
      <w:r w:rsidRPr="00A052C5">
        <w:t>ecological indicator</w:t>
      </w:r>
      <w:r>
        <w:t>s, with a strong signal: noise ratio in the assessment of eutrophication</w:t>
      </w:r>
      <w:r w:rsidRPr="00A052C5">
        <w:t xml:space="preserve"> </w:t>
      </w:r>
      <w:r w:rsidR="00A36C09">
        <w:t>(</w:t>
      </w:r>
      <w:r w:rsidR="006969D9">
        <w:t xml:space="preserve">Section 2.1.2, </w:t>
      </w:r>
      <w:r w:rsidR="00A36C09">
        <w:t xml:space="preserve">Figure 2.6) and benthic </w:t>
      </w:r>
      <w:r w:rsidR="00F87591">
        <w:t xml:space="preserve">and sestonic </w:t>
      </w:r>
      <w:r w:rsidR="00A36C09">
        <w:t>algal and organic matter indicators readily meet the evaluation criteria for consideration as a line of evidence of eutrophication.</w:t>
      </w:r>
      <w:r w:rsidR="00A36C09" w:rsidRPr="00A052C5">
        <w:t xml:space="preserve"> </w:t>
      </w:r>
      <w:r w:rsidRPr="00A052C5">
        <w:t xml:space="preserve">(Stevenson 2014; Stevenson et al. 2010; Stevenson and Smol 2003). </w:t>
      </w:r>
      <w:r>
        <w:t>They</w:t>
      </w:r>
      <w:r w:rsidRPr="00A052C5">
        <w:t xml:space="preserve"> can be feasibly measured are easily sampled and processed using a wide variety of </w:t>
      </w:r>
      <w:r w:rsidR="005125B6">
        <w:t xml:space="preserve">cost-effective </w:t>
      </w:r>
      <w:r w:rsidRPr="00A052C5">
        <w:t>methods</w:t>
      </w:r>
      <w:r>
        <w:t>, most notably in California wadeable streams with a well-established and state adopted protocol (Fetscher et al. 2009)</w:t>
      </w:r>
      <w:r w:rsidRPr="00A052C5">
        <w:t>.</w:t>
      </w:r>
      <w:r w:rsidR="00A36C09" w:rsidRPr="00A36C09">
        <w:t xml:space="preserve"> </w:t>
      </w:r>
      <w:r w:rsidR="00A36C09" w:rsidRPr="00A052C5">
        <w:t>Lastly, algal measurements are readily interpreted by scientists, policy makers, and the public (USEPA</w:t>
      </w:r>
      <w:r w:rsidR="00A36C09">
        <w:t xml:space="preserve"> 2000), with </w:t>
      </w:r>
      <w:r w:rsidR="008E73A9">
        <w:t xml:space="preserve">strong </w:t>
      </w:r>
      <w:r w:rsidR="00A36C09">
        <w:t xml:space="preserve">evidence of </w:t>
      </w:r>
      <w:r w:rsidR="00AD19FC">
        <w:t xml:space="preserve">benthic chl-a, AFDM, and percent cover </w:t>
      </w:r>
      <w:r w:rsidR="00A36C09">
        <w:t xml:space="preserve">thresholds that can support decisions on numeric targets (Mazor et </w:t>
      </w:r>
      <w:r w:rsidR="008E73A9">
        <w:t>al. 2016, Fetscher et al. 2014, Supplee et al. 2009), based on a robust statewide dataset with an extensive network of reference sites (Ode et al. 201</w:t>
      </w:r>
      <w:r w:rsidR="000B0EE3">
        <w:t>6</w:t>
      </w:r>
      <w:r w:rsidR="008E73A9">
        <w:t>).</w:t>
      </w:r>
      <w:r w:rsidR="008E73A9" w:rsidRPr="008E73A9">
        <w:t xml:space="preserve"> </w:t>
      </w:r>
      <w:r w:rsidR="008E73A9">
        <w:t xml:space="preserve">Evidence for sestonic algal thresholds on aquatic </w:t>
      </w:r>
      <w:r w:rsidR="00F87591">
        <w:t>life cannot</w:t>
      </w:r>
      <w:r w:rsidR="008E73A9">
        <w:t xml:space="preserve"> </w:t>
      </w:r>
      <w:r w:rsidR="00F87591">
        <w:t>be</w:t>
      </w:r>
      <w:r w:rsidR="008E73A9">
        <w:t xml:space="preserve"> derived from statewide bioassessment data</w:t>
      </w:r>
      <w:r w:rsidR="00F87591" w:rsidRPr="00F87591">
        <w:t xml:space="preserve"> </w:t>
      </w:r>
      <w:r w:rsidR="00F87591">
        <w:t xml:space="preserve">because SWAMP does not undertake sampling that can provide basis for empirical stress-response modeling. However, </w:t>
      </w:r>
      <w:r w:rsidR="008E73A9">
        <w:t xml:space="preserve">some basis exists for suggested thresholds, based on the published studies in different regions. </w:t>
      </w:r>
      <w:r w:rsidR="00AD19FC">
        <w:t xml:space="preserve">No basis </w:t>
      </w:r>
      <w:r w:rsidR="00F87591">
        <w:t xml:space="preserve">currently </w:t>
      </w:r>
      <w:r w:rsidR="00AD19FC">
        <w:t xml:space="preserve">exists for cover thresholds for vascular aquatic plants. </w:t>
      </w:r>
    </w:p>
    <w:p w14:paraId="153C7A24" w14:textId="77777777" w:rsidR="00A1289A" w:rsidRDefault="00AF67B9" w:rsidP="00312CE7">
      <w:pPr>
        <w:jc w:val="both"/>
      </w:pPr>
      <w:r>
        <w:t xml:space="preserve">While </w:t>
      </w:r>
      <w:r w:rsidR="00F6386D">
        <w:t xml:space="preserve">benthic </w:t>
      </w:r>
      <w:r w:rsidR="006969D9">
        <w:t xml:space="preserve">algal </w:t>
      </w:r>
      <w:r w:rsidR="00A36C09">
        <w:t xml:space="preserve">chl-a and </w:t>
      </w:r>
      <w:r w:rsidR="00110347">
        <w:t>organic matter</w:t>
      </w:r>
      <w:r w:rsidR="00A36C09">
        <w:t xml:space="preserve"> measures generally have a </w:t>
      </w:r>
      <w:r w:rsidR="00110347">
        <w:t xml:space="preserve">strong signal: noise ratio, some comparison among </w:t>
      </w:r>
      <w:r w:rsidR="00A1289A">
        <w:t>these measures</w:t>
      </w:r>
      <w:r w:rsidR="00110347">
        <w:t xml:space="preserve"> is warranted. </w:t>
      </w:r>
      <w:r w:rsidR="00F6386D">
        <w:t xml:space="preserve">Benthic </w:t>
      </w:r>
      <w:r w:rsidR="00110347">
        <w:t>organic matter distribution in streams is inherently patchy and temporally variable</w:t>
      </w:r>
      <w:r w:rsidR="00A1289A">
        <w:t>, with precision declining rapidly in streams with algal biomass of &gt; 50 mg/m2 chl-a (</w:t>
      </w:r>
      <w:r w:rsidR="00A1289A" w:rsidRPr="00110347">
        <w:t>Fetscher et al. 2009).</w:t>
      </w:r>
      <w:r w:rsidR="00A1289A">
        <w:t xml:space="preserve"> </w:t>
      </w:r>
      <w:r w:rsidR="00DF15C3">
        <w:t>Reasons behind this include</w:t>
      </w:r>
      <w:r w:rsidR="00A1289A">
        <w:t xml:space="preserve">: </w:t>
      </w:r>
    </w:p>
    <w:p w14:paraId="4C26787D" w14:textId="60DB676A" w:rsidR="00A1289A" w:rsidRDefault="00A1289A" w:rsidP="008E7E7F">
      <w:pPr>
        <w:pStyle w:val="ListParagraph"/>
        <w:numPr>
          <w:ilvl w:val="0"/>
          <w:numId w:val="5"/>
        </w:numPr>
        <w:ind w:left="720"/>
      </w:pPr>
      <w:r>
        <w:t>A high</w:t>
      </w:r>
      <w:r w:rsidR="00110347" w:rsidRPr="00110347">
        <w:t xml:space="preserve"> degree of patchiness </w:t>
      </w:r>
      <w:r>
        <w:t>is common</w:t>
      </w:r>
      <w:r w:rsidRPr="00110347">
        <w:t xml:space="preserve"> </w:t>
      </w:r>
      <w:r>
        <w:t xml:space="preserve">in </w:t>
      </w:r>
      <w:r w:rsidR="00110347" w:rsidRPr="00110347">
        <w:t>macroalgae, which is often the primary contributor to high values of algal biomass (Sheath et al. 1986, Wehr and Sheath 2003)</w:t>
      </w:r>
      <w:r>
        <w:t xml:space="preserve">; a </w:t>
      </w:r>
      <w:r w:rsidR="00110347" w:rsidRPr="00110347">
        <w:t xml:space="preserve">higher density of sampling </w:t>
      </w:r>
      <w:r>
        <w:t xml:space="preserve">that is typically being assessed through the </w:t>
      </w:r>
      <w:r w:rsidR="00B24799">
        <w:t>Fetscher</w:t>
      </w:r>
      <w:r>
        <w:t xml:space="preserve"> et al. </w:t>
      </w:r>
      <w:r w:rsidR="00DF15C3">
        <w:t>(</w:t>
      </w:r>
      <w:r>
        <w:t>2009</w:t>
      </w:r>
      <w:r w:rsidR="00DF15C3">
        <w:t>)</w:t>
      </w:r>
      <w:r>
        <w:t xml:space="preserve"> rapid assessment protocol </w:t>
      </w:r>
      <w:r w:rsidR="00110347" w:rsidRPr="00110347">
        <w:t xml:space="preserve">may be needed </w:t>
      </w:r>
      <w:r w:rsidRPr="00110347">
        <w:t>to</w:t>
      </w:r>
      <w:r w:rsidR="00110347" w:rsidRPr="00110347">
        <w:t xml:space="preserve"> overcome some of the sampling error contributed by the patchiness. </w:t>
      </w:r>
    </w:p>
    <w:p w14:paraId="7AE94333" w14:textId="74D80179" w:rsidR="00A1289A" w:rsidRDefault="00A1289A" w:rsidP="008E7E7F">
      <w:pPr>
        <w:pStyle w:val="ListParagraph"/>
        <w:numPr>
          <w:ilvl w:val="0"/>
          <w:numId w:val="5"/>
        </w:numPr>
        <w:ind w:left="720"/>
      </w:pPr>
      <w:r>
        <w:t>The c</w:t>
      </w:r>
      <w:r w:rsidR="00A36C09">
        <w:t>hlorophyll</w:t>
      </w:r>
      <w:r w:rsidR="00110347">
        <w:t>: carbon</w:t>
      </w:r>
      <w:r w:rsidR="00A36C09">
        <w:t xml:space="preserve"> cell content </w:t>
      </w:r>
      <w:r>
        <w:t xml:space="preserve">in benthic algae </w:t>
      </w:r>
      <w:r w:rsidR="00AF67B9">
        <w:t>can vary</w:t>
      </w:r>
      <w:r w:rsidR="00A36C09">
        <w:t xml:space="preserve"> due to </w:t>
      </w:r>
      <w:r w:rsidR="00110347">
        <w:t>genus or taxa level differences</w:t>
      </w:r>
      <w:r w:rsidR="00A36C09">
        <w:t xml:space="preserve"> </w:t>
      </w:r>
      <w:r w:rsidR="00110347">
        <w:t>as well as physiological responses to light levels in the streams</w:t>
      </w:r>
      <w:r>
        <w:t xml:space="preserve">.  </w:t>
      </w:r>
    </w:p>
    <w:p w14:paraId="61C3FC07" w14:textId="2FD5D42A" w:rsidR="00AF67B9" w:rsidRDefault="00A1289A" w:rsidP="008E7E7F">
      <w:pPr>
        <w:pStyle w:val="ListParagraph"/>
        <w:numPr>
          <w:ilvl w:val="0"/>
          <w:numId w:val="5"/>
        </w:numPr>
        <w:ind w:left="720"/>
      </w:pPr>
      <w:r>
        <w:t xml:space="preserve">Measures of AFDM typically </w:t>
      </w:r>
      <w:r w:rsidR="00AF67B9">
        <w:t xml:space="preserve">at the low end of the disturbance gradient can be </w:t>
      </w:r>
      <w:r w:rsidR="00AF67B9" w:rsidRPr="00AF67B9">
        <w:t>naturally carbon-enriched (e.g., forests with terrestrial carbon inputs</w:t>
      </w:r>
      <w:r w:rsidR="00AF67B9">
        <w:t>; Biggs 2000a)</w:t>
      </w:r>
      <w:r w:rsidR="00AF67B9" w:rsidRPr="00AF67B9">
        <w:t>. This would render AFDM an indicator prone to false positives</w:t>
      </w:r>
      <w:r w:rsidR="00AF67B9">
        <w:t xml:space="preserve"> at the low end of the disturbance gradient</w:t>
      </w:r>
      <w:r w:rsidR="00AF67B9" w:rsidRPr="00AF67B9">
        <w:t>, without controlling for exogenous factors</w:t>
      </w:r>
      <w:r w:rsidR="00AF67B9">
        <w:t xml:space="preserve"> or use of bioconfirmation (EPA </w:t>
      </w:r>
      <w:r w:rsidR="00B24799">
        <w:t>2013</w:t>
      </w:r>
      <w:r w:rsidR="00AF67B9">
        <w:t xml:space="preserve">). </w:t>
      </w:r>
    </w:p>
    <w:p w14:paraId="36A8862A" w14:textId="357CC9F6" w:rsidR="00A1289A" w:rsidRDefault="00A36C09" w:rsidP="008E7E7F">
      <w:pPr>
        <w:pStyle w:val="ListParagraph"/>
        <w:numPr>
          <w:ilvl w:val="0"/>
          <w:numId w:val="5"/>
        </w:numPr>
        <w:ind w:left="720"/>
      </w:pPr>
      <w:r>
        <w:t>Of all algal components, percent macroalgal cover has the best correspondence to aquatic life measures (e.g.</w:t>
      </w:r>
      <w:r w:rsidR="00413840">
        <w:t>,</w:t>
      </w:r>
      <w:r>
        <w:t xml:space="preserve"> CSCI, ASCI) </w:t>
      </w:r>
      <w:r w:rsidR="008E73A9">
        <w:t>but overall has a moderate to poor signal: noise ratio with aquatic life, probably because cover is not a direct measure of accumulated biomass. Both macroalgal cover and total biomass has a strong linkage to recreational use impacts (Suplee et al. 2009)</w:t>
      </w:r>
      <w:r w:rsidR="00B9427A">
        <w:t>. The signal: noise ratio macroalgal cover may be improved with alternative approaches that better capture spatial patchiness of high biomass filamentous algae (e.g.</w:t>
      </w:r>
      <w:r w:rsidR="00413840">
        <w:t>,</w:t>
      </w:r>
      <w:r w:rsidR="00B9427A">
        <w:t xml:space="preserve"> drones). </w:t>
      </w:r>
    </w:p>
    <w:p w14:paraId="7A2FC921" w14:textId="77777777" w:rsidR="00B9427A" w:rsidRDefault="00B9427A" w:rsidP="002917E0">
      <w:pPr>
        <w:pStyle w:val="Heading3"/>
      </w:pPr>
      <w:bookmarkStart w:id="54" w:name="_Toc526505117"/>
      <w:r>
        <w:t>2.2.3 Algal or Benthic Macroinvertebrate Community Composition</w:t>
      </w:r>
      <w:bookmarkEnd w:id="54"/>
    </w:p>
    <w:p w14:paraId="1643E8F5" w14:textId="3C36CBDE" w:rsidR="00EE0BD2" w:rsidRDefault="003C31B6" w:rsidP="00312CE7">
      <w:pPr>
        <w:jc w:val="both"/>
      </w:pPr>
      <w:bookmarkStart w:id="55" w:name="_Hlk525712474"/>
      <w:r>
        <w:t>Wadeable stream biological communities reflect overall ecological integrity (i.e., chemical, physical, and biological integrity</w:t>
      </w:r>
      <w:r w:rsidR="00870E04">
        <w:t xml:space="preserve">), </w:t>
      </w:r>
      <w:r>
        <w:t xml:space="preserve">integrate the effects of different stressors </w:t>
      </w:r>
      <w:r w:rsidR="00870E04">
        <w:t xml:space="preserve">over time </w:t>
      </w:r>
      <w:r>
        <w:t>and thus provide a broad measure of their aggregate impact</w:t>
      </w:r>
      <w:r w:rsidR="00870E04">
        <w:t xml:space="preserve"> under </w:t>
      </w:r>
      <w:r>
        <w:t>fluctuating environmental conditions</w:t>
      </w:r>
      <w:r w:rsidR="003A31C2">
        <w:t xml:space="preserve">, referred to as the biological condition </w:t>
      </w:r>
      <w:r w:rsidR="00B24799">
        <w:t>gradient</w:t>
      </w:r>
      <w:r w:rsidR="008C321A">
        <w:t xml:space="preserve"> (</w:t>
      </w:r>
      <w:r w:rsidR="003A31C2">
        <w:t xml:space="preserve">BCG, </w:t>
      </w:r>
      <w:r w:rsidR="008C321A">
        <w:t>Figure 2.7)</w:t>
      </w:r>
      <w:r>
        <w:t>.</w:t>
      </w:r>
      <w:r w:rsidR="00870E04">
        <w:t xml:space="preserve"> Biological assessment, or “bioassessment,” is a way to measure ecosystem health based on the living organisms at a given location. To achieve this, scientists examine communities of organisms such as invertebrates (e.g., insects, crustaceans), fish, algae, and plants to quantify their numbers and species. Summarized community data provides key information about the condition of aquatic ecosystems. </w:t>
      </w:r>
      <w:r w:rsidR="00EE0BD2" w:rsidRPr="001A5770">
        <w:t>BMI and algal bioassessment have seen widespread implementation in California water quality protection programs, including routine ambient condition assessments (</w:t>
      </w:r>
      <w:r w:rsidR="00EE0BD2">
        <w:t>e.g.</w:t>
      </w:r>
      <w:r w:rsidR="00413840">
        <w:t>,</w:t>
      </w:r>
      <w:r w:rsidR="00EE0BD2">
        <w:t xml:space="preserve"> SWAMP perennial stream survey</w:t>
      </w:r>
      <w:r w:rsidR="000B0EE3">
        <w:t xml:space="preserve"> (</w:t>
      </w:r>
      <w:r w:rsidR="00EE0BD2">
        <w:t>PSA</w:t>
      </w:r>
      <w:r w:rsidR="000B0EE3">
        <w:t>)</w:t>
      </w:r>
      <w:r w:rsidR="00EE0BD2">
        <w:t>, and reference condition monitoring program; RCMP, Ode et al. 2007</w:t>
      </w:r>
      <w:r w:rsidR="00EE0BD2" w:rsidRPr="001A5770">
        <w:t>), waterbody biointegrity impairment listings and associated regulatory actions, and routine monitoring in point source and nonpoint source discharge permits. This implementation program for stream bioassessment is supported by well-established protocols, training and quality assurance</w:t>
      </w:r>
      <w:r w:rsidR="002C3E72">
        <w:t xml:space="preserve"> (</w:t>
      </w:r>
      <w:r w:rsidR="00BC13D9">
        <w:t>Ode et al. 2016a, Fetscher et al. 2009</w:t>
      </w:r>
      <w:r w:rsidR="002C3E72">
        <w:t>)</w:t>
      </w:r>
      <w:r w:rsidR="00EE0BD2" w:rsidRPr="001A5770">
        <w:t>, and a broad network of minimally disturbed reference sites (</w:t>
      </w:r>
      <w:r w:rsidR="00BC13D9">
        <w:t>Ode et al. 2016b</w:t>
      </w:r>
      <w:r w:rsidR="00EE0BD2" w:rsidRPr="001A5770">
        <w:t>). As a result, a robust statewide bioassessment dataset exists, representing both BMI and algal assemblage and OM responses as well as a comprehensive set of eutrophication drivers (nutrients, flow, temp</w:t>
      </w:r>
      <w:r w:rsidR="00413840">
        <w:t>,</w:t>
      </w:r>
      <w:r w:rsidR="00EE0BD2" w:rsidRPr="001A5770">
        <w:t xml:space="preserve"> etc.) with which to </w:t>
      </w:r>
      <w:r w:rsidR="00EE0BD2">
        <w:t xml:space="preserve">investigate the relationships </w:t>
      </w:r>
      <w:r w:rsidR="00C87D3A">
        <w:t xml:space="preserve">and identify thresholds </w:t>
      </w:r>
      <w:r w:rsidR="00EE0BD2">
        <w:t>between eutrophication gradients and BMI and algal assemblage</w:t>
      </w:r>
      <w:r w:rsidR="003A31C2">
        <w:t xml:space="preserve"> (Fetscher et al. 2014, Mazor et al. </w:t>
      </w:r>
      <w:r w:rsidR="000B0EE3">
        <w:t>in prep</w:t>
      </w:r>
      <w:r w:rsidR="003A31C2">
        <w:t xml:space="preserve">). </w:t>
      </w:r>
    </w:p>
    <w:p w14:paraId="464CBD1F" w14:textId="77777777" w:rsidR="00EE0BD2" w:rsidRDefault="00D14D96" w:rsidP="00EE0BD2">
      <w:pPr>
        <w:pStyle w:val="TOF"/>
      </w:pPr>
      <w:bookmarkStart w:id="56" w:name="_Toc526489941"/>
      <w:r w:rsidRPr="008C321A">
        <w:rPr>
          <w:lang w:eastAsia="zh-CN" w:bidi="ar-SA"/>
        </w:rPr>
        <w:drawing>
          <wp:anchor distT="0" distB="0" distL="114300" distR="114300" simplePos="0" relativeHeight="251660288" behindDoc="0" locked="0" layoutInCell="1" allowOverlap="1" wp14:anchorId="4A9BE695" wp14:editId="59E9C9C1">
            <wp:simplePos x="0" y="0"/>
            <wp:positionH relativeFrom="margin">
              <wp:align>left</wp:align>
            </wp:positionH>
            <wp:positionV relativeFrom="paragraph">
              <wp:posOffset>100330</wp:posOffset>
            </wp:positionV>
            <wp:extent cx="5010150" cy="3369945"/>
            <wp:effectExtent l="0" t="0" r="0" b="190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10150" cy="3369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0BD2">
        <w:t xml:space="preserve">Figure 2.7 </w:t>
      </w:r>
      <w:r w:rsidR="00EE0BD2" w:rsidRPr="008C321A">
        <w:t>The Biological Condition Gradient (BCG) is a conceptual model that describes the changes in aquatic communities, measured by aquatic life indicators, as a function of stress (Davies and Jackson 2006; Figure 3.1). This model describes the predictable transition of biotic communities, as measured by ALU indicators, as a function of increasing stress, from pristine to slightly modified ecological condition, then moderate, and finally, very low ecological condition. These relationships can be linear or non-linear in nature; a wide variety of statistical methods have been used to model the fundamental relationships among stressors, community responses, and environmental co-factors that mediate response to stress.</w:t>
      </w:r>
      <w:bookmarkEnd w:id="56"/>
    </w:p>
    <w:p w14:paraId="090017FF" w14:textId="77777777" w:rsidR="00EE0BD2" w:rsidRDefault="00EE0BD2" w:rsidP="00EE0BD2">
      <w:pPr>
        <w:pStyle w:val="TOF"/>
      </w:pPr>
    </w:p>
    <w:p w14:paraId="63A53AEC" w14:textId="0A75E5E5" w:rsidR="00584300" w:rsidRDefault="00BD7EB2" w:rsidP="008C321A">
      <w:r>
        <w:t>State adopted bioassessment indices represent biotic integrity protection endpoints from w</w:t>
      </w:r>
      <w:r w:rsidR="00312CE7">
        <w:t>h</w:t>
      </w:r>
      <w:r>
        <w:t xml:space="preserve">ich to derive biostimulatory targets (Paul et al. </w:t>
      </w:r>
      <w:r w:rsidR="00B24799">
        <w:t>in prep</w:t>
      </w:r>
      <w:r>
        <w:t>). These b</w:t>
      </w:r>
      <w:r w:rsidR="00870E04" w:rsidRPr="001B4DEC">
        <w:t>ioassessment indices</w:t>
      </w:r>
      <w:r>
        <w:t xml:space="preserve">, which </w:t>
      </w:r>
      <w:r w:rsidR="00870E04" w:rsidRPr="001B4DEC">
        <w:t>score the condition of aquatic life, e.g.</w:t>
      </w:r>
      <w:r w:rsidR="00413840">
        <w:t>,</w:t>
      </w:r>
      <w:r w:rsidR="00870E04" w:rsidRPr="001B4DEC">
        <w:t xml:space="preserve"> BMI, benthic algae, fish, etc. based on the diversity and relative abundance of species, relative to </w:t>
      </w:r>
      <w:r w:rsidR="00E33380">
        <w:t>the range of natural variability in</w:t>
      </w:r>
      <w:r w:rsidR="00870E04" w:rsidRPr="001B4DEC">
        <w:t xml:space="preserve"> minimally disturbed reference sites with comparable natural gradients</w:t>
      </w:r>
      <w:r>
        <w:t xml:space="preserve">, have seen </w:t>
      </w:r>
      <w:r w:rsidR="00870E04" w:rsidRPr="001B4DEC">
        <w:t xml:space="preserve"> widespread global use in stream management, used in routine interpretation of stream bioassessment data, in regulatory biocriteria (Davis and Simon 1995, Council of European Communities 2000, USEPA 2002, Yoder and Barbour 2009), pollution discharge permits, stream restoration targets, and as the basis for nutrient </w:t>
      </w:r>
      <w:r w:rsidR="00870E04">
        <w:t>criteria</w:t>
      </w:r>
      <w:r w:rsidR="00870E04" w:rsidRPr="001B4DEC">
        <w:t xml:space="preserve"> development (</w:t>
      </w:r>
      <w:r w:rsidR="00870E04">
        <w:t xml:space="preserve">Paul et al. </w:t>
      </w:r>
      <w:r w:rsidR="00B24799">
        <w:t>in prep</w:t>
      </w:r>
      <w:r w:rsidR="00870E04" w:rsidRPr="001B4DEC">
        <w:t xml:space="preserve">). </w:t>
      </w:r>
      <w:r w:rsidR="00870E04">
        <w:t xml:space="preserve">  In California, </w:t>
      </w:r>
      <w:r w:rsidR="008C321A">
        <w:t>a long-term goal of the Surface Water Ambient Monitoring Program (SWAMP) bioassessment program has been to use multiple indices of ecological condition in conjunction to produce more complete assessments of stream health than provided by any single index alone. SWAMP</w:t>
      </w:r>
      <w:r w:rsidR="008C321A" w:rsidRPr="001B4DEC">
        <w:t>-adopted BMI</w:t>
      </w:r>
      <w:r w:rsidR="008C321A">
        <w:t xml:space="preserve"> (California Stream Condition Index, CSCI) </w:t>
      </w:r>
      <w:r w:rsidR="008C321A" w:rsidRPr="001B4DEC">
        <w:t xml:space="preserve">and </w:t>
      </w:r>
      <w:r w:rsidR="008C321A">
        <w:t xml:space="preserve">the provisional </w:t>
      </w:r>
      <w:r w:rsidR="008C321A" w:rsidRPr="001B4DEC">
        <w:t xml:space="preserve">algal bioassessment indices </w:t>
      </w:r>
      <w:r w:rsidR="008C321A">
        <w:t xml:space="preserve">(Algal Stream Condition Index (ASCI) </w:t>
      </w:r>
      <w:r w:rsidR="008C321A" w:rsidRPr="001B4DEC">
        <w:t>provide unequivocal management endpoints with which to protect wadeable stream aquatic life from eutrophication</w:t>
      </w:r>
      <w:r w:rsidR="008C321A">
        <w:t xml:space="preserve"> (Mazor et al. 2016, Theroux et al. in prep)</w:t>
      </w:r>
      <w:r w:rsidR="008C321A" w:rsidRPr="001B4DEC">
        <w:t>.</w:t>
      </w:r>
      <w:r w:rsidR="008C321A" w:rsidRPr="00870E04">
        <w:t xml:space="preserve"> </w:t>
      </w:r>
      <w:r w:rsidR="00870E04">
        <w:t>As such, they are represent</w:t>
      </w:r>
      <w:r w:rsidR="00B24799">
        <w:t>at</w:t>
      </w:r>
      <w:r w:rsidR="00870E04">
        <w:t>ive the collection of freshwater aquatic life uses (WARM, COLD, SPWN, RARE, MIGR, COMM, AQUA, SHELL).</w:t>
      </w:r>
      <w:r w:rsidR="00EE0BD2">
        <w:t xml:space="preserve"> Because both CSCI and ASCI are tuned to generalized disturbance gradients, </w:t>
      </w:r>
      <w:r w:rsidR="00EE0BD2" w:rsidRPr="009A6118">
        <w:t>they are not specifically “diagnostic” of eu</w:t>
      </w:r>
      <w:r w:rsidR="00584300" w:rsidRPr="009A6118">
        <w:t>t</w:t>
      </w:r>
      <w:r w:rsidR="00EE0BD2" w:rsidRPr="009A6118">
        <w:t>rophication</w:t>
      </w:r>
      <w:r w:rsidR="00EE0BD2">
        <w:t xml:space="preserve"> (Mazor et al. 2016, Theroux et al. in prep). However, both sets of indices respond strongly to eutrophication gradients</w:t>
      </w:r>
      <w:r w:rsidR="006969D9">
        <w:t xml:space="preserve"> in California wadeable streams</w:t>
      </w:r>
      <w:r w:rsidR="00EE0BD2">
        <w:t xml:space="preserve"> (Mazor et al. in prep</w:t>
      </w:r>
      <w:r w:rsidR="00584300">
        <w:t>)</w:t>
      </w:r>
      <w:r w:rsidR="00E240E7">
        <w:t xml:space="preserve">.  </w:t>
      </w:r>
      <w:r w:rsidR="00505686">
        <w:t xml:space="preserve">Thus, CSCI and ASCI represent biointegrity protection endpoints with which to derive biostimulatory targets for nutrients and organic matter (Paul et al. </w:t>
      </w:r>
      <w:r w:rsidR="000B0EE3">
        <w:t>in prep</w:t>
      </w:r>
      <w:r w:rsidR="00505686">
        <w:t>).</w:t>
      </w:r>
    </w:p>
    <w:p w14:paraId="54D24CCB" w14:textId="77777777" w:rsidR="00870E04" w:rsidRDefault="00505686" w:rsidP="008C321A">
      <w:r>
        <w:t>Beyond the use of CSCI and ASCI indices to derive biostimulatory protection endpoints, s</w:t>
      </w:r>
      <w:r w:rsidR="00EE0BD2">
        <w:t xml:space="preserve">pecific </w:t>
      </w:r>
      <w:r w:rsidR="00584300">
        <w:t xml:space="preserve">taxa or </w:t>
      </w:r>
      <w:r w:rsidR="00EE0BD2">
        <w:t xml:space="preserve">component metrics within each index </w:t>
      </w:r>
      <w:r w:rsidR="00E240E7">
        <w:t>are</w:t>
      </w:r>
      <w:r w:rsidR="00EE0BD2">
        <w:t xml:space="preserve"> diagnostic of causal pathways of impacts to benthic invertebrates and algae</w:t>
      </w:r>
      <w:r>
        <w:t xml:space="preserve">, based on functional traits (Vreira et al. 2006, </w:t>
      </w:r>
      <w:r w:rsidRPr="00505686">
        <w:t>Poff et al. 2006</w:t>
      </w:r>
      <w:r>
        <w:t xml:space="preserve">, EPA 2012) that are either experimentally determined or based on empirical stress response relationships. </w:t>
      </w:r>
      <w:r w:rsidR="00AC1F99">
        <w:t>Work to expand these taxa or metric-specific stress-response relationships for California specific taxa is ongoing, in tandem with work to assemble the information into a rapid causal assessment framework (D. Gillett, personal communication). This information seems appropriate to include as a supporting line of evidence to identify potential causal pathways of eutrophication (e.g.</w:t>
      </w:r>
      <w:r w:rsidR="00413840">
        <w:t>,</w:t>
      </w:r>
      <w:r w:rsidR="00AC1F99">
        <w:t xml:space="preserve"> DO, organic matter enrichment, nitrogen toxicity, etc.), as new research becomes available.</w:t>
      </w:r>
      <w:bookmarkEnd w:id="55"/>
      <w:r w:rsidR="00AC1F99">
        <w:t xml:space="preserve">  </w:t>
      </w:r>
    </w:p>
    <w:p w14:paraId="22D8F884" w14:textId="77777777" w:rsidR="002917E0" w:rsidRDefault="002917E0" w:rsidP="002917E0">
      <w:pPr>
        <w:pStyle w:val="Heading3"/>
      </w:pPr>
      <w:bookmarkStart w:id="57" w:name="_Toc526505118"/>
      <w:r>
        <w:t>2.2.</w:t>
      </w:r>
      <w:r w:rsidR="00893E5C">
        <w:t>4</w:t>
      </w:r>
      <w:r>
        <w:t xml:space="preserve"> Harmful Algal Bloom Cell Density and Toxin Concentrations</w:t>
      </w:r>
      <w:bookmarkEnd w:id="57"/>
    </w:p>
    <w:p w14:paraId="78C2A196" w14:textId="77777777" w:rsidR="006F14F8" w:rsidRDefault="006F14F8" w:rsidP="00312CE7">
      <w:pPr>
        <w:jc w:val="both"/>
      </w:pPr>
      <w:r>
        <w:t xml:space="preserve">Human, aquatic life and wildlife effects of cyanoHAB and associated toxins are generally well documented and the linkage to beneficial uses clear. CyanoHABs impacts human uses through significant health risks from primary contact recreation (REC1), drinking water (MUN), agricultural water supply (AG), </w:t>
      </w:r>
      <w:r w:rsidR="001040C7">
        <w:t>and through consumption of contaminated fish and shell fish (COMM, AQUA, SHELL). For example, t</w:t>
      </w:r>
      <w:r w:rsidR="001040C7" w:rsidRPr="008D530D">
        <w:t xml:space="preserve">he anatoxin and saxitoxin </w:t>
      </w:r>
      <w:r w:rsidR="001040C7">
        <w:t>are</w:t>
      </w:r>
      <w:r w:rsidR="001040C7" w:rsidRPr="008D530D">
        <w:t xml:space="preserve"> neurotoxic. Anatoxin-a at sufficient doses produces paralysis, asphyxiation, and death. Saxitoxins are the causative agents in human paralytic shellfish poisoning. Microcystins are a family of at least 80 congeners are primarily hepatotoxic. Cylindrospermopsin primarily targets the liver, but also affect the kidney, spleen, thymus, and heart </w:t>
      </w:r>
      <w:r w:rsidR="001040C7">
        <w:t>via</w:t>
      </w:r>
      <w:r w:rsidR="001040C7" w:rsidRPr="008D530D">
        <w:t xml:space="preserve"> </w:t>
      </w:r>
      <w:r w:rsidR="001040C7">
        <w:t>inhibition of protein synthesis</w:t>
      </w:r>
      <w:r w:rsidR="001040C7" w:rsidRPr="008D530D">
        <w:t>.</w:t>
      </w:r>
      <w:r w:rsidR="001040C7">
        <w:t xml:space="preserve"> </w:t>
      </w:r>
      <w:r w:rsidR="001040C7" w:rsidRPr="00E779F9">
        <w:t xml:space="preserve">All cyanobacteria produce lipopolysaccharides (LPS) </w:t>
      </w:r>
      <w:r w:rsidR="001040C7">
        <w:t>in</w:t>
      </w:r>
      <w:r w:rsidR="001040C7" w:rsidRPr="00E779F9">
        <w:t xml:space="preserve"> their cell wall</w:t>
      </w:r>
      <w:r w:rsidR="001040C7">
        <w:t xml:space="preserve">s (Chorus and Bantram 1999); </w:t>
      </w:r>
      <w:r w:rsidR="001040C7" w:rsidRPr="00E779F9">
        <w:t xml:space="preserve">dermal </w:t>
      </w:r>
      <w:r w:rsidR="001040C7">
        <w:t>contact with</w:t>
      </w:r>
      <w:r w:rsidR="001040C7" w:rsidRPr="00E779F9">
        <w:t xml:space="preserve"> LPS can cause skin rashes.</w:t>
      </w:r>
      <w:r w:rsidR="001040C7">
        <w:t xml:space="preserve"> </w:t>
      </w:r>
      <w:r w:rsidR="001040C7" w:rsidRPr="00E779F9">
        <w:t>Another common metaboli</w:t>
      </w:r>
      <w:r w:rsidR="001040C7">
        <w:t>te</w:t>
      </w:r>
      <w:r w:rsidR="001040C7" w:rsidRPr="00E779F9">
        <w:t xml:space="preserve"> </w:t>
      </w:r>
      <w:r w:rsidR="001040C7">
        <w:t xml:space="preserve">of </w:t>
      </w:r>
      <w:r w:rsidR="001040C7" w:rsidRPr="00E779F9">
        <w:t>cyano</w:t>
      </w:r>
      <w:r w:rsidR="001040C7">
        <w:t xml:space="preserve">HAB blooms </w:t>
      </w:r>
      <w:r w:rsidR="001040C7" w:rsidRPr="00E779F9">
        <w:t>is α-amino-β-methylaminoproprionic acid (BMAA)</w:t>
      </w:r>
      <w:r w:rsidR="001040C7">
        <w:t xml:space="preserve">, </w:t>
      </w:r>
      <w:r w:rsidR="001040C7" w:rsidRPr="00E779F9">
        <w:t xml:space="preserve">has been implicated in increased risk of neurodegenerative diseases </w:t>
      </w:r>
      <w:r w:rsidR="001040C7">
        <w:t xml:space="preserve">(e.g. </w:t>
      </w:r>
      <w:r w:rsidR="001040C7" w:rsidRPr="00E779F9">
        <w:t>amyotrophic lateral sclerosis and Parkinson’s disease in human epidemiological studies</w:t>
      </w:r>
      <w:r w:rsidR="001040C7">
        <w:t>; Chiu et al. 2011, Kisby eta l. 2011) following chronic exposure (Dunlop et al. 2013)</w:t>
      </w:r>
      <w:r w:rsidR="001040C7" w:rsidRPr="00E779F9">
        <w:t>.</w:t>
      </w:r>
      <w:r w:rsidR="001040C7">
        <w:t xml:space="preserve"> REC2 is impacted via reduced </w:t>
      </w:r>
      <w:r>
        <w:t xml:space="preserve">aesthetics from scum forming blooms and poor water clarity. </w:t>
      </w:r>
      <w:r w:rsidR="001040C7">
        <w:t xml:space="preserve">CyanoHABS and toxins can impact all aquatic life and wildlife related uses (WARM, COLD, EST, MAR, SPWN, RARE, MIGR, etc.) via several different pathways reviewed in </w:t>
      </w:r>
      <w:r w:rsidR="004C6222" w:rsidRPr="00AD2D2F">
        <w:rPr>
          <w:rFonts w:asciiTheme="minorHAnsi" w:hAnsiTheme="minorHAnsi" w:cstheme="minorHAnsi"/>
        </w:rPr>
        <w:t>Zanchett and Oliveira-Filho (2013</w:t>
      </w:r>
      <w:r w:rsidR="004C6222">
        <w:rPr>
          <w:rFonts w:asciiTheme="minorHAnsi" w:hAnsiTheme="minorHAnsi" w:cstheme="minorHAnsi"/>
        </w:rPr>
        <w:t>).</w:t>
      </w:r>
    </w:p>
    <w:p w14:paraId="5DBDFC30" w14:textId="31A6F19C" w:rsidR="00B36283" w:rsidRDefault="00E33380" w:rsidP="00312CE7">
      <w:pPr>
        <w:jc w:val="both"/>
      </w:pPr>
      <w:r>
        <w:t xml:space="preserve">For this reason, </w:t>
      </w:r>
      <w:r w:rsidR="00B36283">
        <w:t xml:space="preserve">the State Water Board has undertaken </w:t>
      </w:r>
      <w:r w:rsidR="00346F2D">
        <w:t>several</w:t>
      </w:r>
      <w:r w:rsidR="00B36283">
        <w:t xml:space="preserve"> actions to begin to formulate a comprehensive CyanoHAB </w:t>
      </w:r>
      <w:r w:rsidR="00346F2D">
        <w:t xml:space="preserve">monitoring and event </w:t>
      </w:r>
      <w:r w:rsidR="00B36283">
        <w:t xml:space="preserve">response strategy. </w:t>
      </w:r>
      <w:r w:rsidR="00576F5E">
        <w:t>SOPs are now available</w:t>
      </w:r>
      <w:r w:rsidR="00346F2D">
        <w:t>, including g</w:t>
      </w:r>
      <w:r w:rsidR="00B36283">
        <w:t>uidance documents for the collection of field cyanotoxin samples (Berg et al. 2017</w:t>
      </w:r>
      <w:r w:rsidR="00576F5E">
        <w:t xml:space="preserve">; </w:t>
      </w:r>
      <w:r w:rsidR="00576F5E" w:rsidRPr="00576F5E">
        <w:t>mywaterquality.ca.gov/habs/resources/field.html</w:t>
      </w:r>
      <w:r w:rsidR="00B36283">
        <w:t xml:space="preserve">) </w:t>
      </w:r>
      <w:r w:rsidR="00312982">
        <w:t xml:space="preserve">and </w:t>
      </w:r>
      <w:r w:rsidR="00B36283">
        <w:t xml:space="preserve">laboratory resources for analyses of toxin samples by LC-MS and Elisa assay. </w:t>
      </w:r>
      <w:r w:rsidR="008665DB">
        <w:t xml:space="preserve">Toxins can be monitored in particulate (sestonic) or benthic algal mats (using the Fetscher et al. 2009 protocol) in fish, mammalian or shellfish tissue, or by passive sampling (solid phase absorption tracking or SPATT, </w:t>
      </w:r>
      <w:r w:rsidR="00BC13D9">
        <w:t>Kudela 2011</w:t>
      </w:r>
      <w:r w:rsidR="008665DB">
        <w:t xml:space="preserve">), which captures the dissolved fraction. </w:t>
      </w:r>
      <w:r w:rsidR="00B36283">
        <w:t xml:space="preserve">Concern with statewide impact to recreational uses has caused the State to agree on voluntary listing guidance for </w:t>
      </w:r>
      <w:r w:rsidR="00B36283" w:rsidRPr="00BC13D9">
        <w:t xml:space="preserve">cyanoHABs (Table </w:t>
      </w:r>
      <w:r w:rsidR="00312982" w:rsidRPr="00BC13D9">
        <w:t>3</w:t>
      </w:r>
      <w:r w:rsidR="00BC13D9" w:rsidRPr="00BC13D9">
        <w:t>.16</w:t>
      </w:r>
      <w:r w:rsidR="00B36283" w:rsidRPr="00BC13D9">
        <w:t>, CCHAB 2016).</w:t>
      </w:r>
      <w:r w:rsidR="00B36283">
        <w:t xml:space="preserve"> </w:t>
      </w:r>
    </w:p>
    <w:p w14:paraId="5C80B1A6" w14:textId="5B690047" w:rsidR="00340554" w:rsidRDefault="006F14F8" w:rsidP="00312CE7">
      <w:pPr>
        <w:jc w:val="both"/>
        <w:sectPr w:rsidR="00340554" w:rsidSect="00C5540D">
          <w:pgSz w:w="12240" w:h="15840"/>
          <w:pgMar w:top="1440" w:right="1440" w:bottom="1440" w:left="1440" w:header="720" w:footer="720" w:gutter="0"/>
          <w:cols w:space="720"/>
          <w:docGrid w:linePitch="360"/>
        </w:sectPr>
      </w:pPr>
      <w:r>
        <w:t>C</w:t>
      </w:r>
      <w:r w:rsidR="00F15AAB">
        <w:t xml:space="preserve">yanoHAB cell density and toxin concentration </w:t>
      </w:r>
      <w:r>
        <w:t>are</w:t>
      </w:r>
      <w:r w:rsidR="00F15AAB">
        <w:t xml:space="preserve"> well vet</w:t>
      </w:r>
      <w:r w:rsidR="006606AE">
        <w:t>t</w:t>
      </w:r>
      <w:r w:rsidR="00F15AAB">
        <w:t xml:space="preserve">ed indicator of </w:t>
      </w:r>
      <w:r w:rsidR="006606AE">
        <w:t>eutrophication</w:t>
      </w:r>
      <w:r w:rsidR="00F15AAB">
        <w:t xml:space="preserve"> </w:t>
      </w:r>
      <w:r w:rsidR="008665DB">
        <w:t xml:space="preserve">that </w:t>
      </w:r>
      <w:r w:rsidR="00F15AAB">
        <w:t>meet nearly all biostimulatory evaluation criteria</w:t>
      </w:r>
      <w:r w:rsidR="008665DB">
        <w:t>, depending on whether the source of toxins is benthic or sestonic</w:t>
      </w:r>
      <w:r w:rsidR="00F15AAB">
        <w:t xml:space="preserve">. </w:t>
      </w:r>
      <w:r w:rsidR="00312982">
        <w:t>The linkage of toxic cyanoHABs to biostimulatory substances and conditions is well documented</w:t>
      </w:r>
      <w:r w:rsidR="00554EB0">
        <w:t>, as the</w:t>
      </w:r>
      <w:r w:rsidR="00312982">
        <w:t xml:space="preserve"> </w:t>
      </w:r>
      <w:r w:rsidR="00554EB0">
        <w:t>global occurrence of cyanoHABs, including the benthic N</w:t>
      </w:r>
      <w:r w:rsidR="00554EB0" w:rsidRPr="00F3166B">
        <w:rPr>
          <w:vertAlign w:val="subscript"/>
        </w:rPr>
        <w:t>2</w:t>
      </w:r>
      <w:r w:rsidR="00554EB0">
        <w:t xml:space="preserve"> fixing genera </w:t>
      </w:r>
      <w:r w:rsidR="00554EB0" w:rsidRPr="00F3166B">
        <w:rPr>
          <w:i/>
        </w:rPr>
        <w:t>Lyngbya</w:t>
      </w:r>
      <w:r w:rsidR="00554EB0">
        <w:t xml:space="preserve"> and some </w:t>
      </w:r>
      <w:r w:rsidR="00554EB0" w:rsidRPr="00F3166B">
        <w:rPr>
          <w:i/>
        </w:rPr>
        <w:t>Oscillatoria</w:t>
      </w:r>
      <w:r w:rsidR="00554EB0">
        <w:t xml:space="preserve"> and the non-N</w:t>
      </w:r>
      <w:r w:rsidR="00554EB0" w:rsidRPr="00F3166B">
        <w:rPr>
          <w:vertAlign w:val="subscript"/>
        </w:rPr>
        <w:t>2</w:t>
      </w:r>
      <w:r w:rsidR="00554EB0">
        <w:t xml:space="preserve"> fixing genera </w:t>
      </w:r>
      <w:r w:rsidR="00554EB0" w:rsidRPr="00F3166B">
        <w:rPr>
          <w:i/>
        </w:rPr>
        <w:t>Microcystis</w:t>
      </w:r>
      <w:r w:rsidR="00554EB0">
        <w:t xml:space="preserve"> and </w:t>
      </w:r>
      <w:r w:rsidR="00554EB0" w:rsidRPr="00F3166B">
        <w:rPr>
          <w:i/>
        </w:rPr>
        <w:t>Planktothrix</w:t>
      </w:r>
      <w:r w:rsidR="00554EB0">
        <w:t xml:space="preserve">, has prompted a great deal of research into the conditions that favor the growth of these species (Chorus and Bartram 1999; Carmichael 2008; Paerl and Huisman 2008; Hudnell 2008, 2010; O’Neill </w:t>
      </w:r>
      <w:r w:rsidR="00554EB0" w:rsidRPr="00C576F2">
        <w:rPr>
          <w:i/>
        </w:rPr>
        <w:t>et al.</w:t>
      </w:r>
      <w:r w:rsidR="00554EB0">
        <w:t xml:space="preserve"> 2012; Paerl et al. 2011, Paerl and Paul 2012</w:t>
      </w:r>
      <w:r w:rsidR="005D68BD">
        <w:t>, Berg and Sutula 2016</w:t>
      </w:r>
      <w:r w:rsidR="00554EB0">
        <w:t xml:space="preserve">). These conditions typically include ample supply of nutrients, calm water and stratified </w:t>
      </w:r>
      <w:r w:rsidR="005D68BD">
        <w:t xml:space="preserve">or low flow </w:t>
      </w:r>
      <w:r w:rsidR="00554EB0">
        <w:t>conditions, plenty of irradiance and warm water temperatures (Figure 2.</w:t>
      </w:r>
      <w:r w:rsidR="00893E5C">
        <w:t>8</w:t>
      </w:r>
      <w:r w:rsidR="00554EB0">
        <w:t xml:space="preserve">9), the effects of which are all heightened by climate change (Paerl et al. 2016). In contrast, </w:t>
      </w:r>
      <w:r w:rsidR="005D68BD">
        <w:t>among the most</w:t>
      </w:r>
      <w:r w:rsidR="00554EB0">
        <w:t xml:space="preserve"> successful strategies to mitigate blooms of cyanoHABs include reducing the supply of nutrients, </w:t>
      </w:r>
      <w:r w:rsidR="005D68BD">
        <w:t xml:space="preserve">followed by hydrological management, e.g. </w:t>
      </w:r>
      <w:r w:rsidR="00554EB0">
        <w:t>increasing the flow of water to promote mixing and destratify the water column (</w:t>
      </w:r>
      <w:r w:rsidR="005D68BD">
        <w:t xml:space="preserve">Table 2.10, from </w:t>
      </w:r>
      <w:r w:rsidR="00554EB0">
        <w:t xml:space="preserve">Paerl et al. 2016). </w:t>
      </w:r>
      <w:r w:rsidR="005D68BD">
        <w:t>Appropriate nutrient reductions and management of other biostimulatory factors can be modeled mechanistically to chlorophyll a (benthic or sestonic), which can be described have a risk-based relationship with cyanotoxins (Yuan et al., Sutula et al. 2016).</w:t>
      </w:r>
      <w:r w:rsidR="008665DB">
        <w:t xml:space="preserve"> </w:t>
      </w:r>
      <w:r w:rsidR="00AE5986">
        <w:t>CCHAB has published t</w:t>
      </w:r>
      <w:r w:rsidR="008665DB">
        <w:t xml:space="preserve">oxin evaluation guidelines are available for </w:t>
      </w:r>
      <w:r w:rsidR="00AE5986">
        <w:t xml:space="preserve">the </w:t>
      </w:r>
      <w:r w:rsidR="008665DB">
        <w:t>protection of human health for particulate (sestonic) samples (Table 3.</w:t>
      </w:r>
      <w:r w:rsidR="00BC13D9">
        <w:t>16</w:t>
      </w:r>
      <w:r w:rsidR="008665DB">
        <w:t>)</w:t>
      </w:r>
      <w:r w:rsidR="005B268E">
        <w:t xml:space="preserve">, but no thresholds are available for benthic cyanotoxins, which are expressed areal rather than volumetric estimates. </w:t>
      </w:r>
      <w:r w:rsidR="008665DB">
        <w:t xml:space="preserve"> </w:t>
      </w:r>
      <w:r w:rsidR="006606AE">
        <w:t xml:space="preserve">Other statewide guidance is available </w:t>
      </w:r>
      <w:r w:rsidR="00AE5986">
        <w:t>for freshwater fish and shellfish consumption</w:t>
      </w:r>
      <w:r w:rsidR="005B268E">
        <w:t xml:space="preserve"> (e.g. </w:t>
      </w:r>
      <w:r w:rsidR="006606AE">
        <w:t>OHHEA 2012</w:t>
      </w:r>
      <w:r w:rsidR="005B268E">
        <w:t>).  Finally, SPATT as a tool has not undergone rigorous calibration and thus while SPATT concentrations can roughly approximate water column concentrations</w:t>
      </w:r>
      <w:r w:rsidR="00340554">
        <w:t xml:space="preserve"> (</w:t>
      </w:r>
      <w:r w:rsidR="00BC13D9">
        <w:t>Kudela et al. 2010</w:t>
      </w:r>
      <w:r w:rsidR="00340554">
        <w:t>)</w:t>
      </w:r>
      <w:r w:rsidR="005B268E">
        <w:t>, it hasn’t been cleared for regulatory application (Sutula and Senn 2016).</w:t>
      </w:r>
      <w:r w:rsidR="004C6222" w:rsidRPr="004C6222">
        <w:rPr>
          <w:rFonts w:asciiTheme="minorHAnsi" w:hAnsiTheme="minorHAnsi" w:cstheme="minorHAnsi"/>
        </w:rPr>
        <w:t xml:space="preserve"> </w:t>
      </w:r>
      <w:r w:rsidR="004C6222">
        <w:rPr>
          <w:rFonts w:asciiTheme="minorHAnsi" w:hAnsiTheme="minorHAnsi" w:cstheme="minorHAnsi"/>
        </w:rPr>
        <w:t>No</w:t>
      </w:r>
      <w:r w:rsidR="004C6222" w:rsidRPr="00AD2D2F">
        <w:rPr>
          <w:rFonts w:asciiTheme="minorHAnsi" w:hAnsiTheme="minorHAnsi" w:cstheme="minorHAnsi"/>
        </w:rPr>
        <w:t xml:space="preserve"> EPA or California state guidance exists to consider thresholds that are protective of aquatic</w:t>
      </w:r>
      <w:r w:rsidR="004C6222">
        <w:rPr>
          <w:rFonts w:asciiTheme="minorHAnsi" w:hAnsiTheme="minorHAnsi" w:cstheme="minorHAnsi"/>
        </w:rPr>
        <w:t xml:space="preserve"> and terrestrial wild</w:t>
      </w:r>
      <w:r w:rsidR="004C6222" w:rsidRPr="00AD2D2F">
        <w:rPr>
          <w:rFonts w:asciiTheme="minorHAnsi" w:hAnsiTheme="minorHAnsi" w:cstheme="minorHAnsi"/>
        </w:rPr>
        <w:t>life.  Towards that end, Mehinto et al. (in prep) are preparing a comprehensive review of cyanoHAB aquatic toxicity effects for State Water Board staff to consider the possibility of guidance to protect aquatic life.  provide a global review of available literature on impacts to aquatic life.</w:t>
      </w:r>
    </w:p>
    <w:p w14:paraId="502C22F1" w14:textId="77777777" w:rsidR="00A3733D" w:rsidRDefault="00A3733D" w:rsidP="00312CE7">
      <w:pPr>
        <w:jc w:val="both"/>
      </w:pPr>
    </w:p>
    <w:p w14:paraId="48455822" w14:textId="1C24DCFE" w:rsidR="00340554" w:rsidRDefault="00340554" w:rsidP="00340554">
      <w:pPr>
        <w:pStyle w:val="TOT"/>
      </w:pPr>
      <w:bookmarkStart w:id="58" w:name="_Toc526489911"/>
      <w:r>
        <w:t xml:space="preserve">Table. 2.6 Major CyanoHAB genera, their ability to fix N2, harmful characteristics </w:t>
      </w:r>
      <w:r w:rsidR="006606AE">
        <w:t>and toxins</w:t>
      </w:r>
      <w:r>
        <w:t xml:space="preserve"> produced, and the range of potential mitigation strategies, from Paerl at al. (2016). Notations are defined as S, some species; M, most species; *, only feasible in relatively small system; #, only in systems that exhibit vertically-stratified conditions during bloom periods; $ following environmental assessment and only if dredge spoils can be deposited outside the watershed.</w:t>
      </w:r>
      <w:bookmarkEnd w:id="58"/>
    </w:p>
    <w:p w14:paraId="2752EF5D" w14:textId="77777777" w:rsidR="00340554" w:rsidRDefault="00340554" w:rsidP="00340554">
      <w:r w:rsidRPr="005D68BD">
        <w:rPr>
          <w:noProof/>
          <w:lang w:eastAsia="zh-CN" w:bidi="ar-SA"/>
        </w:rPr>
        <w:drawing>
          <wp:inline distT="0" distB="0" distL="0" distR="0" wp14:anchorId="78EDD2F7" wp14:editId="56C35679">
            <wp:extent cx="8972809" cy="40195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980495" cy="4022993"/>
                    </a:xfrm>
                    <a:prstGeom prst="rect">
                      <a:avLst/>
                    </a:prstGeom>
                  </pic:spPr>
                </pic:pic>
              </a:graphicData>
            </a:graphic>
          </wp:inline>
        </w:drawing>
      </w:r>
    </w:p>
    <w:p w14:paraId="33B5828D" w14:textId="77777777" w:rsidR="00340554" w:rsidRDefault="00340554" w:rsidP="00312CE7">
      <w:pPr>
        <w:jc w:val="both"/>
        <w:sectPr w:rsidR="00340554" w:rsidSect="00340554">
          <w:pgSz w:w="15840" w:h="12240" w:orient="landscape"/>
          <w:pgMar w:top="1440" w:right="1440" w:bottom="1440" w:left="1440" w:header="720" w:footer="720" w:gutter="0"/>
          <w:cols w:space="720"/>
          <w:docGrid w:linePitch="360"/>
        </w:sectPr>
      </w:pPr>
    </w:p>
    <w:p w14:paraId="555E24CD" w14:textId="77777777" w:rsidR="005B268E" w:rsidRDefault="005B268E" w:rsidP="00312CE7">
      <w:pPr>
        <w:jc w:val="both"/>
      </w:pPr>
      <w:r>
        <w:t xml:space="preserve"> </w:t>
      </w:r>
    </w:p>
    <w:p w14:paraId="17B6B48D" w14:textId="77777777" w:rsidR="005D68BD" w:rsidRDefault="005D68BD" w:rsidP="005D68BD">
      <w:r w:rsidRPr="00C62FFD">
        <w:rPr>
          <w:noProof/>
          <w:lang w:eastAsia="zh-CN" w:bidi="ar-SA"/>
        </w:rPr>
        <w:drawing>
          <wp:inline distT="0" distB="0" distL="0" distR="0" wp14:anchorId="1ED94CD5" wp14:editId="116537F0">
            <wp:extent cx="7858125" cy="5062709"/>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907127" cy="5094279"/>
                    </a:xfrm>
                    <a:prstGeom prst="rect">
                      <a:avLst/>
                    </a:prstGeom>
                    <a:noFill/>
                    <a:ln>
                      <a:noFill/>
                    </a:ln>
                  </pic:spPr>
                </pic:pic>
              </a:graphicData>
            </a:graphic>
          </wp:inline>
        </w:drawing>
      </w:r>
    </w:p>
    <w:p w14:paraId="57394429" w14:textId="77777777" w:rsidR="00A3733D" w:rsidRDefault="005D68BD" w:rsidP="005D68BD">
      <w:pPr>
        <w:pStyle w:val="TOF"/>
        <w:sectPr w:rsidR="00A3733D" w:rsidSect="00A3733D">
          <w:pgSz w:w="15840" w:h="12240" w:orient="landscape"/>
          <w:pgMar w:top="1440" w:right="1440" w:bottom="1440" w:left="1440" w:header="720" w:footer="720" w:gutter="0"/>
          <w:cols w:space="720"/>
          <w:docGrid w:linePitch="360"/>
        </w:sectPr>
      </w:pPr>
      <w:bookmarkStart w:id="59" w:name="_Toc414344854"/>
      <w:bookmarkStart w:id="60" w:name="_Toc425914483"/>
      <w:bookmarkStart w:id="61" w:name="_Toc426399094"/>
      <w:bookmarkStart w:id="62" w:name="_Toc526489942"/>
      <w:r w:rsidRPr="00D07C57">
        <w:t xml:space="preserve">Figure </w:t>
      </w:r>
      <w:r w:rsidR="00893E5C">
        <w:t>2.8</w:t>
      </w:r>
      <w:r>
        <w:t>.</w:t>
      </w:r>
      <w:r w:rsidRPr="00D07C57">
        <w:t xml:space="preserve"> Conceptual model of factors affecting </w:t>
      </w:r>
      <w:r w:rsidR="00A3733D">
        <w:t xml:space="preserve">algal blooms (including HABs) </w:t>
      </w:r>
      <w:r>
        <w:t>including warmer water, drought and decreased flow, decreased mixing, increased residence time, and increased N and P inputs from agricultural, industrial and urban sources. F</w:t>
      </w:r>
      <w:r w:rsidRPr="00D07C57">
        <w:t xml:space="preserve">rom Paerl </w:t>
      </w:r>
      <w:bookmarkEnd w:id="59"/>
      <w:r w:rsidRPr="00516B7E">
        <w:t>et al</w:t>
      </w:r>
      <w:r>
        <w:t xml:space="preserve">. </w:t>
      </w:r>
      <w:r w:rsidRPr="00D07C57">
        <w:t>201</w:t>
      </w:r>
      <w:r>
        <w:t>1</w:t>
      </w:r>
      <w:r w:rsidRPr="00D07C57">
        <w:t>.</w:t>
      </w:r>
      <w:bookmarkEnd w:id="60"/>
      <w:bookmarkEnd w:id="61"/>
      <w:bookmarkEnd w:id="62"/>
    </w:p>
    <w:p w14:paraId="4AF8C8E9" w14:textId="77777777" w:rsidR="00893E5C" w:rsidRDefault="00893E5C" w:rsidP="00893E5C">
      <w:pPr>
        <w:pStyle w:val="Heading3"/>
      </w:pPr>
      <w:bookmarkStart w:id="63" w:name="_Toc526505119"/>
      <w:r>
        <w:t>2.2.</w:t>
      </w:r>
      <w:r w:rsidR="00812192">
        <w:t>5</w:t>
      </w:r>
      <w:r>
        <w:t xml:space="preserve"> Indicators of Water Column or Benthic Chemistry</w:t>
      </w:r>
      <w:bookmarkEnd w:id="63"/>
    </w:p>
    <w:p w14:paraId="454081B0" w14:textId="77777777" w:rsidR="00893E5C" w:rsidRDefault="00893E5C" w:rsidP="00893E5C">
      <w:pPr>
        <w:pStyle w:val="BodyText0"/>
      </w:pPr>
      <w:r>
        <w:t>Eutrophication exerts a strong effect on stream chemistry and water quality, which as a direct linkage to ecosystem services and beneficial uses. In this section four sets of indicators are reviewed:</w:t>
      </w:r>
    </w:p>
    <w:p w14:paraId="56BC1E1E" w14:textId="77777777" w:rsidR="00893E5C" w:rsidRDefault="00893E5C" w:rsidP="008E7E7F">
      <w:pPr>
        <w:pStyle w:val="BodyText0"/>
        <w:numPr>
          <w:ilvl w:val="0"/>
          <w:numId w:val="6"/>
        </w:numPr>
        <w:spacing w:after="0"/>
        <w:ind w:left="763"/>
      </w:pPr>
      <w:r>
        <w:t>Dissolved oxygen, pH, and oxygen demand</w:t>
      </w:r>
    </w:p>
    <w:p w14:paraId="09DC554B" w14:textId="77777777" w:rsidR="00893E5C" w:rsidRDefault="00893E5C" w:rsidP="008E7E7F">
      <w:pPr>
        <w:pStyle w:val="BodyText0"/>
        <w:numPr>
          <w:ilvl w:val="0"/>
          <w:numId w:val="6"/>
        </w:numPr>
        <w:spacing w:after="0"/>
        <w:ind w:left="763"/>
      </w:pPr>
      <w:r>
        <w:t>Gross primary production</w:t>
      </w:r>
      <w:r w:rsidR="00340554">
        <w:t xml:space="preserve">, ecosystem respiration, </w:t>
      </w:r>
      <w:r>
        <w:t>and trophic state</w:t>
      </w:r>
    </w:p>
    <w:p w14:paraId="64C0E367" w14:textId="77777777" w:rsidR="00893E5C" w:rsidRDefault="00893E5C" w:rsidP="008E7E7F">
      <w:pPr>
        <w:pStyle w:val="BodyText0"/>
        <w:numPr>
          <w:ilvl w:val="0"/>
          <w:numId w:val="6"/>
        </w:numPr>
        <w:spacing w:after="0"/>
        <w:ind w:left="763"/>
      </w:pPr>
      <w:r>
        <w:t>Dissolved organic carbon and trihalomethanes</w:t>
      </w:r>
    </w:p>
    <w:p w14:paraId="56E0D95B" w14:textId="77777777" w:rsidR="00893E5C" w:rsidRDefault="00893E5C" w:rsidP="00893E5C">
      <w:pPr>
        <w:pStyle w:val="BodyText0"/>
        <w:spacing w:after="0"/>
        <w:ind w:left="763"/>
      </w:pPr>
    </w:p>
    <w:p w14:paraId="0AFF6A54" w14:textId="7AAC761D" w:rsidR="00893E5C" w:rsidRDefault="00893E5C" w:rsidP="00893E5C">
      <w:pPr>
        <w:pStyle w:val="BodyText0"/>
      </w:pPr>
      <w:r w:rsidRPr="002A7330">
        <w:rPr>
          <w:b/>
        </w:rPr>
        <w:t>Dissolved Oxygen, pH, and Oxygen Demand</w:t>
      </w:r>
      <w:r>
        <w:t>. Surface water d</w:t>
      </w:r>
      <w:r w:rsidRPr="00270D3D">
        <w:t>issolved oxygen (DO) define</w:t>
      </w:r>
      <w:r>
        <w:t>s</w:t>
      </w:r>
      <w:r w:rsidRPr="00270D3D">
        <w:t xml:space="preserve"> the living conditions for oxygen-requiring (aerobic) aquatic organisms.  </w:t>
      </w:r>
      <w:r>
        <w:t xml:space="preserve">DO </w:t>
      </w:r>
      <w:r w:rsidRPr="00270D3D">
        <w:t>can be expressed as a concentration (mg L</w:t>
      </w:r>
      <w:r w:rsidRPr="00270D3D">
        <w:rPr>
          <w:vertAlign w:val="superscript"/>
        </w:rPr>
        <w:t>-1</w:t>
      </w:r>
      <w:r w:rsidRPr="00270D3D">
        <w:t>) or as percent saturation, relative to the concentration in air. DO concentrations reflect an equilibrium between oxygen-producing processes (</w:t>
      </w:r>
      <w:r w:rsidRPr="00270D3D">
        <w:rPr>
          <w:i/>
          <w:iCs/>
        </w:rPr>
        <w:t>e.g.</w:t>
      </w:r>
      <w:r w:rsidRPr="00270D3D">
        <w:t xml:space="preserve"> photosynthesis) and oxygen-consuming processes (</w:t>
      </w:r>
      <w:r w:rsidRPr="00270D3D">
        <w:rPr>
          <w:i/>
          <w:iCs/>
        </w:rPr>
        <w:t>e.g</w:t>
      </w:r>
      <w:r w:rsidRPr="00270D3D">
        <w:t>. respiration), and the rates at which DO is added and removed from the system by atmospheric exchange (aeration and degassing) and hydrodynamic processes (</w:t>
      </w:r>
      <w:r w:rsidRPr="00270D3D">
        <w:rPr>
          <w:i/>
          <w:iCs/>
        </w:rPr>
        <w:t xml:space="preserve">e.g. </w:t>
      </w:r>
      <w:r w:rsidRPr="00270D3D">
        <w:t>accrual/addition from rivers</w:t>
      </w:r>
      <w:r>
        <w:t xml:space="preserve"> and </w:t>
      </w:r>
      <w:r w:rsidR="006606AE">
        <w:t>hyporheic</w:t>
      </w:r>
      <w:r>
        <w:t xml:space="preserve"> exchange</w:t>
      </w:r>
      <w:r w:rsidRPr="00270D3D">
        <w:t>).</w:t>
      </w:r>
      <w:r>
        <w:t xml:space="preserve"> pH, defined as the logarithm of the hydrogen ion concentrations, is related to DO concentration through</w:t>
      </w:r>
      <w:r w:rsidRPr="00B30EB1">
        <w:t xml:space="preserve"> </w:t>
      </w:r>
      <w:r>
        <w:t>the</w:t>
      </w:r>
      <w:r w:rsidRPr="00B55CC6">
        <w:t xml:space="preserve"> </w:t>
      </w:r>
      <w:r>
        <w:t>uptake</w:t>
      </w:r>
      <w:r w:rsidRPr="00F47578">
        <w:t xml:space="preserve"> </w:t>
      </w:r>
      <w:r>
        <w:t>or</w:t>
      </w:r>
      <w:r w:rsidRPr="00B55CC6">
        <w:t xml:space="preserve"> </w:t>
      </w:r>
      <w:r>
        <w:t>release</w:t>
      </w:r>
      <w:r w:rsidRPr="00F47578">
        <w:t xml:space="preserve"> </w:t>
      </w:r>
      <w:r>
        <w:t>of</w:t>
      </w:r>
      <w:r w:rsidRPr="00B31443">
        <w:t xml:space="preserve"> </w:t>
      </w:r>
      <w:r>
        <w:t>CO</w:t>
      </w:r>
      <w:r>
        <w:rPr>
          <w:spacing w:val="1"/>
          <w:position w:val="-3"/>
          <w:sz w:val="14"/>
          <w:szCs w:val="14"/>
        </w:rPr>
        <w:t>2</w:t>
      </w:r>
      <w:r>
        <w:t xml:space="preserve"> during photosynthesis and respiration. </w:t>
      </w:r>
    </w:p>
    <w:p w14:paraId="039ECC12" w14:textId="663C917C" w:rsidR="00340554" w:rsidRDefault="00893E5C" w:rsidP="00893E5C">
      <w:pPr>
        <w:pStyle w:val="BodyText0"/>
      </w:pPr>
      <w:r w:rsidRPr="00C94B8D">
        <w:t>Eutrophication produces excess organic matter that fuels the development of surface water hypoxia (i.e. surface water dissolved oxygen concentration &lt;  2 mg DO L</w:t>
      </w:r>
      <w:r w:rsidRPr="00C94B8D">
        <w:rPr>
          <w:vertAlign w:val="superscript"/>
        </w:rPr>
        <w:t>-1</w:t>
      </w:r>
      <w:r w:rsidRPr="00C94B8D">
        <w:t>) and , in some cases, anoxia (&lt;0.5 mg DO L</w:t>
      </w:r>
      <w:r w:rsidRPr="00C94B8D">
        <w:rPr>
          <w:vertAlign w:val="superscript"/>
        </w:rPr>
        <w:t>-1</w:t>
      </w:r>
      <w:r w:rsidRPr="00C94B8D">
        <w:t xml:space="preserve">) as that organic matter is respired </w:t>
      </w:r>
      <w:r w:rsidRPr="00C94B8D">
        <w:fldChar w:fldCharType="begin"/>
      </w:r>
      <w:r w:rsidRPr="00C94B8D">
        <w:instrText xml:space="preserve"> ADDIN EN.CITE &lt;EndNote&gt;&lt;Cite&gt;&lt;Author&gt;Diaz&lt;/Author&gt;&lt;Year&gt;2001&lt;/Year&gt;&lt;RecNum&gt;1245&lt;/RecNum&gt;&lt;record&gt;&lt;rec-number&gt;1245&lt;/rec-number&gt;&lt;ref-type name="Journal Article"&gt;17&lt;/ref-type&gt;&lt;contributors&gt;&lt;authors&gt;&lt;author&gt;R. J. Diaz&lt;/author&gt;&lt;/authors&gt;&lt;/contributors&gt;&lt;titles&gt;&lt;title&gt;Overview of Hypoxia around the World&lt;/title&gt;&lt;secondary-title&gt;Journal of Environmental Quality&lt;/secondary-title&gt;&lt;/titles&gt;&lt;periodical&gt;&lt;full-title&gt;Journal of Environmental Quality&lt;/full-title&gt;&lt;/periodical&gt;&lt;pages&gt;275-281&lt;/pages&gt;&lt;volume&gt;30&lt;/volume&gt;&lt;number&gt;2&lt;/number&gt;&lt;dates&gt;&lt;year&gt;2001&lt;/year&gt;&lt;/dates&gt;&lt;urls&gt;&lt;/urls&gt;&lt;/record&gt;&lt;/Cite&gt;&lt;/EndNote&gt;</w:instrText>
      </w:r>
      <w:r w:rsidRPr="00C94B8D">
        <w:fldChar w:fldCharType="separate"/>
      </w:r>
      <w:r w:rsidRPr="00C94B8D">
        <w:t>(Diaz 2001)</w:t>
      </w:r>
      <w:r w:rsidRPr="00C94B8D">
        <w:fldChar w:fldCharType="end"/>
      </w:r>
      <w:r w:rsidRPr="00C94B8D">
        <w:t xml:space="preserve">. </w:t>
      </w:r>
      <w:r>
        <w:t>Aquatic organisms have well defined ranges of tolerance for DO and pH and thus these indicators have a strong linkage to aquatic life related beneficial uses.</w:t>
      </w:r>
      <w:r w:rsidRPr="00C94B8D">
        <w:t xml:space="preserve">  </w:t>
      </w:r>
      <w:r w:rsidRPr="00B64FD5">
        <w:t xml:space="preserve">The response of aquatic organisms to low DO will depend on the intensity of hypoxia, duration of exposure, and the periodicity and frequency of exposure, and US EPA has an extensive database documenting adverse effects of low DO on a variety of fish and invertebrates with respect to juvenile and adult survival, reproduction and recruitment (EPA 2003). </w:t>
      </w:r>
      <w:r w:rsidR="00340554">
        <w:t xml:space="preserve">DO oxygen minima have direct effects on BMI and fish community measures (e.g. Miltner 2010, Jessup et al. 2015).  </w:t>
      </w:r>
    </w:p>
    <w:p w14:paraId="7E0780D0" w14:textId="77777777" w:rsidR="00893E5C" w:rsidRDefault="00893E5C" w:rsidP="00893E5C">
      <w:pPr>
        <w:pStyle w:val="BodyText0"/>
      </w:pPr>
      <w:r>
        <w:t xml:space="preserve">Similarly, surface water pH affects the normal physiological functions of aquatic organisms, including the exchange of ions with the water and respiration (Alabaster and Lloyd 1980). The acceptable range of pH to aquatic life, particularly fish, depends on numerous other factors, including prior pH acclimatization, water temperature, dissolved oxygen concentration, and the concentrations and ratios of various cations and anions that forms the basis for buffering alkalinity. pH outside of a narrow range of 5.0-9.0 is directly lethal to fish, with most waters, particularly those with healthy, diverse, and productive fish and macroinvertebrates communities having a pH between approximately 6.5 and 8.5 units (Ellis 1937; McKee and Wolf 1963; NTAC1968; NAS 1972). Large diel DO and pH swings, decreased oxygen concentrations and pH in the water column and sediments have a direct impact on certain sensitive algae, benthic invertebrates and upper level consumers (e.g. salmonids).  Supersaturated oxygen conditions can be indicative of excessive algal photosynthetic activity and can be exacerbated by rapid increases in water temperature. Total gas supersaturation can cause direct harm to fish when total dissolved gas saturation increases enough to cause “gas bubble trauma”, which can be fatal.  The condition occurs when gas bubbles, primarily nitrogen and/or oxygen, are released into the bloodstream and accumulate in the skin, eyes, and gills of fish (Weitkamp, 2008) and can be induced with oxygen supersaturation alone (Edsall and Smith 2008).  </w:t>
      </w:r>
      <w:r w:rsidRPr="00B64FD5">
        <w:t xml:space="preserve">Impacts of </w:t>
      </w:r>
      <w:r>
        <w:t>DO and pH</w:t>
      </w:r>
      <w:r w:rsidRPr="00B64FD5">
        <w:t xml:space="preserve"> on </w:t>
      </w:r>
      <w:r>
        <w:t xml:space="preserve">sestonic </w:t>
      </w:r>
      <w:r w:rsidRPr="00B64FD5">
        <w:t xml:space="preserve">and benthic organisms would </w:t>
      </w:r>
      <w:r>
        <w:t xml:space="preserve">thus </w:t>
      </w:r>
      <w:r w:rsidRPr="00B64FD5">
        <w:t xml:space="preserve">have a direct impact on important beneficial uses, including food web support for </w:t>
      </w:r>
      <w:r>
        <w:t xml:space="preserve">aquatic life related uses. </w:t>
      </w:r>
      <w:r w:rsidRPr="00B64FD5">
        <w:t xml:space="preserve">Poor water quality and increased heterotrophic bacterial production would adversely affect the health of recreational swimmers, sailboarders, and boaters (REC-1) and decrease aesthetic enjoyment (REC-2) through nuisance buildup and smell during decay. </w:t>
      </w:r>
      <w:r w:rsidRPr="00270D3D">
        <w:t xml:space="preserve">  </w:t>
      </w:r>
    </w:p>
    <w:p w14:paraId="00E5A733" w14:textId="77777777" w:rsidR="00893E5C" w:rsidRDefault="00893E5C" w:rsidP="00893E5C">
      <w:r w:rsidRPr="00270D3D">
        <w:t xml:space="preserve">Biochemical oxygen demand (BOD) </w:t>
      </w:r>
      <w:r w:rsidR="007B4CFF">
        <w:t>is a</w:t>
      </w:r>
      <w:r w:rsidRPr="00270D3D">
        <w:t xml:space="preserve"> measure of rate of oxygen consumption. BOD is a</w:t>
      </w:r>
      <w:r w:rsidR="00340554">
        <w:t xml:space="preserve"> standardized</w:t>
      </w:r>
      <w:r w:rsidRPr="00270D3D">
        <w:t xml:space="preserve"> chemical procedure for determining the rate of consumption of </w:t>
      </w:r>
      <w:r>
        <w:t>DO</w:t>
      </w:r>
      <w:r w:rsidRPr="00270D3D">
        <w:t xml:space="preserve"> by aerobic biological organisms in </w:t>
      </w:r>
      <w:r>
        <w:t>the water column</w:t>
      </w:r>
      <w:r w:rsidRPr="00270D3D">
        <w:t xml:space="preserve"> to break down organic material present in a given water sample at certain temperature over a specific time </w:t>
      </w:r>
      <w:r w:rsidRPr="004E52EF">
        <w:t xml:space="preserve">(APHA 1998). It is a measure that has been used commonly in wastewater monitoring and it is widely used as an indicator of the organic pollution from effluent. BOD is listed as a conventional pollutant in the U.S. Clean Water Act, so BOD limitation in NPDES permits are a common practice (Claire et al 2003). </w:t>
      </w:r>
      <w:r>
        <w:t xml:space="preserve">BOD </w:t>
      </w:r>
      <w:r w:rsidR="007B4CFF">
        <w:t>is a</w:t>
      </w:r>
      <w:r>
        <w:t xml:space="preserve"> rate; </w:t>
      </w:r>
      <w:r w:rsidRPr="00951188">
        <w:t xml:space="preserve">high rates of BOD do not necessarily imply </w:t>
      </w:r>
      <w:r w:rsidR="00340554">
        <w:t>low oxygen</w:t>
      </w:r>
      <w:r w:rsidRPr="00951188">
        <w:t xml:space="preserve">, because other factors may prevent the buildup of </w:t>
      </w:r>
      <w:r w:rsidR="007B4CFF">
        <w:t>low</w:t>
      </w:r>
      <w:r w:rsidRPr="00951188">
        <w:t xml:space="preserve"> conditions in the water column (e.g. aeration). Therefore, </w:t>
      </w:r>
      <w:r>
        <w:t xml:space="preserve">while </w:t>
      </w:r>
      <w:r w:rsidRPr="00951188">
        <w:t xml:space="preserve">direct measures of dissolved oxygen concentrations have a clear linkage to beneficial uses, BOD </w:t>
      </w:r>
      <w:r w:rsidR="007B4CFF">
        <w:t>is</w:t>
      </w:r>
      <w:r w:rsidRPr="00951188">
        <w:t xml:space="preserve"> linked, but only indirectly</w:t>
      </w:r>
      <w:r w:rsidR="007B4CFF">
        <w:t xml:space="preserve">, and must be interpreted with care for use as </w:t>
      </w:r>
      <w:r>
        <w:t xml:space="preserve">eutrophication measures in wadeable streams habitat. </w:t>
      </w:r>
    </w:p>
    <w:p w14:paraId="054BF7EB" w14:textId="26074580" w:rsidR="00893E5C" w:rsidRDefault="00893E5C" w:rsidP="00893E5C">
      <w:r>
        <w:t xml:space="preserve">Overall, DO and pH </w:t>
      </w:r>
      <w:r w:rsidRPr="00A052C5">
        <w:t xml:space="preserve">have a long history of use </w:t>
      </w:r>
      <w:r>
        <w:t>as water quality</w:t>
      </w:r>
      <w:r w:rsidRPr="00A052C5">
        <w:t xml:space="preserve"> indicator</w:t>
      </w:r>
      <w:r>
        <w:t>s readily meet the evaluation criteria for consideration as a line of evidence of eutrophication.</w:t>
      </w:r>
      <w:r w:rsidRPr="00A052C5">
        <w:t xml:space="preserve"> </w:t>
      </w:r>
      <w:r>
        <w:t>They</w:t>
      </w:r>
      <w:r w:rsidRPr="00A052C5">
        <w:t xml:space="preserve"> can be feasibly measured are easily sampled </w:t>
      </w:r>
      <w:r>
        <w:rPr>
          <w:bCs/>
        </w:rPr>
        <w:t xml:space="preserve">with </w:t>
      </w:r>
      <w:r w:rsidRPr="00270D3D">
        <w:t>continuous measurements recorded at regular intervals for days to years (membrane or optical electrodes) deployed on data sondes</w:t>
      </w:r>
      <w:r>
        <w:t xml:space="preserve"> with well-established protocols available</w:t>
      </w:r>
      <w:r w:rsidRPr="00A052C5">
        <w:t>.</w:t>
      </w:r>
      <w:r w:rsidRPr="00A36C09">
        <w:t xml:space="preserve"> </w:t>
      </w:r>
      <w:r>
        <w:t>Peer-reviewed modeling approaches exist to model both the mean and diurnal variability of DO and pH and their response to eutrophication drivers, though m</w:t>
      </w:r>
      <w:r w:rsidRPr="00270D3D">
        <w:t>odeling these conditions will typically involve dynamic simulation models rather than empirical load-response models</w:t>
      </w:r>
      <w:r>
        <w:t>. S</w:t>
      </w:r>
      <w:r w:rsidRPr="001643D8">
        <w:t xml:space="preserve">uccessful modeling of </w:t>
      </w:r>
      <w:r>
        <w:t>DO</w:t>
      </w:r>
      <w:r w:rsidRPr="001643D8">
        <w:t xml:space="preserve"> requires estimates of BOD and </w:t>
      </w:r>
      <w:r w:rsidR="007B4CFF">
        <w:t xml:space="preserve">sediment oxygen demand </w:t>
      </w:r>
      <w:r w:rsidRPr="001643D8">
        <w:t>(DiTorro and Fitzpatrick 1993)</w:t>
      </w:r>
      <w:r>
        <w:t xml:space="preserve">, </w:t>
      </w:r>
      <w:r w:rsidR="007B4CFF">
        <w:t xml:space="preserve">the latter of </w:t>
      </w:r>
      <w:r>
        <w:t>which can be very difficult to constrain in wadeable streams</w:t>
      </w:r>
      <w:r w:rsidRPr="00270D3D">
        <w:t xml:space="preserve">. </w:t>
      </w:r>
      <w:r>
        <w:t xml:space="preserve">Modeling of diel variability is more strongly linked to live algae and aquatic plant biomass in situ (Tetra Tech 2006). </w:t>
      </w:r>
      <w:r w:rsidRPr="00A052C5">
        <w:t>Lastly, measurements are readily interpreted by scientists, policy makers, and the public (USEPA</w:t>
      </w:r>
      <w:r>
        <w:t xml:space="preserve"> 2000), with existing DO and pH objectives that exist in all basin plans.</w:t>
      </w:r>
      <w:r w:rsidRPr="008E73A9">
        <w:t xml:space="preserve"> </w:t>
      </w:r>
    </w:p>
    <w:p w14:paraId="4E72A22D" w14:textId="0001FEBE" w:rsidR="00893E5C" w:rsidRDefault="00893E5C" w:rsidP="00893E5C">
      <w:pPr>
        <w:rPr>
          <w:b/>
        </w:rPr>
      </w:pPr>
      <w:r>
        <w:rPr>
          <w:b/>
        </w:rPr>
        <w:t>Ecosystem Metabolism</w:t>
      </w:r>
      <w:r w:rsidRPr="00B92BF5">
        <w:rPr>
          <w:b/>
        </w:rPr>
        <w:t xml:space="preserve"> and Trophic State</w:t>
      </w:r>
      <w:r>
        <w:rPr>
          <w:b/>
        </w:rPr>
        <w:t xml:space="preserve">. </w:t>
      </w:r>
      <w:r w:rsidRPr="00185002">
        <w:t xml:space="preserve">Gross primary production (GPP) has been linked to decline of </w:t>
      </w:r>
      <w:r>
        <w:t>ecosystem health</w:t>
      </w:r>
      <w:r w:rsidRPr="00185002">
        <w:t xml:space="preserve"> in lakes and estuaries (Nixon 1995</w:t>
      </w:r>
      <w:r>
        <w:t>, Carson 1997</w:t>
      </w:r>
      <w:r w:rsidRPr="00185002">
        <w:t>)</w:t>
      </w:r>
      <w:r>
        <w:t>, and trophic state categories ranging from oligotrophic, mesotrophic, eutrophic and hypereutrophic have been developed to describe the large-scale effect of trophic state on the ecosystem and, for example, fisheries yield (</w:t>
      </w:r>
      <w:r w:rsidR="00515DED">
        <w:t xml:space="preserve">Figure 2.9, </w:t>
      </w:r>
      <w:r>
        <w:t xml:space="preserve">Nixon 1995), anoxic </w:t>
      </w:r>
      <w:r w:rsidR="006606AE">
        <w:t>hypolimnion</w:t>
      </w:r>
      <w:r>
        <w:t xml:space="preserve"> and oxygenated waters (i.e., the difference between a mesotrophic </w:t>
      </w:r>
      <w:r w:rsidR="006606AE">
        <w:t>and a</w:t>
      </w:r>
      <w:r>
        <w:t xml:space="preserve"> eutrophic lake) and subsequent increases in the prevalence of cyanobacterial blooms, eutrophication- resistant animals, decreased water clarity, and taste and odor problems in lakes (Dodds 2002). </w:t>
      </w:r>
    </w:p>
    <w:p w14:paraId="1EC47957" w14:textId="77777777" w:rsidR="00893E5C" w:rsidRDefault="00893E5C" w:rsidP="00893E5C">
      <w:pPr>
        <w:pStyle w:val="ListParagraph"/>
        <w:rPr>
          <w:rFonts w:cs="Calibri"/>
        </w:rPr>
      </w:pPr>
      <w:r w:rsidRPr="00940DE2">
        <w:rPr>
          <w:noProof/>
          <w:lang w:eastAsia="zh-CN" w:bidi="ar-SA"/>
        </w:rPr>
        <w:drawing>
          <wp:inline distT="0" distB="0" distL="0" distR="0" wp14:anchorId="731F9A45" wp14:editId="1E6E5017">
            <wp:extent cx="4352192" cy="2946370"/>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57989" cy="2950295"/>
                    </a:xfrm>
                    <a:prstGeom prst="rect">
                      <a:avLst/>
                    </a:prstGeom>
                    <a:noFill/>
                    <a:ln>
                      <a:noFill/>
                    </a:ln>
                  </pic:spPr>
                </pic:pic>
              </a:graphicData>
            </a:graphic>
          </wp:inline>
        </w:drawing>
      </w:r>
    </w:p>
    <w:p w14:paraId="726FC2CA" w14:textId="77777777" w:rsidR="00893E5C" w:rsidRDefault="00893E5C" w:rsidP="00CE683F">
      <w:pPr>
        <w:pStyle w:val="TOF"/>
        <w:spacing w:after="0"/>
        <w:contextualSpacing/>
      </w:pPr>
      <w:bookmarkStart w:id="64" w:name="_Toc398192176"/>
      <w:bookmarkStart w:id="65" w:name="_Toc433370087"/>
      <w:bookmarkStart w:id="66" w:name="_Toc526489943"/>
      <w:r>
        <w:t>Figure 2</w:t>
      </w:r>
      <w:r w:rsidR="00515DED">
        <w:t>.9</w:t>
      </w:r>
      <w:r w:rsidRPr="00192018">
        <w:t>. Comparative evaluation of fishery response to nutrients along continuum of oligotrophic, mesotrophic, eutrophic and dystrophic states of primary productivity (Nixon 1995). Although higher nutrient inputs initially increase the productivity of fisheries, ecological systems worldwide show negative effects as nutrient loading increases and hypoxic or anoxic conditions develop. Each generic curve in the lower half of the figure represents the reaction of a species guild to increasing nutrient supplies</w:t>
      </w:r>
      <w:bookmarkEnd w:id="64"/>
      <w:bookmarkEnd w:id="65"/>
      <w:r>
        <w:t>. From Diaz and Solow (1995).</w:t>
      </w:r>
      <w:bookmarkEnd w:id="66"/>
    </w:p>
    <w:p w14:paraId="4490A476" w14:textId="77777777" w:rsidR="00CE683F" w:rsidRDefault="00CE683F" w:rsidP="00CE683F">
      <w:pPr>
        <w:spacing w:after="0"/>
      </w:pPr>
    </w:p>
    <w:p w14:paraId="7C021E0D" w14:textId="67967E30" w:rsidR="00893E5C" w:rsidRDefault="00893E5C" w:rsidP="00D45114">
      <w:pPr>
        <w:spacing w:after="0"/>
      </w:pPr>
      <w:r w:rsidRPr="00185002">
        <w:t xml:space="preserve">In streams, </w:t>
      </w:r>
      <w:r>
        <w:t xml:space="preserve">Dodds (2006, 2007) defined eutrophication in lotic habitats as an increase in factors that leads to greater whole-system </w:t>
      </w:r>
      <w:r w:rsidRPr="00C97F56">
        <w:t xml:space="preserve">ecosystem metabolism </w:t>
      </w:r>
      <w:r>
        <w:t>(EM)</w:t>
      </w:r>
      <w:r w:rsidR="00CE683F">
        <w:t xml:space="preserve">, </w:t>
      </w:r>
      <w:r>
        <w:t>comprised of GPP and total respiration (Garnier and Billen 2007). Unlike lakes and estuaries, clear delineation of trophic boundaries does not occur in rivers systems, because they have higher rates of atmospheric reoxygenation and thus anoxia is rare, so alternative methods are required for describing trophic states in stream ecosystems. While in theory,</w:t>
      </w:r>
      <w:r w:rsidR="00CE683F">
        <w:t xml:space="preserve"> GPP and</w:t>
      </w:r>
      <w:r>
        <w:t xml:space="preserve"> EM is an extremely useful indicator of eutrophication in wadeable streams, several factors argue against</w:t>
      </w:r>
      <w:r w:rsidR="00CE683F">
        <w:t xml:space="preserve"> their routine and immediate</w:t>
      </w:r>
      <w:r>
        <w:t xml:space="preserve"> use in a eutrophication assessment framework. First, while relatively standard procedures are available to measure whole-ecosystem rate of GPP and R in flowing waters (Odum, 1956; Hall, 1972; Erdman, 1979; Bott, 2006; McCutchan and Lewis, 2006; Reichert et al., 2009), including open-system single-station and two-station methods, the procedures require substantial expertise and specialized techniques, notably the correction of atmospheric reaeration, most accurately through the measurement of air-water ratios of argon gas (Honzdo et al. 2013). Second, while some seminal studies have been conducted showing the influence of </w:t>
      </w:r>
      <w:r w:rsidRPr="009572DF">
        <w:t>light and</w:t>
      </w:r>
      <w:r>
        <w:t xml:space="preserve"> </w:t>
      </w:r>
      <w:r w:rsidRPr="009572DF">
        <w:t>nutrients</w:t>
      </w:r>
      <w:r>
        <w:t xml:space="preserve"> on GPP</w:t>
      </w:r>
      <w:r w:rsidRPr="009572DF">
        <w:t xml:space="preserve"> (Lamberti &amp;Steinman, 1997; Mulholland et al., 2001), temperature, organic matter, hydrology, and, nutrients</w:t>
      </w:r>
      <w:r>
        <w:t xml:space="preserve"> in</w:t>
      </w:r>
      <w:r w:rsidRPr="009572DF">
        <w:t xml:space="preserve"> driving rates of ER</w:t>
      </w:r>
      <w:r>
        <w:t xml:space="preserve"> </w:t>
      </w:r>
      <w:r w:rsidRPr="009572DF">
        <w:t>(Mulholland et al., 2001; Sinsabaugh, 1997, 2002)</w:t>
      </w:r>
      <w:r>
        <w:t xml:space="preserve">, and urban and agricultural development on whole system EM, relative to reference sites (Bernot et al. 2010), insufficient data are available to adequately characterize the EM response of California wadeable streams along major eutrophication gradients, given the strong influence of natural and anthropogenic factors on the expression on EM. </w:t>
      </w:r>
      <w:r w:rsidR="00CE683F">
        <w:t>Data are available for New Mexico wadeable streams (Jessup et al. 2015), linked to 4-hour productivity</w:t>
      </w:r>
      <w:r w:rsidR="00D45114">
        <w:t xml:space="preserve"> measures, with analyses of thresholds</w:t>
      </w:r>
      <w:r w:rsidR="00CE683F">
        <w:t xml:space="preserve">. </w:t>
      </w:r>
      <w:r>
        <w:t xml:space="preserve">In summary, stream GPP, respiration and net EM </w:t>
      </w:r>
      <w:r w:rsidRPr="00525DEC">
        <w:t xml:space="preserve">can provide valuable information on effects of organic matter </w:t>
      </w:r>
      <w:r>
        <w:t xml:space="preserve">impacts on stream ecosystem function, but because of expertise required for routine measurements, it is </w:t>
      </w:r>
      <w:r w:rsidRPr="00525DEC">
        <w:t>recommend</w:t>
      </w:r>
      <w:r>
        <w:t>ed</w:t>
      </w:r>
      <w:r w:rsidRPr="00525DEC">
        <w:t xml:space="preserve"> that </w:t>
      </w:r>
      <w:r>
        <w:t>they</w:t>
      </w:r>
      <w:r w:rsidRPr="00525DEC">
        <w:t xml:space="preserve"> used as supporting indicators, rather than </w:t>
      </w:r>
      <w:r>
        <w:t>primary indicators and only when available as peer-reviewed science.</w:t>
      </w:r>
    </w:p>
    <w:p w14:paraId="7847DB18" w14:textId="77777777" w:rsidR="00D45114" w:rsidRDefault="00D45114" w:rsidP="00D45114">
      <w:pPr>
        <w:spacing w:after="0"/>
        <w:rPr>
          <w:b/>
        </w:rPr>
      </w:pPr>
    </w:p>
    <w:p w14:paraId="77AD2A04" w14:textId="77777777" w:rsidR="004226B5" w:rsidRDefault="00893E5C" w:rsidP="00D45114">
      <w:pPr>
        <w:spacing w:after="0"/>
      </w:pPr>
      <w:r w:rsidRPr="00236CB8">
        <w:rPr>
          <w:b/>
        </w:rPr>
        <w:t>DOC and Linkage to Trihalomethanes.</w:t>
      </w:r>
      <w:r>
        <w:t xml:space="preserve"> The production of algae in surface waters is linked to high levels of dissolved organic carbon (DOC). DO poses problems for water resources for two reasons. First, trihalomethanes can be generated from drinking water treatment that result from the chlorination or bromination of DOC compounds and include known and suspected carcinogens, creating concern for drinking water safety.  Algal metabolites and decomposition products present in raw water are candidates for THM production (USEPA, 2000b; Nigel, et al., 1998; Plummer and Edzwald, 2001).  The higher the levels of TOC in source waters the greater is the cost and difficulty of meeting the removal goals.  Given the general lack of data on DOC in California wadeable streams, it is not recommended that response endpoints for nutrients would be defined solely in terms of DOC or specific THM precursors.  However, information from water treatment system operators on acceptable levels of algae and DOC in raw water consistent with meeting THM guidelines is an important input to the determination of nutrient-associated impairment of MUN water uses, which could be used as a supporting line of evidence in eutrophication assessment.  </w:t>
      </w:r>
    </w:p>
    <w:p w14:paraId="4931D6DC" w14:textId="77777777" w:rsidR="004226B5" w:rsidRDefault="004226B5">
      <w:pPr>
        <w:spacing w:after="0" w:line="240" w:lineRule="auto"/>
      </w:pPr>
      <w:r>
        <w:br w:type="page"/>
      </w:r>
    </w:p>
    <w:p w14:paraId="180C960F" w14:textId="77777777" w:rsidR="00F156AF" w:rsidRDefault="00F156AF" w:rsidP="00F156AF">
      <w:pPr>
        <w:pStyle w:val="Heading2"/>
      </w:pPr>
      <w:bookmarkStart w:id="67" w:name="_Toc524697503"/>
      <w:bookmarkStart w:id="68" w:name="_Toc526505120"/>
      <w:r>
        <w:t>2.3 Biostimulatory Substances and Conditions</w:t>
      </w:r>
      <w:bookmarkEnd w:id="67"/>
      <w:bookmarkEnd w:id="68"/>
    </w:p>
    <w:p w14:paraId="35E572A6" w14:textId="77777777" w:rsidR="00F156AF" w:rsidRDefault="00F156AF" w:rsidP="004226B5">
      <w:r>
        <w:t xml:space="preserve">Biostimulatory drivers of eutrophication consist of nutrient pollution (including forms of nitrogen and phosphorus) and other environmental factors can cause or significantly contribute to eutrophication. Like nutrient pollution, these factors, such as hydromodification, physical habitat alteration, altered water temperature, and light availability, and grazing pressure are associated with conversion of watersheds and coastal zones to developed land uses (Figure 2.8, Cloern 2001, Paerl et al. 2011). Climatic change, specifically global warming, increased water column vertical stratification, and heightened frequency and intensity of drought and storm events can exacerbate these biostimulatory conditions, thus modulating eutrophication (Paerl et al. 2011). </w:t>
      </w:r>
    </w:p>
    <w:p w14:paraId="3E6C22CC" w14:textId="77777777" w:rsidR="00B07B15" w:rsidRDefault="00B07B15" w:rsidP="00B07B15">
      <w:r>
        <w:t xml:space="preserve">In wadeable streams, nutrients </w:t>
      </w:r>
      <w:r w:rsidR="005B5F53">
        <w:t xml:space="preserve">and organic matter </w:t>
      </w:r>
      <w:r>
        <w:t xml:space="preserve">are considered a primary line of evidence of eutrophication because: 1) both </w:t>
      </w:r>
      <w:r w:rsidR="007E0B1E">
        <w:t>nutrients and organic matter</w:t>
      </w:r>
      <w:r>
        <w:t xml:space="preserve"> are strongly correlated with responses </w:t>
      </w:r>
      <w:r w:rsidR="00F324AD">
        <w:t>in benthic macroinvertebrates (Mazor et al. in prep, Fetscher et al. 2014) and thus use of this causal indicator has a strong signal: noise ratio, 2) measures for their measurement are cost-effective with available s</w:t>
      </w:r>
      <w:r>
        <w:t xml:space="preserve">tandard operating procedures for the collection and measurement of all nutrient forms </w:t>
      </w:r>
      <w:r w:rsidR="00F324AD">
        <w:t xml:space="preserve">and adopted </w:t>
      </w:r>
      <w:r w:rsidR="007E0B1E">
        <w:t xml:space="preserve">by SWAMP (Fetscher et al. 2009), </w:t>
      </w:r>
      <w:r w:rsidR="00F324AD">
        <w:t xml:space="preserve">3) use as a causal indicator to assess eutrophication is </w:t>
      </w:r>
      <w:r>
        <w:t>scientifically well-accepted</w:t>
      </w:r>
      <w:r w:rsidR="00F324AD">
        <w:t xml:space="preserve"> and </w:t>
      </w:r>
      <w:r>
        <w:t>readily interpretable</w:t>
      </w:r>
      <w:r w:rsidR="007E0B1E">
        <w:t>, and 4) modeling approaches are readily available that can link these drivers</w:t>
      </w:r>
      <w:r w:rsidR="00F324AD">
        <w:t xml:space="preserve"> </w:t>
      </w:r>
      <w:r w:rsidR="007E0B1E">
        <w:t xml:space="preserve">to eutrophication responses.  Other biostimulatory drivers (flow, physical habitat alteration, temperature, light regime, etc.) meet these four criteria, but their use in a biostimulatory assessment framework is best as a supporting line of evidence, integrated into restoration and water resource management discussions at a watershed scale. </w:t>
      </w:r>
    </w:p>
    <w:p w14:paraId="557FB371" w14:textId="77777777" w:rsidR="00F156AF" w:rsidRDefault="00B84288" w:rsidP="00B84288">
      <w:pPr>
        <w:pStyle w:val="Heading3"/>
      </w:pPr>
      <w:bookmarkStart w:id="69" w:name="_Toc526505121"/>
      <w:r>
        <w:t xml:space="preserve">2.3.1 Nutrient </w:t>
      </w:r>
      <w:r w:rsidR="000360CA">
        <w:t xml:space="preserve">and Organic Matter </w:t>
      </w:r>
      <w:r>
        <w:t>Pollution</w:t>
      </w:r>
      <w:bookmarkEnd w:id="69"/>
    </w:p>
    <w:p w14:paraId="1F13CCE5" w14:textId="77777777" w:rsidR="00E33716" w:rsidRDefault="00F156AF" w:rsidP="00F156AF">
      <w:r w:rsidRPr="00C94B8D">
        <w:t>The nutrients nitrogen (N)</w:t>
      </w:r>
      <w:r>
        <w:t xml:space="preserve">, </w:t>
      </w:r>
      <w:r w:rsidRPr="00C94B8D">
        <w:t>phosphorus (P)</w:t>
      </w:r>
      <w:r>
        <w:t>, and silica (Si)</w:t>
      </w:r>
      <w:r w:rsidRPr="00C94B8D">
        <w:t xml:space="preserve"> are elements that can be found in </w:t>
      </w:r>
      <w:r w:rsidR="00A707A9">
        <w:t>both</w:t>
      </w:r>
      <w:r w:rsidRPr="00C94B8D">
        <w:t xml:space="preserve"> natural environment</w:t>
      </w:r>
      <w:r w:rsidR="000360CA">
        <w:t xml:space="preserve"> and </w:t>
      </w:r>
      <w:r w:rsidR="00A707A9">
        <w:t>anthropogenically impacted</w:t>
      </w:r>
      <w:r w:rsidR="000360CA">
        <w:t xml:space="preserve"> environments</w:t>
      </w:r>
      <w:r w:rsidRPr="00C94B8D">
        <w:t xml:space="preserve"> in several different forms</w:t>
      </w:r>
      <w:r w:rsidRPr="00C94B8D">
        <w:rPr>
          <w:rFonts w:cs="Arial"/>
        </w:rPr>
        <w:t xml:space="preserve"> (Table </w:t>
      </w:r>
      <w:r>
        <w:rPr>
          <w:rFonts w:cs="Arial"/>
        </w:rPr>
        <w:t>2.7</w:t>
      </w:r>
      <w:r w:rsidRPr="00C94B8D">
        <w:rPr>
          <w:rFonts w:cs="Arial"/>
        </w:rPr>
        <w:t xml:space="preserve">). </w:t>
      </w:r>
      <w:r w:rsidR="00E33716">
        <w:rPr>
          <w:rFonts w:cs="Arial"/>
        </w:rPr>
        <w:t xml:space="preserve">These forms can be freely dissolved or associated with organic matter, which can either be from current or legacy sources. </w:t>
      </w:r>
      <w:r w:rsidRPr="00C94B8D">
        <w:t xml:space="preserve">Total nitrogen (TN) is a measure of all forms of dissolved and particulate N present in a water </w:t>
      </w:r>
      <w:r w:rsidR="000360CA">
        <w:t xml:space="preserve">or sediment </w:t>
      </w:r>
      <w:r w:rsidRPr="00C94B8D">
        <w:t xml:space="preserve">sample. Nitrogen exists in water both as inorganic and organic species, and in dissolved and particulate </w:t>
      </w:r>
      <w:r w:rsidR="000360CA">
        <w:t xml:space="preserve">(organic matter) </w:t>
      </w:r>
      <w:r w:rsidRPr="00C94B8D">
        <w:t>forms. Inorganic nitrogen is found both as oxidized species (</w:t>
      </w:r>
      <w:r w:rsidRPr="00C94B8D">
        <w:rPr>
          <w:i/>
          <w:iCs/>
        </w:rPr>
        <w:t>e.g.</w:t>
      </w:r>
      <w:r w:rsidRPr="00C94B8D">
        <w:t xml:space="preserve"> nitrate (NO</w:t>
      </w:r>
      <w:r w:rsidRPr="00C94B8D">
        <w:rPr>
          <w:vertAlign w:val="subscript"/>
        </w:rPr>
        <w:t>3</w:t>
      </w:r>
      <w:r w:rsidRPr="00C94B8D">
        <w:rPr>
          <w:vertAlign w:val="superscript"/>
        </w:rPr>
        <w:t>-</w:t>
      </w:r>
      <w:r w:rsidRPr="00C94B8D">
        <w:t>) and nitrite (NO</w:t>
      </w:r>
      <w:r w:rsidRPr="00C94B8D">
        <w:rPr>
          <w:vertAlign w:val="subscript"/>
        </w:rPr>
        <w:t>2</w:t>
      </w:r>
      <w:r w:rsidRPr="00C94B8D">
        <w:rPr>
          <w:vertAlign w:val="superscript"/>
        </w:rPr>
        <w:t>-</w:t>
      </w:r>
      <w:r w:rsidRPr="00C94B8D">
        <w:t>)) and reduced species (</w:t>
      </w:r>
      <w:r w:rsidRPr="00C94B8D">
        <w:rPr>
          <w:i/>
          <w:iCs/>
        </w:rPr>
        <w:t>e.g</w:t>
      </w:r>
      <w:r w:rsidRPr="00C94B8D">
        <w:t>. ammonia (NH</w:t>
      </w:r>
      <w:r w:rsidRPr="00C94B8D">
        <w:rPr>
          <w:vertAlign w:val="subscript"/>
        </w:rPr>
        <w:t>4</w:t>
      </w:r>
      <w:r w:rsidRPr="00C94B8D">
        <w:rPr>
          <w:vertAlign w:val="superscript"/>
        </w:rPr>
        <w:t>+</w:t>
      </w:r>
      <w:r w:rsidRPr="00C94B8D">
        <w:t>+NH</w:t>
      </w:r>
      <w:r w:rsidRPr="00C94B8D">
        <w:rPr>
          <w:vertAlign w:val="subscript"/>
        </w:rPr>
        <w:t>3</w:t>
      </w:r>
      <w:r>
        <w:t xml:space="preserve">) and </w:t>
      </w:r>
      <w:r w:rsidRPr="00C94B8D">
        <w:t>nitrogen gas (N</w:t>
      </w:r>
      <w:r w:rsidRPr="00C94B8D">
        <w:rPr>
          <w:vertAlign w:val="subscript"/>
        </w:rPr>
        <w:t>2</w:t>
      </w:r>
      <w:r w:rsidRPr="00C94B8D">
        <w:t>)). DIN comprises NO</w:t>
      </w:r>
      <w:r w:rsidRPr="00C94B8D">
        <w:rPr>
          <w:vertAlign w:val="subscript"/>
        </w:rPr>
        <w:t>2</w:t>
      </w:r>
      <w:r w:rsidRPr="00C94B8D">
        <w:rPr>
          <w:vertAlign w:val="superscript"/>
        </w:rPr>
        <w:t>-</w:t>
      </w:r>
      <w:r w:rsidRPr="00C94B8D">
        <w:t>+NO</w:t>
      </w:r>
      <w:r w:rsidRPr="00C94B8D">
        <w:rPr>
          <w:vertAlign w:val="subscript"/>
        </w:rPr>
        <w:t>3</w:t>
      </w:r>
      <w:r w:rsidRPr="00C94B8D">
        <w:rPr>
          <w:vertAlign w:val="superscript"/>
        </w:rPr>
        <w:t>+</w:t>
      </w:r>
      <w:r w:rsidRPr="00C94B8D">
        <w:t>+NH</w:t>
      </w:r>
      <w:r w:rsidRPr="00C94B8D">
        <w:rPr>
          <w:vertAlign w:val="subscript"/>
        </w:rPr>
        <w:t>4</w:t>
      </w:r>
      <w:r w:rsidRPr="00C94B8D">
        <w:rPr>
          <w:vertAlign w:val="superscript"/>
        </w:rPr>
        <w:t>+</w:t>
      </w:r>
      <w:r w:rsidRPr="00C94B8D">
        <w:t xml:space="preserve">. </w:t>
      </w:r>
      <w:r>
        <w:t>D</w:t>
      </w:r>
      <w:r w:rsidRPr="00C94B8D">
        <w:t xml:space="preserve">issolved organic nitrogen (DON) is found in a wide range of complex chemical forms such as amino acids, proteins, urea and humic acids, found in both surface waters and sediment pore waters. </w:t>
      </w:r>
      <w:r w:rsidR="00E33716" w:rsidRPr="00C94B8D">
        <w:t xml:space="preserve">Nitrogen is an integral component of organic compounds such as amino acids, proteins, DNA and RNA. Particulate N can be found in suspended in the water column (e.g. as phytoplankton or detrital organic matter) or in the </w:t>
      </w:r>
      <w:r w:rsidR="00E33716">
        <w:t>benthos or sediments, associated with the periphyton biofilm</w:t>
      </w:r>
      <w:r w:rsidR="00E33716" w:rsidRPr="00C94B8D">
        <w:t xml:space="preserve">. </w:t>
      </w:r>
      <w:r w:rsidR="00E33716">
        <w:t xml:space="preserve"> In the water column, t</w:t>
      </w:r>
      <w:r w:rsidRPr="00C94B8D">
        <w:t xml:space="preserve">he particulate nitrogen pool consists of plants and animals, </w:t>
      </w:r>
      <w:r w:rsidR="00E33716">
        <w:t>detrital organic matter</w:t>
      </w:r>
      <w:r w:rsidRPr="00C94B8D">
        <w:t>, as well as ammonium adsorbed onto mineral particles. Total phosphorous (TP) is a measure of all the various forms of P (dissolved and particulate) found in water</w:t>
      </w:r>
      <w:r w:rsidR="00E33716">
        <w:t>, sediment or benthic biofilm</w:t>
      </w:r>
      <w:r w:rsidRPr="00C94B8D">
        <w:t xml:space="preserve">.  Dissolved P is available for </w:t>
      </w:r>
      <w:r>
        <w:t>primary producer</w:t>
      </w:r>
      <w:r w:rsidRPr="00C94B8D">
        <w:t xml:space="preserve"> uptake, and consists of inorganic orthophosphate (</w:t>
      </w:r>
      <w:r w:rsidRPr="00C94B8D">
        <w:rPr>
          <w:i/>
          <w:iCs/>
        </w:rPr>
        <w:t>e.g.</w:t>
      </w:r>
      <w:r w:rsidRPr="00C94B8D">
        <w:t xml:space="preserve"> H</w:t>
      </w:r>
      <w:r w:rsidRPr="00C94B8D">
        <w:rPr>
          <w:vertAlign w:val="subscript"/>
        </w:rPr>
        <w:t>2</w:t>
      </w:r>
      <w:r w:rsidRPr="00C94B8D">
        <w:t>PO</w:t>
      </w:r>
      <w:r w:rsidRPr="00C94B8D">
        <w:rPr>
          <w:vertAlign w:val="subscript"/>
        </w:rPr>
        <w:t>4</w:t>
      </w:r>
      <w:r w:rsidRPr="00C94B8D">
        <w:rPr>
          <w:vertAlign w:val="superscript"/>
        </w:rPr>
        <w:t>-</w:t>
      </w:r>
      <w:r w:rsidRPr="00C94B8D">
        <w:t>, HPO</w:t>
      </w:r>
      <w:r w:rsidRPr="00C94B8D">
        <w:rPr>
          <w:vertAlign w:val="subscript"/>
        </w:rPr>
        <w:t>4</w:t>
      </w:r>
      <w:r w:rsidRPr="00C94B8D">
        <w:rPr>
          <w:vertAlign w:val="superscript"/>
        </w:rPr>
        <w:t>2-</w:t>
      </w:r>
      <w:r w:rsidRPr="00C94B8D">
        <w:t>, PO</w:t>
      </w:r>
      <w:r w:rsidRPr="00C94B8D">
        <w:rPr>
          <w:vertAlign w:val="subscript"/>
        </w:rPr>
        <w:t>4</w:t>
      </w:r>
      <w:r w:rsidRPr="00C94B8D">
        <w:rPr>
          <w:vertAlign w:val="superscript"/>
        </w:rPr>
        <w:t>3-</w:t>
      </w:r>
      <w:r w:rsidRPr="00C94B8D">
        <w:t xml:space="preserve">) and organic phosphorus-containing compounds (DOP), found in both surface waters and sediment pore waters. </w:t>
      </w:r>
      <w:r w:rsidR="00E33716" w:rsidRPr="00C94B8D">
        <w:t xml:space="preserve">Particulate P can be found in suspension or in the sediment. </w:t>
      </w:r>
      <w:r w:rsidRPr="00C94B8D">
        <w:t xml:space="preserve">The particulate P pool consists of plants and animals, </w:t>
      </w:r>
      <w:r w:rsidR="00E33716">
        <w:t>detrital organic matter</w:t>
      </w:r>
      <w:r w:rsidRPr="00C94B8D">
        <w:t>, P in minerals and phosphate adsorbed onto iron oxyhydroxides on mineral surfaces. The adsorption and desorption of phosphate from mineral surfaces forms a buffering mechanism that regulates dissolved phosphate concentrations in rivers and estuaries.</w:t>
      </w:r>
      <w:r w:rsidRPr="00B67392">
        <w:t xml:space="preserve"> </w:t>
      </w:r>
    </w:p>
    <w:p w14:paraId="55A834AC" w14:textId="68012E52" w:rsidR="00F156AF" w:rsidRDefault="00F156AF" w:rsidP="00F156AF">
      <w:r w:rsidRPr="00C94B8D">
        <w:t>Some portion of the particulate N pool is subject to rapid mineralization</w:t>
      </w:r>
      <w:r>
        <w:t xml:space="preserve"> while the particulate P pool can be desorbed from particles</w:t>
      </w:r>
      <w:r w:rsidRPr="00C94B8D">
        <w:t xml:space="preserve"> and is biologically available</w:t>
      </w:r>
      <w:r w:rsidR="00286EE8">
        <w:t>, albeit over longer timescales (</w:t>
      </w:r>
      <w:r w:rsidR="009A4F36">
        <w:t>Fan et al. 2017)</w:t>
      </w:r>
      <w:r w:rsidRPr="00C94B8D">
        <w:t>.</w:t>
      </w:r>
      <w:r>
        <w:t xml:space="preserve"> For this reason, USEPA recommends establishing </w:t>
      </w:r>
      <w:r w:rsidR="00E33716">
        <w:t xml:space="preserve">water column </w:t>
      </w:r>
      <w:r>
        <w:t xml:space="preserve">TN and TP targets for waterbodies, to capture the all fractions that can ultimately impact ecosystem health (Paerl et al. 2011). </w:t>
      </w:r>
      <w:r w:rsidR="00D62B1B">
        <w:t xml:space="preserve">Measures of benthic organic matter accumulation, reviewed previously, can capture all </w:t>
      </w:r>
      <w:r w:rsidR="005106F4">
        <w:t>autochthonous</w:t>
      </w:r>
      <w:r w:rsidR="00D62B1B">
        <w:t xml:space="preserve"> (produced in situ by biostimulatory drivers) and </w:t>
      </w:r>
      <w:r w:rsidR="005106F4">
        <w:t>allochthonous</w:t>
      </w:r>
      <w:r w:rsidR="00D62B1B">
        <w:t xml:space="preserve"> sources, including legacy organic matter. </w:t>
      </w:r>
    </w:p>
    <w:p w14:paraId="30F98F44" w14:textId="77777777" w:rsidR="00D62B1B" w:rsidRPr="00DA4BC6" w:rsidRDefault="00D62B1B" w:rsidP="00D62B1B">
      <w:pPr>
        <w:rPr>
          <w:lang w:bidi="ar-SA"/>
        </w:rPr>
      </w:pPr>
      <w:bookmarkStart w:id="70" w:name="_Toc290366318"/>
      <w:bookmarkStart w:id="71" w:name="_Toc292101455"/>
      <w:r>
        <w:rPr>
          <w:lang w:bidi="ar-SA"/>
        </w:rPr>
        <w:t xml:space="preserve">Two forms of nitrogen do not occur in high concentrations in the natural environment and can have significant impacts to aquatic life: ammonia and urea. </w:t>
      </w:r>
      <w:r w:rsidRPr="00913539">
        <w:rPr>
          <w:lang w:bidi="ar-SA"/>
        </w:rPr>
        <w:t>Ammonia nitrogen is a common byproduct of industrial and municipal wastewater streams, fertilizers,</w:t>
      </w:r>
      <w:r w:rsidRPr="00C94B8D">
        <w:rPr>
          <w:lang w:bidi="ar-SA"/>
        </w:rPr>
        <w:t xml:space="preserve"> and natural processes. It includes both the ionized form (ammonium, NH</w:t>
      </w:r>
      <w:r w:rsidRPr="00913539">
        <w:rPr>
          <w:vertAlign w:val="subscript"/>
          <w:lang w:bidi="ar-SA"/>
        </w:rPr>
        <w:t>4</w:t>
      </w:r>
      <w:r w:rsidRPr="00913539">
        <w:rPr>
          <w:vertAlign w:val="superscript"/>
          <w:lang w:bidi="ar-SA"/>
        </w:rPr>
        <w:t>+</w:t>
      </w:r>
      <w:r w:rsidRPr="00C94B8D">
        <w:rPr>
          <w:lang w:bidi="ar-SA"/>
        </w:rPr>
        <w:t>) and the unionized form (ammonia, NH</w:t>
      </w:r>
      <w:r w:rsidRPr="00047350">
        <w:rPr>
          <w:vertAlign w:val="subscript"/>
          <w:lang w:bidi="ar-SA"/>
        </w:rPr>
        <w:t>3</w:t>
      </w:r>
      <w:r w:rsidRPr="00C94B8D">
        <w:rPr>
          <w:lang w:bidi="ar-SA"/>
        </w:rPr>
        <w:t>).  Elevated unionized ammonia (NH</w:t>
      </w:r>
      <w:r w:rsidRPr="00047350">
        <w:rPr>
          <w:vertAlign w:val="subscript"/>
          <w:lang w:bidi="ar-SA"/>
        </w:rPr>
        <w:t>3</w:t>
      </w:r>
      <w:r w:rsidRPr="00C94B8D">
        <w:rPr>
          <w:lang w:bidi="ar-SA"/>
        </w:rPr>
        <w:t xml:space="preserve">) can be acutely toxic to aquatic animals and is a common cause of fish kills, because it can readily diffuse across gill membranes </w:t>
      </w:r>
      <w:r w:rsidRPr="00DA4BC6">
        <w:rPr>
          <w:lang w:bidi="ar-SA"/>
        </w:rPr>
        <w:t xml:space="preserve">(Sampaio et al. 2002). </w:t>
      </w:r>
      <w:r>
        <w:rPr>
          <w:lang w:bidi="ar-SA"/>
        </w:rPr>
        <w:t>Fish are more sensitive then i</w:t>
      </w:r>
      <w:r w:rsidRPr="00DA4BC6">
        <w:rPr>
          <w:lang w:bidi="ar-SA"/>
        </w:rPr>
        <w:t xml:space="preserve">nvertebrates, </w:t>
      </w:r>
      <w:r>
        <w:rPr>
          <w:lang w:bidi="ar-SA"/>
        </w:rPr>
        <w:t>but</w:t>
      </w:r>
      <w:r w:rsidRPr="00DA4BC6">
        <w:rPr>
          <w:lang w:bidi="ar-SA"/>
        </w:rPr>
        <w:t xml:space="preserve"> recent information suggests that some types of mussels are very sensitive to ammonia </w:t>
      </w:r>
      <w:r w:rsidRPr="00DA4BC6">
        <w:rPr>
          <w:lang w:bidi="ar-SA"/>
        </w:rPr>
        <w:fldChar w:fldCharType="begin"/>
      </w:r>
      <w:r w:rsidRPr="00DA4BC6">
        <w:rPr>
          <w:lang w:bidi="ar-SA"/>
        </w:rPr>
        <w:instrText xml:space="preserve"> ADDIN EN.CITE &lt;EndNote&gt;&lt;Cite&gt;&lt;Author&gt;Newton&lt;/Author&gt;&lt;Year&gt;2007&lt;/Year&gt;&lt;RecNum&gt;1703&lt;/RecNum&gt;&lt;record&gt;&lt;rec-number&gt;1703&lt;/rec-number&gt;&lt;foreign-keys&gt;&lt;key app="EN" db-id="srzrsvde5tsfsnezz225vt0nwvtr0zvetr2s"&gt;1703&lt;/key&gt;&lt;/foreign-keys&gt;&lt;ref-type name="Journal Article"&gt;17&lt;/ref-type&gt;&lt;contributors&gt;&lt;authors&gt;&lt;author&gt;Newton, T.J.&lt;/author&gt;&lt;author&gt;M.R. Bartsch&lt;/author&gt;&lt;/authors&gt;&lt;/contributors&gt;&lt;titles&gt;&lt;title&gt;Lethal and sublethal effects of ammonia to juvenile lampsilis mussels (Unionidae) in sediment and water-only exposures&lt;/title&gt;&lt;secondary-title&gt;Environmental Toxicology and Chemistry&lt;/secondary-title&gt;&lt;/titles&gt;&lt;periodical&gt;&lt;full-title&gt;Environmental Toxicology and Chemistry&lt;/full-title&gt;&lt;/periodical&gt;&lt;pages&gt;2057-2065&lt;/pages&gt;&lt;volume&gt;26&lt;/volume&gt;&lt;number&gt;10&lt;/number&gt;&lt;dates&gt;&lt;year&gt;2007&lt;/year&gt;&lt;/dates&gt;&lt;urls&gt;&lt;/urls&gt;&lt;/record&gt;&lt;/Cite&gt;&lt;/EndNote&gt;</w:instrText>
      </w:r>
      <w:r w:rsidRPr="00DA4BC6">
        <w:rPr>
          <w:lang w:bidi="ar-SA"/>
        </w:rPr>
        <w:fldChar w:fldCharType="separate"/>
      </w:r>
      <w:r w:rsidRPr="00DA4BC6">
        <w:rPr>
          <w:lang w:bidi="ar-SA"/>
        </w:rPr>
        <w:t>(Newton and Bartsch 2007)</w:t>
      </w:r>
      <w:r w:rsidRPr="00DA4BC6">
        <w:rPr>
          <w:lang w:bidi="ar-SA"/>
        </w:rPr>
        <w:fldChar w:fldCharType="end"/>
      </w:r>
      <w:r w:rsidRPr="00DA4BC6">
        <w:rPr>
          <w:lang w:bidi="ar-SA"/>
        </w:rPr>
        <w:t xml:space="preserve">. Environmental conditions </w:t>
      </w:r>
      <w:r>
        <w:rPr>
          <w:lang w:bidi="ar-SA"/>
        </w:rPr>
        <w:t xml:space="preserve">such as pH and temperature </w:t>
      </w:r>
      <w:r w:rsidRPr="00DA4BC6">
        <w:rPr>
          <w:lang w:bidi="ar-SA"/>
        </w:rPr>
        <w:t xml:space="preserve">can greatly alter the toxicity of unionized ammonia to organisms.  A list of specific types of effects is given in Table </w:t>
      </w:r>
      <w:r>
        <w:rPr>
          <w:lang w:bidi="ar-SA"/>
        </w:rPr>
        <w:t>2.8</w:t>
      </w:r>
      <w:r w:rsidRPr="00DA4BC6">
        <w:rPr>
          <w:lang w:bidi="ar-SA"/>
        </w:rPr>
        <w:t xml:space="preserve"> Ionized ammonia (NH</w:t>
      </w:r>
      <w:r w:rsidRPr="00DA4BC6">
        <w:rPr>
          <w:vertAlign w:val="subscript"/>
          <w:lang w:bidi="ar-SA"/>
        </w:rPr>
        <w:t>4</w:t>
      </w:r>
      <w:r w:rsidRPr="00DA4BC6">
        <w:rPr>
          <w:vertAlign w:val="superscript"/>
          <w:lang w:bidi="ar-SA"/>
        </w:rPr>
        <w:t>+</w:t>
      </w:r>
      <w:r w:rsidRPr="00DA4BC6">
        <w:rPr>
          <w:lang w:bidi="ar-SA"/>
        </w:rPr>
        <w:t xml:space="preserve">) does not pass as easily through gill membranes, so it is appreciably less toxic than the unionized form (Camargo and Alonso 2006). Exposure duration and frequency strongly influence the severity of effects (Milne et al. 2000). Early life stages of fish are more sensitive than juveniles or adults. Hence, effects are more likely to occur during seasons when early life stages are present.  In addition, unionized ammonia can cause toxicity to </w:t>
      </w:r>
      <w:r w:rsidRPr="00DA4BC6">
        <w:rPr>
          <w:i/>
          <w:lang w:bidi="ar-SA"/>
        </w:rPr>
        <w:t>Nitrosomona</w:t>
      </w:r>
      <w:r w:rsidRPr="00DA4BC6">
        <w:rPr>
          <w:lang w:bidi="ar-SA"/>
        </w:rPr>
        <w:t xml:space="preserve">s and </w:t>
      </w:r>
      <w:r w:rsidRPr="00DA4BC6">
        <w:rPr>
          <w:i/>
          <w:lang w:bidi="ar-SA"/>
        </w:rPr>
        <w:t>Nitrobacter</w:t>
      </w:r>
      <w:r w:rsidRPr="00DA4BC6">
        <w:rPr>
          <w:lang w:bidi="ar-SA"/>
        </w:rPr>
        <w:t xml:space="preserve"> bacteria, inhibiting the nitrification process, the conversion of ammonium to nitrate. This inhibition can result in increased ammonium accumulation in the aquatic environment, intensifying the level of toxicity to bacteria and aquatic animals (Carmargo and Alonso 2006).</w:t>
      </w:r>
    </w:p>
    <w:p w14:paraId="70F9E2F1" w14:textId="77777777" w:rsidR="00E33716" w:rsidRDefault="00E33716">
      <w:pPr>
        <w:spacing w:after="0" w:line="240" w:lineRule="auto"/>
        <w:rPr>
          <w:rFonts w:ascii="Arial" w:hAnsi="Arial"/>
          <w:b/>
          <w:sz w:val="20"/>
        </w:rPr>
      </w:pPr>
    </w:p>
    <w:p w14:paraId="3D841D14" w14:textId="77777777" w:rsidR="00F156AF" w:rsidRPr="00893E5C" w:rsidRDefault="00F156AF" w:rsidP="00F156AF">
      <w:pPr>
        <w:pStyle w:val="TOT"/>
      </w:pPr>
      <w:bookmarkStart w:id="72" w:name="_Toc526489912"/>
      <w:r w:rsidRPr="00893E5C">
        <w:t>Table 2.</w:t>
      </w:r>
      <w:r>
        <w:t>7</w:t>
      </w:r>
      <w:r w:rsidRPr="00893E5C">
        <w:t xml:space="preserve">. Nutrient species relevant </w:t>
      </w:r>
      <w:r>
        <w:t>biostimulatory</w:t>
      </w:r>
      <w:r w:rsidRPr="00893E5C">
        <w:t xml:space="preserve"> impacts to beneficial uses.</w:t>
      </w:r>
      <w:bookmarkEnd w:id="70"/>
      <w:bookmarkEnd w:id="71"/>
      <w:bookmarkEnd w:id="72"/>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7"/>
        <w:gridCol w:w="3861"/>
        <w:gridCol w:w="4317"/>
      </w:tblGrid>
      <w:tr w:rsidR="00F156AF" w:rsidRPr="00CF3970" w14:paraId="47F54B1B" w14:textId="77777777" w:rsidTr="00B12442">
        <w:tc>
          <w:tcPr>
            <w:tcW w:w="570" w:type="pct"/>
          </w:tcPr>
          <w:p w14:paraId="105C66E7" w14:textId="77777777" w:rsidR="00F156AF" w:rsidRPr="00CF3970" w:rsidRDefault="00F156AF" w:rsidP="00B12442">
            <w:pPr>
              <w:spacing w:before="60" w:after="60"/>
              <w:rPr>
                <w:rFonts w:ascii="Arial" w:hAnsi="Arial" w:cs="Arial"/>
                <w:b/>
                <w:sz w:val="18"/>
                <w:szCs w:val="18"/>
              </w:rPr>
            </w:pPr>
            <w:r w:rsidRPr="00CF3970">
              <w:rPr>
                <w:rFonts w:ascii="Arial" w:hAnsi="Arial" w:cs="Arial"/>
                <w:b/>
                <w:sz w:val="18"/>
                <w:szCs w:val="18"/>
              </w:rPr>
              <w:t>Form</w:t>
            </w:r>
          </w:p>
        </w:tc>
        <w:tc>
          <w:tcPr>
            <w:tcW w:w="2092" w:type="pct"/>
          </w:tcPr>
          <w:p w14:paraId="43E46F34" w14:textId="77777777" w:rsidR="00F156AF" w:rsidRPr="00CF3970" w:rsidRDefault="00F156AF" w:rsidP="00B12442">
            <w:pPr>
              <w:spacing w:before="60" w:after="60"/>
              <w:rPr>
                <w:rFonts w:ascii="Arial" w:hAnsi="Arial" w:cs="Arial"/>
                <w:b/>
                <w:sz w:val="18"/>
                <w:szCs w:val="18"/>
              </w:rPr>
            </w:pPr>
            <w:r w:rsidRPr="00CF3970">
              <w:rPr>
                <w:rFonts w:ascii="Arial" w:hAnsi="Arial" w:cs="Arial"/>
                <w:b/>
                <w:sz w:val="18"/>
                <w:szCs w:val="18"/>
              </w:rPr>
              <w:t>Nitrogen</w:t>
            </w:r>
          </w:p>
        </w:tc>
        <w:tc>
          <w:tcPr>
            <w:tcW w:w="2338" w:type="pct"/>
          </w:tcPr>
          <w:p w14:paraId="2D8AFC14" w14:textId="77777777" w:rsidR="00F156AF" w:rsidRPr="00CF3970" w:rsidRDefault="00F156AF" w:rsidP="00B12442">
            <w:pPr>
              <w:spacing w:before="60" w:after="60"/>
              <w:rPr>
                <w:rFonts w:ascii="Arial" w:hAnsi="Arial" w:cs="Arial"/>
                <w:b/>
                <w:sz w:val="18"/>
                <w:szCs w:val="18"/>
              </w:rPr>
            </w:pPr>
            <w:r w:rsidRPr="00CF3970">
              <w:rPr>
                <w:rFonts w:ascii="Arial" w:hAnsi="Arial" w:cs="Arial"/>
                <w:b/>
                <w:sz w:val="18"/>
                <w:szCs w:val="18"/>
              </w:rPr>
              <w:t>Phosphorus</w:t>
            </w:r>
          </w:p>
        </w:tc>
      </w:tr>
      <w:tr w:rsidR="00F156AF" w:rsidRPr="00CF3970" w14:paraId="5835C9C6" w14:textId="77777777" w:rsidTr="00B12442">
        <w:trPr>
          <w:trHeight w:val="503"/>
        </w:trPr>
        <w:tc>
          <w:tcPr>
            <w:tcW w:w="570" w:type="pct"/>
            <w:vMerge w:val="restart"/>
          </w:tcPr>
          <w:p w14:paraId="284F1B5C" w14:textId="77777777" w:rsidR="00F156AF" w:rsidRPr="00CF3970" w:rsidRDefault="00F156AF" w:rsidP="00B12442">
            <w:pPr>
              <w:spacing w:before="60" w:after="60"/>
              <w:rPr>
                <w:rFonts w:ascii="Arial" w:hAnsi="Arial" w:cs="Arial"/>
                <w:sz w:val="18"/>
                <w:szCs w:val="18"/>
              </w:rPr>
            </w:pPr>
            <w:r w:rsidRPr="00CF3970">
              <w:rPr>
                <w:rFonts w:ascii="Arial" w:hAnsi="Arial" w:cs="Arial"/>
                <w:sz w:val="18"/>
                <w:szCs w:val="18"/>
              </w:rPr>
              <w:t>Dissolved Inorganic</w:t>
            </w:r>
          </w:p>
        </w:tc>
        <w:tc>
          <w:tcPr>
            <w:tcW w:w="2092" w:type="pct"/>
          </w:tcPr>
          <w:p w14:paraId="7DD95602" w14:textId="77777777" w:rsidR="00F156AF" w:rsidRPr="00CF3970" w:rsidRDefault="00F156AF" w:rsidP="00B12442">
            <w:pPr>
              <w:spacing w:before="60" w:after="60"/>
              <w:rPr>
                <w:rFonts w:ascii="Arial" w:hAnsi="Arial" w:cs="Arial"/>
                <w:sz w:val="18"/>
                <w:szCs w:val="18"/>
              </w:rPr>
            </w:pPr>
            <w:r w:rsidRPr="00CF3970">
              <w:rPr>
                <w:rFonts w:ascii="Arial" w:hAnsi="Arial" w:cs="Arial"/>
                <w:sz w:val="18"/>
                <w:szCs w:val="18"/>
              </w:rPr>
              <w:t>Nitrate (NO</w:t>
            </w:r>
            <w:r w:rsidRPr="00CF3970">
              <w:rPr>
                <w:rFonts w:ascii="Arial" w:hAnsi="Arial" w:cs="Arial"/>
                <w:sz w:val="18"/>
                <w:szCs w:val="18"/>
                <w:vertAlign w:val="subscript"/>
              </w:rPr>
              <w:t>3</w:t>
            </w:r>
            <w:r w:rsidRPr="00CF3970">
              <w:rPr>
                <w:rFonts w:ascii="Arial" w:hAnsi="Arial" w:cs="Arial"/>
                <w:sz w:val="18"/>
                <w:szCs w:val="18"/>
                <w:vertAlign w:val="superscript"/>
              </w:rPr>
              <w:t>-</w:t>
            </w:r>
            <w:r w:rsidRPr="00CF3970">
              <w:rPr>
                <w:rFonts w:ascii="Arial" w:hAnsi="Arial" w:cs="Arial"/>
                <w:sz w:val="18"/>
                <w:szCs w:val="18"/>
              </w:rPr>
              <w:t>) + nitrite (NO</w:t>
            </w:r>
            <w:r w:rsidRPr="00CF3970">
              <w:rPr>
                <w:rFonts w:ascii="Arial" w:hAnsi="Arial" w:cs="Arial"/>
                <w:sz w:val="18"/>
                <w:szCs w:val="18"/>
                <w:vertAlign w:val="subscript"/>
              </w:rPr>
              <w:t>2</w:t>
            </w:r>
            <w:r w:rsidRPr="00CF3970">
              <w:rPr>
                <w:rFonts w:ascii="Arial" w:hAnsi="Arial" w:cs="Arial"/>
                <w:sz w:val="18"/>
                <w:szCs w:val="18"/>
                <w:vertAlign w:val="superscript"/>
              </w:rPr>
              <w:t>2-</w:t>
            </w:r>
            <w:r w:rsidRPr="00CF3970">
              <w:rPr>
                <w:rFonts w:ascii="Arial" w:hAnsi="Arial" w:cs="Arial"/>
                <w:sz w:val="18"/>
                <w:szCs w:val="18"/>
              </w:rPr>
              <w:t xml:space="preserve">) </w:t>
            </w:r>
          </w:p>
        </w:tc>
        <w:tc>
          <w:tcPr>
            <w:tcW w:w="2338" w:type="pct"/>
            <w:vMerge w:val="restart"/>
          </w:tcPr>
          <w:p w14:paraId="15C596C5" w14:textId="77777777" w:rsidR="00F156AF" w:rsidRPr="00CF3970" w:rsidRDefault="00F156AF" w:rsidP="00B12442">
            <w:pPr>
              <w:spacing w:before="60" w:after="60"/>
              <w:rPr>
                <w:rFonts w:ascii="Arial" w:hAnsi="Arial" w:cs="Arial"/>
                <w:sz w:val="18"/>
                <w:szCs w:val="18"/>
              </w:rPr>
            </w:pPr>
            <w:r w:rsidRPr="00CF3970">
              <w:rPr>
                <w:rFonts w:ascii="Arial" w:hAnsi="Arial" w:cs="Arial"/>
                <w:sz w:val="18"/>
                <w:szCs w:val="18"/>
              </w:rPr>
              <w:t>Ortho-phosphate (PO</w:t>
            </w:r>
            <w:r w:rsidRPr="00CF3970">
              <w:rPr>
                <w:rFonts w:ascii="Arial" w:hAnsi="Arial" w:cs="Arial"/>
                <w:sz w:val="18"/>
                <w:szCs w:val="18"/>
                <w:vertAlign w:val="subscript"/>
              </w:rPr>
              <w:t>4</w:t>
            </w:r>
            <w:r w:rsidRPr="00CF3970">
              <w:rPr>
                <w:rFonts w:ascii="Arial" w:hAnsi="Arial" w:cs="Arial"/>
                <w:sz w:val="18"/>
                <w:szCs w:val="18"/>
                <w:vertAlign w:val="superscript"/>
              </w:rPr>
              <w:t>-2</w:t>
            </w:r>
            <w:r w:rsidRPr="00CF3970">
              <w:rPr>
                <w:rFonts w:ascii="Arial" w:hAnsi="Arial" w:cs="Arial"/>
                <w:sz w:val="18"/>
                <w:szCs w:val="18"/>
              </w:rPr>
              <w:t xml:space="preserve">) is considered freely dissolved. Measurements of phosphate are “soluble reactive phosphorus (SRP),” which includes o-phosphate plus P that is loosely adsorbed to particles. </w:t>
            </w:r>
          </w:p>
        </w:tc>
      </w:tr>
      <w:tr w:rsidR="00F156AF" w:rsidRPr="00CF3970" w14:paraId="28C67DEE" w14:textId="77777777" w:rsidTr="00B12442">
        <w:tc>
          <w:tcPr>
            <w:tcW w:w="570" w:type="pct"/>
            <w:vMerge/>
          </w:tcPr>
          <w:p w14:paraId="228A9257" w14:textId="77777777" w:rsidR="00F156AF" w:rsidRPr="00CF3970" w:rsidRDefault="00F156AF" w:rsidP="00B12442">
            <w:pPr>
              <w:spacing w:before="60" w:after="60"/>
              <w:rPr>
                <w:rFonts w:ascii="Arial" w:hAnsi="Arial" w:cs="Arial"/>
                <w:sz w:val="18"/>
                <w:szCs w:val="18"/>
              </w:rPr>
            </w:pPr>
          </w:p>
        </w:tc>
        <w:tc>
          <w:tcPr>
            <w:tcW w:w="2092" w:type="pct"/>
          </w:tcPr>
          <w:p w14:paraId="391CCC2D" w14:textId="77777777" w:rsidR="00F156AF" w:rsidRPr="00CF3970" w:rsidRDefault="00F156AF" w:rsidP="00B12442">
            <w:pPr>
              <w:spacing w:before="60" w:after="60"/>
              <w:rPr>
                <w:rFonts w:ascii="Arial" w:hAnsi="Arial" w:cs="Arial"/>
                <w:sz w:val="18"/>
                <w:szCs w:val="18"/>
              </w:rPr>
            </w:pPr>
            <w:r w:rsidRPr="00CF3970">
              <w:rPr>
                <w:rFonts w:ascii="Arial" w:hAnsi="Arial" w:cs="Arial"/>
                <w:sz w:val="18"/>
                <w:szCs w:val="18"/>
              </w:rPr>
              <w:t>Ammonium (NH4</w:t>
            </w:r>
            <w:r w:rsidRPr="00CF3970">
              <w:rPr>
                <w:rFonts w:ascii="Arial" w:hAnsi="Arial" w:cs="Arial"/>
                <w:sz w:val="18"/>
                <w:szCs w:val="18"/>
                <w:vertAlign w:val="superscript"/>
              </w:rPr>
              <w:t>+</w:t>
            </w:r>
            <w:r w:rsidRPr="00CF3970">
              <w:rPr>
                <w:rFonts w:ascii="Arial" w:hAnsi="Arial" w:cs="Arial"/>
                <w:sz w:val="18"/>
                <w:szCs w:val="18"/>
              </w:rPr>
              <w:t>; in dynamic equilibrium in natural waters with unionized or free ammonia)</w:t>
            </w:r>
          </w:p>
        </w:tc>
        <w:tc>
          <w:tcPr>
            <w:tcW w:w="2338" w:type="pct"/>
            <w:vMerge/>
          </w:tcPr>
          <w:p w14:paraId="20D1B982" w14:textId="77777777" w:rsidR="00F156AF" w:rsidRPr="00CF3970" w:rsidRDefault="00F156AF" w:rsidP="00B12442">
            <w:pPr>
              <w:spacing w:before="60" w:after="60"/>
              <w:rPr>
                <w:rFonts w:ascii="Arial" w:hAnsi="Arial" w:cs="Arial"/>
                <w:sz w:val="18"/>
                <w:szCs w:val="18"/>
              </w:rPr>
            </w:pPr>
          </w:p>
        </w:tc>
      </w:tr>
      <w:tr w:rsidR="00F156AF" w:rsidRPr="00CF3970" w14:paraId="7CCF93F2" w14:textId="77777777" w:rsidTr="00B12442">
        <w:tc>
          <w:tcPr>
            <w:tcW w:w="570" w:type="pct"/>
          </w:tcPr>
          <w:p w14:paraId="61D9D4CC" w14:textId="77777777" w:rsidR="00F156AF" w:rsidRPr="00CF3970" w:rsidRDefault="00F156AF" w:rsidP="00B12442">
            <w:pPr>
              <w:spacing w:before="60" w:after="60"/>
              <w:rPr>
                <w:rFonts w:ascii="Arial" w:hAnsi="Arial" w:cs="Arial"/>
                <w:sz w:val="18"/>
                <w:szCs w:val="18"/>
              </w:rPr>
            </w:pPr>
            <w:r w:rsidRPr="00CF3970">
              <w:rPr>
                <w:rFonts w:ascii="Arial" w:hAnsi="Arial" w:cs="Arial"/>
                <w:sz w:val="18"/>
                <w:szCs w:val="18"/>
              </w:rPr>
              <w:t>Dissolved Organic</w:t>
            </w:r>
          </w:p>
        </w:tc>
        <w:tc>
          <w:tcPr>
            <w:tcW w:w="2092" w:type="pct"/>
          </w:tcPr>
          <w:p w14:paraId="7CC57EEE" w14:textId="77777777" w:rsidR="00F156AF" w:rsidRPr="00CF3970" w:rsidRDefault="00F156AF" w:rsidP="00B12442">
            <w:pPr>
              <w:spacing w:before="60" w:after="60"/>
              <w:rPr>
                <w:rFonts w:ascii="Arial" w:hAnsi="Arial" w:cs="Arial"/>
                <w:sz w:val="18"/>
                <w:szCs w:val="18"/>
              </w:rPr>
            </w:pPr>
            <w:r w:rsidRPr="00CF3970">
              <w:rPr>
                <w:rFonts w:ascii="Arial" w:hAnsi="Arial" w:cs="Arial"/>
                <w:sz w:val="18"/>
                <w:szCs w:val="18"/>
              </w:rPr>
              <w:t>Dissolved organic nitrogen (often a large portion of total nitrogen in natural waters especially those less impacted by human activities)</w:t>
            </w:r>
          </w:p>
        </w:tc>
        <w:tc>
          <w:tcPr>
            <w:tcW w:w="2338" w:type="pct"/>
          </w:tcPr>
          <w:p w14:paraId="3FA37516" w14:textId="77777777" w:rsidR="00F156AF" w:rsidRPr="00CF3970" w:rsidRDefault="00F156AF" w:rsidP="00B12442">
            <w:pPr>
              <w:spacing w:before="60" w:after="60"/>
              <w:rPr>
                <w:rFonts w:ascii="Arial" w:hAnsi="Arial" w:cs="Arial"/>
                <w:sz w:val="18"/>
                <w:szCs w:val="18"/>
              </w:rPr>
            </w:pPr>
            <w:r w:rsidRPr="00CF3970">
              <w:rPr>
                <w:rFonts w:ascii="Arial" w:hAnsi="Arial" w:cs="Arial"/>
                <w:sz w:val="18"/>
                <w:szCs w:val="18"/>
              </w:rPr>
              <w:t>Dissolved organic phosphorus (can be a large portion of total phosphorus in natural waters unless impacted by human activities or during periods of active decomposition of organic matter (e.g. algal bloom die-off).</w:t>
            </w:r>
          </w:p>
        </w:tc>
      </w:tr>
      <w:tr w:rsidR="00F156AF" w:rsidRPr="00CF3970" w14:paraId="25540864" w14:textId="77777777" w:rsidTr="00B12442">
        <w:tc>
          <w:tcPr>
            <w:tcW w:w="570" w:type="pct"/>
            <w:vMerge w:val="restart"/>
          </w:tcPr>
          <w:p w14:paraId="426BABA4" w14:textId="77777777" w:rsidR="00F156AF" w:rsidRPr="00CF3970" w:rsidRDefault="00F156AF" w:rsidP="00B12442">
            <w:pPr>
              <w:spacing w:before="60" w:after="60"/>
              <w:rPr>
                <w:rFonts w:ascii="Arial" w:hAnsi="Arial" w:cs="Arial"/>
                <w:sz w:val="18"/>
                <w:szCs w:val="18"/>
              </w:rPr>
            </w:pPr>
            <w:r w:rsidRPr="00CF3970">
              <w:rPr>
                <w:rFonts w:ascii="Arial" w:hAnsi="Arial" w:cs="Arial"/>
                <w:sz w:val="18"/>
                <w:szCs w:val="18"/>
              </w:rPr>
              <w:t>Particulate</w:t>
            </w:r>
          </w:p>
        </w:tc>
        <w:tc>
          <w:tcPr>
            <w:tcW w:w="2092" w:type="pct"/>
          </w:tcPr>
          <w:p w14:paraId="37A48ED1" w14:textId="77777777" w:rsidR="00F156AF" w:rsidRPr="00CF3970" w:rsidRDefault="00F156AF" w:rsidP="00B12442">
            <w:pPr>
              <w:spacing w:before="60" w:after="60"/>
              <w:rPr>
                <w:rFonts w:ascii="Arial" w:hAnsi="Arial" w:cs="Arial"/>
                <w:sz w:val="18"/>
                <w:szCs w:val="18"/>
              </w:rPr>
            </w:pPr>
            <w:r w:rsidRPr="00CF3970">
              <w:rPr>
                <w:rFonts w:ascii="Arial" w:hAnsi="Arial" w:cs="Arial"/>
                <w:sz w:val="18"/>
                <w:szCs w:val="18"/>
              </w:rPr>
              <w:t>Particulate organic nitrogen (detritus left from pieces of undecayed or partially decayed organic matter)</w:t>
            </w:r>
          </w:p>
        </w:tc>
        <w:tc>
          <w:tcPr>
            <w:tcW w:w="2338" w:type="pct"/>
          </w:tcPr>
          <w:p w14:paraId="3F07B268" w14:textId="77777777" w:rsidR="00F156AF" w:rsidRPr="00CF3970" w:rsidRDefault="00F156AF" w:rsidP="00B12442">
            <w:pPr>
              <w:spacing w:before="60" w:after="60"/>
              <w:rPr>
                <w:rFonts w:ascii="Arial" w:hAnsi="Arial" w:cs="Arial"/>
                <w:sz w:val="18"/>
                <w:szCs w:val="18"/>
              </w:rPr>
            </w:pPr>
            <w:r w:rsidRPr="00CF3970">
              <w:rPr>
                <w:rFonts w:ascii="Arial" w:hAnsi="Arial" w:cs="Arial"/>
                <w:sz w:val="18"/>
                <w:szCs w:val="18"/>
              </w:rPr>
              <w:t>Particulate organic phosphorus (associated with live or dead organic matter)</w:t>
            </w:r>
          </w:p>
        </w:tc>
      </w:tr>
      <w:tr w:rsidR="00F156AF" w:rsidRPr="00CF3970" w14:paraId="672AB3A3" w14:textId="77777777" w:rsidTr="00B12442">
        <w:tc>
          <w:tcPr>
            <w:tcW w:w="570" w:type="pct"/>
            <w:vMerge/>
          </w:tcPr>
          <w:p w14:paraId="23D2982E" w14:textId="77777777" w:rsidR="00F156AF" w:rsidRPr="00CF3970" w:rsidRDefault="00F156AF" w:rsidP="00B12442">
            <w:pPr>
              <w:spacing w:before="60" w:after="60"/>
              <w:rPr>
                <w:rFonts w:ascii="Arial" w:hAnsi="Arial" w:cs="Arial"/>
                <w:sz w:val="18"/>
                <w:szCs w:val="18"/>
              </w:rPr>
            </w:pPr>
          </w:p>
        </w:tc>
        <w:tc>
          <w:tcPr>
            <w:tcW w:w="2092" w:type="pct"/>
          </w:tcPr>
          <w:p w14:paraId="6124EADC" w14:textId="77777777" w:rsidR="00F156AF" w:rsidRPr="00CF3970" w:rsidRDefault="00F156AF" w:rsidP="00B12442">
            <w:pPr>
              <w:spacing w:before="60" w:after="60"/>
              <w:rPr>
                <w:rFonts w:ascii="Arial" w:hAnsi="Arial" w:cs="Arial"/>
                <w:sz w:val="18"/>
                <w:szCs w:val="18"/>
              </w:rPr>
            </w:pPr>
            <w:r w:rsidRPr="00CF3970">
              <w:rPr>
                <w:rFonts w:ascii="Arial" w:hAnsi="Arial" w:cs="Arial"/>
                <w:sz w:val="18"/>
                <w:szCs w:val="18"/>
              </w:rPr>
              <w:t>Particulate inorganic nitrogen (insignificant in natural waters and usually not considered)</w:t>
            </w:r>
          </w:p>
        </w:tc>
        <w:tc>
          <w:tcPr>
            <w:tcW w:w="2338" w:type="pct"/>
          </w:tcPr>
          <w:p w14:paraId="6052E511" w14:textId="77777777" w:rsidR="00F156AF" w:rsidRPr="00CF3970" w:rsidRDefault="00F156AF" w:rsidP="00B12442">
            <w:pPr>
              <w:spacing w:before="60" w:after="60"/>
              <w:rPr>
                <w:rFonts w:ascii="Arial" w:hAnsi="Arial" w:cs="Arial"/>
                <w:sz w:val="18"/>
                <w:szCs w:val="18"/>
              </w:rPr>
            </w:pPr>
            <w:r w:rsidRPr="00CF3970">
              <w:rPr>
                <w:rFonts w:ascii="Arial" w:hAnsi="Arial" w:cs="Arial"/>
                <w:sz w:val="18"/>
                <w:szCs w:val="18"/>
              </w:rPr>
              <w:t>Particulate inorganic phosphorus (typically associated with minerals)</w:t>
            </w:r>
          </w:p>
        </w:tc>
      </w:tr>
    </w:tbl>
    <w:p w14:paraId="6C3A54B8" w14:textId="77777777" w:rsidR="00F156AF" w:rsidRDefault="00F156AF" w:rsidP="00F156AF"/>
    <w:p w14:paraId="14D11540" w14:textId="77777777" w:rsidR="00D62B1B" w:rsidRDefault="00D62B1B" w:rsidP="00D62B1B">
      <w:r>
        <w:t>U</w:t>
      </w:r>
      <w:r w:rsidRPr="00CF6EB7">
        <w:t>rea has been identified as a nutrient source</w:t>
      </w:r>
      <w:r>
        <w:t xml:space="preserve"> that can be</w:t>
      </w:r>
      <w:r w:rsidRPr="00CF6EB7">
        <w:t xml:space="preserve"> taken up by phytoplankton </w:t>
      </w:r>
      <w:r w:rsidRPr="00CF6EB7">
        <w:fldChar w:fldCharType="begin">
          <w:fldData xml:space="preserve">PEVuZE5vdGU+PENpdGU+PEF1dGhvcj5HaWxiZXJ0PC9BdXRob3I+PFllYXI+MjAwMTwvWWVhcj48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</w:fldData>
        </w:fldChar>
      </w:r>
      <w:r>
        <w:instrText xml:space="preserve"> ADDIN EN.CITE </w:instrText>
      </w:r>
      <w:r>
        <w:fldChar w:fldCharType="begin">
          <w:fldData xml:space="preserve">PEVuZE5vdGU+PENpdGU+PEF1dGhvcj5HaWxiZXJ0PC9BdXRob3I+PFllYXI+MjAwMTwvWWVhcj48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</w:fldData>
        </w:fldChar>
      </w:r>
      <w:r>
        <w:instrText xml:space="preserve"> ADDIN EN.CITE.DATA </w:instrText>
      </w:r>
      <w:r>
        <w:fldChar w:fldCharType="end"/>
      </w:r>
      <w:r w:rsidRPr="00CF6EB7">
        <w:fldChar w:fldCharType="separate"/>
      </w:r>
      <w:r>
        <w:t>(Gilbert, Magnien et al. 2001; Anderson, Gilbert et al. 2002; Kudela, Lane et al. 2008)</w:t>
      </w:r>
      <w:r w:rsidRPr="00CF6EB7">
        <w:fldChar w:fldCharType="end"/>
      </w:r>
      <w:r w:rsidRPr="00CF6EB7">
        <w:t xml:space="preserve">.  Loadings of urea have increased in certain areas, primarily due to the increased use of urea-based fertilizers </w:t>
      </w:r>
      <w:r w:rsidRPr="00CF6EB7">
        <w:fldChar w:fldCharType="begin"/>
      </w:r>
      <w:r>
        <w:instrText xml:space="preserve"> ADDIN EN.CITE &lt;EndNote&gt;&lt;Cite&gt;&lt;Author&gt;Anderson&lt;/Author&gt;&lt;Year&gt;2002&lt;/Year&gt;&lt;RecNum&gt;1691&lt;/RecNum&gt;&lt;record&gt;&lt;rec-number&gt;1691&lt;/rec-number&gt;&lt;foreign-keys&gt;&lt;key app="EN" db-id="srzrsvde5tsfsnezz225vt0nwvtr0zvetr2s"&gt;1691&lt;/key&gt;&lt;/foreign-keys&gt;&lt;ref-type name="Journal Article"&gt;17&lt;/ref-type&gt;&lt;contributors&gt;&lt;authors&gt;&lt;author&gt;Anderson, D.M.&lt;/author&gt;&lt;author&gt;Gilbert, P.M.&lt;/author&gt;&lt;author&gt;J.M. Burkholder&lt;/author&gt;&lt;/authors&gt;&lt;/contributors&gt;&lt;titles&gt;&lt;title&gt;Harmful algal blooms and eutrophication: nutrient sources, composition, and consequences&lt;/title&gt;&lt;secondary-title&gt;Estuaries&lt;/secondary-title&gt;&lt;/titles&gt;&lt;periodical&gt;&lt;full-title&gt;Estuaries&lt;/full-title&gt;&lt;/periodical&gt;&lt;pages&gt;704-726&lt;/pages&gt;&lt;volume&gt;25&lt;/volume&gt;&lt;number&gt;4B&lt;/number&gt;&lt;dates&gt;&lt;year&gt;2002&lt;/year&gt;&lt;/dates&gt;&lt;urls&gt;&lt;/urls&gt;&lt;/record&gt;&lt;/Cite&gt;&lt;Cite&gt;&lt;Author&gt;Gilbert&lt;/Author&gt;&lt;Year&gt;2006&lt;/Year&gt;&lt;RecNum&gt;1693&lt;/RecNum&gt;&lt;record&gt;&lt;rec-number&gt;1693&lt;/rec-number&gt;&lt;foreign-keys&gt;&lt;key app="EN" db-id="srzrsvde5tsfsnezz225vt0nwvtr0zvetr2s"&gt;1693&lt;/key&gt;&lt;/foreign-keys&gt;&lt;ref-type name="Journal Article"&gt;17&lt;/ref-type&gt;&lt;contributors&gt;&lt;authors&gt;&lt;author&gt;Gilbert, P.M.&lt;/author&gt;&lt;author&gt;Harrison, J.&lt;/author&gt;&lt;author&gt;C. Heil&lt;/author&gt;&lt;author&gt;S. Seitzinger&lt;/author&gt;&lt;/authors&gt;&lt;/contributors&gt;&lt;titles&gt;&lt;title&gt;Escalating world wide use of urea: a global change contributing to coastal eutrophication&lt;/title&gt;&lt;secondary-title&gt;Biogeochemistry&lt;/secondary-title&gt;&lt;/titles&gt;&lt;periodical&gt;&lt;full-title&gt;Biogeochemistry&lt;/full-title&gt;&lt;/periodical&gt;&lt;pages&gt;441-463&lt;/pages&gt;&lt;volume&gt;77&lt;/volume&gt;&lt;number&gt;3&lt;/number&gt;&lt;dates&gt;&lt;year&gt;2006&lt;/year&gt;&lt;/dates&gt;&lt;urls&gt;&lt;/urls&gt;&lt;/record&gt;&lt;/Cite&gt;&lt;/EndNote&gt;</w:instrText>
      </w:r>
      <w:r w:rsidRPr="00CF6EB7">
        <w:fldChar w:fldCharType="separate"/>
      </w:r>
      <w:r>
        <w:t>(Anderson, Gilbert et al. 2002; Gilbert, Harrison et al. 2006)</w:t>
      </w:r>
      <w:r w:rsidRPr="00CF6EB7">
        <w:fldChar w:fldCharType="end"/>
      </w:r>
      <w:r w:rsidRPr="00CF6EB7">
        <w:t xml:space="preserve">.  There is some evidence that certain phytoplankton species, mostly flagellates, prefer uptake of urea over other nitrogen forms and that urea can increase the toxicity of a bloom (as reviewed in </w:t>
      </w:r>
      <w:r w:rsidRPr="00CF6EB7">
        <w:fldChar w:fldCharType="begin"/>
      </w:r>
      <w:r>
        <w:instrText xml:space="preserve"> ADDIN EN.CITE &lt;EndNote&gt;&lt;Cite&gt;&lt;Author&gt;Anderson&lt;/Author&gt;&lt;Year&gt;2002&lt;/Year&gt;&lt;RecNum&gt;1691&lt;/RecNum&gt;&lt;record&gt;&lt;rec-number&gt;1691&lt;/rec-number&gt;&lt;foreign-keys&gt;&lt;key app="EN" db-id="srzrsvde5tsfsnezz225vt0nwvtr0zvetr2s"&gt;1691&lt;/key&gt;&lt;/foreign-keys&gt;&lt;ref-type name="Journal Article"&gt;17&lt;/ref-type&gt;&lt;contributors&gt;&lt;authors&gt;&lt;author&gt;Anderson, D.M.&lt;/author&gt;&lt;author&gt;Gilbert, P.M.&lt;/author&gt;&lt;author&gt;J.M. Burkholder&lt;/author&gt;&lt;/authors&gt;&lt;/contributors&gt;&lt;titles&gt;&lt;title&gt;Harmful algal blooms and eutrophication: nutrient sources, composition, and consequences&lt;/title&gt;&lt;secondary-title&gt;Estuaries&lt;/secondary-title&gt;&lt;/titles&gt;&lt;periodical&gt;&lt;full-title&gt;Estuaries&lt;/full-title&gt;&lt;/periodical&gt;&lt;pages&gt;704-726&lt;/pages&gt;&lt;volume&gt;25&lt;/volume&gt;&lt;number&gt;4B&lt;/number&gt;&lt;dates&gt;&lt;year&gt;2002&lt;/year&gt;&lt;/dates&gt;&lt;urls&gt;&lt;/urls&gt;&lt;/record&gt;&lt;/Cite&gt;&lt;Cite&gt;&lt;Author&gt;Kudela&lt;/Author&gt;&lt;Year&gt;2008&lt;/Year&gt;&lt;RecNum&gt;1692&lt;/RecNum&gt;&lt;record&gt;&lt;rec-number&gt;1692&lt;/rec-number&gt;&lt;foreign-keys&gt;&lt;key app="EN" db-id="srzrsvde5tsfsnezz225vt0nwvtr0zvetr2s"&gt;1692&lt;/key&gt;&lt;/foreign-keys&gt;&lt;ref-type name="Journal Article"&gt;17&lt;/ref-type&gt;&lt;contributors&gt;&lt;authors&gt;&lt;author&gt;Kudela, R.M.&lt;/author&gt;&lt;author&gt;Lane, J.Q.&lt;/author&gt;&lt;author&gt;W.P. Cochlan&lt;/author&gt;&lt;/authors&gt;&lt;/contributors&gt;&lt;titles&gt;&lt;title&gt;The potential role of anthropogenically derived nitrogen in the growth of harmful algae in California, USA&lt;/title&gt;&lt;secondary-title&gt;Harmful Algae&lt;/secondary-title&gt;&lt;/titles&gt;&lt;periodical&gt;&lt;full-title&gt;Harmful Algae&lt;/full-title&gt;&lt;/periodical&gt;&lt;pages&gt;103-110&lt;/pages&gt;&lt;volume&gt;8&lt;/volume&gt;&lt;number&gt;1&lt;/number&gt;&lt;dates&gt;&lt;year&gt;2008&lt;/year&gt;&lt;/dates&gt;&lt;urls&gt;&lt;/urls&gt;&lt;/record&gt;&lt;/Cite&gt;&lt;/EndNote&gt;</w:instrText>
      </w:r>
      <w:r w:rsidRPr="00CF6EB7">
        <w:fldChar w:fldCharType="separate"/>
      </w:r>
      <w:r>
        <w:t>(Anderson, Gilbert et al. 2002; Kudela, Lane et al. 2008)</w:t>
      </w:r>
      <w:r w:rsidRPr="00CF6EB7">
        <w:fldChar w:fldCharType="end"/>
      </w:r>
      <w:r w:rsidRPr="00CF6EB7">
        <w:t xml:space="preserve">.  Some of these flagellates have been identified as harmful or nuisance species </w:t>
      </w:r>
      <w:r w:rsidRPr="00CF6EB7">
        <w:fldChar w:fldCharType="begin">
          <w:fldData xml:space="preserve">PEVuZE5vdGU+PENpdGU+PEF1dGhvcj5HaWxiZXJ0PC9BdXRob3I+PFllYXI+MjAwMTwvWWVhcj48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</w:fldData>
        </w:fldChar>
      </w:r>
      <w:r>
        <w:instrText xml:space="preserve"> ADDIN EN.CITE </w:instrText>
      </w:r>
      <w:r>
        <w:fldChar w:fldCharType="begin">
          <w:fldData xml:space="preserve">PEVuZE5vdGU+PENpdGU+PEF1dGhvcj5HaWxiZXJ0PC9BdXRob3I+PFllYXI+MjAwMTwvWWVhcj48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</w:fldData>
        </w:fldChar>
      </w:r>
      <w:r>
        <w:instrText xml:space="preserve"> ADDIN EN.CITE.DATA </w:instrText>
      </w:r>
      <w:r>
        <w:fldChar w:fldCharType="end"/>
      </w:r>
      <w:r w:rsidRPr="00CF6EB7">
        <w:fldChar w:fldCharType="separate"/>
      </w:r>
      <w:r>
        <w:t>(Gilbert, Magnien et al. 2001; Anderson, Gilbert et al. 2002; Gilbert, Harrison et al. 2006; Kudela, Lane et al. 2008)</w:t>
      </w:r>
      <w:r w:rsidRPr="00CF6EB7">
        <w:fldChar w:fldCharType="end"/>
      </w:r>
      <w:r w:rsidRPr="00CF6EB7">
        <w:t xml:space="preserve">.  Experiments using local harmful algal species (coastal California and Bay species) showed some preferential uptake of urea when ambient nutrient concentrations were low </w:t>
      </w:r>
      <w:r w:rsidRPr="00CF6EB7">
        <w:fldChar w:fldCharType="begin"/>
      </w:r>
      <w:r>
        <w:instrText xml:space="preserve"> ADDIN EN.CITE &lt;EndNote&gt;&lt;Cite&gt;&lt;Author&gt;Kudela&lt;/Author&gt;&lt;Year&gt;2008&lt;/Year&gt;&lt;RecNum&gt;1692&lt;/RecNum&gt;&lt;record&gt;&lt;rec-number&gt;1692&lt;/rec-number&gt;&lt;foreign-keys&gt;&lt;key app="EN" db-id="srzrsvde5tsfsnezz225vt0nwvtr0zvetr2s"&gt;1692&lt;/key&gt;&lt;/foreign-keys&gt;&lt;ref-type name="Journal Article"&gt;17&lt;/ref-type&gt;&lt;contributors&gt;&lt;authors&gt;&lt;author&gt;Kudela, R.M.&lt;/author&gt;&lt;author&gt;Lane, J.Q.&lt;/author&gt;&lt;author&gt;W.P. Cochlan&lt;/author&gt;&lt;/authors&gt;&lt;/contributors&gt;&lt;titles&gt;&lt;title&gt;The potential role of anthropogenically derived nitrogen in the growth of harmful algae in California, USA&lt;/title&gt;&lt;secondary-title&gt;Harmful Algae&lt;/secondary-title&gt;&lt;/titles&gt;&lt;periodical&gt;&lt;full-title&gt;Harmful Algae&lt;/full-title&gt;&lt;/periodical&gt;&lt;pages&gt;103-110&lt;/pages&gt;&lt;volume&gt;8&lt;/volume&gt;&lt;number&gt;1&lt;/number&gt;&lt;dates&gt;&lt;year&gt;2008&lt;/year&gt;&lt;/dates&gt;&lt;urls&gt;&lt;/urls&gt;&lt;/record&gt;&lt;/Cite&gt;&lt;/EndNote&gt;</w:instrText>
      </w:r>
      <w:r w:rsidRPr="00CF6EB7">
        <w:fldChar w:fldCharType="separate"/>
      </w:r>
      <w:r>
        <w:t>(Kudela, Lane et al. 2008)</w:t>
      </w:r>
      <w:r w:rsidRPr="00CF6EB7">
        <w:fldChar w:fldCharType="end"/>
      </w:r>
      <w:r w:rsidRPr="00CF6EB7">
        <w:t xml:space="preserve">.  It has also been suggested that urea may </w:t>
      </w:r>
      <w:r>
        <w:t>sustain</w:t>
      </w:r>
      <w:r w:rsidRPr="00CF6EB7">
        <w:t xml:space="preserve"> harmful blooms </w:t>
      </w:r>
      <w:r w:rsidRPr="00CF6EB7">
        <w:fldChar w:fldCharType="begin"/>
      </w:r>
      <w:r>
        <w:instrText xml:space="preserve"> ADDIN EN.CITE &lt;EndNote&gt;&lt;Cite&gt;&lt;Author&gt;Kudela&lt;/Author&gt;&lt;Year&gt;2008&lt;/Year&gt;&lt;RecNum&gt;1692&lt;/RecNum&gt;&lt;record&gt;&lt;rec-number&gt;1692&lt;/rec-number&gt;&lt;foreign-keys&gt;&lt;key app="EN" db-id="srzrsvde5tsfsnezz225vt0nwvtr0zvetr2s"&gt;1692&lt;/key&gt;&lt;/foreign-keys&gt;&lt;ref-type name="Journal Article"&gt;17&lt;/ref-type&gt;&lt;contributors&gt;&lt;authors&gt;&lt;author&gt;Kudela, R.M.&lt;/author&gt;&lt;author&gt;Lane, J.Q.&lt;/author&gt;&lt;author&gt;W.P. Cochlan&lt;/author&gt;&lt;/authors&gt;&lt;/contributors&gt;&lt;titles&gt;&lt;title&gt;The potential role of anthropogenically derived nitrogen in the growth of harmful algae in California, USA&lt;/title&gt;&lt;secondary-title&gt;Harmful Algae&lt;/secondary-title&gt;&lt;/titles&gt;&lt;periodical&gt;&lt;full-title&gt;Harmful Algae&lt;/full-title&gt;&lt;/periodical&gt;&lt;pages&gt;103-110&lt;/pages&gt;&lt;volume&gt;8&lt;/volume&gt;&lt;number&gt;1&lt;/number&gt;&lt;dates&gt;&lt;year&gt;2008&lt;/year&gt;&lt;/dates&gt;&lt;urls&gt;&lt;/urls&gt;&lt;/record&gt;&lt;/Cite&gt;&lt;Cite&gt;&lt;Author&gt;Gilbert&lt;/Author&gt;&lt;Year&gt;2001&lt;/Year&gt;&lt;RecNum&gt;1690&lt;/RecNum&gt;&lt;record&gt;&lt;rec-number&gt;1690&lt;/rec-number&gt;&lt;foreign-keys&gt;&lt;key app="EN" db-id="srzrsvde5tsfsnezz225vt0nwvtr0zvetr2s"&gt;1690&lt;/key&gt;&lt;/foreign-keys&gt;&lt;ref-type name="Journal Article"&gt;17&lt;/ref-type&gt;&lt;contributors&gt;&lt;authors&gt;&lt;author&gt;Gilbert, P.M.&lt;/author&gt;&lt;author&gt;Magnien, R. &lt;/author&gt;&lt;author&gt;M. W. Lomas&lt;/author&gt;&lt;author&gt;J. Alexander&lt;/author&gt;&lt;author&gt;C.T.E. Haramoto&lt;/author&gt;&lt;author&gt;M. Trice&lt;/author&gt;&lt;author&gt;T.M. Kana&lt;/author&gt;&lt;/authors&gt;&lt;/contributors&gt;&lt;titles&gt;&lt;title&gt;Harmful algal blooms in the Chesapeake and coastal bays of Maryland, USA: Comparison of 1997, 1998, and 1999 events&lt;/title&gt;&lt;secondary-title&gt;Estuaries&lt;/secondary-title&gt;&lt;/titles&gt;&lt;periodical&gt;&lt;full-title&gt;Estuaries&lt;/full-title&gt;&lt;/periodical&gt;&lt;pages&gt;875-883&lt;/pages&gt;&lt;volume&gt;24&lt;/volume&gt;&lt;number&gt;6A&lt;/number&gt;&lt;dates&gt;&lt;year&gt;2001&lt;/year&gt;&lt;/dates&gt;&lt;urls&gt;&lt;/urls&gt;&lt;/record&gt;&lt;/Cite&gt;&lt;/EndNote&gt;</w:instrText>
      </w:r>
      <w:r w:rsidRPr="00CF6EB7">
        <w:fldChar w:fldCharType="separate"/>
      </w:r>
      <w:r>
        <w:t>(Gilbert, Magnien et al. 2001; Kudela, Lane et al. 2008)</w:t>
      </w:r>
      <w:r w:rsidRPr="00CF6EB7">
        <w:fldChar w:fldCharType="end"/>
      </w:r>
      <w:r w:rsidRPr="00CF6EB7">
        <w:t xml:space="preserve">.  In Chesapeake Bay, high urea concentrations were measured prior to a spring HAB bloom </w:t>
      </w:r>
      <w:r w:rsidRPr="00CF6EB7">
        <w:fldChar w:fldCharType="begin"/>
      </w:r>
      <w:r>
        <w:instrText xml:space="preserve"> ADDIN EN.CITE &lt;EndNote&gt;&lt;Cite&gt;&lt;Author&gt;Gilbert&lt;/Author&gt;&lt;Year&gt;2001&lt;/Year&gt;&lt;RecNum&gt;1690&lt;/RecNum&gt;&lt;record&gt;&lt;rec-number&gt;1690&lt;/rec-number&gt;&lt;foreign-keys&gt;&lt;key app="EN" db-id="srzrsvde5tsfsnezz225vt0nwvtr0zvetr2s"&gt;1690&lt;/key&gt;&lt;/foreign-keys&gt;&lt;ref-type name="Journal Article"&gt;17&lt;/ref-type&gt;&lt;contributors&gt;&lt;authors&gt;&lt;author&gt;Gilbert, P.M.&lt;/author&gt;&lt;author&gt;Magnien, R. &lt;/author&gt;&lt;author&gt;M. W. Lomas&lt;/author&gt;&lt;author&gt;J. Alexander&lt;/author&gt;&lt;author&gt;C.T.E. Haramoto&lt;/author&gt;&lt;author&gt;M. Trice&lt;/author&gt;&lt;author&gt;T.M. Kana&lt;/author&gt;&lt;/authors&gt;&lt;/contributors&gt;&lt;titles&gt;&lt;title&gt;Harmful algal blooms in the Chesapeake and coastal bays of Maryland, USA: Comparison of 1997, 1998, and 1999 events&lt;/title&gt;&lt;secondary-title&gt;Estuaries&lt;/secondary-title&gt;&lt;/titles&gt;&lt;periodical&gt;&lt;full-title&gt;Estuaries&lt;/full-title&gt;&lt;/periodical&gt;&lt;pages&gt;875-883&lt;/pages&gt;&lt;volume&gt;24&lt;/volume&gt;&lt;number&gt;6A&lt;/number&gt;&lt;dates&gt;&lt;year&gt;2001&lt;/year&gt;&lt;/dates&gt;&lt;urls&gt;&lt;/urls&gt;&lt;/record&gt;&lt;/Cite&gt;&lt;/EndNote&gt;</w:instrText>
      </w:r>
      <w:r w:rsidRPr="00CF6EB7">
        <w:fldChar w:fldCharType="separate"/>
      </w:r>
      <w:r>
        <w:t>(Gilbert, Magnien et al. 2001)</w:t>
      </w:r>
      <w:r w:rsidRPr="00CF6EB7">
        <w:fldChar w:fldCharType="end"/>
      </w:r>
      <w:r w:rsidRPr="00CF6EB7">
        <w:t xml:space="preserve">.  The unusually high urea levels were correlated with high springtime precipitation that may have increased urea loading prior to the bloom.  However, there is some evidence that urea may have an inhibitory effect on nitrate uptake by phytoplankton </w:t>
      </w:r>
      <w:r>
        <w:fldChar w:fldCharType="begin"/>
      </w:r>
      <w:r>
        <w:instrText xml:space="preserve"> ADDIN EN.CITE &lt;EndNote&gt;&lt;Cite&gt;&lt;Author&gt;Kudela&lt;/Author&gt;&lt;Year&gt;2008&lt;/Year&gt;&lt;RecNum&gt;1692&lt;/RecNum&gt;&lt;record&gt;&lt;rec-number&gt;1692&lt;/rec-number&gt;&lt;foreign-keys&gt;&lt;key app="EN" db-id="srzrsvde5tsfsnezz225vt0nwvtr0zvetr2s"&gt;1692&lt;/key&gt;&lt;/foreign-keys&gt;&lt;ref-type name="Journal Article"&gt;17&lt;/ref-type&gt;&lt;contributors&gt;&lt;authors&gt;&lt;author&gt;Kudela, R.M.&lt;/author&gt;&lt;author&gt;Lane, J.Q.&lt;/author&gt;&lt;author&gt;W.P. Cochlan&lt;/author&gt;&lt;/authors&gt;&lt;/contributors&gt;&lt;titles&gt;&lt;title&gt;The potential role of anthropogenically derived nitrogen in the growth of harmful algae in California, USA&lt;/title&gt;&lt;secondary-title&gt;Harmful Algae&lt;/secondary-title&gt;&lt;/titles&gt;&lt;periodical&gt;&lt;full-title&gt;Harmful Algae&lt;/full-title&gt;&lt;/periodical&gt;&lt;pages&gt;103-110&lt;/pages&gt;&lt;volume&gt;8&lt;/volume&gt;&lt;number&gt;1&lt;/number&gt;&lt;dates&gt;&lt;year&gt;2008&lt;/year&gt;&lt;/dates&gt;&lt;urls&gt;&lt;/urls&gt;&lt;/record&gt;&lt;/Cite&gt;&lt;/EndNote&gt;</w:instrText>
      </w:r>
      <w:r>
        <w:fldChar w:fldCharType="separate"/>
      </w:r>
      <w:r>
        <w:t>(Kudela, Lane et al. 2008)</w:t>
      </w:r>
      <w:r>
        <w:fldChar w:fldCharType="end"/>
      </w:r>
      <w:r w:rsidRPr="00CF6EB7">
        <w:t xml:space="preserve">. Given urea use as fertilizer continues to rise, urea will likely to continue to form a greater portion of the dissolved organic nitrogen (DON) pool available for primary production </w:t>
      </w:r>
      <w:r>
        <w:fldChar w:fldCharType="begin"/>
      </w:r>
      <w:r>
        <w:instrText xml:space="preserve"> ADDIN EN.CITE &lt;EndNote&gt;&lt;Cite&gt;&lt;Author&gt;Gilbert&lt;/Author&gt;&lt;Year&gt;2006&lt;/Year&gt;&lt;RecNum&gt;1693&lt;/RecNum&gt;&lt;record&gt;&lt;rec-number&gt;1693&lt;/rec-number&gt;&lt;foreign-keys&gt;&lt;key app="EN" db-id="srzrsvde5tsfsnezz225vt0nwvtr0zvetr2s"&gt;1693&lt;/key&gt;&lt;/foreign-keys&gt;&lt;ref-type name="Journal Article"&gt;17&lt;/ref-type&gt;&lt;contributors&gt;&lt;authors&gt;&lt;author&gt;Gilbert, P.M.&lt;/author&gt;&lt;author&gt;Harrison, J.&lt;/author&gt;&lt;author&gt;C. Heil&lt;/author&gt;&lt;author&gt;S. Seitzinger&lt;/author&gt;&lt;/authors&gt;&lt;/contributors&gt;&lt;titles&gt;&lt;title&gt;Escalating world wide use of urea: a global change contributing to coastal eutrophication&lt;/title&gt;&lt;secondary-title&gt;Biogeochemistry&lt;/secondary-title&gt;&lt;/titles&gt;&lt;periodical&gt;&lt;full-title&gt;Biogeochemistry&lt;/full-title&gt;&lt;/periodical&gt;&lt;pages&gt;441-463&lt;/pages&gt;&lt;volume&gt;77&lt;/volume&gt;&lt;number&gt;3&lt;/number&gt;&lt;dates&gt;&lt;year&gt;2006&lt;/year&gt;&lt;/dates&gt;&lt;urls&gt;&lt;/urls&gt;&lt;/record&gt;&lt;/Cite&gt;&lt;/EndNote&gt;</w:instrText>
      </w:r>
      <w:r>
        <w:fldChar w:fldCharType="separate"/>
      </w:r>
      <w:r>
        <w:t>(Gilbert, Harrison et al. 2006)</w:t>
      </w:r>
      <w:r>
        <w:fldChar w:fldCharType="end"/>
      </w:r>
      <w:r>
        <w:t>, potentially driving future blooms</w:t>
      </w:r>
      <w:r w:rsidRPr="00CF6EB7">
        <w:t>.</w:t>
      </w:r>
      <w:r w:rsidRPr="00C94B8D">
        <w:t xml:space="preserve"> </w:t>
      </w:r>
    </w:p>
    <w:p w14:paraId="3428FC36" w14:textId="77777777" w:rsidR="00F156AF" w:rsidRPr="00893E5C" w:rsidRDefault="00F156AF" w:rsidP="00F156AF">
      <w:pPr>
        <w:pStyle w:val="TOT"/>
      </w:pPr>
      <w:bookmarkStart w:id="73" w:name="_Toc290366319"/>
      <w:bookmarkStart w:id="74" w:name="_Toc292101456"/>
      <w:bookmarkStart w:id="75" w:name="_Toc526489913"/>
      <w:r w:rsidRPr="00893E5C">
        <w:t>Table 2.</w:t>
      </w:r>
      <w:r>
        <w:t>8</w:t>
      </w:r>
      <w:r w:rsidRPr="00893E5C">
        <w:t>. Effects of elevated ammonia in fish (from US EPA 2010)</w:t>
      </w:r>
      <w:bookmarkEnd w:id="73"/>
      <w:r w:rsidRPr="00893E5C">
        <w:t>.</w:t>
      </w:r>
      <w:bookmarkEnd w:id="74"/>
      <w:bookmarkEnd w:id="75"/>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5839"/>
        <w:gridCol w:w="3511"/>
      </w:tblGrid>
      <w:tr w:rsidR="00F156AF" w:rsidRPr="00DA4BC6" w14:paraId="2B0612D8" w14:textId="77777777" w:rsidTr="00B12442">
        <w:trPr>
          <w:tblHeader/>
        </w:trPr>
        <w:tc>
          <w:tcPr>
            <w:tcW w:w="5865" w:type="dxa"/>
            <w:tcBorders>
              <w:top w:val="single" w:sz="4" w:space="0" w:color="auto"/>
              <w:left w:val="single" w:sz="4" w:space="0" w:color="auto"/>
              <w:bottom w:val="single" w:sz="4" w:space="0" w:color="auto"/>
              <w:right w:val="single" w:sz="4" w:space="0" w:color="auto"/>
            </w:tcBorders>
            <w:shd w:val="clear" w:color="auto" w:fill="FFFFFF"/>
            <w:hideMark/>
          </w:tcPr>
          <w:p w14:paraId="236073CB" w14:textId="77777777" w:rsidR="00F156AF" w:rsidRPr="00DF2AA3" w:rsidRDefault="00F156AF" w:rsidP="00B12442">
            <w:pPr>
              <w:spacing w:before="60" w:after="60"/>
              <w:rPr>
                <w:rFonts w:ascii="Arial" w:hAnsi="Arial" w:cs="Arial"/>
                <w:b/>
                <w:sz w:val="18"/>
                <w:szCs w:val="18"/>
                <w:lang w:bidi="ar-SA"/>
              </w:rPr>
            </w:pPr>
            <w:r w:rsidRPr="00DF2AA3">
              <w:rPr>
                <w:rFonts w:ascii="Arial" w:hAnsi="Arial" w:cs="Arial"/>
                <w:b/>
                <w:sz w:val="18"/>
                <w:szCs w:val="18"/>
                <w:lang w:bidi="ar-SA"/>
              </w:rPr>
              <w:t>Effects</w:t>
            </w:r>
          </w:p>
        </w:tc>
        <w:tc>
          <w:tcPr>
            <w:tcW w:w="3525" w:type="dxa"/>
            <w:tcBorders>
              <w:top w:val="single" w:sz="4" w:space="0" w:color="auto"/>
              <w:left w:val="single" w:sz="4" w:space="0" w:color="auto"/>
              <w:bottom w:val="single" w:sz="4" w:space="0" w:color="auto"/>
              <w:right w:val="single" w:sz="4" w:space="0" w:color="auto"/>
            </w:tcBorders>
            <w:shd w:val="clear" w:color="auto" w:fill="FFFFFF"/>
            <w:hideMark/>
          </w:tcPr>
          <w:p w14:paraId="4646F3DC" w14:textId="77777777" w:rsidR="00F156AF" w:rsidRPr="00DF2AA3" w:rsidRDefault="00F156AF" w:rsidP="00B12442">
            <w:pPr>
              <w:spacing w:before="60" w:after="60"/>
              <w:rPr>
                <w:rFonts w:ascii="Arial" w:hAnsi="Arial" w:cs="Arial"/>
                <w:b/>
                <w:sz w:val="18"/>
                <w:szCs w:val="18"/>
                <w:lang w:bidi="ar-SA"/>
              </w:rPr>
            </w:pPr>
            <w:r w:rsidRPr="00DF2AA3">
              <w:rPr>
                <w:rFonts w:ascii="Arial" w:hAnsi="Arial" w:cs="Arial"/>
                <w:b/>
                <w:sz w:val="18"/>
                <w:szCs w:val="18"/>
                <w:lang w:bidi="ar-SA"/>
              </w:rPr>
              <w:t>Reference</w:t>
            </w:r>
          </w:p>
        </w:tc>
      </w:tr>
      <w:tr w:rsidR="00F156AF" w:rsidRPr="00DA4BC6" w14:paraId="78D04F63" w14:textId="77777777" w:rsidTr="00B12442">
        <w:tc>
          <w:tcPr>
            <w:tcW w:w="5865" w:type="dxa"/>
            <w:tcBorders>
              <w:top w:val="single" w:sz="4" w:space="0" w:color="auto"/>
              <w:left w:val="single" w:sz="4" w:space="0" w:color="auto"/>
              <w:bottom w:val="single" w:sz="4" w:space="0" w:color="auto"/>
              <w:right w:val="single" w:sz="4" w:space="0" w:color="auto"/>
            </w:tcBorders>
            <w:shd w:val="clear" w:color="auto" w:fill="FFFFFF"/>
            <w:hideMark/>
          </w:tcPr>
          <w:p w14:paraId="230DACBB" w14:textId="77777777" w:rsidR="00F156AF" w:rsidRPr="00DF2AA3" w:rsidRDefault="00F156AF" w:rsidP="00B12442">
            <w:pPr>
              <w:spacing w:before="60" w:after="60"/>
              <w:rPr>
                <w:rFonts w:ascii="Arial" w:hAnsi="Arial" w:cs="Arial"/>
                <w:sz w:val="18"/>
                <w:szCs w:val="18"/>
                <w:lang w:bidi="ar-SA"/>
              </w:rPr>
            </w:pPr>
            <w:r w:rsidRPr="00DF2AA3">
              <w:rPr>
                <w:rFonts w:ascii="Arial" w:hAnsi="Arial" w:cs="Arial"/>
                <w:sz w:val="18"/>
                <w:szCs w:val="18"/>
                <w:lang w:bidi="ar-SA"/>
              </w:rPr>
              <w:t>Decreased respiratory function causing hyperventilation</w:t>
            </w:r>
          </w:p>
        </w:tc>
        <w:tc>
          <w:tcPr>
            <w:tcW w:w="3525" w:type="dxa"/>
            <w:tcBorders>
              <w:top w:val="single" w:sz="4" w:space="0" w:color="auto"/>
              <w:left w:val="single" w:sz="4" w:space="0" w:color="auto"/>
              <w:bottom w:val="single" w:sz="4" w:space="0" w:color="auto"/>
              <w:right w:val="single" w:sz="4" w:space="0" w:color="auto"/>
            </w:tcBorders>
            <w:shd w:val="clear" w:color="auto" w:fill="FFFFFF"/>
            <w:hideMark/>
          </w:tcPr>
          <w:p w14:paraId="5EA8479E" w14:textId="7BAF90E9" w:rsidR="00F156AF" w:rsidRPr="00DF2AA3" w:rsidRDefault="00F156AF" w:rsidP="00B12442">
            <w:pPr>
              <w:spacing w:before="60" w:after="60"/>
              <w:rPr>
                <w:rFonts w:ascii="Arial" w:hAnsi="Arial" w:cs="Arial"/>
                <w:sz w:val="18"/>
                <w:szCs w:val="18"/>
                <w:lang w:bidi="ar-SA"/>
              </w:rPr>
            </w:pPr>
            <w:r w:rsidRPr="00DF2AA3">
              <w:rPr>
                <w:rFonts w:ascii="Arial" w:hAnsi="Arial" w:cs="Arial"/>
                <w:sz w:val="18"/>
                <w:szCs w:val="18"/>
                <w:lang w:bidi="ar-SA"/>
              </w:rPr>
              <w:t>Lease et al. 2003; Twitchen and Eddy 1994; IPCS 1986</w:t>
            </w:r>
          </w:p>
        </w:tc>
      </w:tr>
      <w:tr w:rsidR="00F156AF" w:rsidRPr="00DA4BC6" w14:paraId="19719717" w14:textId="77777777" w:rsidTr="00B12442">
        <w:tc>
          <w:tcPr>
            <w:tcW w:w="5865" w:type="dxa"/>
            <w:tcBorders>
              <w:top w:val="single" w:sz="4" w:space="0" w:color="auto"/>
              <w:left w:val="single" w:sz="4" w:space="0" w:color="auto"/>
              <w:bottom w:val="single" w:sz="4" w:space="0" w:color="auto"/>
              <w:right w:val="single" w:sz="4" w:space="0" w:color="auto"/>
            </w:tcBorders>
            <w:shd w:val="clear" w:color="auto" w:fill="FFFFFF"/>
            <w:hideMark/>
          </w:tcPr>
          <w:p w14:paraId="6A8284BE" w14:textId="77777777" w:rsidR="00F156AF" w:rsidRPr="00DF2AA3" w:rsidRDefault="00F156AF" w:rsidP="00B12442">
            <w:pPr>
              <w:spacing w:before="60" w:after="60"/>
              <w:rPr>
                <w:rFonts w:ascii="Arial" w:hAnsi="Arial" w:cs="Arial"/>
                <w:sz w:val="18"/>
                <w:szCs w:val="18"/>
                <w:lang w:bidi="ar-SA"/>
              </w:rPr>
            </w:pPr>
            <w:r w:rsidRPr="00DF2AA3">
              <w:rPr>
                <w:rFonts w:ascii="Arial" w:hAnsi="Arial" w:cs="Arial"/>
                <w:sz w:val="18"/>
                <w:szCs w:val="18"/>
                <w:lang w:bidi="ar-SA"/>
              </w:rPr>
              <w:t>Impairment of nerve function; peripheral and central nervous system effects causing hyperexcitability</w:t>
            </w:r>
          </w:p>
        </w:tc>
        <w:tc>
          <w:tcPr>
            <w:tcW w:w="3525" w:type="dxa"/>
            <w:tcBorders>
              <w:top w:val="single" w:sz="4" w:space="0" w:color="auto"/>
              <w:left w:val="single" w:sz="4" w:space="0" w:color="auto"/>
              <w:bottom w:val="single" w:sz="4" w:space="0" w:color="auto"/>
              <w:right w:val="single" w:sz="4" w:space="0" w:color="auto"/>
            </w:tcBorders>
            <w:shd w:val="clear" w:color="auto" w:fill="FFFFFF"/>
            <w:hideMark/>
          </w:tcPr>
          <w:p w14:paraId="2C2B6FED" w14:textId="77777777" w:rsidR="00F156AF" w:rsidRPr="00DF2AA3" w:rsidRDefault="00F156AF" w:rsidP="00B12442">
            <w:pPr>
              <w:spacing w:before="60" w:after="60"/>
              <w:rPr>
                <w:rFonts w:ascii="Arial" w:hAnsi="Arial" w:cs="Arial"/>
                <w:sz w:val="18"/>
                <w:szCs w:val="18"/>
                <w:lang w:bidi="ar-SA"/>
              </w:rPr>
            </w:pPr>
            <w:r w:rsidRPr="00DF2AA3">
              <w:rPr>
                <w:rFonts w:ascii="Arial" w:hAnsi="Arial" w:cs="Arial"/>
                <w:sz w:val="18"/>
                <w:szCs w:val="18"/>
                <w:lang w:bidi="ar-SA"/>
              </w:rPr>
              <w:t>Sampaio et al. 2002, Twitchen and Eddy 1994, IPCS 1986</w:t>
            </w:r>
          </w:p>
        </w:tc>
      </w:tr>
      <w:tr w:rsidR="00F156AF" w:rsidRPr="00DA4BC6" w14:paraId="4B991A55" w14:textId="77777777" w:rsidTr="00B12442">
        <w:tc>
          <w:tcPr>
            <w:tcW w:w="5865" w:type="dxa"/>
            <w:tcBorders>
              <w:top w:val="single" w:sz="4" w:space="0" w:color="auto"/>
              <w:left w:val="single" w:sz="4" w:space="0" w:color="auto"/>
              <w:bottom w:val="single" w:sz="4" w:space="0" w:color="auto"/>
              <w:right w:val="single" w:sz="4" w:space="0" w:color="auto"/>
            </w:tcBorders>
            <w:shd w:val="clear" w:color="auto" w:fill="FFFFFF"/>
            <w:hideMark/>
          </w:tcPr>
          <w:p w14:paraId="35BE057A" w14:textId="77777777" w:rsidR="00F156AF" w:rsidRPr="00DF2AA3" w:rsidRDefault="00F156AF" w:rsidP="00B12442">
            <w:pPr>
              <w:spacing w:before="60" w:after="60"/>
              <w:rPr>
                <w:rFonts w:ascii="Arial" w:hAnsi="Arial" w:cs="Arial"/>
                <w:sz w:val="18"/>
                <w:szCs w:val="18"/>
                <w:lang w:bidi="ar-SA"/>
              </w:rPr>
            </w:pPr>
            <w:r w:rsidRPr="00DF2AA3">
              <w:rPr>
                <w:rFonts w:ascii="Arial" w:hAnsi="Arial" w:cs="Arial"/>
                <w:sz w:val="18"/>
                <w:szCs w:val="18"/>
                <w:lang w:bidi="ar-SA"/>
              </w:rPr>
              <w:t>Convulsions and coma</w:t>
            </w:r>
          </w:p>
        </w:tc>
        <w:tc>
          <w:tcPr>
            <w:tcW w:w="3525" w:type="dxa"/>
            <w:tcBorders>
              <w:top w:val="single" w:sz="4" w:space="0" w:color="auto"/>
              <w:left w:val="single" w:sz="4" w:space="0" w:color="auto"/>
              <w:bottom w:val="single" w:sz="4" w:space="0" w:color="auto"/>
              <w:right w:val="single" w:sz="4" w:space="0" w:color="auto"/>
            </w:tcBorders>
            <w:shd w:val="clear" w:color="auto" w:fill="FFFFFF"/>
            <w:hideMark/>
          </w:tcPr>
          <w:p w14:paraId="55E4F508" w14:textId="1957280B" w:rsidR="00F156AF" w:rsidRPr="00DF2AA3" w:rsidRDefault="00F156AF" w:rsidP="00B12442">
            <w:pPr>
              <w:spacing w:before="60" w:after="60"/>
              <w:rPr>
                <w:rFonts w:ascii="Arial" w:hAnsi="Arial" w:cs="Arial"/>
                <w:sz w:val="18"/>
                <w:szCs w:val="18"/>
                <w:lang w:bidi="ar-SA"/>
              </w:rPr>
            </w:pPr>
            <w:r w:rsidRPr="00DF2AA3">
              <w:rPr>
                <w:rFonts w:ascii="Arial" w:hAnsi="Arial" w:cs="Arial"/>
                <w:sz w:val="18"/>
                <w:szCs w:val="18"/>
                <w:lang w:bidi="ar-SA"/>
              </w:rPr>
              <w:t>Twitchen and Eddy 1994; IPCS 1986</w:t>
            </w:r>
          </w:p>
        </w:tc>
      </w:tr>
      <w:tr w:rsidR="00F156AF" w:rsidRPr="00DA4BC6" w14:paraId="55695A65" w14:textId="77777777" w:rsidTr="00B12442">
        <w:tc>
          <w:tcPr>
            <w:tcW w:w="5865" w:type="dxa"/>
            <w:tcBorders>
              <w:top w:val="single" w:sz="4" w:space="0" w:color="auto"/>
              <w:left w:val="single" w:sz="4" w:space="0" w:color="auto"/>
              <w:bottom w:val="single" w:sz="4" w:space="0" w:color="auto"/>
              <w:right w:val="single" w:sz="4" w:space="0" w:color="auto"/>
            </w:tcBorders>
            <w:shd w:val="clear" w:color="auto" w:fill="FFFFFF"/>
            <w:hideMark/>
          </w:tcPr>
          <w:p w14:paraId="4B941455" w14:textId="77777777" w:rsidR="00F156AF" w:rsidRPr="00DF2AA3" w:rsidRDefault="00F156AF" w:rsidP="00B12442">
            <w:pPr>
              <w:spacing w:before="60" w:after="60"/>
              <w:rPr>
                <w:rFonts w:ascii="Arial" w:hAnsi="Arial" w:cs="Arial"/>
                <w:sz w:val="18"/>
                <w:szCs w:val="18"/>
                <w:lang w:bidi="ar-SA"/>
              </w:rPr>
            </w:pPr>
            <w:r w:rsidRPr="00DF2AA3">
              <w:rPr>
                <w:rFonts w:ascii="Arial" w:hAnsi="Arial" w:cs="Arial"/>
                <w:sz w:val="18"/>
                <w:szCs w:val="18"/>
                <w:lang w:bidi="ar-SA"/>
              </w:rPr>
              <w:t>Damage to gill epithelia causing asphyxiation, proliferation of gill tissue</w:t>
            </w:r>
          </w:p>
        </w:tc>
        <w:tc>
          <w:tcPr>
            <w:tcW w:w="3525" w:type="dxa"/>
            <w:tcBorders>
              <w:top w:val="single" w:sz="4" w:space="0" w:color="auto"/>
              <w:left w:val="single" w:sz="4" w:space="0" w:color="auto"/>
              <w:bottom w:val="single" w:sz="4" w:space="0" w:color="auto"/>
              <w:right w:val="single" w:sz="4" w:space="0" w:color="auto"/>
            </w:tcBorders>
            <w:shd w:val="clear" w:color="auto" w:fill="FFFFFF"/>
            <w:hideMark/>
          </w:tcPr>
          <w:p w14:paraId="0ADCD879" w14:textId="77777777" w:rsidR="00F156AF" w:rsidRPr="00DF2AA3" w:rsidRDefault="00F156AF" w:rsidP="00B12442">
            <w:pPr>
              <w:spacing w:before="60" w:after="60"/>
              <w:rPr>
                <w:rFonts w:ascii="Arial" w:hAnsi="Arial" w:cs="Arial"/>
                <w:sz w:val="18"/>
                <w:szCs w:val="18"/>
                <w:lang w:bidi="ar-SA"/>
              </w:rPr>
            </w:pPr>
            <w:r w:rsidRPr="00DF2AA3">
              <w:rPr>
                <w:rFonts w:ascii="Arial" w:hAnsi="Arial" w:cs="Arial"/>
                <w:sz w:val="18"/>
                <w:szCs w:val="18"/>
                <w:lang w:bidi="ar-SA"/>
              </w:rPr>
              <w:t>Lang et al. 1987</w:t>
            </w:r>
          </w:p>
        </w:tc>
      </w:tr>
      <w:tr w:rsidR="00F156AF" w:rsidRPr="00DA4BC6" w14:paraId="06C9A9DA" w14:textId="77777777" w:rsidTr="00B12442">
        <w:tc>
          <w:tcPr>
            <w:tcW w:w="5865" w:type="dxa"/>
            <w:tcBorders>
              <w:top w:val="single" w:sz="4" w:space="0" w:color="auto"/>
              <w:left w:val="single" w:sz="4" w:space="0" w:color="auto"/>
              <w:bottom w:val="single" w:sz="4" w:space="0" w:color="auto"/>
              <w:right w:val="single" w:sz="4" w:space="0" w:color="auto"/>
            </w:tcBorders>
            <w:shd w:val="clear" w:color="auto" w:fill="FFFFFF"/>
            <w:hideMark/>
          </w:tcPr>
          <w:p w14:paraId="45BDB69F" w14:textId="77777777" w:rsidR="00F156AF" w:rsidRPr="00DF2AA3" w:rsidRDefault="00F156AF" w:rsidP="00B12442">
            <w:pPr>
              <w:spacing w:before="60" w:after="60"/>
              <w:rPr>
                <w:rFonts w:ascii="Arial" w:hAnsi="Arial" w:cs="Arial"/>
                <w:sz w:val="18"/>
                <w:szCs w:val="18"/>
                <w:lang w:bidi="ar-SA"/>
              </w:rPr>
            </w:pPr>
            <w:r w:rsidRPr="00DF2AA3">
              <w:rPr>
                <w:rFonts w:ascii="Arial" w:hAnsi="Arial" w:cs="Arial"/>
                <w:sz w:val="18"/>
                <w:szCs w:val="18"/>
                <w:lang w:bidi="ar-SA"/>
              </w:rPr>
              <w:t>Stimulation of glycolysis and suppression of Krebs cycle, causing progressive acidosis and reduction in blood oxygen-carrying capacity</w:t>
            </w:r>
          </w:p>
        </w:tc>
        <w:tc>
          <w:tcPr>
            <w:tcW w:w="3525" w:type="dxa"/>
            <w:tcBorders>
              <w:top w:val="single" w:sz="4" w:space="0" w:color="auto"/>
              <w:left w:val="single" w:sz="4" w:space="0" w:color="auto"/>
              <w:bottom w:val="single" w:sz="4" w:space="0" w:color="auto"/>
              <w:right w:val="single" w:sz="4" w:space="0" w:color="auto"/>
            </w:tcBorders>
            <w:shd w:val="clear" w:color="auto" w:fill="FFFFFF"/>
            <w:hideMark/>
          </w:tcPr>
          <w:p w14:paraId="1A13DB1D" w14:textId="77777777" w:rsidR="00F156AF" w:rsidRPr="00DF2AA3" w:rsidRDefault="00F156AF" w:rsidP="00B12442">
            <w:pPr>
              <w:spacing w:before="60" w:after="60"/>
              <w:rPr>
                <w:rFonts w:ascii="Arial" w:hAnsi="Arial" w:cs="Arial"/>
                <w:sz w:val="18"/>
                <w:szCs w:val="18"/>
                <w:lang w:bidi="ar-SA"/>
              </w:rPr>
            </w:pPr>
            <w:r w:rsidRPr="00DF2AA3">
              <w:rPr>
                <w:rFonts w:ascii="Arial" w:hAnsi="Arial" w:cs="Arial"/>
                <w:sz w:val="18"/>
                <w:szCs w:val="18"/>
                <w:lang w:bidi="ar-SA"/>
              </w:rPr>
              <w:t>Camargo and Alonso 2007</w:t>
            </w:r>
          </w:p>
        </w:tc>
      </w:tr>
      <w:tr w:rsidR="00F156AF" w:rsidRPr="00DA4BC6" w14:paraId="6DB6A2CE" w14:textId="77777777" w:rsidTr="00B12442">
        <w:tc>
          <w:tcPr>
            <w:tcW w:w="5865" w:type="dxa"/>
            <w:tcBorders>
              <w:top w:val="single" w:sz="4" w:space="0" w:color="auto"/>
              <w:left w:val="single" w:sz="4" w:space="0" w:color="auto"/>
              <w:bottom w:val="single" w:sz="4" w:space="0" w:color="auto"/>
              <w:right w:val="single" w:sz="4" w:space="0" w:color="auto"/>
            </w:tcBorders>
            <w:shd w:val="clear" w:color="auto" w:fill="FFFFFF"/>
            <w:hideMark/>
          </w:tcPr>
          <w:p w14:paraId="0185BA29" w14:textId="77777777" w:rsidR="00F156AF" w:rsidRPr="00DF2AA3" w:rsidRDefault="00F156AF" w:rsidP="00B12442">
            <w:pPr>
              <w:spacing w:before="60" w:after="60"/>
              <w:rPr>
                <w:rFonts w:ascii="Arial" w:hAnsi="Arial" w:cs="Arial"/>
                <w:sz w:val="18"/>
                <w:szCs w:val="18"/>
                <w:lang w:bidi="ar-SA"/>
              </w:rPr>
            </w:pPr>
            <w:r w:rsidRPr="00DF2AA3">
              <w:rPr>
                <w:rFonts w:ascii="Arial" w:hAnsi="Arial" w:cs="Arial"/>
                <w:sz w:val="18"/>
                <w:szCs w:val="18"/>
                <w:lang w:bidi="ar-SA"/>
              </w:rPr>
              <w:t>Uncoupling of oxidative phosphorylation, causing inhibition of ATP production and depletion of ATP in the basilar region of the brain</w:t>
            </w:r>
          </w:p>
        </w:tc>
        <w:tc>
          <w:tcPr>
            <w:tcW w:w="3525" w:type="dxa"/>
            <w:tcBorders>
              <w:top w:val="single" w:sz="4" w:space="0" w:color="auto"/>
              <w:left w:val="single" w:sz="4" w:space="0" w:color="auto"/>
              <w:bottom w:val="single" w:sz="4" w:space="0" w:color="auto"/>
              <w:right w:val="single" w:sz="4" w:space="0" w:color="auto"/>
            </w:tcBorders>
            <w:shd w:val="clear" w:color="auto" w:fill="FFFFFF"/>
            <w:hideMark/>
          </w:tcPr>
          <w:p w14:paraId="02435F96" w14:textId="77777777" w:rsidR="00F156AF" w:rsidRPr="00DF2AA3" w:rsidRDefault="00F156AF" w:rsidP="00B12442">
            <w:pPr>
              <w:spacing w:before="60" w:after="60"/>
              <w:rPr>
                <w:rFonts w:ascii="Arial" w:hAnsi="Arial" w:cs="Arial"/>
                <w:sz w:val="18"/>
                <w:szCs w:val="18"/>
                <w:lang w:bidi="ar-SA"/>
              </w:rPr>
            </w:pPr>
            <w:r w:rsidRPr="00DF2AA3">
              <w:rPr>
                <w:rFonts w:ascii="Arial" w:hAnsi="Arial" w:cs="Arial"/>
                <w:sz w:val="18"/>
                <w:szCs w:val="18"/>
                <w:lang w:bidi="ar-SA"/>
              </w:rPr>
              <w:t>Camargo and Alonso 2007, Sampaio et al. 2002</w:t>
            </w:r>
          </w:p>
        </w:tc>
      </w:tr>
      <w:tr w:rsidR="00F156AF" w:rsidRPr="00DA4BC6" w14:paraId="5DD8AFFA" w14:textId="77777777" w:rsidTr="00B12442">
        <w:tc>
          <w:tcPr>
            <w:tcW w:w="5865" w:type="dxa"/>
            <w:tcBorders>
              <w:top w:val="single" w:sz="4" w:space="0" w:color="auto"/>
              <w:left w:val="single" w:sz="4" w:space="0" w:color="auto"/>
              <w:bottom w:val="single" w:sz="4" w:space="0" w:color="auto"/>
              <w:right w:val="single" w:sz="4" w:space="0" w:color="auto"/>
            </w:tcBorders>
            <w:shd w:val="clear" w:color="auto" w:fill="FFFFFF"/>
            <w:hideMark/>
          </w:tcPr>
          <w:p w14:paraId="1290AFB6" w14:textId="77777777" w:rsidR="00F156AF" w:rsidRPr="00DF2AA3" w:rsidRDefault="00F156AF" w:rsidP="00B12442">
            <w:pPr>
              <w:spacing w:before="60" w:after="60"/>
              <w:rPr>
                <w:rFonts w:ascii="Arial" w:hAnsi="Arial" w:cs="Arial"/>
                <w:sz w:val="18"/>
                <w:szCs w:val="18"/>
                <w:lang w:bidi="ar-SA"/>
              </w:rPr>
            </w:pPr>
            <w:r w:rsidRPr="00DF2AA3">
              <w:rPr>
                <w:rFonts w:ascii="Arial" w:hAnsi="Arial" w:cs="Arial"/>
                <w:sz w:val="18"/>
                <w:szCs w:val="18"/>
                <w:lang w:bidi="ar-SA"/>
              </w:rPr>
              <w:t>Disruption of blood vessels and osmoregulatory activity, causing stress to the liver and kidneys</w:t>
            </w:r>
          </w:p>
        </w:tc>
        <w:tc>
          <w:tcPr>
            <w:tcW w:w="3525" w:type="dxa"/>
            <w:tcBorders>
              <w:top w:val="single" w:sz="4" w:space="0" w:color="auto"/>
              <w:left w:val="single" w:sz="4" w:space="0" w:color="auto"/>
              <w:bottom w:val="single" w:sz="4" w:space="0" w:color="auto"/>
              <w:right w:val="single" w:sz="4" w:space="0" w:color="auto"/>
            </w:tcBorders>
            <w:shd w:val="clear" w:color="auto" w:fill="FFFFFF"/>
            <w:hideMark/>
          </w:tcPr>
          <w:p w14:paraId="53B18F70" w14:textId="77777777" w:rsidR="00F156AF" w:rsidRPr="00DF2AA3" w:rsidRDefault="00F156AF" w:rsidP="00B12442">
            <w:pPr>
              <w:spacing w:before="60" w:after="60"/>
              <w:rPr>
                <w:rFonts w:ascii="Arial" w:hAnsi="Arial" w:cs="Arial"/>
                <w:sz w:val="18"/>
                <w:szCs w:val="18"/>
                <w:lang w:bidi="ar-SA"/>
              </w:rPr>
            </w:pPr>
            <w:r w:rsidRPr="00DF2AA3">
              <w:rPr>
                <w:rFonts w:ascii="Arial" w:hAnsi="Arial" w:cs="Arial"/>
                <w:sz w:val="18"/>
                <w:szCs w:val="18"/>
                <w:lang w:bidi="ar-SA"/>
              </w:rPr>
              <w:t>Camargo and Alonso 2007, Sampaio et al. 2002, Bosakowski and Wagner 1994</w:t>
            </w:r>
          </w:p>
        </w:tc>
      </w:tr>
      <w:tr w:rsidR="00F156AF" w:rsidRPr="00DA4BC6" w14:paraId="7EB936CF" w14:textId="77777777" w:rsidTr="00B12442">
        <w:tc>
          <w:tcPr>
            <w:tcW w:w="5865" w:type="dxa"/>
            <w:tcBorders>
              <w:top w:val="single" w:sz="4" w:space="0" w:color="auto"/>
              <w:left w:val="single" w:sz="4" w:space="0" w:color="auto"/>
              <w:bottom w:val="single" w:sz="4" w:space="0" w:color="auto"/>
              <w:right w:val="single" w:sz="4" w:space="0" w:color="auto"/>
            </w:tcBorders>
            <w:shd w:val="clear" w:color="auto" w:fill="FFFFFF"/>
            <w:hideMark/>
          </w:tcPr>
          <w:p w14:paraId="5CE3E010" w14:textId="77777777" w:rsidR="00F156AF" w:rsidRPr="00DF2AA3" w:rsidRDefault="00F156AF" w:rsidP="00B12442">
            <w:pPr>
              <w:spacing w:before="60" w:after="60"/>
              <w:rPr>
                <w:rFonts w:ascii="Arial" w:hAnsi="Arial" w:cs="Arial"/>
                <w:sz w:val="18"/>
                <w:szCs w:val="18"/>
                <w:lang w:bidi="ar-SA"/>
              </w:rPr>
            </w:pPr>
            <w:r w:rsidRPr="00DF2AA3">
              <w:rPr>
                <w:rFonts w:ascii="Arial" w:hAnsi="Arial" w:cs="Arial"/>
                <w:sz w:val="18"/>
                <w:szCs w:val="18"/>
                <w:lang w:bidi="ar-SA"/>
              </w:rPr>
              <w:t>Repression of immune system, causing increased susceptibility to bacteria and parasitic diseases</w:t>
            </w:r>
          </w:p>
        </w:tc>
        <w:tc>
          <w:tcPr>
            <w:tcW w:w="3525" w:type="dxa"/>
            <w:tcBorders>
              <w:top w:val="single" w:sz="4" w:space="0" w:color="auto"/>
              <w:left w:val="single" w:sz="4" w:space="0" w:color="auto"/>
              <w:bottom w:val="single" w:sz="4" w:space="0" w:color="auto"/>
              <w:right w:val="single" w:sz="4" w:space="0" w:color="auto"/>
            </w:tcBorders>
            <w:shd w:val="clear" w:color="auto" w:fill="FFFFFF"/>
            <w:hideMark/>
          </w:tcPr>
          <w:p w14:paraId="2D17A247" w14:textId="77777777" w:rsidR="00F156AF" w:rsidRPr="00DF2AA3" w:rsidRDefault="00F156AF" w:rsidP="00B12442">
            <w:pPr>
              <w:spacing w:before="60" w:after="60"/>
              <w:rPr>
                <w:rFonts w:ascii="Arial" w:hAnsi="Arial" w:cs="Arial"/>
                <w:sz w:val="18"/>
                <w:szCs w:val="18"/>
                <w:lang w:bidi="ar-SA"/>
              </w:rPr>
            </w:pPr>
            <w:r w:rsidRPr="00DF2AA3">
              <w:rPr>
                <w:rFonts w:ascii="Arial" w:hAnsi="Arial" w:cs="Arial"/>
                <w:sz w:val="18"/>
                <w:szCs w:val="18"/>
                <w:lang w:bidi="ar-SA"/>
              </w:rPr>
              <w:t>Camargo and Alonso 2007, Sampaio et al. 2002</w:t>
            </w:r>
          </w:p>
        </w:tc>
      </w:tr>
      <w:tr w:rsidR="00F156AF" w:rsidRPr="00DA4BC6" w14:paraId="4A3748F4" w14:textId="77777777" w:rsidTr="00B12442">
        <w:tc>
          <w:tcPr>
            <w:tcW w:w="5865" w:type="dxa"/>
            <w:tcBorders>
              <w:top w:val="single" w:sz="4" w:space="0" w:color="auto"/>
              <w:left w:val="single" w:sz="4" w:space="0" w:color="auto"/>
              <w:bottom w:val="single" w:sz="4" w:space="0" w:color="auto"/>
              <w:right w:val="single" w:sz="4" w:space="0" w:color="auto"/>
            </w:tcBorders>
            <w:shd w:val="clear" w:color="auto" w:fill="FFFFFF"/>
            <w:hideMark/>
          </w:tcPr>
          <w:p w14:paraId="2278AC2C" w14:textId="77777777" w:rsidR="00F156AF" w:rsidRPr="00DF2AA3" w:rsidRDefault="00F156AF" w:rsidP="00B12442">
            <w:pPr>
              <w:spacing w:before="60" w:after="60"/>
              <w:rPr>
                <w:rFonts w:ascii="Arial" w:hAnsi="Arial" w:cs="Arial"/>
                <w:sz w:val="18"/>
                <w:szCs w:val="18"/>
                <w:lang w:bidi="ar-SA"/>
              </w:rPr>
            </w:pPr>
            <w:r w:rsidRPr="00DF2AA3">
              <w:rPr>
                <w:rFonts w:ascii="Arial" w:hAnsi="Arial" w:cs="Arial"/>
                <w:sz w:val="18"/>
                <w:szCs w:val="18"/>
                <w:lang w:bidi="ar-SA"/>
              </w:rPr>
              <w:t>Reduction of Na</w:t>
            </w:r>
            <w:r w:rsidRPr="00DF2AA3">
              <w:rPr>
                <w:rFonts w:ascii="Arial" w:hAnsi="Arial" w:cs="Arial"/>
                <w:sz w:val="18"/>
                <w:szCs w:val="18"/>
                <w:vertAlign w:val="superscript"/>
                <w:lang w:bidi="ar-SA"/>
              </w:rPr>
              <w:t>+</w:t>
            </w:r>
            <w:r w:rsidRPr="00DF2AA3">
              <w:rPr>
                <w:rFonts w:ascii="Arial" w:hAnsi="Arial" w:cs="Arial"/>
                <w:sz w:val="18"/>
                <w:szCs w:val="18"/>
                <w:lang w:bidi="ar-SA"/>
              </w:rPr>
              <w:t xml:space="preserve"> to potentially fatally low levels</w:t>
            </w:r>
          </w:p>
        </w:tc>
        <w:tc>
          <w:tcPr>
            <w:tcW w:w="3525" w:type="dxa"/>
            <w:tcBorders>
              <w:top w:val="single" w:sz="4" w:space="0" w:color="auto"/>
              <w:left w:val="single" w:sz="4" w:space="0" w:color="auto"/>
              <w:bottom w:val="single" w:sz="4" w:space="0" w:color="auto"/>
              <w:right w:val="single" w:sz="4" w:space="0" w:color="auto"/>
            </w:tcBorders>
            <w:shd w:val="clear" w:color="auto" w:fill="FFFFFF"/>
            <w:hideMark/>
          </w:tcPr>
          <w:p w14:paraId="0A71C8F6" w14:textId="77777777" w:rsidR="00F156AF" w:rsidRPr="00DF2AA3" w:rsidRDefault="00F156AF" w:rsidP="00B12442">
            <w:pPr>
              <w:spacing w:before="60" w:after="60"/>
              <w:rPr>
                <w:rFonts w:ascii="Arial" w:hAnsi="Arial" w:cs="Arial"/>
                <w:sz w:val="18"/>
                <w:szCs w:val="18"/>
                <w:lang w:bidi="ar-SA"/>
              </w:rPr>
            </w:pPr>
            <w:r w:rsidRPr="00DF2AA3">
              <w:rPr>
                <w:rFonts w:ascii="Arial" w:hAnsi="Arial" w:cs="Arial"/>
                <w:sz w:val="18"/>
                <w:szCs w:val="18"/>
                <w:lang w:bidi="ar-SA"/>
              </w:rPr>
              <w:t>Twitchen and Eddy 1994</w:t>
            </w:r>
          </w:p>
        </w:tc>
      </w:tr>
    </w:tbl>
    <w:p w14:paraId="45F68C56" w14:textId="77777777" w:rsidR="00F156AF" w:rsidRDefault="00F156AF" w:rsidP="00F156AF"/>
    <w:p w14:paraId="1E7294F6" w14:textId="77777777" w:rsidR="00F156AF" w:rsidRDefault="00F156AF" w:rsidP="00D62B1B">
      <w:r>
        <w:t xml:space="preserve">At a statewide scale, the USGS SPARROW models for California (Saleh and Domagalski 2015, Domagalski and Saleh 2015) provides </w:t>
      </w:r>
      <w:r w:rsidR="00B84288">
        <w:t xml:space="preserve">annual </w:t>
      </w:r>
      <w:r>
        <w:t>loading estimates for both nitrogen and phosphorus from mostly HUC6 watersheds (Fig 2.5)</w:t>
      </w:r>
      <w:r w:rsidR="000360CA">
        <w:t xml:space="preserve"> and is a starting point for watershed specific discussions of nutrient and organic matter sources. </w:t>
      </w:r>
      <w:r>
        <w:t xml:space="preserve"> Sources of nutrient pollution released to </w:t>
      </w:r>
      <w:r w:rsidR="00B84288">
        <w:t>wadeable streams</w:t>
      </w:r>
      <w:r>
        <w:t xml:space="preserve"> are diverse, and include agriculture, animal husbandry, aquaculture, septic tanks, urban wastewater, urban stormwater runoff, industry, and fossil fuel combustion. Nutrients enter aquatic ecosystems via the </w:t>
      </w:r>
      <w:r w:rsidR="00B84288">
        <w:t>atmospheric deposition</w:t>
      </w:r>
      <w:r>
        <w:t xml:space="preserve">, surface water, or groundwater. </w:t>
      </w:r>
      <w:r w:rsidR="00E33716">
        <w:t xml:space="preserve">Nutrients can be through current sources or legacy organic matter loading (e.g. from abandoned sewage disposal). </w:t>
      </w:r>
      <w:r>
        <w:t xml:space="preserve">Among regions and from watershed to watershed, there are signiﬁcant variations in the relative importance of nutrient sources and pathways that contribute to eutrophication of local and coastal waterbodies. </w:t>
      </w:r>
    </w:p>
    <w:p w14:paraId="2CC9736A" w14:textId="77777777" w:rsidR="00F156AF" w:rsidRDefault="00F156AF" w:rsidP="00F156AF">
      <w:pPr>
        <w:pBdr>
          <w:top w:val="nil"/>
          <w:left w:val="nil"/>
          <w:bottom w:val="nil"/>
          <w:right w:val="nil"/>
          <w:between w:val="nil"/>
        </w:pBdr>
        <w:spacing w:after="0" w:line="240" w:lineRule="auto"/>
        <w:rPr>
          <w:rFonts w:ascii="Times New Roman" w:hAnsi="Times New Roman"/>
          <w:color w:val="000000"/>
          <w:sz w:val="24"/>
          <w:szCs w:val="24"/>
        </w:rPr>
      </w:pPr>
      <w:r>
        <w:rPr>
          <w:rFonts w:ascii="Times New Roman" w:hAnsi="Times New Roman"/>
          <w:noProof/>
          <w:color w:val="000000"/>
          <w:sz w:val="24"/>
          <w:szCs w:val="24"/>
          <w:lang w:eastAsia="zh-CN" w:bidi="ar-SA"/>
        </w:rPr>
        <w:drawing>
          <wp:inline distT="0" distB="0" distL="0" distR="0" wp14:anchorId="09034220" wp14:editId="5D0C68D7">
            <wp:extent cx="2795954" cy="2725218"/>
            <wp:effectExtent l="0" t="0" r="4445" b="0"/>
            <wp:docPr id="2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rotWithShape="1">
                    <a:blip r:embed="rId36"/>
                    <a:srcRect l="2695" t="3003" r="2032" b="3856"/>
                    <a:stretch/>
                  </pic:blipFill>
                  <pic:spPr bwMode="auto">
                    <a:xfrm>
                      <a:off x="0" y="0"/>
                      <a:ext cx="2802399" cy="273149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noProof/>
          <w:color w:val="000000"/>
          <w:sz w:val="20"/>
          <w:szCs w:val="20"/>
          <w:lang w:eastAsia="zh-CN" w:bidi="ar-SA"/>
        </w:rPr>
        <w:drawing>
          <wp:inline distT="0" distB="0" distL="0" distR="0" wp14:anchorId="401EE82E" wp14:editId="7CBE1203">
            <wp:extent cx="2699239" cy="2857500"/>
            <wp:effectExtent l="0" t="0" r="6350" b="0"/>
            <wp:docPr id="2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7"/>
                    <a:srcRect/>
                    <a:stretch>
                      <a:fillRect/>
                    </a:stretch>
                  </pic:blipFill>
                  <pic:spPr>
                    <a:xfrm>
                      <a:off x="0" y="0"/>
                      <a:ext cx="2708828" cy="2867651"/>
                    </a:xfrm>
                    <a:prstGeom prst="rect">
                      <a:avLst/>
                    </a:prstGeom>
                    <a:ln/>
                  </pic:spPr>
                </pic:pic>
              </a:graphicData>
            </a:graphic>
          </wp:inline>
        </w:drawing>
      </w:r>
    </w:p>
    <w:p w14:paraId="475D7F60" w14:textId="77777777" w:rsidR="00F156AF" w:rsidRDefault="00F156AF" w:rsidP="00F156AF">
      <w:pPr>
        <w:pBdr>
          <w:top w:val="nil"/>
          <w:left w:val="nil"/>
          <w:bottom w:val="nil"/>
          <w:right w:val="nil"/>
          <w:between w:val="nil"/>
        </w:pBdr>
        <w:tabs>
          <w:tab w:val="right" w:pos="9350"/>
        </w:tabs>
        <w:spacing w:after="100" w:line="240" w:lineRule="auto"/>
        <w:rPr>
          <w:rFonts w:ascii="Arial" w:eastAsia="Arial" w:hAnsi="Arial" w:cs="Arial"/>
          <w:i/>
          <w:color w:val="000000"/>
          <w:sz w:val="20"/>
          <w:szCs w:val="20"/>
        </w:rPr>
      </w:pPr>
      <w:bookmarkStart w:id="76" w:name="_ihv636" w:colFirst="0" w:colLast="0"/>
      <w:bookmarkEnd w:id="76"/>
      <w:r>
        <w:rPr>
          <w:rFonts w:ascii="Arial" w:eastAsia="Arial" w:hAnsi="Arial" w:cs="Arial"/>
          <w:i/>
          <w:color w:val="000000"/>
          <w:sz w:val="20"/>
          <w:szCs w:val="20"/>
        </w:rPr>
        <w:t>Figure 2.</w:t>
      </w:r>
      <w:r w:rsidR="004226B5">
        <w:rPr>
          <w:rFonts w:ascii="Arial" w:eastAsia="Arial" w:hAnsi="Arial" w:cs="Arial"/>
          <w:i/>
          <w:color w:val="000000"/>
          <w:sz w:val="20"/>
          <w:szCs w:val="20"/>
        </w:rPr>
        <w:t>10</w:t>
      </w:r>
      <w:r>
        <w:rPr>
          <w:rFonts w:ascii="Arial" w:eastAsia="Arial" w:hAnsi="Arial" w:cs="Arial"/>
          <w:i/>
          <w:color w:val="000000"/>
          <w:sz w:val="20"/>
          <w:szCs w:val="20"/>
        </w:rPr>
        <w:t xml:space="preserve">.   Results from USGS SPARROW model for California.  Left panel </w:t>
      </w:r>
      <w:r w:rsidR="004226B5">
        <w:rPr>
          <w:rFonts w:ascii="Arial" w:eastAsia="Arial" w:hAnsi="Arial" w:cs="Arial"/>
          <w:i/>
          <w:color w:val="000000"/>
          <w:sz w:val="20"/>
          <w:szCs w:val="20"/>
        </w:rPr>
        <w:t xml:space="preserve">represents delivered TN loads (from </w:t>
      </w:r>
      <w:r>
        <w:rPr>
          <w:rFonts w:ascii="Arial" w:eastAsia="Arial" w:hAnsi="Arial" w:cs="Arial"/>
          <w:i/>
          <w:color w:val="000000"/>
          <w:sz w:val="20"/>
          <w:szCs w:val="20"/>
        </w:rPr>
        <w:t>Domagalski</w:t>
      </w:r>
      <w:r w:rsidR="004226B5">
        <w:rPr>
          <w:rFonts w:ascii="Arial" w:eastAsia="Arial" w:hAnsi="Arial" w:cs="Arial"/>
          <w:i/>
          <w:color w:val="000000"/>
          <w:sz w:val="20"/>
          <w:szCs w:val="20"/>
        </w:rPr>
        <w:t xml:space="preserve"> and Saleh</w:t>
      </w:r>
      <w:r>
        <w:rPr>
          <w:rFonts w:ascii="Arial" w:eastAsia="Arial" w:hAnsi="Arial" w:cs="Arial"/>
          <w:i/>
          <w:color w:val="000000"/>
          <w:sz w:val="20"/>
          <w:szCs w:val="20"/>
        </w:rPr>
        <w:t xml:space="preserve"> 2015), while right panel </w:t>
      </w:r>
      <w:r w:rsidR="004226B5">
        <w:rPr>
          <w:rFonts w:ascii="Arial" w:eastAsia="Arial" w:hAnsi="Arial" w:cs="Arial"/>
          <w:i/>
          <w:color w:val="000000"/>
          <w:sz w:val="20"/>
          <w:szCs w:val="20"/>
        </w:rPr>
        <w:t>delivered TP loads (</w:t>
      </w:r>
      <w:r>
        <w:rPr>
          <w:rFonts w:ascii="Arial" w:eastAsia="Arial" w:hAnsi="Arial" w:cs="Arial"/>
          <w:i/>
          <w:color w:val="000000"/>
          <w:sz w:val="20"/>
          <w:szCs w:val="20"/>
        </w:rPr>
        <w:t>Saleh</w:t>
      </w:r>
      <w:r w:rsidR="004226B5">
        <w:rPr>
          <w:rFonts w:ascii="Arial" w:eastAsia="Arial" w:hAnsi="Arial" w:cs="Arial"/>
          <w:i/>
          <w:color w:val="000000"/>
          <w:sz w:val="20"/>
          <w:szCs w:val="20"/>
        </w:rPr>
        <w:t xml:space="preserve"> and Domagalski </w:t>
      </w:r>
      <w:r>
        <w:rPr>
          <w:rFonts w:ascii="Arial" w:eastAsia="Arial" w:hAnsi="Arial" w:cs="Arial"/>
          <w:i/>
          <w:color w:val="000000"/>
          <w:sz w:val="20"/>
          <w:szCs w:val="20"/>
        </w:rPr>
        <w:t>2015). Yield is the amount of N or P per unit area of land per year. (Kg/m2/yr).</w:t>
      </w:r>
    </w:p>
    <w:p w14:paraId="68EC65DB" w14:textId="77777777" w:rsidR="00F156AF" w:rsidRDefault="00F156AF" w:rsidP="00F156AF">
      <w:pPr>
        <w:pStyle w:val="Heading3"/>
      </w:pPr>
      <w:bookmarkStart w:id="77" w:name="_Toc524697505"/>
      <w:bookmarkStart w:id="78" w:name="_Toc526505122"/>
      <w:r>
        <w:t>2.</w:t>
      </w:r>
      <w:r w:rsidR="004226B5">
        <w:t xml:space="preserve">3.2 </w:t>
      </w:r>
      <w:r>
        <w:t>Irradiance, Water Clarity, and Temperature</w:t>
      </w:r>
      <w:bookmarkEnd w:id="77"/>
      <w:bookmarkEnd w:id="78"/>
    </w:p>
    <w:p w14:paraId="500C768C" w14:textId="6A41651C" w:rsidR="00F156AF" w:rsidRDefault="00F156AF" w:rsidP="004226B5">
      <w:r>
        <w:t xml:space="preserve">Solar radiation is of fundamental importance of all aquatic ecosystems. Irradiance is central to metabolism and photosynthesis, and thus plays an important role in the growth, diversity and density of algae and aquatic plants, as algal and aquatic plants species have an optimal range of irradiance. In addition, the absorption of thermal energy and the dissipation of heat have profound effects on thermal structure, water mass stratification, and circulation patterns.  Changes in radiant energy, e.g, from physical habitat alteration (e.g. engineered channels, removal of riparian habitat, hydromodification), natural events (fires and floods), and climate change can impact the composition and relative abundance of primary producers, which compete for light and space. As an example of this, </w:t>
      </w:r>
      <w:r w:rsidR="00BC13D9">
        <w:t xml:space="preserve">canopy forming species of </w:t>
      </w:r>
      <w:r>
        <w:t xml:space="preserve">submerged macrophytes </w:t>
      </w:r>
      <w:r w:rsidR="00BC13D9">
        <w:t>dominate</w:t>
      </w:r>
      <w:r>
        <w:t xml:space="preserve"> in many shallow water bodies with increasing eutrophication, due to </w:t>
      </w:r>
      <w:r w:rsidR="00BC13D9">
        <w:t xml:space="preserve">reduced scouring velocities and </w:t>
      </w:r>
      <w:r>
        <w:t xml:space="preserve">reduced water clarity from algal blooms </w:t>
      </w:r>
      <w:r w:rsidR="00BC13D9">
        <w:t>that limit benthic primary producers</w:t>
      </w:r>
      <w:r>
        <w:t xml:space="preserve">. Cyanobacteria such as Microcystis, can grow very close to the surface by tolerating irradiance levels that are inhibitory to other members of the phytoplankton community, increasing their cell densities past the point where they would ordinarily become light-limited by self-shading (Carey et al. 2012). </w:t>
      </w:r>
    </w:p>
    <w:p w14:paraId="092CB998" w14:textId="69D0CDB8" w:rsidR="00F156AF" w:rsidRDefault="00F156AF" w:rsidP="004226B5">
      <w:r>
        <w:t>Temperature is one of the most important factors in controlling the growth rate and community composition of primary producers (Robarts and Zohary 1987, Butterwick et al. 2005, Reynolds 2006, Paerl and Huisman 2008) and prokaryotes responsible for the respiration of dead and decaying organic matter. Temperature will have profound influences in restructuring primary producer communities. For example, the difference in the optimum growth temperatures of the various phytoplankton taxa is hypothesized to become increasingly important in determining phytoplankton community composition as global temperatures continue to increase above 20°C (Lehman et al. 2005, Paerl and Huisman 2008). Reynolds (2006) suggests that in freshwater ecosystems with a mixed phytoplankton assemblage, all else being equal, cyanobacteria will be able to grow faster and outcompete other phytoplankton taxa as the temperature increases. With continued climate change and global warming, there’s an increased risk that cyanoHABs will become increasingly competitive vis-à-vis diatoms which often dominate community composition in temperate regions.</w:t>
      </w:r>
    </w:p>
    <w:p w14:paraId="13D8C2CE" w14:textId="0A70F0ED" w:rsidR="00F156AF" w:rsidRDefault="00F156AF" w:rsidP="004226B5">
      <w:r>
        <w:t xml:space="preserve">Finally, temperature controls the growth rate of all prokaryotes responsible for the respiration of dead and decaying organic matter, thus exerting a major control on oxygen demand and hypoxia as well as other key rates of nutrient transformations in the water column and in the sediments (e.g. nitrification, denitrification, sulfate reduction, etc.). </w:t>
      </w:r>
    </w:p>
    <w:p w14:paraId="7DB6105B" w14:textId="77777777" w:rsidR="00F156AF" w:rsidRDefault="00F156AF" w:rsidP="00F156AF">
      <w:pPr>
        <w:pStyle w:val="Heading3"/>
      </w:pPr>
      <w:bookmarkStart w:id="79" w:name="_Toc524697506"/>
      <w:bookmarkStart w:id="80" w:name="_Toc526505123"/>
      <w:r>
        <w:t>2.</w:t>
      </w:r>
      <w:r w:rsidR="004226B5">
        <w:t>3</w:t>
      </w:r>
      <w:r>
        <w:t>.3 Hydromodification</w:t>
      </w:r>
      <w:bookmarkEnd w:id="79"/>
      <w:r w:rsidR="009A4F36">
        <w:t xml:space="preserve"> and Physical Habitat Alteration</w:t>
      </w:r>
      <w:bookmarkEnd w:id="80"/>
    </w:p>
    <w:p w14:paraId="4C9E63C0" w14:textId="77777777" w:rsidR="00F156AF" w:rsidRDefault="00F156AF" w:rsidP="004226B5">
      <w:r>
        <w:t xml:space="preserve">USEPA (1993) defines hydromodification as the “alteration of the hydrologic characteristics of coastal and noncoastal waters, which in turn could cause degradation of water resources.” Hydromodification can occur through urbanization (water withdrawals, and inter-basin transfers, channelization and channel modification, construction of dams and impoundments, streambank and shoreline erosion, as well as hydrograph modification) and climate change (REFs). Net impervious surface, increases with urbanization, leading to accelerating runoff velocities and increases in base hydrological flows. Changes in climate encompass both short-term changes, such as seasonal or annual variability that can lead to conditions such as drought, and long-term changes that are being triggered by global climate change. Climate change in California will impact hydrological patterns. Preliminary studies of downscaled models indicate an increase in overall temperature in California, a shift from less snow to more rain, and an increased frequency of extreme drought and storms. Under these conditions, the magnitude and duration of hydrological flows will accelerate runoff velocities and alter base flows. Water resource management has had a tremendous impact on natural hydrological budget of all of California (Reisner 1986), through dams, flood control of streams and rivers, water withdrawls and interbasin transfers). These changes have fundamentally altered basic physical and hydrodynamic forcing of aquatic habitats, which constitute major controls on eutrophication. </w:t>
      </w:r>
    </w:p>
    <w:p w14:paraId="73659DC8" w14:textId="77777777" w:rsidR="00F156AF" w:rsidRDefault="00F156AF" w:rsidP="004226B5">
      <w:r>
        <w:t>Taken together, these alterations can result in a myriad of impacts that lead to physical habitat</w:t>
      </w:r>
      <w:r w:rsidR="009C2AA5">
        <w:rPr>
          <w:rStyle w:val="FootnoteReference"/>
        </w:rPr>
        <w:footnoteReference w:id="2"/>
      </w:r>
      <w:r>
        <w:t xml:space="preserve"> alteration, modified hydrographs and hydroperiods, stratification, and altered hydraulic residence times. The ecological impacts are strongly linked to eutrophication, via pathways of altered channel substrate (including hardscaping), increased sedimentation, higher water temperature, longer residence time, reduced surface water reaeration.  The outcomes are several-fold—including but not limited to higher organic accumulation, lower dissolved oxygen, and a fundamental shift in natural biological communities, including a loss of fish and other aquatic populations. As drought-prone California increasingly focuses on development of sustainable water supplies that promote conservation, water-use efficiency, conjunctive use, wastewater recycling, groundwater remediation, and desalination, each of these actions will have consequences for nutrient pollution and eutrophication. This will likely result in circumstances in which reducing eutrophication may in direct competition with other human uses such as flood control, water recycling and reuse. </w:t>
      </w:r>
    </w:p>
    <w:p w14:paraId="1C62E41D" w14:textId="77777777" w:rsidR="00F324AD" w:rsidRDefault="00F324AD" w:rsidP="00EE49F3">
      <w:bookmarkStart w:id="81" w:name="_Hlk525715127"/>
      <w:r>
        <w:t>Two tool</w:t>
      </w:r>
      <w:r w:rsidR="00EE49F3">
        <w:t>kits</w:t>
      </w:r>
      <w:r>
        <w:t xml:space="preserve"> are emerging that may be useful in identifying pathways of </w:t>
      </w:r>
      <w:r w:rsidR="00665FC3">
        <w:t>hydromodification and physical habitat influence on eutrophication in California wadeable streams</w:t>
      </w:r>
      <w:r w:rsidR="00F956B3">
        <w:t>, particularly if employed within a watershed context</w:t>
      </w:r>
      <w:r w:rsidR="00665FC3">
        <w:t xml:space="preserve">. </w:t>
      </w:r>
      <w:r w:rsidR="00EE49F3">
        <w:t xml:space="preserve">First the State is investing in the development of flow ecology tools that relate hydrologic change to responses in instream biological communities that can be used to establish management targets. </w:t>
      </w:r>
      <w:r w:rsidR="00D87D89">
        <w:t xml:space="preserve">Stein et al. (2017) has applied the </w:t>
      </w:r>
      <w:r w:rsidR="00EE49F3">
        <w:t>Ecological Limits of Hydrologic Alteration (ELOHA) framework (Poff</w:t>
      </w:r>
      <w:r w:rsidR="00D87D89">
        <w:t xml:space="preserve"> </w:t>
      </w:r>
      <w:r w:rsidR="00EE49F3">
        <w:t xml:space="preserve">et al. 2010) to assess the effect of flow alteration on the condition of </w:t>
      </w:r>
      <w:r w:rsidR="00D87D89">
        <w:t xml:space="preserve">regional </w:t>
      </w:r>
      <w:r w:rsidR="00EE49F3">
        <w:t>biological</w:t>
      </w:r>
      <w:r w:rsidR="00D87D89">
        <w:t xml:space="preserve"> </w:t>
      </w:r>
      <w:r w:rsidR="00EE49F3">
        <w:t xml:space="preserve">communities. </w:t>
      </w:r>
      <w:r w:rsidR="00681014">
        <w:t>The framework includes elements of stream classification, estimation of flow alteration and development of flow ecology relationships based on the response of biological communities to changes in flow. These</w:t>
      </w:r>
      <w:r w:rsidR="00F956B3">
        <w:t xml:space="preserve"> hydrologic</w:t>
      </w:r>
      <w:r w:rsidR="00681014">
        <w:t xml:space="preserve"> indicators have been developed for CSCI (Stein et al. 2018) and are under development for ASCI (E. Stein, personal communication). </w:t>
      </w:r>
      <w:r w:rsidR="00D87D89">
        <w:t xml:space="preserve">As tools become available statewide, </w:t>
      </w:r>
      <w:r w:rsidR="00EE49F3">
        <w:t xml:space="preserve">it </w:t>
      </w:r>
      <w:r w:rsidR="009A4F36">
        <w:t>may be a</w:t>
      </w:r>
      <w:r w:rsidR="00EE49F3">
        <w:t xml:space="preserve"> useful approach for</w:t>
      </w:r>
      <w:r w:rsidR="00D87D89">
        <w:t xml:space="preserve"> identifying whether flow alteration may be a causal factor in eutrophication</w:t>
      </w:r>
      <w:r w:rsidR="00EE49F3">
        <w:t xml:space="preserve">. </w:t>
      </w:r>
      <w:r w:rsidR="00681014">
        <w:t xml:space="preserve">To be useful, additional work is required to identify specific hydrologic metrics that have a causal relationship with eutrophication indicators to provide a supporting line of evidence for causal pathways of impact. </w:t>
      </w:r>
    </w:p>
    <w:p w14:paraId="18D5FA17" w14:textId="77777777" w:rsidR="009A4F36" w:rsidRDefault="009A4F36" w:rsidP="009A4F36">
      <w:r>
        <w:t>SWAMP’s physical habitat assessments, conducted as a routine part of bioassessment, collects a wealth of data that helps interpret biointegrity, including impacts from biostimulation (Ode et al. 2016). Evaluations of physical habitat data, along with data on biostimulatory substances and conditions, may determine if failure to meet biointegrity goals may be attributable to factors beyond biostimulation, such as hydromodification or direct alteration of the habitat. To support the analysis of physical habitat data, Rehn et al. (2018) have developed an Index of Physical-Habitat Integrity (IPI), which consists of five metrics:</w:t>
      </w:r>
    </w:p>
    <w:p w14:paraId="63E7F7C1" w14:textId="77777777" w:rsidR="009A4F36" w:rsidRDefault="009A4F36" w:rsidP="009A4F36">
      <w:pPr>
        <w:spacing w:after="0"/>
        <w:ind w:left="720"/>
      </w:pPr>
      <w:r>
        <w:t>Ev_FlowHab = evenness of flow habitat types</w:t>
      </w:r>
    </w:p>
    <w:p w14:paraId="5518982E" w14:textId="77777777" w:rsidR="009A4F36" w:rsidRDefault="009A4F36" w:rsidP="009A4F36">
      <w:pPr>
        <w:spacing w:after="0"/>
        <w:ind w:left="720"/>
      </w:pPr>
      <w:r>
        <w:t xml:space="preserve">H_SubNat = diversity of natural substrate types </w:t>
      </w:r>
    </w:p>
    <w:p w14:paraId="2B92FA39" w14:textId="77777777" w:rsidR="009A4F36" w:rsidRDefault="009A4F36" w:rsidP="009A4F36">
      <w:pPr>
        <w:spacing w:after="0"/>
        <w:ind w:left="720"/>
      </w:pPr>
      <w:r>
        <w:t xml:space="preserve">PCT_SAFN = percent sand and fine substrate </w:t>
      </w:r>
    </w:p>
    <w:p w14:paraId="40962A8F" w14:textId="77777777" w:rsidR="009A4F36" w:rsidRDefault="009A4F36" w:rsidP="009A4F36">
      <w:pPr>
        <w:spacing w:after="0"/>
        <w:ind w:left="720"/>
      </w:pPr>
      <w:r>
        <w:t>XCMG = riparian vegetation cover (upper canopy, mid-canopy, and groundcover)</w:t>
      </w:r>
    </w:p>
    <w:p w14:paraId="5BEB7F39" w14:textId="77777777" w:rsidR="009A4F36" w:rsidRDefault="009A4F36" w:rsidP="009A4F36">
      <w:pPr>
        <w:spacing w:after="0"/>
        <w:ind w:left="720"/>
      </w:pPr>
      <w:r>
        <w:t>H_AqHab = diversity of natural in-channel cover types</w:t>
      </w:r>
    </w:p>
    <w:p w14:paraId="747C8E49" w14:textId="77777777" w:rsidR="009A4F36" w:rsidRDefault="009A4F36" w:rsidP="009A4F36">
      <w:pPr>
        <w:spacing w:after="0"/>
      </w:pPr>
    </w:p>
    <w:p w14:paraId="696B8BE4" w14:textId="77777777" w:rsidR="009A4F36" w:rsidRDefault="009A4F36" w:rsidP="009A4F36">
      <w:pPr>
        <w:spacing w:after="0"/>
      </w:pPr>
      <w:r>
        <w:t>As with the CSCI, metrics for the IPI are scored with site-specific benchmarks that account for the diverse types of streams found in California. High IPI scores (i.e., close to 1) indicate that a stream’s habitat is similar to reference, whereas lower scores (e.g., &lt;0.85, or the 10</w:t>
      </w:r>
      <w:r w:rsidRPr="008852CD">
        <w:rPr>
          <w:vertAlign w:val="superscript"/>
        </w:rPr>
        <w:t>th</w:t>
      </w:r>
      <w:r>
        <w:t xml:space="preserve"> percentile of reference calibration sites) indicate that habitat may be altered.</w:t>
      </w:r>
      <w:r w:rsidR="00A03AD4">
        <w:t xml:space="preserve"> </w:t>
      </w:r>
      <w:r>
        <w:t>These metrics have a strong relationship with the CSCI and other measures of biological condition. In addition, several habitat metrics reflect biostimulatory processes, characterizing drivers of or responses to eutrophication</w:t>
      </w:r>
      <w:r w:rsidR="00A03AD4">
        <w:t xml:space="preserve"> (e.g. percent algal cover types and macrophyte cover</w:t>
      </w:r>
      <w:r>
        <w:t>; poor scores for these metrics may be supporting evidence of a biostimulatory impact. For example, a decrease in riparian vegetation cover (XCMG) may show an increase in light or a decrease in riparian buffering of nutrients, both of which may promote biostimulation. Other metrics do not have a strong link to biostimulation (e.g., substrate diversity); poor scores for these metrics may be evidence of non-biostimulatory impacts to biointegrity.</w:t>
      </w:r>
    </w:p>
    <w:p w14:paraId="5DE28FF4" w14:textId="77777777" w:rsidR="009A4F36" w:rsidRDefault="009A4F36" w:rsidP="009A4F36">
      <w:pPr>
        <w:spacing w:after="0"/>
      </w:pPr>
      <w:r>
        <w:t xml:space="preserve">Habitat drivers of and responses to biostimulation that are measured in the standard SWAMP bioassessment protocol (Ode et al. 2016) are summarized in </w:t>
      </w:r>
      <w:r w:rsidR="00A03AD4">
        <w:t>Table 2.9</w:t>
      </w:r>
      <w:r>
        <w:t xml:space="preserve"> below. Selected metrics that characterize these habitat components are highlighted.</w:t>
      </w:r>
    </w:p>
    <w:p w14:paraId="57B97395" w14:textId="77777777" w:rsidR="00A03AD4" w:rsidRDefault="00A03AD4" w:rsidP="009A4F36">
      <w:pPr>
        <w:spacing w:after="0"/>
      </w:pPr>
    </w:p>
    <w:p w14:paraId="00940335" w14:textId="77777777" w:rsidR="00A03AD4" w:rsidRDefault="00A03AD4" w:rsidP="00A03AD4">
      <w:pPr>
        <w:pStyle w:val="TOT"/>
      </w:pPr>
      <w:bookmarkStart w:id="82" w:name="_Toc526489914"/>
      <w:r>
        <w:t>Table 2.9 List of physical habitat disturbance type and specific metrics that characterize that type.</w:t>
      </w:r>
      <w:bookmarkEnd w:id="82"/>
      <w:r>
        <w:t xml:space="preserve"> </w:t>
      </w:r>
    </w:p>
    <w:tbl>
      <w:tblPr>
        <w:tblStyle w:val="LightShading1"/>
        <w:tblW w:w="0" w:type="auto"/>
        <w:tblLook w:val="06A0" w:firstRow="1" w:lastRow="0" w:firstColumn="1" w:lastColumn="0" w:noHBand="1" w:noVBand="1"/>
      </w:tblPr>
      <w:tblGrid>
        <w:gridCol w:w="4675"/>
        <w:gridCol w:w="4675"/>
      </w:tblGrid>
      <w:tr w:rsidR="009A4F36" w14:paraId="6B7E566E" w14:textId="77777777" w:rsidTr="00A03A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494BC732" w14:textId="77777777" w:rsidR="009A4F36" w:rsidRDefault="00A03AD4" w:rsidP="000036FB">
            <w:pPr>
              <w:spacing w:after="0"/>
            </w:pPr>
            <w:r>
              <w:t>Type</w:t>
            </w:r>
          </w:p>
        </w:tc>
        <w:tc>
          <w:tcPr>
            <w:tcW w:w="4675" w:type="dxa"/>
          </w:tcPr>
          <w:p w14:paraId="7B2592D1" w14:textId="77777777" w:rsidR="009A4F36" w:rsidRDefault="009A4F36" w:rsidP="000036FB">
            <w:pPr>
              <w:spacing w:after="0"/>
              <w:cnfStyle w:val="100000000000" w:firstRow="1" w:lastRow="0" w:firstColumn="0" w:lastColumn="0" w:oddVBand="0" w:evenVBand="0" w:oddHBand="0" w:evenHBand="0" w:firstRowFirstColumn="0" w:firstRowLastColumn="0" w:lastRowFirstColumn="0" w:lastRowLastColumn="0"/>
            </w:pPr>
            <w:r>
              <w:t>Met</w:t>
            </w:r>
            <w:r w:rsidR="00A03AD4">
              <w:t>rics that characterize habitat disturbance</w:t>
            </w:r>
          </w:p>
        </w:tc>
      </w:tr>
      <w:tr w:rsidR="009A4F36" w14:paraId="600196B0" w14:textId="77777777" w:rsidTr="00A03AD4">
        <w:tc>
          <w:tcPr>
            <w:cnfStyle w:val="001000000000" w:firstRow="0" w:lastRow="0" w:firstColumn="1" w:lastColumn="0" w:oddVBand="0" w:evenVBand="0" w:oddHBand="0" w:evenHBand="0" w:firstRowFirstColumn="0" w:firstRowLastColumn="0" w:lastRowFirstColumn="0" w:lastRowLastColumn="0"/>
            <w:tcW w:w="4675" w:type="dxa"/>
            <w:tcBorders>
              <w:bottom w:val="single" w:sz="4" w:space="0" w:color="auto"/>
            </w:tcBorders>
          </w:tcPr>
          <w:p w14:paraId="68C6B990" w14:textId="77777777" w:rsidR="009A4F36" w:rsidRDefault="009A4F36" w:rsidP="000036FB">
            <w:pPr>
              <w:spacing w:after="0"/>
              <w:ind w:left="150" w:hanging="150"/>
            </w:pPr>
            <w:r>
              <w:t>Increased light availability</w:t>
            </w:r>
          </w:p>
        </w:tc>
        <w:tc>
          <w:tcPr>
            <w:tcW w:w="4675" w:type="dxa"/>
            <w:tcBorders>
              <w:bottom w:val="single" w:sz="4" w:space="0" w:color="auto"/>
            </w:tcBorders>
          </w:tcPr>
          <w:p w14:paraId="2AC9B00A" w14:textId="77777777" w:rsidR="009A4F36" w:rsidRDefault="009A4F36" w:rsidP="000036FB">
            <w:pPr>
              <w:spacing w:after="0"/>
              <w:ind w:left="256" w:hanging="256"/>
              <w:cnfStyle w:val="000000000000" w:firstRow="0" w:lastRow="0" w:firstColumn="0" w:lastColumn="0" w:oddVBand="0" w:evenVBand="0" w:oddHBand="0" w:evenHBand="0" w:firstRowFirstColumn="0" w:firstRowLastColumn="0" w:lastRowFirstColumn="0" w:lastRowLastColumn="0"/>
            </w:pPr>
            <w:r>
              <w:t>% canopy cover (XCDENMID)</w:t>
            </w:r>
          </w:p>
          <w:p w14:paraId="16734A99" w14:textId="77777777" w:rsidR="009A4F36" w:rsidRDefault="009A4F36" w:rsidP="000036FB">
            <w:pPr>
              <w:spacing w:after="0"/>
              <w:ind w:left="256" w:hanging="256"/>
              <w:cnfStyle w:val="000000000000" w:firstRow="0" w:lastRow="0" w:firstColumn="0" w:lastColumn="0" w:oddVBand="0" w:evenVBand="0" w:oddHBand="0" w:evenHBand="0" w:firstRowFirstColumn="0" w:firstRowLastColumn="0" w:lastRowFirstColumn="0" w:lastRowLastColumn="0"/>
            </w:pPr>
            <w:r>
              <w:t>Riparian vegetation cover (XCMG)</w:t>
            </w:r>
            <w:r>
              <w:rPr>
                <w:rStyle w:val="FootnoteReference"/>
              </w:rPr>
              <w:footnoteReference w:id="3"/>
            </w:r>
            <w:r>
              <w:rPr>
                <w:vertAlign w:val="superscript"/>
              </w:rPr>
              <w:t>,</w:t>
            </w:r>
            <w:r>
              <w:rPr>
                <w:rStyle w:val="FootnoteReference"/>
              </w:rPr>
              <w:footnoteReference w:id="4"/>
            </w:r>
          </w:p>
        </w:tc>
      </w:tr>
      <w:tr w:rsidR="009A4F36" w14:paraId="487F8D0C" w14:textId="77777777" w:rsidTr="00A03AD4">
        <w:tc>
          <w:tcPr>
            <w:cnfStyle w:val="001000000000" w:firstRow="0" w:lastRow="0" w:firstColumn="1" w:lastColumn="0" w:oddVBand="0" w:evenVBand="0" w:oddHBand="0" w:evenHBand="0" w:firstRowFirstColumn="0" w:firstRowLastColumn="0" w:lastRowFirstColumn="0" w:lastRowLastColumn="0"/>
            <w:tcW w:w="4675" w:type="dxa"/>
            <w:tcBorders>
              <w:top w:val="single" w:sz="4" w:space="0" w:color="auto"/>
              <w:bottom w:val="single" w:sz="4" w:space="0" w:color="auto"/>
            </w:tcBorders>
          </w:tcPr>
          <w:p w14:paraId="37FEC63D" w14:textId="77777777" w:rsidR="009A4F36" w:rsidRDefault="009A4F36" w:rsidP="000036FB">
            <w:pPr>
              <w:spacing w:after="0"/>
              <w:ind w:left="150" w:hanging="150"/>
            </w:pPr>
            <w:r>
              <w:t>Stagnation</w:t>
            </w:r>
          </w:p>
        </w:tc>
        <w:tc>
          <w:tcPr>
            <w:tcW w:w="4675" w:type="dxa"/>
            <w:tcBorders>
              <w:top w:val="single" w:sz="4" w:space="0" w:color="auto"/>
              <w:bottom w:val="single" w:sz="4" w:space="0" w:color="auto"/>
            </w:tcBorders>
          </w:tcPr>
          <w:p w14:paraId="4407E601" w14:textId="77777777" w:rsidR="009A4F36" w:rsidRDefault="009A4F36" w:rsidP="000036FB">
            <w:pPr>
              <w:spacing w:after="0"/>
              <w:ind w:left="256" w:hanging="256"/>
              <w:cnfStyle w:val="000000000000" w:firstRow="0" w:lastRow="0" w:firstColumn="0" w:lastColumn="0" w:oddVBand="0" w:evenVBand="0" w:oddHBand="0" w:evenHBand="0" w:firstRowFirstColumn="0" w:firstRowLastColumn="0" w:lastRowFirstColumn="0" w:lastRowLastColumn="0"/>
            </w:pPr>
            <w:r>
              <w:t>Evenness of flow habitats (Ev_FlowHab)</w:t>
            </w:r>
            <w:r>
              <w:rPr>
                <w:vertAlign w:val="superscript"/>
              </w:rPr>
              <w:t>2</w:t>
            </w:r>
            <w:r w:rsidRPr="008852CD">
              <w:rPr>
                <w:vertAlign w:val="superscript"/>
              </w:rPr>
              <w:t>,</w:t>
            </w:r>
            <w:r>
              <w:rPr>
                <w:rStyle w:val="FootnoteReference"/>
              </w:rPr>
              <w:footnoteReference w:id="5"/>
            </w:r>
          </w:p>
          <w:p w14:paraId="7E0F9804" w14:textId="77777777" w:rsidR="009A4F36" w:rsidRDefault="009A4F36" w:rsidP="000036FB">
            <w:pPr>
              <w:spacing w:after="0"/>
              <w:ind w:left="256" w:hanging="256"/>
              <w:cnfStyle w:val="000000000000" w:firstRow="0" w:lastRow="0" w:firstColumn="0" w:lastColumn="0" w:oddVBand="0" w:evenVBand="0" w:oddHBand="0" w:evenHBand="0" w:firstRowFirstColumn="0" w:firstRowLastColumn="0" w:lastRowFirstColumn="0" w:lastRowLastColumn="0"/>
            </w:pPr>
            <w:r>
              <w:t>% slow water (PCT_SLOW)</w:t>
            </w:r>
          </w:p>
          <w:p w14:paraId="3747C19F" w14:textId="77777777" w:rsidR="009A4F36" w:rsidRDefault="009A4F36" w:rsidP="000036FB">
            <w:pPr>
              <w:spacing w:after="0"/>
              <w:ind w:left="256" w:hanging="256"/>
              <w:cnfStyle w:val="000000000000" w:firstRow="0" w:lastRow="0" w:firstColumn="0" w:lastColumn="0" w:oddVBand="0" w:evenVBand="0" w:oddHBand="0" w:evenHBand="0" w:firstRowFirstColumn="0" w:firstRowLastColumn="0" w:lastRowFirstColumn="0" w:lastRowLastColumn="0"/>
            </w:pPr>
            <w:r>
              <w:t>Discharge (FL_Q_M)</w:t>
            </w:r>
          </w:p>
          <w:p w14:paraId="56DBC774" w14:textId="77777777" w:rsidR="009A4F36" w:rsidRDefault="009A4F36" w:rsidP="000036FB">
            <w:pPr>
              <w:spacing w:after="0"/>
              <w:ind w:left="256" w:hanging="256"/>
              <w:cnfStyle w:val="000000000000" w:firstRow="0" w:lastRow="0" w:firstColumn="0" w:lastColumn="0" w:oddVBand="0" w:evenVBand="0" w:oddHBand="0" w:evenHBand="0" w:firstRowFirstColumn="0" w:firstRowLastColumn="0" w:lastRowFirstColumn="0" w:lastRowLastColumn="0"/>
            </w:pPr>
            <w:r>
              <w:t>Mean water velocity (XWV_M)</w:t>
            </w:r>
          </w:p>
        </w:tc>
      </w:tr>
      <w:tr w:rsidR="009A4F36" w14:paraId="722556EC" w14:textId="77777777" w:rsidTr="00A03AD4">
        <w:tc>
          <w:tcPr>
            <w:cnfStyle w:val="001000000000" w:firstRow="0" w:lastRow="0" w:firstColumn="1" w:lastColumn="0" w:oddVBand="0" w:evenVBand="0" w:oddHBand="0" w:evenHBand="0" w:firstRowFirstColumn="0" w:firstRowLastColumn="0" w:lastRowFirstColumn="0" w:lastRowLastColumn="0"/>
            <w:tcW w:w="4675" w:type="dxa"/>
            <w:tcBorders>
              <w:top w:val="single" w:sz="4" w:space="0" w:color="auto"/>
              <w:bottom w:val="single" w:sz="4" w:space="0" w:color="auto"/>
            </w:tcBorders>
          </w:tcPr>
          <w:p w14:paraId="6052F261" w14:textId="77777777" w:rsidR="009A4F36" w:rsidRDefault="009A4F36" w:rsidP="000036FB">
            <w:pPr>
              <w:spacing w:after="0"/>
              <w:ind w:left="150" w:hanging="150"/>
            </w:pPr>
            <w:r>
              <w:t>Decreased riparian buffering</w:t>
            </w:r>
          </w:p>
        </w:tc>
        <w:tc>
          <w:tcPr>
            <w:tcW w:w="4675" w:type="dxa"/>
            <w:tcBorders>
              <w:top w:val="single" w:sz="4" w:space="0" w:color="auto"/>
              <w:bottom w:val="single" w:sz="4" w:space="0" w:color="auto"/>
            </w:tcBorders>
          </w:tcPr>
          <w:p w14:paraId="69295817" w14:textId="77777777" w:rsidR="009A4F36" w:rsidRDefault="009A4F36" w:rsidP="000036FB">
            <w:pPr>
              <w:spacing w:after="0"/>
              <w:ind w:left="256" w:hanging="256"/>
              <w:cnfStyle w:val="000000000000" w:firstRow="0" w:lastRow="0" w:firstColumn="0" w:lastColumn="0" w:oddVBand="0" w:evenVBand="0" w:oddHBand="0" w:evenHBand="0" w:firstRowFirstColumn="0" w:firstRowLastColumn="0" w:lastRowFirstColumn="0" w:lastRowLastColumn="0"/>
            </w:pPr>
            <w:r>
              <w:t>Riparian vegetation cover (XCMG)</w:t>
            </w:r>
            <w:r>
              <w:rPr>
                <w:vertAlign w:val="superscript"/>
              </w:rPr>
              <w:t>2</w:t>
            </w:r>
            <w:r w:rsidRPr="008852CD">
              <w:rPr>
                <w:vertAlign w:val="superscript"/>
              </w:rPr>
              <w:t>,</w:t>
            </w:r>
            <w:r>
              <w:rPr>
                <w:vertAlign w:val="superscript"/>
              </w:rPr>
              <w:t>3</w:t>
            </w:r>
          </w:p>
        </w:tc>
      </w:tr>
      <w:tr w:rsidR="009A4F36" w14:paraId="73EAF344" w14:textId="77777777" w:rsidTr="00A03AD4">
        <w:tc>
          <w:tcPr>
            <w:cnfStyle w:val="001000000000" w:firstRow="0" w:lastRow="0" w:firstColumn="1" w:lastColumn="0" w:oddVBand="0" w:evenVBand="0" w:oddHBand="0" w:evenHBand="0" w:firstRowFirstColumn="0" w:firstRowLastColumn="0" w:lastRowFirstColumn="0" w:lastRowLastColumn="0"/>
            <w:tcW w:w="4675" w:type="dxa"/>
            <w:tcBorders>
              <w:top w:val="single" w:sz="4" w:space="0" w:color="auto"/>
            </w:tcBorders>
          </w:tcPr>
          <w:p w14:paraId="1D84A382" w14:textId="77777777" w:rsidR="009A4F36" w:rsidRDefault="009A4F36" w:rsidP="000036FB">
            <w:pPr>
              <w:spacing w:after="0"/>
              <w:ind w:left="150" w:hanging="150"/>
            </w:pPr>
            <w:r>
              <w:t>Increased temperature</w:t>
            </w:r>
          </w:p>
        </w:tc>
        <w:tc>
          <w:tcPr>
            <w:tcW w:w="4675" w:type="dxa"/>
            <w:tcBorders>
              <w:top w:val="single" w:sz="4" w:space="0" w:color="auto"/>
            </w:tcBorders>
          </w:tcPr>
          <w:p w14:paraId="04816ACD" w14:textId="77777777" w:rsidR="009A4F36" w:rsidRDefault="009A4F36" w:rsidP="000036FB">
            <w:pPr>
              <w:spacing w:after="0"/>
              <w:ind w:left="256" w:hanging="256"/>
              <w:cnfStyle w:val="000000000000" w:firstRow="0" w:lastRow="0" w:firstColumn="0" w:lastColumn="0" w:oddVBand="0" w:evenVBand="0" w:oddHBand="0" w:evenHBand="0" w:firstRowFirstColumn="0" w:firstRowLastColumn="0" w:lastRowFirstColumn="0" w:lastRowLastColumn="0"/>
            </w:pPr>
            <w:r>
              <w:t>Mean water temperature (XWTC)</w:t>
            </w:r>
          </w:p>
        </w:tc>
      </w:tr>
    </w:tbl>
    <w:p w14:paraId="17836BC5" w14:textId="77777777" w:rsidR="00A03AD4" w:rsidRDefault="00A03AD4" w:rsidP="00681014"/>
    <w:p w14:paraId="27CA25FB" w14:textId="77777777" w:rsidR="00681014" w:rsidRDefault="009A4F36" w:rsidP="00681014">
      <w:r>
        <w:t>P</w:t>
      </w:r>
      <w:r w:rsidR="00681014">
        <w:t>hysical habitat and hydrologic metrics are considered in this synthesis</w:t>
      </w:r>
      <w:r>
        <w:t xml:space="preserve"> as</w:t>
      </w:r>
      <w:r w:rsidR="00681014">
        <w:t xml:space="preserve"> “supporting lines,” understanding that </w:t>
      </w:r>
      <w:r>
        <w:t>expert judgment</w:t>
      </w:r>
      <w:r w:rsidR="00681014">
        <w:t xml:space="preserve"> must provide the </w:t>
      </w:r>
      <w:r>
        <w:t xml:space="preserve">basis for use of </w:t>
      </w:r>
      <w:r w:rsidR="00681014">
        <w:t>specific metrics and how they could be employed</w:t>
      </w:r>
      <w:r w:rsidR="00F956B3">
        <w:t xml:space="preserve"> within a watershed context</w:t>
      </w:r>
      <w:r w:rsidR="00681014">
        <w:t xml:space="preserve">. </w:t>
      </w:r>
    </w:p>
    <w:p w14:paraId="111FD79E" w14:textId="77777777" w:rsidR="00F156AF" w:rsidRDefault="00F156AF" w:rsidP="00F156AF">
      <w:pPr>
        <w:pStyle w:val="Heading3"/>
      </w:pPr>
      <w:bookmarkStart w:id="83" w:name="_Toc524697507"/>
      <w:bookmarkStart w:id="84" w:name="_Toc526505124"/>
      <w:bookmarkEnd w:id="81"/>
      <w:r>
        <w:t>2.</w:t>
      </w:r>
      <w:r w:rsidR="004226B5">
        <w:t>3</w:t>
      </w:r>
      <w:r>
        <w:t>.4 Other Biostimulatory Factors</w:t>
      </w:r>
      <w:bookmarkEnd w:id="83"/>
      <w:bookmarkEnd w:id="84"/>
    </w:p>
    <w:p w14:paraId="0D9F7C2D" w14:textId="686A4FFB" w:rsidR="00F156AF" w:rsidRDefault="00F156AF" w:rsidP="004226B5">
      <w:r>
        <w:t xml:space="preserve">Additional to the above-mentioned factors, several others may influence eutrophication, including grazing by higher trophic levels (Jassby 2008, Cloern et al </w:t>
      </w:r>
      <w:r w:rsidR="00BC13D9">
        <w:t>2011</w:t>
      </w:r>
      <w:r>
        <w:t xml:space="preserve">) and exposure to toxic compounds such as herbicides and pesticides. For example, substantial variability exists in sensitivity to herbicides among cyanobacteria compared with other phytoplankton such as green algae and diatoms (Peterson et al. 1997, Lurling and Roessink 2006), potentially leading to dominance by HAB species.  Herbicides or pesticides may depress growth or consumer grazing of algae or aquatic plants on site, but blooms may form downstream once the inhibitory effects of the chemicals have dissipated. </w:t>
      </w:r>
    </w:p>
    <w:p w14:paraId="3A6B9188" w14:textId="77777777" w:rsidR="00F156AF" w:rsidRDefault="00F156AF" w:rsidP="00F156AF">
      <w:pPr>
        <w:pStyle w:val="Heading3"/>
      </w:pPr>
      <w:bookmarkStart w:id="85" w:name="_Toc524697508"/>
      <w:bookmarkStart w:id="86" w:name="_Toc526505125"/>
      <w:r>
        <w:t>2.</w:t>
      </w:r>
      <w:r w:rsidR="004226B5">
        <w:t>3</w:t>
      </w:r>
      <w:r>
        <w:t>.5 Origins, Variability and Natural Background in Biostimulatory Substances and Drivers</w:t>
      </w:r>
      <w:bookmarkEnd w:id="85"/>
      <w:bookmarkEnd w:id="86"/>
    </w:p>
    <w:p w14:paraId="4BBAD750" w14:textId="77777777" w:rsidR="00F156AF" w:rsidRDefault="00F156AF" w:rsidP="004226B5">
      <w:r>
        <w:t>Biostimulatory drivers can be local, regional or global in origin, with high temporal and spatial variability, and some component of natural background forcing that can contribute to eutrophication symptoms.</w:t>
      </w:r>
      <w:r>
        <w:rPr>
          <w:i/>
        </w:rPr>
        <w:t xml:space="preserve"> </w:t>
      </w:r>
      <w:r>
        <w:t xml:space="preserve">Biostimulatory drivers can be </w:t>
      </w:r>
      <w:r>
        <w:rPr>
          <w:i/>
        </w:rPr>
        <w:t>in situ</w:t>
      </w:r>
      <w:r>
        <w:t xml:space="preserve"> (e.g. sediment benthic flux of nutrients, legacy organic matter), upstream sources or within the hydrological basin or watershed (e.g. nutrient inputs, organic matter loading scoured from upstream algal blooms, regional (e.g. atmospheric deposition), or global (elevated CO2, temperature from global).  Biostimulatory drivers can be temporally and spatially variable, driven by factors such as complexity of land use within a watershed, climate forcing, and watershed and coastal hydrodynamics.  Natural background conditions (e.g. geology, headwater springs) can produce locally-elevated nutrient concentrations or biostimulatory conditions that should be considered in the synthesis of biostimulatory drivers within a watershed.  Climate events such as drought, fires, flood events, etc.  can dramatically change biostimulatory conditions within a watershed for extended periods. Such natural background and event-driven biostimulatory conditions should be considered when developing </w:t>
      </w:r>
      <w:r w:rsidR="004226B5">
        <w:t xml:space="preserve">and </w:t>
      </w:r>
      <w:r>
        <w:t xml:space="preserve">establishing compliance for biostimulatory targets.  </w:t>
      </w:r>
    </w:p>
    <w:p w14:paraId="59E2E7C9" w14:textId="77777777" w:rsidR="00946AEB" w:rsidRDefault="002162CF" w:rsidP="00812192">
      <w:pPr>
        <w:pStyle w:val="Heading2"/>
      </w:pPr>
      <w:bookmarkStart w:id="87" w:name="_Toc526505126"/>
      <w:r>
        <w:t>2.</w:t>
      </w:r>
      <w:r w:rsidR="00B94EC5">
        <w:t>4</w:t>
      </w:r>
      <w:r>
        <w:t xml:space="preserve"> Summary of Review of Indicators for </w:t>
      </w:r>
      <w:r w:rsidR="00812192">
        <w:t xml:space="preserve">Use in </w:t>
      </w:r>
      <w:r>
        <w:t>Wadeable Streams</w:t>
      </w:r>
      <w:r w:rsidR="00812192">
        <w:t xml:space="preserve"> Biostimulatory Assessment</w:t>
      </w:r>
      <w:bookmarkEnd w:id="87"/>
    </w:p>
    <w:p w14:paraId="70E2EE0C" w14:textId="77777777" w:rsidR="00812192" w:rsidRDefault="00812192">
      <w:pPr>
        <w:spacing w:after="0" w:line="240" w:lineRule="auto"/>
      </w:pPr>
    </w:p>
    <w:p w14:paraId="4CD32F01" w14:textId="4E38F1C1" w:rsidR="00681014" w:rsidRDefault="005106F4" w:rsidP="009E7282">
      <w:r>
        <w:t>wadeable</w:t>
      </w:r>
      <w:r w:rsidR="00F956B3">
        <w:t xml:space="preserve"> streams eutrophication c</w:t>
      </w:r>
      <w:r w:rsidR="00681014">
        <w:t xml:space="preserve">onceptual models and review of the scientific basis for assessment yielded a suite of indicators that can be used to diagnose biostimulatory impacts. </w:t>
      </w:r>
      <w:r w:rsidR="00F956B3">
        <w:t>Respon</w:t>
      </w:r>
      <w:r w:rsidR="009E7282">
        <w:t>se</w:t>
      </w:r>
      <w:r w:rsidR="00F956B3">
        <w:t xml:space="preserve"> indicators were reviewed on the basis for whether they: 1) had a strong linkage to beneficial uses, 2) had a strong eutrophication signal: noise ratio, 3) were cost effective and were in widespread implementation, 4) could be modeled to link with biostimulatory drivers, and 5) have a scientific basis for the establishment of thresholds. </w:t>
      </w:r>
      <w:r w:rsidR="009E7282">
        <w:t xml:space="preserve">Nutrients </w:t>
      </w:r>
      <w:r w:rsidR="00A707A9">
        <w:t>are</w:t>
      </w:r>
      <w:r w:rsidR="009E7282">
        <w:t xml:space="preserve"> a primary line because of their strong linkage to aquatic life </w:t>
      </w:r>
      <w:r w:rsidR="00A707A9">
        <w:t>(</w:t>
      </w:r>
      <w:r w:rsidR="009E7282">
        <w:t xml:space="preserve">Mazor et al. </w:t>
      </w:r>
      <w:r w:rsidR="00B531BB">
        <w:t xml:space="preserve">in prep). </w:t>
      </w:r>
      <w:r w:rsidR="00F956B3">
        <w:t>Table 2.10 summarizes the indicators that are prioritized for synthesis of thresholds that can serve as the basis for numeric guidance</w:t>
      </w:r>
      <w:r w:rsidR="009E7282">
        <w:t xml:space="preserve"> (Section 3)</w:t>
      </w:r>
      <w:r w:rsidR="00F956B3">
        <w:t xml:space="preserve">. Exclusion from this table does not imply that scientific evidence </w:t>
      </w:r>
      <w:r w:rsidR="00E6310D">
        <w:t xml:space="preserve">of eutrophication based on other indicators cannot be used in the assessment or prevention of biostimulatory impacts. </w:t>
      </w:r>
    </w:p>
    <w:p w14:paraId="5CBF21E3" w14:textId="77777777" w:rsidR="00E6310D" w:rsidRDefault="00E6310D" w:rsidP="009E7282">
      <w:r>
        <w:br w:type="page"/>
      </w:r>
    </w:p>
    <w:p w14:paraId="2B83EA37" w14:textId="77777777" w:rsidR="002162CF" w:rsidRDefault="002162CF" w:rsidP="002162CF">
      <w:pPr>
        <w:pStyle w:val="TOT"/>
      </w:pPr>
      <w:bookmarkStart w:id="88" w:name="_Toc526489915"/>
      <w:r w:rsidRPr="0050502C">
        <w:t xml:space="preserve">Table </w:t>
      </w:r>
      <w:r w:rsidR="00515DED">
        <w:t>2.</w:t>
      </w:r>
      <w:r w:rsidR="000036FB">
        <w:t>10</w:t>
      </w:r>
      <w:r w:rsidRPr="0050502C">
        <w:t xml:space="preserve">.  </w:t>
      </w:r>
      <w:r w:rsidR="003117A2">
        <w:t xml:space="preserve">Summary of </w:t>
      </w:r>
      <w:r w:rsidR="00625A98">
        <w:t xml:space="preserve">wadeable streams biostimulatory </w:t>
      </w:r>
      <w:r w:rsidR="003117A2">
        <w:t xml:space="preserve">indicators </w:t>
      </w:r>
      <w:r w:rsidR="002771C3">
        <w:t>recommended for use in wadeable streams biostimulatory assessment</w:t>
      </w:r>
      <w:r w:rsidR="00625A98">
        <w:t xml:space="preserve">. Absence from list does not imply </w:t>
      </w:r>
      <w:r w:rsidR="002771C3">
        <w:t xml:space="preserve">that other indicators cannot be used, </w:t>
      </w:r>
      <w:r w:rsidR="00333460">
        <w:t>based on expert judgment on a watershed basis</w:t>
      </w:r>
      <w:r w:rsidR="00625A98">
        <w:t xml:space="preserve">. </w:t>
      </w:r>
      <w:r w:rsidR="003117A2">
        <w:t>Beneficial use (BU) type refers to major pathway of impact to aquatic life (AL) related uses or to human (H) uses.</w:t>
      </w:r>
      <w:bookmarkEnd w:id="88"/>
      <w:r w:rsidR="003117A2">
        <w:t xml:space="preserve"> </w:t>
      </w:r>
    </w:p>
    <w:tbl>
      <w:tblPr>
        <w:tblW w:w="7200" w:type="dxa"/>
        <w:tblInd w:w="90" w:type="dxa"/>
        <w:tblBorders>
          <w:top w:val="single" w:sz="12" w:space="0" w:color="auto"/>
          <w:bottom w:val="single" w:sz="12" w:space="0" w:color="auto"/>
        </w:tblBorders>
        <w:tblLayout w:type="fixed"/>
        <w:tblCellMar>
          <w:top w:w="14" w:type="dxa"/>
          <w:left w:w="72" w:type="dxa"/>
          <w:bottom w:w="14" w:type="dxa"/>
          <w:right w:w="72" w:type="dxa"/>
        </w:tblCellMar>
        <w:tblLook w:val="00A0" w:firstRow="1" w:lastRow="0" w:firstColumn="1" w:lastColumn="0" w:noHBand="0" w:noVBand="0"/>
      </w:tblPr>
      <w:tblGrid>
        <w:gridCol w:w="4680"/>
        <w:gridCol w:w="1260"/>
        <w:gridCol w:w="1260"/>
      </w:tblGrid>
      <w:tr w:rsidR="00870DCF" w:rsidRPr="008A0924" w14:paraId="3BFE25CF" w14:textId="77777777" w:rsidTr="00870DCF">
        <w:trPr>
          <w:tblHeader/>
        </w:trPr>
        <w:tc>
          <w:tcPr>
            <w:tcW w:w="4680" w:type="dxa"/>
            <w:tcBorders>
              <w:top w:val="single" w:sz="4" w:space="0" w:color="auto"/>
              <w:bottom w:val="single" w:sz="4" w:space="0" w:color="auto"/>
            </w:tcBorders>
            <w:shd w:val="clear" w:color="000080" w:fill="auto"/>
            <w:vAlign w:val="center"/>
          </w:tcPr>
          <w:p w14:paraId="7EBD1745" w14:textId="77777777" w:rsidR="00870DCF" w:rsidRPr="008A0924" w:rsidRDefault="00870DCF" w:rsidP="00812192">
            <w:pPr>
              <w:pStyle w:val="TableHeading"/>
              <w:spacing w:before="40" w:after="40"/>
              <w:jc w:val="left"/>
            </w:pPr>
            <w:r>
              <w:t xml:space="preserve"> Indicator</w:t>
            </w:r>
          </w:p>
        </w:tc>
        <w:tc>
          <w:tcPr>
            <w:tcW w:w="1260" w:type="dxa"/>
            <w:tcBorders>
              <w:top w:val="single" w:sz="4" w:space="0" w:color="auto"/>
              <w:bottom w:val="single" w:sz="4" w:space="0" w:color="auto"/>
            </w:tcBorders>
            <w:shd w:val="clear" w:color="000080" w:fill="auto"/>
          </w:tcPr>
          <w:p w14:paraId="3732A35C" w14:textId="77777777" w:rsidR="00870DCF" w:rsidRDefault="00870DCF" w:rsidP="00812192">
            <w:pPr>
              <w:pStyle w:val="TableHeading"/>
              <w:spacing w:before="40" w:after="40"/>
            </w:pPr>
            <w:r>
              <w:t>Designation</w:t>
            </w:r>
          </w:p>
        </w:tc>
        <w:tc>
          <w:tcPr>
            <w:tcW w:w="1260" w:type="dxa"/>
            <w:tcBorders>
              <w:top w:val="single" w:sz="4" w:space="0" w:color="auto"/>
              <w:bottom w:val="single" w:sz="4" w:space="0" w:color="auto"/>
            </w:tcBorders>
            <w:shd w:val="clear" w:color="000080" w:fill="auto"/>
          </w:tcPr>
          <w:p w14:paraId="2CB1CC7A" w14:textId="77777777" w:rsidR="00870DCF" w:rsidRDefault="00870DCF" w:rsidP="00812192">
            <w:pPr>
              <w:pStyle w:val="TableHeading"/>
              <w:spacing w:before="40" w:after="40"/>
            </w:pPr>
            <w:r>
              <w:t>BU Type</w:t>
            </w:r>
          </w:p>
        </w:tc>
      </w:tr>
      <w:tr w:rsidR="00870DCF" w:rsidRPr="008A0924" w14:paraId="2D562240" w14:textId="77777777" w:rsidTr="00870DCF">
        <w:tc>
          <w:tcPr>
            <w:tcW w:w="4680" w:type="dxa"/>
            <w:tcBorders>
              <w:top w:val="single" w:sz="4" w:space="0" w:color="auto"/>
            </w:tcBorders>
            <w:vAlign w:val="center"/>
          </w:tcPr>
          <w:p w14:paraId="1FFD4699" w14:textId="77777777" w:rsidR="00870DCF" w:rsidRDefault="00870DCF" w:rsidP="00870DCF">
            <w:pPr>
              <w:pStyle w:val="TableText0"/>
              <w:spacing w:before="40" w:after="40"/>
              <w:ind w:left="14"/>
            </w:pPr>
            <w:r>
              <w:t>Organic matter accumulation</w:t>
            </w:r>
          </w:p>
        </w:tc>
        <w:tc>
          <w:tcPr>
            <w:tcW w:w="1260" w:type="dxa"/>
            <w:tcBorders>
              <w:top w:val="single" w:sz="4" w:space="0" w:color="auto"/>
            </w:tcBorders>
          </w:tcPr>
          <w:p w14:paraId="528A3199" w14:textId="77777777" w:rsidR="00870DCF" w:rsidRDefault="00870DCF" w:rsidP="00812192">
            <w:pPr>
              <w:pStyle w:val="TableText0"/>
              <w:spacing w:before="40" w:after="40"/>
              <w:jc w:val="center"/>
              <w:rPr>
                <w:b/>
              </w:rPr>
            </w:pPr>
          </w:p>
        </w:tc>
        <w:tc>
          <w:tcPr>
            <w:tcW w:w="1260" w:type="dxa"/>
            <w:tcBorders>
              <w:top w:val="single" w:sz="4" w:space="0" w:color="auto"/>
            </w:tcBorders>
          </w:tcPr>
          <w:p w14:paraId="1A9DA881" w14:textId="77777777" w:rsidR="00870DCF" w:rsidRDefault="00870DCF" w:rsidP="00812192">
            <w:pPr>
              <w:pStyle w:val="TableText0"/>
              <w:spacing w:before="40" w:after="40"/>
              <w:jc w:val="center"/>
              <w:rPr>
                <w:b/>
              </w:rPr>
            </w:pPr>
          </w:p>
        </w:tc>
      </w:tr>
      <w:tr w:rsidR="00870DCF" w:rsidRPr="008A0924" w14:paraId="52B3B7EA" w14:textId="77777777" w:rsidTr="00870DCF">
        <w:tc>
          <w:tcPr>
            <w:tcW w:w="4680" w:type="dxa"/>
            <w:tcBorders>
              <w:top w:val="single" w:sz="4" w:space="0" w:color="auto"/>
            </w:tcBorders>
            <w:vAlign w:val="center"/>
          </w:tcPr>
          <w:p w14:paraId="5C6CAC5E" w14:textId="77777777" w:rsidR="00870DCF" w:rsidRDefault="00870DCF" w:rsidP="00812192">
            <w:pPr>
              <w:pStyle w:val="TableText0"/>
              <w:spacing w:before="40" w:after="40"/>
              <w:ind w:left="285"/>
            </w:pPr>
            <w:r>
              <w:t xml:space="preserve">Benthic algal biomass (benthic chl-a) </w:t>
            </w:r>
          </w:p>
        </w:tc>
        <w:tc>
          <w:tcPr>
            <w:tcW w:w="1260" w:type="dxa"/>
            <w:tcBorders>
              <w:top w:val="single" w:sz="4" w:space="0" w:color="auto"/>
            </w:tcBorders>
          </w:tcPr>
          <w:p w14:paraId="501D780D" w14:textId="77777777" w:rsidR="00870DCF" w:rsidRPr="00870DCF" w:rsidRDefault="00870DCF" w:rsidP="00812192">
            <w:pPr>
              <w:pStyle w:val="TableText0"/>
              <w:spacing w:before="40" w:after="40"/>
              <w:jc w:val="center"/>
            </w:pPr>
            <w:r w:rsidRPr="00870DCF">
              <w:t>Primary</w:t>
            </w:r>
          </w:p>
        </w:tc>
        <w:tc>
          <w:tcPr>
            <w:tcW w:w="1260" w:type="dxa"/>
            <w:tcBorders>
              <w:top w:val="single" w:sz="4" w:space="0" w:color="auto"/>
            </w:tcBorders>
          </w:tcPr>
          <w:p w14:paraId="159365C3" w14:textId="77777777" w:rsidR="00870DCF" w:rsidRPr="00870DCF" w:rsidRDefault="00870DCF" w:rsidP="00812192">
            <w:pPr>
              <w:pStyle w:val="TableText0"/>
              <w:spacing w:before="40" w:after="40"/>
              <w:jc w:val="center"/>
            </w:pPr>
            <w:r w:rsidRPr="00870DCF">
              <w:t>AL, H</w:t>
            </w:r>
          </w:p>
        </w:tc>
      </w:tr>
      <w:tr w:rsidR="00870DCF" w:rsidRPr="008A0924" w14:paraId="04EDFCD3" w14:textId="77777777" w:rsidTr="00870DCF">
        <w:tc>
          <w:tcPr>
            <w:tcW w:w="4680" w:type="dxa"/>
            <w:tcBorders>
              <w:top w:val="single" w:sz="4" w:space="0" w:color="auto"/>
            </w:tcBorders>
            <w:vAlign w:val="center"/>
          </w:tcPr>
          <w:p w14:paraId="53A37030" w14:textId="77777777" w:rsidR="00870DCF" w:rsidRDefault="00870DCF" w:rsidP="00812192">
            <w:pPr>
              <w:pStyle w:val="TableText0"/>
              <w:spacing w:before="40" w:after="40"/>
              <w:ind w:left="285"/>
            </w:pPr>
            <w:r>
              <w:t>Water column all biomass (water column chl-a)</w:t>
            </w:r>
          </w:p>
        </w:tc>
        <w:tc>
          <w:tcPr>
            <w:tcW w:w="1260" w:type="dxa"/>
            <w:tcBorders>
              <w:top w:val="single" w:sz="4" w:space="0" w:color="auto"/>
            </w:tcBorders>
          </w:tcPr>
          <w:p w14:paraId="4013B5A8" w14:textId="77777777" w:rsidR="00870DCF" w:rsidRPr="00870DCF" w:rsidRDefault="00870DCF" w:rsidP="00812192">
            <w:pPr>
              <w:pStyle w:val="TableText0"/>
              <w:spacing w:before="40" w:after="40"/>
              <w:jc w:val="center"/>
            </w:pPr>
            <w:r w:rsidRPr="00870DCF">
              <w:t>Primary</w:t>
            </w:r>
          </w:p>
        </w:tc>
        <w:tc>
          <w:tcPr>
            <w:tcW w:w="1260" w:type="dxa"/>
            <w:tcBorders>
              <w:top w:val="single" w:sz="4" w:space="0" w:color="auto"/>
            </w:tcBorders>
          </w:tcPr>
          <w:p w14:paraId="4F2CCE2A" w14:textId="77777777" w:rsidR="00870DCF" w:rsidRPr="00870DCF" w:rsidRDefault="00870DCF" w:rsidP="00812192">
            <w:pPr>
              <w:pStyle w:val="TableText0"/>
              <w:spacing w:before="40" w:after="40"/>
              <w:jc w:val="center"/>
            </w:pPr>
            <w:r w:rsidRPr="00870DCF">
              <w:t>AL, H</w:t>
            </w:r>
          </w:p>
        </w:tc>
      </w:tr>
      <w:tr w:rsidR="00681014" w:rsidRPr="008A0924" w14:paraId="46B8B698" w14:textId="77777777" w:rsidTr="00870DCF">
        <w:tc>
          <w:tcPr>
            <w:tcW w:w="4680" w:type="dxa"/>
            <w:tcBorders>
              <w:top w:val="single" w:sz="4" w:space="0" w:color="auto"/>
            </w:tcBorders>
            <w:vAlign w:val="center"/>
          </w:tcPr>
          <w:p w14:paraId="3908DCC8" w14:textId="77777777" w:rsidR="00681014" w:rsidRDefault="00681014" w:rsidP="00812192">
            <w:pPr>
              <w:pStyle w:val="TableText0"/>
              <w:spacing w:before="40" w:after="40"/>
              <w:ind w:left="285"/>
            </w:pPr>
            <w:r>
              <w:t xml:space="preserve">Benthic or floating macroalgal percent cover </w:t>
            </w:r>
          </w:p>
        </w:tc>
        <w:tc>
          <w:tcPr>
            <w:tcW w:w="1260" w:type="dxa"/>
            <w:tcBorders>
              <w:top w:val="single" w:sz="4" w:space="0" w:color="auto"/>
            </w:tcBorders>
          </w:tcPr>
          <w:p w14:paraId="240AABFD" w14:textId="77777777" w:rsidR="00681014" w:rsidRPr="00870DCF" w:rsidRDefault="00EA6740" w:rsidP="00812192">
            <w:pPr>
              <w:pStyle w:val="TableText0"/>
              <w:spacing w:before="40" w:after="40"/>
              <w:jc w:val="center"/>
            </w:pPr>
            <w:r>
              <w:t>Primary</w:t>
            </w:r>
          </w:p>
        </w:tc>
        <w:tc>
          <w:tcPr>
            <w:tcW w:w="1260" w:type="dxa"/>
            <w:tcBorders>
              <w:top w:val="single" w:sz="4" w:space="0" w:color="auto"/>
            </w:tcBorders>
          </w:tcPr>
          <w:p w14:paraId="4874DFC0" w14:textId="77777777" w:rsidR="00681014" w:rsidRPr="00870DCF" w:rsidRDefault="00681014" w:rsidP="00812192">
            <w:pPr>
              <w:pStyle w:val="TableText0"/>
              <w:spacing w:before="40" w:after="40"/>
              <w:jc w:val="center"/>
            </w:pPr>
            <w:r w:rsidRPr="00870DCF">
              <w:t>H</w:t>
            </w:r>
          </w:p>
        </w:tc>
      </w:tr>
      <w:tr w:rsidR="00870DCF" w:rsidRPr="008A0924" w14:paraId="569C6C92" w14:textId="77777777" w:rsidTr="00870DCF">
        <w:tc>
          <w:tcPr>
            <w:tcW w:w="4680" w:type="dxa"/>
            <w:tcBorders>
              <w:top w:val="single" w:sz="4" w:space="0" w:color="auto"/>
            </w:tcBorders>
            <w:vAlign w:val="center"/>
          </w:tcPr>
          <w:p w14:paraId="3741CA00" w14:textId="77777777" w:rsidR="00870DCF" w:rsidRDefault="00870DCF" w:rsidP="00812192">
            <w:pPr>
              <w:pStyle w:val="TableText0"/>
              <w:spacing w:before="40" w:after="40"/>
              <w:ind w:left="285"/>
            </w:pPr>
            <w:r>
              <w:t xml:space="preserve">Benthic AFDM </w:t>
            </w:r>
          </w:p>
        </w:tc>
        <w:tc>
          <w:tcPr>
            <w:tcW w:w="1260" w:type="dxa"/>
            <w:tcBorders>
              <w:top w:val="single" w:sz="4" w:space="0" w:color="auto"/>
            </w:tcBorders>
          </w:tcPr>
          <w:p w14:paraId="71EF213D" w14:textId="77777777" w:rsidR="00870DCF" w:rsidRPr="00870DCF" w:rsidRDefault="00870DCF" w:rsidP="00812192">
            <w:pPr>
              <w:pStyle w:val="TableText0"/>
              <w:spacing w:before="40" w:after="40"/>
              <w:jc w:val="center"/>
            </w:pPr>
            <w:r w:rsidRPr="00870DCF">
              <w:t>Primary</w:t>
            </w:r>
          </w:p>
        </w:tc>
        <w:tc>
          <w:tcPr>
            <w:tcW w:w="1260" w:type="dxa"/>
            <w:tcBorders>
              <w:top w:val="single" w:sz="4" w:space="0" w:color="auto"/>
            </w:tcBorders>
          </w:tcPr>
          <w:p w14:paraId="7DDB06AF" w14:textId="77777777" w:rsidR="00870DCF" w:rsidRPr="00870DCF" w:rsidRDefault="00870DCF" w:rsidP="00812192">
            <w:pPr>
              <w:pStyle w:val="TableText0"/>
              <w:spacing w:before="40" w:after="40"/>
              <w:jc w:val="center"/>
            </w:pPr>
            <w:r w:rsidRPr="00870DCF">
              <w:t>AL</w:t>
            </w:r>
          </w:p>
        </w:tc>
      </w:tr>
      <w:tr w:rsidR="00870DCF" w:rsidRPr="008A0924" w14:paraId="73A840FA" w14:textId="77777777" w:rsidTr="00870DCF">
        <w:tc>
          <w:tcPr>
            <w:tcW w:w="4680" w:type="dxa"/>
            <w:tcBorders>
              <w:top w:val="single" w:sz="4" w:space="0" w:color="auto"/>
            </w:tcBorders>
            <w:vAlign w:val="center"/>
          </w:tcPr>
          <w:p w14:paraId="49FE06C3" w14:textId="77777777" w:rsidR="00870DCF" w:rsidRDefault="00870DCF" w:rsidP="00870DCF">
            <w:pPr>
              <w:pStyle w:val="TableText0"/>
              <w:spacing w:before="40" w:after="40"/>
              <w:ind w:firstLine="14"/>
            </w:pPr>
            <w:r>
              <w:t>Water column or benthic chemistry</w:t>
            </w:r>
          </w:p>
        </w:tc>
        <w:tc>
          <w:tcPr>
            <w:tcW w:w="1260" w:type="dxa"/>
            <w:tcBorders>
              <w:top w:val="single" w:sz="4" w:space="0" w:color="auto"/>
            </w:tcBorders>
          </w:tcPr>
          <w:p w14:paraId="31564BFF" w14:textId="77777777" w:rsidR="00870DCF" w:rsidRPr="00870DCF" w:rsidRDefault="00870DCF" w:rsidP="00812192">
            <w:pPr>
              <w:pStyle w:val="TableText0"/>
              <w:spacing w:before="40" w:after="40"/>
              <w:jc w:val="center"/>
            </w:pPr>
          </w:p>
        </w:tc>
        <w:tc>
          <w:tcPr>
            <w:tcW w:w="1260" w:type="dxa"/>
            <w:tcBorders>
              <w:top w:val="single" w:sz="4" w:space="0" w:color="auto"/>
            </w:tcBorders>
          </w:tcPr>
          <w:p w14:paraId="56AE315A" w14:textId="77777777" w:rsidR="00870DCF" w:rsidRPr="00870DCF" w:rsidRDefault="00870DCF" w:rsidP="00812192">
            <w:pPr>
              <w:pStyle w:val="TableText0"/>
              <w:spacing w:before="40" w:after="40"/>
              <w:jc w:val="center"/>
            </w:pPr>
          </w:p>
        </w:tc>
      </w:tr>
      <w:tr w:rsidR="00870DCF" w:rsidRPr="008A0924" w14:paraId="5BB67A73" w14:textId="77777777" w:rsidTr="00870DCF">
        <w:tc>
          <w:tcPr>
            <w:tcW w:w="4680" w:type="dxa"/>
            <w:tcBorders>
              <w:top w:val="single" w:sz="4" w:space="0" w:color="auto"/>
            </w:tcBorders>
            <w:vAlign w:val="center"/>
          </w:tcPr>
          <w:p w14:paraId="18D1BD9E" w14:textId="77777777" w:rsidR="00870DCF" w:rsidRDefault="00870DCF" w:rsidP="00812192">
            <w:pPr>
              <w:pStyle w:val="TableText0"/>
              <w:spacing w:before="40" w:after="40"/>
              <w:ind w:left="285"/>
            </w:pPr>
            <w:r>
              <w:t xml:space="preserve">Continuous DO </w:t>
            </w:r>
            <w:r w:rsidR="00D45114">
              <w:t>and pH</w:t>
            </w:r>
          </w:p>
        </w:tc>
        <w:tc>
          <w:tcPr>
            <w:tcW w:w="1260" w:type="dxa"/>
            <w:tcBorders>
              <w:top w:val="single" w:sz="4" w:space="0" w:color="auto"/>
            </w:tcBorders>
          </w:tcPr>
          <w:p w14:paraId="4164278C" w14:textId="77777777" w:rsidR="00870DCF" w:rsidRPr="00870DCF" w:rsidRDefault="00870DCF" w:rsidP="00812192">
            <w:pPr>
              <w:pStyle w:val="TableText0"/>
              <w:spacing w:before="40" w:after="40"/>
              <w:jc w:val="center"/>
            </w:pPr>
            <w:r w:rsidRPr="00870DCF">
              <w:t>Primary</w:t>
            </w:r>
          </w:p>
        </w:tc>
        <w:tc>
          <w:tcPr>
            <w:tcW w:w="1260" w:type="dxa"/>
            <w:tcBorders>
              <w:top w:val="single" w:sz="4" w:space="0" w:color="auto"/>
            </w:tcBorders>
          </w:tcPr>
          <w:p w14:paraId="3A4DF4D6" w14:textId="77777777" w:rsidR="00870DCF" w:rsidRPr="00870DCF" w:rsidRDefault="00870DCF" w:rsidP="00812192">
            <w:pPr>
              <w:pStyle w:val="TableText0"/>
              <w:spacing w:before="40" w:after="40"/>
              <w:jc w:val="center"/>
            </w:pPr>
            <w:r w:rsidRPr="00870DCF">
              <w:t>AL</w:t>
            </w:r>
          </w:p>
        </w:tc>
      </w:tr>
      <w:tr w:rsidR="00870DCF" w:rsidRPr="008A0924" w14:paraId="5C17534A" w14:textId="77777777" w:rsidTr="00870DCF">
        <w:tc>
          <w:tcPr>
            <w:tcW w:w="4680" w:type="dxa"/>
            <w:tcBorders>
              <w:top w:val="single" w:sz="4" w:space="0" w:color="000000" w:themeColor="text1"/>
              <w:bottom w:val="single" w:sz="4" w:space="0" w:color="000000" w:themeColor="text1"/>
            </w:tcBorders>
            <w:vAlign w:val="center"/>
          </w:tcPr>
          <w:p w14:paraId="02847D46" w14:textId="77777777" w:rsidR="00870DCF" w:rsidRDefault="00870DCF" w:rsidP="00812192">
            <w:pPr>
              <w:pStyle w:val="TableText0"/>
              <w:spacing w:before="40" w:after="40"/>
              <w:ind w:left="285"/>
            </w:pPr>
            <w:r>
              <w:t>DO Diel range</w:t>
            </w:r>
          </w:p>
        </w:tc>
        <w:tc>
          <w:tcPr>
            <w:tcW w:w="1260" w:type="dxa"/>
            <w:tcBorders>
              <w:top w:val="single" w:sz="4" w:space="0" w:color="000000" w:themeColor="text1"/>
              <w:bottom w:val="single" w:sz="4" w:space="0" w:color="000000" w:themeColor="text1"/>
            </w:tcBorders>
          </w:tcPr>
          <w:p w14:paraId="2FC6A4B2" w14:textId="77777777" w:rsidR="00870DCF" w:rsidRPr="00870DCF" w:rsidRDefault="00870DCF" w:rsidP="00812192">
            <w:pPr>
              <w:pStyle w:val="TableText0"/>
              <w:spacing w:before="40" w:after="40"/>
              <w:jc w:val="center"/>
            </w:pPr>
            <w:r w:rsidRPr="00870DCF">
              <w:t>Primary</w:t>
            </w:r>
          </w:p>
        </w:tc>
        <w:tc>
          <w:tcPr>
            <w:tcW w:w="1260" w:type="dxa"/>
            <w:tcBorders>
              <w:top w:val="single" w:sz="4" w:space="0" w:color="000000" w:themeColor="text1"/>
              <w:bottom w:val="single" w:sz="4" w:space="0" w:color="000000" w:themeColor="text1"/>
            </w:tcBorders>
          </w:tcPr>
          <w:p w14:paraId="72A91854" w14:textId="77777777" w:rsidR="00870DCF" w:rsidRPr="00870DCF" w:rsidRDefault="00870DCF" w:rsidP="00812192">
            <w:pPr>
              <w:pStyle w:val="TableText0"/>
              <w:spacing w:before="40" w:after="40"/>
              <w:jc w:val="center"/>
            </w:pPr>
            <w:r w:rsidRPr="00870DCF">
              <w:t>AL</w:t>
            </w:r>
          </w:p>
        </w:tc>
      </w:tr>
      <w:tr w:rsidR="00D45114" w:rsidRPr="008A0924" w14:paraId="375AEC80" w14:textId="77777777" w:rsidTr="00870DCF">
        <w:tc>
          <w:tcPr>
            <w:tcW w:w="4680" w:type="dxa"/>
            <w:tcBorders>
              <w:top w:val="single" w:sz="4" w:space="0" w:color="000000" w:themeColor="text1"/>
              <w:bottom w:val="single" w:sz="4" w:space="0" w:color="000000" w:themeColor="text1"/>
            </w:tcBorders>
            <w:vAlign w:val="center"/>
          </w:tcPr>
          <w:p w14:paraId="05E312A1" w14:textId="77777777" w:rsidR="00D45114" w:rsidRDefault="00D45114" w:rsidP="00812192">
            <w:pPr>
              <w:pStyle w:val="TableText0"/>
              <w:spacing w:before="40" w:after="40"/>
              <w:ind w:left="285"/>
            </w:pPr>
            <w:r>
              <w:t>GPP</w:t>
            </w:r>
          </w:p>
        </w:tc>
        <w:tc>
          <w:tcPr>
            <w:tcW w:w="1260" w:type="dxa"/>
            <w:tcBorders>
              <w:top w:val="single" w:sz="4" w:space="0" w:color="000000" w:themeColor="text1"/>
              <w:bottom w:val="single" w:sz="4" w:space="0" w:color="000000" w:themeColor="text1"/>
            </w:tcBorders>
          </w:tcPr>
          <w:p w14:paraId="734E6EAC" w14:textId="77777777" w:rsidR="00D45114" w:rsidRPr="00870DCF" w:rsidRDefault="00D45114" w:rsidP="00812192">
            <w:pPr>
              <w:pStyle w:val="TableText0"/>
              <w:spacing w:before="40" w:after="40"/>
              <w:jc w:val="center"/>
            </w:pPr>
            <w:r>
              <w:t>Supporting</w:t>
            </w:r>
          </w:p>
        </w:tc>
        <w:tc>
          <w:tcPr>
            <w:tcW w:w="1260" w:type="dxa"/>
            <w:tcBorders>
              <w:top w:val="single" w:sz="4" w:space="0" w:color="000000" w:themeColor="text1"/>
              <w:bottom w:val="single" w:sz="4" w:space="0" w:color="000000" w:themeColor="text1"/>
            </w:tcBorders>
          </w:tcPr>
          <w:p w14:paraId="22F8A191" w14:textId="77777777" w:rsidR="00D45114" w:rsidRPr="00870DCF" w:rsidRDefault="00D45114" w:rsidP="00812192">
            <w:pPr>
              <w:pStyle w:val="TableText0"/>
              <w:spacing w:before="40" w:after="40"/>
              <w:jc w:val="center"/>
            </w:pPr>
            <w:r>
              <w:t>AL</w:t>
            </w:r>
          </w:p>
        </w:tc>
      </w:tr>
      <w:tr w:rsidR="00870DCF" w:rsidRPr="008A0924" w14:paraId="7DDA1F2D" w14:textId="77777777" w:rsidTr="00870DCF">
        <w:tc>
          <w:tcPr>
            <w:tcW w:w="4680" w:type="dxa"/>
            <w:tcBorders>
              <w:top w:val="single" w:sz="4" w:space="0" w:color="000000" w:themeColor="text1"/>
              <w:bottom w:val="single" w:sz="4" w:space="0" w:color="000000" w:themeColor="text1"/>
            </w:tcBorders>
            <w:vAlign w:val="center"/>
          </w:tcPr>
          <w:p w14:paraId="362FC683" w14:textId="77777777" w:rsidR="00870DCF" w:rsidRDefault="00870DCF" w:rsidP="00812192">
            <w:pPr>
              <w:pStyle w:val="TableText0"/>
              <w:spacing w:before="40" w:after="40"/>
              <w:ind w:left="285"/>
            </w:pPr>
            <w:r>
              <w:t>Dissolved organic carbon, trihalomethane</w:t>
            </w:r>
          </w:p>
        </w:tc>
        <w:tc>
          <w:tcPr>
            <w:tcW w:w="1260" w:type="dxa"/>
            <w:tcBorders>
              <w:top w:val="single" w:sz="4" w:space="0" w:color="000000" w:themeColor="text1"/>
              <w:bottom w:val="single" w:sz="4" w:space="0" w:color="000000" w:themeColor="text1"/>
            </w:tcBorders>
          </w:tcPr>
          <w:p w14:paraId="61DF6B86" w14:textId="77777777" w:rsidR="00870DCF" w:rsidRPr="00870DCF" w:rsidRDefault="00870DCF" w:rsidP="00812192">
            <w:pPr>
              <w:pStyle w:val="TableText0"/>
              <w:spacing w:before="40" w:after="40"/>
              <w:jc w:val="center"/>
            </w:pPr>
            <w:r w:rsidRPr="00870DCF">
              <w:t>Supporting</w:t>
            </w:r>
          </w:p>
        </w:tc>
        <w:tc>
          <w:tcPr>
            <w:tcW w:w="1260" w:type="dxa"/>
            <w:tcBorders>
              <w:top w:val="single" w:sz="4" w:space="0" w:color="000000" w:themeColor="text1"/>
              <w:bottom w:val="single" w:sz="4" w:space="0" w:color="000000" w:themeColor="text1"/>
            </w:tcBorders>
          </w:tcPr>
          <w:p w14:paraId="532CEF03" w14:textId="77777777" w:rsidR="00870DCF" w:rsidRPr="00870DCF" w:rsidRDefault="00870DCF" w:rsidP="00812192">
            <w:pPr>
              <w:pStyle w:val="TableText0"/>
              <w:spacing w:before="40" w:after="40"/>
              <w:jc w:val="center"/>
            </w:pPr>
            <w:r w:rsidRPr="00870DCF">
              <w:t>H</w:t>
            </w:r>
          </w:p>
        </w:tc>
      </w:tr>
      <w:tr w:rsidR="00870DCF" w:rsidRPr="008A0924" w14:paraId="24B8B851" w14:textId="77777777" w:rsidTr="00870DCF">
        <w:tc>
          <w:tcPr>
            <w:tcW w:w="4680" w:type="dxa"/>
            <w:tcBorders>
              <w:top w:val="single" w:sz="4" w:space="0" w:color="000000" w:themeColor="text1"/>
              <w:bottom w:val="single" w:sz="4" w:space="0" w:color="000000" w:themeColor="text1"/>
            </w:tcBorders>
            <w:vAlign w:val="center"/>
          </w:tcPr>
          <w:p w14:paraId="33EB006D" w14:textId="77777777" w:rsidR="00870DCF" w:rsidRDefault="00870DCF" w:rsidP="00870DCF">
            <w:pPr>
              <w:pStyle w:val="TableText0"/>
              <w:spacing w:before="40" w:after="40"/>
              <w:ind w:left="14" w:hanging="14"/>
            </w:pPr>
            <w:r>
              <w:t>Aquatic Community Structure</w:t>
            </w:r>
          </w:p>
        </w:tc>
        <w:tc>
          <w:tcPr>
            <w:tcW w:w="1260" w:type="dxa"/>
            <w:tcBorders>
              <w:top w:val="single" w:sz="4" w:space="0" w:color="000000" w:themeColor="text1"/>
              <w:bottom w:val="single" w:sz="4" w:space="0" w:color="000000" w:themeColor="text1"/>
            </w:tcBorders>
          </w:tcPr>
          <w:p w14:paraId="597C31D5" w14:textId="77777777" w:rsidR="00870DCF" w:rsidRPr="00870DCF" w:rsidRDefault="00870DCF" w:rsidP="00812192">
            <w:pPr>
              <w:pStyle w:val="TableText0"/>
              <w:spacing w:before="40" w:after="40"/>
              <w:jc w:val="center"/>
            </w:pPr>
          </w:p>
        </w:tc>
        <w:tc>
          <w:tcPr>
            <w:tcW w:w="1260" w:type="dxa"/>
            <w:tcBorders>
              <w:top w:val="single" w:sz="4" w:space="0" w:color="000000" w:themeColor="text1"/>
              <w:bottom w:val="single" w:sz="4" w:space="0" w:color="000000" w:themeColor="text1"/>
            </w:tcBorders>
          </w:tcPr>
          <w:p w14:paraId="0C90A939" w14:textId="77777777" w:rsidR="00870DCF" w:rsidRPr="00870DCF" w:rsidRDefault="00870DCF" w:rsidP="00812192">
            <w:pPr>
              <w:pStyle w:val="TableText0"/>
              <w:spacing w:before="40" w:after="40"/>
              <w:jc w:val="center"/>
            </w:pPr>
          </w:p>
        </w:tc>
      </w:tr>
      <w:tr w:rsidR="00870DCF" w:rsidRPr="008A0924" w14:paraId="1746AF21" w14:textId="77777777" w:rsidTr="00870DCF">
        <w:tc>
          <w:tcPr>
            <w:tcW w:w="4680" w:type="dxa"/>
            <w:tcBorders>
              <w:top w:val="single" w:sz="4" w:space="0" w:color="000000" w:themeColor="text1"/>
              <w:bottom w:val="single" w:sz="4" w:space="0" w:color="000000" w:themeColor="text1"/>
            </w:tcBorders>
            <w:vAlign w:val="center"/>
          </w:tcPr>
          <w:p w14:paraId="5D83AF46" w14:textId="77777777" w:rsidR="00870DCF" w:rsidRPr="008A0924" w:rsidRDefault="00870DCF" w:rsidP="00812192">
            <w:pPr>
              <w:pStyle w:val="TableText0"/>
              <w:spacing w:before="40" w:after="40"/>
              <w:ind w:left="375"/>
            </w:pPr>
            <w:r>
              <w:t>Benthic algal community composition (ASCI)</w:t>
            </w:r>
          </w:p>
        </w:tc>
        <w:tc>
          <w:tcPr>
            <w:tcW w:w="1260" w:type="dxa"/>
            <w:tcBorders>
              <w:top w:val="single" w:sz="4" w:space="0" w:color="000000" w:themeColor="text1"/>
              <w:bottom w:val="single" w:sz="4" w:space="0" w:color="000000" w:themeColor="text1"/>
            </w:tcBorders>
          </w:tcPr>
          <w:p w14:paraId="1FE804F2" w14:textId="77777777" w:rsidR="00870DCF" w:rsidRPr="00870DCF" w:rsidRDefault="00870DCF" w:rsidP="00812192">
            <w:pPr>
              <w:pStyle w:val="TableText0"/>
              <w:spacing w:before="40" w:after="40"/>
              <w:jc w:val="center"/>
            </w:pPr>
            <w:r w:rsidRPr="00870DCF">
              <w:t>Supporting</w:t>
            </w:r>
          </w:p>
        </w:tc>
        <w:tc>
          <w:tcPr>
            <w:tcW w:w="1260" w:type="dxa"/>
            <w:tcBorders>
              <w:top w:val="single" w:sz="4" w:space="0" w:color="000000" w:themeColor="text1"/>
              <w:bottom w:val="single" w:sz="4" w:space="0" w:color="000000" w:themeColor="text1"/>
            </w:tcBorders>
          </w:tcPr>
          <w:p w14:paraId="23127CB3" w14:textId="77777777" w:rsidR="00870DCF" w:rsidRPr="00870DCF" w:rsidRDefault="00870DCF" w:rsidP="00812192">
            <w:pPr>
              <w:pStyle w:val="TableText0"/>
              <w:spacing w:before="40" w:after="40"/>
              <w:jc w:val="center"/>
            </w:pPr>
            <w:r w:rsidRPr="00870DCF">
              <w:t>AL</w:t>
            </w:r>
          </w:p>
        </w:tc>
      </w:tr>
      <w:tr w:rsidR="00870DCF" w14:paraId="12852FF9" w14:textId="77777777" w:rsidTr="00870DCF">
        <w:tc>
          <w:tcPr>
            <w:tcW w:w="4680" w:type="dxa"/>
            <w:tcBorders>
              <w:top w:val="single" w:sz="4" w:space="0" w:color="000000" w:themeColor="text1"/>
              <w:bottom w:val="single" w:sz="4" w:space="0" w:color="000000" w:themeColor="text1"/>
            </w:tcBorders>
            <w:vAlign w:val="center"/>
          </w:tcPr>
          <w:p w14:paraId="0DB93F23" w14:textId="77777777" w:rsidR="00870DCF" w:rsidRDefault="00870DCF" w:rsidP="00812192">
            <w:pPr>
              <w:pStyle w:val="TableText0"/>
              <w:spacing w:before="40" w:after="40"/>
              <w:ind w:left="375"/>
            </w:pPr>
            <w:r>
              <w:t>BMI community composition (CSCI)</w:t>
            </w:r>
          </w:p>
        </w:tc>
        <w:tc>
          <w:tcPr>
            <w:tcW w:w="1260" w:type="dxa"/>
            <w:tcBorders>
              <w:top w:val="single" w:sz="4" w:space="0" w:color="000000" w:themeColor="text1"/>
              <w:bottom w:val="single" w:sz="4" w:space="0" w:color="000000" w:themeColor="text1"/>
            </w:tcBorders>
          </w:tcPr>
          <w:p w14:paraId="16B7D365" w14:textId="77777777" w:rsidR="00870DCF" w:rsidRPr="00870DCF" w:rsidRDefault="00870DCF" w:rsidP="00812192">
            <w:pPr>
              <w:pStyle w:val="TableText0"/>
              <w:spacing w:before="40" w:after="40"/>
              <w:jc w:val="center"/>
            </w:pPr>
            <w:r w:rsidRPr="00870DCF">
              <w:t>Supporting</w:t>
            </w:r>
          </w:p>
        </w:tc>
        <w:tc>
          <w:tcPr>
            <w:tcW w:w="1260" w:type="dxa"/>
            <w:tcBorders>
              <w:top w:val="single" w:sz="4" w:space="0" w:color="000000" w:themeColor="text1"/>
              <w:bottom w:val="single" w:sz="4" w:space="0" w:color="000000" w:themeColor="text1"/>
            </w:tcBorders>
          </w:tcPr>
          <w:p w14:paraId="25358D94" w14:textId="77777777" w:rsidR="00870DCF" w:rsidRPr="00870DCF" w:rsidRDefault="00870DCF" w:rsidP="00812192">
            <w:pPr>
              <w:pStyle w:val="TableText0"/>
              <w:spacing w:before="40" w:after="40"/>
              <w:jc w:val="center"/>
            </w:pPr>
            <w:r w:rsidRPr="00870DCF">
              <w:t>AL</w:t>
            </w:r>
          </w:p>
        </w:tc>
      </w:tr>
      <w:tr w:rsidR="00870DCF" w14:paraId="0581A654" w14:textId="77777777" w:rsidTr="00870DCF">
        <w:tc>
          <w:tcPr>
            <w:tcW w:w="4680" w:type="dxa"/>
            <w:tcBorders>
              <w:top w:val="single" w:sz="4" w:space="0" w:color="000000" w:themeColor="text1"/>
              <w:bottom w:val="single" w:sz="4" w:space="0" w:color="000000" w:themeColor="text1"/>
            </w:tcBorders>
            <w:vAlign w:val="center"/>
          </w:tcPr>
          <w:p w14:paraId="1A8E28B2" w14:textId="77777777" w:rsidR="00870DCF" w:rsidRDefault="00870DCF" w:rsidP="00870DCF">
            <w:pPr>
              <w:pStyle w:val="TableText0"/>
              <w:spacing w:before="40" w:after="40"/>
            </w:pPr>
            <w:r>
              <w:t xml:space="preserve">Harmful Algal Bloom </w:t>
            </w:r>
          </w:p>
        </w:tc>
        <w:tc>
          <w:tcPr>
            <w:tcW w:w="1260" w:type="dxa"/>
            <w:tcBorders>
              <w:top w:val="single" w:sz="4" w:space="0" w:color="000000" w:themeColor="text1"/>
              <w:bottom w:val="single" w:sz="4" w:space="0" w:color="000000" w:themeColor="text1"/>
            </w:tcBorders>
          </w:tcPr>
          <w:p w14:paraId="5ABBE1D8" w14:textId="77777777" w:rsidR="00870DCF" w:rsidRPr="00870DCF" w:rsidRDefault="00870DCF" w:rsidP="0022486D">
            <w:pPr>
              <w:pStyle w:val="TableText0"/>
              <w:spacing w:before="40" w:after="40"/>
              <w:jc w:val="center"/>
            </w:pPr>
          </w:p>
        </w:tc>
        <w:tc>
          <w:tcPr>
            <w:tcW w:w="1260" w:type="dxa"/>
            <w:tcBorders>
              <w:top w:val="single" w:sz="4" w:space="0" w:color="000000" w:themeColor="text1"/>
              <w:bottom w:val="single" w:sz="4" w:space="0" w:color="000000" w:themeColor="text1"/>
            </w:tcBorders>
          </w:tcPr>
          <w:p w14:paraId="74D4099C" w14:textId="77777777" w:rsidR="00870DCF" w:rsidRPr="00870DCF" w:rsidRDefault="00870DCF" w:rsidP="0022486D">
            <w:pPr>
              <w:pStyle w:val="TableText0"/>
              <w:spacing w:before="40" w:after="40"/>
              <w:jc w:val="center"/>
            </w:pPr>
          </w:p>
        </w:tc>
      </w:tr>
      <w:tr w:rsidR="00870DCF" w14:paraId="1FFB36FE" w14:textId="77777777" w:rsidTr="00870DCF">
        <w:tc>
          <w:tcPr>
            <w:tcW w:w="4680" w:type="dxa"/>
            <w:tcBorders>
              <w:top w:val="single" w:sz="4" w:space="0" w:color="000000" w:themeColor="text1"/>
              <w:bottom w:val="single" w:sz="4" w:space="0" w:color="000000" w:themeColor="text1"/>
            </w:tcBorders>
            <w:vAlign w:val="center"/>
          </w:tcPr>
          <w:p w14:paraId="59D69358" w14:textId="77777777" w:rsidR="00870DCF" w:rsidRDefault="00870DCF" w:rsidP="0022486D">
            <w:pPr>
              <w:pStyle w:val="TableText0"/>
              <w:spacing w:before="40" w:after="40"/>
              <w:ind w:left="375"/>
            </w:pPr>
            <w:r>
              <w:t>Benthic cyanoHAB toxin</w:t>
            </w:r>
          </w:p>
        </w:tc>
        <w:tc>
          <w:tcPr>
            <w:tcW w:w="1260" w:type="dxa"/>
            <w:tcBorders>
              <w:top w:val="single" w:sz="4" w:space="0" w:color="000000" w:themeColor="text1"/>
              <w:bottom w:val="single" w:sz="4" w:space="0" w:color="000000" w:themeColor="text1"/>
            </w:tcBorders>
          </w:tcPr>
          <w:p w14:paraId="17DF84F7" w14:textId="77777777" w:rsidR="00870DCF" w:rsidRPr="00870DCF" w:rsidRDefault="00870DCF" w:rsidP="0022486D">
            <w:pPr>
              <w:pStyle w:val="TableText0"/>
              <w:spacing w:before="40" w:after="40"/>
              <w:jc w:val="center"/>
            </w:pPr>
            <w:r w:rsidRPr="00870DCF">
              <w:t>Supporting</w:t>
            </w:r>
          </w:p>
        </w:tc>
        <w:tc>
          <w:tcPr>
            <w:tcW w:w="1260" w:type="dxa"/>
            <w:tcBorders>
              <w:top w:val="single" w:sz="4" w:space="0" w:color="000000" w:themeColor="text1"/>
              <w:bottom w:val="single" w:sz="4" w:space="0" w:color="000000" w:themeColor="text1"/>
            </w:tcBorders>
          </w:tcPr>
          <w:p w14:paraId="74FCC414" w14:textId="77777777" w:rsidR="00870DCF" w:rsidRPr="00870DCF" w:rsidRDefault="00870DCF" w:rsidP="0022486D">
            <w:pPr>
              <w:pStyle w:val="TableText0"/>
              <w:spacing w:before="40" w:after="40"/>
              <w:jc w:val="center"/>
            </w:pPr>
            <w:r w:rsidRPr="00870DCF">
              <w:t>H, AL</w:t>
            </w:r>
          </w:p>
        </w:tc>
      </w:tr>
      <w:tr w:rsidR="00870DCF" w14:paraId="773EC669" w14:textId="77777777" w:rsidTr="00870DCF">
        <w:tc>
          <w:tcPr>
            <w:tcW w:w="4680" w:type="dxa"/>
            <w:tcBorders>
              <w:top w:val="single" w:sz="4" w:space="0" w:color="000000" w:themeColor="text1"/>
              <w:bottom w:val="single" w:sz="4" w:space="0" w:color="000000" w:themeColor="text1"/>
            </w:tcBorders>
            <w:vAlign w:val="center"/>
          </w:tcPr>
          <w:p w14:paraId="03796E57" w14:textId="77777777" w:rsidR="00870DCF" w:rsidRDefault="00870DCF" w:rsidP="00870DCF">
            <w:pPr>
              <w:pStyle w:val="TableText0"/>
              <w:spacing w:before="40" w:after="40"/>
              <w:ind w:left="375"/>
            </w:pPr>
            <w:r>
              <w:t>Benthic cyanoHAB cell density</w:t>
            </w:r>
          </w:p>
        </w:tc>
        <w:tc>
          <w:tcPr>
            <w:tcW w:w="1260" w:type="dxa"/>
            <w:tcBorders>
              <w:top w:val="single" w:sz="4" w:space="0" w:color="000000" w:themeColor="text1"/>
              <w:bottom w:val="single" w:sz="4" w:space="0" w:color="000000" w:themeColor="text1"/>
            </w:tcBorders>
          </w:tcPr>
          <w:p w14:paraId="648ABEB1" w14:textId="77777777" w:rsidR="00870DCF" w:rsidRPr="00870DCF" w:rsidRDefault="00870DCF" w:rsidP="00870DCF">
            <w:pPr>
              <w:pStyle w:val="TableText0"/>
              <w:spacing w:before="40" w:after="40"/>
              <w:jc w:val="center"/>
            </w:pPr>
            <w:r w:rsidRPr="00870DCF">
              <w:t>Supporting</w:t>
            </w:r>
          </w:p>
        </w:tc>
        <w:tc>
          <w:tcPr>
            <w:tcW w:w="1260" w:type="dxa"/>
            <w:tcBorders>
              <w:top w:val="single" w:sz="4" w:space="0" w:color="000000" w:themeColor="text1"/>
              <w:bottom w:val="single" w:sz="4" w:space="0" w:color="000000" w:themeColor="text1"/>
            </w:tcBorders>
          </w:tcPr>
          <w:p w14:paraId="39C28A42" w14:textId="77777777" w:rsidR="00870DCF" w:rsidRPr="00870DCF" w:rsidRDefault="00870DCF" w:rsidP="00870DCF">
            <w:pPr>
              <w:pStyle w:val="TableText0"/>
              <w:spacing w:before="40" w:after="40"/>
              <w:jc w:val="center"/>
            </w:pPr>
            <w:r w:rsidRPr="00870DCF">
              <w:t>H, AL</w:t>
            </w:r>
          </w:p>
        </w:tc>
      </w:tr>
      <w:tr w:rsidR="00BE7110" w:rsidRPr="008A0924" w14:paraId="689F5747" w14:textId="77777777" w:rsidTr="00FC0837">
        <w:tc>
          <w:tcPr>
            <w:tcW w:w="4680" w:type="dxa"/>
            <w:vMerge w:val="restart"/>
            <w:tcBorders>
              <w:top w:val="single" w:sz="4" w:space="0" w:color="000000" w:themeColor="text1"/>
            </w:tcBorders>
            <w:vAlign w:val="center"/>
          </w:tcPr>
          <w:p w14:paraId="3E4EB271" w14:textId="77777777" w:rsidR="00BE7110" w:rsidRPr="008A0924" w:rsidRDefault="00BE7110" w:rsidP="00870DCF">
            <w:pPr>
              <w:pStyle w:val="TableText0"/>
              <w:spacing w:before="40" w:after="40"/>
              <w:ind w:left="375"/>
            </w:pPr>
            <w:r>
              <w:t>Particulate cyanoHAB toxin</w:t>
            </w:r>
          </w:p>
        </w:tc>
        <w:tc>
          <w:tcPr>
            <w:tcW w:w="1260" w:type="dxa"/>
            <w:tcBorders>
              <w:top w:val="single" w:sz="4" w:space="0" w:color="000000" w:themeColor="text1"/>
              <w:bottom w:val="single" w:sz="4" w:space="0" w:color="000000" w:themeColor="text1"/>
            </w:tcBorders>
          </w:tcPr>
          <w:p w14:paraId="6C205C1C" w14:textId="77777777" w:rsidR="00BE7110" w:rsidRPr="00870DCF" w:rsidRDefault="00BE7110" w:rsidP="00870DCF">
            <w:pPr>
              <w:pStyle w:val="TableText0"/>
              <w:spacing w:before="40" w:after="40"/>
              <w:jc w:val="center"/>
            </w:pPr>
            <w:r w:rsidRPr="00870DCF">
              <w:t>Primary</w:t>
            </w:r>
          </w:p>
        </w:tc>
        <w:tc>
          <w:tcPr>
            <w:tcW w:w="1260" w:type="dxa"/>
            <w:tcBorders>
              <w:top w:val="single" w:sz="4" w:space="0" w:color="000000" w:themeColor="text1"/>
              <w:bottom w:val="single" w:sz="4" w:space="0" w:color="000000" w:themeColor="text1"/>
            </w:tcBorders>
          </w:tcPr>
          <w:p w14:paraId="307A8DD1" w14:textId="77777777" w:rsidR="00BE7110" w:rsidRPr="00870DCF" w:rsidRDefault="00BE7110" w:rsidP="00870DCF">
            <w:pPr>
              <w:pStyle w:val="TableText0"/>
              <w:spacing w:before="40" w:after="40"/>
              <w:jc w:val="center"/>
            </w:pPr>
            <w:r w:rsidRPr="00870DCF">
              <w:t>H</w:t>
            </w:r>
          </w:p>
        </w:tc>
      </w:tr>
      <w:tr w:rsidR="00BE7110" w:rsidRPr="008A0924" w14:paraId="5D69004B" w14:textId="77777777" w:rsidTr="00FC0837">
        <w:tc>
          <w:tcPr>
            <w:tcW w:w="4680" w:type="dxa"/>
            <w:vMerge/>
            <w:tcBorders>
              <w:bottom w:val="single" w:sz="4" w:space="0" w:color="000000" w:themeColor="text1"/>
            </w:tcBorders>
            <w:vAlign w:val="center"/>
          </w:tcPr>
          <w:p w14:paraId="43E41C27" w14:textId="77777777" w:rsidR="00BE7110" w:rsidRDefault="00BE7110" w:rsidP="00870DCF">
            <w:pPr>
              <w:pStyle w:val="TableText0"/>
              <w:spacing w:before="40" w:after="40"/>
              <w:ind w:left="375"/>
            </w:pPr>
          </w:p>
        </w:tc>
        <w:tc>
          <w:tcPr>
            <w:tcW w:w="1260" w:type="dxa"/>
            <w:tcBorders>
              <w:top w:val="single" w:sz="4" w:space="0" w:color="000000" w:themeColor="text1"/>
              <w:bottom w:val="single" w:sz="4" w:space="0" w:color="000000" w:themeColor="text1"/>
            </w:tcBorders>
          </w:tcPr>
          <w:p w14:paraId="2118EA73" w14:textId="77777777" w:rsidR="00BE7110" w:rsidRPr="00870DCF" w:rsidRDefault="00BE7110" w:rsidP="00870DCF">
            <w:pPr>
              <w:pStyle w:val="TableText0"/>
              <w:spacing w:before="40" w:after="40"/>
              <w:jc w:val="center"/>
            </w:pPr>
            <w:r>
              <w:t>Supporting</w:t>
            </w:r>
          </w:p>
        </w:tc>
        <w:tc>
          <w:tcPr>
            <w:tcW w:w="1260" w:type="dxa"/>
            <w:tcBorders>
              <w:top w:val="single" w:sz="4" w:space="0" w:color="000000" w:themeColor="text1"/>
              <w:bottom w:val="single" w:sz="4" w:space="0" w:color="000000" w:themeColor="text1"/>
            </w:tcBorders>
          </w:tcPr>
          <w:p w14:paraId="53E6EEEE" w14:textId="77777777" w:rsidR="00BE7110" w:rsidRPr="00870DCF" w:rsidRDefault="00BE7110" w:rsidP="00870DCF">
            <w:pPr>
              <w:pStyle w:val="TableText0"/>
              <w:spacing w:before="40" w:after="40"/>
              <w:jc w:val="center"/>
            </w:pPr>
            <w:r>
              <w:t xml:space="preserve"> AL</w:t>
            </w:r>
          </w:p>
        </w:tc>
      </w:tr>
      <w:tr w:rsidR="00870DCF" w:rsidRPr="008A0924" w14:paraId="5A20F014" w14:textId="77777777" w:rsidTr="00870DCF">
        <w:tc>
          <w:tcPr>
            <w:tcW w:w="4680" w:type="dxa"/>
            <w:tcBorders>
              <w:top w:val="single" w:sz="4" w:space="0" w:color="000000" w:themeColor="text1"/>
              <w:bottom w:val="single" w:sz="4" w:space="0" w:color="000000" w:themeColor="text1"/>
            </w:tcBorders>
            <w:vAlign w:val="center"/>
          </w:tcPr>
          <w:p w14:paraId="203D234D" w14:textId="77777777" w:rsidR="00870DCF" w:rsidRDefault="00870DCF" w:rsidP="00870DCF">
            <w:pPr>
              <w:pStyle w:val="TableText0"/>
              <w:spacing w:before="40" w:after="40"/>
              <w:ind w:left="375"/>
            </w:pPr>
            <w:r>
              <w:t>Particulate cyanoHAB cell density</w:t>
            </w:r>
          </w:p>
        </w:tc>
        <w:tc>
          <w:tcPr>
            <w:tcW w:w="1260" w:type="dxa"/>
            <w:tcBorders>
              <w:top w:val="single" w:sz="4" w:space="0" w:color="000000" w:themeColor="text1"/>
              <w:bottom w:val="single" w:sz="4" w:space="0" w:color="000000" w:themeColor="text1"/>
            </w:tcBorders>
          </w:tcPr>
          <w:p w14:paraId="64800395" w14:textId="77777777" w:rsidR="00870DCF" w:rsidRPr="00870DCF" w:rsidRDefault="00870DCF" w:rsidP="00870DCF">
            <w:pPr>
              <w:pStyle w:val="TableText0"/>
              <w:spacing w:before="40" w:after="40"/>
              <w:jc w:val="center"/>
            </w:pPr>
            <w:r w:rsidRPr="00870DCF">
              <w:t>Supporting</w:t>
            </w:r>
          </w:p>
        </w:tc>
        <w:tc>
          <w:tcPr>
            <w:tcW w:w="1260" w:type="dxa"/>
            <w:tcBorders>
              <w:top w:val="single" w:sz="4" w:space="0" w:color="000000" w:themeColor="text1"/>
              <w:bottom w:val="single" w:sz="4" w:space="0" w:color="000000" w:themeColor="text1"/>
            </w:tcBorders>
          </w:tcPr>
          <w:p w14:paraId="1E165754" w14:textId="77777777" w:rsidR="00870DCF" w:rsidRPr="00870DCF" w:rsidRDefault="00870DCF" w:rsidP="00870DCF">
            <w:pPr>
              <w:pStyle w:val="TableText0"/>
              <w:spacing w:before="40" w:after="40"/>
              <w:jc w:val="center"/>
            </w:pPr>
            <w:r w:rsidRPr="00870DCF">
              <w:t>H, AL</w:t>
            </w:r>
          </w:p>
        </w:tc>
      </w:tr>
      <w:tr w:rsidR="00625A98" w:rsidRPr="008A0924" w14:paraId="350DF6AD" w14:textId="77777777" w:rsidTr="00FC0837">
        <w:tc>
          <w:tcPr>
            <w:tcW w:w="4680" w:type="dxa"/>
            <w:vMerge w:val="restart"/>
            <w:tcBorders>
              <w:top w:val="single" w:sz="4" w:space="0" w:color="000000" w:themeColor="text1"/>
            </w:tcBorders>
            <w:vAlign w:val="center"/>
          </w:tcPr>
          <w:p w14:paraId="3CA722CE" w14:textId="77777777" w:rsidR="00625A98" w:rsidRDefault="00625A98" w:rsidP="00870DCF">
            <w:pPr>
              <w:pStyle w:val="TableText0"/>
              <w:spacing w:before="40" w:after="40"/>
              <w:ind w:left="375"/>
            </w:pPr>
            <w:r>
              <w:t>CyanoHAB toxin concentration in tissue</w:t>
            </w:r>
          </w:p>
        </w:tc>
        <w:tc>
          <w:tcPr>
            <w:tcW w:w="1260" w:type="dxa"/>
            <w:tcBorders>
              <w:top w:val="single" w:sz="4" w:space="0" w:color="000000" w:themeColor="text1"/>
              <w:bottom w:val="single" w:sz="4" w:space="0" w:color="000000" w:themeColor="text1"/>
            </w:tcBorders>
          </w:tcPr>
          <w:p w14:paraId="72EF161E" w14:textId="77777777" w:rsidR="00625A98" w:rsidRPr="00870DCF" w:rsidRDefault="00625A98" w:rsidP="00870DCF">
            <w:pPr>
              <w:pStyle w:val="TableText0"/>
              <w:spacing w:before="40" w:after="40"/>
              <w:jc w:val="center"/>
            </w:pPr>
            <w:r w:rsidRPr="00870DCF">
              <w:t>Primary</w:t>
            </w:r>
          </w:p>
        </w:tc>
        <w:tc>
          <w:tcPr>
            <w:tcW w:w="1260" w:type="dxa"/>
            <w:tcBorders>
              <w:top w:val="single" w:sz="4" w:space="0" w:color="000000" w:themeColor="text1"/>
              <w:bottom w:val="single" w:sz="4" w:space="0" w:color="000000" w:themeColor="text1"/>
            </w:tcBorders>
          </w:tcPr>
          <w:p w14:paraId="59308292" w14:textId="77777777" w:rsidR="00625A98" w:rsidRPr="00870DCF" w:rsidRDefault="00625A98" w:rsidP="00870DCF">
            <w:pPr>
              <w:pStyle w:val="TableText0"/>
              <w:spacing w:before="40" w:after="40"/>
              <w:jc w:val="center"/>
            </w:pPr>
            <w:r w:rsidRPr="00870DCF">
              <w:t>H</w:t>
            </w:r>
          </w:p>
        </w:tc>
      </w:tr>
      <w:tr w:rsidR="00625A98" w:rsidRPr="008A0924" w14:paraId="51F6D21D" w14:textId="77777777" w:rsidTr="00FC0837">
        <w:tc>
          <w:tcPr>
            <w:tcW w:w="4680" w:type="dxa"/>
            <w:vMerge/>
            <w:tcBorders>
              <w:bottom w:val="single" w:sz="4" w:space="0" w:color="000000" w:themeColor="text1"/>
            </w:tcBorders>
            <w:vAlign w:val="center"/>
          </w:tcPr>
          <w:p w14:paraId="73BD2A4E" w14:textId="77777777" w:rsidR="00625A98" w:rsidRDefault="00625A98" w:rsidP="00870DCF">
            <w:pPr>
              <w:pStyle w:val="TableText0"/>
              <w:spacing w:before="40" w:after="40"/>
              <w:ind w:left="375"/>
            </w:pPr>
          </w:p>
        </w:tc>
        <w:tc>
          <w:tcPr>
            <w:tcW w:w="1260" w:type="dxa"/>
            <w:tcBorders>
              <w:top w:val="single" w:sz="4" w:space="0" w:color="000000" w:themeColor="text1"/>
              <w:bottom w:val="single" w:sz="4" w:space="0" w:color="000000" w:themeColor="text1"/>
            </w:tcBorders>
          </w:tcPr>
          <w:p w14:paraId="3B0CDBE9" w14:textId="77777777" w:rsidR="00625A98" w:rsidRPr="00870DCF" w:rsidRDefault="00625A98" w:rsidP="00870DCF">
            <w:pPr>
              <w:pStyle w:val="TableText0"/>
              <w:spacing w:before="40" w:after="40"/>
              <w:jc w:val="center"/>
            </w:pPr>
            <w:r>
              <w:t>Supporting</w:t>
            </w:r>
          </w:p>
        </w:tc>
        <w:tc>
          <w:tcPr>
            <w:tcW w:w="1260" w:type="dxa"/>
            <w:tcBorders>
              <w:top w:val="single" w:sz="4" w:space="0" w:color="000000" w:themeColor="text1"/>
              <w:bottom w:val="single" w:sz="4" w:space="0" w:color="000000" w:themeColor="text1"/>
            </w:tcBorders>
          </w:tcPr>
          <w:p w14:paraId="775D50EF" w14:textId="77777777" w:rsidR="00625A98" w:rsidRPr="00870DCF" w:rsidRDefault="00625A98" w:rsidP="00870DCF">
            <w:pPr>
              <w:pStyle w:val="TableText0"/>
              <w:spacing w:before="40" w:after="40"/>
              <w:jc w:val="center"/>
            </w:pPr>
            <w:r>
              <w:t>AL</w:t>
            </w:r>
          </w:p>
        </w:tc>
      </w:tr>
      <w:tr w:rsidR="00870DCF" w:rsidRPr="00852BC2" w14:paraId="04C46BFD" w14:textId="77777777" w:rsidTr="00870DCF">
        <w:tc>
          <w:tcPr>
            <w:tcW w:w="4680" w:type="dxa"/>
            <w:tcBorders>
              <w:top w:val="single" w:sz="4" w:space="0" w:color="000000" w:themeColor="text1"/>
              <w:bottom w:val="single" w:sz="4" w:space="0" w:color="000000" w:themeColor="text1"/>
            </w:tcBorders>
            <w:vAlign w:val="center"/>
          </w:tcPr>
          <w:p w14:paraId="04E794F4" w14:textId="77777777" w:rsidR="00870DCF" w:rsidRPr="00852BC2" w:rsidRDefault="00870DCF" w:rsidP="00870DCF">
            <w:pPr>
              <w:pStyle w:val="TableText0"/>
              <w:spacing w:before="40" w:after="40"/>
              <w:ind w:left="375"/>
            </w:pPr>
            <w:r w:rsidRPr="00852BC2">
              <w:t xml:space="preserve">SPATT </w:t>
            </w:r>
            <w:r>
              <w:t>t</w:t>
            </w:r>
            <w:r w:rsidRPr="00852BC2">
              <w:t>oxin concentration</w:t>
            </w:r>
          </w:p>
        </w:tc>
        <w:tc>
          <w:tcPr>
            <w:tcW w:w="1260" w:type="dxa"/>
            <w:tcBorders>
              <w:top w:val="single" w:sz="4" w:space="0" w:color="000000" w:themeColor="text1"/>
              <w:bottom w:val="single" w:sz="4" w:space="0" w:color="000000" w:themeColor="text1"/>
            </w:tcBorders>
          </w:tcPr>
          <w:p w14:paraId="434A1621" w14:textId="77777777" w:rsidR="00870DCF" w:rsidRPr="00870DCF" w:rsidRDefault="00870DCF" w:rsidP="00870DCF">
            <w:pPr>
              <w:pStyle w:val="TableText0"/>
              <w:spacing w:before="40" w:after="40"/>
              <w:jc w:val="center"/>
            </w:pPr>
            <w:r w:rsidRPr="00870DCF">
              <w:t>Supporting</w:t>
            </w:r>
          </w:p>
        </w:tc>
        <w:tc>
          <w:tcPr>
            <w:tcW w:w="1260" w:type="dxa"/>
            <w:tcBorders>
              <w:top w:val="single" w:sz="4" w:space="0" w:color="000000" w:themeColor="text1"/>
              <w:bottom w:val="single" w:sz="4" w:space="0" w:color="000000" w:themeColor="text1"/>
            </w:tcBorders>
          </w:tcPr>
          <w:p w14:paraId="0C3FC064" w14:textId="77777777" w:rsidR="00870DCF" w:rsidRPr="00870DCF" w:rsidRDefault="00870DCF" w:rsidP="00870DCF">
            <w:pPr>
              <w:pStyle w:val="TableText0"/>
              <w:spacing w:before="40" w:after="40"/>
              <w:jc w:val="center"/>
            </w:pPr>
            <w:r w:rsidRPr="00870DCF">
              <w:t>H, AL</w:t>
            </w:r>
          </w:p>
        </w:tc>
      </w:tr>
      <w:tr w:rsidR="00B94EC5" w:rsidRPr="00852BC2" w14:paraId="6C6A4FCC" w14:textId="77777777" w:rsidTr="00870DCF">
        <w:tc>
          <w:tcPr>
            <w:tcW w:w="4680" w:type="dxa"/>
            <w:tcBorders>
              <w:top w:val="single" w:sz="4" w:space="0" w:color="000000" w:themeColor="text1"/>
              <w:bottom w:val="single" w:sz="4" w:space="0" w:color="000000" w:themeColor="text1"/>
            </w:tcBorders>
            <w:vAlign w:val="center"/>
          </w:tcPr>
          <w:p w14:paraId="7E6F6A1A" w14:textId="77777777" w:rsidR="00B94EC5" w:rsidRPr="00852BC2" w:rsidRDefault="00B94EC5" w:rsidP="00B94EC5">
            <w:pPr>
              <w:pStyle w:val="TableText0"/>
              <w:spacing w:before="40" w:after="40"/>
            </w:pPr>
            <w:r>
              <w:t>Causal (Biostimulatory Substances and Conditions)</w:t>
            </w:r>
          </w:p>
        </w:tc>
        <w:tc>
          <w:tcPr>
            <w:tcW w:w="1260" w:type="dxa"/>
            <w:tcBorders>
              <w:top w:val="single" w:sz="4" w:space="0" w:color="000000" w:themeColor="text1"/>
              <w:bottom w:val="single" w:sz="4" w:space="0" w:color="000000" w:themeColor="text1"/>
            </w:tcBorders>
          </w:tcPr>
          <w:p w14:paraId="13465332" w14:textId="77777777" w:rsidR="00B94EC5" w:rsidRPr="00870DCF" w:rsidRDefault="00B94EC5" w:rsidP="00870DCF">
            <w:pPr>
              <w:pStyle w:val="TableText0"/>
              <w:spacing w:before="40" w:after="40"/>
              <w:jc w:val="center"/>
            </w:pPr>
          </w:p>
        </w:tc>
        <w:tc>
          <w:tcPr>
            <w:tcW w:w="1260" w:type="dxa"/>
            <w:tcBorders>
              <w:top w:val="single" w:sz="4" w:space="0" w:color="000000" w:themeColor="text1"/>
              <w:bottom w:val="single" w:sz="4" w:space="0" w:color="000000" w:themeColor="text1"/>
            </w:tcBorders>
          </w:tcPr>
          <w:p w14:paraId="0BF26070" w14:textId="77777777" w:rsidR="00B94EC5" w:rsidRPr="00870DCF" w:rsidRDefault="00B94EC5" w:rsidP="00870DCF">
            <w:pPr>
              <w:pStyle w:val="TableText0"/>
              <w:spacing w:before="40" w:after="40"/>
              <w:jc w:val="center"/>
            </w:pPr>
          </w:p>
        </w:tc>
      </w:tr>
      <w:tr w:rsidR="00B94EC5" w:rsidRPr="00852BC2" w14:paraId="211A0CFF" w14:textId="77777777" w:rsidTr="00870DCF">
        <w:tc>
          <w:tcPr>
            <w:tcW w:w="4680" w:type="dxa"/>
            <w:tcBorders>
              <w:top w:val="single" w:sz="4" w:space="0" w:color="000000" w:themeColor="text1"/>
              <w:bottom w:val="single" w:sz="4" w:space="0" w:color="000000" w:themeColor="text1"/>
            </w:tcBorders>
            <w:vAlign w:val="center"/>
          </w:tcPr>
          <w:p w14:paraId="45843E45" w14:textId="77777777" w:rsidR="00B94EC5" w:rsidRPr="00852BC2" w:rsidRDefault="00B94EC5" w:rsidP="00870DCF">
            <w:pPr>
              <w:pStyle w:val="TableText0"/>
              <w:spacing w:before="40" w:after="40"/>
              <w:ind w:left="375"/>
            </w:pPr>
            <w:r>
              <w:t>Nitrogen and phosphorus</w:t>
            </w:r>
            <w:r w:rsidR="000036FB">
              <w:t xml:space="preserve"> and associated organic matter</w:t>
            </w:r>
          </w:p>
        </w:tc>
        <w:tc>
          <w:tcPr>
            <w:tcW w:w="1260" w:type="dxa"/>
            <w:tcBorders>
              <w:top w:val="single" w:sz="4" w:space="0" w:color="000000" w:themeColor="text1"/>
              <w:bottom w:val="single" w:sz="4" w:space="0" w:color="000000" w:themeColor="text1"/>
            </w:tcBorders>
          </w:tcPr>
          <w:p w14:paraId="7D55ABF6" w14:textId="77777777" w:rsidR="00B94EC5" w:rsidRPr="00870DCF" w:rsidRDefault="00B94EC5" w:rsidP="00870DCF">
            <w:pPr>
              <w:pStyle w:val="TableText0"/>
              <w:spacing w:before="40" w:after="40"/>
              <w:jc w:val="center"/>
            </w:pPr>
            <w:r>
              <w:t>Primary</w:t>
            </w:r>
          </w:p>
        </w:tc>
        <w:tc>
          <w:tcPr>
            <w:tcW w:w="1260" w:type="dxa"/>
            <w:tcBorders>
              <w:top w:val="single" w:sz="4" w:space="0" w:color="000000" w:themeColor="text1"/>
              <w:bottom w:val="single" w:sz="4" w:space="0" w:color="000000" w:themeColor="text1"/>
            </w:tcBorders>
          </w:tcPr>
          <w:p w14:paraId="5AB306D5" w14:textId="77777777" w:rsidR="00B94EC5" w:rsidRPr="00870DCF" w:rsidRDefault="00B94EC5" w:rsidP="00870DCF">
            <w:pPr>
              <w:pStyle w:val="TableText0"/>
              <w:spacing w:before="40" w:after="40"/>
              <w:jc w:val="center"/>
            </w:pPr>
            <w:r>
              <w:t>AL</w:t>
            </w:r>
            <w:r w:rsidR="000036FB">
              <w:t>, H</w:t>
            </w:r>
          </w:p>
        </w:tc>
      </w:tr>
      <w:tr w:rsidR="007E4D72" w:rsidRPr="00852BC2" w14:paraId="4283AE39" w14:textId="77777777" w:rsidTr="00870DCF">
        <w:tc>
          <w:tcPr>
            <w:tcW w:w="4680" w:type="dxa"/>
            <w:tcBorders>
              <w:top w:val="single" w:sz="4" w:space="0" w:color="000000" w:themeColor="text1"/>
              <w:bottom w:val="single" w:sz="4" w:space="0" w:color="000000" w:themeColor="text1"/>
            </w:tcBorders>
            <w:vAlign w:val="center"/>
          </w:tcPr>
          <w:p w14:paraId="7F715086" w14:textId="77777777" w:rsidR="007E4D72" w:rsidRDefault="000036FB" w:rsidP="00870DCF">
            <w:pPr>
              <w:pStyle w:val="TableText0"/>
              <w:spacing w:before="40" w:after="40"/>
              <w:ind w:left="375"/>
            </w:pPr>
            <w:r>
              <w:t>Hydromodification, physical habitat, light and temperature regime</w:t>
            </w:r>
          </w:p>
        </w:tc>
        <w:tc>
          <w:tcPr>
            <w:tcW w:w="1260" w:type="dxa"/>
            <w:tcBorders>
              <w:top w:val="single" w:sz="4" w:space="0" w:color="000000" w:themeColor="text1"/>
              <w:bottom w:val="single" w:sz="4" w:space="0" w:color="000000" w:themeColor="text1"/>
            </w:tcBorders>
          </w:tcPr>
          <w:p w14:paraId="392B263B" w14:textId="77777777" w:rsidR="007E4D72" w:rsidRDefault="000036FB" w:rsidP="00870DCF">
            <w:pPr>
              <w:pStyle w:val="TableText0"/>
              <w:spacing w:before="40" w:after="40"/>
              <w:jc w:val="center"/>
            </w:pPr>
            <w:r>
              <w:t>Supporting</w:t>
            </w:r>
          </w:p>
        </w:tc>
        <w:tc>
          <w:tcPr>
            <w:tcW w:w="1260" w:type="dxa"/>
            <w:tcBorders>
              <w:top w:val="single" w:sz="4" w:space="0" w:color="000000" w:themeColor="text1"/>
              <w:bottom w:val="single" w:sz="4" w:space="0" w:color="000000" w:themeColor="text1"/>
            </w:tcBorders>
          </w:tcPr>
          <w:p w14:paraId="47668185" w14:textId="77777777" w:rsidR="007E4D72" w:rsidRDefault="000036FB" w:rsidP="00870DCF">
            <w:pPr>
              <w:pStyle w:val="TableText0"/>
              <w:spacing w:before="40" w:after="40"/>
              <w:jc w:val="center"/>
            </w:pPr>
            <w:r>
              <w:t>H, AL</w:t>
            </w:r>
          </w:p>
        </w:tc>
      </w:tr>
    </w:tbl>
    <w:p w14:paraId="50BF918E" w14:textId="77777777" w:rsidR="002162CF" w:rsidRPr="00243B4D" w:rsidRDefault="002162CF" w:rsidP="0013791B">
      <w:pPr>
        <w:pStyle w:val="BodyText0"/>
      </w:pPr>
    </w:p>
    <w:p w14:paraId="603FCE0C" w14:textId="77777777" w:rsidR="003117A2" w:rsidRDefault="003117A2">
      <w:pPr>
        <w:spacing w:after="0" w:line="240" w:lineRule="auto"/>
        <w:rPr>
          <w:b/>
          <w:bCs/>
          <w:color w:val="4F81BD"/>
          <w:sz w:val="24"/>
          <w:szCs w:val="26"/>
        </w:rPr>
      </w:pPr>
      <w:r>
        <w:br w:type="page"/>
      </w:r>
    </w:p>
    <w:p w14:paraId="0AD09DEB" w14:textId="77777777" w:rsidR="00C6106A" w:rsidRDefault="00C6106A" w:rsidP="008E7E7F">
      <w:pPr>
        <w:pStyle w:val="Heading1"/>
        <w:numPr>
          <w:ilvl w:val="0"/>
          <w:numId w:val="4"/>
        </w:numPr>
        <w:rPr>
          <w:rStyle w:val="Heading1Char"/>
          <w:b/>
          <w:caps/>
        </w:rPr>
      </w:pPr>
      <w:bookmarkStart w:id="89" w:name="_Toc526505127"/>
      <w:r w:rsidRPr="00C6106A">
        <w:rPr>
          <w:rStyle w:val="Heading1Char"/>
          <w:b/>
          <w:caps/>
        </w:rPr>
        <w:t xml:space="preserve">Synthesis of Thresholds Supporting Decisions on Numeric Guidance for </w:t>
      </w:r>
      <w:r w:rsidR="00A707A9">
        <w:rPr>
          <w:rStyle w:val="Heading1Char"/>
          <w:b/>
          <w:caps/>
        </w:rPr>
        <w:t>Biostimulatory Objectives</w:t>
      </w:r>
      <w:bookmarkEnd w:id="89"/>
    </w:p>
    <w:p w14:paraId="00470802" w14:textId="629EE809" w:rsidR="00B33852" w:rsidRDefault="00A707A9" w:rsidP="00B33852">
      <w:pPr>
        <w:pStyle w:val="ListParagraph"/>
        <w:ind w:left="0"/>
        <w:jc w:val="both"/>
      </w:pPr>
      <w:r>
        <w:t xml:space="preserve">Section 1 of this report summarizes the organizing assumptions supporting the Water Board staff’s preferred approach to biostimulatory objectives. Section 2 established the foundation for the causal pathways by which biostimulatory substances and conditions can results in eutrophication and the pathways by which those impacts impair uses. It prioritized a set of response and biostimulatory indicators for use in eutrophication assessment, based in part on </w:t>
      </w:r>
      <w:r w:rsidR="005106F4">
        <w:t>availability</w:t>
      </w:r>
      <w:r>
        <w:t xml:space="preserve"> of science that supports the selection of </w:t>
      </w:r>
      <w:r w:rsidRPr="00A707A9">
        <w:t xml:space="preserve">numeric targets to protect </w:t>
      </w:r>
      <w:r>
        <w:t>wadeable streams</w:t>
      </w:r>
      <w:r w:rsidRPr="00A707A9">
        <w:t xml:space="preserve"> against biostimulatory impacts.  </w:t>
      </w:r>
      <w:r>
        <w:t>This section synthesizes that science</w:t>
      </w:r>
      <w:r w:rsidR="00BE7110">
        <w:t xml:space="preserve"> on thresholds for recommended primary or supporting lines of evidence</w:t>
      </w:r>
      <w:r w:rsidR="007A09F1">
        <w:t xml:space="preserve"> (Table 3.1)</w:t>
      </w:r>
      <w:r w:rsidR="00C63EB7">
        <w:t>, with the goal of supporting decisions by Water Board staff on numeric guidance for wadeable streams biostimulatory assessment, prevention and management</w:t>
      </w:r>
      <w:r w:rsidR="007A09F1">
        <w:t>.</w:t>
      </w:r>
    </w:p>
    <w:p w14:paraId="400ADAB7" w14:textId="77777777" w:rsidR="001F4EF4" w:rsidRDefault="001F4EF4" w:rsidP="00B33852">
      <w:pPr>
        <w:pStyle w:val="ListParagraph"/>
        <w:ind w:left="0"/>
        <w:jc w:val="both"/>
      </w:pPr>
    </w:p>
    <w:p w14:paraId="7B757BD7" w14:textId="309932F2" w:rsidR="001F4EF4" w:rsidRDefault="001F4EF4" w:rsidP="00B33852">
      <w:pPr>
        <w:pStyle w:val="ListParagraph"/>
        <w:ind w:left="0"/>
        <w:jc w:val="both"/>
      </w:pPr>
      <w:r>
        <w:t xml:space="preserve">In this document, we define </w:t>
      </w:r>
      <w:r w:rsidRPr="005359EE">
        <w:t>“</w:t>
      </w:r>
      <w:r>
        <w:t>targets</w:t>
      </w:r>
      <w:r w:rsidRPr="005359EE">
        <w:t>”</w:t>
      </w:r>
      <w:r>
        <w:t xml:space="preserve"> to</w:t>
      </w:r>
      <w:r w:rsidRPr="005359EE">
        <w:t xml:space="preserve"> refer to </w:t>
      </w:r>
      <w:r>
        <w:t>policy</w:t>
      </w:r>
      <w:r w:rsidRPr="005359EE">
        <w:t xml:space="preserve"> decisions </w:t>
      </w:r>
      <w:r>
        <w:t xml:space="preserve">on the numeric limits of biostimulatory indicators for wadeable stream uses, </w:t>
      </w:r>
      <w:r w:rsidRPr="005359EE">
        <w:t>while “thresholds” refer to the output of scientific analyses</w:t>
      </w:r>
      <w:r>
        <w:t xml:space="preserve"> that are intended to inform conversations among the Water Board and its advisory groups on targets</w:t>
      </w:r>
      <w:r w:rsidRPr="005359EE">
        <w:t xml:space="preserve">. </w:t>
      </w:r>
      <w:r>
        <w:t xml:space="preserve">Generally, we define thresholds </w:t>
      </w:r>
      <w:r w:rsidRPr="00AD710B">
        <w:t>as</w:t>
      </w:r>
      <w:r w:rsidR="00557D47">
        <w:t xml:space="preserve"> either 1)</w:t>
      </w:r>
      <w:r w:rsidRPr="00AD710B">
        <w:t xml:space="preserve"> “the </w:t>
      </w:r>
      <w:r w:rsidR="00557D47">
        <w:t xml:space="preserve">change </w:t>
      </w:r>
      <w:r w:rsidRPr="00AD710B">
        <w:t>point at which there is an abrupt change in an ecosystem property or where small changes in an environmental driver produce large responses in the ecosystem” (Grossman et al. 2006)</w:t>
      </w:r>
      <w:r w:rsidR="00557D47">
        <w:t xml:space="preserve"> or 2) “the value of an environmental driver that has a proscribed probability of meeting an ecosystem protection goal.” </w:t>
      </w:r>
      <w:r>
        <w:t>T</w:t>
      </w:r>
      <w:r w:rsidRPr="00AD710B">
        <w:t xml:space="preserve">hresholds have also been associated with the concept of resilience and a transition between alternate stable states (Resilience Alliance and Sante Fe Institute 2004).  These state changes may be associated with either abrupt changes in one or more response variable as a key driver crosses a threshold value. Cuffney et al. (2010) further distinguish between resistance thresholds (e.g., a sharp decline in ecosystem condition following an initial no effect zone) and exhaustion thresholds (a sharp transition to zero slope at the end of a stressor gradient at which point the response variable reaches a natural limit). </w:t>
      </w:r>
      <w:r>
        <w:t>This document refers to a variety of types of thresholds relevant for discussion of policy decisions on targets, which are further defined in the approach to synthesis and key terms (Section 3.1).</w:t>
      </w:r>
    </w:p>
    <w:p w14:paraId="651CDBC4" w14:textId="77777777" w:rsidR="001F4EF4" w:rsidRDefault="001F4EF4" w:rsidP="004D17B3">
      <w:pPr>
        <w:pStyle w:val="TOT"/>
        <w:sectPr w:rsidR="001F4EF4" w:rsidSect="00C5540D">
          <w:pgSz w:w="12240" w:h="15840"/>
          <w:pgMar w:top="1440" w:right="1440" w:bottom="1440" w:left="1440" w:header="720" w:footer="720" w:gutter="0"/>
          <w:cols w:space="720"/>
          <w:docGrid w:linePitch="360"/>
        </w:sectPr>
      </w:pPr>
    </w:p>
    <w:p w14:paraId="1F27E75D" w14:textId="77777777" w:rsidR="004D17B3" w:rsidRDefault="00D504F6" w:rsidP="004D17B3">
      <w:pPr>
        <w:pStyle w:val="TOT"/>
      </w:pPr>
      <w:bookmarkStart w:id="90" w:name="_Toc526489916"/>
      <w:r>
        <w:t>T</w:t>
      </w:r>
      <w:r w:rsidR="004D17B3" w:rsidRPr="0050502C">
        <w:t xml:space="preserve">able </w:t>
      </w:r>
      <w:r>
        <w:t>3.1</w:t>
      </w:r>
      <w:r w:rsidR="004D17B3" w:rsidRPr="0050502C">
        <w:t xml:space="preserve">.  </w:t>
      </w:r>
      <w:r>
        <w:t xml:space="preserve">Scientific basis for wadeable streams biostimulatory indicator numeric target. </w:t>
      </w:r>
      <w:r w:rsidR="004D17B3">
        <w:t>Beneficial use (BU) type refers to major pathway of impact to aquatic life (AL) related uses or to human (H) uses.</w:t>
      </w:r>
      <w:bookmarkEnd w:id="90"/>
      <w:r w:rsidR="004D17B3">
        <w:t xml:space="preserve"> </w:t>
      </w:r>
    </w:p>
    <w:tbl>
      <w:tblPr>
        <w:tblW w:w="13140" w:type="dxa"/>
        <w:tblInd w:w="90" w:type="dxa"/>
        <w:tblBorders>
          <w:top w:val="single" w:sz="12" w:space="0" w:color="auto"/>
          <w:bottom w:val="single" w:sz="12" w:space="0" w:color="auto"/>
        </w:tblBorders>
        <w:tblLayout w:type="fixed"/>
        <w:tblCellMar>
          <w:top w:w="14" w:type="dxa"/>
          <w:left w:w="72" w:type="dxa"/>
          <w:bottom w:w="14" w:type="dxa"/>
          <w:right w:w="72" w:type="dxa"/>
        </w:tblCellMar>
        <w:tblLook w:val="00A0" w:firstRow="1" w:lastRow="0" w:firstColumn="1" w:lastColumn="0" w:noHBand="0" w:noVBand="0"/>
      </w:tblPr>
      <w:tblGrid>
        <w:gridCol w:w="4230"/>
        <w:gridCol w:w="990"/>
        <w:gridCol w:w="7920"/>
      </w:tblGrid>
      <w:tr w:rsidR="004D17B3" w:rsidRPr="008A0924" w14:paraId="72CAB4EA" w14:textId="77777777" w:rsidTr="001F4EF4">
        <w:trPr>
          <w:tblHeader/>
        </w:trPr>
        <w:tc>
          <w:tcPr>
            <w:tcW w:w="4230" w:type="dxa"/>
            <w:tcBorders>
              <w:top w:val="single" w:sz="4" w:space="0" w:color="auto"/>
              <w:bottom w:val="single" w:sz="4" w:space="0" w:color="auto"/>
            </w:tcBorders>
            <w:shd w:val="clear" w:color="000080" w:fill="auto"/>
            <w:vAlign w:val="center"/>
          </w:tcPr>
          <w:p w14:paraId="58E3A99C" w14:textId="77777777" w:rsidR="004D17B3" w:rsidRPr="001F4EF4" w:rsidRDefault="004D17B3" w:rsidP="00EC3F79">
            <w:pPr>
              <w:pStyle w:val="TableHeading"/>
              <w:spacing w:before="40" w:after="40"/>
              <w:jc w:val="left"/>
              <w:rPr>
                <w:rFonts w:asciiTheme="minorHAnsi" w:hAnsiTheme="minorHAnsi" w:cstheme="minorHAnsi"/>
                <w:szCs w:val="18"/>
              </w:rPr>
            </w:pPr>
            <w:r w:rsidRPr="001F4EF4">
              <w:rPr>
                <w:rFonts w:asciiTheme="minorHAnsi" w:hAnsiTheme="minorHAnsi" w:cstheme="minorHAnsi"/>
                <w:szCs w:val="18"/>
              </w:rPr>
              <w:t xml:space="preserve"> Indicator</w:t>
            </w:r>
          </w:p>
        </w:tc>
        <w:tc>
          <w:tcPr>
            <w:tcW w:w="990" w:type="dxa"/>
            <w:tcBorders>
              <w:top w:val="single" w:sz="4" w:space="0" w:color="auto"/>
              <w:bottom w:val="single" w:sz="4" w:space="0" w:color="auto"/>
            </w:tcBorders>
            <w:shd w:val="clear" w:color="000080" w:fill="auto"/>
          </w:tcPr>
          <w:p w14:paraId="30EEA2CF" w14:textId="77777777" w:rsidR="004D17B3" w:rsidRPr="001F4EF4" w:rsidRDefault="004D17B3" w:rsidP="00EC3F79">
            <w:pPr>
              <w:pStyle w:val="TableHeading"/>
              <w:spacing w:before="40" w:after="40"/>
              <w:rPr>
                <w:rFonts w:asciiTheme="minorHAnsi" w:hAnsiTheme="minorHAnsi" w:cstheme="minorHAnsi"/>
                <w:szCs w:val="18"/>
              </w:rPr>
            </w:pPr>
            <w:r w:rsidRPr="001F4EF4">
              <w:rPr>
                <w:rFonts w:asciiTheme="minorHAnsi" w:hAnsiTheme="minorHAnsi" w:cstheme="minorHAnsi"/>
                <w:szCs w:val="18"/>
              </w:rPr>
              <w:t>BU Type</w:t>
            </w:r>
          </w:p>
        </w:tc>
        <w:tc>
          <w:tcPr>
            <w:tcW w:w="7920" w:type="dxa"/>
            <w:tcBorders>
              <w:top w:val="single" w:sz="4" w:space="0" w:color="auto"/>
              <w:bottom w:val="single" w:sz="4" w:space="0" w:color="auto"/>
            </w:tcBorders>
            <w:shd w:val="clear" w:color="000080" w:fill="auto"/>
          </w:tcPr>
          <w:p w14:paraId="4DE8B092" w14:textId="77777777" w:rsidR="004D17B3" w:rsidRPr="001F4EF4" w:rsidRDefault="001F4EF4" w:rsidP="00EC3F79">
            <w:pPr>
              <w:pStyle w:val="TableHeading"/>
              <w:spacing w:before="40" w:after="40"/>
              <w:rPr>
                <w:rFonts w:asciiTheme="minorHAnsi" w:hAnsiTheme="minorHAnsi" w:cstheme="minorHAnsi"/>
                <w:szCs w:val="18"/>
              </w:rPr>
            </w:pPr>
            <w:r w:rsidRPr="001F4EF4">
              <w:rPr>
                <w:rFonts w:asciiTheme="minorHAnsi" w:hAnsiTheme="minorHAnsi" w:cstheme="minorHAnsi"/>
                <w:szCs w:val="18"/>
              </w:rPr>
              <w:t>Key Literature Sources</w:t>
            </w:r>
          </w:p>
        </w:tc>
      </w:tr>
      <w:tr w:rsidR="000A705B" w:rsidRPr="008A0924" w14:paraId="3F5B12D6" w14:textId="77777777" w:rsidTr="001F4EF4">
        <w:tc>
          <w:tcPr>
            <w:tcW w:w="4230" w:type="dxa"/>
            <w:tcBorders>
              <w:top w:val="single" w:sz="4" w:space="0" w:color="auto"/>
            </w:tcBorders>
            <w:vAlign w:val="center"/>
          </w:tcPr>
          <w:p w14:paraId="658B7A14" w14:textId="77777777" w:rsidR="000A705B" w:rsidRPr="001F4EF4" w:rsidRDefault="000A705B" w:rsidP="000A705B">
            <w:pPr>
              <w:pStyle w:val="TableText0"/>
              <w:spacing w:before="40" w:after="40"/>
              <w:ind w:left="14"/>
              <w:rPr>
                <w:rFonts w:asciiTheme="minorHAnsi" w:hAnsiTheme="minorHAnsi" w:cstheme="minorHAnsi"/>
                <w:szCs w:val="18"/>
              </w:rPr>
            </w:pPr>
            <w:r w:rsidRPr="001F4EF4">
              <w:rPr>
                <w:rFonts w:asciiTheme="minorHAnsi" w:hAnsiTheme="minorHAnsi" w:cstheme="minorHAnsi"/>
                <w:szCs w:val="18"/>
              </w:rPr>
              <w:t>Aquatic Community Structure</w:t>
            </w:r>
          </w:p>
        </w:tc>
        <w:tc>
          <w:tcPr>
            <w:tcW w:w="990" w:type="dxa"/>
            <w:tcBorders>
              <w:top w:val="single" w:sz="4" w:space="0" w:color="auto"/>
            </w:tcBorders>
          </w:tcPr>
          <w:p w14:paraId="32D741E2" w14:textId="77777777" w:rsidR="000A705B" w:rsidRPr="001F4EF4" w:rsidRDefault="000A705B" w:rsidP="000A705B">
            <w:pPr>
              <w:pStyle w:val="TableText0"/>
              <w:spacing w:before="40" w:after="40"/>
              <w:jc w:val="center"/>
              <w:rPr>
                <w:rFonts w:asciiTheme="minorHAnsi" w:hAnsiTheme="minorHAnsi" w:cstheme="minorHAnsi"/>
                <w:b/>
                <w:szCs w:val="18"/>
              </w:rPr>
            </w:pPr>
          </w:p>
        </w:tc>
        <w:tc>
          <w:tcPr>
            <w:tcW w:w="7920" w:type="dxa"/>
            <w:tcBorders>
              <w:top w:val="single" w:sz="4" w:space="0" w:color="auto"/>
            </w:tcBorders>
          </w:tcPr>
          <w:p w14:paraId="0707552B" w14:textId="77777777" w:rsidR="000A705B" w:rsidRPr="001F4EF4" w:rsidRDefault="000A705B" w:rsidP="00EC3F79">
            <w:pPr>
              <w:pStyle w:val="TableText0"/>
              <w:spacing w:before="40" w:after="40"/>
              <w:jc w:val="center"/>
              <w:rPr>
                <w:rFonts w:asciiTheme="minorHAnsi" w:hAnsiTheme="minorHAnsi" w:cstheme="minorHAnsi"/>
                <w:b/>
                <w:szCs w:val="18"/>
              </w:rPr>
            </w:pPr>
          </w:p>
        </w:tc>
      </w:tr>
      <w:tr w:rsidR="000A705B" w:rsidRPr="008A0924" w14:paraId="07875CD7" w14:textId="77777777" w:rsidTr="001F4EF4">
        <w:tc>
          <w:tcPr>
            <w:tcW w:w="4230" w:type="dxa"/>
            <w:tcBorders>
              <w:top w:val="single" w:sz="4" w:space="0" w:color="auto"/>
            </w:tcBorders>
            <w:vAlign w:val="center"/>
          </w:tcPr>
          <w:p w14:paraId="23EE68C5" w14:textId="77777777" w:rsidR="000A705B" w:rsidRPr="001F4EF4" w:rsidRDefault="000A705B" w:rsidP="000A705B">
            <w:pPr>
              <w:pStyle w:val="TableText0"/>
              <w:spacing w:before="40" w:after="40"/>
              <w:ind w:left="284"/>
              <w:rPr>
                <w:rFonts w:asciiTheme="minorHAnsi" w:hAnsiTheme="minorHAnsi" w:cstheme="minorHAnsi"/>
                <w:szCs w:val="18"/>
              </w:rPr>
            </w:pPr>
            <w:r w:rsidRPr="001F4EF4">
              <w:rPr>
                <w:rFonts w:asciiTheme="minorHAnsi" w:hAnsiTheme="minorHAnsi" w:cstheme="minorHAnsi"/>
                <w:szCs w:val="18"/>
              </w:rPr>
              <w:t>Benthic algal community composition (ASCI)</w:t>
            </w:r>
          </w:p>
        </w:tc>
        <w:tc>
          <w:tcPr>
            <w:tcW w:w="990" w:type="dxa"/>
            <w:tcBorders>
              <w:top w:val="single" w:sz="4" w:space="0" w:color="auto"/>
            </w:tcBorders>
          </w:tcPr>
          <w:p w14:paraId="0C361CEB" w14:textId="77777777" w:rsidR="000A705B" w:rsidRPr="001F4EF4" w:rsidRDefault="000A705B" w:rsidP="000A705B">
            <w:pPr>
              <w:pStyle w:val="TableText0"/>
              <w:spacing w:before="40" w:after="40"/>
              <w:jc w:val="center"/>
              <w:rPr>
                <w:rFonts w:asciiTheme="minorHAnsi" w:hAnsiTheme="minorHAnsi" w:cstheme="minorHAnsi"/>
                <w:b/>
                <w:szCs w:val="18"/>
              </w:rPr>
            </w:pPr>
            <w:r w:rsidRPr="001F4EF4">
              <w:rPr>
                <w:rFonts w:asciiTheme="minorHAnsi" w:hAnsiTheme="minorHAnsi" w:cstheme="minorHAnsi"/>
                <w:szCs w:val="18"/>
              </w:rPr>
              <w:t>AL</w:t>
            </w:r>
          </w:p>
        </w:tc>
        <w:tc>
          <w:tcPr>
            <w:tcW w:w="7920" w:type="dxa"/>
            <w:tcBorders>
              <w:top w:val="single" w:sz="4" w:space="0" w:color="auto"/>
            </w:tcBorders>
          </w:tcPr>
          <w:p w14:paraId="13002490" w14:textId="77777777" w:rsidR="000A705B" w:rsidRPr="001F4EF4" w:rsidRDefault="001F4EF4" w:rsidP="001F4EF4">
            <w:pPr>
              <w:pStyle w:val="TableText0"/>
              <w:spacing w:before="40" w:after="40"/>
              <w:rPr>
                <w:rFonts w:asciiTheme="minorHAnsi" w:hAnsiTheme="minorHAnsi" w:cstheme="minorHAnsi"/>
                <w:b/>
                <w:szCs w:val="18"/>
              </w:rPr>
            </w:pPr>
            <w:r w:rsidRPr="001F4EF4">
              <w:rPr>
                <w:rFonts w:asciiTheme="minorHAnsi" w:hAnsiTheme="minorHAnsi" w:cstheme="minorHAnsi"/>
                <w:szCs w:val="18"/>
              </w:rPr>
              <w:t xml:space="preserve">ASCI (Theroux et al. in prep), </w:t>
            </w:r>
            <w:r w:rsidR="000A705B" w:rsidRPr="001F4EF4">
              <w:rPr>
                <w:rFonts w:asciiTheme="minorHAnsi" w:hAnsiTheme="minorHAnsi" w:cstheme="minorHAnsi"/>
                <w:szCs w:val="18"/>
              </w:rPr>
              <w:t xml:space="preserve">Expert </w:t>
            </w:r>
            <w:r>
              <w:rPr>
                <w:rFonts w:asciiTheme="minorHAnsi" w:hAnsiTheme="minorHAnsi" w:cstheme="minorHAnsi"/>
                <w:szCs w:val="18"/>
              </w:rPr>
              <w:t>Biological Condition Gradient (BCG) Interpretation (Paul et al. in prep)</w:t>
            </w:r>
          </w:p>
        </w:tc>
      </w:tr>
      <w:tr w:rsidR="000A705B" w:rsidRPr="008A0924" w14:paraId="66D32BA5" w14:textId="77777777" w:rsidTr="001F4EF4">
        <w:tc>
          <w:tcPr>
            <w:tcW w:w="4230" w:type="dxa"/>
            <w:tcBorders>
              <w:top w:val="single" w:sz="4" w:space="0" w:color="auto"/>
            </w:tcBorders>
            <w:vAlign w:val="center"/>
          </w:tcPr>
          <w:p w14:paraId="6F01643E" w14:textId="77777777" w:rsidR="000A705B" w:rsidRPr="001F4EF4" w:rsidRDefault="000A705B" w:rsidP="000A705B">
            <w:pPr>
              <w:pStyle w:val="TableText0"/>
              <w:spacing w:before="40" w:after="40"/>
              <w:ind w:left="284"/>
              <w:rPr>
                <w:rFonts w:asciiTheme="minorHAnsi" w:hAnsiTheme="minorHAnsi" w:cstheme="minorHAnsi"/>
                <w:szCs w:val="18"/>
              </w:rPr>
            </w:pPr>
            <w:r w:rsidRPr="001F4EF4">
              <w:rPr>
                <w:rFonts w:asciiTheme="minorHAnsi" w:hAnsiTheme="minorHAnsi" w:cstheme="minorHAnsi"/>
                <w:szCs w:val="18"/>
              </w:rPr>
              <w:t>BMI community composition (CSCI)</w:t>
            </w:r>
          </w:p>
        </w:tc>
        <w:tc>
          <w:tcPr>
            <w:tcW w:w="990" w:type="dxa"/>
            <w:tcBorders>
              <w:top w:val="single" w:sz="4" w:space="0" w:color="auto"/>
            </w:tcBorders>
          </w:tcPr>
          <w:p w14:paraId="236F8AF2" w14:textId="77777777" w:rsidR="000A705B" w:rsidRPr="001F4EF4" w:rsidRDefault="000A705B" w:rsidP="000A705B">
            <w:pPr>
              <w:pStyle w:val="TableText0"/>
              <w:spacing w:before="40" w:after="40"/>
              <w:jc w:val="center"/>
              <w:rPr>
                <w:rFonts w:asciiTheme="minorHAnsi" w:hAnsiTheme="minorHAnsi" w:cstheme="minorHAnsi"/>
                <w:b/>
                <w:szCs w:val="18"/>
              </w:rPr>
            </w:pPr>
            <w:r w:rsidRPr="001F4EF4">
              <w:rPr>
                <w:rFonts w:asciiTheme="minorHAnsi" w:hAnsiTheme="minorHAnsi" w:cstheme="minorHAnsi"/>
                <w:szCs w:val="18"/>
              </w:rPr>
              <w:t>AL</w:t>
            </w:r>
          </w:p>
        </w:tc>
        <w:tc>
          <w:tcPr>
            <w:tcW w:w="7920" w:type="dxa"/>
            <w:tcBorders>
              <w:top w:val="single" w:sz="4" w:space="0" w:color="auto"/>
            </w:tcBorders>
          </w:tcPr>
          <w:p w14:paraId="09323976" w14:textId="77777777" w:rsidR="000A705B" w:rsidRPr="001F4EF4" w:rsidRDefault="001F4EF4" w:rsidP="001F4EF4">
            <w:pPr>
              <w:pStyle w:val="TableText0"/>
              <w:spacing w:before="40" w:after="40"/>
              <w:rPr>
                <w:rFonts w:asciiTheme="minorHAnsi" w:hAnsiTheme="minorHAnsi" w:cstheme="minorHAnsi"/>
                <w:b/>
                <w:szCs w:val="18"/>
              </w:rPr>
            </w:pPr>
            <w:r>
              <w:rPr>
                <w:rFonts w:asciiTheme="minorHAnsi" w:hAnsiTheme="minorHAnsi" w:cstheme="minorHAnsi"/>
                <w:szCs w:val="18"/>
              </w:rPr>
              <w:t>CSCI (Mazor et al. 2016), Expert BCG) Interpretation (Paul et al. in prep)</w:t>
            </w:r>
          </w:p>
        </w:tc>
      </w:tr>
      <w:tr w:rsidR="000A705B" w:rsidRPr="008A0924" w14:paraId="5C52C28A" w14:textId="77777777" w:rsidTr="001F4EF4">
        <w:tc>
          <w:tcPr>
            <w:tcW w:w="4230" w:type="dxa"/>
            <w:tcBorders>
              <w:top w:val="single" w:sz="4" w:space="0" w:color="auto"/>
            </w:tcBorders>
            <w:vAlign w:val="center"/>
          </w:tcPr>
          <w:p w14:paraId="4E3E5998" w14:textId="77777777" w:rsidR="000A705B" w:rsidRPr="001F4EF4" w:rsidRDefault="000A705B" w:rsidP="000A705B">
            <w:pPr>
              <w:pStyle w:val="TableText0"/>
              <w:spacing w:before="40" w:after="40"/>
              <w:ind w:left="14"/>
              <w:rPr>
                <w:rFonts w:asciiTheme="minorHAnsi" w:hAnsiTheme="minorHAnsi" w:cstheme="minorHAnsi"/>
                <w:szCs w:val="18"/>
              </w:rPr>
            </w:pPr>
            <w:r w:rsidRPr="001F4EF4">
              <w:rPr>
                <w:rFonts w:asciiTheme="minorHAnsi" w:hAnsiTheme="minorHAnsi" w:cstheme="minorHAnsi"/>
                <w:szCs w:val="18"/>
              </w:rPr>
              <w:t>Causal (Biostimulatory Substances and Conditions)</w:t>
            </w:r>
          </w:p>
        </w:tc>
        <w:tc>
          <w:tcPr>
            <w:tcW w:w="990" w:type="dxa"/>
            <w:tcBorders>
              <w:top w:val="single" w:sz="4" w:space="0" w:color="auto"/>
            </w:tcBorders>
          </w:tcPr>
          <w:p w14:paraId="48FFF156" w14:textId="77777777" w:rsidR="000A705B" w:rsidRPr="001F4EF4" w:rsidRDefault="000A705B" w:rsidP="000A705B">
            <w:pPr>
              <w:pStyle w:val="TableText0"/>
              <w:spacing w:before="40" w:after="40"/>
              <w:jc w:val="center"/>
              <w:rPr>
                <w:rFonts w:asciiTheme="minorHAnsi" w:hAnsiTheme="minorHAnsi" w:cstheme="minorHAnsi"/>
                <w:b/>
                <w:szCs w:val="18"/>
              </w:rPr>
            </w:pPr>
          </w:p>
        </w:tc>
        <w:tc>
          <w:tcPr>
            <w:tcW w:w="7920" w:type="dxa"/>
            <w:tcBorders>
              <w:top w:val="single" w:sz="4" w:space="0" w:color="auto"/>
            </w:tcBorders>
          </w:tcPr>
          <w:p w14:paraId="1DDA5745" w14:textId="77777777" w:rsidR="000A705B" w:rsidRPr="001F4EF4" w:rsidRDefault="000A705B" w:rsidP="001F4EF4">
            <w:pPr>
              <w:pStyle w:val="TableText0"/>
              <w:spacing w:before="40" w:after="40"/>
              <w:rPr>
                <w:rFonts w:asciiTheme="minorHAnsi" w:hAnsiTheme="minorHAnsi" w:cstheme="minorHAnsi"/>
                <w:b/>
                <w:szCs w:val="18"/>
              </w:rPr>
            </w:pPr>
          </w:p>
        </w:tc>
      </w:tr>
      <w:tr w:rsidR="000A705B" w:rsidRPr="008A0924" w14:paraId="446DF5FB" w14:textId="77777777" w:rsidTr="001F4EF4">
        <w:tc>
          <w:tcPr>
            <w:tcW w:w="4230" w:type="dxa"/>
            <w:tcBorders>
              <w:top w:val="single" w:sz="4" w:space="0" w:color="auto"/>
            </w:tcBorders>
            <w:vAlign w:val="center"/>
          </w:tcPr>
          <w:p w14:paraId="6DFE051E" w14:textId="77777777" w:rsidR="000A705B" w:rsidRPr="001F4EF4" w:rsidRDefault="000A705B" w:rsidP="000A705B">
            <w:pPr>
              <w:pStyle w:val="TableText0"/>
              <w:spacing w:before="40" w:after="40"/>
              <w:ind w:left="14" w:firstLine="360"/>
              <w:rPr>
                <w:rFonts w:asciiTheme="minorHAnsi" w:hAnsiTheme="minorHAnsi" w:cstheme="minorHAnsi"/>
                <w:szCs w:val="18"/>
              </w:rPr>
            </w:pPr>
            <w:r w:rsidRPr="001F4EF4">
              <w:rPr>
                <w:rFonts w:asciiTheme="minorHAnsi" w:hAnsiTheme="minorHAnsi" w:cstheme="minorHAnsi"/>
                <w:szCs w:val="18"/>
              </w:rPr>
              <w:t>Nitrogen and phosphorus</w:t>
            </w:r>
          </w:p>
        </w:tc>
        <w:tc>
          <w:tcPr>
            <w:tcW w:w="990" w:type="dxa"/>
            <w:tcBorders>
              <w:top w:val="single" w:sz="4" w:space="0" w:color="auto"/>
            </w:tcBorders>
          </w:tcPr>
          <w:p w14:paraId="451739B2" w14:textId="77777777" w:rsidR="000A705B" w:rsidRPr="001F4EF4" w:rsidRDefault="000A705B" w:rsidP="000A705B">
            <w:pPr>
              <w:pStyle w:val="TableText0"/>
              <w:spacing w:before="40" w:after="40"/>
              <w:jc w:val="center"/>
              <w:rPr>
                <w:rFonts w:asciiTheme="minorHAnsi" w:hAnsiTheme="minorHAnsi" w:cstheme="minorHAnsi"/>
                <w:b/>
                <w:szCs w:val="18"/>
              </w:rPr>
            </w:pPr>
            <w:r w:rsidRPr="001F4EF4">
              <w:rPr>
                <w:rFonts w:asciiTheme="minorHAnsi" w:hAnsiTheme="minorHAnsi" w:cstheme="minorHAnsi"/>
                <w:szCs w:val="18"/>
              </w:rPr>
              <w:t>AL</w:t>
            </w:r>
          </w:p>
        </w:tc>
        <w:tc>
          <w:tcPr>
            <w:tcW w:w="7920" w:type="dxa"/>
            <w:tcBorders>
              <w:top w:val="single" w:sz="4" w:space="0" w:color="auto"/>
            </w:tcBorders>
          </w:tcPr>
          <w:p w14:paraId="270D4DCA" w14:textId="77777777" w:rsidR="000A705B" w:rsidRPr="001F4EF4" w:rsidRDefault="00187B40" w:rsidP="001F4EF4">
            <w:pPr>
              <w:pStyle w:val="TableText0"/>
              <w:spacing w:before="40" w:after="40"/>
              <w:rPr>
                <w:rFonts w:asciiTheme="minorHAnsi" w:hAnsiTheme="minorHAnsi" w:cstheme="minorHAnsi"/>
                <w:b/>
                <w:szCs w:val="18"/>
              </w:rPr>
            </w:pPr>
            <w:r>
              <w:rPr>
                <w:rFonts w:asciiTheme="minorHAnsi" w:hAnsiTheme="minorHAnsi" w:cstheme="minorHAnsi"/>
                <w:szCs w:val="18"/>
              </w:rPr>
              <w:t xml:space="preserve">CA </w:t>
            </w:r>
            <w:r w:rsidR="000A705B" w:rsidRPr="001F4EF4">
              <w:rPr>
                <w:rFonts w:asciiTheme="minorHAnsi" w:hAnsiTheme="minorHAnsi" w:cstheme="minorHAnsi"/>
                <w:szCs w:val="18"/>
              </w:rPr>
              <w:t>Stress-Response</w:t>
            </w:r>
            <w:r w:rsidR="001F4EF4">
              <w:rPr>
                <w:rFonts w:asciiTheme="minorHAnsi" w:hAnsiTheme="minorHAnsi" w:cstheme="minorHAnsi"/>
                <w:szCs w:val="18"/>
              </w:rPr>
              <w:t xml:space="preserve"> and reference percentiles (Mazor et al. in prep, Fetscher et al. 2014)</w:t>
            </w:r>
          </w:p>
        </w:tc>
      </w:tr>
      <w:tr w:rsidR="000A705B" w:rsidRPr="008A0924" w14:paraId="70748C99" w14:textId="77777777" w:rsidTr="001F4EF4">
        <w:tc>
          <w:tcPr>
            <w:tcW w:w="4230" w:type="dxa"/>
            <w:tcBorders>
              <w:top w:val="single" w:sz="4" w:space="0" w:color="auto"/>
            </w:tcBorders>
            <w:vAlign w:val="center"/>
          </w:tcPr>
          <w:p w14:paraId="49826F7B" w14:textId="77777777" w:rsidR="000A705B" w:rsidRPr="001F4EF4" w:rsidRDefault="000A705B" w:rsidP="000A705B">
            <w:pPr>
              <w:pStyle w:val="TableText0"/>
              <w:spacing w:before="40" w:after="40"/>
              <w:ind w:left="14"/>
              <w:rPr>
                <w:rFonts w:asciiTheme="minorHAnsi" w:hAnsiTheme="minorHAnsi" w:cstheme="minorHAnsi"/>
                <w:szCs w:val="18"/>
              </w:rPr>
            </w:pPr>
            <w:r w:rsidRPr="001F4EF4">
              <w:rPr>
                <w:rFonts w:asciiTheme="minorHAnsi" w:hAnsiTheme="minorHAnsi" w:cstheme="minorHAnsi"/>
                <w:szCs w:val="18"/>
              </w:rPr>
              <w:t>Organic matter accumulation</w:t>
            </w:r>
          </w:p>
        </w:tc>
        <w:tc>
          <w:tcPr>
            <w:tcW w:w="990" w:type="dxa"/>
            <w:tcBorders>
              <w:top w:val="single" w:sz="4" w:space="0" w:color="auto"/>
            </w:tcBorders>
          </w:tcPr>
          <w:p w14:paraId="2BFB9E99" w14:textId="77777777" w:rsidR="000A705B" w:rsidRPr="001F4EF4" w:rsidRDefault="000A705B" w:rsidP="000A705B">
            <w:pPr>
              <w:pStyle w:val="TableText0"/>
              <w:spacing w:before="40" w:after="40"/>
              <w:jc w:val="center"/>
              <w:rPr>
                <w:rFonts w:asciiTheme="minorHAnsi" w:hAnsiTheme="minorHAnsi" w:cstheme="minorHAnsi"/>
                <w:b/>
                <w:szCs w:val="18"/>
              </w:rPr>
            </w:pPr>
          </w:p>
        </w:tc>
        <w:tc>
          <w:tcPr>
            <w:tcW w:w="7920" w:type="dxa"/>
            <w:tcBorders>
              <w:top w:val="single" w:sz="4" w:space="0" w:color="auto"/>
            </w:tcBorders>
          </w:tcPr>
          <w:p w14:paraId="6F00100C" w14:textId="77777777" w:rsidR="000A705B" w:rsidRPr="001F4EF4" w:rsidRDefault="000A705B" w:rsidP="001F4EF4">
            <w:pPr>
              <w:pStyle w:val="TableText0"/>
              <w:spacing w:before="40" w:after="40"/>
              <w:rPr>
                <w:rFonts w:asciiTheme="minorHAnsi" w:hAnsiTheme="minorHAnsi" w:cstheme="minorHAnsi"/>
                <w:b/>
                <w:szCs w:val="18"/>
              </w:rPr>
            </w:pPr>
          </w:p>
        </w:tc>
      </w:tr>
      <w:tr w:rsidR="000A705B" w:rsidRPr="008A0924" w14:paraId="2591E8F6" w14:textId="77777777" w:rsidTr="001F4EF4">
        <w:tc>
          <w:tcPr>
            <w:tcW w:w="4230" w:type="dxa"/>
            <w:tcBorders>
              <w:top w:val="single" w:sz="4" w:space="0" w:color="auto"/>
            </w:tcBorders>
            <w:vAlign w:val="center"/>
          </w:tcPr>
          <w:p w14:paraId="4242CDAE" w14:textId="77777777" w:rsidR="000A705B" w:rsidRPr="001F4EF4" w:rsidRDefault="000A705B" w:rsidP="000A705B">
            <w:pPr>
              <w:pStyle w:val="TableText0"/>
              <w:spacing w:before="40" w:after="40"/>
              <w:ind w:left="285"/>
              <w:rPr>
                <w:rFonts w:asciiTheme="minorHAnsi" w:hAnsiTheme="minorHAnsi" w:cstheme="minorHAnsi"/>
                <w:szCs w:val="18"/>
              </w:rPr>
            </w:pPr>
            <w:r w:rsidRPr="001F4EF4">
              <w:rPr>
                <w:rFonts w:asciiTheme="minorHAnsi" w:hAnsiTheme="minorHAnsi" w:cstheme="minorHAnsi"/>
                <w:szCs w:val="18"/>
              </w:rPr>
              <w:t xml:space="preserve">Benthic algal biomass (benthic chl-a) </w:t>
            </w:r>
          </w:p>
        </w:tc>
        <w:tc>
          <w:tcPr>
            <w:tcW w:w="990" w:type="dxa"/>
            <w:tcBorders>
              <w:top w:val="single" w:sz="4" w:space="0" w:color="auto"/>
            </w:tcBorders>
          </w:tcPr>
          <w:p w14:paraId="17D96F0B" w14:textId="77777777" w:rsidR="000A705B" w:rsidRPr="001F4EF4" w:rsidRDefault="000A705B" w:rsidP="000A705B">
            <w:pPr>
              <w:pStyle w:val="TableText0"/>
              <w:spacing w:before="40" w:after="40"/>
              <w:jc w:val="center"/>
              <w:rPr>
                <w:rFonts w:asciiTheme="minorHAnsi" w:hAnsiTheme="minorHAnsi" w:cstheme="minorHAnsi"/>
                <w:szCs w:val="18"/>
              </w:rPr>
            </w:pPr>
            <w:r w:rsidRPr="001F4EF4">
              <w:rPr>
                <w:rFonts w:asciiTheme="minorHAnsi" w:hAnsiTheme="minorHAnsi" w:cstheme="minorHAnsi"/>
                <w:szCs w:val="18"/>
              </w:rPr>
              <w:t>AL</w:t>
            </w:r>
          </w:p>
        </w:tc>
        <w:tc>
          <w:tcPr>
            <w:tcW w:w="7920" w:type="dxa"/>
            <w:tcBorders>
              <w:top w:val="single" w:sz="4" w:space="0" w:color="auto"/>
            </w:tcBorders>
          </w:tcPr>
          <w:p w14:paraId="0B85C2E1" w14:textId="77777777" w:rsidR="000A705B" w:rsidRPr="001F4EF4" w:rsidRDefault="00187B40" w:rsidP="001F4EF4">
            <w:pPr>
              <w:pStyle w:val="TableText0"/>
              <w:spacing w:before="40" w:after="40"/>
              <w:rPr>
                <w:rFonts w:asciiTheme="minorHAnsi" w:hAnsiTheme="minorHAnsi" w:cstheme="minorHAnsi"/>
                <w:szCs w:val="18"/>
              </w:rPr>
            </w:pPr>
            <w:r>
              <w:rPr>
                <w:rFonts w:asciiTheme="minorHAnsi" w:hAnsiTheme="minorHAnsi" w:cstheme="minorHAnsi"/>
                <w:szCs w:val="18"/>
              </w:rPr>
              <w:t xml:space="preserve">CA </w:t>
            </w:r>
            <w:r w:rsidR="001F4EF4" w:rsidRPr="001F4EF4">
              <w:rPr>
                <w:rFonts w:asciiTheme="minorHAnsi" w:hAnsiTheme="minorHAnsi" w:cstheme="minorHAnsi"/>
                <w:szCs w:val="18"/>
              </w:rPr>
              <w:t>Stress-Response</w:t>
            </w:r>
            <w:r w:rsidR="001F4EF4">
              <w:rPr>
                <w:rFonts w:asciiTheme="minorHAnsi" w:hAnsiTheme="minorHAnsi" w:cstheme="minorHAnsi"/>
                <w:szCs w:val="18"/>
              </w:rPr>
              <w:t xml:space="preserve"> and reference percentiles (Mazor et al. in prep, Fetscher et al. 2014)</w:t>
            </w:r>
          </w:p>
        </w:tc>
      </w:tr>
      <w:tr w:rsidR="000A705B" w:rsidRPr="008A0924" w14:paraId="3573A20D" w14:textId="77777777" w:rsidTr="001F4EF4">
        <w:tc>
          <w:tcPr>
            <w:tcW w:w="4230" w:type="dxa"/>
            <w:tcBorders>
              <w:top w:val="single" w:sz="4" w:space="0" w:color="auto"/>
            </w:tcBorders>
            <w:vAlign w:val="center"/>
          </w:tcPr>
          <w:p w14:paraId="69A2FA2F" w14:textId="77777777" w:rsidR="000A705B" w:rsidRPr="001F4EF4" w:rsidRDefault="000A705B" w:rsidP="000A705B">
            <w:pPr>
              <w:pStyle w:val="TableText0"/>
              <w:spacing w:before="40" w:after="40"/>
              <w:ind w:left="285"/>
              <w:rPr>
                <w:rFonts w:asciiTheme="minorHAnsi" w:hAnsiTheme="minorHAnsi" w:cstheme="minorHAnsi"/>
                <w:szCs w:val="18"/>
              </w:rPr>
            </w:pPr>
            <w:r w:rsidRPr="001F4EF4">
              <w:rPr>
                <w:rFonts w:asciiTheme="minorHAnsi" w:hAnsiTheme="minorHAnsi" w:cstheme="minorHAnsi"/>
                <w:szCs w:val="18"/>
              </w:rPr>
              <w:t>Water column all biomass (water column chl-a)</w:t>
            </w:r>
          </w:p>
        </w:tc>
        <w:tc>
          <w:tcPr>
            <w:tcW w:w="990" w:type="dxa"/>
            <w:tcBorders>
              <w:top w:val="single" w:sz="4" w:space="0" w:color="auto"/>
            </w:tcBorders>
          </w:tcPr>
          <w:p w14:paraId="2C64CE98" w14:textId="77777777" w:rsidR="000A705B" w:rsidRPr="001F4EF4" w:rsidRDefault="000A705B" w:rsidP="000A705B">
            <w:pPr>
              <w:pStyle w:val="TableText0"/>
              <w:spacing w:before="40" w:after="40"/>
              <w:jc w:val="center"/>
              <w:rPr>
                <w:rFonts w:asciiTheme="minorHAnsi" w:hAnsiTheme="minorHAnsi" w:cstheme="minorHAnsi"/>
                <w:szCs w:val="18"/>
              </w:rPr>
            </w:pPr>
            <w:r w:rsidRPr="001F4EF4">
              <w:rPr>
                <w:rFonts w:asciiTheme="minorHAnsi" w:hAnsiTheme="minorHAnsi" w:cstheme="minorHAnsi"/>
                <w:szCs w:val="18"/>
              </w:rPr>
              <w:t>AL</w:t>
            </w:r>
          </w:p>
        </w:tc>
        <w:tc>
          <w:tcPr>
            <w:tcW w:w="7920" w:type="dxa"/>
            <w:tcBorders>
              <w:top w:val="single" w:sz="4" w:space="0" w:color="auto"/>
            </w:tcBorders>
          </w:tcPr>
          <w:p w14:paraId="325657D0" w14:textId="77777777" w:rsidR="000A705B" w:rsidRPr="001F4EF4" w:rsidRDefault="00187B40" w:rsidP="001F4EF4">
            <w:pPr>
              <w:pStyle w:val="TableText0"/>
              <w:spacing w:before="40" w:after="40"/>
              <w:rPr>
                <w:rFonts w:asciiTheme="minorHAnsi" w:hAnsiTheme="minorHAnsi" w:cstheme="minorHAnsi"/>
                <w:szCs w:val="18"/>
              </w:rPr>
            </w:pPr>
            <w:r>
              <w:rPr>
                <w:rFonts w:asciiTheme="minorHAnsi" w:hAnsiTheme="minorHAnsi" w:cstheme="minorHAnsi"/>
                <w:szCs w:val="18"/>
              </w:rPr>
              <w:t>Central Coast Basin Plan, US stress response and reference percentile (various)</w:t>
            </w:r>
          </w:p>
        </w:tc>
      </w:tr>
      <w:tr w:rsidR="001F4EF4" w:rsidRPr="008A0924" w14:paraId="437635E8" w14:textId="77777777" w:rsidTr="001F4EF4">
        <w:tc>
          <w:tcPr>
            <w:tcW w:w="4230" w:type="dxa"/>
            <w:tcBorders>
              <w:top w:val="single" w:sz="4" w:space="0" w:color="auto"/>
            </w:tcBorders>
            <w:vAlign w:val="center"/>
          </w:tcPr>
          <w:p w14:paraId="301C9E3F" w14:textId="77777777" w:rsidR="001F4EF4" w:rsidRPr="001F4EF4" w:rsidRDefault="001F4EF4" w:rsidP="001F4EF4">
            <w:pPr>
              <w:pStyle w:val="TableText0"/>
              <w:spacing w:before="40" w:after="40"/>
              <w:ind w:left="285"/>
              <w:rPr>
                <w:rFonts w:asciiTheme="minorHAnsi" w:hAnsiTheme="minorHAnsi" w:cstheme="minorHAnsi"/>
                <w:szCs w:val="18"/>
              </w:rPr>
            </w:pPr>
            <w:r w:rsidRPr="001F4EF4">
              <w:rPr>
                <w:rFonts w:asciiTheme="minorHAnsi" w:hAnsiTheme="minorHAnsi" w:cstheme="minorHAnsi"/>
                <w:szCs w:val="18"/>
              </w:rPr>
              <w:t xml:space="preserve">Benthic AFDM </w:t>
            </w:r>
          </w:p>
        </w:tc>
        <w:tc>
          <w:tcPr>
            <w:tcW w:w="990" w:type="dxa"/>
            <w:tcBorders>
              <w:top w:val="single" w:sz="4" w:space="0" w:color="auto"/>
            </w:tcBorders>
          </w:tcPr>
          <w:p w14:paraId="54EFA257" w14:textId="77777777" w:rsidR="001F4EF4" w:rsidRPr="001F4EF4" w:rsidRDefault="001F4EF4" w:rsidP="001F4EF4">
            <w:pPr>
              <w:pStyle w:val="TableText0"/>
              <w:spacing w:before="40" w:after="40"/>
              <w:jc w:val="center"/>
              <w:rPr>
                <w:rFonts w:asciiTheme="minorHAnsi" w:hAnsiTheme="minorHAnsi" w:cstheme="minorHAnsi"/>
                <w:szCs w:val="18"/>
              </w:rPr>
            </w:pPr>
            <w:r w:rsidRPr="001F4EF4">
              <w:rPr>
                <w:rFonts w:asciiTheme="minorHAnsi" w:hAnsiTheme="minorHAnsi" w:cstheme="minorHAnsi"/>
                <w:szCs w:val="18"/>
              </w:rPr>
              <w:t>AL</w:t>
            </w:r>
          </w:p>
        </w:tc>
        <w:tc>
          <w:tcPr>
            <w:tcW w:w="7920" w:type="dxa"/>
            <w:tcBorders>
              <w:top w:val="single" w:sz="4" w:space="0" w:color="auto"/>
            </w:tcBorders>
          </w:tcPr>
          <w:p w14:paraId="0833BA14" w14:textId="77777777" w:rsidR="001F4EF4" w:rsidRPr="001F4EF4" w:rsidRDefault="001F4EF4" w:rsidP="001F4EF4">
            <w:pPr>
              <w:pStyle w:val="TableText0"/>
              <w:spacing w:before="40" w:after="40"/>
              <w:rPr>
                <w:rFonts w:asciiTheme="minorHAnsi" w:hAnsiTheme="minorHAnsi" w:cstheme="minorHAnsi"/>
                <w:szCs w:val="18"/>
              </w:rPr>
            </w:pPr>
            <w:r w:rsidRPr="001F4EF4">
              <w:rPr>
                <w:rFonts w:asciiTheme="minorHAnsi" w:hAnsiTheme="minorHAnsi" w:cstheme="minorHAnsi"/>
                <w:szCs w:val="18"/>
              </w:rPr>
              <w:t>Stress-Response</w:t>
            </w:r>
            <w:r>
              <w:rPr>
                <w:rFonts w:asciiTheme="minorHAnsi" w:hAnsiTheme="minorHAnsi" w:cstheme="minorHAnsi"/>
                <w:szCs w:val="18"/>
              </w:rPr>
              <w:t xml:space="preserve"> and reference percentiles (Mazor et al. in prep, Fetscher et al. 2014)</w:t>
            </w:r>
          </w:p>
        </w:tc>
      </w:tr>
      <w:tr w:rsidR="001F4EF4" w:rsidRPr="008A0924" w14:paraId="6FE44CC0" w14:textId="77777777" w:rsidTr="001F4EF4">
        <w:tc>
          <w:tcPr>
            <w:tcW w:w="4230" w:type="dxa"/>
            <w:vMerge w:val="restart"/>
            <w:tcBorders>
              <w:top w:val="single" w:sz="4" w:space="0" w:color="auto"/>
            </w:tcBorders>
            <w:vAlign w:val="center"/>
          </w:tcPr>
          <w:p w14:paraId="28FED84E" w14:textId="77777777" w:rsidR="001F4EF4" w:rsidRPr="001F4EF4" w:rsidRDefault="001F4EF4" w:rsidP="001F4EF4">
            <w:pPr>
              <w:pStyle w:val="TableText0"/>
              <w:spacing w:before="40" w:after="40"/>
              <w:ind w:left="285"/>
              <w:rPr>
                <w:rFonts w:asciiTheme="minorHAnsi" w:hAnsiTheme="minorHAnsi" w:cstheme="minorHAnsi"/>
                <w:szCs w:val="18"/>
              </w:rPr>
            </w:pPr>
            <w:r w:rsidRPr="001F4EF4">
              <w:rPr>
                <w:rFonts w:asciiTheme="minorHAnsi" w:hAnsiTheme="minorHAnsi" w:cstheme="minorHAnsi"/>
                <w:szCs w:val="18"/>
              </w:rPr>
              <w:t xml:space="preserve">Benthic or floating macroalgal percent cover </w:t>
            </w:r>
          </w:p>
        </w:tc>
        <w:tc>
          <w:tcPr>
            <w:tcW w:w="990" w:type="dxa"/>
            <w:tcBorders>
              <w:top w:val="single" w:sz="4" w:space="0" w:color="auto"/>
            </w:tcBorders>
          </w:tcPr>
          <w:p w14:paraId="53BCE5B4" w14:textId="77777777" w:rsidR="001F4EF4" w:rsidRPr="001F4EF4" w:rsidRDefault="001F4EF4" w:rsidP="001F4EF4">
            <w:pPr>
              <w:pStyle w:val="TableText0"/>
              <w:spacing w:before="40" w:after="40"/>
              <w:jc w:val="center"/>
              <w:rPr>
                <w:rFonts w:asciiTheme="minorHAnsi" w:hAnsiTheme="minorHAnsi" w:cstheme="minorHAnsi"/>
                <w:szCs w:val="18"/>
              </w:rPr>
            </w:pPr>
            <w:r w:rsidRPr="001F4EF4">
              <w:rPr>
                <w:rFonts w:asciiTheme="minorHAnsi" w:hAnsiTheme="minorHAnsi" w:cstheme="minorHAnsi"/>
                <w:szCs w:val="18"/>
              </w:rPr>
              <w:t>H</w:t>
            </w:r>
          </w:p>
        </w:tc>
        <w:tc>
          <w:tcPr>
            <w:tcW w:w="7920" w:type="dxa"/>
            <w:tcBorders>
              <w:top w:val="single" w:sz="4" w:space="0" w:color="auto"/>
            </w:tcBorders>
          </w:tcPr>
          <w:p w14:paraId="10C4FB2B" w14:textId="77777777" w:rsidR="001F4EF4" w:rsidRPr="001F4EF4" w:rsidRDefault="00187B40" w:rsidP="001F4EF4">
            <w:pPr>
              <w:pStyle w:val="TableText0"/>
              <w:spacing w:before="40" w:after="40"/>
              <w:rPr>
                <w:rFonts w:asciiTheme="minorHAnsi" w:hAnsiTheme="minorHAnsi" w:cstheme="minorHAnsi"/>
                <w:szCs w:val="18"/>
              </w:rPr>
            </w:pPr>
            <w:r>
              <w:rPr>
                <w:rFonts w:asciiTheme="minorHAnsi" w:hAnsiTheme="minorHAnsi" w:cstheme="minorHAnsi"/>
                <w:szCs w:val="18"/>
              </w:rPr>
              <w:t>Suplee et al. 2009, Jakus et al. 2017</w:t>
            </w:r>
          </w:p>
        </w:tc>
      </w:tr>
      <w:tr w:rsidR="00187B40" w:rsidRPr="008A0924" w14:paraId="35A093F3" w14:textId="77777777" w:rsidTr="001F4EF4">
        <w:tc>
          <w:tcPr>
            <w:tcW w:w="4230" w:type="dxa"/>
            <w:vMerge/>
            <w:vAlign w:val="center"/>
          </w:tcPr>
          <w:p w14:paraId="2461616E" w14:textId="77777777" w:rsidR="00187B40" w:rsidRPr="001F4EF4" w:rsidRDefault="00187B40" w:rsidP="00187B40">
            <w:pPr>
              <w:pStyle w:val="TableText0"/>
              <w:spacing w:before="40" w:after="40"/>
              <w:ind w:left="285"/>
              <w:rPr>
                <w:rFonts w:asciiTheme="minorHAnsi" w:hAnsiTheme="minorHAnsi" w:cstheme="minorHAnsi"/>
                <w:szCs w:val="18"/>
              </w:rPr>
            </w:pPr>
          </w:p>
        </w:tc>
        <w:tc>
          <w:tcPr>
            <w:tcW w:w="990" w:type="dxa"/>
            <w:tcBorders>
              <w:top w:val="single" w:sz="4" w:space="0" w:color="auto"/>
            </w:tcBorders>
          </w:tcPr>
          <w:p w14:paraId="46E38038" w14:textId="77777777" w:rsidR="00187B40" w:rsidRPr="001F4EF4" w:rsidRDefault="00187B40" w:rsidP="00187B40">
            <w:pPr>
              <w:pStyle w:val="TableText0"/>
              <w:spacing w:before="40" w:after="40"/>
              <w:jc w:val="center"/>
              <w:rPr>
                <w:rFonts w:asciiTheme="minorHAnsi" w:hAnsiTheme="minorHAnsi" w:cstheme="minorHAnsi"/>
                <w:szCs w:val="18"/>
              </w:rPr>
            </w:pPr>
            <w:r w:rsidRPr="001F4EF4">
              <w:rPr>
                <w:rFonts w:asciiTheme="minorHAnsi" w:hAnsiTheme="minorHAnsi" w:cstheme="minorHAnsi"/>
                <w:szCs w:val="18"/>
              </w:rPr>
              <w:t>AL</w:t>
            </w:r>
          </w:p>
        </w:tc>
        <w:tc>
          <w:tcPr>
            <w:tcW w:w="7920" w:type="dxa"/>
            <w:tcBorders>
              <w:top w:val="single" w:sz="4" w:space="0" w:color="auto"/>
            </w:tcBorders>
          </w:tcPr>
          <w:p w14:paraId="20BAB438" w14:textId="77777777" w:rsidR="00187B40" w:rsidRPr="001F4EF4" w:rsidRDefault="00187B40" w:rsidP="00187B40">
            <w:pPr>
              <w:pStyle w:val="TableText0"/>
              <w:spacing w:before="40" w:after="40"/>
              <w:rPr>
                <w:rFonts w:asciiTheme="minorHAnsi" w:hAnsiTheme="minorHAnsi" w:cstheme="minorHAnsi"/>
                <w:szCs w:val="18"/>
              </w:rPr>
            </w:pPr>
            <w:r w:rsidRPr="001F4EF4">
              <w:rPr>
                <w:rFonts w:asciiTheme="minorHAnsi" w:hAnsiTheme="minorHAnsi" w:cstheme="minorHAnsi"/>
                <w:szCs w:val="18"/>
              </w:rPr>
              <w:t>Stress-Response</w:t>
            </w:r>
            <w:r>
              <w:rPr>
                <w:rFonts w:asciiTheme="minorHAnsi" w:hAnsiTheme="minorHAnsi" w:cstheme="minorHAnsi"/>
                <w:szCs w:val="18"/>
              </w:rPr>
              <w:t xml:space="preserve"> and reference percentiles (Mazor et al. in prep, Fetscher et al. 2014)</w:t>
            </w:r>
          </w:p>
        </w:tc>
      </w:tr>
      <w:tr w:rsidR="00187B40" w:rsidRPr="008A0924" w14:paraId="63BCA7D4" w14:textId="77777777" w:rsidTr="001F4EF4">
        <w:tc>
          <w:tcPr>
            <w:tcW w:w="4230" w:type="dxa"/>
            <w:tcBorders>
              <w:top w:val="single" w:sz="4" w:space="0" w:color="auto"/>
            </w:tcBorders>
            <w:vAlign w:val="center"/>
          </w:tcPr>
          <w:p w14:paraId="6C588F51" w14:textId="77777777" w:rsidR="00187B40" w:rsidRPr="001F4EF4" w:rsidRDefault="00187B40" w:rsidP="00187B40">
            <w:pPr>
              <w:pStyle w:val="TableText0"/>
              <w:spacing w:before="40" w:after="40"/>
              <w:ind w:firstLine="14"/>
              <w:rPr>
                <w:rFonts w:asciiTheme="minorHAnsi" w:hAnsiTheme="minorHAnsi" w:cstheme="minorHAnsi"/>
                <w:szCs w:val="18"/>
              </w:rPr>
            </w:pPr>
            <w:r w:rsidRPr="001F4EF4">
              <w:rPr>
                <w:rFonts w:asciiTheme="minorHAnsi" w:hAnsiTheme="minorHAnsi" w:cstheme="minorHAnsi"/>
                <w:szCs w:val="18"/>
              </w:rPr>
              <w:t>Water column or benthic chemistry</w:t>
            </w:r>
          </w:p>
        </w:tc>
        <w:tc>
          <w:tcPr>
            <w:tcW w:w="990" w:type="dxa"/>
            <w:tcBorders>
              <w:top w:val="single" w:sz="4" w:space="0" w:color="auto"/>
            </w:tcBorders>
          </w:tcPr>
          <w:p w14:paraId="1C7EFF8D" w14:textId="77777777" w:rsidR="00187B40" w:rsidRPr="001F4EF4" w:rsidRDefault="00187B40" w:rsidP="00187B40">
            <w:pPr>
              <w:pStyle w:val="TableText0"/>
              <w:spacing w:before="40" w:after="40"/>
              <w:jc w:val="center"/>
              <w:rPr>
                <w:rFonts w:asciiTheme="minorHAnsi" w:hAnsiTheme="minorHAnsi" w:cstheme="minorHAnsi"/>
                <w:szCs w:val="18"/>
              </w:rPr>
            </w:pPr>
          </w:p>
        </w:tc>
        <w:tc>
          <w:tcPr>
            <w:tcW w:w="7920" w:type="dxa"/>
            <w:tcBorders>
              <w:top w:val="single" w:sz="4" w:space="0" w:color="auto"/>
            </w:tcBorders>
          </w:tcPr>
          <w:p w14:paraId="4F1E9811" w14:textId="77777777" w:rsidR="00187B40" w:rsidRPr="001F4EF4" w:rsidRDefault="00187B40" w:rsidP="00187B40">
            <w:pPr>
              <w:pStyle w:val="TableText0"/>
              <w:spacing w:before="40" w:after="40"/>
              <w:rPr>
                <w:rFonts w:asciiTheme="minorHAnsi" w:hAnsiTheme="minorHAnsi" w:cstheme="minorHAnsi"/>
                <w:szCs w:val="18"/>
              </w:rPr>
            </w:pPr>
          </w:p>
        </w:tc>
      </w:tr>
      <w:tr w:rsidR="00187B40" w:rsidRPr="008A0924" w14:paraId="77B3214C" w14:textId="77777777" w:rsidTr="001F4EF4">
        <w:tc>
          <w:tcPr>
            <w:tcW w:w="4230" w:type="dxa"/>
            <w:tcBorders>
              <w:top w:val="single" w:sz="4" w:space="0" w:color="auto"/>
            </w:tcBorders>
            <w:vAlign w:val="center"/>
          </w:tcPr>
          <w:p w14:paraId="577F602F" w14:textId="77777777" w:rsidR="00187B40" w:rsidRPr="001F4EF4" w:rsidRDefault="00187B40" w:rsidP="00187B40">
            <w:pPr>
              <w:pStyle w:val="TableText0"/>
              <w:spacing w:before="40" w:after="40"/>
              <w:ind w:left="285"/>
              <w:rPr>
                <w:rFonts w:asciiTheme="minorHAnsi" w:hAnsiTheme="minorHAnsi" w:cstheme="minorHAnsi"/>
                <w:szCs w:val="18"/>
              </w:rPr>
            </w:pPr>
            <w:r w:rsidRPr="001F4EF4">
              <w:rPr>
                <w:rFonts w:asciiTheme="minorHAnsi" w:hAnsiTheme="minorHAnsi" w:cstheme="minorHAnsi"/>
                <w:szCs w:val="18"/>
              </w:rPr>
              <w:t>Continuous DO and pH</w:t>
            </w:r>
          </w:p>
        </w:tc>
        <w:tc>
          <w:tcPr>
            <w:tcW w:w="990" w:type="dxa"/>
            <w:tcBorders>
              <w:top w:val="single" w:sz="4" w:space="0" w:color="auto"/>
            </w:tcBorders>
          </w:tcPr>
          <w:p w14:paraId="4C99C1B1" w14:textId="77777777" w:rsidR="00187B40" w:rsidRPr="001F4EF4" w:rsidRDefault="00187B40" w:rsidP="00187B40">
            <w:pPr>
              <w:pStyle w:val="TableText0"/>
              <w:spacing w:before="40" w:after="40"/>
              <w:jc w:val="center"/>
              <w:rPr>
                <w:rFonts w:asciiTheme="minorHAnsi" w:hAnsiTheme="minorHAnsi" w:cstheme="minorHAnsi"/>
                <w:szCs w:val="18"/>
              </w:rPr>
            </w:pPr>
            <w:r w:rsidRPr="001F4EF4">
              <w:rPr>
                <w:rFonts w:asciiTheme="minorHAnsi" w:hAnsiTheme="minorHAnsi" w:cstheme="minorHAnsi"/>
                <w:szCs w:val="18"/>
              </w:rPr>
              <w:t>AL</w:t>
            </w:r>
          </w:p>
        </w:tc>
        <w:tc>
          <w:tcPr>
            <w:tcW w:w="7920" w:type="dxa"/>
            <w:tcBorders>
              <w:top w:val="single" w:sz="4" w:space="0" w:color="auto"/>
            </w:tcBorders>
          </w:tcPr>
          <w:p w14:paraId="41A87C3E" w14:textId="77777777" w:rsidR="00187B40" w:rsidRPr="001F4EF4" w:rsidRDefault="00557D47" w:rsidP="00187B40">
            <w:pPr>
              <w:pStyle w:val="TableText0"/>
              <w:spacing w:before="40" w:after="40"/>
              <w:rPr>
                <w:rFonts w:asciiTheme="minorHAnsi" w:hAnsiTheme="minorHAnsi" w:cstheme="minorHAnsi"/>
                <w:szCs w:val="18"/>
              </w:rPr>
            </w:pPr>
            <w:r>
              <w:rPr>
                <w:rFonts w:asciiTheme="minorHAnsi" w:hAnsiTheme="minorHAnsi" w:cstheme="minorHAnsi"/>
                <w:szCs w:val="18"/>
              </w:rPr>
              <w:t xml:space="preserve">All Regional Water Board </w:t>
            </w:r>
            <w:r w:rsidR="00187B40" w:rsidRPr="001F4EF4">
              <w:rPr>
                <w:rFonts w:asciiTheme="minorHAnsi" w:hAnsiTheme="minorHAnsi" w:cstheme="minorHAnsi"/>
                <w:szCs w:val="18"/>
              </w:rPr>
              <w:t>Basin Plan</w:t>
            </w:r>
            <w:r>
              <w:rPr>
                <w:rFonts w:asciiTheme="minorHAnsi" w:hAnsiTheme="minorHAnsi" w:cstheme="minorHAnsi"/>
                <w:szCs w:val="18"/>
              </w:rPr>
              <w:t>s</w:t>
            </w:r>
          </w:p>
        </w:tc>
      </w:tr>
      <w:tr w:rsidR="00187B40" w:rsidRPr="008A0924" w14:paraId="1E318659" w14:textId="77777777" w:rsidTr="001F4EF4">
        <w:tc>
          <w:tcPr>
            <w:tcW w:w="4230" w:type="dxa"/>
            <w:tcBorders>
              <w:top w:val="single" w:sz="4" w:space="0" w:color="000000" w:themeColor="text1"/>
              <w:bottom w:val="single" w:sz="4" w:space="0" w:color="000000" w:themeColor="text1"/>
            </w:tcBorders>
            <w:vAlign w:val="center"/>
          </w:tcPr>
          <w:p w14:paraId="2E116B74" w14:textId="77777777" w:rsidR="00187B40" w:rsidRPr="001F4EF4" w:rsidRDefault="00187B40" w:rsidP="00187B40">
            <w:pPr>
              <w:pStyle w:val="TableText0"/>
              <w:spacing w:before="40" w:after="40"/>
              <w:ind w:left="285"/>
              <w:rPr>
                <w:rFonts w:asciiTheme="minorHAnsi" w:hAnsiTheme="minorHAnsi" w:cstheme="minorHAnsi"/>
                <w:szCs w:val="18"/>
              </w:rPr>
            </w:pPr>
            <w:r w:rsidRPr="001F4EF4">
              <w:rPr>
                <w:rFonts w:asciiTheme="minorHAnsi" w:hAnsiTheme="minorHAnsi" w:cstheme="minorHAnsi"/>
                <w:szCs w:val="18"/>
              </w:rPr>
              <w:t>DO Diel range</w:t>
            </w:r>
          </w:p>
        </w:tc>
        <w:tc>
          <w:tcPr>
            <w:tcW w:w="990" w:type="dxa"/>
            <w:tcBorders>
              <w:top w:val="single" w:sz="4" w:space="0" w:color="000000" w:themeColor="text1"/>
              <w:bottom w:val="single" w:sz="4" w:space="0" w:color="000000" w:themeColor="text1"/>
            </w:tcBorders>
          </w:tcPr>
          <w:p w14:paraId="6D540AF1" w14:textId="77777777" w:rsidR="00187B40" w:rsidRPr="001F4EF4" w:rsidRDefault="00187B40" w:rsidP="00187B40">
            <w:pPr>
              <w:pStyle w:val="TableText0"/>
              <w:spacing w:before="40" w:after="40"/>
              <w:jc w:val="center"/>
              <w:rPr>
                <w:rFonts w:asciiTheme="minorHAnsi" w:hAnsiTheme="minorHAnsi" w:cstheme="minorHAnsi"/>
                <w:szCs w:val="18"/>
              </w:rPr>
            </w:pPr>
            <w:r w:rsidRPr="001F4EF4">
              <w:rPr>
                <w:rFonts w:asciiTheme="minorHAnsi" w:hAnsiTheme="minorHAnsi" w:cstheme="minorHAnsi"/>
                <w:szCs w:val="18"/>
              </w:rPr>
              <w:t>AL</w:t>
            </w:r>
          </w:p>
        </w:tc>
        <w:tc>
          <w:tcPr>
            <w:tcW w:w="7920" w:type="dxa"/>
            <w:tcBorders>
              <w:top w:val="single" w:sz="4" w:space="0" w:color="000000" w:themeColor="text1"/>
              <w:bottom w:val="single" w:sz="4" w:space="0" w:color="000000" w:themeColor="text1"/>
            </w:tcBorders>
          </w:tcPr>
          <w:p w14:paraId="4C34BC88" w14:textId="77777777" w:rsidR="00187B40" w:rsidRPr="001F4EF4" w:rsidRDefault="00187B40" w:rsidP="00187B40">
            <w:pPr>
              <w:pStyle w:val="TableText0"/>
              <w:spacing w:before="40" w:after="40"/>
              <w:rPr>
                <w:rFonts w:asciiTheme="minorHAnsi" w:hAnsiTheme="minorHAnsi" w:cstheme="minorHAnsi"/>
                <w:szCs w:val="18"/>
              </w:rPr>
            </w:pPr>
            <w:r>
              <w:rPr>
                <w:rFonts w:asciiTheme="minorHAnsi" w:hAnsiTheme="minorHAnsi" w:cstheme="minorHAnsi"/>
                <w:szCs w:val="18"/>
              </w:rPr>
              <w:t xml:space="preserve">Central Coast Basin Plan, </w:t>
            </w:r>
            <w:r w:rsidR="00557D47">
              <w:rPr>
                <w:rFonts w:asciiTheme="minorHAnsi" w:hAnsiTheme="minorHAnsi" w:cstheme="minorHAnsi"/>
                <w:szCs w:val="18"/>
              </w:rPr>
              <w:t>Jessup et al. 2015</w:t>
            </w:r>
          </w:p>
        </w:tc>
      </w:tr>
      <w:tr w:rsidR="00187B40" w:rsidRPr="008A0924" w14:paraId="5406D993" w14:textId="77777777" w:rsidTr="001F4EF4">
        <w:tc>
          <w:tcPr>
            <w:tcW w:w="4230" w:type="dxa"/>
            <w:tcBorders>
              <w:top w:val="single" w:sz="4" w:space="0" w:color="000000" w:themeColor="text1"/>
              <w:bottom w:val="single" w:sz="4" w:space="0" w:color="000000" w:themeColor="text1"/>
            </w:tcBorders>
            <w:vAlign w:val="center"/>
          </w:tcPr>
          <w:p w14:paraId="6CFBCF1C" w14:textId="77777777" w:rsidR="00187B40" w:rsidRPr="001F4EF4" w:rsidRDefault="00187B40" w:rsidP="00187B40">
            <w:pPr>
              <w:pStyle w:val="TableText0"/>
              <w:spacing w:before="40" w:after="40"/>
              <w:ind w:left="285"/>
              <w:rPr>
                <w:rFonts w:asciiTheme="minorHAnsi" w:hAnsiTheme="minorHAnsi" w:cstheme="minorHAnsi"/>
                <w:szCs w:val="18"/>
              </w:rPr>
            </w:pPr>
            <w:r w:rsidRPr="001F4EF4">
              <w:rPr>
                <w:rFonts w:asciiTheme="minorHAnsi" w:hAnsiTheme="minorHAnsi" w:cstheme="minorHAnsi"/>
                <w:szCs w:val="18"/>
              </w:rPr>
              <w:t>Dissolved organic carbon, trihalomethane</w:t>
            </w:r>
          </w:p>
        </w:tc>
        <w:tc>
          <w:tcPr>
            <w:tcW w:w="990" w:type="dxa"/>
            <w:tcBorders>
              <w:top w:val="single" w:sz="4" w:space="0" w:color="000000" w:themeColor="text1"/>
              <w:bottom w:val="single" w:sz="4" w:space="0" w:color="000000" w:themeColor="text1"/>
            </w:tcBorders>
          </w:tcPr>
          <w:p w14:paraId="134549A7" w14:textId="77777777" w:rsidR="00187B40" w:rsidRPr="001F4EF4" w:rsidRDefault="00187B40" w:rsidP="00187B40">
            <w:pPr>
              <w:pStyle w:val="TableText0"/>
              <w:spacing w:before="40" w:after="40"/>
              <w:jc w:val="center"/>
              <w:rPr>
                <w:rFonts w:asciiTheme="minorHAnsi" w:hAnsiTheme="minorHAnsi" w:cstheme="minorHAnsi"/>
                <w:szCs w:val="18"/>
              </w:rPr>
            </w:pPr>
            <w:r w:rsidRPr="001F4EF4">
              <w:rPr>
                <w:rFonts w:asciiTheme="minorHAnsi" w:hAnsiTheme="minorHAnsi" w:cstheme="minorHAnsi"/>
                <w:szCs w:val="18"/>
              </w:rPr>
              <w:t>H</w:t>
            </w:r>
          </w:p>
        </w:tc>
        <w:tc>
          <w:tcPr>
            <w:tcW w:w="7920" w:type="dxa"/>
            <w:tcBorders>
              <w:top w:val="single" w:sz="4" w:space="0" w:color="000000" w:themeColor="text1"/>
              <w:bottom w:val="single" w:sz="4" w:space="0" w:color="000000" w:themeColor="text1"/>
            </w:tcBorders>
          </w:tcPr>
          <w:p w14:paraId="64275578" w14:textId="77777777" w:rsidR="00187B40" w:rsidRPr="001F4EF4" w:rsidRDefault="00187B40" w:rsidP="00187B40">
            <w:pPr>
              <w:pStyle w:val="TableText0"/>
              <w:spacing w:before="40" w:after="40"/>
              <w:rPr>
                <w:rFonts w:asciiTheme="minorHAnsi" w:hAnsiTheme="minorHAnsi" w:cstheme="minorHAnsi"/>
                <w:szCs w:val="18"/>
              </w:rPr>
            </w:pPr>
            <w:r w:rsidRPr="001F4EF4">
              <w:rPr>
                <w:rFonts w:asciiTheme="minorHAnsi" w:hAnsiTheme="minorHAnsi" w:cstheme="minorHAnsi"/>
                <w:szCs w:val="18"/>
              </w:rPr>
              <w:t>Literature, Basin Plan</w:t>
            </w:r>
          </w:p>
        </w:tc>
      </w:tr>
      <w:tr w:rsidR="00187B40" w14:paraId="7F407860" w14:textId="77777777" w:rsidTr="001F4EF4">
        <w:tc>
          <w:tcPr>
            <w:tcW w:w="4230" w:type="dxa"/>
            <w:tcBorders>
              <w:top w:val="single" w:sz="4" w:space="0" w:color="000000" w:themeColor="text1"/>
              <w:bottom w:val="single" w:sz="4" w:space="0" w:color="000000" w:themeColor="text1"/>
            </w:tcBorders>
            <w:vAlign w:val="center"/>
          </w:tcPr>
          <w:p w14:paraId="25D5B558" w14:textId="77777777" w:rsidR="00187B40" w:rsidRPr="001F4EF4" w:rsidRDefault="00187B40" w:rsidP="00187B40">
            <w:pPr>
              <w:pStyle w:val="TableText0"/>
              <w:spacing w:before="40" w:after="40"/>
              <w:rPr>
                <w:rFonts w:asciiTheme="minorHAnsi" w:hAnsiTheme="minorHAnsi" w:cstheme="minorHAnsi"/>
                <w:szCs w:val="18"/>
              </w:rPr>
            </w:pPr>
            <w:r w:rsidRPr="001F4EF4">
              <w:rPr>
                <w:rFonts w:asciiTheme="minorHAnsi" w:hAnsiTheme="minorHAnsi" w:cstheme="minorHAnsi"/>
                <w:szCs w:val="18"/>
              </w:rPr>
              <w:t xml:space="preserve">Harmful Algal Bloom </w:t>
            </w:r>
          </w:p>
        </w:tc>
        <w:tc>
          <w:tcPr>
            <w:tcW w:w="990" w:type="dxa"/>
            <w:tcBorders>
              <w:top w:val="single" w:sz="4" w:space="0" w:color="000000" w:themeColor="text1"/>
              <w:bottom w:val="single" w:sz="4" w:space="0" w:color="000000" w:themeColor="text1"/>
            </w:tcBorders>
          </w:tcPr>
          <w:p w14:paraId="129ABBC0" w14:textId="77777777" w:rsidR="00187B40" w:rsidRPr="001F4EF4" w:rsidRDefault="00187B40" w:rsidP="00187B40">
            <w:pPr>
              <w:pStyle w:val="TableText0"/>
              <w:spacing w:before="40" w:after="40"/>
              <w:jc w:val="center"/>
              <w:rPr>
                <w:rFonts w:asciiTheme="minorHAnsi" w:hAnsiTheme="minorHAnsi" w:cstheme="minorHAnsi"/>
                <w:szCs w:val="18"/>
              </w:rPr>
            </w:pPr>
          </w:p>
        </w:tc>
        <w:tc>
          <w:tcPr>
            <w:tcW w:w="7920" w:type="dxa"/>
            <w:tcBorders>
              <w:top w:val="single" w:sz="4" w:space="0" w:color="000000" w:themeColor="text1"/>
              <w:bottom w:val="single" w:sz="4" w:space="0" w:color="000000" w:themeColor="text1"/>
            </w:tcBorders>
          </w:tcPr>
          <w:p w14:paraId="552172DD" w14:textId="77777777" w:rsidR="00187B40" w:rsidRPr="001F4EF4" w:rsidRDefault="00187B40" w:rsidP="00187B40">
            <w:pPr>
              <w:pStyle w:val="TableText0"/>
              <w:spacing w:before="40" w:after="40"/>
              <w:rPr>
                <w:rFonts w:asciiTheme="minorHAnsi" w:hAnsiTheme="minorHAnsi" w:cstheme="minorHAnsi"/>
                <w:szCs w:val="18"/>
              </w:rPr>
            </w:pPr>
          </w:p>
        </w:tc>
      </w:tr>
      <w:tr w:rsidR="00187B40" w14:paraId="5E3F914E" w14:textId="77777777" w:rsidTr="001F4EF4">
        <w:tc>
          <w:tcPr>
            <w:tcW w:w="4230" w:type="dxa"/>
            <w:tcBorders>
              <w:top w:val="single" w:sz="4" w:space="0" w:color="000000" w:themeColor="text1"/>
              <w:bottom w:val="single" w:sz="4" w:space="0" w:color="000000" w:themeColor="text1"/>
            </w:tcBorders>
            <w:vAlign w:val="center"/>
          </w:tcPr>
          <w:p w14:paraId="6756F0E3" w14:textId="77777777" w:rsidR="00187B40" w:rsidRPr="001F4EF4" w:rsidRDefault="00187B40" w:rsidP="00187B40">
            <w:pPr>
              <w:pStyle w:val="TableText0"/>
              <w:spacing w:before="40" w:after="40"/>
              <w:ind w:left="375"/>
              <w:rPr>
                <w:rFonts w:asciiTheme="minorHAnsi" w:hAnsiTheme="minorHAnsi" w:cstheme="minorHAnsi"/>
                <w:szCs w:val="18"/>
              </w:rPr>
            </w:pPr>
            <w:r w:rsidRPr="001F4EF4">
              <w:rPr>
                <w:rFonts w:asciiTheme="minorHAnsi" w:hAnsiTheme="minorHAnsi" w:cstheme="minorHAnsi"/>
                <w:szCs w:val="18"/>
              </w:rPr>
              <w:t>Benthic cyanoHAB toxin</w:t>
            </w:r>
          </w:p>
        </w:tc>
        <w:tc>
          <w:tcPr>
            <w:tcW w:w="990" w:type="dxa"/>
            <w:tcBorders>
              <w:top w:val="single" w:sz="4" w:space="0" w:color="000000" w:themeColor="text1"/>
              <w:bottom w:val="single" w:sz="4" w:space="0" w:color="000000" w:themeColor="text1"/>
            </w:tcBorders>
          </w:tcPr>
          <w:p w14:paraId="0D64119B" w14:textId="77777777" w:rsidR="00187B40" w:rsidRPr="001F4EF4" w:rsidRDefault="00187B40" w:rsidP="00187B40">
            <w:pPr>
              <w:pStyle w:val="TableText0"/>
              <w:spacing w:before="40" w:after="40"/>
              <w:jc w:val="center"/>
              <w:rPr>
                <w:rFonts w:asciiTheme="minorHAnsi" w:hAnsiTheme="minorHAnsi" w:cstheme="minorHAnsi"/>
                <w:szCs w:val="18"/>
              </w:rPr>
            </w:pPr>
            <w:r w:rsidRPr="001F4EF4">
              <w:rPr>
                <w:rFonts w:asciiTheme="minorHAnsi" w:hAnsiTheme="minorHAnsi" w:cstheme="minorHAnsi"/>
                <w:szCs w:val="18"/>
              </w:rPr>
              <w:t>AL, H</w:t>
            </w:r>
          </w:p>
        </w:tc>
        <w:tc>
          <w:tcPr>
            <w:tcW w:w="7920" w:type="dxa"/>
            <w:tcBorders>
              <w:top w:val="single" w:sz="4" w:space="0" w:color="000000" w:themeColor="text1"/>
              <w:bottom w:val="single" w:sz="4" w:space="0" w:color="000000" w:themeColor="text1"/>
            </w:tcBorders>
          </w:tcPr>
          <w:p w14:paraId="53041251" w14:textId="77777777" w:rsidR="00187B40" w:rsidRPr="001F4EF4" w:rsidRDefault="00187B40" w:rsidP="00187B40">
            <w:pPr>
              <w:pStyle w:val="TableText0"/>
              <w:spacing w:before="40" w:after="40"/>
              <w:rPr>
                <w:rFonts w:asciiTheme="minorHAnsi" w:hAnsiTheme="minorHAnsi" w:cstheme="minorHAnsi"/>
                <w:szCs w:val="18"/>
              </w:rPr>
            </w:pPr>
            <w:r w:rsidRPr="001F4EF4">
              <w:rPr>
                <w:rFonts w:asciiTheme="minorHAnsi" w:hAnsiTheme="minorHAnsi" w:cstheme="minorHAnsi"/>
                <w:szCs w:val="18"/>
              </w:rPr>
              <w:t>Literature</w:t>
            </w:r>
          </w:p>
        </w:tc>
      </w:tr>
      <w:tr w:rsidR="00187B40" w14:paraId="044ED4AA" w14:textId="77777777" w:rsidTr="001F4EF4">
        <w:tc>
          <w:tcPr>
            <w:tcW w:w="4230" w:type="dxa"/>
            <w:tcBorders>
              <w:top w:val="single" w:sz="4" w:space="0" w:color="000000" w:themeColor="text1"/>
              <w:bottom w:val="single" w:sz="4" w:space="0" w:color="000000" w:themeColor="text1"/>
            </w:tcBorders>
            <w:vAlign w:val="center"/>
          </w:tcPr>
          <w:p w14:paraId="47B63C0C" w14:textId="77777777" w:rsidR="00187B40" w:rsidRPr="001F4EF4" w:rsidRDefault="00187B40" w:rsidP="00187B40">
            <w:pPr>
              <w:pStyle w:val="TableText0"/>
              <w:spacing w:before="40" w:after="40"/>
              <w:ind w:left="375"/>
              <w:rPr>
                <w:rFonts w:asciiTheme="minorHAnsi" w:hAnsiTheme="minorHAnsi" w:cstheme="minorHAnsi"/>
                <w:szCs w:val="18"/>
              </w:rPr>
            </w:pPr>
            <w:r w:rsidRPr="001F4EF4">
              <w:rPr>
                <w:rFonts w:asciiTheme="minorHAnsi" w:hAnsiTheme="minorHAnsi" w:cstheme="minorHAnsi"/>
                <w:szCs w:val="18"/>
              </w:rPr>
              <w:t>Benthic cyanoHAB cell density</w:t>
            </w:r>
          </w:p>
        </w:tc>
        <w:tc>
          <w:tcPr>
            <w:tcW w:w="990" w:type="dxa"/>
            <w:tcBorders>
              <w:top w:val="single" w:sz="4" w:space="0" w:color="000000" w:themeColor="text1"/>
              <w:bottom w:val="single" w:sz="4" w:space="0" w:color="000000" w:themeColor="text1"/>
            </w:tcBorders>
          </w:tcPr>
          <w:p w14:paraId="352A629D" w14:textId="77777777" w:rsidR="00187B40" w:rsidRPr="001F4EF4" w:rsidRDefault="00187B40" w:rsidP="00187B40">
            <w:pPr>
              <w:pStyle w:val="TableText0"/>
              <w:spacing w:before="40" w:after="40"/>
              <w:jc w:val="center"/>
              <w:rPr>
                <w:rFonts w:asciiTheme="minorHAnsi" w:hAnsiTheme="minorHAnsi" w:cstheme="minorHAnsi"/>
                <w:szCs w:val="18"/>
              </w:rPr>
            </w:pPr>
            <w:r w:rsidRPr="001F4EF4">
              <w:rPr>
                <w:rFonts w:asciiTheme="minorHAnsi" w:hAnsiTheme="minorHAnsi" w:cstheme="minorHAnsi"/>
                <w:szCs w:val="18"/>
              </w:rPr>
              <w:t>AL, H</w:t>
            </w:r>
          </w:p>
        </w:tc>
        <w:tc>
          <w:tcPr>
            <w:tcW w:w="7920" w:type="dxa"/>
            <w:tcBorders>
              <w:top w:val="single" w:sz="4" w:space="0" w:color="000000" w:themeColor="text1"/>
              <w:bottom w:val="single" w:sz="4" w:space="0" w:color="000000" w:themeColor="text1"/>
            </w:tcBorders>
          </w:tcPr>
          <w:p w14:paraId="3615FB1A" w14:textId="77777777" w:rsidR="00187B40" w:rsidRPr="001F4EF4" w:rsidRDefault="00187B40" w:rsidP="00187B40">
            <w:pPr>
              <w:pStyle w:val="TableText0"/>
              <w:spacing w:before="40" w:after="40"/>
              <w:rPr>
                <w:rFonts w:asciiTheme="minorHAnsi" w:hAnsiTheme="minorHAnsi" w:cstheme="minorHAnsi"/>
                <w:szCs w:val="18"/>
              </w:rPr>
            </w:pPr>
            <w:r w:rsidRPr="001F4EF4">
              <w:rPr>
                <w:rFonts w:asciiTheme="minorHAnsi" w:hAnsiTheme="minorHAnsi" w:cstheme="minorHAnsi"/>
                <w:szCs w:val="18"/>
              </w:rPr>
              <w:t>Literature</w:t>
            </w:r>
          </w:p>
        </w:tc>
      </w:tr>
      <w:tr w:rsidR="00187B40" w:rsidRPr="008A0924" w14:paraId="51647F19" w14:textId="77777777" w:rsidTr="001F4EF4">
        <w:tc>
          <w:tcPr>
            <w:tcW w:w="4230" w:type="dxa"/>
            <w:tcBorders>
              <w:top w:val="single" w:sz="4" w:space="0" w:color="000000" w:themeColor="text1"/>
            </w:tcBorders>
            <w:vAlign w:val="center"/>
          </w:tcPr>
          <w:p w14:paraId="5F41246B" w14:textId="77777777" w:rsidR="00187B40" w:rsidRPr="001F4EF4" w:rsidRDefault="00187B40" w:rsidP="00187B40">
            <w:pPr>
              <w:pStyle w:val="TableText0"/>
              <w:spacing w:before="40" w:after="40"/>
              <w:ind w:left="375"/>
              <w:rPr>
                <w:rFonts w:asciiTheme="minorHAnsi" w:hAnsiTheme="minorHAnsi" w:cstheme="minorHAnsi"/>
                <w:szCs w:val="18"/>
              </w:rPr>
            </w:pPr>
            <w:r w:rsidRPr="001F4EF4">
              <w:rPr>
                <w:rFonts w:asciiTheme="minorHAnsi" w:hAnsiTheme="minorHAnsi" w:cstheme="minorHAnsi"/>
                <w:szCs w:val="18"/>
              </w:rPr>
              <w:t>Particulate cyanoHAB toxin</w:t>
            </w:r>
          </w:p>
        </w:tc>
        <w:tc>
          <w:tcPr>
            <w:tcW w:w="990" w:type="dxa"/>
            <w:tcBorders>
              <w:top w:val="single" w:sz="4" w:space="0" w:color="000000" w:themeColor="text1"/>
              <w:bottom w:val="single" w:sz="4" w:space="0" w:color="000000" w:themeColor="text1"/>
            </w:tcBorders>
          </w:tcPr>
          <w:p w14:paraId="611F1295" w14:textId="77777777" w:rsidR="00187B40" w:rsidRPr="001F4EF4" w:rsidRDefault="00187B40" w:rsidP="00187B40">
            <w:pPr>
              <w:pStyle w:val="TableText0"/>
              <w:spacing w:before="40" w:after="40"/>
              <w:jc w:val="center"/>
              <w:rPr>
                <w:rFonts w:asciiTheme="minorHAnsi" w:hAnsiTheme="minorHAnsi" w:cstheme="minorHAnsi"/>
                <w:szCs w:val="18"/>
              </w:rPr>
            </w:pPr>
            <w:r w:rsidRPr="001F4EF4">
              <w:rPr>
                <w:rFonts w:asciiTheme="minorHAnsi" w:hAnsiTheme="minorHAnsi" w:cstheme="minorHAnsi"/>
                <w:szCs w:val="18"/>
              </w:rPr>
              <w:t>H</w:t>
            </w:r>
          </w:p>
        </w:tc>
        <w:tc>
          <w:tcPr>
            <w:tcW w:w="7920" w:type="dxa"/>
            <w:tcBorders>
              <w:top w:val="single" w:sz="4" w:space="0" w:color="000000" w:themeColor="text1"/>
              <w:bottom w:val="single" w:sz="4" w:space="0" w:color="000000" w:themeColor="text1"/>
            </w:tcBorders>
          </w:tcPr>
          <w:p w14:paraId="0018C5AF" w14:textId="77777777" w:rsidR="00187B40" w:rsidRPr="001F4EF4" w:rsidRDefault="00557D47" w:rsidP="00187B40">
            <w:pPr>
              <w:pStyle w:val="TableText0"/>
              <w:spacing w:before="40" w:after="40"/>
              <w:rPr>
                <w:rFonts w:asciiTheme="minorHAnsi" w:hAnsiTheme="minorHAnsi" w:cstheme="minorHAnsi"/>
                <w:szCs w:val="18"/>
              </w:rPr>
            </w:pPr>
            <w:r>
              <w:rPr>
                <w:rFonts w:asciiTheme="minorHAnsi" w:hAnsiTheme="minorHAnsi" w:cstheme="minorHAnsi"/>
                <w:szCs w:val="18"/>
              </w:rPr>
              <w:t xml:space="preserve">CCHAB </w:t>
            </w:r>
            <w:r w:rsidR="00187B40" w:rsidRPr="001F4EF4">
              <w:rPr>
                <w:rFonts w:asciiTheme="minorHAnsi" w:hAnsiTheme="minorHAnsi" w:cstheme="minorHAnsi"/>
                <w:szCs w:val="18"/>
              </w:rPr>
              <w:t>State Guidance</w:t>
            </w:r>
          </w:p>
        </w:tc>
      </w:tr>
      <w:tr w:rsidR="00187B40" w:rsidRPr="008A0924" w14:paraId="45118194" w14:textId="77777777" w:rsidTr="001F4EF4">
        <w:tc>
          <w:tcPr>
            <w:tcW w:w="4230" w:type="dxa"/>
            <w:tcBorders>
              <w:top w:val="single" w:sz="4" w:space="0" w:color="000000" w:themeColor="text1"/>
              <w:bottom w:val="single" w:sz="4" w:space="0" w:color="000000" w:themeColor="text1"/>
            </w:tcBorders>
            <w:vAlign w:val="center"/>
          </w:tcPr>
          <w:p w14:paraId="176CC897" w14:textId="77777777" w:rsidR="00187B40" w:rsidRPr="001F4EF4" w:rsidRDefault="00187B40" w:rsidP="00187B40">
            <w:pPr>
              <w:pStyle w:val="TableText0"/>
              <w:spacing w:before="40" w:after="40"/>
              <w:ind w:left="375"/>
              <w:rPr>
                <w:rFonts w:asciiTheme="minorHAnsi" w:hAnsiTheme="minorHAnsi" w:cstheme="minorHAnsi"/>
                <w:szCs w:val="18"/>
              </w:rPr>
            </w:pPr>
            <w:r w:rsidRPr="001F4EF4">
              <w:rPr>
                <w:rFonts w:asciiTheme="minorHAnsi" w:hAnsiTheme="minorHAnsi" w:cstheme="minorHAnsi"/>
                <w:szCs w:val="18"/>
              </w:rPr>
              <w:t>Particulate cyanoHAB cell density</w:t>
            </w:r>
          </w:p>
        </w:tc>
        <w:tc>
          <w:tcPr>
            <w:tcW w:w="990" w:type="dxa"/>
            <w:tcBorders>
              <w:top w:val="single" w:sz="4" w:space="0" w:color="000000" w:themeColor="text1"/>
              <w:bottom w:val="single" w:sz="4" w:space="0" w:color="000000" w:themeColor="text1"/>
            </w:tcBorders>
          </w:tcPr>
          <w:p w14:paraId="4357F630" w14:textId="77777777" w:rsidR="00187B40" w:rsidRPr="001F4EF4" w:rsidRDefault="00187B40" w:rsidP="00187B40">
            <w:pPr>
              <w:pStyle w:val="TableText0"/>
              <w:spacing w:before="40" w:after="40"/>
              <w:jc w:val="center"/>
              <w:rPr>
                <w:rFonts w:asciiTheme="minorHAnsi" w:hAnsiTheme="minorHAnsi" w:cstheme="minorHAnsi"/>
                <w:szCs w:val="18"/>
              </w:rPr>
            </w:pPr>
            <w:r w:rsidRPr="001F4EF4">
              <w:rPr>
                <w:rFonts w:asciiTheme="minorHAnsi" w:hAnsiTheme="minorHAnsi" w:cstheme="minorHAnsi"/>
                <w:szCs w:val="18"/>
              </w:rPr>
              <w:t>H</w:t>
            </w:r>
          </w:p>
        </w:tc>
        <w:tc>
          <w:tcPr>
            <w:tcW w:w="7920" w:type="dxa"/>
            <w:tcBorders>
              <w:top w:val="single" w:sz="4" w:space="0" w:color="000000" w:themeColor="text1"/>
              <w:bottom w:val="single" w:sz="4" w:space="0" w:color="000000" w:themeColor="text1"/>
            </w:tcBorders>
          </w:tcPr>
          <w:p w14:paraId="208C6528" w14:textId="77777777" w:rsidR="00187B40" w:rsidRPr="001F4EF4" w:rsidRDefault="00557D47" w:rsidP="00187B40">
            <w:pPr>
              <w:pStyle w:val="TableText0"/>
              <w:spacing w:before="40" w:after="40"/>
              <w:rPr>
                <w:rFonts w:asciiTheme="minorHAnsi" w:hAnsiTheme="minorHAnsi" w:cstheme="minorHAnsi"/>
                <w:szCs w:val="18"/>
              </w:rPr>
            </w:pPr>
            <w:r>
              <w:rPr>
                <w:rFonts w:asciiTheme="minorHAnsi" w:hAnsiTheme="minorHAnsi" w:cstheme="minorHAnsi"/>
                <w:szCs w:val="18"/>
              </w:rPr>
              <w:t>CCHAB</w:t>
            </w:r>
            <w:r w:rsidRPr="001F4EF4">
              <w:rPr>
                <w:rFonts w:asciiTheme="minorHAnsi" w:hAnsiTheme="minorHAnsi" w:cstheme="minorHAnsi"/>
                <w:szCs w:val="18"/>
              </w:rPr>
              <w:t xml:space="preserve"> </w:t>
            </w:r>
            <w:r w:rsidR="00187B40" w:rsidRPr="001F4EF4">
              <w:rPr>
                <w:rFonts w:asciiTheme="minorHAnsi" w:hAnsiTheme="minorHAnsi" w:cstheme="minorHAnsi"/>
                <w:szCs w:val="18"/>
              </w:rPr>
              <w:t>State Guidance</w:t>
            </w:r>
          </w:p>
        </w:tc>
      </w:tr>
      <w:tr w:rsidR="00187B40" w:rsidRPr="008A0924" w14:paraId="23F32FE2" w14:textId="77777777" w:rsidTr="001F4EF4">
        <w:tc>
          <w:tcPr>
            <w:tcW w:w="4230" w:type="dxa"/>
            <w:vMerge w:val="restart"/>
            <w:tcBorders>
              <w:top w:val="single" w:sz="4" w:space="0" w:color="000000" w:themeColor="text1"/>
            </w:tcBorders>
            <w:vAlign w:val="center"/>
          </w:tcPr>
          <w:p w14:paraId="4BA4E0A2" w14:textId="77777777" w:rsidR="00187B40" w:rsidRPr="001F4EF4" w:rsidRDefault="00187B40" w:rsidP="00187B40">
            <w:pPr>
              <w:pStyle w:val="TableText0"/>
              <w:spacing w:before="40" w:after="40"/>
              <w:ind w:left="375"/>
              <w:rPr>
                <w:rFonts w:asciiTheme="minorHAnsi" w:hAnsiTheme="minorHAnsi" w:cstheme="minorHAnsi"/>
                <w:szCs w:val="18"/>
              </w:rPr>
            </w:pPr>
            <w:r w:rsidRPr="001F4EF4">
              <w:rPr>
                <w:rFonts w:asciiTheme="minorHAnsi" w:hAnsiTheme="minorHAnsi" w:cstheme="minorHAnsi"/>
                <w:szCs w:val="18"/>
              </w:rPr>
              <w:t>CyanoHAB toxin concentration in tissue</w:t>
            </w:r>
          </w:p>
        </w:tc>
        <w:tc>
          <w:tcPr>
            <w:tcW w:w="990" w:type="dxa"/>
            <w:tcBorders>
              <w:top w:val="single" w:sz="4" w:space="0" w:color="000000" w:themeColor="text1"/>
              <w:bottom w:val="single" w:sz="4" w:space="0" w:color="000000" w:themeColor="text1"/>
            </w:tcBorders>
          </w:tcPr>
          <w:p w14:paraId="0F4A86D7" w14:textId="77777777" w:rsidR="00187B40" w:rsidRPr="001F4EF4" w:rsidRDefault="00187B40" w:rsidP="00187B40">
            <w:pPr>
              <w:pStyle w:val="TableText0"/>
              <w:spacing w:before="40" w:after="40"/>
              <w:jc w:val="center"/>
              <w:rPr>
                <w:rFonts w:asciiTheme="minorHAnsi" w:hAnsiTheme="minorHAnsi" w:cstheme="minorHAnsi"/>
                <w:szCs w:val="18"/>
              </w:rPr>
            </w:pPr>
            <w:r w:rsidRPr="001F4EF4">
              <w:rPr>
                <w:rFonts w:asciiTheme="minorHAnsi" w:hAnsiTheme="minorHAnsi" w:cstheme="minorHAnsi"/>
                <w:szCs w:val="18"/>
              </w:rPr>
              <w:t>H</w:t>
            </w:r>
          </w:p>
        </w:tc>
        <w:tc>
          <w:tcPr>
            <w:tcW w:w="7920" w:type="dxa"/>
            <w:tcBorders>
              <w:top w:val="single" w:sz="4" w:space="0" w:color="000000" w:themeColor="text1"/>
              <w:bottom w:val="single" w:sz="4" w:space="0" w:color="000000" w:themeColor="text1"/>
            </w:tcBorders>
          </w:tcPr>
          <w:p w14:paraId="39238D5E" w14:textId="77777777" w:rsidR="00187B40" w:rsidRPr="001F4EF4" w:rsidRDefault="00557D47" w:rsidP="00187B40">
            <w:pPr>
              <w:pStyle w:val="TableText0"/>
              <w:spacing w:before="40" w:after="40"/>
              <w:rPr>
                <w:rFonts w:asciiTheme="minorHAnsi" w:hAnsiTheme="minorHAnsi" w:cstheme="minorHAnsi"/>
                <w:szCs w:val="18"/>
              </w:rPr>
            </w:pPr>
            <w:r>
              <w:rPr>
                <w:rFonts w:asciiTheme="minorHAnsi" w:hAnsiTheme="minorHAnsi" w:cstheme="minorHAnsi"/>
                <w:szCs w:val="18"/>
              </w:rPr>
              <w:t>State Guidance</w:t>
            </w:r>
          </w:p>
        </w:tc>
      </w:tr>
      <w:tr w:rsidR="00187B40" w:rsidRPr="008A0924" w14:paraId="0743F633" w14:textId="77777777" w:rsidTr="001F4EF4">
        <w:tc>
          <w:tcPr>
            <w:tcW w:w="4230" w:type="dxa"/>
            <w:vMerge/>
            <w:tcBorders>
              <w:bottom w:val="single" w:sz="4" w:space="0" w:color="000000" w:themeColor="text1"/>
            </w:tcBorders>
            <w:vAlign w:val="center"/>
          </w:tcPr>
          <w:p w14:paraId="4380B7AF" w14:textId="77777777" w:rsidR="00187B40" w:rsidRPr="001F4EF4" w:rsidRDefault="00187B40" w:rsidP="00187B40">
            <w:pPr>
              <w:pStyle w:val="TableText0"/>
              <w:spacing w:before="40" w:after="40"/>
              <w:ind w:left="375"/>
              <w:rPr>
                <w:rFonts w:asciiTheme="minorHAnsi" w:hAnsiTheme="minorHAnsi" w:cstheme="minorHAnsi"/>
                <w:szCs w:val="18"/>
              </w:rPr>
            </w:pPr>
          </w:p>
        </w:tc>
        <w:tc>
          <w:tcPr>
            <w:tcW w:w="990" w:type="dxa"/>
            <w:tcBorders>
              <w:top w:val="single" w:sz="4" w:space="0" w:color="000000" w:themeColor="text1"/>
              <w:bottom w:val="single" w:sz="4" w:space="0" w:color="000000" w:themeColor="text1"/>
            </w:tcBorders>
          </w:tcPr>
          <w:p w14:paraId="3C139276" w14:textId="77777777" w:rsidR="00187B40" w:rsidRPr="001F4EF4" w:rsidRDefault="00557D47" w:rsidP="00187B40">
            <w:pPr>
              <w:pStyle w:val="TableText0"/>
              <w:spacing w:before="40" w:after="40"/>
              <w:jc w:val="center"/>
              <w:rPr>
                <w:rFonts w:asciiTheme="minorHAnsi" w:hAnsiTheme="minorHAnsi" w:cstheme="minorHAnsi"/>
                <w:szCs w:val="18"/>
              </w:rPr>
            </w:pPr>
            <w:r>
              <w:rPr>
                <w:rFonts w:asciiTheme="minorHAnsi" w:hAnsiTheme="minorHAnsi" w:cstheme="minorHAnsi"/>
                <w:szCs w:val="18"/>
              </w:rPr>
              <w:t>AL</w:t>
            </w:r>
          </w:p>
        </w:tc>
        <w:tc>
          <w:tcPr>
            <w:tcW w:w="7920" w:type="dxa"/>
            <w:tcBorders>
              <w:top w:val="single" w:sz="4" w:space="0" w:color="000000" w:themeColor="text1"/>
              <w:bottom w:val="single" w:sz="4" w:space="0" w:color="000000" w:themeColor="text1"/>
            </w:tcBorders>
          </w:tcPr>
          <w:p w14:paraId="55E68332" w14:textId="77777777" w:rsidR="00187B40" w:rsidRPr="001F4EF4" w:rsidRDefault="00187B40" w:rsidP="00187B40">
            <w:pPr>
              <w:pStyle w:val="TableText0"/>
              <w:spacing w:before="40" w:after="40"/>
              <w:rPr>
                <w:rFonts w:asciiTheme="minorHAnsi" w:hAnsiTheme="minorHAnsi" w:cstheme="minorHAnsi"/>
                <w:szCs w:val="18"/>
              </w:rPr>
            </w:pPr>
            <w:r w:rsidRPr="001F4EF4">
              <w:rPr>
                <w:rFonts w:asciiTheme="minorHAnsi" w:hAnsiTheme="minorHAnsi" w:cstheme="minorHAnsi"/>
                <w:szCs w:val="18"/>
              </w:rPr>
              <w:t>Literature</w:t>
            </w:r>
          </w:p>
        </w:tc>
      </w:tr>
      <w:tr w:rsidR="00187B40" w:rsidRPr="00852BC2" w14:paraId="58E498F0" w14:textId="77777777" w:rsidTr="001F4EF4">
        <w:tc>
          <w:tcPr>
            <w:tcW w:w="4230" w:type="dxa"/>
            <w:tcBorders>
              <w:top w:val="single" w:sz="4" w:space="0" w:color="000000" w:themeColor="text1"/>
              <w:bottom w:val="single" w:sz="4" w:space="0" w:color="000000" w:themeColor="text1"/>
            </w:tcBorders>
            <w:vAlign w:val="center"/>
          </w:tcPr>
          <w:p w14:paraId="5548BE9E" w14:textId="77777777" w:rsidR="00187B40" w:rsidRPr="001F4EF4" w:rsidRDefault="00187B40" w:rsidP="00187B40">
            <w:pPr>
              <w:pStyle w:val="TableText0"/>
              <w:spacing w:before="40" w:after="40"/>
              <w:ind w:left="375"/>
              <w:rPr>
                <w:rFonts w:asciiTheme="minorHAnsi" w:hAnsiTheme="minorHAnsi" w:cstheme="minorHAnsi"/>
                <w:szCs w:val="18"/>
              </w:rPr>
            </w:pPr>
            <w:r w:rsidRPr="001F4EF4">
              <w:rPr>
                <w:rFonts w:asciiTheme="minorHAnsi" w:hAnsiTheme="minorHAnsi" w:cstheme="minorHAnsi"/>
                <w:szCs w:val="18"/>
              </w:rPr>
              <w:t>SPATT toxin concentration</w:t>
            </w:r>
          </w:p>
        </w:tc>
        <w:tc>
          <w:tcPr>
            <w:tcW w:w="990" w:type="dxa"/>
            <w:tcBorders>
              <w:top w:val="single" w:sz="4" w:space="0" w:color="000000" w:themeColor="text1"/>
              <w:bottom w:val="single" w:sz="4" w:space="0" w:color="000000" w:themeColor="text1"/>
            </w:tcBorders>
          </w:tcPr>
          <w:p w14:paraId="62C5A729" w14:textId="77777777" w:rsidR="00187B40" w:rsidRPr="001F4EF4" w:rsidRDefault="00557D47" w:rsidP="00187B40">
            <w:pPr>
              <w:pStyle w:val="TableText0"/>
              <w:spacing w:before="40" w:after="40"/>
              <w:jc w:val="center"/>
              <w:rPr>
                <w:rFonts w:asciiTheme="minorHAnsi" w:hAnsiTheme="minorHAnsi" w:cstheme="minorHAnsi"/>
                <w:szCs w:val="18"/>
              </w:rPr>
            </w:pPr>
            <w:r>
              <w:rPr>
                <w:rFonts w:asciiTheme="minorHAnsi" w:hAnsiTheme="minorHAnsi" w:cstheme="minorHAnsi"/>
                <w:szCs w:val="18"/>
              </w:rPr>
              <w:t>H, AL</w:t>
            </w:r>
          </w:p>
        </w:tc>
        <w:tc>
          <w:tcPr>
            <w:tcW w:w="7920" w:type="dxa"/>
            <w:tcBorders>
              <w:top w:val="single" w:sz="4" w:space="0" w:color="000000" w:themeColor="text1"/>
              <w:bottom w:val="single" w:sz="4" w:space="0" w:color="000000" w:themeColor="text1"/>
            </w:tcBorders>
          </w:tcPr>
          <w:p w14:paraId="53AAC216" w14:textId="77777777" w:rsidR="00187B40" w:rsidRPr="001F4EF4" w:rsidRDefault="00187B40" w:rsidP="00187B40">
            <w:pPr>
              <w:pStyle w:val="TableText0"/>
              <w:spacing w:before="40" w:after="40"/>
              <w:rPr>
                <w:rFonts w:asciiTheme="minorHAnsi" w:hAnsiTheme="minorHAnsi" w:cstheme="minorHAnsi"/>
                <w:szCs w:val="18"/>
              </w:rPr>
            </w:pPr>
            <w:r w:rsidRPr="001F4EF4">
              <w:rPr>
                <w:rFonts w:asciiTheme="minorHAnsi" w:hAnsiTheme="minorHAnsi" w:cstheme="minorHAnsi"/>
                <w:szCs w:val="18"/>
              </w:rPr>
              <w:t>Literature</w:t>
            </w:r>
          </w:p>
        </w:tc>
      </w:tr>
    </w:tbl>
    <w:p w14:paraId="54CC0BF3" w14:textId="77777777" w:rsidR="001F4EF4" w:rsidRDefault="001F4EF4" w:rsidP="00B33852">
      <w:pPr>
        <w:pStyle w:val="ListParagraph"/>
        <w:ind w:left="0"/>
        <w:jc w:val="both"/>
        <w:sectPr w:rsidR="001F4EF4" w:rsidSect="001F4EF4">
          <w:pgSz w:w="15840" w:h="12240" w:orient="landscape"/>
          <w:pgMar w:top="1440" w:right="1440" w:bottom="1440" w:left="1440" w:header="720" w:footer="720" w:gutter="0"/>
          <w:cols w:space="720"/>
          <w:docGrid w:linePitch="360"/>
        </w:sectPr>
      </w:pPr>
    </w:p>
    <w:p w14:paraId="32F33E2C" w14:textId="77777777" w:rsidR="00B33852" w:rsidRDefault="00B33852" w:rsidP="00B33852">
      <w:pPr>
        <w:pStyle w:val="ListParagraph"/>
        <w:ind w:left="0"/>
        <w:jc w:val="both"/>
      </w:pPr>
    </w:p>
    <w:p w14:paraId="38A4F01B" w14:textId="77777777" w:rsidR="00C86CEF" w:rsidRDefault="00C86CEF" w:rsidP="00C86CEF">
      <w:pPr>
        <w:pStyle w:val="Heading2"/>
      </w:pPr>
      <w:bookmarkStart w:id="91" w:name="_Toc526505128"/>
      <w:r>
        <w:t>3.1. Approach to Synthesis and Key Terms</w:t>
      </w:r>
      <w:bookmarkEnd w:id="91"/>
    </w:p>
    <w:p w14:paraId="2A9C18A5" w14:textId="77777777" w:rsidR="000F14DF" w:rsidRDefault="000F14DF" w:rsidP="000F14DF">
      <w:pPr>
        <w:jc w:val="both"/>
      </w:pPr>
      <w:r>
        <w:t xml:space="preserve">This synthesis draws on three types of literature to provide a summary of thresholds that can serve as the basis for policy decisions on biostimulatory targets: </w:t>
      </w:r>
    </w:p>
    <w:p w14:paraId="416A4DCE" w14:textId="77777777" w:rsidR="000F14DF" w:rsidRDefault="000F14DF" w:rsidP="008E7E7F">
      <w:pPr>
        <w:pStyle w:val="ListParagraph"/>
        <w:numPr>
          <w:ilvl w:val="0"/>
          <w:numId w:val="8"/>
        </w:numPr>
        <w:jc w:val="both"/>
      </w:pPr>
      <w:r>
        <w:t>Peer-reviewed literature derived from California wadeable stream studies, using SWAMP-approved protocols</w:t>
      </w:r>
    </w:p>
    <w:p w14:paraId="2637A5D7" w14:textId="77777777" w:rsidR="000F14DF" w:rsidRDefault="000F14DF" w:rsidP="008E7E7F">
      <w:pPr>
        <w:pStyle w:val="ListParagraph"/>
        <w:numPr>
          <w:ilvl w:val="0"/>
          <w:numId w:val="8"/>
        </w:numPr>
        <w:jc w:val="both"/>
      </w:pPr>
      <w:r>
        <w:t>Peer-reviewed global literature derived from streams in other ecoregions;</w:t>
      </w:r>
    </w:p>
    <w:p w14:paraId="3FE1DFF4" w14:textId="77777777" w:rsidR="000F14DF" w:rsidRDefault="000F14DF" w:rsidP="008E7E7F">
      <w:pPr>
        <w:pStyle w:val="ListParagraph"/>
        <w:numPr>
          <w:ilvl w:val="0"/>
          <w:numId w:val="8"/>
        </w:numPr>
        <w:jc w:val="both"/>
      </w:pPr>
      <w:r>
        <w:t>Grey literature that summ</w:t>
      </w:r>
      <w:r w:rsidR="00585367">
        <w:t xml:space="preserve">arizes state or national policy, including Water Board Basin Plans, </w:t>
      </w:r>
      <w:r>
        <w:t xml:space="preserve">on numeric targets or criteria using similar or complementary approaches. </w:t>
      </w:r>
    </w:p>
    <w:p w14:paraId="57596BFB" w14:textId="4E5EC5DE" w:rsidR="000F14DF" w:rsidRPr="005D2436" w:rsidRDefault="000F14DF" w:rsidP="000F14DF">
      <w:pPr>
        <w:spacing w:before="120" w:after="0"/>
        <w:jc w:val="both"/>
        <w:rPr>
          <w:rFonts w:asciiTheme="minorHAnsi" w:hAnsiTheme="minorHAnsi" w:cstheme="minorHAnsi"/>
        </w:rPr>
      </w:pPr>
      <w:r>
        <w:t xml:space="preserve">Overall, these literature sources generally rely on one or more of EPA suggested methods for the development of criteria for nutrients or other </w:t>
      </w:r>
      <w:r w:rsidR="005106F4">
        <w:t>eutrophication</w:t>
      </w:r>
      <w:r>
        <w:t xml:space="preserve"> response parameters, including </w:t>
      </w:r>
      <w:r w:rsidR="002F27A1" w:rsidRPr="002F27A1">
        <w:t>(USEPA, 2</w:t>
      </w:r>
      <w:r w:rsidR="002F27A1" w:rsidRPr="005D2436">
        <w:rPr>
          <w:rFonts w:asciiTheme="minorHAnsi" w:hAnsiTheme="minorHAnsi" w:cstheme="minorHAnsi"/>
        </w:rPr>
        <w:t xml:space="preserve">001): 1) reference approach, 2) empirical stressor-response approach, and 3) cause-effect approach.  The reference waterbody approach involves characterization of the distributions of </w:t>
      </w:r>
      <w:r w:rsidR="00585367">
        <w:rPr>
          <w:rFonts w:asciiTheme="minorHAnsi" w:hAnsiTheme="minorHAnsi" w:cstheme="minorHAnsi"/>
        </w:rPr>
        <w:t>biostimulatory drivers</w:t>
      </w:r>
      <w:r w:rsidR="002F27A1" w:rsidRPr="005D2436">
        <w:rPr>
          <w:rFonts w:asciiTheme="minorHAnsi" w:hAnsiTheme="minorHAnsi" w:cstheme="minorHAnsi"/>
        </w:rPr>
        <w:t xml:space="preserve"> in “minimally disturbed” waterbodies. Nutrient concentrations are chosen at some statistical percentile of those reference waterbodies. The empirical stress-response approach involves establishing statistical relationships between the causal or stressor (in this case nutrient concentrations or loads) and the ecological response (changes in algal or aquatic plant biomass or community structure, changes in sediment or water chemistry (e.g., dissolved oxygen, pH).  The cause-effect approach involves identifying the ecological responses of concern and mechanistically modeling the linkage back to nutrient loads and other co-factors controlling response (e.g., hydrology, grazers, denitrification, etc.). The stressor-response approach can be further </w:t>
      </w:r>
      <w:r w:rsidRPr="005D2436">
        <w:rPr>
          <w:rFonts w:asciiTheme="minorHAnsi" w:hAnsiTheme="minorHAnsi" w:cstheme="minorHAnsi"/>
        </w:rPr>
        <w:t>broken down into analytical approaches to determine the ranges at which a stream ecosystem transitions from no apparent effects to increasing effects in response to increasing stress (</w:t>
      </w:r>
      <w:r w:rsidRPr="005D2436">
        <w:rPr>
          <w:rFonts w:asciiTheme="minorHAnsi" w:hAnsiTheme="minorHAnsi" w:cstheme="minorHAnsi"/>
          <w:i/>
        </w:rPr>
        <w:t>e.g.</w:t>
      </w:r>
      <w:r w:rsidRPr="005D2436">
        <w:rPr>
          <w:rFonts w:asciiTheme="minorHAnsi" w:hAnsiTheme="minorHAnsi" w:cstheme="minorHAnsi"/>
        </w:rPr>
        <w:t xml:space="preserve">, from low to high nutrient or organic matter levels) have typically involved one or more of the following (US EPA 2010, Figure 3.1): </w:t>
      </w:r>
    </w:p>
    <w:p w14:paraId="1C905BF2" w14:textId="77777777" w:rsidR="000F14DF" w:rsidRPr="005D2436" w:rsidRDefault="000F14DF" w:rsidP="008E7E7F">
      <w:pPr>
        <w:pStyle w:val="ListParagraph"/>
        <w:numPr>
          <w:ilvl w:val="0"/>
          <w:numId w:val="9"/>
        </w:numPr>
        <w:spacing w:before="120" w:after="0"/>
        <w:jc w:val="both"/>
        <w:rPr>
          <w:rFonts w:asciiTheme="minorHAnsi" w:hAnsiTheme="minorHAnsi" w:cstheme="minorHAnsi"/>
        </w:rPr>
      </w:pPr>
      <w:r w:rsidRPr="005D2436">
        <w:rPr>
          <w:rFonts w:asciiTheme="minorHAnsi" w:hAnsiTheme="minorHAnsi" w:cstheme="minorHAnsi"/>
          <w:b/>
        </w:rPr>
        <w:t>Changepoint Analyses.</w:t>
      </w:r>
      <w:r w:rsidRPr="005D2436">
        <w:rPr>
          <w:rFonts w:asciiTheme="minorHAnsi" w:hAnsiTheme="minorHAnsi" w:cstheme="minorHAnsi"/>
        </w:rPr>
        <w:t xml:space="preserve"> Use of statistical methods to determine breakpoints or abrupt changes (henceforth referred to as “thresholds”) in an aquatic life indicator measures as a function of increasing stressor levels and relating such changes to desired beneficial use goals</w:t>
      </w:r>
      <w:r w:rsidR="005D2436">
        <w:rPr>
          <w:rFonts w:asciiTheme="minorHAnsi" w:hAnsiTheme="minorHAnsi" w:cstheme="minorHAnsi"/>
        </w:rPr>
        <w:t xml:space="preserve">. </w:t>
      </w:r>
      <w:r w:rsidR="005D2436" w:rsidRPr="005D2436">
        <w:rPr>
          <w:rFonts w:asciiTheme="minorHAnsi" w:hAnsiTheme="minorHAnsi" w:cstheme="minorHAnsi"/>
        </w:rPr>
        <w:t xml:space="preserve">As defined by Cuffney et al., resistance and exhaustion thresholds are both examples of slope thresholds, detected by methods such as piece-wise regression.  Change point or step-like thresholds have also been used to detect reference and non-reference populations from field data, denoting an abrupt discontinuity in magnitude of a response variable along a stressor gradient, but not necessarily associated with a change in slope (Qian et al. 2003).  </w:t>
      </w:r>
      <w:r w:rsidR="001F7564">
        <w:rPr>
          <w:rFonts w:asciiTheme="minorHAnsi" w:hAnsiTheme="minorHAnsi" w:cstheme="minorHAnsi"/>
        </w:rPr>
        <w:t xml:space="preserve">This approach is appropriate when responses are known to be discontinuous along a stressor gradient, or when the management goal is to minimize response, rather than to protect a clearly established ecological state. </w:t>
      </w:r>
    </w:p>
    <w:p w14:paraId="69240BA2" w14:textId="77777777" w:rsidR="000F14DF" w:rsidRPr="005D2436" w:rsidRDefault="000F14DF" w:rsidP="008E7E7F">
      <w:pPr>
        <w:pStyle w:val="ListParagraph"/>
        <w:numPr>
          <w:ilvl w:val="0"/>
          <w:numId w:val="9"/>
        </w:numPr>
        <w:spacing w:before="120" w:after="0"/>
        <w:jc w:val="both"/>
        <w:rPr>
          <w:rFonts w:asciiTheme="minorHAnsi" w:hAnsiTheme="minorHAnsi" w:cstheme="minorHAnsi"/>
        </w:rPr>
      </w:pPr>
      <w:r w:rsidRPr="005D2436">
        <w:rPr>
          <w:rFonts w:asciiTheme="minorHAnsi" w:hAnsiTheme="minorHAnsi" w:cstheme="minorHAnsi"/>
          <w:b/>
        </w:rPr>
        <w:t>Beneficial Use (BU) Protection Endpoint.</w:t>
      </w:r>
      <w:r w:rsidRPr="005D2436">
        <w:rPr>
          <w:rFonts w:asciiTheme="minorHAnsi" w:hAnsiTheme="minorHAnsi" w:cstheme="minorHAnsi"/>
        </w:rPr>
        <w:t xml:space="preserve"> Use of conditional probability or logistic regression models to estimate stressor “levels” that are linked to a quantitative assessment endpoint for an indicator representative of beneficial use support (</w:t>
      </w:r>
      <w:r w:rsidRPr="005D2436">
        <w:rPr>
          <w:rFonts w:asciiTheme="minorHAnsi" w:hAnsiTheme="minorHAnsi" w:cstheme="minorHAnsi"/>
          <w:i/>
        </w:rPr>
        <w:t>e.g.</w:t>
      </w:r>
      <w:r w:rsidRPr="005D2436">
        <w:rPr>
          <w:rFonts w:asciiTheme="minorHAnsi" w:hAnsiTheme="minorHAnsi" w:cstheme="minorHAnsi"/>
        </w:rPr>
        <w:t xml:space="preserve">, an established </w:t>
      </w:r>
      <w:r w:rsidR="00155B9A">
        <w:rPr>
          <w:rFonts w:asciiTheme="minorHAnsi" w:hAnsiTheme="minorHAnsi" w:cstheme="minorHAnsi"/>
        </w:rPr>
        <w:t xml:space="preserve">bioassessment index </w:t>
      </w:r>
      <w:r w:rsidRPr="005D2436">
        <w:rPr>
          <w:rFonts w:asciiTheme="minorHAnsi" w:hAnsiTheme="minorHAnsi" w:cstheme="minorHAnsi"/>
        </w:rPr>
        <w:t xml:space="preserve">score). </w:t>
      </w:r>
      <w:r w:rsidR="001F7564">
        <w:rPr>
          <w:rFonts w:asciiTheme="minorHAnsi" w:hAnsiTheme="minorHAnsi" w:cstheme="minorHAnsi"/>
        </w:rPr>
        <w:t>This approach is appropriate when the stressor affects the likelihood of achieving a clearly established management goal (e.g., CSCI scores greater than 0.79), or when incremental increases in stress is known to elicit a response.</w:t>
      </w:r>
    </w:p>
    <w:p w14:paraId="26DF32F3" w14:textId="77777777" w:rsidR="000F14DF" w:rsidRPr="00A802B9" w:rsidRDefault="0069037A" w:rsidP="000F14DF">
      <w:pPr>
        <w:spacing w:before="100" w:beforeAutospacing="1" w:after="100" w:afterAutospacing="1" w:line="240" w:lineRule="auto"/>
        <w:jc w:val="center"/>
        <w:rPr>
          <w:rFonts w:ascii="Tw Cen MT" w:hAnsi="Tw Cen MT" w:cs="Arial"/>
          <w:b/>
          <w:sz w:val="18"/>
          <w:szCs w:val="18"/>
        </w:rPr>
      </w:pPr>
      <w:r>
        <w:rPr>
          <w:rFonts w:asciiTheme="minorHAnsi" w:hAnsiTheme="minorHAnsi" w:cstheme="minorHAnsi"/>
          <w:noProof/>
          <w:lang w:eastAsia="zh-CN" w:bidi="ar-SA"/>
        </w:rPr>
        <mc:AlternateContent>
          <mc:Choice Requires="wps">
            <w:drawing>
              <wp:anchor distT="0" distB="0" distL="114300" distR="114300" simplePos="0" relativeHeight="251676672" behindDoc="0" locked="0" layoutInCell="1" allowOverlap="1" wp14:anchorId="22C5ED1C" wp14:editId="1E2613EE">
                <wp:simplePos x="0" y="0"/>
                <wp:positionH relativeFrom="rightMargin">
                  <wp:posOffset>-2797792</wp:posOffset>
                </wp:positionH>
                <wp:positionV relativeFrom="paragraph">
                  <wp:posOffset>2268883</wp:posOffset>
                </wp:positionV>
                <wp:extent cx="2361063" cy="266131"/>
                <wp:effectExtent l="0" t="0" r="1270" b="635"/>
                <wp:wrapNone/>
                <wp:docPr id="21" name="Text Box 21"/>
                <wp:cNvGraphicFramePr/>
                <a:graphic xmlns:a="http://schemas.openxmlformats.org/drawingml/2006/main">
                  <a:graphicData uri="http://schemas.microsoft.com/office/word/2010/wordprocessingShape">
                    <wps:wsp>
                      <wps:cNvSpPr txBox="1"/>
                      <wps:spPr>
                        <a:xfrm>
                          <a:off x="0" y="0"/>
                          <a:ext cx="2361063" cy="266131"/>
                        </a:xfrm>
                        <a:prstGeom prst="rect">
                          <a:avLst/>
                        </a:prstGeom>
                        <a:solidFill>
                          <a:schemeClr val="lt1"/>
                        </a:solidFill>
                        <a:ln w="6350">
                          <a:noFill/>
                        </a:ln>
                      </wps:spPr>
                      <wps:txbx>
                        <w:txbxContent>
                          <w:p w14:paraId="54959C56" w14:textId="77777777" w:rsidR="00C26519" w:rsidRPr="0069037A" w:rsidRDefault="00C26519" w:rsidP="0069037A">
                            <w:pPr>
                              <w:pStyle w:val="ListParagraph"/>
                              <w:ind w:left="0"/>
                              <w:rPr>
                                <w:rFonts w:ascii="Arial" w:hAnsi="Arial" w:cs="Arial"/>
                                <w:b/>
                                <w:color w:val="FF0000"/>
                                <w:sz w:val="16"/>
                                <w:szCs w:val="16"/>
                              </w:rPr>
                            </w:pPr>
                            <w:r w:rsidRPr="0069037A">
                              <w:rPr>
                                <w:rFonts w:ascii="Arial" w:hAnsi="Arial" w:cs="Arial"/>
                                <w:b/>
                                <w:color w:val="FF0000"/>
                                <w:sz w:val="16"/>
                                <w:szCs w:val="16"/>
                              </w:rPr>
                              <w:t>*Biointegrity Goal</w:t>
                            </w:r>
                            <w:r>
                              <w:rPr>
                                <w:rFonts w:ascii="Arial" w:hAnsi="Arial" w:cs="Arial"/>
                                <w:b/>
                                <w:color w:val="FF0000"/>
                                <w:sz w:val="16"/>
                                <w:szCs w:val="16"/>
                              </w:rPr>
                              <w:t xml:space="preserve">   </w:t>
                            </w:r>
                            <w:r w:rsidRPr="0069037A">
                              <w:rPr>
                                <w:rFonts w:ascii="Arial" w:hAnsi="Arial" w:cs="Arial"/>
                                <w:b/>
                                <w:color w:val="2E74B5" w:themeColor="accent1" w:themeShade="BF"/>
                                <w:sz w:val="16"/>
                                <w:szCs w:val="16"/>
                              </w:rPr>
                              <w:t xml:space="preserve">* Related Stressor Level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C5ED1C" id="_x0000_t202" coordsize="21600,21600" o:spt="202" path="m,l,21600r21600,l21600,xe">
                <v:stroke joinstyle="miter"/>
                <v:path gradientshapeok="t" o:connecttype="rect"/>
              </v:shapetype>
              <v:shape id="Text Box 21" o:spid="_x0000_s1026" type="#_x0000_t202" style="position:absolute;left:0;text-align:left;margin-left:-220.3pt;margin-top:178.65pt;width:185.9pt;height:20.95pt;z-index:2516766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" fillcolor="white [3201]" stroked="f" strokeweight=".5pt">
                <v:textbox>
                  <w:txbxContent>
                    <w:p w14:paraId="54959C56" w14:textId="77777777" w:rsidR="00C26519" w:rsidRPr="0069037A" w:rsidRDefault="00C26519" w:rsidP="0069037A">
                      <w:pPr>
                        <w:pStyle w:val="ListParagraph"/>
                        <w:ind w:left="0"/>
                        <w:rPr>
                          <w:rFonts w:ascii="Arial" w:hAnsi="Arial" w:cs="Arial"/>
                          <w:b/>
                          <w:color w:val="FF0000"/>
                          <w:sz w:val="16"/>
                          <w:szCs w:val="16"/>
                        </w:rPr>
                      </w:pPr>
                      <w:r w:rsidRPr="0069037A">
                        <w:rPr>
                          <w:rFonts w:ascii="Arial" w:hAnsi="Arial" w:cs="Arial"/>
                          <w:b/>
                          <w:color w:val="FF0000"/>
                          <w:sz w:val="16"/>
                          <w:szCs w:val="16"/>
                        </w:rPr>
                        <w:t>*Biointegrity Goal</w:t>
                      </w:r>
                      <w:r>
                        <w:rPr>
                          <w:rFonts w:ascii="Arial" w:hAnsi="Arial" w:cs="Arial"/>
                          <w:b/>
                          <w:color w:val="FF0000"/>
                          <w:sz w:val="16"/>
                          <w:szCs w:val="16"/>
                        </w:rPr>
                        <w:t xml:space="preserve">   </w:t>
                      </w:r>
                      <w:r w:rsidRPr="0069037A">
                        <w:rPr>
                          <w:rFonts w:ascii="Arial" w:hAnsi="Arial" w:cs="Arial"/>
                          <w:b/>
                          <w:color w:val="2E74B5" w:themeColor="accent1" w:themeShade="BF"/>
                          <w:sz w:val="16"/>
                          <w:szCs w:val="16"/>
                        </w:rPr>
                        <w:t xml:space="preserve">* Related Stressor Level </w:t>
                      </w:r>
                    </w:p>
                  </w:txbxContent>
                </v:textbox>
                <w10:wrap anchorx="margin"/>
              </v:shape>
            </w:pict>
          </mc:Fallback>
        </mc:AlternateContent>
      </w:r>
      <w:r>
        <w:rPr>
          <w:rFonts w:asciiTheme="minorHAnsi" w:hAnsiTheme="minorHAnsi" w:cstheme="minorHAnsi"/>
          <w:noProof/>
          <w:lang w:eastAsia="zh-CN" w:bidi="ar-SA"/>
        </w:rPr>
        <mc:AlternateContent>
          <mc:Choice Requires="wps">
            <w:drawing>
              <wp:anchor distT="0" distB="0" distL="114300" distR="114300" simplePos="0" relativeHeight="251674624" behindDoc="0" locked="0" layoutInCell="1" allowOverlap="1" wp14:anchorId="35D75340" wp14:editId="20A18429">
                <wp:simplePos x="0" y="0"/>
                <wp:positionH relativeFrom="column">
                  <wp:posOffset>2070643</wp:posOffset>
                </wp:positionH>
                <wp:positionV relativeFrom="paragraph">
                  <wp:posOffset>1194564</wp:posOffset>
                </wp:positionV>
                <wp:extent cx="1514475" cy="389178"/>
                <wp:effectExtent l="0" t="8572" r="952" b="953"/>
                <wp:wrapNone/>
                <wp:docPr id="18" name="Text Box 18"/>
                <wp:cNvGraphicFramePr/>
                <a:graphic xmlns:a="http://schemas.openxmlformats.org/drawingml/2006/main">
                  <a:graphicData uri="http://schemas.microsoft.com/office/word/2010/wordprocessingShape">
                    <wps:wsp>
                      <wps:cNvSpPr txBox="1"/>
                      <wps:spPr>
                        <a:xfrm rot="16200000">
                          <a:off x="0" y="0"/>
                          <a:ext cx="1514475" cy="389178"/>
                        </a:xfrm>
                        <a:prstGeom prst="rect">
                          <a:avLst/>
                        </a:prstGeom>
                        <a:solidFill>
                          <a:schemeClr val="lt1"/>
                        </a:solidFill>
                        <a:ln w="6350">
                          <a:noFill/>
                        </a:ln>
                      </wps:spPr>
                      <wps:txbx>
                        <w:txbxContent>
                          <w:p w14:paraId="0A8AB4BB" w14:textId="77777777" w:rsidR="00C26519" w:rsidRPr="0069037A" w:rsidRDefault="00C26519" w:rsidP="0069037A">
                            <w:pPr>
                              <w:jc w:val="center"/>
                              <w:rPr>
                                <w:rFonts w:ascii="Arial" w:hAnsi="Arial" w:cs="Arial"/>
                                <w:b/>
                                <w:sz w:val="18"/>
                                <w:szCs w:val="18"/>
                              </w:rPr>
                            </w:pPr>
                            <w:r w:rsidRPr="0069037A">
                              <w:rPr>
                                <w:rFonts w:ascii="Arial" w:hAnsi="Arial" w:cs="Arial"/>
                                <w:b/>
                                <w:sz w:val="18"/>
                                <w:szCs w:val="18"/>
                              </w:rPr>
                              <w:t>Bioassessment Index (e.g. CSCI, ASCI)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D75340" id="Text Box 18" o:spid="_x0000_s1027" type="#_x0000_t202" style="position:absolute;left:0;text-align:left;margin-left:163.05pt;margin-top:94.05pt;width:119.25pt;height:30.65pt;rotation:-9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" fillcolor="white [3201]" stroked="f" strokeweight=".5pt">
                <v:textbox>
                  <w:txbxContent>
                    <w:p w14:paraId="0A8AB4BB" w14:textId="77777777" w:rsidR="00C26519" w:rsidRPr="0069037A" w:rsidRDefault="00C26519" w:rsidP="0069037A">
                      <w:pPr>
                        <w:jc w:val="center"/>
                        <w:rPr>
                          <w:rFonts w:ascii="Arial" w:hAnsi="Arial" w:cs="Arial"/>
                          <w:b/>
                          <w:sz w:val="18"/>
                          <w:szCs w:val="18"/>
                        </w:rPr>
                      </w:pPr>
                      <w:r w:rsidRPr="0069037A">
                        <w:rPr>
                          <w:rFonts w:ascii="Arial" w:hAnsi="Arial" w:cs="Arial"/>
                          <w:b/>
                          <w:sz w:val="18"/>
                          <w:szCs w:val="18"/>
                        </w:rPr>
                        <w:t>Bioassessment Index (e.g. CSCI, ASCI)</w:t>
                      </w:r>
                    </w:p>
                  </w:txbxContent>
                </v:textbox>
              </v:shape>
            </w:pict>
          </mc:Fallback>
        </mc:AlternateContent>
      </w:r>
      <w:r w:rsidR="000F14DF" w:rsidRPr="00A802B9">
        <w:rPr>
          <w:rFonts w:ascii="Tw Cen MT" w:hAnsi="Tw Cen MT" w:cs="Arial"/>
          <w:b/>
          <w:noProof/>
          <w:sz w:val="18"/>
          <w:szCs w:val="18"/>
          <w:lang w:eastAsia="zh-CN" w:bidi="ar-SA"/>
        </w:rPr>
        <w:drawing>
          <wp:inline distT="0" distB="0" distL="0" distR="0" wp14:anchorId="6F57DE6D" wp14:editId="18FCEB05">
            <wp:extent cx="5161085" cy="2323148"/>
            <wp:effectExtent l="0" t="0" r="190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srcRect r="3125" b="2849"/>
                    <a:stretch>
                      <a:fillRect/>
                    </a:stretch>
                  </pic:blipFill>
                  <pic:spPr bwMode="auto">
                    <a:xfrm>
                      <a:off x="0" y="0"/>
                      <a:ext cx="5225591" cy="2352184"/>
                    </a:xfrm>
                    <a:prstGeom prst="rect">
                      <a:avLst/>
                    </a:prstGeom>
                    <a:noFill/>
                  </pic:spPr>
                </pic:pic>
              </a:graphicData>
            </a:graphic>
          </wp:inline>
        </w:drawing>
      </w:r>
    </w:p>
    <w:p w14:paraId="5BB259BC" w14:textId="77777777" w:rsidR="000F14DF" w:rsidRPr="005D2436" w:rsidRDefault="000F14DF" w:rsidP="005D2436">
      <w:pPr>
        <w:pStyle w:val="TOF"/>
        <w:rPr>
          <w:sz w:val="18"/>
          <w:szCs w:val="18"/>
        </w:rPr>
      </w:pPr>
      <w:bookmarkStart w:id="92" w:name="_Toc526489944"/>
      <w:r w:rsidRPr="005D2436">
        <w:rPr>
          <w:sz w:val="18"/>
          <w:szCs w:val="18"/>
        </w:rPr>
        <w:t>Figure 3.1. Examples of statistical approaches to determining the point along stressor gradient where ecosystem response shifts from no-effect to adverse-effects. The left panel illustrates a</w:t>
      </w:r>
      <w:r w:rsidR="00155B9A">
        <w:rPr>
          <w:sz w:val="18"/>
          <w:szCs w:val="18"/>
        </w:rPr>
        <w:t>n example</w:t>
      </w:r>
      <w:r w:rsidRPr="005D2436">
        <w:rPr>
          <w:sz w:val="18"/>
          <w:szCs w:val="18"/>
        </w:rPr>
        <w:t xml:space="preserve"> “step function” in the relationship between stressor and ecological response; here statistical methods can be used to identify the level of stress (or threshold, as indicated by the dashed line) at which an aquatic life indicator value changes abruptly. The right panel illustrates a quantile regression in which a target value for a benthic macroinvertebrate or algal bioassessment index score is used to interpolate the level of stressor (e.g., nutrient concentrations or algal biomass) that should not be exceeded in order to protect biointegrity.</w:t>
      </w:r>
      <w:bookmarkEnd w:id="92"/>
      <w:r w:rsidRPr="005D2436">
        <w:rPr>
          <w:sz w:val="18"/>
          <w:szCs w:val="18"/>
        </w:rPr>
        <w:t xml:space="preserve">  </w:t>
      </w:r>
    </w:p>
    <w:p w14:paraId="642969BF" w14:textId="77777777" w:rsidR="00BA170C" w:rsidRDefault="00BA170C" w:rsidP="00BA170C">
      <w:pPr>
        <w:pStyle w:val="Heading2"/>
      </w:pPr>
      <w:bookmarkStart w:id="93" w:name="_Toc526505129"/>
      <w:r>
        <w:t xml:space="preserve">3.2 </w:t>
      </w:r>
      <w:r w:rsidR="00A958A0">
        <w:t xml:space="preserve">Biostimulatory Thresholds Protective </w:t>
      </w:r>
      <w:r>
        <w:t xml:space="preserve">Aquatic Life </w:t>
      </w:r>
      <w:r w:rsidR="00B238FC">
        <w:t>Related Uses</w:t>
      </w:r>
      <w:bookmarkEnd w:id="93"/>
    </w:p>
    <w:p w14:paraId="23CAA62C" w14:textId="77777777" w:rsidR="00147840" w:rsidRPr="00147840" w:rsidRDefault="00147840" w:rsidP="00A707A9">
      <w:r w:rsidRPr="00147840">
        <w:t xml:space="preserve">We found evidence to support </w:t>
      </w:r>
      <w:r w:rsidR="00C07C27">
        <w:t xml:space="preserve">discussion of </w:t>
      </w:r>
      <w:r>
        <w:t>biostimulatory</w:t>
      </w:r>
      <w:r w:rsidRPr="00147840">
        <w:t xml:space="preserve"> </w:t>
      </w:r>
      <w:r w:rsidR="00C07C27">
        <w:t xml:space="preserve">targets </w:t>
      </w:r>
      <w:r>
        <w:t>(in bold), based on the linkage to the following aquatic life measures</w:t>
      </w:r>
      <w:r w:rsidR="00B238FC">
        <w:t xml:space="preserve"> (in italics)</w:t>
      </w:r>
      <w:r>
        <w:t>:</w:t>
      </w:r>
    </w:p>
    <w:p w14:paraId="3E1926F8" w14:textId="77777777" w:rsidR="000B0EE3" w:rsidRPr="000D61DA" w:rsidRDefault="000B0EE3" w:rsidP="000B0EE3">
      <w:pPr>
        <w:pStyle w:val="ListParagraph"/>
        <w:numPr>
          <w:ilvl w:val="0"/>
          <w:numId w:val="12"/>
        </w:numPr>
        <w:spacing w:after="120"/>
        <w:rPr>
          <w:b/>
        </w:rPr>
      </w:pPr>
      <w:r w:rsidRPr="00C07C27">
        <w:rPr>
          <w:rFonts w:cs="Calibri"/>
          <w:b/>
        </w:rPr>
        <w:t>↑</w:t>
      </w:r>
      <w:r w:rsidRPr="00C07C27">
        <w:rPr>
          <w:b/>
        </w:rPr>
        <w:t xml:space="preserve"> TN, TN, Benthic Chl-a, </w:t>
      </w:r>
      <w:r>
        <w:rPr>
          <w:b/>
        </w:rPr>
        <w:t xml:space="preserve">and </w:t>
      </w:r>
      <w:r w:rsidRPr="00C07C27">
        <w:rPr>
          <w:b/>
        </w:rPr>
        <w:t>AFDM</w:t>
      </w:r>
      <w:r>
        <w:t xml:space="preserve"> </w:t>
      </w:r>
      <w:r w:rsidRPr="00C07C27">
        <w:rPr>
          <w:rFonts w:cs="Calibri"/>
        </w:rPr>
        <w:t>↓</w:t>
      </w:r>
      <w:r>
        <w:t xml:space="preserve"> </w:t>
      </w:r>
      <w:r w:rsidRPr="00B238FC">
        <w:rPr>
          <w:i/>
        </w:rPr>
        <w:t>Algal</w:t>
      </w:r>
      <w:r>
        <w:rPr>
          <w:i/>
        </w:rPr>
        <w:t>,</w:t>
      </w:r>
      <w:r w:rsidRPr="00B238FC">
        <w:rPr>
          <w:i/>
        </w:rPr>
        <w:t xml:space="preserve"> BMI Community Integrity</w:t>
      </w:r>
    </w:p>
    <w:p w14:paraId="65F8D4C7" w14:textId="77777777" w:rsidR="000B0EE3" w:rsidRPr="00C07C27" w:rsidRDefault="000B0EE3" w:rsidP="000B0EE3">
      <w:pPr>
        <w:pStyle w:val="ListParagraph"/>
        <w:numPr>
          <w:ilvl w:val="0"/>
          <w:numId w:val="12"/>
        </w:numPr>
        <w:spacing w:after="120"/>
        <w:rPr>
          <w:b/>
        </w:rPr>
      </w:pPr>
      <w:r w:rsidRPr="00C07C27">
        <w:rPr>
          <w:rFonts w:cs="Calibri"/>
          <w:b/>
        </w:rPr>
        <w:t>↑</w:t>
      </w:r>
      <w:r w:rsidRPr="00C07C27">
        <w:rPr>
          <w:b/>
        </w:rPr>
        <w:t xml:space="preserve"> TN, TN, </w:t>
      </w:r>
      <w:r>
        <w:rPr>
          <w:b/>
        </w:rPr>
        <w:t>Sestonic Chl-a</w:t>
      </w:r>
      <w:r>
        <w:t xml:space="preserve"> </w:t>
      </w:r>
      <w:r w:rsidRPr="00C07C27">
        <w:rPr>
          <w:rFonts w:cs="Calibri"/>
        </w:rPr>
        <w:t>↓</w:t>
      </w:r>
      <w:r>
        <w:t xml:space="preserve"> </w:t>
      </w:r>
      <w:r w:rsidRPr="00B238FC">
        <w:rPr>
          <w:i/>
        </w:rPr>
        <w:t>Algal</w:t>
      </w:r>
      <w:r>
        <w:rPr>
          <w:i/>
        </w:rPr>
        <w:t>,</w:t>
      </w:r>
      <w:r w:rsidRPr="00B238FC">
        <w:rPr>
          <w:i/>
        </w:rPr>
        <w:t xml:space="preserve"> BMI</w:t>
      </w:r>
      <w:r>
        <w:rPr>
          <w:i/>
        </w:rPr>
        <w:t>, Fish</w:t>
      </w:r>
      <w:r w:rsidRPr="00B238FC">
        <w:rPr>
          <w:i/>
        </w:rPr>
        <w:t xml:space="preserve"> Community Integrity</w:t>
      </w:r>
    </w:p>
    <w:p w14:paraId="1607CA96" w14:textId="77777777" w:rsidR="000B0EE3" w:rsidRPr="00B238FC" w:rsidRDefault="000B0EE3" w:rsidP="000B0EE3">
      <w:pPr>
        <w:pStyle w:val="ListParagraph"/>
        <w:numPr>
          <w:ilvl w:val="0"/>
          <w:numId w:val="12"/>
        </w:numPr>
        <w:spacing w:after="120"/>
      </w:pPr>
      <w:r w:rsidRPr="00C07C27">
        <w:rPr>
          <w:rFonts w:cs="Calibri"/>
          <w:b/>
        </w:rPr>
        <w:t>↓</w:t>
      </w:r>
      <w:r w:rsidRPr="00C07C27">
        <w:rPr>
          <w:b/>
        </w:rPr>
        <w:t xml:space="preserve"> DO</w:t>
      </w:r>
      <w:r>
        <w:t xml:space="preserve"> </w:t>
      </w:r>
      <w:r w:rsidRPr="00C07C27">
        <w:rPr>
          <w:rFonts w:cs="Calibri"/>
        </w:rPr>
        <w:t>↓</w:t>
      </w:r>
      <w:r>
        <w:t xml:space="preserve"> </w:t>
      </w:r>
      <w:r w:rsidRPr="00B238FC">
        <w:rPr>
          <w:i/>
        </w:rPr>
        <w:t>Fish</w:t>
      </w:r>
      <w:r>
        <w:rPr>
          <w:i/>
        </w:rPr>
        <w:t xml:space="preserve"> and Invertebrate Physiological and Lethal Impacts</w:t>
      </w:r>
      <w:r w:rsidRPr="00B238FC">
        <w:rPr>
          <w:i/>
        </w:rPr>
        <w:t>, BMI Community Integrity</w:t>
      </w:r>
    </w:p>
    <w:p w14:paraId="43F38C5F" w14:textId="77777777" w:rsidR="000B0EE3" w:rsidRDefault="000B0EE3" w:rsidP="000B0EE3">
      <w:pPr>
        <w:pStyle w:val="ListParagraph"/>
        <w:numPr>
          <w:ilvl w:val="0"/>
          <w:numId w:val="12"/>
        </w:numPr>
        <w:spacing w:after="120"/>
      </w:pPr>
      <w:r w:rsidRPr="00C07C27">
        <w:rPr>
          <w:rFonts w:cs="Calibri"/>
          <w:b/>
        </w:rPr>
        <w:t>↑</w:t>
      </w:r>
      <w:r w:rsidRPr="00C07C27">
        <w:rPr>
          <w:b/>
        </w:rPr>
        <w:t xml:space="preserve"> </w:t>
      </w:r>
      <w:r>
        <w:rPr>
          <w:b/>
        </w:rPr>
        <w:t>pH Range</w:t>
      </w:r>
      <w:r>
        <w:t xml:space="preserve"> </w:t>
      </w:r>
      <w:r w:rsidRPr="00C07C27">
        <w:rPr>
          <w:rFonts w:cs="Calibri"/>
        </w:rPr>
        <w:t>↓</w:t>
      </w:r>
      <w:r>
        <w:t xml:space="preserve"> </w:t>
      </w:r>
      <w:r w:rsidRPr="00B238FC">
        <w:rPr>
          <w:i/>
        </w:rPr>
        <w:t>Fish</w:t>
      </w:r>
      <w:r>
        <w:rPr>
          <w:i/>
        </w:rPr>
        <w:t xml:space="preserve"> and Invertebrate Physiological and Lethal Impacts</w:t>
      </w:r>
    </w:p>
    <w:p w14:paraId="715CF4F8" w14:textId="77777777" w:rsidR="000B0EE3" w:rsidRPr="00C07C27" w:rsidRDefault="000B0EE3" w:rsidP="000B0EE3">
      <w:pPr>
        <w:pStyle w:val="ListParagraph"/>
        <w:numPr>
          <w:ilvl w:val="0"/>
          <w:numId w:val="12"/>
        </w:numPr>
        <w:spacing w:after="120"/>
        <w:rPr>
          <w:b/>
        </w:rPr>
      </w:pPr>
      <w:r w:rsidRPr="00C07C27">
        <w:rPr>
          <w:rFonts w:cs="Calibri"/>
          <w:b/>
        </w:rPr>
        <w:t>↑</w:t>
      </w:r>
      <w:r w:rsidRPr="00C07C27">
        <w:rPr>
          <w:b/>
        </w:rPr>
        <w:t xml:space="preserve"> TN, TN</w:t>
      </w:r>
      <w:r w:rsidRPr="000D61DA">
        <w:t>, Benthic Chl-a</w:t>
      </w:r>
      <w:r w:rsidRPr="00C07C27">
        <w:rPr>
          <w:rFonts w:cs="Calibri"/>
          <w:b/>
        </w:rPr>
        <w:t>↑</w:t>
      </w:r>
      <w:r w:rsidRPr="00C07C27">
        <w:rPr>
          <w:b/>
        </w:rPr>
        <w:t xml:space="preserve"> DO Diel Variability </w:t>
      </w:r>
      <w:r w:rsidRPr="00C07C27">
        <w:rPr>
          <w:rFonts w:cs="Calibri"/>
        </w:rPr>
        <w:t>↓</w:t>
      </w:r>
      <w:r>
        <w:t xml:space="preserve"> </w:t>
      </w:r>
      <w:r>
        <w:rPr>
          <w:i/>
        </w:rPr>
        <w:t xml:space="preserve">Fish, Algal, </w:t>
      </w:r>
      <w:r w:rsidRPr="00B238FC">
        <w:rPr>
          <w:i/>
        </w:rPr>
        <w:t>BMI Community Integrity</w:t>
      </w:r>
    </w:p>
    <w:p w14:paraId="162ED3D8" w14:textId="77777777" w:rsidR="000B0EE3" w:rsidRPr="007D134C" w:rsidRDefault="000B0EE3" w:rsidP="000B0EE3">
      <w:pPr>
        <w:pStyle w:val="ListParagraph"/>
        <w:numPr>
          <w:ilvl w:val="0"/>
          <w:numId w:val="12"/>
        </w:numPr>
        <w:spacing w:after="120"/>
        <w:rPr>
          <w:b/>
        </w:rPr>
      </w:pPr>
      <w:r w:rsidRPr="00C07C27">
        <w:rPr>
          <w:rFonts w:cs="Calibri"/>
          <w:b/>
        </w:rPr>
        <w:t>↑</w:t>
      </w:r>
      <w:r w:rsidRPr="000D61DA">
        <w:t xml:space="preserve"> TN TP, Sestonic Chl-a</w:t>
      </w:r>
      <w:r>
        <w:t xml:space="preserve"> </w:t>
      </w:r>
      <w:r w:rsidRPr="00C07C27">
        <w:rPr>
          <w:rFonts w:cs="Calibri"/>
          <w:b/>
        </w:rPr>
        <w:t>↑</w:t>
      </w:r>
      <w:r w:rsidRPr="00C07C27">
        <w:rPr>
          <w:b/>
        </w:rPr>
        <w:t xml:space="preserve"> Cyanotoxins</w:t>
      </w:r>
      <w:r>
        <w:t xml:space="preserve"> </w:t>
      </w:r>
      <w:r w:rsidRPr="00C07C27">
        <w:rPr>
          <w:rFonts w:cs="Calibri"/>
          <w:b/>
        </w:rPr>
        <w:t>↑</w:t>
      </w:r>
      <w:r>
        <w:t xml:space="preserve"> </w:t>
      </w:r>
      <w:r w:rsidRPr="00B238FC">
        <w:rPr>
          <w:i/>
        </w:rPr>
        <w:t xml:space="preserve">Fish, Algal, BMI, Wildlife </w:t>
      </w:r>
      <w:r>
        <w:rPr>
          <w:i/>
        </w:rPr>
        <w:t>Physiological/Lethal Impacts</w:t>
      </w:r>
    </w:p>
    <w:p w14:paraId="2DE52C49" w14:textId="77777777" w:rsidR="00B238FC" w:rsidRPr="00B238FC" w:rsidRDefault="00B238FC" w:rsidP="00B238FC">
      <w:r w:rsidRPr="00B238FC">
        <w:t xml:space="preserve">This information is summarized in the following sections. </w:t>
      </w:r>
    </w:p>
    <w:p w14:paraId="4BE0A803" w14:textId="67865AB3" w:rsidR="00147840" w:rsidRDefault="00147840" w:rsidP="00C07C27">
      <w:pPr>
        <w:pStyle w:val="Heading3"/>
      </w:pPr>
      <w:bookmarkStart w:id="94" w:name="_Toc526505130"/>
      <w:r>
        <w:t xml:space="preserve">3.2.1 </w:t>
      </w:r>
      <w:r w:rsidR="00F45C7D" w:rsidRPr="00F45C7D">
        <w:t xml:space="preserve">Basis for </w:t>
      </w:r>
      <w:r w:rsidR="00C07C27">
        <w:t xml:space="preserve">BMI and Algal </w:t>
      </w:r>
      <w:r w:rsidR="00F45C7D" w:rsidRPr="00F45C7D">
        <w:t>Aquatic Life Pro</w:t>
      </w:r>
      <w:r>
        <w:t>t</w:t>
      </w:r>
      <w:r w:rsidR="00F45C7D" w:rsidRPr="00F45C7D">
        <w:t>ection Endpoints</w:t>
      </w:r>
      <w:r w:rsidR="000B0EE3">
        <w:rPr>
          <w:rStyle w:val="FootnoteReference"/>
        </w:rPr>
        <w:footnoteReference w:id="6"/>
      </w:r>
      <w:r w:rsidR="00B238FC">
        <w:t xml:space="preserve"> in California</w:t>
      </w:r>
      <w:bookmarkEnd w:id="94"/>
      <w:r w:rsidR="00F45C7D">
        <w:t xml:space="preserve"> </w:t>
      </w:r>
    </w:p>
    <w:p w14:paraId="049A5D7A" w14:textId="4F3CD704" w:rsidR="00A958A0" w:rsidRDefault="00BA170C" w:rsidP="00A958A0">
      <w:r>
        <w:t>Several studies of California wadeable streams have established a solid scientific foundation for the selection of aquatic life use protection endpoints, based on a percentile of reference approach</w:t>
      </w:r>
      <w:r w:rsidR="00692A4B">
        <w:t xml:space="preserve"> (Figure 3.2)</w:t>
      </w:r>
      <w:r>
        <w:t xml:space="preserve"> for BMI (Mazor et al. 2016) and algae (Theroux et al. in prep). A biological condition gradient </w:t>
      </w:r>
      <w:r w:rsidR="00A958A0">
        <w:t xml:space="preserve">(BCG) </w:t>
      </w:r>
      <w:r>
        <w:t xml:space="preserve">model, developed through expert interpretation of raw taxonomic data, provided further support to interpreting the relevance of percentile of reference approach to loss of ecosystem structure and function along the BCG gradient (Paul et al. in prep).  </w:t>
      </w:r>
      <w:r w:rsidR="00692A4B">
        <w:t>Figure 3.3 shows the crosswalk of CSCI and ASCI</w:t>
      </w:r>
      <w:r w:rsidR="004C2E25">
        <w:t>_H</w:t>
      </w:r>
      <w:r w:rsidR="00692A4B">
        <w:t xml:space="preserve"> 30</w:t>
      </w:r>
      <w:r w:rsidR="00692A4B" w:rsidRPr="00692A4B">
        <w:rPr>
          <w:vertAlign w:val="superscript"/>
        </w:rPr>
        <w:t>th</w:t>
      </w:r>
      <w:r w:rsidR="00692A4B">
        <w:t>, 10</w:t>
      </w:r>
      <w:r w:rsidR="00692A4B" w:rsidRPr="00692A4B">
        <w:rPr>
          <w:vertAlign w:val="superscript"/>
        </w:rPr>
        <w:t>th</w:t>
      </w:r>
      <w:r w:rsidR="00692A4B">
        <w:t xml:space="preserve"> and 1</w:t>
      </w:r>
      <w:r w:rsidR="00692A4B" w:rsidRPr="00692A4B">
        <w:rPr>
          <w:vertAlign w:val="superscript"/>
        </w:rPr>
        <w:t>st</w:t>
      </w:r>
      <w:r w:rsidR="00692A4B">
        <w:t xml:space="preserve"> percentile of reference with BCG categories. BCG Bin 3 </w:t>
      </w:r>
      <w:r w:rsidR="00DC57F9">
        <w:t xml:space="preserve">(evident loss of structure, minimal loss of ecological function) </w:t>
      </w:r>
      <w:r w:rsidR="00692A4B">
        <w:t xml:space="preserve">was most closely related to </w:t>
      </w:r>
      <w:r w:rsidR="00DC57F9">
        <w:t>the 10</w:t>
      </w:r>
      <w:r w:rsidR="00DC57F9" w:rsidRPr="00DC57F9">
        <w:rPr>
          <w:vertAlign w:val="superscript"/>
        </w:rPr>
        <w:t>th</w:t>
      </w:r>
      <w:r w:rsidR="00DC57F9">
        <w:t xml:space="preserve"> percentile of reference, while BCG 4 was closely related to the 1</w:t>
      </w:r>
      <w:r w:rsidR="00DC57F9" w:rsidRPr="00DC57F9">
        <w:rPr>
          <w:vertAlign w:val="superscript"/>
        </w:rPr>
        <w:t>st</w:t>
      </w:r>
      <w:r w:rsidR="00DC57F9">
        <w:t xml:space="preserve"> percentile (moderate loss of structure, minor loss of function (Paul et al. in prep). </w:t>
      </w:r>
      <w:r w:rsidR="00F45C7D">
        <w:t xml:space="preserve">Other ASCI indices (ASCI_D and ASCI_SBA) were coarser in their resolution of BCG tiers (Paul et al. in prep), perhaps because of their </w:t>
      </w:r>
      <w:r w:rsidR="005106F4">
        <w:t>overall</w:t>
      </w:r>
      <w:r w:rsidR="00F45C7D">
        <w:t xml:space="preserve"> performance and sensitivity to eutrophication gradients (Theroux et al. in prep). </w:t>
      </w:r>
    </w:p>
    <w:p w14:paraId="3100B164" w14:textId="77777777" w:rsidR="00692A4B" w:rsidRDefault="00692A4B" w:rsidP="00A707A9">
      <w:r w:rsidRPr="00692A4B">
        <w:rPr>
          <w:noProof/>
          <w:lang w:eastAsia="zh-CN" w:bidi="ar-SA"/>
        </w:rPr>
        <w:drawing>
          <wp:inline distT="0" distB="0" distL="0" distR="0" wp14:anchorId="39D0D630" wp14:editId="1BB5D232">
            <wp:extent cx="5943600" cy="3587108"/>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63853" cy="3599331"/>
                    </a:xfrm>
                    <a:prstGeom prst="rect">
                      <a:avLst/>
                    </a:prstGeom>
                    <a:noFill/>
                    <a:ln>
                      <a:noFill/>
                    </a:ln>
                  </pic:spPr>
                </pic:pic>
              </a:graphicData>
            </a:graphic>
          </wp:inline>
        </w:drawing>
      </w:r>
    </w:p>
    <w:p w14:paraId="02A21948" w14:textId="77777777" w:rsidR="00B238FC" w:rsidRDefault="00692A4B" w:rsidP="00692A4B">
      <w:pPr>
        <w:pStyle w:val="TOF"/>
        <w:sectPr w:rsidR="00B238FC" w:rsidSect="00C5540D">
          <w:pgSz w:w="12240" w:h="15840"/>
          <w:pgMar w:top="1440" w:right="1440" w:bottom="1440" w:left="1440" w:header="720" w:footer="720" w:gutter="0"/>
          <w:cols w:space="720"/>
          <w:docGrid w:linePitch="360"/>
        </w:sectPr>
      </w:pPr>
      <w:bookmarkStart w:id="95" w:name="_Toc526489945"/>
      <w:r>
        <w:t>Figure 3.2 Graphical representation of the percentile of reference approach, as applied to CSCI scores from reference sites, showing the 30</w:t>
      </w:r>
      <w:r w:rsidRPr="00692A4B">
        <w:rPr>
          <w:vertAlign w:val="superscript"/>
        </w:rPr>
        <w:t>th</w:t>
      </w:r>
      <w:r>
        <w:t>, 10</w:t>
      </w:r>
      <w:r w:rsidRPr="00692A4B">
        <w:rPr>
          <w:vertAlign w:val="superscript"/>
        </w:rPr>
        <w:t>th</w:t>
      </w:r>
      <w:r>
        <w:t xml:space="preserve"> and 1</w:t>
      </w:r>
      <w:r w:rsidRPr="00692A4B">
        <w:rPr>
          <w:vertAlign w:val="superscript"/>
        </w:rPr>
        <w:t>st</w:t>
      </w:r>
      <w:r>
        <w:t xml:space="preserve"> percentile, with narrative descriptions of condition “bins.”</w:t>
      </w:r>
      <w:r w:rsidR="001F7564">
        <w:t xml:space="preserve">  Data from Mazor et al. (2016).</w:t>
      </w:r>
      <w:bookmarkEnd w:id="95"/>
    </w:p>
    <w:p w14:paraId="1FB08B5E" w14:textId="77777777" w:rsidR="00BA170C" w:rsidRDefault="00BA170C" w:rsidP="00692A4B">
      <w:pPr>
        <w:pStyle w:val="TOF"/>
      </w:pPr>
    </w:p>
    <w:p w14:paraId="52DF4F12" w14:textId="77777777" w:rsidR="00DC57F9" w:rsidRDefault="00DC57F9" w:rsidP="00AF51B8">
      <w:bookmarkStart w:id="96" w:name="_Toc525198223"/>
      <w:bookmarkStart w:id="97" w:name="_Toc525823121"/>
      <w:bookmarkStart w:id="98" w:name="_Toc525876648"/>
      <w:r w:rsidRPr="00DC57F9">
        <w:rPr>
          <w:noProof/>
          <w:lang w:eastAsia="zh-CN" w:bidi="ar-SA"/>
        </w:rPr>
        <w:drawing>
          <wp:inline distT="0" distB="0" distL="0" distR="0" wp14:anchorId="294D8B14" wp14:editId="1EDD399C">
            <wp:extent cx="8225617" cy="48387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239921" cy="4847114"/>
                    </a:xfrm>
                    <a:prstGeom prst="rect">
                      <a:avLst/>
                    </a:prstGeom>
                    <a:noFill/>
                    <a:ln>
                      <a:noFill/>
                    </a:ln>
                  </pic:spPr>
                </pic:pic>
              </a:graphicData>
            </a:graphic>
          </wp:inline>
        </w:drawing>
      </w:r>
      <w:bookmarkEnd w:id="96"/>
      <w:bookmarkEnd w:id="97"/>
      <w:bookmarkEnd w:id="98"/>
    </w:p>
    <w:p w14:paraId="5BE93FAD" w14:textId="77777777" w:rsidR="00DC57F9" w:rsidRPr="004618D8" w:rsidRDefault="00DC57F9" w:rsidP="004618D8">
      <w:pPr>
        <w:pStyle w:val="TOF"/>
      </w:pPr>
      <w:bookmarkStart w:id="99" w:name="_Toc526489946"/>
      <w:r w:rsidRPr="004618D8">
        <w:t xml:space="preserve">Figure 3.3 Crosswalk of BCG narratives and BCG-derived CSCI and ASCI scores (right side of each panel) to a percentile of reference narratives and scores (left sides of each panel). </w:t>
      </w:r>
      <w:r w:rsidR="001F7564">
        <w:t>Figure not drawn to scale.</w:t>
      </w:r>
      <w:r w:rsidRPr="004618D8">
        <w:t xml:space="preserve"> </w:t>
      </w:r>
      <w:r w:rsidR="0073250B">
        <w:t>Data from Paul et al. (in prep).</w:t>
      </w:r>
      <w:bookmarkEnd w:id="99"/>
    </w:p>
    <w:p w14:paraId="1E3CBD65" w14:textId="77777777" w:rsidR="00B238FC" w:rsidRDefault="00B238FC" w:rsidP="00F45C7D">
      <w:pPr>
        <w:jc w:val="both"/>
        <w:sectPr w:rsidR="00B238FC" w:rsidSect="00B238FC">
          <w:pgSz w:w="15840" w:h="12240" w:orient="landscape"/>
          <w:pgMar w:top="1440" w:right="1440" w:bottom="1440" w:left="1440" w:header="720" w:footer="720" w:gutter="0"/>
          <w:cols w:space="720"/>
          <w:docGrid w:linePitch="360"/>
        </w:sectPr>
      </w:pPr>
    </w:p>
    <w:p w14:paraId="1B3A9499" w14:textId="77777777" w:rsidR="00F45C7D" w:rsidRDefault="00F45C7D" w:rsidP="00F45C7D">
      <w:r>
        <w:t xml:space="preserve">Available literature, synthesized here, provides support for the establishment of </w:t>
      </w:r>
      <w:r w:rsidRPr="001E3BC2">
        <w:rPr>
          <w:u w:val="single"/>
        </w:rPr>
        <w:t>statewide</w:t>
      </w:r>
      <w:r>
        <w:t xml:space="preserve"> TN, TP, benthic chl-a, and AFDM targets protective of aquatic life related beneficial uses. Two studies provide strong evidence for thresholds protective of BMI and algal community structure, based on stress-response modeling. These values were further compared with </w:t>
      </w:r>
      <w:r w:rsidR="0073250B">
        <w:t xml:space="preserve">changepoints derived for individual taxa, and with </w:t>
      </w:r>
      <w:r>
        <w:t>selected percentile of reference of values for these indicators</w:t>
      </w:r>
      <w:r w:rsidR="0073250B">
        <w:t xml:space="preserve"> (</w:t>
      </w:r>
      <w:r>
        <w:t>statewide and by ecoregion</w:t>
      </w:r>
      <w:r w:rsidR="0073250B">
        <w:t>,</w:t>
      </w:r>
      <w:r>
        <w:t xml:space="preserve"> from Fetscher et al. 2014</w:t>
      </w:r>
      <w:r w:rsidR="0069037A">
        <w:t>)</w:t>
      </w:r>
      <w:r>
        <w:t>, and with published literature and adopted criteria in other U.S. states. Statistical approaches used in these studies do not allow for distinguishing thresholds between COLD and WARM uses, and thus what is derived is applicable to both.</w:t>
      </w:r>
    </w:p>
    <w:p w14:paraId="3163814F" w14:textId="77777777" w:rsidR="00DC57F9" w:rsidRDefault="00F45C7D" w:rsidP="00F45C7D">
      <w:r>
        <w:t xml:space="preserve">Mazor et al. (in prep) derived the basis for these thresholds at a 90% </w:t>
      </w:r>
      <w:r w:rsidR="0073250B">
        <w:t xml:space="preserve">relative probability </w:t>
      </w:r>
      <w:r>
        <w:t>that they are protective of prospective aquatic life endpoints, CSCI and the ASCI, at a range of stringency of protection levels, from the 30</w:t>
      </w:r>
      <w:r w:rsidRPr="00B711BC">
        <w:rPr>
          <w:vertAlign w:val="superscript"/>
        </w:rPr>
        <w:t>th</w:t>
      </w:r>
      <w:r>
        <w:t xml:space="preserve"> to the 1</w:t>
      </w:r>
      <w:r w:rsidRPr="00B711BC">
        <w:rPr>
          <w:vertAlign w:val="superscript"/>
        </w:rPr>
        <w:t>st</w:t>
      </w:r>
      <w:r>
        <w:t xml:space="preserve"> percentile of reference, using logistic regression models. These percentiles of reference represent different narratives of ecological protection, grounded in a biological condition gradient (BCG) expert synthesis (Paul et al.  in prep). Sensitivity of </w:t>
      </w:r>
      <w:r w:rsidR="0073250B">
        <w:t>relative probability</w:t>
      </w:r>
      <w:r>
        <w:t xml:space="preserve"> level was explored (80%, 90% and 95%); the full range of threshold combinations explored are available in Mazor et al. (in prep), supplemental Table 3. However, the 90</w:t>
      </w:r>
      <w:r w:rsidRPr="0047719D">
        <w:rPr>
          <w:vertAlign w:val="superscript"/>
        </w:rPr>
        <w:t>th</w:t>
      </w:r>
      <w:r>
        <w:t xml:space="preserve"> percentile </w:t>
      </w:r>
      <w:r w:rsidR="0073250B">
        <w:t>or higher</w:t>
      </w:r>
      <w:r>
        <w:t xml:space="preserve"> is recommended for further consideration based on the greatest number of models that were statistically validated and the congruence with a 10% allowable exceedance frequency </w:t>
      </w:r>
      <w:r w:rsidR="0073362F">
        <w:t>in the</w:t>
      </w:r>
      <w:r>
        <w:t xml:space="preserve"> </w:t>
      </w:r>
      <w:r w:rsidR="0073362F">
        <w:t>Water Quality Control Policy for Developing California’s Clean Water Action Section 303(d) list (</w:t>
      </w:r>
      <w:r w:rsidR="0073362F" w:rsidRPr="00FE66CC">
        <w:t>www.waterboards.ca.gov</w:t>
      </w:r>
      <w:r>
        <w:t xml:space="preserve">). </w:t>
      </w:r>
      <w:r w:rsidRPr="001C7767">
        <w:t xml:space="preserve"> </w:t>
      </w:r>
      <w:r>
        <w:t>S</w:t>
      </w:r>
      <w:r w:rsidRPr="00CF3401">
        <w:t>pecific thresholds varied on level of desired protection (30</w:t>
      </w:r>
      <w:r w:rsidRPr="00FB5B34">
        <w:rPr>
          <w:vertAlign w:val="superscript"/>
        </w:rPr>
        <w:t>th</w:t>
      </w:r>
      <w:r>
        <w:t xml:space="preserve"> </w:t>
      </w:r>
      <w:r w:rsidRPr="00CF3401">
        <w:t>versus 1</w:t>
      </w:r>
      <w:r w:rsidRPr="00FB5B34">
        <w:rPr>
          <w:vertAlign w:val="superscript"/>
        </w:rPr>
        <w:t>st</w:t>
      </w:r>
      <w:r>
        <w:t xml:space="preserve"> </w:t>
      </w:r>
      <w:r w:rsidRPr="00CF3401">
        <w:t>percentile of reference), which is a policy decision.</w:t>
      </w:r>
      <w:r>
        <w:t xml:space="preserve"> Three indices are available for ASCI, but the hybrid soft-bodied algae (SBA)</w:t>
      </w:r>
      <w:r w:rsidR="0073250B">
        <w:t xml:space="preserve"> </w:t>
      </w:r>
      <w:r>
        <w:t xml:space="preserve">and diatom version, herein referred to as ASCI_H </w:t>
      </w:r>
      <w:r w:rsidR="004D1390">
        <w:t xml:space="preserve">had a better signal to noise ratio in its response to environmental gradients (Theroux et al. in prep) and better resolution with a BCG crosswalk than </w:t>
      </w:r>
      <w:r>
        <w:t>the diatom and SBA ASCI</w:t>
      </w:r>
      <w:r w:rsidR="0073250B">
        <w:t>s</w:t>
      </w:r>
      <w:r>
        <w:t>. Thus, only the results for the CSCI and ASCI_H are highlighted here.</w:t>
      </w:r>
    </w:p>
    <w:p w14:paraId="5164715D" w14:textId="77777777" w:rsidR="00835076" w:rsidRDefault="00835076" w:rsidP="00835076">
      <w:pPr>
        <w:pStyle w:val="Heading3"/>
      </w:pPr>
      <w:bookmarkStart w:id="100" w:name="_Toc526505131"/>
      <w:r>
        <w:t>3.</w:t>
      </w:r>
      <w:r w:rsidR="00A958A0">
        <w:t>2</w:t>
      </w:r>
      <w:r>
        <w:t>.</w:t>
      </w:r>
      <w:r w:rsidR="004D1390">
        <w:t>2</w:t>
      </w:r>
      <w:r>
        <w:t xml:space="preserve"> TN and TP Thresholds</w:t>
      </w:r>
      <w:r w:rsidR="008717FC">
        <w:t xml:space="preserve"> Protective of </w:t>
      </w:r>
      <w:r w:rsidR="0073250B">
        <w:t xml:space="preserve">Biological </w:t>
      </w:r>
      <w:r w:rsidR="008717FC">
        <w:t>Integrity</w:t>
      </w:r>
      <w:bookmarkEnd w:id="100"/>
    </w:p>
    <w:p w14:paraId="155DE96F" w14:textId="77777777" w:rsidR="00EB5E21" w:rsidRDefault="00EB5E21" w:rsidP="00EB5E21">
      <w:pPr>
        <w:jc w:val="both"/>
      </w:pPr>
      <w:r>
        <w:t xml:space="preserve">In general, thresholds of response of both BMI and algae occurred across a tight range of TN and TP values, though algae were generally more sensitive </w:t>
      </w:r>
      <w:r w:rsidR="0073250B">
        <w:t xml:space="preserve">to increases in nutrient concentrations </w:t>
      </w:r>
      <w:r>
        <w:t>than BMI (Figure 3.</w:t>
      </w:r>
      <w:r w:rsidR="004F6E61">
        <w:t>4</w:t>
      </w:r>
      <w:r>
        <w:t xml:space="preserve">, Mazor et al. in prep). </w:t>
      </w:r>
      <w:r w:rsidR="00241762">
        <w:t>S</w:t>
      </w:r>
      <w:r w:rsidR="00241762" w:rsidRPr="00CF3401">
        <w:t>pecific thresholds varied on level of desired protection (30</w:t>
      </w:r>
      <w:r w:rsidR="00241762" w:rsidRPr="00FB5B34">
        <w:rPr>
          <w:vertAlign w:val="superscript"/>
        </w:rPr>
        <w:t>th</w:t>
      </w:r>
      <w:r w:rsidR="00241762">
        <w:t xml:space="preserve"> </w:t>
      </w:r>
      <w:r w:rsidR="00241762" w:rsidRPr="00CF3401">
        <w:t>versus 1</w:t>
      </w:r>
      <w:r w:rsidR="00241762" w:rsidRPr="00FB5B34">
        <w:rPr>
          <w:vertAlign w:val="superscript"/>
        </w:rPr>
        <w:t>st</w:t>
      </w:r>
      <w:r w:rsidR="00241762">
        <w:t xml:space="preserve"> </w:t>
      </w:r>
      <w:r w:rsidR="00241762" w:rsidRPr="00CF3401">
        <w:t xml:space="preserve">percentile of reference), </w:t>
      </w:r>
      <w:r w:rsidR="00A958A0">
        <w:t>but</w:t>
      </w:r>
      <w:r>
        <w:t xml:space="preserve"> </w:t>
      </w:r>
      <w:r w:rsidR="0073250B">
        <w:t xml:space="preserve">analyses for </w:t>
      </w:r>
      <w:r>
        <w:t xml:space="preserve">the </w:t>
      </w:r>
      <w:r w:rsidRPr="00CF3401">
        <w:t>10</w:t>
      </w:r>
      <w:r w:rsidRPr="009971E1">
        <w:rPr>
          <w:vertAlign w:val="superscript"/>
        </w:rPr>
        <w:t>th</w:t>
      </w:r>
      <w:r>
        <w:t xml:space="preserve"> </w:t>
      </w:r>
      <w:r w:rsidRPr="00CF3401">
        <w:t>percentile of</w:t>
      </w:r>
      <w:r>
        <w:t xml:space="preserve"> </w:t>
      </w:r>
      <w:r w:rsidRPr="00CF3401">
        <w:t xml:space="preserve">reference </w:t>
      </w:r>
      <w:r w:rsidR="0073250B">
        <w:t xml:space="preserve">for the indices </w:t>
      </w:r>
      <w:r w:rsidRPr="00CF3401">
        <w:t>yield</w:t>
      </w:r>
      <w:r>
        <w:t>ed</w:t>
      </w:r>
      <w:r w:rsidRPr="00CF3401">
        <w:t xml:space="preserve"> </w:t>
      </w:r>
      <w:r w:rsidR="0073250B">
        <w:t xml:space="preserve">thresholds of </w:t>
      </w:r>
      <w:r>
        <w:t xml:space="preserve">0.32 to 0.59 mg/L </w:t>
      </w:r>
      <w:r w:rsidR="00553C75">
        <w:t xml:space="preserve">TN </w:t>
      </w:r>
      <w:r>
        <w:t>and 0.08 to 0.10 mg/L</w:t>
      </w:r>
      <w:r w:rsidR="00553C75">
        <w:t xml:space="preserve"> TP</w:t>
      </w:r>
      <w:r w:rsidR="001C7767">
        <w:t xml:space="preserve"> (Table 3.2)</w:t>
      </w:r>
      <w:r>
        <w:t xml:space="preserve">. </w:t>
      </w:r>
      <w:r w:rsidR="0069037A">
        <w:t xml:space="preserve"> Thresholds associated with ASCI_SBA and ASCI_D were typically higher (Mazor et al. in prep). </w:t>
      </w:r>
    </w:p>
    <w:p w14:paraId="4ED10956" w14:textId="58B51D4C" w:rsidR="004D1390" w:rsidRDefault="004D1390" w:rsidP="00EB5E21">
      <w:pPr>
        <w:jc w:val="both"/>
      </w:pPr>
      <w:r>
        <w:t xml:space="preserve">Fetscher al. (2014) derived changepoints based on the same data sources using variety of statistical approaches to relate TN and TP concentrations to breakpoints in CSCI and H20, the Southern California precursor to the statewide provisional ASCI_H (Fetscher et al. </w:t>
      </w:r>
      <w:r w:rsidR="00057314">
        <w:t>2013</w:t>
      </w:r>
      <w:r>
        <w:t xml:space="preserve">). Fetscher et al. (2014) found changepoints of </w:t>
      </w:r>
      <w:r w:rsidRPr="00CF3401">
        <w:t>0.3-0.5 mg/L TN and 0.05-0.08 mg/L TP</w:t>
      </w:r>
      <w:r>
        <w:t xml:space="preserve">, corresponding to </w:t>
      </w:r>
      <w:r w:rsidRPr="00443CBA">
        <w:rPr>
          <w:i/>
        </w:rPr>
        <w:t>exhaustion thresholds</w:t>
      </w:r>
      <w:r>
        <w:t xml:space="preserve"> for both metric level and index level responses (Figure 3.5).  The ranges of these breakpoints are just above the 10</w:t>
      </w:r>
      <w:r w:rsidRPr="00443CBA">
        <w:rPr>
          <w:vertAlign w:val="superscript"/>
        </w:rPr>
        <w:t>th</w:t>
      </w:r>
      <w:r>
        <w:t xml:space="preserve"> percentile of reference protection endpoints, signaling that TN and TP values above these breakpoints (e.g. lower than 10</w:t>
      </w:r>
      <w:r w:rsidRPr="00443CBA">
        <w:rPr>
          <w:vertAlign w:val="superscript"/>
        </w:rPr>
        <w:t>st</w:t>
      </w:r>
      <w:r>
        <w:t xml:space="preserve"> percentile of reference) would not be protective of BMI and algal biointegrity. This</w:t>
      </w:r>
      <w:r w:rsidR="0073250B">
        <w:t xml:space="preserve"> changepoint</w:t>
      </w:r>
      <w:r>
        <w:t xml:space="preserve"> is clearly visible from Titan analysis plots showing BMI and algal (diatom and SBA) increaser versus decreaser taxa relative to TN and TP concentration gradients (Mazor et al. in prep; Figure 3.6).</w:t>
      </w:r>
    </w:p>
    <w:p w14:paraId="4460030E" w14:textId="77777777" w:rsidR="004D1390" w:rsidRDefault="004D1390" w:rsidP="00EB5E21">
      <w:pPr>
        <w:jc w:val="both"/>
      </w:pPr>
    </w:p>
    <w:p w14:paraId="32620F9F" w14:textId="6DA25F0A" w:rsidR="00553C75" w:rsidRDefault="00553C75" w:rsidP="00553C75">
      <w:pPr>
        <w:pStyle w:val="TOT"/>
      </w:pPr>
      <w:bookmarkStart w:id="101" w:name="_Toc526489917"/>
      <w:r>
        <w:t>Table 3.</w:t>
      </w:r>
      <w:r w:rsidR="00CF46F1">
        <w:t>2</w:t>
      </w:r>
      <w:r>
        <w:t xml:space="preserve"> Range of </w:t>
      </w:r>
      <w:r w:rsidR="00D876E6">
        <w:t xml:space="preserve">TN and TP </w:t>
      </w:r>
      <w:r>
        <w:t>thresholds associated with protection of CSCI and ASCI_H at a relative probability of 90% confidence, at varying levels of percentile of reference, from 30</w:t>
      </w:r>
      <w:r w:rsidRPr="00FF793D">
        <w:rPr>
          <w:vertAlign w:val="superscript"/>
        </w:rPr>
        <w:t>th</w:t>
      </w:r>
      <w:r>
        <w:t xml:space="preserve"> to 1</w:t>
      </w:r>
      <w:r w:rsidRPr="00FF793D">
        <w:rPr>
          <w:vertAlign w:val="superscript"/>
        </w:rPr>
        <w:t>st</w:t>
      </w:r>
      <w:r>
        <w:t xml:space="preserve">. Relative risk is provided for calibration versus validation datasets. All </w:t>
      </w:r>
      <w:r w:rsidRPr="00241762">
        <w:t>targets passed validation (i.e., the lower 95% confidence interval of the relative risk estimate was greater than 1 for both calibration and validation data sets</w:t>
      </w:r>
      <w:r>
        <w:t>. BI goal refers to CSCI or ASCI endpoint (30</w:t>
      </w:r>
      <w:r w:rsidRPr="00BF41F0">
        <w:rPr>
          <w:vertAlign w:val="superscript"/>
        </w:rPr>
        <w:t>th</w:t>
      </w:r>
      <w:r>
        <w:t>, 10</w:t>
      </w:r>
      <w:r w:rsidRPr="00BF41F0">
        <w:rPr>
          <w:vertAlign w:val="superscript"/>
        </w:rPr>
        <w:t>th</w:t>
      </w:r>
      <w:r>
        <w:t xml:space="preserve"> or 1</w:t>
      </w:r>
      <w:r w:rsidR="005106F4" w:rsidRPr="00BF41F0">
        <w:rPr>
          <w:vertAlign w:val="superscript"/>
        </w:rPr>
        <w:t>st</w:t>
      </w:r>
      <w:r w:rsidR="005106F4">
        <w:t>)</w:t>
      </w:r>
      <w:r>
        <w:t>.</w:t>
      </w:r>
      <w:bookmarkEnd w:id="101"/>
      <w:r>
        <w:t xml:space="preserve"> </w:t>
      </w:r>
    </w:p>
    <w:tbl>
      <w:tblPr>
        <w:tblStyle w:val="LightShading1"/>
        <w:tblW w:w="7625" w:type="dxa"/>
        <w:tblLook w:val="06A0" w:firstRow="1" w:lastRow="0" w:firstColumn="1" w:lastColumn="0" w:noHBand="1" w:noVBand="1"/>
      </w:tblPr>
      <w:tblGrid>
        <w:gridCol w:w="696"/>
        <w:gridCol w:w="805"/>
        <w:gridCol w:w="1332"/>
        <w:gridCol w:w="1050"/>
        <w:gridCol w:w="1008"/>
        <w:gridCol w:w="1028"/>
        <w:gridCol w:w="932"/>
        <w:gridCol w:w="774"/>
      </w:tblGrid>
      <w:tr w:rsidR="00553C75" w:rsidRPr="00C36698" w14:paraId="510CEC55" w14:textId="77777777" w:rsidTr="00EC3F7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76FE10F0" w14:textId="77777777" w:rsidR="00553C75" w:rsidRPr="00C07C27" w:rsidRDefault="00553C75" w:rsidP="00C07C27">
            <w:pPr>
              <w:spacing w:after="120"/>
              <w:jc w:val="center"/>
              <w:rPr>
                <w:rFonts w:asciiTheme="minorHAnsi" w:hAnsiTheme="minorHAnsi" w:cstheme="minorHAnsi"/>
                <w:b w:val="0"/>
                <w:bCs w:val="0"/>
                <w:sz w:val="20"/>
                <w:szCs w:val="20"/>
              </w:rPr>
            </w:pPr>
            <w:r w:rsidRPr="00C07C27">
              <w:rPr>
                <w:rFonts w:asciiTheme="minorHAnsi" w:hAnsiTheme="minorHAnsi" w:cstheme="minorHAnsi"/>
                <w:sz w:val="20"/>
                <w:szCs w:val="20"/>
              </w:rPr>
              <w:t>BI</w:t>
            </w:r>
          </w:p>
          <w:p w14:paraId="0BDCC0A6" w14:textId="77777777" w:rsidR="00553C75" w:rsidRPr="00C07C27" w:rsidRDefault="00553C75" w:rsidP="00C07C27">
            <w:pPr>
              <w:spacing w:after="120"/>
              <w:jc w:val="center"/>
              <w:rPr>
                <w:rFonts w:asciiTheme="minorHAnsi" w:hAnsiTheme="minorHAnsi" w:cstheme="minorHAnsi"/>
                <w:sz w:val="20"/>
                <w:szCs w:val="20"/>
              </w:rPr>
            </w:pPr>
            <w:r w:rsidRPr="00C07C27">
              <w:rPr>
                <w:rFonts w:asciiTheme="minorHAnsi" w:hAnsiTheme="minorHAnsi" w:cstheme="minorHAnsi"/>
                <w:sz w:val="20"/>
                <w:szCs w:val="20"/>
              </w:rPr>
              <w:t>Goal</w:t>
            </w:r>
          </w:p>
        </w:tc>
        <w:tc>
          <w:tcPr>
            <w:tcW w:w="0" w:type="auto"/>
            <w:vMerge w:val="restart"/>
            <w:noWrap/>
            <w:hideMark/>
          </w:tcPr>
          <w:p w14:paraId="2ED764B7" w14:textId="77777777" w:rsidR="00553C75" w:rsidRPr="00C07C27" w:rsidRDefault="00553C75" w:rsidP="00C07C27">
            <w:pPr>
              <w:spacing w:after="12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Index</w:t>
            </w:r>
          </w:p>
        </w:tc>
        <w:tc>
          <w:tcPr>
            <w:tcW w:w="3390" w:type="dxa"/>
            <w:gridSpan w:val="3"/>
            <w:noWrap/>
            <w:hideMark/>
          </w:tcPr>
          <w:p w14:paraId="183F941A" w14:textId="77777777" w:rsidR="00553C75" w:rsidRPr="00C07C27" w:rsidRDefault="00553C75" w:rsidP="00C07C27">
            <w:pPr>
              <w:spacing w:after="1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Total Nitrogen</w:t>
            </w:r>
          </w:p>
        </w:tc>
        <w:tc>
          <w:tcPr>
            <w:tcW w:w="2510" w:type="dxa"/>
            <w:gridSpan w:val="3"/>
          </w:tcPr>
          <w:p w14:paraId="5A217832" w14:textId="77777777" w:rsidR="00553C75" w:rsidRPr="00C07C27" w:rsidRDefault="00553C75" w:rsidP="00C07C27">
            <w:pPr>
              <w:spacing w:after="1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T</w:t>
            </w:r>
            <w:r w:rsidR="00EC3F79" w:rsidRPr="00C07C27">
              <w:rPr>
                <w:rFonts w:asciiTheme="minorHAnsi" w:hAnsiTheme="minorHAnsi" w:cstheme="minorHAnsi"/>
                <w:sz w:val="20"/>
                <w:szCs w:val="20"/>
              </w:rPr>
              <w:t xml:space="preserve">otal </w:t>
            </w:r>
            <w:r w:rsidRPr="00C07C27">
              <w:rPr>
                <w:rFonts w:asciiTheme="minorHAnsi" w:hAnsiTheme="minorHAnsi" w:cstheme="minorHAnsi"/>
                <w:sz w:val="20"/>
                <w:szCs w:val="20"/>
              </w:rPr>
              <w:t>P</w:t>
            </w:r>
          </w:p>
        </w:tc>
      </w:tr>
      <w:tr w:rsidR="00553C75" w:rsidRPr="00C36698" w14:paraId="01101B38" w14:textId="77777777" w:rsidTr="00EC3F79">
        <w:trPr>
          <w:trHeight w:val="300"/>
        </w:trPr>
        <w:tc>
          <w:tcPr>
            <w:cnfStyle w:val="001000000000" w:firstRow="0" w:lastRow="0" w:firstColumn="1" w:lastColumn="0" w:oddVBand="0" w:evenVBand="0" w:oddHBand="0" w:evenHBand="0" w:firstRowFirstColumn="0" w:firstRowLastColumn="0" w:lastRowFirstColumn="0" w:lastRowLastColumn="0"/>
            <w:tcW w:w="0" w:type="auto"/>
            <w:vMerge/>
            <w:noWrap/>
            <w:hideMark/>
          </w:tcPr>
          <w:p w14:paraId="77D34E5E" w14:textId="77777777" w:rsidR="00553C75" w:rsidRPr="00C07C27" w:rsidRDefault="00553C75" w:rsidP="00C07C27">
            <w:pPr>
              <w:spacing w:after="120"/>
              <w:jc w:val="center"/>
              <w:rPr>
                <w:rFonts w:asciiTheme="minorHAnsi" w:hAnsiTheme="minorHAnsi" w:cstheme="minorHAnsi"/>
                <w:sz w:val="20"/>
                <w:szCs w:val="20"/>
              </w:rPr>
            </w:pPr>
          </w:p>
        </w:tc>
        <w:tc>
          <w:tcPr>
            <w:tcW w:w="0" w:type="auto"/>
            <w:vMerge/>
            <w:noWrap/>
            <w:hideMark/>
          </w:tcPr>
          <w:p w14:paraId="00727605" w14:textId="77777777" w:rsidR="00553C75" w:rsidRPr="00C07C27" w:rsidRDefault="00553C75" w:rsidP="00C07C27">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332" w:type="dxa"/>
            <w:vMerge w:val="restart"/>
            <w:noWrap/>
            <w:hideMark/>
          </w:tcPr>
          <w:p w14:paraId="422659AF" w14:textId="77777777" w:rsidR="00553C75" w:rsidRPr="00C07C27" w:rsidRDefault="00553C75" w:rsidP="00C07C27">
            <w:pPr>
              <w:spacing w:after="1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C07C27">
              <w:rPr>
                <w:rFonts w:asciiTheme="minorHAnsi" w:hAnsiTheme="minorHAnsi" w:cstheme="minorHAnsi"/>
                <w:sz w:val="20"/>
                <w:szCs w:val="20"/>
              </w:rPr>
              <w:t>Threshold</w:t>
            </w:r>
          </w:p>
          <w:p w14:paraId="544B6D6F"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(mg/L)</w:t>
            </w:r>
          </w:p>
        </w:tc>
        <w:tc>
          <w:tcPr>
            <w:tcW w:w="2058" w:type="dxa"/>
            <w:gridSpan w:val="2"/>
            <w:tcBorders>
              <w:bottom w:val="single" w:sz="4" w:space="0" w:color="auto"/>
            </w:tcBorders>
            <w:noWrap/>
            <w:hideMark/>
          </w:tcPr>
          <w:p w14:paraId="6CB21EFA" w14:textId="77777777" w:rsidR="00553C75" w:rsidRPr="00C07C27" w:rsidRDefault="00553C75" w:rsidP="00C07C27">
            <w:pPr>
              <w:spacing w:after="1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Relative Risk</w:t>
            </w:r>
          </w:p>
        </w:tc>
        <w:tc>
          <w:tcPr>
            <w:tcW w:w="801" w:type="dxa"/>
            <w:vMerge w:val="restart"/>
          </w:tcPr>
          <w:p w14:paraId="085B4CFE" w14:textId="77777777" w:rsidR="00553C75" w:rsidRPr="00C07C27" w:rsidRDefault="00553C75" w:rsidP="00C07C27">
            <w:pPr>
              <w:spacing w:after="1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C07C27">
              <w:rPr>
                <w:rFonts w:asciiTheme="minorHAnsi" w:hAnsiTheme="minorHAnsi" w:cstheme="minorHAnsi"/>
                <w:sz w:val="20"/>
                <w:szCs w:val="20"/>
              </w:rPr>
              <w:t>Threshold</w:t>
            </w:r>
          </w:p>
          <w:p w14:paraId="31A55C9A" w14:textId="77777777" w:rsidR="00553C75" w:rsidRPr="00C07C27" w:rsidRDefault="00553C75" w:rsidP="00C07C27">
            <w:pPr>
              <w:spacing w:after="1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(mg/L)</w:t>
            </w:r>
          </w:p>
        </w:tc>
        <w:tc>
          <w:tcPr>
            <w:tcW w:w="1709" w:type="dxa"/>
            <w:gridSpan w:val="2"/>
            <w:tcBorders>
              <w:bottom w:val="single" w:sz="4" w:space="0" w:color="auto"/>
            </w:tcBorders>
          </w:tcPr>
          <w:p w14:paraId="2FDE5FDB" w14:textId="77777777" w:rsidR="00553C75" w:rsidRPr="00C07C27" w:rsidRDefault="00553C75" w:rsidP="00C07C27">
            <w:pPr>
              <w:spacing w:after="1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Relative Risk</w:t>
            </w:r>
          </w:p>
        </w:tc>
      </w:tr>
      <w:tr w:rsidR="00553C75" w:rsidRPr="00C36698" w14:paraId="4B742D50" w14:textId="77777777" w:rsidTr="00EC3F79">
        <w:trPr>
          <w:trHeight w:val="300"/>
        </w:trPr>
        <w:tc>
          <w:tcPr>
            <w:cnfStyle w:val="001000000000" w:firstRow="0" w:lastRow="0" w:firstColumn="1" w:lastColumn="0" w:oddVBand="0" w:evenVBand="0" w:oddHBand="0" w:evenHBand="0" w:firstRowFirstColumn="0" w:firstRowLastColumn="0" w:lastRowFirstColumn="0" w:lastRowLastColumn="0"/>
            <w:tcW w:w="798" w:type="dxa"/>
            <w:vMerge/>
          </w:tcPr>
          <w:p w14:paraId="61F0F1D5" w14:textId="77777777" w:rsidR="00553C75" w:rsidRPr="00C07C27" w:rsidRDefault="00553C75" w:rsidP="00C07C27">
            <w:pPr>
              <w:spacing w:after="120"/>
              <w:rPr>
                <w:rFonts w:asciiTheme="minorHAnsi" w:hAnsiTheme="minorHAnsi" w:cstheme="minorHAnsi"/>
                <w:sz w:val="20"/>
                <w:szCs w:val="20"/>
              </w:rPr>
            </w:pPr>
          </w:p>
        </w:tc>
        <w:tc>
          <w:tcPr>
            <w:tcW w:w="0" w:type="auto"/>
            <w:vMerge/>
            <w:tcBorders>
              <w:bottom w:val="single" w:sz="4" w:space="0" w:color="auto"/>
            </w:tcBorders>
            <w:noWrap/>
          </w:tcPr>
          <w:p w14:paraId="737A64F3" w14:textId="77777777" w:rsidR="00553C75" w:rsidRPr="00C07C27" w:rsidRDefault="00553C75" w:rsidP="00C07C27">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332" w:type="dxa"/>
            <w:vMerge/>
            <w:tcBorders>
              <w:bottom w:val="single" w:sz="4" w:space="0" w:color="auto"/>
            </w:tcBorders>
            <w:noWrap/>
          </w:tcPr>
          <w:p w14:paraId="397FAB26"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050" w:type="dxa"/>
            <w:tcBorders>
              <w:top w:val="single" w:sz="4" w:space="0" w:color="auto"/>
              <w:bottom w:val="single" w:sz="4" w:space="0" w:color="auto"/>
            </w:tcBorders>
            <w:noWrap/>
          </w:tcPr>
          <w:p w14:paraId="71D5A7CB"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Cal</w:t>
            </w:r>
          </w:p>
        </w:tc>
        <w:tc>
          <w:tcPr>
            <w:tcW w:w="1008" w:type="dxa"/>
            <w:tcBorders>
              <w:top w:val="single" w:sz="4" w:space="0" w:color="auto"/>
              <w:bottom w:val="single" w:sz="4" w:space="0" w:color="auto"/>
            </w:tcBorders>
            <w:noWrap/>
          </w:tcPr>
          <w:p w14:paraId="2C931287"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Val</w:t>
            </w:r>
          </w:p>
        </w:tc>
        <w:tc>
          <w:tcPr>
            <w:tcW w:w="801" w:type="dxa"/>
            <w:vMerge/>
            <w:tcBorders>
              <w:bottom w:val="single" w:sz="4" w:space="0" w:color="auto"/>
            </w:tcBorders>
          </w:tcPr>
          <w:p w14:paraId="213AA195"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934" w:type="dxa"/>
            <w:tcBorders>
              <w:top w:val="single" w:sz="4" w:space="0" w:color="auto"/>
              <w:bottom w:val="single" w:sz="4" w:space="0" w:color="auto"/>
            </w:tcBorders>
          </w:tcPr>
          <w:p w14:paraId="6155911E"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Cal</w:t>
            </w:r>
          </w:p>
        </w:tc>
        <w:tc>
          <w:tcPr>
            <w:tcW w:w="775" w:type="dxa"/>
            <w:tcBorders>
              <w:top w:val="single" w:sz="4" w:space="0" w:color="auto"/>
              <w:bottom w:val="single" w:sz="4" w:space="0" w:color="auto"/>
            </w:tcBorders>
          </w:tcPr>
          <w:p w14:paraId="2AAD0A62"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Val</w:t>
            </w:r>
          </w:p>
        </w:tc>
      </w:tr>
      <w:tr w:rsidR="00553C75" w:rsidRPr="00C36698" w14:paraId="1BB49ABD" w14:textId="77777777" w:rsidTr="00EC3F79">
        <w:trPr>
          <w:trHeight w:val="30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noWrap/>
            <w:hideMark/>
          </w:tcPr>
          <w:p w14:paraId="42FB3C7D" w14:textId="77777777" w:rsidR="00553C75" w:rsidRPr="00C07C27" w:rsidRDefault="00553C75" w:rsidP="00C07C27">
            <w:pPr>
              <w:spacing w:after="120"/>
              <w:jc w:val="center"/>
              <w:rPr>
                <w:rFonts w:asciiTheme="minorHAnsi" w:hAnsiTheme="minorHAnsi" w:cstheme="minorHAnsi"/>
                <w:sz w:val="20"/>
                <w:szCs w:val="20"/>
              </w:rPr>
            </w:pPr>
            <w:r w:rsidRPr="00C07C27">
              <w:rPr>
                <w:rFonts w:asciiTheme="minorHAnsi" w:hAnsiTheme="minorHAnsi" w:cstheme="minorHAnsi"/>
                <w:sz w:val="20"/>
                <w:szCs w:val="20"/>
              </w:rPr>
              <w:t>Ref30</w:t>
            </w:r>
          </w:p>
        </w:tc>
        <w:tc>
          <w:tcPr>
            <w:tcW w:w="0" w:type="auto"/>
            <w:tcBorders>
              <w:top w:val="single" w:sz="4" w:space="0" w:color="auto"/>
            </w:tcBorders>
            <w:noWrap/>
            <w:hideMark/>
          </w:tcPr>
          <w:p w14:paraId="3B4C6CDD" w14:textId="77777777" w:rsidR="00553C75" w:rsidRPr="00C07C27" w:rsidRDefault="00553C75" w:rsidP="00C07C27">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ASCI_H</w:t>
            </w:r>
          </w:p>
        </w:tc>
        <w:tc>
          <w:tcPr>
            <w:tcW w:w="1332" w:type="dxa"/>
            <w:tcBorders>
              <w:top w:val="single" w:sz="4" w:space="0" w:color="auto"/>
            </w:tcBorders>
            <w:noWrap/>
            <w:hideMark/>
          </w:tcPr>
          <w:p w14:paraId="7DF931DF"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0.13</w:t>
            </w:r>
          </w:p>
        </w:tc>
        <w:tc>
          <w:tcPr>
            <w:tcW w:w="1050" w:type="dxa"/>
            <w:tcBorders>
              <w:top w:val="single" w:sz="4" w:space="0" w:color="auto"/>
            </w:tcBorders>
            <w:noWrap/>
            <w:hideMark/>
          </w:tcPr>
          <w:p w14:paraId="5BFB452D"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4.0</w:t>
            </w:r>
          </w:p>
        </w:tc>
        <w:tc>
          <w:tcPr>
            <w:tcW w:w="1008" w:type="dxa"/>
            <w:tcBorders>
              <w:top w:val="single" w:sz="4" w:space="0" w:color="auto"/>
            </w:tcBorders>
            <w:noWrap/>
            <w:hideMark/>
          </w:tcPr>
          <w:p w14:paraId="5199B147"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3.9</w:t>
            </w:r>
          </w:p>
        </w:tc>
        <w:tc>
          <w:tcPr>
            <w:tcW w:w="801" w:type="dxa"/>
            <w:tcBorders>
              <w:top w:val="single" w:sz="4" w:space="0" w:color="auto"/>
            </w:tcBorders>
          </w:tcPr>
          <w:p w14:paraId="1032DA25"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0.026</w:t>
            </w:r>
          </w:p>
        </w:tc>
        <w:tc>
          <w:tcPr>
            <w:tcW w:w="934" w:type="dxa"/>
            <w:tcBorders>
              <w:top w:val="single" w:sz="4" w:space="0" w:color="auto"/>
            </w:tcBorders>
          </w:tcPr>
          <w:p w14:paraId="09E77FC2"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2.6</w:t>
            </w:r>
          </w:p>
        </w:tc>
        <w:tc>
          <w:tcPr>
            <w:tcW w:w="775" w:type="dxa"/>
            <w:tcBorders>
              <w:top w:val="single" w:sz="4" w:space="0" w:color="auto"/>
            </w:tcBorders>
          </w:tcPr>
          <w:p w14:paraId="111CDF71"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2.9</w:t>
            </w:r>
          </w:p>
        </w:tc>
      </w:tr>
      <w:tr w:rsidR="00553C75" w:rsidRPr="00C36698" w14:paraId="181A224B" w14:textId="77777777" w:rsidTr="00EC3F7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AA11056" w14:textId="77777777" w:rsidR="00553C75" w:rsidRPr="00C07C27" w:rsidRDefault="00553C75" w:rsidP="00C07C27">
            <w:pPr>
              <w:spacing w:after="120"/>
              <w:jc w:val="center"/>
              <w:rPr>
                <w:rFonts w:asciiTheme="minorHAnsi" w:hAnsiTheme="minorHAnsi" w:cstheme="minorHAnsi"/>
                <w:sz w:val="20"/>
                <w:szCs w:val="20"/>
              </w:rPr>
            </w:pPr>
            <w:r w:rsidRPr="00C07C27">
              <w:rPr>
                <w:rFonts w:asciiTheme="minorHAnsi" w:hAnsiTheme="minorHAnsi" w:cstheme="minorHAnsi"/>
                <w:sz w:val="20"/>
                <w:szCs w:val="20"/>
              </w:rPr>
              <w:t>Ref30</w:t>
            </w:r>
          </w:p>
        </w:tc>
        <w:tc>
          <w:tcPr>
            <w:tcW w:w="0" w:type="auto"/>
            <w:noWrap/>
            <w:hideMark/>
          </w:tcPr>
          <w:p w14:paraId="0FFC9E9E" w14:textId="77777777" w:rsidR="00553C75" w:rsidRPr="00C07C27" w:rsidRDefault="00553C75" w:rsidP="00C07C27">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CSCI</w:t>
            </w:r>
          </w:p>
        </w:tc>
        <w:tc>
          <w:tcPr>
            <w:tcW w:w="1332" w:type="dxa"/>
            <w:noWrap/>
            <w:hideMark/>
          </w:tcPr>
          <w:p w14:paraId="695DD21C"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0.34</w:t>
            </w:r>
          </w:p>
        </w:tc>
        <w:tc>
          <w:tcPr>
            <w:tcW w:w="1050" w:type="dxa"/>
            <w:noWrap/>
            <w:hideMark/>
          </w:tcPr>
          <w:p w14:paraId="4F527DA6"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2.5</w:t>
            </w:r>
          </w:p>
        </w:tc>
        <w:tc>
          <w:tcPr>
            <w:tcW w:w="1008" w:type="dxa"/>
            <w:noWrap/>
            <w:hideMark/>
          </w:tcPr>
          <w:p w14:paraId="2AAB1E5A"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2.2</w:t>
            </w:r>
          </w:p>
        </w:tc>
        <w:tc>
          <w:tcPr>
            <w:tcW w:w="801" w:type="dxa"/>
          </w:tcPr>
          <w:p w14:paraId="01B81C65"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0.024</w:t>
            </w:r>
          </w:p>
        </w:tc>
        <w:tc>
          <w:tcPr>
            <w:tcW w:w="934" w:type="dxa"/>
          </w:tcPr>
          <w:p w14:paraId="0F25FCED"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2.1</w:t>
            </w:r>
          </w:p>
        </w:tc>
        <w:tc>
          <w:tcPr>
            <w:tcW w:w="775" w:type="dxa"/>
          </w:tcPr>
          <w:p w14:paraId="3F64C659"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1.6</w:t>
            </w:r>
          </w:p>
        </w:tc>
      </w:tr>
      <w:tr w:rsidR="00553C75" w:rsidRPr="00C36698" w14:paraId="61E8FE2D" w14:textId="77777777" w:rsidTr="00EC3F7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DA2688B" w14:textId="77777777" w:rsidR="00553C75" w:rsidRPr="00C07C27" w:rsidRDefault="00553C75" w:rsidP="00C07C27">
            <w:pPr>
              <w:spacing w:after="120"/>
              <w:jc w:val="center"/>
              <w:rPr>
                <w:rFonts w:asciiTheme="minorHAnsi" w:hAnsiTheme="minorHAnsi" w:cstheme="minorHAnsi"/>
                <w:sz w:val="20"/>
                <w:szCs w:val="20"/>
              </w:rPr>
            </w:pPr>
            <w:r w:rsidRPr="00C07C27">
              <w:rPr>
                <w:rFonts w:asciiTheme="minorHAnsi" w:hAnsiTheme="minorHAnsi" w:cstheme="minorHAnsi"/>
                <w:sz w:val="20"/>
                <w:szCs w:val="20"/>
              </w:rPr>
              <w:t>Ref10</w:t>
            </w:r>
          </w:p>
        </w:tc>
        <w:tc>
          <w:tcPr>
            <w:tcW w:w="0" w:type="auto"/>
            <w:noWrap/>
            <w:hideMark/>
          </w:tcPr>
          <w:p w14:paraId="1A917969" w14:textId="77777777" w:rsidR="00553C75" w:rsidRPr="00C07C27" w:rsidRDefault="00553C75" w:rsidP="00C07C27">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ASCI_H</w:t>
            </w:r>
          </w:p>
        </w:tc>
        <w:tc>
          <w:tcPr>
            <w:tcW w:w="1332" w:type="dxa"/>
            <w:noWrap/>
            <w:hideMark/>
          </w:tcPr>
          <w:p w14:paraId="59EB6D9C"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0.32</w:t>
            </w:r>
          </w:p>
        </w:tc>
        <w:tc>
          <w:tcPr>
            <w:tcW w:w="1050" w:type="dxa"/>
            <w:noWrap/>
            <w:hideMark/>
          </w:tcPr>
          <w:p w14:paraId="37D8E9EA"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11.3</w:t>
            </w:r>
          </w:p>
        </w:tc>
        <w:tc>
          <w:tcPr>
            <w:tcW w:w="1008" w:type="dxa"/>
            <w:noWrap/>
            <w:hideMark/>
          </w:tcPr>
          <w:p w14:paraId="17929399"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17.3</w:t>
            </w:r>
          </w:p>
        </w:tc>
        <w:tc>
          <w:tcPr>
            <w:tcW w:w="801" w:type="dxa"/>
          </w:tcPr>
          <w:p w14:paraId="6D350309"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0.080</w:t>
            </w:r>
          </w:p>
        </w:tc>
        <w:tc>
          <w:tcPr>
            <w:tcW w:w="934" w:type="dxa"/>
          </w:tcPr>
          <w:p w14:paraId="25C261CA"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5.6</w:t>
            </w:r>
          </w:p>
        </w:tc>
        <w:tc>
          <w:tcPr>
            <w:tcW w:w="775" w:type="dxa"/>
          </w:tcPr>
          <w:p w14:paraId="2D2E3D0E"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5.0</w:t>
            </w:r>
          </w:p>
        </w:tc>
      </w:tr>
      <w:tr w:rsidR="00553C75" w:rsidRPr="00C36698" w14:paraId="339896A9" w14:textId="77777777" w:rsidTr="00EC3F7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26BF81D" w14:textId="77777777" w:rsidR="00553C75" w:rsidRPr="00C07C27" w:rsidRDefault="00553C75" w:rsidP="00C07C27">
            <w:pPr>
              <w:spacing w:after="120"/>
              <w:jc w:val="center"/>
              <w:rPr>
                <w:rFonts w:asciiTheme="minorHAnsi" w:hAnsiTheme="minorHAnsi" w:cstheme="minorHAnsi"/>
                <w:sz w:val="20"/>
                <w:szCs w:val="20"/>
              </w:rPr>
            </w:pPr>
            <w:r w:rsidRPr="00C07C27">
              <w:rPr>
                <w:rFonts w:asciiTheme="minorHAnsi" w:hAnsiTheme="minorHAnsi" w:cstheme="minorHAnsi"/>
                <w:sz w:val="20"/>
                <w:szCs w:val="20"/>
              </w:rPr>
              <w:t>Ref10</w:t>
            </w:r>
          </w:p>
        </w:tc>
        <w:tc>
          <w:tcPr>
            <w:tcW w:w="0" w:type="auto"/>
            <w:noWrap/>
            <w:hideMark/>
          </w:tcPr>
          <w:p w14:paraId="431A3C5D" w14:textId="77777777" w:rsidR="00553C75" w:rsidRPr="00C07C27" w:rsidRDefault="00553C75" w:rsidP="00C07C27">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CSCI</w:t>
            </w:r>
          </w:p>
        </w:tc>
        <w:tc>
          <w:tcPr>
            <w:tcW w:w="1332" w:type="dxa"/>
            <w:noWrap/>
            <w:hideMark/>
          </w:tcPr>
          <w:p w14:paraId="608A8EBB"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0.59</w:t>
            </w:r>
          </w:p>
        </w:tc>
        <w:tc>
          <w:tcPr>
            <w:tcW w:w="1050" w:type="dxa"/>
            <w:noWrap/>
            <w:hideMark/>
          </w:tcPr>
          <w:p w14:paraId="3E9278B2"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3.6</w:t>
            </w:r>
          </w:p>
        </w:tc>
        <w:tc>
          <w:tcPr>
            <w:tcW w:w="1008" w:type="dxa"/>
            <w:noWrap/>
            <w:hideMark/>
          </w:tcPr>
          <w:p w14:paraId="142D1990"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3.3</w:t>
            </w:r>
          </w:p>
        </w:tc>
        <w:tc>
          <w:tcPr>
            <w:tcW w:w="801" w:type="dxa"/>
          </w:tcPr>
          <w:p w14:paraId="213A5513"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0.104</w:t>
            </w:r>
          </w:p>
        </w:tc>
        <w:tc>
          <w:tcPr>
            <w:tcW w:w="934" w:type="dxa"/>
          </w:tcPr>
          <w:p w14:paraId="55DE7060"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3.6</w:t>
            </w:r>
          </w:p>
        </w:tc>
        <w:tc>
          <w:tcPr>
            <w:tcW w:w="775" w:type="dxa"/>
          </w:tcPr>
          <w:p w14:paraId="5189EEBD"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2.9</w:t>
            </w:r>
          </w:p>
        </w:tc>
      </w:tr>
      <w:tr w:rsidR="00553C75" w:rsidRPr="00C36698" w14:paraId="1EDCBCE3" w14:textId="77777777" w:rsidTr="00EC3F7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FD8AE9A" w14:textId="77777777" w:rsidR="00553C75" w:rsidRPr="00C07C27" w:rsidRDefault="00553C75" w:rsidP="00C07C27">
            <w:pPr>
              <w:spacing w:after="120"/>
              <w:jc w:val="center"/>
              <w:rPr>
                <w:rFonts w:asciiTheme="minorHAnsi" w:hAnsiTheme="minorHAnsi" w:cstheme="minorHAnsi"/>
                <w:sz w:val="20"/>
                <w:szCs w:val="20"/>
              </w:rPr>
            </w:pPr>
            <w:r w:rsidRPr="00C07C27">
              <w:rPr>
                <w:rFonts w:asciiTheme="minorHAnsi" w:hAnsiTheme="minorHAnsi" w:cstheme="minorHAnsi"/>
                <w:sz w:val="20"/>
                <w:szCs w:val="20"/>
              </w:rPr>
              <w:t>Ref01</w:t>
            </w:r>
          </w:p>
        </w:tc>
        <w:tc>
          <w:tcPr>
            <w:tcW w:w="0" w:type="auto"/>
            <w:noWrap/>
            <w:hideMark/>
          </w:tcPr>
          <w:p w14:paraId="36AF48A6" w14:textId="77777777" w:rsidR="00553C75" w:rsidRPr="00C07C27" w:rsidRDefault="00553C75" w:rsidP="00C07C27">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ASCI_H</w:t>
            </w:r>
          </w:p>
        </w:tc>
        <w:tc>
          <w:tcPr>
            <w:tcW w:w="1332" w:type="dxa"/>
            <w:noWrap/>
            <w:hideMark/>
          </w:tcPr>
          <w:p w14:paraId="7D82E822"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1.67</w:t>
            </w:r>
          </w:p>
        </w:tc>
        <w:tc>
          <w:tcPr>
            <w:tcW w:w="1050" w:type="dxa"/>
            <w:noWrap/>
            <w:hideMark/>
          </w:tcPr>
          <w:p w14:paraId="22106CC5"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9.6</w:t>
            </w:r>
          </w:p>
        </w:tc>
        <w:tc>
          <w:tcPr>
            <w:tcW w:w="1008" w:type="dxa"/>
            <w:noWrap/>
            <w:hideMark/>
          </w:tcPr>
          <w:p w14:paraId="6B298453"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10.0</w:t>
            </w:r>
          </w:p>
        </w:tc>
        <w:tc>
          <w:tcPr>
            <w:tcW w:w="801" w:type="dxa"/>
          </w:tcPr>
          <w:p w14:paraId="32C65E49"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0.395</w:t>
            </w:r>
          </w:p>
        </w:tc>
        <w:tc>
          <w:tcPr>
            <w:tcW w:w="934" w:type="dxa"/>
          </w:tcPr>
          <w:p w14:paraId="7F1BF35A"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6.4</w:t>
            </w:r>
          </w:p>
        </w:tc>
        <w:tc>
          <w:tcPr>
            <w:tcW w:w="775" w:type="dxa"/>
          </w:tcPr>
          <w:p w14:paraId="6E53C5EB"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3.1</w:t>
            </w:r>
          </w:p>
        </w:tc>
      </w:tr>
      <w:tr w:rsidR="00553C75" w:rsidRPr="00C36698" w14:paraId="5D00D816" w14:textId="77777777" w:rsidTr="00EC3F79">
        <w:trPr>
          <w:trHeight w:val="300"/>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noWrap/>
            <w:hideMark/>
          </w:tcPr>
          <w:p w14:paraId="15471554" w14:textId="77777777" w:rsidR="00553C75" w:rsidRPr="00C07C27" w:rsidRDefault="00553C75" w:rsidP="00C07C27">
            <w:pPr>
              <w:spacing w:after="120"/>
              <w:jc w:val="center"/>
              <w:rPr>
                <w:rFonts w:asciiTheme="minorHAnsi" w:hAnsiTheme="minorHAnsi" w:cstheme="minorHAnsi"/>
                <w:sz w:val="20"/>
                <w:szCs w:val="20"/>
              </w:rPr>
            </w:pPr>
            <w:r w:rsidRPr="00C07C27">
              <w:rPr>
                <w:rFonts w:asciiTheme="minorHAnsi" w:hAnsiTheme="minorHAnsi" w:cstheme="minorHAnsi"/>
                <w:sz w:val="20"/>
                <w:szCs w:val="20"/>
              </w:rPr>
              <w:t>Ref01</w:t>
            </w:r>
          </w:p>
        </w:tc>
        <w:tc>
          <w:tcPr>
            <w:tcW w:w="0" w:type="auto"/>
            <w:tcBorders>
              <w:bottom w:val="single" w:sz="4" w:space="0" w:color="auto"/>
            </w:tcBorders>
            <w:noWrap/>
            <w:hideMark/>
          </w:tcPr>
          <w:p w14:paraId="6309E838" w14:textId="77777777" w:rsidR="00553C75" w:rsidRPr="00C07C27" w:rsidRDefault="00553C75" w:rsidP="00C07C27">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CSCI</w:t>
            </w:r>
          </w:p>
        </w:tc>
        <w:tc>
          <w:tcPr>
            <w:tcW w:w="1332" w:type="dxa"/>
            <w:tcBorders>
              <w:bottom w:val="single" w:sz="4" w:space="0" w:color="auto"/>
            </w:tcBorders>
            <w:noWrap/>
            <w:hideMark/>
          </w:tcPr>
          <w:p w14:paraId="0E1E88BC"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1.95</w:t>
            </w:r>
          </w:p>
        </w:tc>
        <w:tc>
          <w:tcPr>
            <w:tcW w:w="1050" w:type="dxa"/>
            <w:tcBorders>
              <w:bottom w:val="single" w:sz="4" w:space="0" w:color="auto"/>
            </w:tcBorders>
            <w:noWrap/>
            <w:hideMark/>
          </w:tcPr>
          <w:p w14:paraId="44704659"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3.9</w:t>
            </w:r>
          </w:p>
        </w:tc>
        <w:tc>
          <w:tcPr>
            <w:tcW w:w="1008" w:type="dxa"/>
            <w:tcBorders>
              <w:bottom w:val="single" w:sz="4" w:space="0" w:color="auto"/>
            </w:tcBorders>
            <w:noWrap/>
            <w:hideMark/>
          </w:tcPr>
          <w:p w14:paraId="2247AB10"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3.3</w:t>
            </w:r>
          </w:p>
        </w:tc>
        <w:tc>
          <w:tcPr>
            <w:tcW w:w="801" w:type="dxa"/>
            <w:tcBorders>
              <w:bottom w:val="single" w:sz="4" w:space="0" w:color="auto"/>
            </w:tcBorders>
          </w:tcPr>
          <w:p w14:paraId="327A396A"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0.401</w:t>
            </w:r>
          </w:p>
        </w:tc>
        <w:tc>
          <w:tcPr>
            <w:tcW w:w="934" w:type="dxa"/>
            <w:tcBorders>
              <w:bottom w:val="single" w:sz="4" w:space="0" w:color="auto"/>
            </w:tcBorders>
          </w:tcPr>
          <w:p w14:paraId="15F95E9E"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3.3</w:t>
            </w:r>
          </w:p>
        </w:tc>
        <w:tc>
          <w:tcPr>
            <w:tcW w:w="775" w:type="dxa"/>
            <w:tcBorders>
              <w:bottom w:val="single" w:sz="4" w:space="0" w:color="auto"/>
            </w:tcBorders>
          </w:tcPr>
          <w:p w14:paraId="1AAF9557" w14:textId="77777777" w:rsidR="00553C75" w:rsidRPr="00C07C27" w:rsidRDefault="00553C75" w:rsidP="00C07C27">
            <w:pPr>
              <w:spacing w:after="1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07C27">
              <w:rPr>
                <w:rFonts w:asciiTheme="minorHAnsi" w:hAnsiTheme="minorHAnsi" w:cstheme="minorHAnsi"/>
                <w:sz w:val="20"/>
                <w:szCs w:val="20"/>
              </w:rPr>
              <w:t>2.5</w:t>
            </w:r>
          </w:p>
        </w:tc>
      </w:tr>
    </w:tbl>
    <w:p w14:paraId="046EA7A7" w14:textId="77777777" w:rsidR="00553C75" w:rsidRDefault="00553C75" w:rsidP="00553C75"/>
    <w:p w14:paraId="2422551C" w14:textId="77777777" w:rsidR="0073362F" w:rsidRDefault="0073362F" w:rsidP="0073362F">
      <w:r>
        <w:t>These CSCI and ASCI 10</w:t>
      </w:r>
      <w:r w:rsidRPr="00BF41F0">
        <w:rPr>
          <w:vertAlign w:val="superscript"/>
        </w:rPr>
        <w:t>th</w:t>
      </w:r>
      <w:r>
        <w:t xml:space="preserve"> percentile TN and TP ALU protection and changepoint </w:t>
      </w:r>
      <w:r w:rsidRPr="00CF3401">
        <w:t xml:space="preserve">thresholds </w:t>
      </w:r>
      <w:r>
        <w:t>were just above</w:t>
      </w:r>
      <w:r w:rsidRPr="00CF3401">
        <w:t xml:space="preserve"> the 75</w:t>
      </w:r>
      <w:r w:rsidRPr="009971E1">
        <w:rPr>
          <w:vertAlign w:val="superscript"/>
        </w:rPr>
        <w:t>th</w:t>
      </w:r>
      <w:r>
        <w:t xml:space="preserve"> </w:t>
      </w:r>
      <w:r w:rsidRPr="00CF3401">
        <w:t xml:space="preserve">percentile of </w:t>
      </w:r>
      <w:r>
        <w:t>statewide and ecoregional r</w:t>
      </w:r>
      <w:r w:rsidRPr="00CF3401">
        <w:t>eference stream reaches (0.1</w:t>
      </w:r>
      <w:r>
        <w:t xml:space="preserve">0 – 0.31 mg/L TN and 0.020 – 0.040 mg/L TP, Table 3.3, Fetscher et al. 2014). </w:t>
      </w:r>
    </w:p>
    <w:p w14:paraId="5427E9CA" w14:textId="6A0B2177" w:rsidR="0073362F" w:rsidRPr="00CF3401" w:rsidRDefault="0073362F" w:rsidP="0073362F">
      <w:r>
        <w:t xml:space="preserve">Thresholds derived from ALU </w:t>
      </w:r>
      <w:r w:rsidR="0069037A">
        <w:t>biointegrity goals</w:t>
      </w:r>
      <w:r>
        <w:t xml:space="preserve"> (Mazor et al. in prep) and changepoint analyses (Fetscher et al. 2014) were in </w:t>
      </w:r>
      <w:r w:rsidRPr="00CF3401">
        <w:t xml:space="preserve">close agreement </w:t>
      </w:r>
      <w:r>
        <w:t xml:space="preserve">with the range of changepoint analyses for TN and TP in streams throughout the US (Table 3.4). This </w:t>
      </w:r>
      <w:r w:rsidR="0073250B">
        <w:t>consistency</w:t>
      </w:r>
      <w:r>
        <w:t xml:space="preserve"> is </w:t>
      </w:r>
      <w:r w:rsidR="005106F4">
        <w:t>surprising</w:t>
      </w:r>
      <w:r>
        <w:t xml:space="preserve"> </w:t>
      </w:r>
      <w:r w:rsidRPr="00CF3401">
        <w:t xml:space="preserve">given that </w:t>
      </w:r>
      <w:r>
        <w:t>most</w:t>
      </w:r>
      <w:r w:rsidRPr="00CF3401">
        <w:t xml:space="preserve"> studies were conducted in different biogeographic provinces (i.e., east of the Rocky Mountains)</w:t>
      </w:r>
      <w:r>
        <w:t xml:space="preserve">, </w:t>
      </w:r>
      <w:r w:rsidRPr="00CF3401">
        <w:t>across a diverse array of stream types (Evans-White et al. 2013)</w:t>
      </w:r>
      <w:r>
        <w:t xml:space="preserve">, </w:t>
      </w:r>
      <w:r w:rsidRPr="00CF3401">
        <w:t>in regions with cooler climates and</w:t>
      </w:r>
      <w:r w:rsidR="0073250B">
        <w:t xml:space="preserve"> </w:t>
      </w:r>
      <w:r w:rsidRPr="00CF3401">
        <w:t xml:space="preserve">those with higher levels of precipitation year-round than that which represents the bulk of our study region, and some were conducted in rivers rather than wadeable streams. </w:t>
      </w:r>
      <w:r>
        <w:t xml:space="preserve">Mazor et al. (in prep) findings are most comparable to that of Jessup et al. (2015) in New Mexico wadeable streams, because of geology, topographic gradients, </w:t>
      </w:r>
      <w:r w:rsidR="00870331">
        <w:t xml:space="preserve">and </w:t>
      </w:r>
      <w:r>
        <w:t xml:space="preserve">flow regime (3.5). The range of California wadeable stream thresholds are also squarely within the range of adopted nutrient criteria in </w:t>
      </w:r>
      <w:r w:rsidR="005106F4">
        <w:t>US</w:t>
      </w:r>
      <w:r>
        <w:t xml:space="preserve"> states, which range from 0.18 – 2.0 mg/L TN and 0.03 -0.49 mg/L TP (Table 3.6).  </w:t>
      </w:r>
    </w:p>
    <w:p w14:paraId="1A40C353" w14:textId="77777777" w:rsidR="0073362F" w:rsidRDefault="0073362F" w:rsidP="0073362F"/>
    <w:p w14:paraId="419211EE" w14:textId="77777777" w:rsidR="0073362F" w:rsidRDefault="0073362F">
      <w:pPr>
        <w:spacing w:after="0" w:line="240" w:lineRule="auto"/>
        <w:rPr>
          <w:rFonts w:ascii="Arial" w:hAnsi="Arial"/>
          <w:b/>
          <w:sz w:val="20"/>
        </w:rPr>
      </w:pPr>
      <w:bookmarkStart w:id="102" w:name="_Toc382554837"/>
      <w:bookmarkStart w:id="103" w:name="_Toc384455458"/>
      <w:r>
        <w:br w:type="page"/>
      </w:r>
    </w:p>
    <w:p w14:paraId="1BC6BBF1" w14:textId="77777777" w:rsidR="0073362F" w:rsidRPr="00E07545" w:rsidRDefault="0073362F" w:rsidP="0073362F">
      <w:pPr>
        <w:pStyle w:val="TOT"/>
      </w:pPr>
      <w:bookmarkStart w:id="104" w:name="_Toc526489918"/>
      <w:r w:rsidRPr="00E07545">
        <w:t xml:space="preserve">Table </w:t>
      </w:r>
      <w:r>
        <w:t>3.3</w:t>
      </w:r>
      <w:r w:rsidRPr="00E07545">
        <w:t>. Median, 75</w:t>
      </w:r>
      <w:r w:rsidRPr="00E07545">
        <w:rPr>
          <w:vertAlign w:val="superscript"/>
        </w:rPr>
        <w:t>th</w:t>
      </w:r>
      <w:r w:rsidRPr="004D6254">
        <w:t>, and 95</w:t>
      </w:r>
      <w:r w:rsidRPr="00131A05">
        <w:rPr>
          <w:vertAlign w:val="superscript"/>
        </w:rPr>
        <w:t>th</w:t>
      </w:r>
      <w:r w:rsidRPr="00E07545">
        <w:t xml:space="preserve"> percentiles of </w:t>
      </w:r>
      <w:r>
        <w:t xml:space="preserve">raw (unweighted) TN, TP </w:t>
      </w:r>
      <w:r w:rsidRPr="00E07545">
        <w:t xml:space="preserve">benthic chlorophyll </w:t>
      </w:r>
      <w:r w:rsidRPr="00E07545">
        <w:rPr>
          <w:i/>
        </w:rPr>
        <w:t>a</w:t>
      </w:r>
      <w:r w:rsidRPr="00E07545">
        <w:t>, AFDM, and macroalgal percent cover (PCT_MAP), statewide and by region, at Reference sites (both probability and targeted datasets included). SE: standard error of the mean; CI: confidence interval (95%).</w:t>
      </w:r>
      <w:bookmarkEnd w:id="102"/>
      <w:bookmarkEnd w:id="103"/>
      <w:bookmarkEnd w:id="104"/>
      <w:r w:rsidRPr="00E07545">
        <w:t xml:space="preserve"> </w:t>
      </w:r>
    </w:p>
    <w:tbl>
      <w:tblPr>
        <w:tblW w:w="9360" w:type="dxa"/>
        <w:jc w:val="center"/>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1325"/>
        <w:gridCol w:w="933"/>
        <w:gridCol w:w="1014"/>
        <w:gridCol w:w="1015"/>
        <w:gridCol w:w="1014"/>
        <w:gridCol w:w="1015"/>
        <w:gridCol w:w="1014"/>
        <w:gridCol w:w="1015"/>
        <w:gridCol w:w="1015"/>
      </w:tblGrid>
      <w:tr w:rsidR="0073362F" w:rsidRPr="00A734E4" w14:paraId="58630AC8" w14:textId="77777777" w:rsidTr="001040C7">
        <w:trPr>
          <w:trHeight w:val="570"/>
          <w:jc w:val="center"/>
        </w:trPr>
        <w:tc>
          <w:tcPr>
            <w:tcW w:w="2258" w:type="dxa"/>
            <w:gridSpan w:val="2"/>
            <w:vMerge w:val="restart"/>
            <w:shd w:val="clear" w:color="auto" w:fill="auto"/>
            <w:vAlign w:val="bottom"/>
            <w:hideMark/>
          </w:tcPr>
          <w:p w14:paraId="3224D648" w14:textId="77777777" w:rsidR="0073362F" w:rsidRPr="00A734E4" w:rsidRDefault="0073362F" w:rsidP="001040C7">
            <w:pPr>
              <w:spacing w:after="0" w:line="240" w:lineRule="auto"/>
              <w:rPr>
                <w:rFonts w:cstheme="minorHAnsi"/>
                <w:b/>
                <w:bCs/>
                <w:color w:val="000000"/>
                <w:sz w:val="18"/>
                <w:szCs w:val="18"/>
              </w:rPr>
            </w:pPr>
            <w:r w:rsidRPr="00A734E4">
              <w:rPr>
                <w:rFonts w:cstheme="minorHAnsi"/>
                <w:b/>
                <w:bCs/>
                <w:color w:val="000000"/>
                <w:sz w:val="18"/>
                <w:szCs w:val="18"/>
              </w:rPr>
              <w:t>Statistic by Primary Producer Indicator type</w:t>
            </w:r>
          </w:p>
        </w:tc>
        <w:tc>
          <w:tcPr>
            <w:tcW w:w="1014" w:type="dxa"/>
            <w:shd w:val="clear" w:color="auto" w:fill="auto"/>
            <w:vAlign w:val="bottom"/>
            <w:hideMark/>
          </w:tcPr>
          <w:p w14:paraId="4A3D57CE" w14:textId="77777777" w:rsidR="0073362F" w:rsidRPr="00A734E4" w:rsidRDefault="0073362F" w:rsidP="001040C7">
            <w:pPr>
              <w:spacing w:after="0" w:line="240" w:lineRule="auto"/>
              <w:jc w:val="center"/>
              <w:rPr>
                <w:rFonts w:cstheme="minorHAnsi"/>
                <w:b/>
                <w:bCs/>
                <w:color w:val="000000"/>
                <w:sz w:val="18"/>
                <w:szCs w:val="18"/>
              </w:rPr>
            </w:pPr>
            <w:r>
              <w:rPr>
                <w:rFonts w:cstheme="minorHAnsi"/>
                <w:b/>
                <w:bCs/>
                <w:color w:val="000000"/>
                <w:sz w:val="18"/>
                <w:szCs w:val="18"/>
              </w:rPr>
              <w:t>State</w:t>
            </w:r>
            <w:r w:rsidRPr="00A734E4">
              <w:rPr>
                <w:rFonts w:cstheme="minorHAnsi"/>
                <w:b/>
                <w:bCs/>
                <w:color w:val="000000"/>
                <w:sz w:val="18"/>
                <w:szCs w:val="18"/>
              </w:rPr>
              <w:t>wide</w:t>
            </w:r>
          </w:p>
        </w:tc>
        <w:tc>
          <w:tcPr>
            <w:tcW w:w="1015" w:type="dxa"/>
            <w:shd w:val="clear" w:color="auto" w:fill="auto"/>
            <w:vAlign w:val="bottom"/>
            <w:hideMark/>
          </w:tcPr>
          <w:p w14:paraId="2E5E56E6" w14:textId="77777777" w:rsidR="0073362F" w:rsidRPr="00A734E4" w:rsidRDefault="0073362F" w:rsidP="001040C7">
            <w:pPr>
              <w:spacing w:after="0" w:line="240" w:lineRule="auto"/>
              <w:jc w:val="center"/>
              <w:rPr>
                <w:rFonts w:cstheme="minorHAnsi"/>
                <w:b/>
                <w:bCs/>
                <w:color w:val="000000"/>
                <w:sz w:val="18"/>
                <w:szCs w:val="18"/>
              </w:rPr>
            </w:pPr>
            <w:r>
              <w:rPr>
                <w:rFonts w:cstheme="minorHAnsi"/>
                <w:b/>
                <w:bCs/>
                <w:color w:val="000000"/>
                <w:sz w:val="18"/>
                <w:szCs w:val="18"/>
              </w:rPr>
              <w:t>Chap</w:t>
            </w:r>
            <w:r w:rsidRPr="00A734E4">
              <w:rPr>
                <w:rFonts w:cstheme="minorHAnsi"/>
                <w:b/>
                <w:bCs/>
                <w:color w:val="000000"/>
                <w:sz w:val="18"/>
                <w:szCs w:val="18"/>
              </w:rPr>
              <w:t>arral</w:t>
            </w:r>
          </w:p>
        </w:tc>
        <w:tc>
          <w:tcPr>
            <w:tcW w:w="1014" w:type="dxa"/>
            <w:shd w:val="clear" w:color="auto" w:fill="auto"/>
            <w:vAlign w:val="bottom"/>
            <w:hideMark/>
          </w:tcPr>
          <w:p w14:paraId="74387FF5" w14:textId="77777777" w:rsidR="0073362F" w:rsidRPr="00A734E4" w:rsidRDefault="0073362F" w:rsidP="001040C7">
            <w:pPr>
              <w:spacing w:after="0" w:line="240" w:lineRule="auto"/>
              <w:jc w:val="center"/>
              <w:rPr>
                <w:rFonts w:cstheme="minorHAnsi"/>
                <w:b/>
                <w:bCs/>
                <w:color w:val="000000"/>
                <w:sz w:val="18"/>
                <w:szCs w:val="18"/>
              </w:rPr>
            </w:pPr>
            <w:r w:rsidRPr="00A734E4">
              <w:rPr>
                <w:rFonts w:cstheme="minorHAnsi"/>
                <w:b/>
                <w:bCs/>
                <w:color w:val="000000"/>
                <w:sz w:val="18"/>
                <w:szCs w:val="18"/>
              </w:rPr>
              <w:t>Central Valley</w:t>
            </w:r>
            <w:r w:rsidRPr="00A734E4">
              <w:rPr>
                <w:rFonts w:cstheme="minorHAnsi"/>
                <w:color w:val="000000"/>
                <w:sz w:val="18"/>
                <w:szCs w:val="18"/>
                <w:vertAlign w:val="superscript"/>
              </w:rPr>
              <w:t>1</w:t>
            </w:r>
          </w:p>
        </w:tc>
        <w:tc>
          <w:tcPr>
            <w:tcW w:w="1015" w:type="dxa"/>
            <w:shd w:val="clear" w:color="auto" w:fill="auto"/>
            <w:vAlign w:val="bottom"/>
            <w:hideMark/>
          </w:tcPr>
          <w:p w14:paraId="3691C201" w14:textId="77777777" w:rsidR="0073362F" w:rsidRPr="00A734E4" w:rsidRDefault="0073362F" w:rsidP="001040C7">
            <w:pPr>
              <w:spacing w:after="0" w:line="240" w:lineRule="auto"/>
              <w:jc w:val="center"/>
              <w:rPr>
                <w:rFonts w:cstheme="minorHAnsi"/>
                <w:b/>
                <w:bCs/>
                <w:color w:val="000000"/>
                <w:sz w:val="18"/>
                <w:szCs w:val="18"/>
              </w:rPr>
            </w:pPr>
            <w:r w:rsidRPr="00A734E4">
              <w:rPr>
                <w:rFonts w:cstheme="minorHAnsi"/>
                <w:b/>
                <w:bCs/>
                <w:color w:val="000000"/>
                <w:sz w:val="18"/>
                <w:szCs w:val="18"/>
              </w:rPr>
              <w:t>Deserts-Modoc</w:t>
            </w:r>
          </w:p>
        </w:tc>
        <w:tc>
          <w:tcPr>
            <w:tcW w:w="1014" w:type="dxa"/>
            <w:shd w:val="clear" w:color="auto" w:fill="auto"/>
            <w:vAlign w:val="bottom"/>
            <w:hideMark/>
          </w:tcPr>
          <w:p w14:paraId="10CC7EB4" w14:textId="77777777" w:rsidR="0073362F" w:rsidRPr="00A734E4" w:rsidRDefault="0073362F" w:rsidP="001040C7">
            <w:pPr>
              <w:spacing w:after="0" w:line="240" w:lineRule="auto"/>
              <w:jc w:val="center"/>
              <w:rPr>
                <w:rFonts w:cstheme="minorHAnsi"/>
                <w:b/>
                <w:bCs/>
                <w:color w:val="000000"/>
                <w:sz w:val="18"/>
                <w:szCs w:val="18"/>
              </w:rPr>
            </w:pPr>
            <w:r w:rsidRPr="00A734E4">
              <w:rPr>
                <w:rFonts w:cstheme="minorHAnsi"/>
                <w:b/>
                <w:bCs/>
                <w:color w:val="000000"/>
                <w:sz w:val="18"/>
                <w:szCs w:val="18"/>
              </w:rPr>
              <w:t>North Coast</w:t>
            </w:r>
          </w:p>
        </w:tc>
        <w:tc>
          <w:tcPr>
            <w:tcW w:w="1015" w:type="dxa"/>
            <w:shd w:val="clear" w:color="auto" w:fill="auto"/>
            <w:vAlign w:val="bottom"/>
            <w:hideMark/>
          </w:tcPr>
          <w:p w14:paraId="102566CE" w14:textId="77777777" w:rsidR="0073362F" w:rsidRPr="00A734E4" w:rsidRDefault="0073362F" w:rsidP="001040C7">
            <w:pPr>
              <w:spacing w:after="0" w:line="240" w:lineRule="auto"/>
              <w:jc w:val="center"/>
              <w:rPr>
                <w:rFonts w:cstheme="minorHAnsi"/>
                <w:b/>
                <w:bCs/>
                <w:color w:val="000000"/>
                <w:sz w:val="18"/>
                <w:szCs w:val="18"/>
              </w:rPr>
            </w:pPr>
            <w:r w:rsidRPr="00A734E4">
              <w:rPr>
                <w:rFonts w:cstheme="minorHAnsi"/>
                <w:b/>
                <w:bCs/>
                <w:color w:val="000000"/>
                <w:sz w:val="18"/>
                <w:szCs w:val="18"/>
              </w:rPr>
              <w:t>South Coast</w:t>
            </w:r>
          </w:p>
        </w:tc>
        <w:tc>
          <w:tcPr>
            <w:tcW w:w="1015" w:type="dxa"/>
            <w:shd w:val="clear" w:color="auto" w:fill="auto"/>
            <w:vAlign w:val="bottom"/>
            <w:hideMark/>
          </w:tcPr>
          <w:p w14:paraId="05E5B525" w14:textId="77777777" w:rsidR="0073362F" w:rsidRPr="00A734E4" w:rsidRDefault="0073362F" w:rsidP="001040C7">
            <w:pPr>
              <w:spacing w:after="0" w:line="240" w:lineRule="auto"/>
              <w:jc w:val="center"/>
              <w:rPr>
                <w:rFonts w:cstheme="minorHAnsi"/>
                <w:b/>
                <w:bCs/>
                <w:color w:val="000000"/>
                <w:sz w:val="18"/>
                <w:szCs w:val="18"/>
              </w:rPr>
            </w:pPr>
            <w:r w:rsidRPr="00A734E4">
              <w:rPr>
                <w:rFonts w:cstheme="minorHAnsi"/>
                <w:b/>
                <w:bCs/>
                <w:color w:val="000000"/>
                <w:sz w:val="18"/>
                <w:szCs w:val="18"/>
              </w:rPr>
              <w:t>Sierra Nevada</w:t>
            </w:r>
          </w:p>
        </w:tc>
      </w:tr>
      <w:tr w:rsidR="0073362F" w:rsidRPr="00A734E4" w14:paraId="3040A35C" w14:textId="77777777" w:rsidTr="001040C7">
        <w:trPr>
          <w:trHeight w:val="315"/>
          <w:jc w:val="center"/>
        </w:trPr>
        <w:tc>
          <w:tcPr>
            <w:tcW w:w="2258" w:type="dxa"/>
            <w:gridSpan w:val="2"/>
            <w:vMerge/>
            <w:tcBorders>
              <w:bottom w:val="single" w:sz="12" w:space="0" w:color="auto"/>
            </w:tcBorders>
            <w:vAlign w:val="center"/>
            <w:hideMark/>
          </w:tcPr>
          <w:p w14:paraId="6AA1794A" w14:textId="77777777" w:rsidR="0073362F" w:rsidRPr="00A734E4" w:rsidRDefault="0073362F" w:rsidP="001040C7">
            <w:pPr>
              <w:spacing w:after="0" w:line="240" w:lineRule="auto"/>
              <w:rPr>
                <w:rFonts w:cstheme="minorHAnsi"/>
                <w:b/>
                <w:bCs/>
                <w:color w:val="000000"/>
                <w:sz w:val="18"/>
                <w:szCs w:val="18"/>
              </w:rPr>
            </w:pPr>
          </w:p>
        </w:tc>
        <w:tc>
          <w:tcPr>
            <w:tcW w:w="1014" w:type="dxa"/>
            <w:tcBorders>
              <w:bottom w:val="single" w:sz="12" w:space="0" w:color="auto"/>
            </w:tcBorders>
            <w:shd w:val="clear" w:color="auto" w:fill="auto"/>
            <w:vAlign w:val="center"/>
            <w:hideMark/>
          </w:tcPr>
          <w:p w14:paraId="4FB6F588" w14:textId="77777777" w:rsidR="0073362F" w:rsidRPr="00A734E4" w:rsidRDefault="0073362F" w:rsidP="001040C7">
            <w:pPr>
              <w:spacing w:after="0" w:line="240" w:lineRule="auto"/>
              <w:jc w:val="center"/>
              <w:rPr>
                <w:rFonts w:cstheme="minorHAnsi"/>
                <w:b/>
                <w:bCs/>
                <w:color w:val="000000"/>
                <w:sz w:val="18"/>
                <w:szCs w:val="18"/>
              </w:rPr>
            </w:pPr>
            <w:r w:rsidRPr="00A734E4">
              <w:rPr>
                <w:rFonts w:cstheme="minorHAnsi"/>
                <w:b/>
                <w:bCs/>
                <w:color w:val="000000"/>
                <w:sz w:val="18"/>
                <w:szCs w:val="18"/>
              </w:rPr>
              <w:t>n=263</w:t>
            </w:r>
          </w:p>
        </w:tc>
        <w:tc>
          <w:tcPr>
            <w:tcW w:w="1015" w:type="dxa"/>
            <w:tcBorders>
              <w:bottom w:val="single" w:sz="12" w:space="0" w:color="auto"/>
            </w:tcBorders>
            <w:shd w:val="clear" w:color="auto" w:fill="auto"/>
            <w:vAlign w:val="center"/>
            <w:hideMark/>
          </w:tcPr>
          <w:p w14:paraId="38F64098" w14:textId="77777777" w:rsidR="0073362F" w:rsidRPr="00A734E4" w:rsidRDefault="0073362F" w:rsidP="001040C7">
            <w:pPr>
              <w:spacing w:after="0" w:line="240" w:lineRule="auto"/>
              <w:jc w:val="center"/>
              <w:rPr>
                <w:rFonts w:cstheme="minorHAnsi"/>
                <w:b/>
                <w:bCs/>
                <w:color w:val="000000"/>
                <w:sz w:val="18"/>
                <w:szCs w:val="18"/>
              </w:rPr>
            </w:pPr>
            <w:r w:rsidRPr="00A734E4">
              <w:rPr>
                <w:rFonts w:cstheme="minorHAnsi"/>
                <w:b/>
                <w:bCs/>
                <w:color w:val="000000"/>
                <w:sz w:val="18"/>
                <w:szCs w:val="18"/>
              </w:rPr>
              <w:t>n=56</w:t>
            </w:r>
          </w:p>
        </w:tc>
        <w:tc>
          <w:tcPr>
            <w:tcW w:w="1014" w:type="dxa"/>
            <w:tcBorders>
              <w:bottom w:val="single" w:sz="12" w:space="0" w:color="auto"/>
            </w:tcBorders>
            <w:shd w:val="clear" w:color="auto" w:fill="auto"/>
            <w:vAlign w:val="center"/>
            <w:hideMark/>
          </w:tcPr>
          <w:p w14:paraId="5A18C70E" w14:textId="77777777" w:rsidR="0073362F" w:rsidRPr="00A734E4" w:rsidRDefault="0073362F" w:rsidP="001040C7">
            <w:pPr>
              <w:spacing w:after="0" w:line="240" w:lineRule="auto"/>
              <w:jc w:val="center"/>
              <w:rPr>
                <w:rFonts w:cstheme="minorHAnsi"/>
                <w:b/>
                <w:bCs/>
                <w:color w:val="000000"/>
                <w:sz w:val="18"/>
                <w:szCs w:val="18"/>
              </w:rPr>
            </w:pPr>
            <w:r w:rsidRPr="00A734E4">
              <w:rPr>
                <w:rFonts w:cstheme="minorHAnsi"/>
                <w:b/>
                <w:bCs/>
                <w:color w:val="000000"/>
                <w:sz w:val="18"/>
                <w:szCs w:val="18"/>
              </w:rPr>
              <w:t>n=1</w:t>
            </w:r>
          </w:p>
        </w:tc>
        <w:tc>
          <w:tcPr>
            <w:tcW w:w="1015" w:type="dxa"/>
            <w:tcBorders>
              <w:bottom w:val="single" w:sz="12" w:space="0" w:color="auto"/>
            </w:tcBorders>
            <w:shd w:val="clear" w:color="auto" w:fill="auto"/>
            <w:vAlign w:val="center"/>
            <w:hideMark/>
          </w:tcPr>
          <w:p w14:paraId="03995B00" w14:textId="77777777" w:rsidR="0073362F" w:rsidRPr="00A734E4" w:rsidRDefault="0073362F" w:rsidP="001040C7">
            <w:pPr>
              <w:spacing w:after="0" w:line="240" w:lineRule="auto"/>
              <w:jc w:val="center"/>
              <w:rPr>
                <w:rFonts w:cstheme="minorHAnsi"/>
                <w:b/>
                <w:bCs/>
                <w:color w:val="000000"/>
                <w:sz w:val="18"/>
                <w:szCs w:val="18"/>
              </w:rPr>
            </w:pPr>
            <w:r w:rsidRPr="00A734E4">
              <w:rPr>
                <w:rFonts w:cstheme="minorHAnsi"/>
                <w:b/>
                <w:bCs/>
                <w:color w:val="000000"/>
                <w:sz w:val="18"/>
                <w:szCs w:val="18"/>
              </w:rPr>
              <w:t>n=10</w:t>
            </w:r>
          </w:p>
        </w:tc>
        <w:tc>
          <w:tcPr>
            <w:tcW w:w="1014" w:type="dxa"/>
            <w:tcBorders>
              <w:bottom w:val="single" w:sz="12" w:space="0" w:color="auto"/>
            </w:tcBorders>
            <w:shd w:val="clear" w:color="auto" w:fill="auto"/>
            <w:vAlign w:val="center"/>
            <w:hideMark/>
          </w:tcPr>
          <w:p w14:paraId="2D44CC98" w14:textId="77777777" w:rsidR="0073362F" w:rsidRPr="00A734E4" w:rsidRDefault="0073362F" w:rsidP="001040C7">
            <w:pPr>
              <w:spacing w:after="0" w:line="240" w:lineRule="auto"/>
              <w:jc w:val="center"/>
              <w:rPr>
                <w:rFonts w:cstheme="minorHAnsi"/>
                <w:b/>
                <w:bCs/>
                <w:color w:val="000000"/>
                <w:sz w:val="18"/>
                <w:szCs w:val="18"/>
              </w:rPr>
            </w:pPr>
            <w:r w:rsidRPr="00A734E4">
              <w:rPr>
                <w:rFonts w:cstheme="minorHAnsi"/>
                <w:b/>
                <w:bCs/>
                <w:color w:val="000000"/>
                <w:sz w:val="18"/>
                <w:szCs w:val="18"/>
              </w:rPr>
              <w:t>n=41</w:t>
            </w:r>
          </w:p>
        </w:tc>
        <w:tc>
          <w:tcPr>
            <w:tcW w:w="1015" w:type="dxa"/>
            <w:tcBorders>
              <w:bottom w:val="single" w:sz="12" w:space="0" w:color="auto"/>
            </w:tcBorders>
            <w:shd w:val="clear" w:color="auto" w:fill="auto"/>
            <w:vAlign w:val="center"/>
            <w:hideMark/>
          </w:tcPr>
          <w:p w14:paraId="4369A289" w14:textId="77777777" w:rsidR="0073362F" w:rsidRPr="00A734E4" w:rsidRDefault="0073362F" w:rsidP="001040C7">
            <w:pPr>
              <w:spacing w:after="0" w:line="240" w:lineRule="auto"/>
              <w:jc w:val="center"/>
              <w:rPr>
                <w:rFonts w:cstheme="minorHAnsi"/>
                <w:b/>
                <w:bCs/>
                <w:color w:val="000000"/>
                <w:sz w:val="18"/>
                <w:szCs w:val="18"/>
              </w:rPr>
            </w:pPr>
            <w:r w:rsidRPr="00A734E4">
              <w:rPr>
                <w:rFonts w:cstheme="minorHAnsi"/>
                <w:b/>
                <w:bCs/>
                <w:color w:val="000000"/>
                <w:sz w:val="18"/>
                <w:szCs w:val="18"/>
              </w:rPr>
              <w:t>n=74</w:t>
            </w:r>
          </w:p>
        </w:tc>
        <w:tc>
          <w:tcPr>
            <w:tcW w:w="1015" w:type="dxa"/>
            <w:tcBorders>
              <w:bottom w:val="single" w:sz="12" w:space="0" w:color="auto"/>
            </w:tcBorders>
            <w:shd w:val="clear" w:color="auto" w:fill="auto"/>
            <w:vAlign w:val="center"/>
            <w:hideMark/>
          </w:tcPr>
          <w:p w14:paraId="468D27E7" w14:textId="77777777" w:rsidR="0073362F" w:rsidRPr="00A734E4" w:rsidRDefault="0073362F" w:rsidP="001040C7">
            <w:pPr>
              <w:spacing w:after="0" w:line="240" w:lineRule="auto"/>
              <w:jc w:val="center"/>
              <w:rPr>
                <w:rFonts w:cstheme="minorHAnsi"/>
                <w:b/>
                <w:bCs/>
                <w:color w:val="000000"/>
                <w:sz w:val="18"/>
                <w:szCs w:val="18"/>
              </w:rPr>
            </w:pPr>
            <w:r w:rsidRPr="00A734E4">
              <w:rPr>
                <w:rFonts w:cstheme="minorHAnsi"/>
                <w:b/>
                <w:bCs/>
                <w:color w:val="000000"/>
                <w:sz w:val="18"/>
                <w:szCs w:val="18"/>
              </w:rPr>
              <w:t>n=81</w:t>
            </w:r>
          </w:p>
        </w:tc>
      </w:tr>
      <w:tr w:rsidR="0073362F" w:rsidRPr="00A734E4" w14:paraId="0C6EFA76" w14:textId="77777777" w:rsidTr="001040C7">
        <w:trPr>
          <w:trHeight w:val="315"/>
          <w:jc w:val="center"/>
        </w:trPr>
        <w:tc>
          <w:tcPr>
            <w:tcW w:w="1325" w:type="dxa"/>
            <w:vMerge w:val="restart"/>
            <w:tcBorders>
              <w:top w:val="single" w:sz="12" w:space="0" w:color="auto"/>
            </w:tcBorders>
            <w:shd w:val="clear" w:color="auto" w:fill="auto"/>
            <w:vAlign w:val="center"/>
            <w:hideMark/>
          </w:tcPr>
          <w:p w14:paraId="3AC7BD1D" w14:textId="77777777" w:rsidR="0073362F" w:rsidRPr="00A734E4" w:rsidRDefault="0073362F" w:rsidP="001040C7">
            <w:pPr>
              <w:spacing w:after="0" w:line="240" w:lineRule="auto"/>
              <w:rPr>
                <w:rFonts w:cstheme="minorHAnsi"/>
                <w:bCs/>
                <w:color w:val="000000"/>
                <w:sz w:val="18"/>
                <w:szCs w:val="18"/>
              </w:rPr>
            </w:pPr>
            <w:r>
              <w:rPr>
                <w:rFonts w:cstheme="minorHAnsi"/>
                <w:bCs/>
                <w:color w:val="000000"/>
                <w:sz w:val="18"/>
                <w:szCs w:val="18"/>
              </w:rPr>
              <w:t>C</w:t>
            </w:r>
            <w:r w:rsidRPr="00A734E4">
              <w:rPr>
                <w:rFonts w:cstheme="minorHAnsi"/>
                <w:bCs/>
                <w:color w:val="000000"/>
                <w:sz w:val="18"/>
                <w:szCs w:val="18"/>
              </w:rPr>
              <w:t xml:space="preserve">hlorophyll </w:t>
            </w:r>
            <w:r w:rsidRPr="00A734E4">
              <w:rPr>
                <w:rFonts w:cstheme="minorHAnsi"/>
                <w:bCs/>
                <w:i/>
                <w:color w:val="000000"/>
                <w:sz w:val="18"/>
                <w:szCs w:val="18"/>
              </w:rPr>
              <w:t>a</w:t>
            </w:r>
            <w:r>
              <w:rPr>
                <w:rFonts w:cstheme="minorHAnsi"/>
                <w:bCs/>
                <w:i/>
                <w:color w:val="000000"/>
                <w:sz w:val="18"/>
                <w:szCs w:val="18"/>
              </w:rPr>
              <w:t xml:space="preserve"> </w:t>
            </w:r>
            <w:r w:rsidRPr="0047232D">
              <w:rPr>
                <w:rFonts w:cstheme="minorHAnsi"/>
                <w:bCs/>
                <w:color w:val="000000"/>
                <w:sz w:val="18"/>
                <w:szCs w:val="18"/>
              </w:rPr>
              <w:t>(mg/m</w:t>
            </w:r>
            <w:r w:rsidRPr="0047232D">
              <w:rPr>
                <w:rFonts w:cstheme="minorHAnsi"/>
                <w:bCs/>
                <w:color w:val="000000"/>
                <w:sz w:val="18"/>
                <w:szCs w:val="18"/>
                <w:vertAlign w:val="superscript"/>
              </w:rPr>
              <w:t>2</w:t>
            </w:r>
            <w:r w:rsidRPr="0047232D">
              <w:rPr>
                <w:rFonts w:cstheme="minorHAnsi"/>
                <w:bCs/>
                <w:color w:val="000000"/>
                <w:sz w:val="18"/>
                <w:szCs w:val="18"/>
              </w:rPr>
              <w:t>)</w:t>
            </w:r>
          </w:p>
        </w:tc>
        <w:tc>
          <w:tcPr>
            <w:tcW w:w="933" w:type="dxa"/>
            <w:tcBorders>
              <w:top w:val="single" w:sz="12" w:space="0" w:color="auto"/>
            </w:tcBorders>
            <w:shd w:val="clear" w:color="auto" w:fill="auto"/>
            <w:vAlign w:val="center"/>
            <w:hideMark/>
          </w:tcPr>
          <w:p w14:paraId="1BAEE052" w14:textId="77777777" w:rsidR="0073362F" w:rsidRPr="00A734E4" w:rsidRDefault="0073362F" w:rsidP="001040C7">
            <w:pPr>
              <w:spacing w:after="0" w:line="240" w:lineRule="auto"/>
              <w:jc w:val="center"/>
              <w:rPr>
                <w:rFonts w:cstheme="minorHAnsi"/>
                <w:bCs/>
                <w:color w:val="000000"/>
                <w:sz w:val="18"/>
                <w:szCs w:val="18"/>
              </w:rPr>
            </w:pPr>
            <w:r w:rsidRPr="00A734E4">
              <w:rPr>
                <w:rFonts w:cstheme="minorHAnsi"/>
                <w:bCs/>
                <w:color w:val="000000"/>
                <w:sz w:val="18"/>
                <w:szCs w:val="18"/>
              </w:rPr>
              <w:t>Median</w:t>
            </w:r>
          </w:p>
        </w:tc>
        <w:tc>
          <w:tcPr>
            <w:tcW w:w="1014" w:type="dxa"/>
            <w:tcBorders>
              <w:top w:val="single" w:sz="12" w:space="0" w:color="auto"/>
            </w:tcBorders>
            <w:shd w:val="clear" w:color="auto" w:fill="auto"/>
            <w:noWrap/>
            <w:vAlign w:val="center"/>
            <w:hideMark/>
          </w:tcPr>
          <w:p w14:paraId="1EE07B04"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6.9</w:t>
            </w:r>
          </w:p>
        </w:tc>
        <w:tc>
          <w:tcPr>
            <w:tcW w:w="1015" w:type="dxa"/>
            <w:tcBorders>
              <w:top w:val="single" w:sz="12" w:space="0" w:color="auto"/>
            </w:tcBorders>
            <w:shd w:val="clear" w:color="auto" w:fill="auto"/>
            <w:noWrap/>
            <w:vAlign w:val="center"/>
            <w:hideMark/>
          </w:tcPr>
          <w:p w14:paraId="24DBF809"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8.9</w:t>
            </w:r>
          </w:p>
        </w:tc>
        <w:tc>
          <w:tcPr>
            <w:tcW w:w="1014" w:type="dxa"/>
            <w:vMerge w:val="restart"/>
            <w:tcBorders>
              <w:top w:val="single" w:sz="12" w:space="0" w:color="auto"/>
            </w:tcBorders>
            <w:shd w:val="clear" w:color="auto" w:fill="auto"/>
            <w:vAlign w:val="center"/>
            <w:hideMark/>
          </w:tcPr>
          <w:p w14:paraId="25C731DC"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23.0</w:t>
            </w:r>
          </w:p>
        </w:tc>
        <w:tc>
          <w:tcPr>
            <w:tcW w:w="1015" w:type="dxa"/>
            <w:tcBorders>
              <w:top w:val="single" w:sz="12" w:space="0" w:color="auto"/>
            </w:tcBorders>
            <w:shd w:val="clear" w:color="auto" w:fill="auto"/>
            <w:noWrap/>
            <w:vAlign w:val="center"/>
            <w:hideMark/>
          </w:tcPr>
          <w:p w14:paraId="65D08E6D"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10.7</w:t>
            </w:r>
          </w:p>
        </w:tc>
        <w:tc>
          <w:tcPr>
            <w:tcW w:w="1014" w:type="dxa"/>
            <w:tcBorders>
              <w:top w:val="single" w:sz="12" w:space="0" w:color="auto"/>
            </w:tcBorders>
            <w:shd w:val="clear" w:color="auto" w:fill="auto"/>
            <w:noWrap/>
            <w:vAlign w:val="center"/>
            <w:hideMark/>
          </w:tcPr>
          <w:p w14:paraId="0CF4CCB5"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6.2</w:t>
            </w:r>
          </w:p>
        </w:tc>
        <w:tc>
          <w:tcPr>
            <w:tcW w:w="1015" w:type="dxa"/>
            <w:tcBorders>
              <w:top w:val="single" w:sz="12" w:space="0" w:color="auto"/>
            </w:tcBorders>
            <w:shd w:val="clear" w:color="auto" w:fill="auto"/>
            <w:noWrap/>
            <w:vAlign w:val="center"/>
            <w:hideMark/>
          </w:tcPr>
          <w:p w14:paraId="265DFED1"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12.5</w:t>
            </w:r>
          </w:p>
        </w:tc>
        <w:tc>
          <w:tcPr>
            <w:tcW w:w="1015" w:type="dxa"/>
            <w:tcBorders>
              <w:top w:val="single" w:sz="12" w:space="0" w:color="auto"/>
            </w:tcBorders>
            <w:shd w:val="clear" w:color="auto" w:fill="auto"/>
            <w:noWrap/>
            <w:vAlign w:val="center"/>
            <w:hideMark/>
          </w:tcPr>
          <w:p w14:paraId="7F056134"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3.1</w:t>
            </w:r>
          </w:p>
        </w:tc>
      </w:tr>
      <w:tr w:rsidR="0073362F" w:rsidRPr="00A734E4" w14:paraId="1676EA0A" w14:textId="77777777" w:rsidTr="001040C7">
        <w:trPr>
          <w:trHeight w:val="345"/>
          <w:jc w:val="center"/>
        </w:trPr>
        <w:tc>
          <w:tcPr>
            <w:tcW w:w="1325" w:type="dxa"/>
            <w:vMerge/>
            <w:vAlign w:val="center"/>
            <w:hideMark/>
          </w:tcPr>
          <w:p w14:paraId="188B2A01" w14:textId="77777777" w:rsidR="0073362F" w:rsidRPr="00A734E4" w:rsidRDefault="0073362F" w:rsidP="001040C7">
            <w:pPr>
              <w:spacing w:after="0" w:line="240" w:lineRule="auto"/>
              <w:rPr>
                <w:rFonts w:cstheme="minorHAnsi"/>
                <w:bCs/>
                <w:color w:val="000000"/>
                <w:sz w:val="18"/>
                <w:szCs w:val="18"/>
              </w:rPr>
            </w:pPr>
          </w:p>
        </w:tc>
        <w:tc>
          <w:tcPr>
            <w:tcW w:w="933" w:type="dxa"/>
            <w:shd w:val="clear" w:color="auto" w:fill="auto"/>
            <w:vAlign w:val="center"/>
            <w:hideMark/>
          </w:tcPr>
          <w:p w14:paraId="2DD7377D" w14:textId="77777777" w:rsidR="0073362F" w:rsidRPr="00A734E4" w:rsidRDefault="0073362F" w:rsidP="001040C7">
            <w:pPr>
              <w:spacing w:after="0" w:line="240" w:lineRule="auto"/>
              <w:jc w:val="center"/>
              <w:rPr>
                <w:rFonts w:cstheme="minorHAnsi"/>
                <w:bCs/>
                <w:color w:val="000000"/>
                <w:sz w:val="18"/>
                <w:szCs w:val="18"/>
              </w:rPr>
            </w:pPr>
            <w:r w:rsidRPr="00A734E4">
              <w:rPr>
                <w:rFonts w:cstheme="minorHAnsi"/>
                <w:bCs/>
                <w:color w:val="000000"/>
                <w:sz w:val="18"/>
                <w:szCs w:val="18"/>
              </w:rPr>
              <w:t>75</w:t>
            </w:r>
            <w:r w:rsidRPr="00A734E4">
              <w:rPr>
                <w:rFonts w:cstheme="minorHAnsi"/>
                <w:bCs/>
                <w:color w:val="000000"/>
                <w:sz w:val="18"/>
                <w:szCs w:val="18"/>
                <w:vertAlign w:val="superscript"/>
              </w:rPr>
              <w:t>th</w:t>
            </w:r>
          </w:p>
        </w:tc>
        <w:tc>
          <w:tcPr>
            <w:tcW w:w="1014" w:type="dxa"/>
            <w:shd w:val="clear" w:color="auto" w:fill="auto"/>
            <w:noWrap/>
            <w:vAlign w:val="center"/>
            <w:hideMark/>
          </w:tcPr>
          <w:p w14:paraId="3478890F"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14.6</w:t>
            </w:r>
          </w:p>
        </w:tc>
        <w:tc>
          <w:tcPr>
            <w:tcW w:w="1015" w:type="dxa"/>
            <w:shd w:val="clear" w:color="auto" w:fill="auto"/>
            <w:noWrap/>
            <w:vAlign w:val="center"/>
            <w:hideMark/>
          </w:tcPr>
          <w:p w14:paraId="0F2EC557"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16.4</w:t>
            </w:r>
          </w:p>
        </w:tc>
        <w:tc>
          <w:tcPr>
            <w:tcW w:w="1014" w:type="dxa"/>
            <w:vMerge/>
            <w:vAlign w:val="center"/>
            <w:hideMark/>
          </w:tcPr>
          <w:p w14:paraId="105559A0" w14:textId="77777777" w:rsidR="0073362F" w:rsidRPr="00A734E4" w:rsidRDefault="0073362F" w:rsidP="001040C7">
            <w:pPr>
              <w:spacing w:after="0" w:line="240" w:lineRule="auto"/>
              <w:jc w:val="center"/>
              <w:rPr>
                <w:rFonts w:cstheme="minorHAnsi"/>
                <w:color w:val="000000"/>
                <w:sz w:val="18"/>
                <w:szCs w:val="18"/>
              </w:rPr>
            </w:pPr>
          </w:p>
        </w:tc>
        <w:tc>
          <w:tcPr>
            <w:tcW w:w="1015" w:type="dxa"/>
            <w:shd w:val="clear" w:color="auto" w:fill="auto"/>
            <w:noWrap/>
            <w:vAlign w:val="center"/>
            <w:hideMark/>
          </w:tcPr>
          <w:p w14:paraId="355BF963"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26.5</w:t>
            </w:r>
          </w:p>
        </w:tc>
        <w:tc>
          <w:tcPr>
            <w:tcW w:w="1014" w:type="dxa"/>
            <w:shd w:val="clear" w:color="auto" w:fill="auto"/>
            <w:noWrap/>
            <w:vAlign w:val="center"/>
            <w:hideMark/>
          </w:tcPr>
          <w:p w14:paraId="247B0F87"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9.2</w:t>
            </w:r>
          </w:p>
        </w:tc>
        <w:tc>
          <w:tcPr>
            <w:tcW w:w="1015" w:type="dxa"/>
            <w:shd w:val="clear" w:color="auto" w:fill="auto"/>
            <w:noWrap/>
            <w:vAlign w:val="center"/>
            <w:hideMark/>
          </w:tcPr>
          <w:p w14:paraId="200F693D"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24.4</w:t>
            </w:r>
          </w:p>
        </w:tc>
        <w:tc>
          <w:tcPr>
            <w:tcW w:w="1015" w:type="dxa"/>
            <w:shd w:val="clear" w:color="auto" w:fill="auto"/>
            <w:noWrap/>
            <w:vAlign w:val="center"/>
            <w:hideMark/>
          </w:tcPr>
          <w:p w14:paraId="0A450FAC"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7.9</w:t>
            </w:r>
          </w:p>
        </w:tc>
      </w:tr>
      <w:tr w:rsidR="0073362F" w:rsidRPr="00A734E4" w14:paraId="26559FB6" w14:textId="77777777" w:rsidTr="001040C7">
        <w:trPr>
          <w:trHeight w:val="278"/>
          <w:jc w:val="center"/>
        </w:trPr>
        <w:tc>
          <w:tcPr>
            <w:tcW w:w="1325" w:type="dxa"/>
            <w:vMerge/>
            <w:vAlign w:val="center"/>
            <w:hideMark/>
          </w:tcPr>
          <w:p w14:paraId="6AFD5015" w14:textId="77777777" w:rsidR="0073362F" w:rsidRPr="00A734E4" w:rsidRDefault="0073362F" w:rsidP="001040C7">
            <w:pPr>
              <w:spacing w:after="0" w:line="240" w:lineRule="auto"/>
              <w:rPr>
                <w:rFonts w:cstheme="minorHAnsi"/>
                <w:bCs/>
                <w:color w:val="000000"/>
                <w:sz w:val="18"/>
                <w:szCs w:val="18"/>
              </w:rPr>
            </w:pPr>
          </w:p>
        </w:tc>
        <w:tc>
          <w:tcPr>
            <w:tcW w:w="933" w:type="dxa"/>
            <w:shd w:val="clear" w:color="auto" w:fill="auto"/>
            <w:vAlign w:val="center"/>
            <w:hideMark/>
          </w:tcPr>
          <w:p w14:paraId="12F6164A" w14:textId="77777777" w:rsidR="0073362F" w:rsidRPr="00A734E4" w:rsidRDefault="0073362F" w:rsidP="001040C7">
            <w:pPr>
              <w:spacing w:after="0" w:line="240" w:lineRule="auto"/>
              <w:jc w:val="center"/>
              <w:rPr>
                <w:rFonts w:cstheme="minorHAnsi"/>
                <w:bCs/>
                <w:color w:val="000000"/>
                <w:sz w:val="18"/>
                <w:szCs w:val="18"/>
              </w:rPr>
            </w:pPr>
            <w:r w:rsidRPr="00A734E4">
              <w:rPr>
                <w:rFonts w:cstheme="minorHAnsi"/>
                <w:bCs/>
                <w:color w:val="000000"/>
                <w:sz w:val="18"/>
                <w:szCs w:val="18"/>
              </w:rPr>
              <w:t>95</w:t>
            </w:r>
            <w:r w:rsidRPr="00A734E4">
              <w:rPr>
                <w:rFonts w:cstheme="minorHAnsi"/>
                <w:bCs/>
                <w:color w:val="000000"/>
                <w:sz w:val="18"/>
                <w:szCs w:val="18"/>
                <w:vertAlign w:val="superscript"/>
              </w:rPr>
              <w:t>th</w:t>
            </w:r>
          </w:p>
        </w:tc>
        <w:tc>
          <w:tcPr>
            <w:tcW w:w="1014" w:type="dxa"/>
            <w:shd w:val="clear" w:color="auto" w:fill="auto"/>
            <w:noWrap/>
            <w:vAlign w:val="center"/>
            <w:hideMark/>
          </w:tcPr>
          <w:p w14:paraId="05C1D4A7"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44.1</w:t>
            </w:r>
          </w:p>
        </w:tc>
        <w:tc>
          <w:tcPr>
            <w:tcW w:w="1015" w:type="dxa"/>
            <w:shd w:val="clear" w:color="auto" w:fill="auto"/>
            <w:noWrap/>
            <w:vAlign w:val="center"/>
            <w:hideMark/>
          </w:tcPr>
          <w:p w14:paraId="7807ADE2"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46.2</w:t>
            </w:r>
          </w:p>
        </w:tc>
        <w:tc>
          <w:tcPr>
            <w:tcW w:w="1014" w:type="dxa"/>
            <w:vMerge/>
            <w:vAlign w:val="center"/>
            <w:hideMark/>
          </w:tcPr>
          <w:p w14:paraId="59A69F2D" w14:textId="77777777" w:rsidR="0073362F" w:rsidRPr="00A734E4" w:rsidRDefault="0073362F" w:rsidP="001040C7">
            <w:pPr>
              <w:spacing w:after="0" w:line="240" w:lineRule="auto"/>
              <w:jc w:val="center"/>
              <w:rPr>
                <w:rFonts w:cstheme="minorHAnsi"/>
                <w:color w:val="000000"/>
                <w:sz w:val="18"/>
                <w:szCs w:val="18"/>
              </w:rPr>
            </w:pPr>
          </w:p>
        </w:tc>
        <w:tc>
          <w:tcPr>
            <w:tcW w:w="1015" w:type="dxa"/>
            <w:shd w:val="clear" w:color="auto" w:fill="auto"/>
            <w:noWrap/>
            <w:vAlign w:val="center"/>
            <w:hideMark/>
          </w:tcPr>
          <w:p w14:paraId="683566B9"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32.0</w:t>
            </w:r>
          </w:p>
        </w:tc>
        <w:tc>
          <w:tcPr>
            <w:tcW w:w="1014" w:type="dxa"/>
            <w:shd w:val="clear" w:color="auto" w:fill="auto"/>
            <w:noWrap/>
            <w:vAlign w:val="center"/>
            <w:hideMark/>
          </w:tcPr>
          <w:p w14:paraId="63B2BE31"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25.1</w:t>
            </w:r>
          </w:p>
        </w:tc>
        <w:tc>
          <w:tcPr>
            <w:tcW w:w="1015" w:type="dxa"/>
            <w:shd w:val="clear" w:color="auto" w:fill="auto"/>
            <w:noWrap/>
            <w:vAlign w:val="center"/>
            <w:hideMark/>
          </w:tcPr>
          <w:p w14:paraId="5B3748B9"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124.8</w:t>
            </w:r>
          </w:p>
        </w:tc>
        <w:tc>
          <w:tcPr>
            <w:tcW w:w="1015" w:type="dxa"/>
            <w:shd w:val="clear" w:color="auto" w:fill="auto"/>
            <w:noWrap/>
            <w:vAlign w:val="center"/>
            <w:hideMark/>
          </w:tcPr>
          <w:p w14:paraId="72EDC2C3"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28.3</w:t>
            </w:r>
          </w:p>
        </w:tc>
      </w:tr>
      <w:tr w:rsidR="0073362F" w:rsidRPr="00A734E4" w14:paraId="7A83BA17" w14:textId="77777777" w:rsidTr="001040C7">
        <w:trPr>
          <w:trHeight w:val="315"/>
          <w:jc w:val="center"/>
        </w:trPr>
        <w:tc>
          <w:tcPr>
            <w:tcW w:w="1325" w:type="dxa"/>
            <w:vMerge w:val="restart"/>
            <w:shd w:val="clear" w:color="auto" w:fill="auto"/>
            <w:vAlign w:val="center"/>
            <w:hideMark/>
          </w:tcPr>
          <w:p w14:paraId="3DDCE01C" w14:textId="77777777" w:rsidR="0073362F" w:rsidRDefault="0073362F" w:rsidP="001040C7">
            <w:pPr>
              <w:spacing w:after="0" w:line="240" w:lineRule="auto"/>
              <w:rPr>
                <w:rFonts w:cstheme="minorHAnsi"/>
                <w:bCs/>
                <w:color w:val="000000"/>
                <w:sz w:val="18"/>
                <w:szCs w:val="18"/>
              </w:rPr>
            </w:pPr>
            <w:r w:rsidRPr="00A734E4">
              <w:rPr>
                <w:rFonts w:cstheme="minorHAnsi"/>
                <w:bCs/>
                <w:color w:val="000000"/>
                <w:sz w:val="18"/>
                <w:szCs w:val="18"/>
              </w:rPr>
              <w:t>AFDM</w:t>
            </w:r>
          </w:p>
          <w:p w14:paraId="5D8E6797" w14:textId="77777777" w:rsidR="0073362F" w:rsidRPr="00A734E4" w:rsidRDefault="0073362F" w:rsidP="001040C7">
            <w:pPr>
              <w:spacing w:after="0" w:line="240" w:lineRule="auto"/>
              <w:rPr>
                <w:rFonts w:cstheme="minorHAnsi"/>
                <w:bCs/>
                <w:color w:val="000000"/>
                <w:sz w:val="18"/>
                <w:szCs w:val="18"/>
              </w:rPr>
            </w:pPr>
            <w:r>
              <w:rPr>
                <w:rFonts w:cstheme="minorHAnsi"/>
                <w:bCs/>
                <w:color w:val="000000"/>
                <w:sz w:val="18"/>
                <w:szCs w:val="18"/>
              </w:rPr>
              <w:t>(</w:t>
            </w:r>
            <w:r w:rsidRPr="00E53A38">
              <w:rPr>
                <w:rFonts w:cstheme="minorHAnsi"/>
                <w:bCs/>
                <w:color w:val="000000"/>
                <w:sz w:val="18"/>
                <w:szCs w:val="18"/>
              </w:rPr>
              <w:t>g/m</w:t>
            </w:r>
            <w:r w:rsidRPr="00E53A38">
              <w:rPr>
                <w:rFonts w:cstheme="minorHAnsi"/>
                <w:bCs/>
                <w:color w:val="000000"/>
                <w:sz w:val="18"/>
                <w:szCs w:val="18"/>
                <w:vertAlign w:val="superscript"/>
              </w:rPr>
              <w:t>2</w:t>
            </w:r>
            <w:r w:rsidRPr="00E53A38">
              <w:rPr>
                <w:rFonts w:cstheme="minorHAnsi"/>
                <w:bCs/>
                <w:color w:val="000000"/>
                <w:sz w:val="18"/>
                <w:szCs w:val="18"/>
              </w:rPr>
              <w:t>)</w:t>
            </w:r>
          </w:p>
        </w:tc>
        <w:tc>
          <w:tcPr>
            <w:tcW w:w="933" w:type="dxa"/>
            <w:shd w:val="clear" w:color="auto" w:fill="auto"/>
            <w:vAlign w:val="center"/>
            <w:hideMark/>
          </w:tcPr>
          <w:p w14:paraId="3B28E864" w14:textId="77777777" w:rsidR="0073362F" w:rsidRPr="00A734E4" w:rsidRDefault="0073362F" w:rsidP="001040C7">
            <w:pPr>
              <w:spacing w:after="0" w:line="240" w:lineRule="auto"/>
              <w:jc w:val="center"/>
              <w:rPr>
                <w:rFonts w:cstheme="minorHAnsi"/>
                <w:bCs/>
                <w:color w:val="000000"/>
                <w:sz w:val="18"/>
                <w:szCs w:val="18"/>
              </w:rPr>
            </w:pPr>
            <w:r w:rsidRPr="00A734E4">
              <w:rPr>
                <w:rFonts w:cstheme="minorHAnsi"/>
                <w:bCs/>
                <w:color w:val="000000"/>
                <w:sz w:val="18"/>
                <w:szCs w:val="18"/>
              </w:rPr>
              <w:t>Median</w:t>
            </w:r>
          </w:p>
        </w:tc>
        <w:tc>
          <w:tcPr>
            <w:tcW w:w="1014" w:type="dxa"/>
            <w:shd w:val="clear" w:color="auto" w:fill="auto"/>
            <w:noWrap/>
            <w:vAlign w:val="center"/>
            <w:hideMark/>
          </w:tcPr>
          <w:p w14:paraId="2B682AAF"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5.4</w:t>
            </w:r>
          </w:p>
        </w:tc>
        <w:tc>
          <w:tcPr>
            <w:tcW w:w="1015" w:type="dxa"/>
            <w:shd w:val="clear" w:color="auto" w:fill="auto"/>
            <w:noWrap/>
            <w:vAlign w:val="center"/>
            <w:hideMark/>
          </w:tcPr>
          <w:p w14:paraId="563A33B2"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6.2</w:t>
            </w:r>
          </w:p>
        </w:tc>
        <w:tc>
          <w:tcPr>
            <w:tcW w:w="1014" w:type="dxa"/>
            <w:vMerge w:val="restart"/>
            <w:shd w:val="clear" w:color="auto" w:fill="auto"/>
            <w:vAlign w:val="center"/>
            <w:hideMark/>
          </w:tcPr>
          <w:p w14:paraId="11DE0F61" w14:textId="77777777" w:rsidR="0073362F" w:rsidRPr="00A734E4" w:rsidRDefault="0073362F" w:rsidP="001040C7">
            <w:pPr>
              <w:spacing w:after="0" w:line="240" w:lineRule="auto"/>
              <w:jc w:val="center"/>
              <w:rPr>
                <w:rFonts w:cstheme="minorHAnsi"/>
                <w:color w:val="000000"/>
                <w:sz w:val="18"/>
                <w:szCs w:val="18"/>
                <w:vertAlign w:val="superscript"/>
              </w:rPr>
            </w:pPr>
            <w:r w:rsidRPr="00A734E4">
              <w:rPr>
                <w:rFonts w:cstheme="minorHAnsi"/>
                <w:color w:val="000000"/>
                <w:sz w:val="18"/>
                <w:szCs w:val="18"/>
              </w:rPr>
              <w:t>12.9</w:t>
            </w:r>
          </w:p>
        </w:tc>
        <w:tc>
          <w:tcPr>
            <w:tcW w:w="1015" w:type="dxa"/>
            <w:shd w:val="clear" w:color="auto" w:fill="auto"/>
            <w:noWrap/>
            <w:vAlign w:val="center"/>
            <w:hideMark/>
          </w:tcPr>
          <w:p w14:paraId="0F00BC4E"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13.4</w:t>
            </w:r>
          </w:p>
        </w:tc>
        <w:tc>
          <w:tcPr>
            <w:tcW w:w="1014" w:type="dxa"/>
            <w:shd w:val="clear" w:color="auto" w:fill="auto"/>
            <w:noWrap/>
            <w:vAlign w:val="center"/>
            <w:hideMark/>
          </w:tcPr>
          <w:p w14:paraId="2A44BB6D"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4.0</w:t>
            </w:r>
          </w:p>
        </w:tc>
        <w:tc>
          <w:tcPr>
            <w:tcW w:w="1015" w:type="dxa"/>
            <w:shd w:val="clear" w:color="auto" w:fill="auto"/>
            <w:noWrap/>
            <w:vAlign w:val="center"/>
            <w:hideMark/>
          </w:tcPr>
          <w:p w14:paraId="29D71C31"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16.3</w:t>
            </w:r>
          </w:p>
        </w:tc>
        <w:tc>
          <w:tcPr>
            <w:tcW w:w="1015" w:type="dxa"/>
            <w:shd w:val="clear" w:color="auto" w:fill="auto"/>
            <w:noWrap/>
            <w:vAlign w:val="center"/>
            <w:hideMark/>
          </w:tcPr>
          <w:p w14:paraId="3C61443D"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3.7</w:t>
            </w:r>
          </w:p>
        </w:tc>
      </w:tr>
      <w:tr w:rsidR="0073362F" w:rsidRPr="00A734E4" w14:paraId="0900A519" w14:textId="77777777" w:rsidTr="001040C7">
        <w:trPr>
          <w:trHeight w:val="345"/>
          <w:jc w:val="center"/>
        </w:trPr>
        <w:tc>
          <w:tcPr>
            <w:tcW w:w="1325" w:type="dxa"/>
            <w:vMerge/>
            <w:vAlign w:val="center"/>
            <w:hideMark/>
          </w:tcPr>
          <w:p w14:paraId="2A86EDB5" w14:textId="77777777" w:rsidR="0073362F" w:rsidRPr="00A734E4" w:rsidRDefault="0073362F" w:rsidP="001040C7">
            <w:pPr>
              <w:spacing w:after="0" w:line="240" w:lineRule="auto"/>
              <w:rPr>
                <w:rFonts w:cstheme="minorHAnsi"/>
                <w:bCs/>
                <w:color w:val="000000"/>
                <w:sz w:val="18"/>
                <w:szCs w:val="18"/>
              </w:rPr>
            </w:pPr>
          </w:p>
        </w:tc>
        <w:tc>
          <w:tcPr>
            <w:tcW w:w="933" w:type="dxa"/>
            <w:shd w:val="clear" w:color="auto" w:fill="auto"/>
            <w:vAlign w:val="center"/>
            <w:hideMark/>
          </w:tcPr>
          <w:p w14:paraId="1559FB38" w14:textId="77777777" w:rsidR="0073362F" w:rsidRPr="00A734E4" w:rsidRDefault="0073362F" w:rsidP="001040C7">
            <w:pPr>
              <w:spacing w:after="0" w:line="240" w:lineRule="auto"/>
              <w:jc w:val="center"/>
              <w:rPr>
                <w:rFonts w:cstheme="minorHAnsi"/>
                <w:bCs/>
                <w:color w:val="000000"/>
                <w:sz w:val="18"/>
                <w:szCs w:val="18"/>
              </w:rPr>
            </w:pPr>
            <w:r w:rsidRPr="00A734E4">
              <w:rPr>
                <w:rFonts w:cstheme="minorHAnsi"/>
                <w:bCs/>
                <w:color w:val="000000"/>
                <w:sz w:val="18"/>
                <w:szCs w:val="18"/>
              </w:rPr>
              <w:t>75</w:t>
            </w:r>
            <w:r w:rsidRPr="00A734E4">
              <w:rPr>
                <w:rFonts w:cstheme="minorHAnsi"/>
                <w:bCs/>
                <w:color w:val="000000"/>
                <w:sz w:val="18"/>
                <w:szCs w:val="18"/>
                <w:vertAlign w:val="superscript"/>
              </w:rPr>
              <w:t>th</w:t>
            </w:r>
          </w:p>
        </w:tc>
        <w:tc>
          <w:tcPr>
            <w:tcW w:w="1014" w:type="dxa"/>
            <w:shd w:val="clear" w:color="auto" w:fill="auto"/>
            <w:noWrap/>
            <w:vAlign w:val="center"/>
            <w:hideMark/>
          </w:tcPr>
          <w:p w14:paraId="38074B3E"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11.9</w:t>
            </w:r>
          </w:p>
        </w:tc>
        <w:tc>
          <w:tcPr>
            <w:tcW w:w="1015" w:type="dxa"/>
            <w:shd w:val="clear" w:color="auto" w:fill="auto"/>
            <w:noWrap/>
            <w:vAlign w:val="center"/>
            <w:hideMark/>
          </w:tcPr>
          <w:p w14:paraId="0ADE5056"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10.0</w:t>
            </w:r>
          </w:p>
        </w:tc>
        <w:tc>
          <w:tcPr>
            <w:tcW w:w="1014" w:type="dxa"/>
            <w:vMerge/>
            <w:vAlign w:val="center"/>
            <w:hideMark/>
          </w:tcPr>
          <w:p w14:paraId="0DBC994F" w14:textId="77777777" w:rsidR="0073362F" w:rsidRPr="00A734E4" w:rsidRDefault="0073362F" w:rsidP="001040C7">
            <w:pPr>
              <w:spacing w:after="0" w:line="240" w:lineRule="auto"/>
              <w:jc w:val="center"/>
              <w:rPr>
                <w:rFonts w:cstheme="minorHAnsi"/>
                <w:color w:val="000000"/>
                <w:sz w:val="18"/>
                <w:szCs w:val="18"/>
              </w:rPr>
            </w:pPr>
          </w:p>
        </w:tc>
        <w:tc>
          <w:tcPr>
            <w:tcW w:w="1015" w:type="dxa"/>
            <w:shd w:val="clear" w:color="auto" w:fill="auto"/>
            <w:noWrap/>
            <w:vAlign w:val="center"/>
            <w:hideMark/>
          </w:tcPr>
          <w:p w14:paraId="175229AB"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23.9</w:t>
            </w:r>
          </w:p>
        </w:tc>
        <w:tc>
          <w:tcPr>
            <w:tcW w:w="1014" w:type="dxa"/>
            <w:shd w:val="clear" w:color="auto" w:fill="auto"/>
            <w:noWrap/>
            <w:vAlign w:val="center"/>
            <w:hideMark/>
          </w:tcPr>
          <w:p w14:paraId="461540EA"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6.0</w:t>
            </w:r>
          </w:p>
        </w:tc>
        <w:tc>
          <w:tcPr>
            <w:tcW w:w="1015" w:type="dxa"/>
            <w:shd w:val="clear" w:color="auto" w:fill="auto"/>
            <w:noWrap/>
            <w:vAlign w:val="center"/>
            <w:hideMark/>
          </w:tcPr>
          <w:p w14:paraId="386828E6"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26.8</w:t>
            </w:r>
          </w:p>
        </w:tc>
        <w:tc>
          <w:tcPr>
            <w:tcW w:w="1015" w:type="dxa"/>
            <w:shd w:val="clear" w:color="auto" w:fill="auto"/>
            <w:noWrap/>
            <w:vAlign w:val="center"/>
            <w:hideMark/>
          </w:tcPr>
          <w:p w14:paraId="0EF5DBDF"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5.8</w:t>
            </w:r>
          </w:p>
        </w:tc>
      </w:tr>
      <w:tr w:rsidR="0073362F" w:rsidRPr="00A734E4" w14:paraId="3E7C2602" w14:textId="77777777" w:rsidTr="001040C7">
        <w:trPr>
          <w:trHeight w:val="345"/>
          <w:jc w:val="center"/>
        </w:trPr>
        <w:tc>
          <w:tcPr>
            <w:tcW w:w="1325" w:type="dxa"/>
            <w:vMerge/>
            <w:vAlign w:val="center"/>
            <w:hideMark/>
          </w:tcPr>
          <w:p w14:paraId="78CA7490" w14:textId="77777777" w:rsidR="0073362F" w:rsidRPr="00A734E4" w:rsidRDefault="0073362F" w:rsidP="001040C7">
            <w:pPr>
              <w:spacing w:after="0" w:line="240" w:lineRule="auto"/>
              <w:rPr>
                <w:rFonts w:cstheme="minorHAnsi"/>
                <w:bCs/>
                <w:color w:val="000000"/>
                <w:sz w:val="18"/>
                <w:szCs w:val="18"/>
              </w:rPr>
            </w:pPr>
          </w:p>
        </w:tc>
        <w:tc>
          <w:tcPr>
            <w:tcW w:w="933" w:type="dxa"/>
            <w:shd w:val="clear" w:color="auto" w:fill="auto"/>
            <w:vAlign w:val="center"/>
            <w:hideMark/>
          </w:tcPr>
          <w:p w14:paraId="09E6B945" w14:textId="77777777" w:rsidR="0073362F" w:rsidRPr="00A734E4" w:rsidRDefault="0073362F" w:rsidP="001040C7">
            <w:pPr>
              <w:spacing w:after="0" w:line="240" w:lineRule="auto"/>
              <w:jc w:val="center"/>
              <w:rPr>
                <w:rFonts w:cstheme="minorHAnsi"/>
                <w:bCs/>
                <w:color w:val="000000"/>
                <w:sz w:val="18"/>
                <w:szCs w:val="18"/>
              </w:rPr>
            </w:pPr>
            <w:r w:rsidRPr="00A734E4">
              <w:rPr>
                <w:rFonts w:cstheme="minorHAnsi"/>
                <w:bCs/>
                <w:color w:val="000000"/>
                <w:sz w:val="18"/>
                <w:szCs w:val="18"/>
              </w:rPr>
              <w:t>95</w:t>
            </w:r>
            <w:r w:rsidRPr="00A734E4">
              <w:rPr>
                <w:rFonts w:cstheme="minorHAnsi"/>
                <w:bCs/>
                <w:color w:val="000000"/>
                <w:sz w:val="18"/>
                <w:szCs w:val="18"/>
                <w:vertAlign w:val="superscript"/>
              </w:rPr>
              <w:t>th</w:t>
            </w:r>
          </w:p>
        </w:tc>
        <w:tc>
          <w:tcPr>
            <w:tcW w:w="1014" w:type="dxa"/>
            <w:shd w:val="clear" w:color="auto" w:fill="auto"/>
            <w:noWrap/>
            <w:vAlign w:val="center"/>
            <w:hideMark/>
          </w:tcPr>
          <w:p w14:paraId="735E3067"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34.0</w:t>
            </w:r>
          </w:p>
        </w:tc>
        <w:tc>
          <w:tcPr>
            <w:tcW w:w="1015" w:type="dxa"/>
            <w:shd w:val="clear" w:color="auto" w:fill="auto"/>
            <w:noWrap/>
            <w:vAlign w:val="center"/>
            <w:hideMark/>
          </w:tcPr>
          <w:p w14:paraId="7F73E34A"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19.7</w:t>
            </w:r>
          </w:p>
        </w:tc>
        <w:tc>
          <w:tcPr>
            <w:tcW w:w="1014" w:type="dxa"/>
            <w:vMerge/>
            <w:vAlign w:val="center"/>
            <w:hideMark/>
          </w:tcPr>
          <w:p w14:paraId="1BE38219" w14:textId="77777777" w:rsidR="0073362F" w:rsidRPr="00A734E4" w:rsidRDefault="0073362F" w:rsidP="001040C7">
            <w:pPr>
              <w:spacing w:after="0" w:line="240" w:lineRule="auto"/>
              <w:jc w:val="center"/>
              <w:rPr>
                <w:rFonts w:cstheme="minorHAnsi"/>
                <w:color w:val="000000"/>
                <w:sz w:val="18"/>
                <w:szCs w:val="18"/>
              </w:rPr>
            </w:pPr>
          </w:p>
        </w:tc>
        <w:tc>
          <w:tcPr>
            <w:tcW w:w="1015" w:type="dxa"/>
            <w:shd w:val="clear" w:color="auto" w:fill="auto"/>
            <w:noWrap/>
            <w:vAlign w:val="center"/>
            <w:hideMark/>
          </w:tcPr>
          <w:p w14:paraId="0202C86F"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36.7</w:t>
            </w:r>
          </w:p>
        </w:tc>
        <w:tc>
          <w:tcPr>
            <w:tcW w:w="1014" w:type="dxa"/>
            <w:shd w:val="clear" w:color="auto" w:fill="auto"/>
            <w:noWrap/>
            <w:vAlign w:val="center"/>
            <w:hideMark/>
          </w:tcPr>
          <w:p w14:paraId="3FD00B83"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14.8</w:t>
            </w:r>
          </w:p>
        </w:tc>
        <w:tc>
          <w:tcPr>
            <w:tcW w:w="1015" w:type="dxa"/>
            <w:shd w:val="clear" w:color="auto" w:fill="auto"/>
            <w:noWrap/>
            <w:vAlign w:val="center"/>
            <w:hideMark/>
          </w:tcPr>
          <w:p w14:paraId="2B567B7B"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130.6</w:t>
            </w:r>
          </w:p>
        </w:tc>
        <w:tc>
          <w:tcPr>
            <w:tcW w:w="1015" w:type="dxa"/>
            <w:shd w:val="clear" w:color="auto" w:fill="auto"/>
            <w:noWrap/>
            <w:vAlign w:val="center"/>
            <w:hideMark/>
          </w:tcPr>
          <w:p w14:paraId="2FCBF4D4"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12.2</w:t>
            </w:r>
          </w:p>
        </w:tc>
      </w:tr>
      <w:tr w:rsidR="0073362F" w:rsidRPr="00A734E4" w14:paraId="5B6A1F7B" w14:textId="77777777" w:rsidTr="001040C7">
        <w:trPr>
          <w:trHeight w:val="315"/>
          <w:jc w:val="center"/>
        </w:trPr>
        <w:tc>
          <w:tcPr>
            <w:tcW w:w="1325" w:type="dxa"/>
            <w:vMerge w:val="restart"/>
            <w:shd w:val="clear" w:color="auto" w:fill="auto"/>
            <w:vAlign w:val="center"/>
            <w:hideMark/>
          </w:tcPr>
          <w:p w14:paraId="3BCAEF05" w14:textId="77777777" w:rsidR="0073362F" w:rsidRDefault="0073362F" w:rsidP="001040C7">
            <w:pPr>
              <w:spacing w:after="0" w:line="240" w:lineRule="auto"/>
              <w:rPr>
                <w:rFonts w:cstheme="minorHAnsi"/>
                <w:bCs/>
                <w:color w:val="000000"/>
                <w:sz w:val="18"/>
                <w:szCs w:val="18"/>
              </w:rPr>
            </w:pPr>
            <w:r>
              <w:rPr>
                <w:rFonts w:cstheme="minorHAnsi"/>
                <w:bCs/>
                <w:color w:val="000000"/>
                <w:sz w:val="18"/>
                <w:szCs w:val="18"/>
              </w:rPr>
              <w:t>M</w:t>
            </w:r>
            <w:r w:rsidRPr="00A734E4">
              <w:rPr>
                <w:rFonts w:cstheme="minorHAnsi"/>
                <w:bCs/>
                <w:color w:val="000000"/>
                <w:sz w:val="18"/>
                <w:szCs w:val="18"/>
              </w:rPr>
              <w:t>acroalgal percent cover</w:t>
            </w:r>
          </w:p>
          <w:p w14:paraId="734079EA" w14:textId="77777777" w:rsidR="0073362F" w:rsidRPr="00A734E4" w:rsidRDefault="0073362F" w:rsidP="001040C7">
            <w:pPr>
              <w:spacing w:after="0" w:line="240" w:lineRule="auto"/>
              <w:rPr>
                <w:rFonts w:cstheme="minorHAnsi"/>
                <w:bCs/>
                <w:color w:val="000000"/>
                <w:sz w:val="18"/>
                <w:szCs w:val="18"/>
              </w:rPr>
            </w:pPr>
            <w:r>
              <w:rPr>
                <w:rFonts w:cstheme="minorHAnsi"/>
                <w:bCs/>
                <w:color w:val="000000"/>
                <w:sz w:val="18"/>
                <w:szCs w:val="18"/>
              </w:rPr>
              <w:t>(%)</w:t>
            </w:r>
          </w:p>
        </w:tc>
        <w:tc>
          <w:tcPr>
            <w:tcW w:w="933" w:type="dxa"/>
            <w:shd w:val="clear" w:color="auto" w:fill="auto"/>
            <w:vAlign w:val="center"/>
            <w:hideMark/>
          </w:tcPr>
          <w:p w14:paraId="0B9203D1" w14:textId="77777777" w:rsidR="0073362F" w:rsidRPr="00A734E4" w:rsidRDefault="0073362F" w:rsidP="001040C7">
            <w:pPr>
              <w:spacing w:after="0" w:line="240" w:lineRule="auto"/>
              <w:jc w:val="center"/>
              <w:rPr>
                <w:rFonts w:cstheme="minorHAnsi"/>
                <w:bCs/>
                <w:color w:val="000000"/>
                <w:sz w:val="18"/>
                <w:szCs w:val="18"/>
              </w:rPr>
            </w:pPr>
            <w:r w:rsidRPr="00A734E4">
              <w:rPr>
                <w:rFonts w:cstheme="minorHAnsi"/>
                <w:bCs/>
                <w:color w:val="000000"/>
                <w:sz w:val="18"/>
                <w:szCs w:val="18"/>
              </w:rPr>
              <w:t>Median</w:t>
            </w:r>
          </w:p>
        </w:tc>
        <w:tc>
          <w:tcPr>
            <w:tcW w:w="1014" w:type="dxa"/>
            <w:shd w:val="clear" w:color="auto" w:fill="auto"/>
            <w:noWrap/>
            <w:vAlign w:val="center"/>
            <w:hideMark/>
          </w:tcPr>
          <w:p w14:paraId="7BA91B80"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7.0</w:t>
            </w:r>
          </w:p>
        </w:tc>
        <w:tc>
          <w:tcPr>
            <w:tcW w:w="1015" w:type="dxa"/>
            <w:shd w:val="clear" w:color="auto" w:fill="auto"/>
            <w:noWrap/>
            <w:vAlign w:val="center"/>
            <w:hideMark/>
          </w:tcPr>
          <w:p w14:paraId="2190EEA5"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3.5</w:t>
            </w:r>
          </w:p>
        </w:tc>
        <w:tc>
          <w:tcPr>
            <w:tcW w:w="1014" w:type="dxa"/>
            <w:vMerge w:val="restart"/>
            <w:shd w:val="clear" w:color="auto" w:fill="auto"/>
            <w:vAlign w:val="center"/>
            <w:hideMark/>
          </w:tcPr>
          <w:p w14:paraId="501FEE35"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41.0</w:t>
            </w:r>
          </w:p>
        </w:tc>
        <w:tc>
          <w:tcPr>
            <w:tcW w:w="1015" w:type="dxa"/>
            <w:shd w:val="clear" w:color="auto" w:fill="auto"/>
            <w:noWrap/>
            <w:vAlign w:val="center"/>
            <w:hideMark/>
          </w:tcPr>
          <w:p w14:paraId="74023EEB"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30.5</w:t>
            </w:r>
          </w:p>
        </w:tc>
        <w:tc>
          <w:tcPr>
            <w:tcW w:w="1014" w:type="dxa"/>
            <w:shd w:val="clear" w:color="auto" w:fill="auto"/>
            <w:noWrap/>
            <w:vAlign w:val="center"/>
            <w:hideMark/>
          </w:tcPr>
          <w:p w14:paraId="1534AB25"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5.5</w:t>
            </w:r>
          </w:p>
        </w:tc>
        <w:tc>
          <w:tcPr>
            <w:tcW w:w="1015" w:type="dxa"/>
            <w:shd w:val="clear" w:color="auto" w:fill="auto"/>
            <w:noWrap/>
            <w:vAlign w:val="center"/>
            <w:hideMark/>
          </w:tcPr>
          <w:p w14:paraId="209661F7"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9.5</w:t>
            </w:r>
          </w:p>
        </w:tc>
        <w:tc>
          <w:tcPr>
            <w:tcW w:w="1015" w:type="dxa"/>
            <w:shd w:val="clear" w:color="auto" w:fill="auto"/>
            <w:noWrap/>
            <w:vAlign w:val="center"/>
            <w:hideMark/>
          </w:tcPr>
          <w:p w14:paraId="44390B0F"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7.0</w:t>
            </w:r>
          </w:p>
        </w:tc>
      </w:tr>
      <w:tr w:rsidR="0073362F" w:rsidRPr="00A734E4" w14:paraId="1566DFEE" w14:textId="77777777" w:rsidTr="001040C7">
        <w:trPr>
          <w:trHeight w:val="345"/>
          <w:jc w:val="center"/>
        </w:trPr>
        <w:tc>
          <w:tcPr>
            <w:tcW w:w="1325" w:type="dxa"/>
            <w:vMerge/>
            <w:vAlign w:val="center"/>
            <w:hideMark/>
          </w:tcPr>
          <w:p w14:paraId="11469424" w14:textId="77777777" w:rsidR="0073362F" w:rsidRPr="00A734E4" w:rsidRDefault="0073362F" w:rsidP="001040C7">
            <w:pPr>
              <w:spacing w:after="0" w:line="240" w:lineRule="auto"/>
              <w:jc w:val="center"/>
              <w:rPr>
                <w:rFonts w:cstheme="minorHAnsi"/>
                <w:bCs/>
                <w:color w:val="000000"/>
                <w:sz w:val="18"/>
                <w:szCs w:val="18"/>
              </w:rPr>
            </w:pPr>
          </w:p>
        </w:tc>
        <w:tc>
          <w:tcPr>
            <w:tcW w:w="933" w:type="dxa"/>
            <w:shd w:val="clear" w:color="auto" w:fill="auto"/>
            <w:vAlign w:val="center"/>
            <w:hideMark/>
          </w:tcPr>
          <w:p w14:paraId="5BADF67A" w14:textId="77777777" w:rsidR="0073362F" w:rsidRPr="00A734E4" w:rsidRDefault="0073362F" w:rsidP="001040C7">
            <w:pPr>
              <w:spacing w:after="0" w:line="240" w:lineRule="auto"/>
              <w:jc w:val="center"/>
              <w:rPr>
                <w:rFonts w:cstheme="minorHAnsi"/>
                <w:bCs/>
                <w:color w:val="000000"/>
                <w:sz w:val="18"/>
                <w:szCs w:val="18"/>
              </w:rPr>
            </w:pPr>
            <w:r w:rsidRPr="00A734E4">
              <w:rPr>
                <w:rFonts w:cstheme="minorHAnsi"/>
                <w:bCs/>
                <w:color w:val="000000"/>
                <w:sz w:val="18"/>
                <w:szCs w:val="18"/>
              </w:rPr>
              <w:t>75</w:t>
            </w:r>
            <w:r w:rsidRPr="00A734E4">
              <w:rPr>
                <w:rFonts w:cstheme="minorHAnsi"/>
                <w:bCs/>
                <w:color w:val="000000"/>
                <w:sz w:val="18"/>
                <w:szCs w:val="18"/>
                <w:vertAlign w:val="superscript"/>
              </w:rPr>
              <w:t>th</w:t>
            </w:r>
          </w:p>
        </w:tc>
        <w:tc>
          <w:tcPr>
            <w:tcW w:w="1014" w:type="dxa"/>
            <w:shd w:val="clear" w:color="auto" w:fill="auto"/>
            <w:noWrap/>
            <w:vAlign w:val="center"/>
            <w:hideMark/>
          </w:tcPr>
          <w:p w14:paraId="3BD59883"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22.9</w:t>
            </w:r>
          </w:p>
        </w:tc>
        <w:tc>
          <w:tcPr>
            <w:tcW w:w="1015" w:type="dxa"/>
            <w:shd w:val="clear" w:color="auto" w:fill="auto"/>
            <w:noWrap/>
            <w:vAlign w:val="center"/>
            <w:hideMark/>
          </w:tcPr>
          <w:p w14:paraId="0C48AC8A"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15.9</w:t>
            </w:r>
          </w:p>
        </w:tc>
        <w:tc>
          <w:tcPr>
            <w:tcW w:w="1014" w:type="dxa"/>
            <w:vMerge/>
            <w:vAlign w:val="center"/>
            <w:hideMark/>
          </w:tcPr>
          <w:p w14:paraId="5B0FE088" w14:textId="77777777" w:rsidR="0073362F" w:rsidRPr="00A734E4" w:rsidRDefault="0073362F" w:rsidP="001040C7">
            <w:pPr>
              <w:spacing w:after="0" w:line="240" w:lineRule="auto"/>
              <w:jc w:val="center"/>
              <w:rPr>
                <w:rFonts w:cstheme="minorHAnsi"/>
                <w:color w:val="000000"/>
                <w:sz w:val="18"/>
                <w:szCs w:val="18"/>
              </w:rPr>
            </w:pPr>
          </w:p>
        </w:tc>
        <w:tc>
          <w:tcPr>
            <w:tcW w:w="1015" w:type="dxa"/>
            <w:shd w:val="clear" w:color="auto" w:fill="auto"/>
            <w:noWrap/>
            <w:vAlign w:val="center"/>
            <w:hideMark/>
          </w:tcPr>
          <w:p w14:paraId="0B25964E"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36.8</w:t>
            </w:r>
          </w:p>
        </w:tc>
        <w:tc>
          <w:tcPr>
            <w:tcW w:w="1014" w:type="dxa"/>
            <w:shd w:val="clear" w:color="auto" w:fill="auto"/>
            <w:noWrap/>
            <w:vAlign w:val="center"/>
            <w:hideMark/>
          </w:tcPr>
          <w:p w14:paraId="3C03DA18"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15.0</w:t>
            </w:r>
          </w:p>
        </w:tc>
        <w:tc>
          <w:tcPr>
            <w:tcW w:w="1015" w:type="dxa"/>
            <w:shd w:val="clear" w:color="auto" w:fill="auto"/>
            <w:noWrap/>
            <w:vAlign w:val="center"/>
            <w:hideMark/>
          </w:tcPr>
          <w:p w14:paraId="7AD2A78D"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26.0</w:t>
            </w:r>
          </w:p>
        </w:tc>
        <w:tc>
          <w:tcPr>
            <w:tcW w:w="1015" w:type="dxa"/>
            <w:shd w:val="clear" w:color="auto" w:fill="auto"/>
            <w:noWrap/>
            <w:vAlign w:val="center"/>
            <w:hideMark/>
          </w:tcPr>
          <w:p w14:paraId="7E72CE72"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23.0</w:t>
            </w:r>
          </w:p>
        </w:tc>
      </w:tr>
      <w:tr w:rsidR="0073362F" w:rsidRPr="00A734E4" w14:paraId="62C18274" w14:textId="77777777" w:rsidTr="001040C7">
        <w:trPr>
          <w:trHeight w:val="345"/>
          <w:jc w:val="center"/>
        </w:trPr>
        <w:tc>
          <w:tcPr>
            <w:tcW w:w="1325" w:type="dxa"/>
            <w:vMerge/>
            <w:vAlign w:val="center"/>
            <w:hideMark/>
          </w:tcPr>
          <w:p w14:paraId="26A97252" w14:textId="77777777" w:rsidR="0073362F" w:rsidRPr="00A734E4" w:rsidRDefault="0073362F" w:rsidP="001040C7">
            <w:pPr>
              <w:spacing w:after="0" w:line="240" w:lineRule="auto"/>
              <w:jc w:val="center"/>
              <w:rPr>
                <w:rFonts w:cstheme="minorHAnsi"/>
                <w:bCs/>
                <w:color w:val="000000"/>
                <w:sz w:val="18"/>
                <w:szCs w:val="18"/>
              </w:rPr>
            </w:pPr>
          </w:p>
        </w:tc>
        <w:tc>
          <w:tcPr>
            <w:tcW w:w="933" w:type="dxa"/>
            <w:shd w:val="clear" w:color="auto" w:fill="auto"/>
            <w:vAlign w:val="center"/>
            <w:hideMark/>
          </w:tcPr>
          <w:p w14:paraId="4D938ADB" w14:textId="77777777" w:rsidR="0073362F" w:rsidRPr="00A734E4" w:rsidRDefault="0073362F" w:rsidP="001040C7">
            <w:pPr>
              <w:spacing w:after="0" w:line="240" w:lineRule="auto"/>
              <w:jc w:val="center"/>
              <w:rPr>
                <w:rFonts w:cstheme="minorHAnsi"/>
                <w:bCs/>
                <w:color w:val="000000"/>
                <w:sz w:val="18"/>
                <w:szCs w:val="18"/>
              </w:rPr>
            </w:pPr>
            <w:r w:rsidRPr="00A734E4">
              <w:rPr>
                <w:rFonts w:cstheme="minorHAnsi"/>
                <w:bCs/>
                <w:color w:val="000000"/>
                <w:sz w:val="18"/>
                <w:szCs w:val="18"/>
              </w:rPr>
              <w:t>95</w:t>
            </w:r>
            <w:r w:rsidRPr="00A734E4">
              <w:rPr>
                <w:rFonts w:cstheme="minorHAnsi"/>
                <w:bCs/>
                <w:color w:val="000000"/>
                <w:sz w:val="18"/>
                <w:szCs w:val="18"/>
                <w:vertAlign w:val="superscript"/>
              </w:rPr>
              <w:t>th</w:t>
            </w:r>
          </w:p>
        </w:tc>
        <w:tc>
          <w:tcPr>
            <w:tcW w:w="1014" w:type="dxa"/>
            <w:shd w:val="clear" w:color="auto" w:fill="auto"/>
            <w:noWrap/>
            <w:vAlign w:val="center"/>
            <w:hideMark/>
          </w:tcPr>
          <w:p w14:paraId="3042CFF2"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45.7</w:t>
            </w:r>
          </w:p>
        </w:tc>
        <w:tc>
          <w:tcPr>
            <w:tcW w:w="1015" w:type="dxa"/>
            <w:shd w:val="clear" w:color="auto" w:fill="auto"/>
            <w:noWrap/>
            <w:vAlign w:val="center"/>
            <w:hideMark/>
          </w:tcPr>
          <w:p w14:paraId="0E304F55"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38.9</w:t>
            </w:r>
          </w:p>
        </w:tc>
        <w:tc>
          <w:tcPr>
            <w:tcW w:w="1014" w:type="dxa"/>
            <w:vMerge/>
            <w:vAlign w:val="center"/>
            <w:hideMark/>
          </w:tcPr>
          <w:p w14:paraId="6E60303D" w14:textId="77777777" w:rsidR="0073362F" w:rsidRPr="00A734E4" w:rsidRDefault="0073362F" w:rsidP="001040C7">
            <w:pPr>
              <w:spacing w:after="0" w:line="240" w:lineRule="auto"/>
              <w:jc w:val="center"/>
              <w:rPr>
                <w:rFonts w:cstheme="minorHAnsi"/>
                <w:color w:val="000000"/>
                <w:sz w:val="18"/>
                <w:szCs w:val="18"/>
              </w:rPr>
            </w:pPr>
          </w:p>
        </w:tc>
        <w:tc>
          <w:tcPr>
            <w:tcW w:w="1015" w:type="dxa"/>
            <w:shd w:val="clear" w:color="auto" w:fill="auto"/>
            <w:noWrap/>
            <w:vAlign w:val="center"/>
            <w:hideMark/>
          </w:tcPr>
          <w:p w14:paraId="7B27957C"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55.9</w:t>
            </w:r>
          </w:p>
        </w:tc>
        <w:tc>
          <w:tcPr>
            <w:tcW w:w="1014" w:type="dxa"/>
            <w:shd w:val="clear" w:color="auto" w:fill="auto"/>
            <w:noWrap/>
            <w:vAlign w:val="center"/>
            <w:hideMark/>
          </w:tcPr>
          <w:p w14:paraId="389EA3AB"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36.5</w:t>
            </w:r>
          </w:p>
        </w:tc>
        <w:tc>
          <w:tcPr>
            <w:tcW w:w="1015" w:type="dxa"/>
            <w:shd w:val="clear" w:color="auto" w:fill="auto"/>
            <w:noWrap/>
            <w:vAlign w:val="center"/>
            <w:hideMark/>
          </w:tcPr>
          <w:p w14:paraId="38F9A712"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60.0</w:t>
            </w:r>
          </w:p>
        </w:tc>
        <w:tc>
          <w:tcPr>
            <w:tcW w:w="1015" w:type="dxa"/>
            <w:shd w:val="clear" w:color="auto" w:fill="auto"/>
            <w:noWrap/>
            <w:vAlign w:val="center"/>
            <w:hideMark/>
          </w:tcPr>
          <w:p w14:paraId="5C8B301C" w14:textId="77777777" w:rsidR="0073362F" w:rsidRPr="00A734E4" w:rsidRDefault="0073362F" w:rsidP="001040C7">
            <w:pPr>
              <w:spacing w:after="0" w:line="240" w:lineRule="auto"/>
              <w:jc w:val="center"/>
              <w:rPr>
                <w:rFonts w:cstheme="minorHAnsi"/>
                <w:color w:val="000000"/>
                <w:sz w:val="18"/>
                <w:szCs w:val="18"/>
              </w:rPr>
            </w:pPr>
            <w:r w:rsidRPr="00A734E4">
              <w:rPr>
                <w:rFonts w:cstheme="minorHAnsi"/>
                <w:color w:val="000000"/>
                <w:sz w:val="18"/>
                <w:szCs w:val="18"/>
              </w:rPr>
              <w:t>50.3</w:t>
            </w:r>
          </w:p>
        </w:tc>
      </w:tr>
      <w:tr w:rsidR="0073362F" w:rsidRPr="00A734E4" w14:paraId="78BDE798" w14:textId="77777777" w:rsidTr="001040C7">
        <w:trPr>
          <w:trHeight w:val="345"/>
          <w:jc w:val="center"/>
        </w:trPr>
        <w:tc>
          <w:tcPr>
            <w:tcW w:w="1325" w:type="dxa"/>
            <w:vMerge w:val="restart"/>
            <w:vAlign w:val="center"/>
          </w:tcPr>
          <w:p w14:paraId="34B685A4" w14:textId="77777777" w:rsidR="0073362F" w:rsidRPr="00A734E4" w:rsidRDefault="0073362F" w:rsidP="001040C7">
            <w:pPr>
              <w:spacing w:after="0" w:line="240" w:lineRule="auto"/>
              <w:jc w:val="center"/>
              <w:rPr>
                <w:rFonts w:cstheme="minorHAnsi"/>
                <w:bCs/>
                <w:color w:val="000000"/>
                <w:sz w:val="18"/>
                <w:szCs w:val="18"/>
              </w:rPr>
            </w:pPr>
            <w:r>
              <w:rPr>
                <w:rFonts w:cstheme="minorHAnsi"/>
                <w:bCs/>
                <w:color w:val="000000"/>
                <w:sz w:val="18"/>
                <w:szCs w:val="18"/>
              </w:rPr>
              <w:t>TN (mg/L)</w:t>
            </w:r>
          </w:p>
        </w:tc>
        <w:tc>
          <w:tcPr>
            <w:tcW w:w="933" w:type="dxa"/>
            <w:shd w:val="clear" w:color="auto" w:fill="auto"/>
            <w:vAlign w:val="center"/>
          </w:tcPr>
          <w:p w14:paraId="5931B4D3" w14:textId="77777777" w:rsidR="0073362F" w:rsidRPr="00A734E4" w:rsidRDefault="0073362F" w:rsidP="001040C7">
            <w:pPr>
              <w:spacing w:after="0" w:line="240" w:lineRule="auto"/>
              <w:jc w:val="center"/>
              <w:rPr>
                <w:rFonts w:cstheme="minorHAnsi"/>
                <w:bCs/>
                <w:color w:val="000000"/>
                <w:sz w:val="18"/>
                <w:szCs w:val="18"/>
              </w:rPr>
            </w:pPr>
            <w:r w:rsidRPr="00A734E4">
              <w:rPr>
                <w:rFonts w:cstheme="minorHAnsi"/>
                <w:bCs/>
                <w:color w:val="000000"/>
                <w:sz w:val="18"/>
                <w:szCs w:val="18"/>
              </w:rPr>
              <w:t>Median</w:t>
            </w:r>
          </w:p>
        </w:tc>
        <w:tc>
          <w:tcPr>
            <w:tcW w:w="1014" w:type="dxa"/>
            <w:shd w:val="clear" w:color="auto" w:fill="auto"/>
            <w:noWrap/>
            <w:vAlign w:val="center"/>
          </w:tcPr>
          <w:p w14:paraId="62F2F118" w14:textId="77777777" w:rsidR="0073362F" w:rsidRPr="00A734E4" w:rsidRDefault="0073362F" w:rsidP="001040C7">
            <w:pPr>
              <w:spacing w:after="0" w:line="240" w:lineRule="auto"/>
              <w:jc w:val="center"/>
              <w:rPr>
                <w:rFonts w:cstheme="minorHAnsi"/>
                <w:color w:val="000000"/>
                <w:sz w:val="18"/>
                <w:szCs w:val="18"/>
              </w:rPr>
            </w:pPr>
            <w:r w:rsidRPr="002071BF">
              <w:rPr>
                <w:rFonts w:cstheme="minorHAnsi"/>
                <w:color w:val="000000"/>
                <w:sz w:val="18"/>
                <w:szCs w:val="18"/>
              </w:rPr>
              <w:t>0.091</w:t>
            </w:r>
          </w:p>
        </w:tc>
        <w:tc>
          <w:tcPr>
            <w:tcW w:w="1015" w:type="dxa"/>
            <w:shd w:val="clear" w:color="auto" w:fill="auto"/>
            <w:noWrap/>
            <w:vAlign w:val="center"/>
          </w:tcPr>
          <w:p w14:paraId="1D181BE2" w14:textId="77777777" w:rsidR="0073362F" w:rsidRPr="00A734E4" w:rsidRDefault="0073362F" w:rsidP="001040C7">
            <w:pPr>
              <w:spacing w:after="0" w:line="240" w:lineRule="auto"/>
              <w:jc w:val="center"/>
              <w:rPr>
                <w:rFonts w:cstheme="minorHAnsi"/>
                <w:color w:val="000000"/>
                <w:sz w:val="18"/>
                <w:szCs w:val="18"/>
              </w:rPr>
            </w:pPr>
            <w:r w:rsidRPr="00B53572">
              <w:rPr>
                <w:rFonts w:cstheme="minorHAnsi"/>
                <w:color w:val="000000"/>
                <w:sz w:val="18"/>
                <w:szCs w:val="18"/>
              </w:rPr>
              <w:t>0.090</w:t>
            </w:r>
          </w:p>
        </w:tc>
        <w:tc>
          <w:tcPr>
            <w:tcW w:w="1014" w:type="dxa"/>
            <w:vMerge w:val="restart"/>
            <w:vAlign w:val="center"/>
          </w:tcPr>
          <w:p w14:paraId="40F271BC" w14:textId="77777777" w:rsidR="0073362F" w:rsidRPr="00A734E4" w:rsidRDefault="0073362F" w:rsidP="001040C7">
            <w:pPr>
              <w:spacing w:after="0" w:line="240" w:lineRule="auto"/>
              <w:jc w:val="center"/>
              <w:rPr>
                <w:rFonts w:cstheme="minorHAnsi"/>
                <w:color w:val="000000"/>
                <w:sz w:val="18"/>
                <w:szCs w:val="18"/>
              </w:rPr>
            </w:pPr>
            <w:r w:rsidRPr="00B53572">
              <w:rPr>
                <w:rFonts w:cstheme="minorHAnsi"/>
                <w:color w:val="000000"/>
                <w:sz w:val="18"/>
                <w:szCs w:val="18"/>
              </w:rPr>
              <w:t>0.155</w:t>
            </w:r>
          </w:p>
        </w:tc>
        <w:tc>
          <w:tcPr>
            <w:tcW w:w="1015" w:type="dxa"/>
            <w:shd w:val="clear" w:color="auto" w:fill="auto"/>
            <w:noWrap/>
            <w:vAlign w:val="center"/>
          </w:tcPr>
          <w:p w14:paraId="300221D3" w14:textId="77777777" w:rsidR="0073362F" w:rsidRPr="00A734E4" w:rsidRDefault="0073362F" w:rsidP="001040C7">
            <w:pPr>
              <w:spacing w:after="0" w:line="240" w:lineRule="auto"/>
              <w:jc w:val="center"/>
              <w:rPr>
                <w:rFonts w:cstheme="minorHAnsi"/>
                <w:color w:val="000000"/>
                <w:sz w:val="18"/>
                <w:szCs w:val="18"/>
              </w:rPr>
            </w:pPr>
            <w:r w:rsidRPr="00B53572">
              <w:rPr>
                <w:rFonts w:cstheme="minorHAnsi"/>
                <w:color w:val="000000"/>
                <w:sz w:val="18"/>
                <w:szCs w:val="18"/>
              </w:rPr>
              <w:t>0.223</w:t>
            </w:r>
          </w:p>
        </w:tc>
        <w:tc>
          <w:tcPr>
            <w:tcW w:w="1014" w:type="dxa"/>
            <w:shd w:val="clear" w:color="auto" w:fill="auto"/>
            <w:noWrap/>
            <w:vAlign w:val="center"/>
          </w:tcPr>
          <w:p w14:paraId="5CD85E0A" w14:textId="77777777" w:rsidR="0073362F" w:rsidRPr="00A734E4" w:rsidRDefault="0073362F" w:rsidP="001040C7">
            <w:pPr>
              <w:spacing w:after="0" w:line="240" w:lineRule="auto"/>
              <w:jc w:val="center"/>
              <w:rPr>
                <w:rFonts w:cstheme="minorHAnsi"/>
                <w:color w:val="000000"/>
                <w:sz w:val="18"/>
                <w:szCs w:val="18"/>
              </w:rPr>
            </w:pPr>
            <w:r w:rsidRPr="00B53572">
              <w:rPr>
                <w:rFonts w:cstheme="minorHAnsi"/>
                <w:color w:val="000000"/>
                <w:sz w:val="18"/>
                <w:szCs w:val="18"/>
              </w:rPr>
              <w:t>0.090</w:t>
            </w:r>
          </w:p>
        </w:tc>
        <w:tc>
          <w:tcPr>
            <w:tcW w:w="1015" w:type="dxa"/>
            <w:shd w:val="clear" w:color="auto" w:fill="auto"/>
            <w:noWrap/>
            <w:vAlign w:val="center"/>
          </w:tcPr>
          <w:p w14:paraId="739C7CEC" w14:textId="77777777" w:rsidR="0073362F" w:rsidRPr="00A734E4" w:rsidRDefault="0073362F" w:rsidP="001040C7">
            <w:pPr>
              <w:spacing w:after="0" w:line="240" w:lineRule="auto"/>
              <w:jc w:val="center"/>
              <w:rPr>
                <w:rFonts w:cstheme="minorHAnsi"/>
                <w:color w:val="000000"/>
                <w:sz w:val="18"/>
                <w:szCs w:val="18"/>
              </w:rPr>
            </w:pPr>
            <w:r w:rsidRPr="00B53572">
              <w:rPr>
                <w:rFonts w:cstheme="minorHAnsi"/>
                <w:color w:val="000000"/>
                <w:sz w:val="18"/>
                <w:szCs w:val="18"/>
              </w:rPr>
              <w:t>0.138</w:t>
            </w:r>
          </w:p>
        </w:tc>
        <w:tc>
          <w:tcPr>
            <w:tcW w:w="1015" w:type="dxa"/>
            <w:shd w:val="clear" w:color="auto" w:fill="auto"/>
            <w:noWrap/>
            <w:vAlign w:val="center"/>
          </w:tcPr>
          <w:p w14:paraId="55715B06" w14:textId="77777777" w:rsidR="0073362F" w:rsidRPr="00A734E4" w:rsidRDefault="0073362F" w:rsidP="001040C7">
            <w:pPr>
              <w:spacing w:after="0" w:line="240" w:lineRule="auto"/>
              <w:jc w:val="center"/>
              <w:rPr>
                <w:rFonts w:cstheme="minorHAnsi"/>
                <w:color w:val="000000"/>
                <w:sz w:val="18"/>
                <w:szCs w:val="18"/>
              </w:rPr>
            </w:pPr>
            <w:r w:rsidRPr="00B53572">
              <w:rPr>
                <w:rFonts w:cstheme="minorHAnsi"/>
                <w:color w:val="000000"/>
                <w:sz w:val="18"/>
                <w:szCs w:val="18"/>
              </w:rPr>
              <w:t>0.065</w:t>
            </w:r>
          </w:p>
        </w:tc>
      </w:tr>
      <w:tr w:rsidR="0073362F" w:rsidRPr="00A734E4" w14:paraId="53079C47" w14:textId="77777777" w:rsidTr="001040C7">
        <w:trPr>
          <w:trHeight w:val="345"/>
          <w:jc w:val="center"/>
        </w:trPr>
        <w:tc>
          <w:tcPr>
            <w:tcW w:w="1325" w:type="dxa"/>
            <w:vMerge/>
            <w:vAlign w:val="center"/>
          </w:tcPr>
          <w:p w14:paraId="286A9A12" w14:textId="77777777" w:rsidR="0073362F" w:rsidRPr="00A734E4" w:rsidRDefault="0073362F" w:rsidP="001040C7">
            <w:pPr>
              <w:spacing w:after="0" w:line="240" w:lineRule="auto"/>
              <w:jc w:val="center"/>
              <w:rPr>
                <w:rFonts w:cstheme="minorHAnsi"/>
                <w:bCs/>
                <w:color w:val="000000"/>
                <w:sz w:val="18"/>
                <w:szCs w:val="18"/>
              </w:rPr>
            </w:pPr>
          </w:p>
        </w:tc>
        <w:tc>
          <w:tcPr>
            <w:tcW w:w="933" w:type="dxa"/>
            <w:shd w:val="clear" w:color="auto" w:fill="auto"/>
            <w:vAlign w:val="center"/>
          </w:tcPr>
          <w:p w14:paraId="1CA57517" w14:textId="77777777" w:rsidR="0073362F" w:rsidRPr="00A734E4" w:rsidRDefault="0073362F" w:rsidP="001040C7">
            <w:pPr>
              <w:spacing w:after="0" w:line="240" w:lineRule="auto"/>
              <w:jc w:val="center"/>
              <w:rPr>
                <w:rFonts w:cstheme="minorHAnsi"/>
                <w:bCs/>
                <w:color w:val="000000"/>
                <w:sz w:val="18"/>
                <w:szCs w:val="18"/>
              </w:rPr>
            </w:pPr>
            <w:r w:rsidRPr="00A734E4">
              <w:rPr>
                <w:rFonts w:cstheme="minorHAnsi"/>
                <w:bCs/>
                <w:color w:val="000000"/>
                <w:sz w:val="18"/>
                <w:szCs w:val="18"/>
              </w:rPr>
              <w:t>75</w:t>
            </w:r>
            <w:r w:rsidRPr="00A734E4">
              <w:rPr>
                <w:rFonts w:cstheme="minorHAnsi"/>
                <w:bCs/>
                <w:color w:val="000000"/>
                <w:sz w:val="18"/>
                <w:szCs w:val="18"/>
                <w:vertAlign w:val="superscript"/>
              </w:rPr>
              <w:t>th</w:t>
            </w:r>
          </w:p>
        </w:tc>
        <w:tc>
          <w:tcPr>
            <w:tcW w:w="1014" w:type="dxa"/>
            <w:shd w:val="clear" w:color="auto" w:fill="auto"/>
            <w:noWrap/>
            <w:vAlign w:val="center"/>
          </w:tcPr>
          <w:p w14:paraId="1289B0F3" w14:textId="77777777" w:rsidR="0073362F" w:rsidRPr="00A734E4" w:rsidRDefault="0073362F" w:rsidP="001040C7">
            <w:pPr>
              <w:spacing w:after="0" w:line="240" w:lineRule="auto"/>
              <w:jc w:val="center"/>
              <w:rPr>
                <w:rFonts w:cstheme="minorHAnsi"/>
                <w:color w:val="000000"/>
                <w:sz w:val="18"/>
                <w:szCs w:val="18"/>
              </w:rPr>
            </w:pPr>
            <w:r w:rsidRPr="002071BF">
              <w:rPr>
                <w:rFonts w:cstheme="minorHAnsi"/>
                <w:color w:val="000000"/>
                <w:sz w:val="18"/>
                <w:szCs w:val="18"/>
              </w:rPr>
              <w:t>0.161</w:t>
            </w:r>
          </w:p>
        </w:tc>
        <w:tc>
          <w:tcPr>
            <w:tcW w:w="1015" w:type="dxa"/>
            <w:shd w:val="clear" w:color="auto" w:fill="auto"/>
            <w:noWrap/>
            <w:vAlign w:val="center"/>
          </w:tcPr>
          <w:p w14:paraId="47561997" w14:textId="77777777" w:rsidR="0073362F" w:rsidRPr="00A734E4" w:rsidRDefault="0073362F" w:rsidP="001040C7">
            <w:pPr>
              <w:spacing w:after="0" w:line="240" w:lineRule="auto"/>
              <w:jc w:val="center"/>
              <w:rPr>
                <w:rFonts w:cstheme="minorHAnsi"/>
                <w:color w:val="000000"/>
                <w:sz w:val="18"/>
                <w:szCs w:val="18"/>
              </w:rPr>
            </w:pPr>
            <w:r w:rsidRPr="00B53572">
              <w:rPr>
                <w:rFonts w:cstheme="minorHAnsi"/>
                <w:color w:val="000000"/>
                <w:sz w:val="18"/>
                <w:szCs w:val="18"/>
              </w:rPr>
              <w:t>0.144</w:t>
            </w:r>
          </w:p>
        </w:tc>
        <w:tc>
          <w:tcPr>
            <w:tcW w:w="1014" w:type="dxa"/>
            <w:vMerge/>
            <w:vAlign w:val="center"/>
          </w:tcPr>
          <w:p w14:paraId="4D20A25A" w14:textId="77777777" w:rsidR="0073362F" w:rsidRPr="00A734E4" w:rsidRDefault="0073362F" w:rsidP="001040C7">
            <w:pPr>
              <w:spacing w:after="0" w:line="240" w:lineRule="auto"/>
              <w:jc w:val="center"/>
              <w:rPr>
                <w:rFonts w:cstheme="minorHAnsi"/>
                <w:color w:val="000000"/>
                <w:sz w:val="18"/>
                <w:szCs w:val="18"/>
              </w:rPr>
            </w:pPr>
          </w:p>
        </w:tc>
        <w:tc>
          <w:tcPr>
            <w:tcW w:w="1015" w:type="dxa"/>
            <w:shd w:val="clear" w:color="auto" w:fill="auto"/>
            <w:noWrap/>
            <w:vAlign w:val="center"/>
          </w:tcPr>
          <w:p w14:paraId="78013121" w14:textId="77777777" w:rsidR="0073362F" w:rsidRPr="00A734E4" w:rsidRDefault="0073362F" w:rsidP="001040C7">
            <w:pPr>
              <w:spacing w:after="0" w:line="240" w:lineRule="auto"/>
              <w:jc w:val="center"/>
              <w:rPr>
                <w:rFonts w:cstheme="minorHAnsi"/>
                <w:color w:val="000000"/>
                <w:sz w:val="18"/>
                <w:szCs w:val="18"/>
              </w:rPr>
            </w:pPr>
            <w:r w:rsidRPr="00B53572">
              <w:rPr>
                <w:rFonts w:cstheme="minorHAnsi"/>
                <w:color w:val="000000"/>
                <w:sz w:val="18"/>
                <w:szCs w:val="18"/>
              </w:rPr>
              <w:t>0.281</w:t>
            </w:r>
          </w:p>
        </w:tc>
        <w:tc>
          <w:tcPr>
            <w:tcW w:w="1014" w:type="dxa"/>
            <w:shd w:val="clear" w:color="auto" w:fill="auto"/>
            <w:noWrap/>
            <w:vAlign w:val="center"/>
          </w:tcPr>
          <w:p w14:paraId="60C6C868" w14:textId="77777777" w:rsidR="0073362F" w:rsidRPr="00A734E4" w:rsidRDefault="0073362F" w:rsidP="001040C7">
            <w:pPr>
              <w:spacing w:after="0" w:line="240" w:lineRule="auto"/>
              <w:jc w:val="center"/>
              <w:rPr>
                <w:rFonts w:cstheme="minorHAnsi"/>
                <w:color w:val="000000"/>
                <w:sz w:val="18"/>
                <w:szCs w:val="18"/>
              </w:rPr>
            </w:pPr>
            <w:r w:rsidRPr="00B53572">
              <w:rPr>
                <w:rFonts w:cstheme="minorHAnsi"/>
                <w:color w:val="000000"/>
                <w:sz w:val="18"/>
                <w:szCs w:val="18"/>
              </w:rPr>
              <w:t>0.117</w:t>
            </w:r>
          </w:p>
        </w:tc>
        <w:tc>
          <w:tcPr>
            <w:tcW w:w="1015" w:type="dxa"/>
            <w:shd w:val="clear" w:color="auto" w:fill="auto"/>
            <w:noWrap/>
            <w:vAlign w:val="center"/>
          </w:tcPr>
          <w:p w14:paraId="45031CB7" w14:textId="77777777" w:rsidR="0073362F" w:rsidRPr="00A734E4" w:rsidRDefault="0073362F" w:rsidP="001040C7">
            <w:pPr>
              <w:spacing w:after="0" w:line="240" w:lineRule="auto"/>
              <w:jc w:val="center"/>
              <w:rPr>
                <w:rFonts w:cstheme="minorHAnsi"/>
                <w:color w:val="000000"/>
                <w:sz w:val="18"/>
                <w:szCs w:val="18"/>
              </w:rPr>
            </w:pPr>
            <w:r w:rsidRPr="00B53572">
              <w:rPr>
                <w:rFonts w:cstheme="minorHAnsi"/>
                <w:color w:val="000000"/>
                <w:sz w:val="18"/>
                <w:szCs w:val="18"/>
              </w:rPr>
              <w:t>0.308</w:t>
            </w:r>
          </w:p>
        </w:tc>
        <w:tc>
          <w:tcPr>
            <w:tcW w:w="1015" w:type="dxa"/>
            <w:shd w:val="clear" w:color="auto" w:fill="auto"/>
            <w:noWrap/>
            <w:vAlign w:val="center"/>
          </w:tcPr>
          <w:p w14:paraId="237177A4" w14:textId="77777777" w:rsidR="0073362F" w:rsidRPr="00A734E4" w:rsidRDefault="0073362F" w:rsidP="001040C7">
            <w:pPr>
              <w:spacing w:after="0" w:line="240" w:lineRule="auto"/>
              <w:jc w:val="center"/>
              <w:rPr>
                <w:rFonts w:cstheme="minorHAnsi"/>
                <w:color w:val="000000"/>
                <w:sz w:val="18"/>
                <w:szCs w:val="18"/>
              </w:rPr>
            </w:pPr>
            <w:r w:rsidRPr="00B53572">
              <w:rPr>
                <w:rFonts w:cstheme="minorHAnsi"/>
                <w:color w:val="000000"/>
                <w:sz w:val="18"/>
                <w:szCs w:val="18"/>
              </w:rPr>
              <w:t>0.100</w:t>
            </w:r>
          </w:p>
        </w:tc>
      </w:tr>
      <w:tr w:rsidR="0073362F" w:rsidRPr="00A734E4" w14:paraId="5DAE9CBA" w14:textId="77777777" w:rsidTr="001040C7">
        <w:trPr>
          <w:trHeight w:val="345"/>
          <w:jc w:val="center"/>
        </w:trPr>
        <w:tc>
          <w:tcPr>
            <w:tcW w:w="1325" w:type="dxa"/>
            <w:vMerge/>
            <w:vAlign w:val="center"/>
          </w:tcPr>
          <w:p w14:paraId="6603377E" w14:textId="77777777" w:rsidR="0073362F" w:rsidRDefault="0073362F" w:rsidP="001040C7">
            <w:pPr>
              <w:spacing w:after="0" w:line="240" w:lineRule="auto"/>
              <w:jc w:val="center"/>
              <w:rPr>
                <w:rFonts w:cstheme="minorHAnsi"/>
                <w:bCs/>
                <w:color w:val="000000"/>
                <w:sz w:val="18"/>
                <w:szCs w:val="18"/>
              </w:rPr>
            </w:pPr>
          </w:p>
        </w:tc>
        <w:tc>
          <w:tcPr>
            <w:tcW w:w="933" w:type="dxa"/>
            <w:shd w:val="clear" w:color="auto" w:fill="auto"/>
            <w:vAlign w:val="center"/>
          </w:tcPr>
          <w:p w14:paraId="2474C59A" w14:textId="77777777" w:rsidR="0073362F" w:rsidRPr="00A734E4" w:rsidRDefault="0073362F" w:rsidP="001040C7">
            <w:pPr>
              <w:spacing w:after="0" w:line="240" w:lineRule="auto"/>
              <w:jc w:val="center"/>
              <w:rPr>
                <w:rFonts w:cstheme="minorHAnsi"/>
                <w:bCs/>
                <w:color w:val="000000"/>
                <w:sz w:val="18"/>
                <w:szCs w:val="18"/>
              </w:rPr>
            </w:pPr>
            <w:r w:rsidRPr="00A734E4">
              <w:rPr>
                <w:rFonts w:cstheme="minorHAnsi"/>
                <w:bCs/>
                <w:color w:val="000000"/>
                <w:sz w:val="18"/>
                <w:szCs w:val="18"/>
              </w:rPr>
              <w:t>95</w:t>
            </w:r>
            <w:r w:rsidRPr="00A734E4">
              <w:rPr>
                <w:rFonts w:cstheme="minorHAnsi"/>
                <w:bCs/>
                <w:color w:val="000000"/>
                <w:sz w:val="18"/>
                <w:szCs w:val="18"/>
                <w:vertAlign w:val="superscript"/>
              </w:rPr>
              <w:t>th</w:t>
            </w:r>
          </w:p>
        </w:tc>
        <w:tc>
          <w:tcPr>
            <w:tcW w:w="1014" w:type="dxa"/>
            <w:shd w:val="clear" w:color="auto" w:fill="auto"/>
            <w:noWrap/>
            <w:vAlign w:val="center"/>
          </w:tcPr>
          <w:p w14:paraId="2ECD5CD8" w14:textId="77777777" w:rsidR="0073362F" w:rsidRPr="00A734E4" w:rsidRDefault="0073362F" w:rsidP="001040C7">
            <w:pPr>
              <w:spacing w:after="0" w:line="240" w:lineRule="auto"/>
              <w:jc w:val="center"/>
              <w:rPr>
                <w:rFonts w:cstheme="minorHAnsi"/>
                <w:color w:val="000000"/>
                <w:sz w:val="18"/>
                <w:szCs w:val="18"/>
              </w:rPr>
            </w:pPr>
            <w:r w:rsidRPr="002071BF">
              <w:rPr>
                <w:rFonts w:cstheme="minorHAnsi"/>
                <w:color w:val="000000"/>
                <w:sz w:val="18"/>
                <w:szCs w:val="18"/>
              </w:rPr>
              <w:t>0.462</w:t>
            </w:r>
          </w:p>
        </w:tc>
        <w:tc>
          <w:tcPr>
            <w:tcW w:w="1015" w:type="dxa"/>
            <w:shd w:val="clear" w:color="auto" w:fill="auto"/>
            <w:noWrap/>
            <w:vAlign w:val="center"/>
          </w:tcPr>
          <w:p w14:paraId="176F9147" w14:textId="77777777" w:rsidR="0073362F" w:rsidRPr="00A734E4" w:rsidRDefault="0073362F" w:rsidP="001040C7">
            <w:pPr>
              <w:spacing w:after="0" w:line="240" w:lineRule="auto"/>
              <w:jc w:val="center"/>
              <w:rPr>
                <w:rFonts w:cstheme="minorHAnsi"/>
                <w:color w:val="000000"/>
                <w:sz w:val="18"/>
                <w:szCs w:val="18"/>
              </w:rPr>
            </w:pPr>
            <w:r w:rsidRPr="00B53572">
              <w:rPr>
                <w:rFonts w:cstheme="minorHAnsi"/>
                <w:color w:val="000000"/>
                <w:sz w:val="18"/>
                <w:szCs w:val="18"/>
              </w:rPr>
              <w:t>0.264</w:t>
            </w:r>
          </w:p>
        </w:tc>
        <w:tc>
          <w:tcPr>
            <w:tcW w:w="1014" w:type="dxa"/>
            <w:vMerge/>
            <w:vAlign w:val="center"/>
          </w:tcPr>
          <w:p w14:paraId="2E251D39" w14:textId="77777777" w:rsidR="0073362F" w:rsidRPr="00A734E4" w:rsidRDefault="0073362F" w:rsidP="001040C7">
            <w:pPr>
              <w:spacing w:after="0" w:line="240" w:lineRule="auto"/>
              <w:jc w:val="center"/>
              <w:rPr>
                <w:rFonts w:cstheme="minorHAnsi"/>
                <w:color w:val="000000"/>
                <w:sz w:val="18"/>
                <w:szCs w:val="18"/>
              </w:rPr>
            </w:pPr>
          </w:p>
        </w:tc>
        <w:tc>
          <w:tcPr>
            <w:tcW w:w="1015" w:type="dxa"/>
            <w:shd w:val="clear" w:color="auto" w:fill="auto"/>
            <w:noWrap/>
            <w:vAlign w:val="center"/>
          </w:tcPr>
          <w:p w14:paraId="60DED1AC" w14:textId="77777777" w:rsidR="0073362F" w:rsidRPr="00A734E4" w:rsidRDefault="0073362F" w:rsidP="001040C7">
            <w:pPr>
              <w:spacing w:after="0" w:line="240" w:lineRule="auto"/>
              <w:jc w:val="center"/>
              <w:rPr>
                <w:rFonts w:cstheme="minorHAnsi"/>
                <w:color w:val="000000"/>
                <w:sz w:val="18"/>
                <w:szCs w:val="18"/>
              </w:rPr>
            </w:pPr>
            <w:r w:rsidRPr="00B53572">
              <w:rPr>
                <w:rFonts w:cstheme="minorHAnsi"/>
                <w:color w:val="000000"/>
                <w:sz w:val="18"/>
                <w:szCs w:val="18"/>
              </w:rPr>
              <w:t>0.467</w:t>
            </w:r>
          </w:p>
        </w:tc>
        <w:tc>
          <w:tcPr>
            <w:tcW w:w="1014" w:type="dxa"/>
            <w:shd w:val="clear" w:color="auto" w:fill="auto"/>
            <w:noWrap/>
            <w:vAlign w:val="center"/>
          </w:tcPr>
          <w:p w14:paraId="5F1E95A4" w14:textId="77777777" w:rsidR="0073362F" w:rsidRPr="00A734E4" w:rsidRDefault="0073362F" w:rsidP="001040C7">
            <w:pPr>
              <w:spacing w:after="0" w:line="240" w:lineRule="auto"/>
              <w:jc w:val="center"/>
              <w:rPr>
                <w:rFonts w:cstheme="minorHAnsi"/>
                <w:color w:val="000000"/>
                <w:sz w:val="18"/>
                <w:szCs w:val="18"/>
              </w:rPr>
            </w:pPr>
            <w:r w:rsidRPr="00B53572">
              <w:rPr>
                <w:rFonts w:cstheme="minorHAnsi"/>
                <w:color w:val="000000"/>
                <w:sz w:val="18"/>
                <w:szCs w:val="18"/>
              </w:rPr>
              <w:t>0.212</w:t>
            </w:r>
          </w:p>
        </w:tc>
        <w:tc>
          <w:tcPr>
            <w:tcW w:w="1015" w:type="dxa"/>
            <w:shd w:val="clear" w:color="auto" w:fill="auto"/>
            <w:noWrap/>
            <w:vAlign w:val="center"/>
          </w:tcPr>
          <w:p w14:paraId="335F8C78" w14:textId="77777777" w:rsidR="0073362F" w:rsidRPr="00A734E4" w:rsidRDefault="0073362F" w:rsidP="001040C7">
            <w:pPr>
              <w:spacing w:after="0" w:line="240" w:lineRule="auto"/>
              <w:jc w:val="center"/>
              <w:rPr>
                <w:rFonts w:cstheme="minorHAnsi"/>
                <w:color w:val="000000"/>
                <w:sz w:val="18"/>
                <w:szCs w:val="18"/>
              </w:rPr>
            </w:pPr>
            <w:r w:rsidRPr="00B53572">
              <w:rPr>
                <w:rFonts w:cstheme="minorHAnsi"/>
                <w:color w:val="000000"/>
                <w:sz w:val="18"/>
                <w:szCs w:val="18"/>
              </w:rPr>
              <w:t>0.925</w:t>
            </w:r>
          </w:p>
        </w:tc>
        <w:tc>
          <w:tcPr>
            <w:tcW w:w="1015" w:type="dxa"/>
            <w:shd w:val="clear" w:color="auto" w:fill="auto"/>
            <w:noWrap/>
            <w:vAlign w:val="center"/>
          </w:tcPr>
          <w:p w14:paraId="739CB3E7" w14:textId="77777777" w:rsidR="0073362F" w:rsidRPr="00A734E4" w:rsidRDefault="0073362F" w:rsidP="001040C7">
            <w:pPr>
              <w:spacing w:after="0" w:line="240" w:lineRule="auto"/>
              <w:jc w:val="center"/>
              <w:rPr>
                <w:rFonts w:cstheme="minorHAnsi"/>
                <w:color w:val="000000"/>
                <w:sz w:val="18"/>
                <w:szCs w:val="18"/>
              </w:rPr>
            </w:pPr>
            <w:r w:rsidRPr="00B53572">
              <w:rPr>
                <w:rFonts w:cstheme="minorHAnsi"/>
                <w:color w:val="000000"/>
                <w:sz w:val="18"/>
                <w:szCs w:val="18"/>
              </w:rPr>
              <w:t>0.185</w:t>
            </w:r>
          </w:p>
        </w:tc>
      </w:tr>
      <w:tr w:rsidR="0073362F" w:rsidRPr="00A734E4" w14:paraId="40CE4D6A" w14:textId="77777777" w:rsidTr="001040C7">
        <w:trPr>
          <w:trHeight w:val="345"/>
          <w:jc w:val="center"/>
        </w:trPr>
        <w:tc>
          <w:tcPr>
            <w:tcW w:w="1325" w:type="dxa"/>
            <w:vMerge w:val="restart"/>
            <w:vAlign w:val="center"/>
          </w:tcPr>
          <w:p w14:paraId="0EBF767F" w14:textId="77777777" w:rsidR="0073362F" w:rsidRDefault="0073362F" w:rsidP="001040C7">
            <w:pPr>
              <w:spacing w:after="0" w:line="240" w:lineRule="auto"/>
              <w:jc w:val="center"/>
              <w:rPr>
                <w:rFonts w:cstheme="minorHAnsi"/>
                <w:bCs/>
                <w:color w:val="000000"/>
                <w:sz w:val="18"/>
                <w:szCs w:val="18"/>
              </w:rPr>
            </w:pPr>
            <w:r>
              <w:rPr>
                <w:rFonts w:cstheme="minorHAnsi"/>
                <w:bCs/>
                <w:color w:val="000000"/>
                <w:sz w:val="18"/>
                <w:szCs w:val="18"/>
              </w:rPr>
              <w:t>TP (mg/L)</w:t>
            </w:r>
          </w:p>
        </w:tc>
        <w:tc>
          <w:tcPr>
            <w:tcW w:w="933" w:type="dxa"/>
            <w:shd w:val="clear" w:color="auto" w:fill="auto"/>
            <w:vAlign w:val="center"/>
          </w:tcPr>
          <w:p w14:paraId="6231A154" w14:textId="77777777" w:rsidR="0073362F" w:rsidRPr="00A734E4" w:rsidRDefault="0073362F" w:rsidP="001040C7">
            <w:pPr>
              <w:spacing w:after="0" w:line="240" w:lineRule="auto"/>
              <w:jc w:val="center"/>
              <w:rPr>
                <w:rFonts w:cstheme="minorHAnsi"/>
                <w:bCs/>
                <w:color w:val="000000"/>
                <w:sz w:val="18"/>
                <w:szCs w:val="18"/>
              </w:rPr>
            </w:pPr>
            <w:r w:rsidRPr="00A734E4">
              <w:rPr>
                <w:rFonts w:cstheme="minorHAnsi"/>
                <w:bCs/>
                <w:color w:val="000000"/>
                <w:sz w:val="18"/>
                <w:szCs w:val="18"/>
              </w:rPr>
              <w:t>Median</w:t>
            </w:r>
          </w:p>
        </w:tc>
        <w:tc>
          <w:tcPr>
            <w:tcW w:w="1014" w:type="dxa"/>
            <w:shd w:val="clear" w:color="auto" w:fill="auto"/>
            <w:noWrap/>
            <w:vAlign w:val="center"/>
          </w:tcPr>
          <w:p w14:paraId="25070063" w14:textId="77777777" w:rsidR="0073362F" w:rsidRPr="00A734E4" w:rsidRDefault="0073362F" w:rsidP="001040C7">
            <w:pPr>
              <w:spacing w:after="0" w:line="240" w:lineRule="auto"/>
              <w:jc w:val="center"/>
              <w:rPr>
                <w:rFonts w:cstheme="minorHAnsi"/>
                <w:color w:val="000000"/>
                <w:sz w:val="18"/>
                <w:szCs w:val="18"/>
              </w:rPr>
            </w:pPr>
            <w:r w:rsidRPr="002071BF">
              <w:rPr>
                <w:rFonts w:cstheme="minorHAnsi"/>
                <w:color w:val="000000"/>
                <w:sz w:val="18"/>
                <w:szCs w:val="18"/>
              </w:rPr>
              <w:t>0.019</w:t>
            </w:r>
          </w:p>
        </w:tc>
        <w:tc>
          <w:tcPr>
            <w:tcW w:w="1015" w:type="dxa"/>
            <w:shd w:val="clear" w:color="auto" w:fill="auto"/>
            <w:noWrap/>
            <w:vAlign w:val="center"/>
          </w:tcPr>
          <w:p w14:paraId="18A6ACE2" w14:textId="77777777" w:rsidR="0073362F" w:rsidRPr="00A734E4" w:rsidRDefault="0073362F" w:rsidP="001040C7">
            <w:pPr>
              <w:spacing w:after="0" w:line="240" w:lineRule="auto"/>
              <w:jc w:val="center"/>
              <w:rPr>
                <w:rFonts w:cstheme="minorHAnsi"/>
                <w:color w:val="000000"/>
                <w:sz w:val="18"/>
                <w:szCs w:val="18"/>
              </w:rPr>
            </w:pPr>
            <w:r w:rsidRPr="007B3331">
              <w:rPr>
                <w:rFonts w:cstheme="minorHAnsi"/>
                <w:color w:val="000000"/>
                <w:sz w:val="18"/>
                <w:szCs w:val="18"/>
              </w:rPr>
              <w:t>0.022</w:t>
            </w:r>
          </w:p>
        </w:tc>
        <w:tc>
          <w:tcPr>
            <w:tcW w:w="1014" w:type="dxa"/>
            <w:vMerge w:val="restart"/>
            <w:vAlign w:val="center"/>
          </w:tcPr>
          <w:p w14:paraId="4D43288D" w14:textId="77777777" w:rsidR="0073362F" w:rsidRPr="00A734E4" w:rsidRDefault="0073362F" w:rsidP="001040C7">
            <w:pPr>
              <w:spacing w:after="0" w:line="240" w:lineRule="auto"/>
              <w:jc w:val="center"/>
              <w:rPr>
                <w:rFonts w:cstheme="minorHAnsi"/>
                <w:color w:val="000000"/>
                <w:sz w:val="18"/>
                <w:szCs w:val="18"/>
              </w:rPr>
            </w:pPr>
            <w:r w:rsidRPr="007B3331">
              <w:rPr>
                <w:rFonts w:cstheme="minorHAnsi"/>
                <w:color w:val="000000"/>
                <w:sz w:val="18"/>
                <w:szCs w:val="18"/>
              </w:rPr>
              <w:t>0.027</w:t>
            </w:r>
          </w:p>
        </w:tc>
        <w:tc>
          <w:tcPr>
            <w:tcW w:w="1015" w:type="dxa"/>
            <w:shd w:val="clear" w:color="auto" w:fill="auto"/>
            <w:noWrap/>
            <w:vAlign w:val="center"/>
          </w:tcPr>
          <w:p w14:paraId="247789E2" w14:textId="77777777" w:rsidR="0073362F" w:rsidRPr="00A734E4" w:rsidRDefault="0073362F" w:rsidP="001040C7">
            <w:pPr>
              <w:spacing w:after="0" w:line="240" w:lineRule="auto"/>
              <w:jc w:val="center"/>
              <w:rPr>
                <w:rFonts w:cstheme="minorHAnsi"/>
                <w:color w:val="000000"/>
                <w:sz w:val="18"/>
                <w:szCs w:val="18"/>
              </w:rPr>
            </w:pPr>
            <w:r w:rsidRPr="007B3331">
              <w:rPr>
                <w:rFonts w:cstheme="minorHAnsi"/>
                <w:color w:val="000000"/>
                <w:sz w:val="18"/>
                <w:szCs w:val="18"/>
              </w:rPr>
              <w:t>0.02</w:t>
            </w:r>
            <w:r>
              <w:rPr>
                <w:rFonts w:cstheme="minorHAnsi"/>
                <w:color w:val="000000"/>
                <w:sz w:val="18"/>
                <w:szCs w:val="18"/>
              </w:rPr>
              <w:t>7</w:t>
            </w:r>
          </w:p>
        </w:tc>
        <w:tc>
          <w:tcPr>
            <w:tcW w:w="1014" w:type="dxa"/>
            <w:shd w:val="clear" w:color="auto" w:fill="auto"/>
            <w:noWrap/>
            <w:vAlign w:val="center"/>
          </w:tcPr>
          <w:p w14:paraId="18F162B8" w14:textId="77777777" w:rsidR="0073362F" w:rsidRPr="00A734E4" w:rsidRDefault="0073362F" w:rsidP="001040C7">
            <w:pPr>
              <w:spacing w:after="0" w:line="240" w:lineRule="auto"/>
              <w:jc w:val="center"/>
              <w:rPr>
                <w:rFonts w:cstheme="minorHAnsi"/>
                <w:color w:val="000000"/>
                <w:sz w:val="18"/>
                <w:szCs w:val="18"/>
              </w:rPr>
            </w:pPr>
            <w:r w:rsidRPr="007B3331">
              <w:rPr>
                <w:rFonts w:cstheme="minorHAnsi"/>
                <w:color w:val="000000"/>
                <w:sz w:val="18"/>
                <w:szCs w:val="18"/>
              </w:rPr>
              <w:t>0.016</w:t>
            </w:r>
          </w:p>
        </w:tc>
        <w:tc>
          <w:tcPr>
            <w:tcW w:w="1015" w:type="dxa"/>
            <w:shd w:val="clear" w:color="auto" w:fill="auto"/>
            <w:noWrap/>
            <w:vAlign w:val="center"/>
          </w:tcPr>
          <w:p w14:paraId="7F64E87C" w14:textId="77777777" w:rsidR="0073362F" w:rsidRPr="00A734E4" w:rsidRDefault="0073362F" w:rsidP="001040C7">
            <w:pPr>
              <w:spacing w:after="0" w:line="240" w:lineRule="auto"/>
              <w:jc w:val="center"/>
              <w:rPr>
                <w:rFonts w:cstheme="minorHAnsi"/>
                <w:color w:val="000000"/>
                <w:sz w:val="18"/>
                <w:szCs w:val="18"/>
              </w:rPr>
            </w:pPr>
            <w:r w:rsidRPr="007B3331">
              <w:rPr>
                <w:rFonts w:cstheme="minorHAnsi"/>
                <w:color w:val="000000"/>
                <w:sz w:val="18"/>
                <w:szCs w:val="18"/>
              </w:rPr>
              <w:t>0.018</w:t>
            </w:r>
          </w:p>
        </w:tc>
        <w:tc>
          <w:tcPr>
            <w:tcW w:w="1015" w:type="dxa"/>
            <w:shd w:val="clear" w:color="auto" w:fill="auto"/>
            <w:noWrap/>
            <w:vAlign w:val="center"/>
          </w:tcPr>
          <w:p w14:paraId="5D37CD5D" w14:textId="77777777" w:rsidR="0073362F" w:rsidRPr="00A734E4" w:rsidRDefault="0073362F" w:rsidP="001040C7">
            <w:pPr>
              <w:spacing w:after="0" w:line="240" w:lineRule="auto"/>
              <w:jc w:val="center"/>
              <w:rPr>
                <w:rFonts w:cstheme="minorHAnsi"/>
                <w:color w:val="000000"/>
                <w:sz w:val="18"/>
                <w:szCs w:val="18"/>
              </w:rPr>
            </w:pPr>
            <w:r w:rsidRPr="007B3331">
              <w:rPr>
                <w:rFonts w:cstheme="minorHAnsi"/>
                <w:color w:val="000000"/>
                <w:sz w:val="18"/>
                <w:szCs w:val="18"/>
              </w:rPr>
              <w:t>0.021</w:t>
            </w:r>
          </w:p>
        </w:tc>
      </w:tr>
      <w:tr w:rsidR="0073362F" w:rsidRPr="00A734E4" w14:paraId="17881F64" w14:textId="77777777" w:rsidTr="001040C7">
        <w:trPr>
          <w:trHeight w:val="345"/>
          <w:jc w:val="center"/>
        </w:trPr>
        <w:tc>
          <w:tcPr>
            <w:tcW w:w="1325" w:type="dxa"/>
            <w:vMerge/>
            <w:vAlign w:val="center"/>
          </w:tcPr>
          <w:p w14:paraId="457CB32D" w14:textId="77777777" w:rsidR="0073362F" w:rsidRPr="00A734E4" w:rsidRDefault="0073362F" w:rsidP="001040C7">
            <w:pPr>
              <w:spacing w:after="0" w:line="240" w:lineRule="auto"/>
              <w:jc w:val="center"/>
              <w:rPr>
                <w:rFonts w:cstheme="minorHAnsi"/>
                <w:bCs/>
                <w:color w:val="000000"/>
                <w:sz w:val="18"/>
                <w:szCs w:val="18"/>
              </w:rPr>
            </w:pPr>
          </w:p>
        </w:tc>
        <w:tc>
          <w:tcPr>
            <w:tcW w:w="933" w:type="dxa"/>
            <w:shd w:val="clear" w:color="auto" w:fill="auto"/>
            <w:vAlign w:val="center"/>
          </w:tcPr>
          <w:p w14:paraId="5BF28CC1" w14:textId="77777777" w:rsidR="0073362F" w:rsidRPr="00A734E4" w:rsidRDefault="0073362F" w:rsidP="001040C7">
            <w:pPr>
              <w:spacing w:after="0" w:line="240" w:lineRule="auto"/>
              <w:jc w:val="center"/>
              <w:rPr>
                <w:rFonts w:cstheme="minorHAnsi"/>
                <w:bCs/>
                <w:color w:val="000000"/>
                <w:sz w:val="18"/>
                <w:szCs w:val="18"/>
              </w:rPr>
            </w:pPr>
            <w:r w:rsidRPr="00A734E4">
              <w:rPr>
                <w:rFonts w:cstheme="minorHAnsi"/>
                <w:bCs/>
                <w:color w:val="000000"/>
                <w:sz w:val="18"/>
                <w:szCs w:val="18"/>
              </w:rPr>
              <w:t>75</w:t>
            </w:r>
            <w:r w:rsidRPr="00A734E4">
              <w:rPr>
                <w:rFonts w:cstheme="minorHAnsi"/>
                <w:bCs/>
                <w:color w:val="000000"/>
                <w:sz w:val="18"/>
                <w:szCs w:val="18"/>
                <w:vertAlign w:val="superscript"/>
              </w:rPr>
              <w:t>th</w:t>
            </w:r>
          </w:p>
        </w:tc>
        <w:tc>
          <w:tcPr>
            <w:tcW w:w="1014" w:type="dxa"/>
            <w:shd w:val="clear" w:color="auto" w:fill="auto"/>
            <w:noWrap/>
            <w:vAlign w:val="center"/>
          </w:tcPr>
          <w:p w14:paraId="030EA5ED" w14:textId="77777777" w:rsidR="0073362F" w:rsidRPr="00A734E4" w:rsidRDefault="0073362F" w:rsidP="001040C7">
            <w:pPr>
              <w:spacing w:after="0" w:line="240" w:lineRule="auto"/>
              <w:jc w:val="center"/>
              <w:rPr>
                <w:rFonts w:cstheme="minorHAnsi"/>
                <w:color w:val="000000"/>
                <w:sz w:val="18"/>
                <w:szCs w:val="18"/>
              </w:rPr>
            </w:pPr>
            <w:r w:rsidRPr="002071BF">
              <w:rPr>
                <w:rFonts w:cstheme="minorHAnsi"/>
                <w:color w:val="000000"/>
                <w:sz w:val="18"/>
                <w:szCs w:val="18"/>
              </w:rPr>
              <w:t>0.032</w:t>
            </w:r>
          </w:p>
        </w:tc>
        <w:tc>
          <w:tcPr>
            <w:tcW w:w="1015" w:type="dxa"/>
            <w:shd w:val="clear" w:color="auto" w:fill="auto"/>
            <w:noWrap/>
            <w:vAlign w:val="center"/>
          </w:tcPr>
          <w:p w14:paraId="64003875" w14:textId="77777777" w:rsidR="0073362F" w:rsidRPr="00A734E4" w:rsidRDefault="0073362F" w:rsidP="001040C7">
            <w:pPr>
              <w:spacing w:after="0" w:line="240" w:lineRule="auto"/>
              <w:jc w:val="center"/>
              <w:rPr>
                <w:rFonts w:cstheme="minorHAnsi"/>
                <w:color w:val="000000"/>
                <w:sz w:val="18"/>
                <w:szCs w:val="18"/>
              </w:rPr>
            </w:pPr>
            <w:r w:rsidRPr="007B3331">
              <w:rPr>
                <w:rFonts w:cstheme="minorHAnsi"/>
                <w:color w:val="000000"/>
                <w:sz w:val="18"/>
                <w:szCs w:val="18"/>
              </w:rPr>
              <w:t>0.042</w:t>
            </w:r>
          </w:p>
        </w:tc>
        <w:tc>
          <w:tcPr>
            <w:tcW w:w="1014" w:type="dxa"/>
            <w:vMerge/>
            <w:vAlign w:val="center"/>
          </w:tcPr>
          <w:p w14:paraId="7782C5A8" w14:textId="77777777" w:rsidR="0073362F" w:rsidRPr="00A734E4" w:rsidRDefault="0073362F" w:rsidP="001040C7">
            <w:pPr>
              <w:spacing w:after="0" w:line="240" w:lineRule="auto"/>
              <w:jc w:val="center"/>
              <w:rPr>
                <w:rFonts w:cstheme="minorHAnsi"/>
                <w:color w:val="000000"/>
                <w:sz w:val="18"/>
                <w:szCs w:val="18"/>
              </w:rPr>
            </w:pPr>
          </w:p>
        </w:tc>
        <w:tc>
          <w:tcPr>
            <w:tcW w:w="1015" w:type="dxa"/>
            <w:shd w:val="clear" w:color="auto" w:fill="auto"/>
            <w:noWrap/>
            <w:vAlign w:val="center"/>
          </w:tcPr>
          <w:p w14:paraId="6EE5B71D" w14:textId="77777777" w:rsidR="0073362F" w:rsidRPr="00A734E4" w:rsidRDefault="0073362F" w:rsidP="001040C7">
            <w:pPr>
              <w:spacing w:after="0" w:line="240" w:lineRule="auto"/>
              <w:jc w:val="center"/>
              <w:rPr>
                <w:rFonts w:cstheme="minorHAnsi"/>
                <w:color w:val="000000"/>
                <w:sz w:val="18"/>
                <w:szCs w:val="18"/>
              </w:rPr>
            </w:pPr>
            <w:r w:rsidRPr="007B3331">
              <w:rPr>
                <w:rFonts w:cstheme="minorHAnsi"/>
                <w:color w:val="000000"/>
                <w:sz w:val="18"/>
                <w:szCs w:val="18"/>
              </w:rPr>
              <w:t>0.041</w:t>
            </w:r>
          </w:p>
        </w:tc>
        <w:tc>
          <w:tcPr>
            <w:tcW w:w="1014" w:type="dxa"/>
            <w:shd w:val="clear" w:color="auto" w:fill="auto"/>
            <w:noWrap/>
            <w:vAlign w:val="center"/>
          </w:tcPr>
          <w:p w14:paraId="7DAEC1C0" w14:textId="77777777" w:rsidR="0073362F" w:rsidRPr="00A734E4" w:rsidRDefault="0073362F" w:rsidP="001040C7">
            <w:pPr>
              <w:spacing w:after="0" w:line="240" w:lineRule="auto"/>
              <w:jc w:val="center"/>
              <w:rPr>
                <w:rFonts w:cstheme="minorHAnsi"/>
                <w:color w:val="000000"/>
                <w:sz w:val="18"/>
                <w:szCs w:val="18"/>
              </w:rPr>
            </w:pPr>
            <w:r w:rsidRPr="007B3331">
              <w:rPr>
                <w:rFonts w:cstheme="minorHAnsi"/>
                <w:color w:val="000000"/>
                <w:sz w:val="18"/>
                <w:szCs w:val="18"/>
              </w:rPr>
              <w:t>0.020</w:t>
            </w:r>
          </w:p>
        </w:tc>
        <w:tc>
          <w:tcPr>
            <w:tcW w:w="1015" w:type="dxa"/>
            <w:shd w:val="clear" w:color="auto" w:fill="auto"/>
            <w:noWrap/>
            <w:vAlign w:val="center"/>
          </w:tcPr>
          <w:p w14:paraId="344BEA72" w14:textId="77777777" w:rsidR="0073362F" w:rsidRPr="00A734E4" w:rsidRDefault="0073362F" w:rsidP="001040C7">
            <w:pPr>
              <w:spacing w:after="0" w:line="240" w:lineRule="auto"/>
              <w:jc w:val="center"/>
              <w:rPr>
                <w:rFonts w:cstheme="minorHAnsi"/>
                <w:color w:val="000000"/>
                <w:sz w:val="18"/>
                <w:szCs w:val="18"/>
              </w:rPr>
            </w:pPr>
            <w:r w:rsidRPr="007B3331">
              <w:rPr>
                <w:rFonts w:cstheme="minorHAnsi"/>
                <w:color w:val="000000"/>
                <w:sz w:val="18"/>
                <w:szCs w:val="18"/>
              </w:rPr>
              <w:t>0.035</w:t>
            </w:r>
          </w:p>
        </w:tc>
        <w:tc>
          <w:tcPr>
            <w:tcW w:w="1015" w:type="dxa"/>
            <w:shd w:val="clear" w:color="auto" w:fill="auto"/>
            <w:noWrap/>
            <w:vAlign w:val="center"/>
          </w:tcPr>
          <w:p w14:paraId="5F6DEF74" w14:textId="77777777" w:rsidR="0073362F" w:rsidRPr="00A734E4" w:rsidRDefault="0073362F" w:rsidP="001040C7">
            <w:pPr>
              <w:spacing w:after="0" w:line="240" w:lineRule="auto"/>
              <w:jc w:val="center"/>
              <w:rPr>
                <w:rFonts w:cstheme="minorHAnsi"/>
                <w:color w:val="000000"/>
                <w:sz w:val="18"/>
                <w:szCs w:val="18"/>
              </w:rPr>
            </w:pPr>
            <w:r w:rsidRPr="007B3331">
              <w:rPr>
                <w:rFonts w:cstheme="minorHAnsi"/>
                <w:color w:val="000000"/>
                <w:sz w:val="18"/>
                <w:szCs w:val="18"/>
              </w:rPr>
              <w:t>0.032</w:t>
            </w:r>
          </w:p>
        </w:tc>
      </w:tr>
      <w:tr w:rsidR="0073362F" w:rsidRPr="00A734E4" w14:paraId="049ED536" w14:textId="77777777" w:rsidTr="001040C7">
        <w:trPr>
          <w:trHeight w:val="345"/>
          <w:jc w:val="center"/>
        </w:trPr>
        <w:tc>
          <w:tcPr>
            <w:tcW w:w="1325" w:type="dxa"/>
            <w:vMerge/>
            <w:vAlign w:val="center"/>
          </w:tcPr>
          <w:p w14:paraId="5C290888" w14:textId="77777777" w:rsidR="0073362F" w:rsidRPr="00A734E4" w:rsidRDefault="0073362F" w:rsidP="001040C7">
            <w:pPr>
              <w:spacing w:after="0" w:line="240" w:lineRule="auto"/>
              <w:jc w:val="center"/>
              <w:rPr>
                <w:rFonts w:cstheme="minorHAnsi"/>
                <w:bCs/>
                <w:color w:val="000000"/>
                <w:sz w:val="18"/>
                <w:szCs w:val="18"/>
              </w:rPr>
            </w:pPr>
          </w:p>
        </w:tc>
        <w:tc>
          <w:tcPr>
            <w:tcW w:w="933" w:type="dxa"/>
            <w:shd w:val="clear" w:color="auto" w:fill="auto"/>
            <w:vAlign w:val="center"/>
          </w:tcPr>
          <w:p w14:paraId="2D393501" w14:textId="77777777" w:rsidR="0073362F" w:rsidRPr="00A734E4" w:rsidRDefault="0073362F" w:rsidP="001040C7">
            <w:pPr>
              <w:spacing w:after="0" w:line="240" w:lineRule="auto"/>
              <w:jc w:val="center"/>
              <w:rPr>
                <w:rFonts w:cstheme="minorHAnsi"/>
                <w:bCs/>
                <w:color w:val="000000"/>
                <w:sz w:val="18"/>
                <w:szCs w:val="18"/>
              </w:rPr>
            </w:pPr>
            <w:r w:rsidRPr="00A734E4">
              <w:rPr>
                <w:rFonts w:cstheme="minorHAnsi"/>
                <w:bCs/>
                <w:color w:val="000000"/>
                <w:sz w:val="18"/>
                <w:szCs w:val="18"/>
              </w:rPr>
              <w:t>95</w:t>
            </w:r>
            <w:r w:rsidRPr="00A734E4">
              <w:rPr>
                <w:rFonts w:cstheme="minorHAnsi"/>
                <w:bCs/>
                <w:color w:val="000000"/>
                <w:sz w:val="18"/>
                <w:szCs w:val="18"/>
                <w:vertAlign w:val="superscript"/>
              </w:rPr>
              <w:t>th</w:t>
            </w:r>
          </w:p>
        </w:tc>
        <w:tc>
          <w:tcPr>
            <w:tcW w:w="1014" w:type="dxa"/>
            <w:shd w:val="clear" w:color="auto" w:fill="auto"/>
            <w:noWrap/>
            <w:vAlign w:val="center"/>
          </w:tcPr>
          <w:p w14:paraId="06B33AEA" w14:textId="77777777" w:rsidR="0073362F" w:rsidRPr="00A734E4" w:rsidRDefault="0073362F" w:rsidP="001040C7">
            <w:pPr>
              <w:spacing w:after="0" w:line="240" w:lineRule="auto"/>
              <w:jc w:val="center"/>
              <w:rPr>
                <w:rFonts w:cstheme="minorHAnsi"/>
                <w:color w:val="000000"/>
                <w:sz w:val="18"/>
                <w:szCs w:val="18"/>
              </w:rPr>
            </w:pPr>
            <w:r w:rsidRPr="002071BF">
              <w:rPr>
                <w:rFonts w:cstheme="minorHAnsi"/>
                <w:color w:val="000000"/>
                <w:sz w:val="18"/>
                <w:szCs w:val="18"/>
              </w:rPr>
              <w:t>0.074</w:t>
            </w:r>
          </w:p>
        </w:tc>
        <w:tc>
          <w:tcPr>
            <w:tcW w:w="1015" w:type="dxa"/>
            <w:shd w:val="clear" w:color="auto" w:fill="auto"/>
            <w:noWrap/>
            <w:vAlign w:val="center"/>
          </w:tcPr>
          <w:p w14:paraId="24E7C46E" w14:textId="77777777" w:rsidR="0073362F" w:rsidRPr="00A734E4" w:rsidRDefault="0073362F" w:rsidP="001040C7">
            <w:pPr>
              <w:spacing w:after="0" w:line="240" w:lineRule="auto"/>
              <w:jc w:val="center"/>
              <w:rPr>
                <w:rFonts w:cstheme="minorHAnsi"/>
                <w:color w:val="000000"/>
                <w:sz w:val="18"/>
                <w:szCs w:val="18"/>
              </w:rPr>
            </w:pPr>
            <w:r w:rsidRPr="007B3331">
              <w:rPr>
                <w:rFonts w:cstheme="minorHAnsi"/>
                <w:color w:val="000000"/>
                <w:sz w:val="18"/>
                <w:szCs w:val="18"/>
              </w:rPr>
              <w:t>0.088</w:t>
            </w:r>
          </w:p>
        </w:tc>
        <w:tc>
          <w:tcPr>
            <w:tcW w:w="1014" w:type="dxa"/>
            <w:vMerge/>
            <w:vAlign w:val="center"/>
          </w:tcPr>
          <w:p w14:paraId="6A6763E2" w14:textId="77777777" w:rsidR="0073362F" w:rsidRPr="00A734E4" w:rsidRDefault="0073362F" w:rsidP="001040C7">
            <w:pPr>
              <w:spacing w:after="0" w:line="240" w:lineRule="auto"/>
              <w:jc w:val="center"/>
              <w:rPr>
                <w:rFonts w:cstheme="minorHAnsi"/>
                <w:color w:val="000000"/>
                <w:sz w:val="18"/>
                <w:szCs w:val="18"/>
              </w:rPr>
            </w:pPr>
          </w:p>
        </w:tc>
        <w:tc>
          <w:tcPr>
            <w:tcW w:w="1015" w:type="dxa"/>
            <w:shd w:val="clear" w:color="auto" w:fill="auto"/>
            <w:noWrap/>
            <w:vAlign w:val="center"/>
          </w:tcPr>
          <w:p w14:paraId="1B6FD096" w14:textId="77777777" w:rsidR="0073362F" w:rsidRPr="00A734E4" w:rsidRDefault="0073362F" w:rsidP="001040C7">
            <w:pPr>
              <w:spacing w:after="0" w:line="240" w:lineRule="auto"/>
              <w:jc w:val="center"/>
              <w:rPr>
                <w:rFonts w:cstheme="minorHAnsi"/>
                <w:color w:val="000000"/>
                <w:sz w:val="18"/>
                <w:szCs w:val="18"/>
              </w:rPr>
            </w:pPr>
            <w:r w:rsidRPr="007B3331">
              <w:rPr>
                <w:rFonts w:cstheme="minorHAnsi"/>
                <w:color w:val="000000"/>
                <w:sz w:val="18"/>
                <w:szCs w:val="18"/>
              </w:rPr>
              <w:t>0.079</w:t>
            </w:r>
          </w:p>
        </w:tc>
        <w:tc>
          <w:tcPr>
            <w:tcW w:w="1014" w:type="dxa"/>
            <w:shd w:val="clear" w:color="auto" w:fill="auto"/>
            <w:noWrap/>
            <w:vAlign w:val="center"/>
          </w:tcPr>
          <w:p w14:paraId="2BA1CB28" w14:textId="77777777" w:rsidR="0073362F" w:rsidRPr="00A734E4" w:rsidRDefault="0073362F" w:rsidP="001040C7">
            <w:pPr>
              <w:spacing w:after="0" w:line="240" w:lineRule="auto"/>
              <w:jc w:val="center"/>
              <w:rPr>
                <w:rFonts w:cstheme="minorHAnsi"/>
                <w:color w:val="000000"/>
                <w:sz w:val="18"/>
                <w:szCs w:val="18"/>
              </w:rPr>
            </w:pPr>
            <w:r w:rsidRPr="007B3331">
              <w:rPr>
                <w:rFonts w:cstheme="minorHAnsi"/>
                <w:color w:val="000000"/>
                <w:sz w:val="18"/>
                <w:szCs w:val="18"/>
              </w:rPr>
              <w:t>0.045</w:t>
            </w:r>
          </w:p>
        </w:tc>
        <w:tc>
          <w:tcPr>
            <w:tcW w:w="1015" w:type="dxa"/>
            <w:shd w:val="clear" w:color="auto" w:fill="auto"/>
            <w:noWrap/>
            <w:vAlign w:val="center"/>
          </w:tcPr>
          <w:p w14:paraId="78FB8E00" w14:textId="77777777" w:rsidR="0073362F" w:rsidRPr="00A734E4" w:rsidRDefault="0073362F" w:rsidP="001040C7">
            <w:pPr>
              <w:spacing w:after="0" w:line="240" w:lineRule="auto"/>
              <w:jc w:val="center"/>
              <w:rPr>
                <w:rFonts w:cstheme="minorHAnsi"/>
                <w:color w:val="000000"/>
                <w:sz w:val="18"/>
                <w:szCs w:val="18"/>
              </w:rPr>
            </w:pPr>
            <w:r w:rsidRPr="007B3331">
              <w:rPr>
                <w:rFonts w:cstheme="minorHAnsi"/>
                <w:color w:val="000000"/>
                <w:sz w:val="18"/>
                <w:szCs w:val="18"/>
              </w:rPr>
              <w:t>0.106</w:t>
            </w:r>
          </w:p>
        </w:tc>
        <w:tc>
          <w:tcPr>
            <w:tcW w:w="1015" w:type="dxa"/>
            <w:shd w:val="clear" w:color="auto" w:fill="auto"/>
            <w:noWrap/>
            <w:vAlign w:val="center"/>
          </w:tcPr>
          <w:p w14:paraId="65839959" w14:textId="77777777" w:rsidR="0073362F" w:rsidRPr="00A734E4" w:rsidRDefault="0073362F" w:rsidP="001040C7">
            <w:pPr>
              <w:spacing w:after="0" w:line="240" w:lineRule="auto"/>
              <w:jc w:val="center"/>
              <w:rPr>
                <w:rFonts w:cstheme="minorHAnsi"/>
                <w:color w:val="000000"/>
                <w:sz w:val="18"/>
                <w:szCs w:val="18"/>
              </w:rPr>
            </w:pPr>
            <w:r w:rsidRPr="007B3331">
              <w:rPr>
                <w:rFonts w:cstheme="minorHAnsi"/>
                <w:color w:val="000000"/>
                <w:sz w:val="18"/>
                <w:szCs w:val="18"/>
              </w:rPr>
              <w:t>0.060</w:t>
            </w:r>
          </w:p>
        </w:tc>
      </w:tr>
    </w:tbl>
    <w:p w14:paraId="5C661EFB" w14:textId="77777777" w:rsidR="0073362F" w:rsidRPr="00B226CE" w:rsidRDefault="0073362F" w:rsidP="0073362F">
      <w:pPr>
        <w:spacing w:after="0" w:line="240" w:lineRule="auto"/>
        <w:rPr>
          <w:sz w:val="18"/>
          <w:szCs w:val="18"/>
        </w:rPr>
      </w:pPr>
      <w:r w:rsidRPr="00B226CE">
        <w:rPr>
          <w:sz w:val="18"/>
          <w:szCs w:val="18"/>
          <w:vertAlign w:val="superscript"/>
        </w:rPr>
        <w:t>1</w:t>
      </w:r>
      <w:r w:rsidRPr="00B226CE">
        <w:rPr>
          <w:sz w:val="18"/>
          <w:szCs w:val="18"/>
        </w:rPr>
        <w:t xml:space="preserve"> The Central Valley ecoregion had only one site</w:t>
      </w:r>
      <w:r w:rsidRPr="00B226CE" w:rsidDel="00C35EE3">
        <w:rPr>
          <w:sz w:val="18"/>
          <w:szCs w:val="18"/>
        </w:rPr>
        <w:t xml:space="preserve"> </w:t>
      </w:r>
      <w:r w:rsidRPr="00B226CE">
        <w:rPr>
          <w:sz w:val="18"/>
          <w:szCs w:val="18"/>
        </w:rPr>
        <w:t>in the Reference site disturbance class; values in the table represent the results of this single site.</w:t>
      </w:r>
    </w:p>
    <w:p w14:paraId="54BF5D06" w14:textId="77777777" w:rsidR="00EB5E21" w:rsidRDefault="00EB5E21" w:rsidP="00EB5E21">
      <w:pPr>
        <w:pStyle w:val="TOF"/>
      </w:pPr>
    </w:p>
    <w:p w14:paraId="4C6080DA" w14:textId="77777777" w:rsidR="00FC0837" w:rsidRDefault="00FC0837" w:rsidP="006F26AD">
      <w:pPr>
        <w:jc w:val="both"/>
      </w:pPr>
    </w:p>
    <w:p w14:paraId="2D3C0496" w14:textId="77777777" w:rsidR="00FC0837" w:rsidRDefault="00FC0837" w:rsidP="00BE243B">
      <w:pPr>
        <w:jc w:val="both"/>
        <w:sectPr w:rsidR="00FC0837" w:rsidSect="00C5540D">
          <w:pgSz w:w="12240" w:h="15840"/>
          <w:pgMar w:top="1440" w:right="1440" w:bottom="1440" w:left="1440" w:header="720" w:footer="720" w:gutter="0"/>
          <w:cols w:space="720"/>
          <w:docGrid w:linePitch="360"/>
        </w:sectPr>
      </w:pPr>
    </w:p>
    <w:p w14:paraId="7288BCB7" w14:textId="77777777" w:rsidR="00616A8B" w:rsidRDefault="00616A8B" w:rsidP="00616A8B">
      <w:pPr>
        <w:keepNext/>
      </w:pPr>
      <w:r>
        <w:rPr>
          <w:noProof/>
          <w:lang w:eastAsia="zh-CN" w:bidi="ar-SA"/>
        </w:rPr>
        <w:drawing>
          <wp:inline distT="0" distB="0" distL="0" distR="0" wp14:anchorId="27F7EA1E" wp14:editId="6CDD4F92">
            <wp:extent cx="6334125" cy="4872404"/>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hreshold.plot.p90.ci.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340453" cy="4877272"/>
                    </a:xfrm>
                    <a:prstGeom prst="rect">
                      <a:avLst/>
                    </a:prstGeom>
                  </pic:spPr>
                </pic:pic>
              </a:graphicData>
            </a:graphic>
          </wp:inline>
        </w:drawing>
      </w:r>
    </w:p>
    <w:p w14:paraId="02BCAA9A" w14:textId="77777777" w:rsidR="00616A8B" w:rsidRPr="004618D8" w:rsidRDefault="00616A8B" w:rsidP="00616A8B">
      <w:pPr>
        <w:pStyle w:val="TOF"/>
      </w:pPr>
      <w:bookmarkStart w:id="105" w:name="_Ref522694511"/>
      <w:bookmarkStart w:id="106" w:name="_Toc526489947"/>
      <w:r w:rsidRPr="004618D8">
        <w:t xml:space="preserve">Figure </w:t>
      </w:r>
      <w:bookmarkEnd w:id="105"/>
      <w:r w:rsidRPr="004618D8">
        <w:t>3.4. Targets for eutrophication indicators that provide a 90% relative probability of exceeding a range of biointegrity goals.  Points represent the estimated threshold, and lines represent the 95% confidence interval around the estimate. Color indicates the biointegrity index that was evaluated. Points plotted on the right edge of a panel indicate that a target was not found within the evaluated range of the eutrophication factor; similarly, lines that extend to the edge of a panel indicate that the confidence limits extended past the evaluated range of the eutrophication factor. Dark-hued symbols indicate eutrophication targets that met validation criteria (i.e., relative risks significantly &gt; 1 in both calibration and validation data sets), whereas light-hued symbols indicate targets that did not meet validation criteria</w:t>
      </w:r>
      <w:bookmarkEnd w:id="106"/>
    </w:p>
    <w:p w14:paraId="1AE97BA3" w14:textId="77777777" w:rsidR="00BE243B" w:rsidRDefault="00BE243B" w:rsidP="00BE243B">
      <w:pPr>
        <w:jc w:val="both"/>
      </w:pPr>
    </w:p>
    <w:p w14:paraId="0A38DDB5" w14:textId="77777777" w:rsidR="001E06F9" w:rsidRDefault="001E06F9" w:rsidP="001E06F9">
      <w:bookmarkStart w:id="107" w:name="_Toc378521813"/>
      <w:r>
        <w:rPr>
          <w:noProof/>
          <w:lang w:eastAsia="zh-CN" w:bidi="ar-SA"/>
        </w:rPr>
        <w:drawing>
          <wp:inline distT="0" distB="0" distL="0" distR="0" wp14:anchorId="0142899B" wp14:editId="70A5B2A2">
            <wp:extent cx="7924800" cy="4311035"/>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BCG summary.jpg"/>
                    <pic:cNvPicPr/>
                  </pic:nvPicPr>
                  <pic:blipFill rotWithShape="1">
                    <a:blip r:embed="rId42" cstate="print">
                      <a:extLst>
                        <a:ext uri="{28A0092B-C50C-407E-A947-70E740481C1C}">
                          <a14:useLocalDpi xmlns:a14="http://schemas.microsoft.com/office/drawing/2010/main" val="0"/>
                        </a:ext>
                      </a:extLst>
                    </a:blip>
                    <a:srcRect l="3031" t="5131" r="3318" b="4301"/>
                    <a:stretch/>
                  </pic:blipFill>
                  <pic:spPr bwMode="auto">
                    <a:xfrm>
                      <a:off x="0" y="0"/>
                      <a:ext cx="7941821" cy="4320294"/>
                    </a:xfrm>
                    <a:prstGeom prst="rect">
                      <a:avLst/>
                    </a:prstGeom>
                    <a:ln>
                      <a:noFill/>
                    </a:ln>
                    <a:extLst>
                      <a:ext uri="{53640926-AAD7-44D8-BBD7-CCE9431645EC}">
                        <a14:shadowObscured xmlns:a14="http://schemas.microsoft.com/office/drawing/2010/main"/>
                      </a:ext>
                    </a:extLst>
                  </pic:spPr>
                </pic:pic>
              </a:graphicData>
            </a:graphic>
          </wp:inline>
        </w:drawing>
      </w:r>
    </w:p>
    <w:p w14:paraId="429E29CB" w14:textId="77777777" w:rsidR="001E06F9" w:rsidRDefault="001E06F9" w:rsidP="004618D8">
      <w:pPr>
        <w:pStyle w:val="TOF"/>
      </w:pPr>
    </w:p>
    <w:p w14:paraId="48B61DB2" w14:textId="77777777" w:rsidR="001E06F9" w:rsidRDefault="001E06F9" w:rsidP="004618D8">
      <w:pPr>
        <w:pStyle w:val="TOF"/>
      </w:pPr>
      <w:bookmarkStart w:id="108" w:name="_Toc384455677"/>
      <w:bookmarkStart w:id="109" w:name="_Toc526489948"/>
      <w:r w:rsidRPr="00C5332F">
        <w:t>Figure 3</w:t>
      </w:r>
      <w:r w:rsidR="00553C75">
        <w:t>.</w:t>
      </w:r>
      <w:r w:rsidR="004F6E61">
        <w:t>5</w:t>
      </w:r>
      <w:r w:rsidRPr="00C5332F">
        <w:t xml:space="preserve">. </w:t>
      </w:r>
      <w:r>
        <w:t>From Fetscher et al. 2014. Ranges of thresholds of ALU response by “ALU category” for two biomass and two nutrient gradients.  Circles correspond to the mean of thresholds within each category, and triangles are the medians. Dashed lines indicate the 75</w:t>
      </w:r>
      <w:r w:rsidRPr="003653B0">
        <w:rPr>
          <w:vertAlign w:val="superscript"/>
        </w:rPr>
        <w:t>th</w:t>
      </w:r>
      <w:r>
        <w:t xml:space="preserve"> percentile of the indicator in question among Reference sites statewide.</w:t>
      </w:r>
      <w:bookmarkEnd w:id="107"/>
      <w:bookmarkEnd w:id="108"/>
      <w:bookmarkEnd w:id="109"/>
    </w:p>
    <w:p w14:paraId="0D9E2469" w14:textId="77777777" w:rsidR="001E06F9" w:rsidRDefault="001E06F9" w:rsidP="004618D8">
      <w:pPr>
        <w:pStyle w:val="TOF"/>
        <w:rPr>
          <w:rFonts w:cstheme="minorHAnsi"/>
          <w:b/>
        </w:rPr>
      </w:pPr>
    </w:p>
    <w:p w14:paraId="06E79575" w14:textId="77777777" w:rsidR="00FE3573" w:rsidRDefault="00FE3573">
      <w:pPr>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6336"/>
      </w:tblGrid>
      <w:tr w:rsidR="00FE3573" w14:paraId="5886960A" w14:textId="77777777" w:rsidTr="00EC3F79">
        <w:tc>
          <w:tcPr>
            <w:tcW w:w="4585" w:type="dxa"/>
          </w:tcPr>
          <w:p w14:paraId="7D5D5DA7" w14:textId="77777777" w:rsidR="00FE3573" w:rsidRDefault="00FE3573" w:rsidP="00AF51B8">
            <w:bookmarkStart w:id="110" w:name="_Toc525198227"/>
            <w:bookmarkStart w:id="111" w:name="_Toc525823125"/>
            <w:bookmarkStart w:id="112" w:name="_Toc525876652"/>
            <w:r>
              <w:rPr>
                <w:noProof/>
                <w:lang w:eastAsia="zh-CN" w:bidi="ar-SA"/>
              </w:rPr>
              <w:drawing>
                <wp:inline distT="0" distB="0" distL="0" distR="0" wp14:anchorId="1FC2DAF4" wp14:editId="11568973">
                  <wp:extent cx="3042139" cy="4939446"/>
                  <wp:effectExtent l="0" t="0" r="635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n.titan.plot.jpg"/>
                          <pic:cNvPicPr/>
                        </pic:nvPicPr>
                        <pic:blipFill rotWithShape="1">
                          <a:blip r:embed="rId43" cstate="print">
                            <a:extLst>
                              <a:ext uri="{28A0092B-C50C-407E-A947-70E740481C1C}">
                                <a14:useLocalDpi xmlns:a14="http://schemas.microsoft.com/office/drawing/2010/main" val="0"/>
                              </a:ext>
                            </a:extLst>
                          </a:blip>
                          <a:srcRect r="17775"/>
                          <a:stretch/>
                        </pic:blipFill>
                        <pic:spPr bwMode="auto">
                          <a:xfrm>
                            <a:off x="0" y="0"/>
                            <a:ext cx="3083432" cy="5006492"/>
                          </a:xfrm>
                          <a:prstGeom prst="rect">
                            <a:avLst/>
                          </a:prstGeom>
                          <a:ln>
                            <a:noFill/>
                          </a:ln>
                          <a:extLst>
                            <a:ext uri="{53640926-AAD7-44D8-BBD7-CCE9431645EC}">
                              <a14:shadowObscured xmlns:a14="http://schemas.microsoft.com/office/drawing/2010/main"/>
                            </a:ext>
                          </a:extLst>
                        </pic:spPr>
                      </pic:pic>
                    </a:graphicData>
                  </a:graphic>
                </wp:inline>
              </w:drawing>
            </w:r>
            <w:bookmarkEnd w:id="110"/>
            <w:bookmarkEnd w:id="111"/>
            <w:bookmarkEnd w:id="112"/>
          </w:p>
        </w:tc>
        <w:tc>
          <w:tcPr>
            <w:tcW w:w="6276" w:type="dxa"/>
          </w:tcPr>
          <w:p w14:paraId="01DEB9B2" w14:textId="77777777" w:rsidR="00FE3573" w:rsidRDefault="00FE3573" w:rsidP="00AF51B8">
            <w:bookmarkStart w:id="113" w:name="_Toc525198228"/>
            <w:bookmarkStart w:id="114" w:name="_Toc525823126"/>
            <w:bookmarkStart w:id="115" w:name="_Toc525876653"/>
            <w:r>
              <w:rPr>
                <w:noProof/>
                <w:lang w:eastAsia="zh-CN" w:bidi="ar-SA"/>
              </w:rPr>
              <w:drawing>
                <wp:inline distT="0" distB="0" distL="0" distR="0" wp14:anchorId="3FE3CD34" wp14:editId="21442839">
                  <wp:extent cx="3886200" cy="4987289"/>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p.titan.plot.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926377" cy="5038850"/>
                          </a:xfrm>
                          <a:prstGeom prst="rect">
                            <a:avLst/>
                          </a:prstGeom>
                        </pic:spPr>
                      </pic:pic>
                    </a:graphicData>
                  </a:graphic>
                </wp:inline>
              </w:drawing>
            </w:r>
            <w:bookmarkEnd w:id="113"/>
            <w:bookmarkEnd w:id="114"/>
            <w:bookmarkEnd w:id="115"/>
          </w:p>
        </w:tc>
      </w:tr>
    </w:tbl>
    <w:p w14:paraId="3E36D633" w14:textId="77777777" w:rsidR="00FE3573" w:rsidRDefault="00FE3573" w:rsidP="00FE3573">
      <w:pPr>
        <w:pStyle w:val="TOF"/>
      </w:pPr>
    </w:p>
    <w:p w14:paraId="58C447D4" w14:textId="77777777" w:rsidR="00553C75" w:rsidRPr="004618D8" w:rsidRDefault="00FE3573" w:rsidP="004618D8">
      <w:pPr>
        <w:pStyle w:val="TOF"/>
        <w:sectPr w:rsidR="00553C75" w:rsidRPr="004618D8" w:rsidSect="00EC3F79">
          <w:pgSz w:w="15840" w:h="12240" w:orient="landscape"/>
          <w:pgMar w:top="1440" w:right="1440" w:bottom="1440" w:left="1440" w:header="720" w:footer="720" w:gutter="0"/>
          <w:cols w:space="720"/>
          <w:docGrid w:linePitch="360"/>
        </w:sectPr>
      </w:pPr>
      <w:bookmarkStart w:id="116" w:name="_Toc526489949"/>
      <w:r w:rsidRPr="004618D8">
        <w:t>Figure 3</w:t>
      </w:r>
      <w:r w:rsidR="00553C75" w:rsidRPr="004618D8">
        <w:t>.</w:t>
      </w:r>
      <w:r w:rsidR="004F6E61" w:rsidRPr="004618D8">
        <w:t>6</w:t>
      </w:r>
      <w:r w:rsidRPr="004618D8">
        <w:t xml:space="preserve"> Titan plots showing changepoints in species presence/absence as a function of increasing TN  (left panel) and TP concentration (right panel). From Mazor et al. (in prep).</w:t>
      </w:r>
      <w:bookmarkEnd w:id="116"/>
      <w:r w:rsidRPr="004618D8">
        <w:t xml:space="preserve"> </w:t>
      </w:r>
    </w:p>
    <w:p w14:paraId="7D048008" w14:textId="77777777" w:rsidR="006F26AD" w:rsidRDefault="006F26AD" w:rsidP="006F26AD">
      <w:pPr>
        <w:pStyle w:val="TOT"/>
      </w:pPr>
      <w:bookmarkStart w:id="117" w:name="_Ref524084685"/>
      <w:bookmarkStart w:id="118" w:name="_Toc524084175"/>
      <w:bookmarkStart w:id="119" w:name="_Toc526489919"/>
      <w:r>
        <w:t>Table 3.</w:t>
      </w:r>
      <w:bookmarkEnd w:id="117"/>
      <w:r w:rsidR="00CF46F1">
        <w:t>4</w:t>
      </w:r>
      <w:r>
        <w:t>. Change point thresholds for stream responses to nutrient concentrations, summarized across aquatic life indicators. Min: Minimum reported threshold. Max: Maximum reported threshold.</w:t>
      </w:r>
      <w:bookmarkEnd w:id="118"/>
      <w:r w:rsidR="00A94851">
        <w:t xml:space="preserve"> TP and TN concentrations are in mg/L</w:t>
      </w:r>
      <w:bookmarkEnd w:id="119"/>
    </w:p>
    <w:tbl>
      <w:tblPr>
        <w:tblStyle w:val="TableGrid"/>
        <w:tblW w:w="14066"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1445"/>
        <w:gridCol w:w="2425"/>
        <w:gridCol w:w="1397"/>
        <w:gridCol w:w="3330"/>
        <w:gridCol w:w="745"/>
        <w:gridCol w:w="760"/>
        <w:gridCol w:w="857"/>
        <w:gridCol w:w="857"/>
      </w:tblGrid>
      <w:tr w:rsidR="00BD3939" w:rsidRPr="00854783" w14:paraId="11B0885B" w14:textId="77777777" w:rsidTr="008717FC">
        <w:trPr>
          <w:trHeight w:val="305"/>
        </w:trPr>
        <w:tc>
          <w:tcPr>
            <w:tcW w:w="2250" w:type="dxa"/>
            <w:tcBorders>
              <w:top w:val="single" w:sz="4" w:space="0" w:color="auto"/>
              <w:bottom w:val="single" w:sz="12" w:space="0" w:color="auto"/>
            </w:tcBorders>
            <w:vAlign w:val="bottom"/>
            <w:hideMark/>
          </w:tcPr>
          <w:p w14:paraId="30B0A1F4" w14:textId="77777777" w:rsidR="006F26AD" w:rsidRPr="006F26AD" w:rsidRDefault="006F26AD" w:rsidP="006F26AD">
            <w:pPr>
              <w:spacing w:after="0"/>
              <w:jc w:val="center"/>
              <w:rPr>
                <w:rFonts w:asciiTheme="minorHAnsi" w:hAnsiTheme="minorHAnsi" w:cstheme="minorHAnsi"/>
                <w:bCs/>
                <w:color w:val="000000"/>
                <w:sz w:val="20"/>
                <w:szCs w:val="20"/>
              </w:rPr>
            </w:pPr>
            <w:bookmarkStart w:id="120" w:name="_Hlk524360572"/>
            <w:r w:rsidRPr="006F26AD">
              <w:rPr>
                <w:rFonts w:asciiTheme="minorHAnsi" w:hAnsiTheme="minorHAnsi" w:cstheme="minorHAnsi"/>
                <w:bCs/>
                <w:color w:val="000000"/>
                <w:sz w:val="20"/>
                <w:szCs w:val="20"/>
              </w:rPr>
              <w:t>Citation</w:t>
            </w:r>
          </w:p>
        </w:tc>
        <w:tc>
          <w:tcPr>
            <w:tcW w:w="1445" w:type="dxa"/>
            <w:tcBorders>
              <w:top w:val="single" w:sz="4" w:space="0" w:color="auto"/>
              <w:bottom w:val="single" w:sz="12" w:space="0" w:color="auto"/>
            </w:tcBorders>
            <w:vAlign w:val="bottom"/>
            <w:hideMark/>
          </w:tcPr>
          <w:p w14:paraId="0341C89D" w14:textId="77777777" w:rsidR="006F26AD" w:rsidRPr="006F26AD" w:rsidRDefault="006F26AD" w:rsidP="006F26AD">
            <w:pPr>
              <w:spacing w:after="0"/>
              <w:jc w:val="center"/>
              <w:rPr>
                <w:rFonts w:asciiTheme="minorHAnsi" w:hAnsiTheme="minorHAnsi" w:cstheme="minorHAnsi"/>
                <w:bCs/>
                <w:color w:val="000000"/>
                <w:sz w:val="20"/>
                <w:szCs w:val="20"/>
              </w:rPr>
            </w:pPr>
            <w:r w:rsidRPr="006F26AD">
              <w:rPr>
                <w:rFonts w:asciiTheme="minorHAnsi" w:hAnsiTheme="minorHAnsi" w:cstheme="minorHAnsi"/>
                <w:bCs/>
                <w:color w:val="000000"/>
                <w:sz w:val="20"/>
                <w:szCs w:val="20"/>
              </w:rPr>
              <w:t>Region</w:t>
            </w:r>
          </w:p>
        </w:tc>
        <w:tc>
          <w:tcPr>
            <w:tcW w:w="2425" w:type="dxa"/>
            <w:tcBorders>
              <w:top w:val="single" w:sz="4" w:space="0" w:color="auto"/>
              <w:bottom w:val="single" w:sz="12" w:space="0" w:color="auto"/>
            </w:tcBorders>
            <w:vAlign w:val="bottom"/>
            <w:hideMark/>
          </w:tcPr>
          <w:p w14:paraId="0DB9E0A4" w14:textId="77777777" w:rsidR="006F26AD" w:rsidRPr="006F26AD" w:rsidRDefault="006F26AD" w:rsidP="006F26AD">
            <w:pPr>
              <w:spacing w:after="0"/>
              <w:jc w:val="center"/>
              <w:rPr>
                <w:rFonts w:asciiTheme="minorHAnsi" w:hAnsiTheme="minorHAnsi" w:cstheme="minorHAnsi"/>
                <w:bCs/>
                <w:color w:val="000000"/>
                <w:sz w:val="20"/>
                <w:szCs w:val="20"/>
              </w:rPr>
            </w:pPr>
            <w:r w:rsidRPr="006F26AD">
              <w:rPr>
                <w:rFonts w:asciiTheme="minorHAnsi" w:hAnsiTheme="minorHAnsi" w:cstheme="minorHAnsi"/>
                <w:bCs/>
                <w:color w:val="000000"/>
                <w:sz w:val="20"/>
                <w:szCs w:val="20"/>
              </w:rPr>
              <w:t>ALI measure(s)</w:t>
            </w:r>
          </w:p>
        </w:tc>
        <w:tc>
          <w:tcPr>
            <w:tcW w:w="1397" w:type="dxa"/>
            <w:tcBorders>
              <w:top w:val="single" w:sz="4" w:space="0" w:color="auto"/>
              <w:bottom w:val="single" w:sz="12" w:space="0" w:color="auto"/>
            </w:tcBorders>
            <w:vAlign w:val="bottom"/>
            <w:hideMark/>
          </w:tcPr>
          <w:p w14:paraId="2EEBB080" w14:textId="77777777" w:rsidR="006F26AD" w:rsidRPr="006F26AD" w:rsidRDefault="006F26AD" w:rsidP="006F26AD">
            <w:pPr>
              <w:spacing w:after="0"/>
              <w:jc w:val="center"/>
              <w:rPr>
                <w:rFonts w:asciiTheme="minorHAnsi" w:hAnsiTheme="minorHAnsi" w:cstheme="minorHAnsi"/>
                <w:bCs/>
                <w:color w:val="000000"/>
                <w:sz w:val="20"/>
                <w:szCs w:val="20"/>
              </w:rPr>
            </w:pPr>
            <w:r w:rsidRPr="006F26AD">
              <w:rPr>
                <w:rFonts w:asciiTheme="minorHAnsi" w:hAnsiTheme="minorHAnsi" w:cstheme="minorHAnsi"/>
                <w:bCs/>
                <w:color w:val="000000"/>
                <w:sz w:val="20"/>
                <w:szCs w:val="20"/>
              </w:rPr>
              <w:t>gradient(s)</w:t>
            </w:r>
          </w:p>
        </w:tc>
        <w:tc>
          <w:tcPr>
            <w:tcW w:w="3330" w:type="dxa"/>
            <w:tcBorders>
              <w:top w:val="single" w:sz="4" w:space="0" w:color="auto"/>
              <w:bottom w:val="single" w:sz="12" w:space="0" w:color="auto"/>
            </w:tcBorders>
            <w:vAlign w:val="bottom"/>
            <w:hideMark/>
          </w:tcPr>
          <w:p w14:paraId="22DEDC78" w14:textId="77777777" w:rsidR="006F26AD" w:rsidRPr="006F26AD" w:rsidRDefault="006F26AD" w:rsidP="006F26AD">
            <w:pPr>
              <w:spacing w:after="0"/>
              <w:jc w:val="center"/>
              <w:rPr>
                <w:rFonts w:asciiTheme="minorHAnsi" w:hAnsiTheme="minorHAnsi" w:cstheme="minorHAnsi"/>
                <w:bCs/>
                <w:color w:val="000000"/>
                <w:sz w:val="20"/>
                <w:szCs w:val="20"/>
              </w:rPr>
            </w:pPr>
            <w:r w:rsidRPr="006F26AD">
              <w:rPr>
                <w:rFonts w:asciiTheme="minorHAnsi" w:hAnsiTheme="minorHAnsi" w:cstheme="minorHAnsi"/>
                <w:bCs/>
                <w:color w:val="000000"/>
                <w:sz w:val="20"/>
                <w:szCs w:val="20"/>
              </w:rPr>
              <w:t>threshold detection method</w:t>
            </w:r>
          </w:p>
        </w:tc>
        <w:tc>
          <w:tcPr>
            <w:tcW w:w="0" w:type="auto"/>
            <w:tcBorders>
              <w:top w:val="single" w:sz="4" w:space="0" w:color="auto"/>
              <w:bottom w:val="single" w:sz="12" w:space="0" w:color="auto"/>
            </w:tcBorders>
            <w:vAlign w:val="bottom"/>
            <w:hideMark/>
          </w:tcPr>
          <w:p w14:paraId="5ABCA363" w14:textId="77777777" w:rsidR="006F26AD" w:rsidRPr="006F26AD" w:rsidRDefault="006F26AD" w:rsidP="006F26AD">
            <w:pPr>
              <w:spacing w:after="0"/>
              <w:jc w:val="center"/>
              <w:rPr>
                <w:rFonts w:asciiTheme="minorHAnsi" w:hAnsiTheme="minorHAnsi" w:cstheme="minorHAnsi"/>
                <w:bCs/>
                <w:color w:val="000000"/>
                <w:sz w:val="20"/>
                <w:szCs w:val="20"/>
              </w:rPr>
            </w:pPr>
            <w:r w:rsidRPr="006F26AD">
              <w:rPr>
                <w:rFonts w:asciiTheme="minorHAnsi" w:hAnsiTheme="minorHAnsi" w:cstheme="minorHAnsi"/>
                <w:bCs/>
                <w:color w:val="000000"/>
                <w:sz w:val="20"/>
                <w:szCs w:val="20"/>
              </w:rPr>
              <w:t xml:space="preserve">min. TP </w:t>
            </w:r>
          </w:p>
        </w:tc>
        <w:tc>
          <w:tcPr>
            <w:tcW w:w="0" w:type="auto"/>
            <w:tcBorders>
              <w:top w:val="single" w:sz="4" w:space="0" w:color="auto"/>
              <w:bottom w:val="single" w:sz="12" w:space="0" w:color="auto"/>
            </w:tcBorders>
            <w:vAlign w:val="bottom"/>
            <w:hideMark/>
          </w:tcPr>
          <w:p w14:paraId="11D4E4DC" w14:textId="77777777" w:rsidR="006F26AD" w:rsidRPr="006F26AD" w:rsidRDefault="006F26AD" w:rsidP="006F26AD">
            <w:pPr>
              <w:spacing w:after="0"/>
              <w:jc w:val="center"/>
              <w:rPr>
                <w:rFonts w:asciiTheme="minorHAnsi" w:hAnsiTheme="minorHAnsi" w:cstheme="minorHAnsi"/>
                <w:bCs/>
                <w:color w:val="000000"/>
                <w:sz w:val="20"/>
                <w:szCs w:val="20"/>
              </w:rPr>
            </w:pPr>
            <w:r w:rsidRPr="006F26AD">
              <w:rPr>
                <w:rFonts w:asciiTheme="minorHAnsi" w:hAnsiTheme="minorHAnsi" w:cstheme="minorHAnsi"/>
                <w:bCs/>
                <w:color w:val="000000"/>
                <w:sz w:val="20"/>
                <w:szCs w:val="20"/>
              </w:rPr>
              <w:t xml:space="preserve">max. TP </w:t>
            </w:r>
          </w:p>
        </w:tc>
        <w:tc>
          <w:tcPr>
            <w:tcW w:w="0" w:type="auto"/>
            <w:tcBorders>
              <w:top w:val="single" w:sz="4" w:space="0" w:color="auto"/>
              <w:bottom w:val="single" w:sz="12" w:space="0" w:color="auto"/>
            </w:tcBorders>
            <w:vAlign w:val="bottom"/>
            <w:hideMark/>
          </w:tcPr>
          <w:p w14:paraId="2F5C81DF" w14:textId="77777777" w:rsidR="006F26AD" w:rsidRPr="006F26AD" w:rsidRDefault="006F26AD" w:rsidP="006F26AD">
            <w:pPr>
              <w:spacing w:after="0"/>
              <w:jc w:val="center"/>
              <w:rPr>
                <w:rFonts w:asciiTheme="minorHAnsi" w:hAnsiTheme="minorHAnsi" w:cstheme="minorHAnsi"/>
                <w:bCs/>
                <w:color w:val="000000"/>
                <w:sz w:val="20"/>
                <w:szCs w:val="20"/>
              </w:rPr>
            </w:pPr>
            <w:r w:rsidRPr="006F26AD">
              <w:rPr>
                <w:rFonts w:asciiTheme="minorHAnsi" w:hAnsiTheme="minorHAnsi" w:cstheme="minorHAnsi"/>
                <w:bCs/>
                <w:color w:val="000000"/>
                <w:sz w:val="20"/>
                <w:szCs w:val="20"/>
              </w:rPr>
              <w:t>min. TN)</w:t>
            </w:r>
          </w:p>
        </w:tc>
        <w:tc>
          <w:tcPr>
            <w:tcW w:w="0" w:type="auto"/>
            <w:tcBorders>
              <w:top w:val="single" w:sz="4" w:space="0" w:color="auto"/>
              <w:bottom w:val="single" w:sz="12" w:space="0" w:color="auto"/>
            </w:tcBorders>
            <w:vAlign w:val="bottom"/>
            <w:hideMark/>
          </w:tcPr>
          <w:p w14:paraId="0AEF1976" w14:textId="77777777" w:rsidR="006F26AD" w:rsidRPr="006F26AD" w:rsidRDefault="006F26AD" w:rsidP="006F26AD">
            <w:pPr>
              <w:spacing w:after="0"/>
              <w:jc w:val="center"/>
              <w:rPr>
                <w:rFonts w:asciiTheme="minorHAnsi" w:hAnsiTheme="minorHAnsi" w:cstheme="minorHAnsi"/>
                <w:bCs/>
                <w:color w:val="000000"/>
                <w:sz w:val="20"/>
                <w:szCs w:val="20"/>
              </w:rPr>
            </w:pPr>
            <w:r w:rsidRPr="006F26AD">
              <w:rPr>
                <w:rFonts w:asciiTheme="minorHAnsi" w:hAnsiTheme="minorHAnsi" w:cstheme="minorHAnsi"/>
                <w:bCs/>
                <w:color w:val="000000"/>
                <w:sz w:val="20"/>
                <w:szCs w:val="20"/>
              </w:rPr>
              <w:t xml:space="preserve">max. TN </w:t>
            </w:r>
          </w:p>
        </w:tc>
      </w:tr>
      <w:tr w:rsidR="00BD3939" w:rsidRPr="00854783" w14:paraId="3D7F9849" w14:textId="77777777" w:rsidTr="008717FC">
        <w:trPr>
          <w:trHeight w:val="350"/>
        </w:trPr>
        <w:tc>
          <w:tcPr>
            <w:tcW w:w="2250" w:type="dxa"/>
            <w:tcBorders>
              <w:top w:val="single" w:sz="12" w:space="0" w:color="auto"/>
            </w:tcBorders>
            <w:vAlign w:val="center"/>
          </w:tcPr>
          <w:p w14:paraId="3C6BBF49" w14:textId="77777777" w:rsidR="006F26AD" w:rsidRPr="006F26AD" w:rsidRDefault="006F26AD" w:rsidP="006F26AD">
            <w:pPr>
              <w:spacing w:after="0"/>
              <w:rPr>
                <w:rFonts w:asciiTheme="minorHAnsi" w:hAnsiTheme="minorHAnsi" w:cstheme="minorHAnsi"/>
                <w:color w:val="000000"/>
                <w:sz w:val="20"/>
                <w:szCs w:val="20"/>
                <w:highlight w:val="yellow"/>
              </w:rPr>
            </w:pPr>
            <w:r w:rsidRPr="006F26AD">
              <w:rPr>
                <w:rFonts w:asciiTheme="minorHAnsi" w:hAnsiTheme="minorHAnsi" w:cstheme="minorHAnsi"/>
                <w:color w:val="000000"/>
                <w:sz w:val="20"/>
                <w:szCs w:val="20"/>
              </w:rPr>
              <w:t>Fetscher et al. 2014</w:t>
            </w:r>
          </w:p>
        </w:tc>
        <w:tc>
          <w:tcPr>
            <w:tcW w:w="1445" w:type="dxa"/>
            <w:tcBorders>
              <w:top w:val="single" w:sz="12" w:space="0" w:color="auto"/>
            </w:tcBorders>
            <w:vAlign w:val="center"/>
          </w:tcPr>
          <w:p w14:paraId="0C961E27"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California</w:t>
            </w:r>
          </w:p>
        </w:tc>
        <w:tc>
          <w:tcPr>
            <w:tcW w:w="2425" w:type="dxa"/>
            <w:tcBorders>
              <w:top w:val="single" w:sz="12" w:space="0" w:color="auto"/>
            </w:tcBorders>
            <w:vAlign w:val="center"/>
          </w:tcPr>
          <w:p w14:paraId="760F6E58"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BMI, algae</w:t>
            </w:r>
          </w:p>
        </w:tc>
        <w:tc>
          <w:tcPr>
            <w:tcW w:w="1397" w:type="dxa"/>
            <w:tcBorders>
              <w:top w:val="single" w:sz="12" w:space="0" w:color="auto"/>
            </w:tcBorders>
            <w:vAlign w:val="center"/>
          </w:tcPr>
          <w:p w14:paraId="49091E4E"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biomass, nutrients</w:t>
            </w:r>
          </w:p>
        </w:tc>
        <w:tc>
          <w:tcPr>
            <w:tcW w:w="3330" w:type="dxa"/>
            <w:tcBorders>
              <w:top w:val="single" w:sz="12" w:space="0" w:color="auto"/>
            </w:tcBorders>
            <w:vAlign w:val="center"/>
          </w:tcPr>
          <w:p w14:paraId="7DDC6562"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TITAN, nCPA, CART, piecewise regression, BRT</w:t>
            </w:r>
          </w:p>
        </w:tc>
        <w:tc>
          <w:tcPr>
            <w:tcW w:w="0" w:type="auto"/>
            <w:tcBorders>
              <w:top w:val="single" w:sz="12" w:space="0" w:color="auto"/>
            </w:tcBorders>
            <w:vAlign w:val="center"/>
          </w:tcPr>
          <w:p w14:paraId="0B2A52A5"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0.011</w:t>
            </w:r>
          </w:p>
        </w:tc>
        <w:tc>
          <w:tcPr>
            <w:tcW w:w="0" w:type="auto"/>
            <w:tcBorders>
              <w:top w:val="single" w:sz="12" w:space="0" w:color="auto"/>
            </w:tcBorders>
            <w:vAlign w:val="center"/>
          </w:tcPr>
          <w:p w14:paraId="71B14919"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0.267</w:t>
            </w:r>
          </w:p>
        </w:tc>
        <w:tc>
          <w:tcPr>
            <w:tcW w:w="0" w:type="auto"/>
            <w:tcBorders>
              <w:top w:val="single" w:sz="12" w:space="0" w:color="auto"/>
            </w:tcBorders>
            <w:vAlign w:val="center"/>
          </w:tcPr>
          <w:p w14:paraId="394E3706"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0.13</w:t>
            </w:r>
          </w:p>
        </w:tc>
        <w:tc>
          <w:tcPr>
            <w:tcW w:w="0" w:type="auto"/>
            <w:tcBorders>
              <w:top w:val="single" w:sz="12" w:space="0" w:color="auto"/>
            </w:tcBorders>
            <w:vAlign w:val="center"/>
          </w:tcPr>
          <w:p w14:paraId="08A1AD3C"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2.1</w:t>
            </w:r>
          </w:p>
        </w:tc>
      </w:tr>
      <w:tr w:rsidR="00A94851" w:rsidRPr="00854783" w14:paraId="72E92F02" w14:textId="77777777" w:rsidTr="008717FC">
        <w:trPr>
          <w:trHeight w:val="350"/>
        </w:trPr>
        <w:tc>
          <w:tcPr>
            <w:tcW w:w="2250" w:type="dxa"/>
            <w:vAlign w:val="center"/>
          </w:tcPr>
          <w:p w14:paraId="6301F8EA" w14:textId="77777777" w:rsidR="00D45114" w:rsidRPr="006F26AD" w:rsidRDefault="00D45114" w:rsidP="006F26AD">
            <w:pPr>
              <w:spacing w:after="0"/>
              <w:rPr>
                <w:rFonts w:asciiTheme="minorHAnsi" w:hAnsiTheme="minorHAnsi" w:cstheme="minorHAnsi"/>
                <w:color w:val="000000"/>
                <w:sz w:val="20"/>
                <w:szCs w:val="20"/>
              </w:rPr>
            </w:pPr>
            <w:r>
              <w:rPr>
                <w:rFonts w:asciiTheme="minorHAnsi" w:hAnsiTheme="minorHAnsi" w:cstheme="minorHAnsi"/>
                <w:color w:val="000000"/>
                <w:sz w:val="20"/>
                <w:szCs w:val="20"/>
              </w:rPr>
              <w:t>Jessup et al. 2015</w:t>
            </w:r>
          </w:p>
        </w:tc>
        <w:tc>
          <w:tcPr>
            <w:tcW w:w="1445" w:type="dxa"/>
            <w:vAlign w:val="center"/>
          </w:tcPr>
          <w:p w14:paraId="5DB72563" w14:textId="77777777" w:rsidR="00D45114" w:rsidRPr="006F26AD" w:rsidRDefault="00D45114"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New Mexico</w:t>
            </w:r>
          </w:p>
        </w:tc>
        <w:tc>
          <w:tcPr>
            <w:tcW w:w="2425" w:type="dxa"/>
            <w:vAlign w:val="center"/>
          </w:tcPr>
          <w:p w14:paraId="562234E2" w14:textId="77777777" w:rsidR="00D45114" w:rsidRPr="006F26AD" w:rsidRDefault="00D45114"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BMI, algae, DO minima, DO diel variability</w:t>
            </w:r>
          </w:p>
        </w:tc>
        <w:tc>
          <w:tcPr>
            <w:tcW w:w="1397" w:type="dxa"/>
            <w:vAlign w:val="center"/>
          </w:tcPr>
          <w:p w14:paraId="7953ADD8" w14:textId="77777777" w:rsidR="00D45114" w:rsidRPr="006F26AD" w:rsidRDefault="00D45114"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biomass, nutrients</w:t>
            </w:r>
          </w:p>
        </w:tc>
        <w:tc>
          <w:tcPr>
            <w:tcW w:w="3330" w:type="dxa"/>
            <w:vAlign w:val="center"/>
          </w:tcPr>
          <w:p w14:paraId="1A413F51" w14:textId="77777777" w:rsidR="00D45114" w:rsidRPr="006F26AD" w:rsidRDefault="00D45114"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nCPA</w:t>
            </w:r>
          </w:p>
        </w:tc>
        <w:tc>
          <w:tcPr>
            <w:tcW w:w="0" w:type="auto"/>
            <w:vAlign w:val="center"/>
          </w:tcPr>
          <w:p w14:paraId="5426C60A" w14:textId="77777777" w:rsidR="00D45114" w:rsidRPr="006F26AD" w:rsidRDefault="00D45114"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0.029</w:t>
            </w:r>
          </w:p>
        </w:tc>
        <w:tc>
          <w:tcPr>
            <w:tcW w:w="0" w:type="auto"/>
            <w:vAlign w:val="center"/>
          </w:tcPr>
          <w:p w14:paraId="6E884FA3" w14:textId="77777777" w:rsidR="00D45114" w:rsidRPr="006F26AD" w:rsidRDefault="00D45114"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0.067</w:t>
            </w:r>
          </w:p>
        </w:tc>
        <w:tc>
          <w:tcPr>
            <w:tcW w:w="0" w:type="auto"/>
            <w:vAlign w:val="center"/>
          </w:tcPr>
          <w:p w14:paraId="7E641087" w14:textId="77777777" w:rsidR="00D45114" w:rsidRPr="006F26AD" w:rsidRDefault="00D45114"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0.26</w:t>
            </w:r>
          </w:p>
        </w:tc>
        <w:tc>
          <w:tcPr>
            <w:tcW w:w="0" w:type="auto"/>
            <w:vAlign w:val="center"/>
          </w:tcPr>
          <w:p w14:paraId="5FDB1609" w14:textId="77777777" w:rsidR="00A94851" w:rsidRPr="006F26AD" w:rsidRDefault="00A94851"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0.52</w:t>
            </w:r>
          </w:p>
        </w:tc>
      </w:tr>
      <w:tr w:rsidR="00BD3939" w:rsidRPr="00854783" w14:paraId="36B1BFBE" w14:textId="77777777" w:rsidTr="008717FC">
        <w:trPr>
          <w:trHeight w:val="350"/>
        </w:trPr>
        <w:tc>
          <w:tcPr>
            <w:tcW w:w="2250" w:type="dxa"/>
            <w:vAlign w:val="center"/>
            <w:hideMark/>
          </w:tcPr>
          <w:p w14:paraId="76BD5476" w14:textId="77777777" w:rsidR="006F26AD" w:rsidRPr="006F26AD" w:rsidRDefault="006F26AD" w:rsidP="006F26AD">
            <w:pPr>
              <w:spacing w:after="0"/>
              <w:rPr>
                <w:rFonts w:asciiTheme="minorHAnsi" w:hAnsiTheme="minorHAnsi" w:cstheme="minorHAnsi"/>
                <w:color w:val="000000"/>
                <w:sz w:val="20"/>
                <w:szCs w:val="20"/>
              </w:rPr>
            </w:pPr>
            <w:r w:rsidRPr="006F26AD">
              <w:rPr>
                <w:rFonts w:asciiTheme="minorHAnsi" w:hAnsiTheme="minorHAnsi" w:cstheme="minorHAnsi"/>
                <w:color w:val="000000"/>
                <w:sz w:val="20"/>
                <w:szCs w:val="20"/>
              </w:rPr>
              <w:t xml:space="preserve">Baker et al. 2010 </w:t>
            </w:r>
          </w:p>
        </w:tc>
        <w:tc>
          <w:tcPr>
            <w:tcW w:w="1445" w:type="dxa"/>
            <w:vAlign w:val="center"/>
            <w:hideMark/>
          </w:tcPr>
          <w:p w14:paraId="585E3311"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Everglades</w:t>
            </w:r>
          </w:p>
        </w:tc>
        <w:tc>
          <w:tcPr>
            <w:tcW w:w="2425" w:type="dxa"/>
            <w:vAlign w:val="center"/>
            <w:hideMark/>
          </w:tcPr>
          <w:p w14:paraId="30DA0B49"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BMI</w:t>
            </w:r>
          </w:p>
        </w:tc>
        <w:tc>
          <w:tcPr>
            <w:tcW w:w="1397" w:type="dxa"/>
            <w:vAlign w:val="center"/>
            <w:hideMark/>
          </w:tcPr>
          <w:p w14:paraId="37EFCFE1"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TP</w:t>
            </w:r>
          </w:p>
        </w:tc>
        <w:tc>
          <w:tcPr>
            <w:tcW w:w="3330" w:type="dxa"/>
            <w:vAlign w:val="center"/>
            <w:hideMark/>
          </w:tcPr>
          <w:p w14:paraId="0606B4D9"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TITAN and nCPA</w:t>
            </w:r>
          </w:p>
        </w:tc>
        <w:tc>
          <w:tcPr>
            <w:tcW w:w="0" w:type="auto"/>
            <w:vAlign w:val="center"/>
            <w:hideMark/>
          </w:tcPr>
          <w:p w14:paraId="4A548E98"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0.015</w:t>
            </w:r>
          </w:p>
        </w:tc>
        <w:tc>
          <w:tcPr>
            <w:tcW w:w="0" w:type="auto"/>
            <w:vAlign w:val="center"/>
            <w:hideMark/>
          </w:tcPr>
          <w:p w14:paraId="28EF4C0A"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0.019</w:t>
            </w:r>
          </w:p>
        </w:tc>
        <w:tc>
          <w:tcPr>
            <w:tcW w:w="0" w:type="auto"/>
            <w:vAlign w:val="center"/>
            <w:hideMark/>
          </w:tcPr>
          <w:p w14:paraId="7F44E7E8"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w:t>
            </w:r>
          </w:p>
        </w:tc>
        <w:tc>
          <w:tcPr>
            <w:tcW w:w="0" w:type="auto"/>
            <w:vAlign w:val="center"/>
            <w:hideMark/>
          </w:tcPr>
          <w:p w14:paraId="1181AC0A"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w:t>
            </w:r>
          </w:p>
        </w:tc>
      </w:tr>
      <w:tr w:rsidR="00BD3939" w:rsidRPr="00854783" w14:paraId="6FE2E0AF" w14:textId="77777777" w:rsidTr="008717FC">
        <w:trPr>
          <w:trHeight w:val="395"/>
        </w:trPr>
        <w:tc>
          <w:tcPr>
            <w:tcW w:w="2250" w:type="dxa"/>
            <w:vAlign w:val="center"/>
            <w:hideMark/>
          </w:tcPr>
          <w:p w14:paraId="5C15BA22" w14:textId="77777777" w:rsidR="006F26AD" w:rsidRPr="006F26AD" w:rsidRDefault="006F26AD" w:rsidP="006F26AD">
            <w:pPr>
              <w:spacing w:after="0"/>
              <w:rPr>
                <w:rFonts w:asciiTheme="minorHAnsi" w:hAnsiTheme="minorHAnsi" w:cstheme="minorHAnsi"/>
                <w:color w:val="000000"/>
                <w:sz w:val="20"/>
                <w:szCs w:val="20"/>
              </w:rPr>
            </w:pPr>
            <w:r w:rsidRPr="006F26AD">
              <w:rPr>
                <w:rFonts w:asciiTheme="minorHAnsi" w:hAnsiTheme="minorHAnsi" w:cstheme="minorHAnsi"/>
                <w:color w:val="000000"/>
                <w:sz w:val="20"/>
                <w:szCs w:val="20"/>
              </w:rPr>
              <w:t>Black et al. 2011</w:t>
            </w:r>
          </w:p>
        </w:tc>
        <w:tc>
          <w:tcPr>
            <w:tcW w:w="1445" w:type="dxa"/>
            <w:vAlign w:val="center"/>
            <w:hideMark/>
          </w:tcPr>
          <w:p w14:paraId="48928996"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 xml:space="preserve">western </w:t>
            </w:r>
            <w:r w:rsidR="00BD3939">
              <w:rPr>
                <w:rFonts w:asciiTheme="minorHAnsi" w:hAnsiTheme="minorHAnsi" w:cstheme="minorHAnsi"/>
                <w:color w:val="000000"/>
                <w:sz w:val="20"/>
                <w:szCs w:val="20"/>
              </w:rPr>
              <w:t>US</w:t>
            </w:r>
          </w:p>
        </w:tc>
        <w:tc>
          <w:tcPr>
            <w:tcW w:w="2425" w:type="dxa"/>
            <w:vAlign w:val="center"/>
            <w:hideMark/>
          </w:tcPr>
          <w:p w14:paraId="38B51429"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diatoms</w:t>
            </w:r>
          </w:p>
        </w:tc>
        <w:tc>
          <w:tcPr>
            <w:tcW w:w="1397" w:type="dxa"/>
            <w:vAlign w:val="center"/>
            <w:hideMark/>
          </w:tcPr>
          <w:p w14:paraId="15D34C7A" w14:textId="18352FF2" w:rsidR="006F26AD" w:rsidRPr="006F26AD" w:rsidRDefault="005011E3"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TN, TP</w:t>
            </w:r>
          </w:p>
        </w:tc>
        <w:tc>
          <w:tcPr>
            <w:tcW w:w="3330" w:type="dxa"/>
            <w:vAlign w:val="center"/>
            <w:hideMark/>
          </w:tcPr>
          <w:p w14:paraId="6629A728"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piecewise regression</w:t>
            </w:r>
          </w:p>
        </w:tc>
        <w:tc>
          <w:tcPr>
            <w:tcW w:w="0" w:type="auto"/>
            <w:vAlign w:val="center"/>
            <w:hideMark/>
          </w:tcPr>
          <w:p w14:paraId="66FE8444"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0.03</w:t>
            </w:r>
          </w:p>
        </w:tc>
        <w:tc>
          <w:tcPr>
            <w:tcW w:w="0" w:type="auto"/>
            <w:vAlign w:val="center"/>
            <w:hideMark/>
          </w:tcPr>
          <w:p w14:paraId="4D2523A2"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0.28</w:t>
            </w:r>
          </w:p>
        </w:tc>
        <w:tc>
          <w:tcPr>
            <w:tcW w:w="0" w:type="auto"/>
            <w:vAlign w:val="center"/>
            <w:hideMark/>
          </w:tcPr>
          <w:p w14:paraId="24D4CC27"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0.59</w:t>
            </w:r>
          </w:p>
        </w:tc>
        <w:tc>
          <w:tcPr>
            <w:tcW w:w="0" w:type="auto"/>
            <w:vAlign w:val="center"/>
            <w:hideMark/>
          </w:tcPr>
          <w:p w14:paraId="12A8C6E4"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1.79</w:t>
            </w:r>
          </w:p>
        </w:tc>
      </w:tr>
      <w:tr w:rsidR="0079785D" w:rsidRPr="00854783" w14:paraId="3EB1754F" w14:textId="77777777" w:rsidTr="008717FC">
        <w:trPr>
          <w:trHeight w:val="440"/>
        </w:trPr>
        <w:tc>
          <w:tcPr>
            <w:tcW w:w="2250" w:type="dxa"/>
            <w:vAlign w:val="center"/>
          </w:tcPr>
          <w:p w14:paraId="6DD27AD4" w14:textId="77777777" w:rsidR="0079785D" w:rsidRDefault="0079785D" w:rsidP="006F26AD">
            <w:pPr>
              <w:spacing w:after="0"/>
              <w:rPr>
                <w:rFonts w:asciiTheme="minorHAnsi" w:hAnsiTheme="minorHAnsi" w:cstheme="minorHAnsi"/>
                <w:color w:val="000000"/>
                <w:sz w:val="20"/>
                <w:szCs w:val="20"/>
              </w:rPr>
            </w:pPr>
            <w:r>
              <w:rPr>
                <w:rFonts w:asciiTheme="minorHAnsi" w:hAnsiTheme="minorHAnsi" w:cstheme="minorHAnsi"/>
                <w:color w:val="000000"/>
                <w:sz w:val="20"/>
                <w:szCs w:val="20"/>
              </w:rPr>
              <w:t>Caskey et al. 2005</w:t>
            </w:r>
          </w:p>
        </w:tc>
        <w:tc>
          <w:tcPr>
            <w:tcW w:w="1445" w:type="dxa"/>
            <w:vAlign w:val="center"/>
          </w:tcPr>
          <w:p w14:paraId="3EBF0E87" w14:textId="77777777" w:rsidR="0079785D" w:rsidRDefault="0079785D"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Indiana</w:t>
            </w:r>
          </w:p>
        </w:tc>
        <w:tc>
          <w:tcPr>
            <w:tcW w:w="2425" w:type="dxa"/>
            <w:vAlign w:val="center"/>
          </w:tcPr>
          <w:p w14:paraId="429D2018" w14:textId="77777777" w:rsidR="0079785D" w:rsidRDefault="0079785D"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Fish and BMI</w:t>
            </w:r>
          </w:p>
        </w:tc>
        <w:tc>
          <w:tcPr>
            <w:tcW w:w="1397" w:type="dxa"/>
            <w:vAlign w:val="center"/>
          </w:tcPr>
          <w:p w14:paraId="20E50466" w14:textId="77777777" w:rsidR="0079785D" w:rsidRDefault="0079785D"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Biomass, nutrients</w:t>
            </w:r>
          </w:p>
        </w:tc>
        <w:tc>
          <w:tcPr>
            <w:tcW w:w="3330" w:type="dxa"/>
            <w:vAlign w:val="center"/>
          </w:tcPr>
          <w:p w14:paraId="0CE68211" w14:textId="77777777" w:rsidR="0079785D" w:rsidRDefault="0079785D"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nCPA</w:t>
            </w:r>
          </w:p>
        </w:tc>
        <w:tc>
          <w:tcPr>
            <w:tcW w:w="0" w:type="auto"/>
            <w:vAlign w:val="center"/>
          </w:tcPr>
          <w:p w14:paraId="021884D2" w14:textId="77777777" w:rsidR="0079785D" w:rsidRDefault="0079785D"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0.083</w:t>
            </w:r>
          </w:p>
        </w:tc>
        <w:tc>
          <w:tcPr>
            <w:tcW w:w="0" w:type="auto"/>
            <w:vAlign w:val="center"/>
          </w:tcPr>
          <w:p w14:paraId="01AC1A13" w14:textId="77777777" w:rsidR="0079785D" w:rsidRDefault="0079785D"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0.144</w:t>
            </w:r>
          </w:p>
        </w:tc>
        <w:tc>
          <w:tcPr>
            <w:tcW w:w="0" w:type="auto"/>
            <w:vAlign w:val="center"/>
          </w:tcPr>
          <w:p w14:paraId="4270FDB5" w14:textId="77777777" w:rsidR="0079785D" w:rsidRDefault="0079785D"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1.03</w:t>
            </w:r>
          </w:p>
        </w:tc>
        <w:tc>
          <w:tcPr>
            <w:tcW w:w="0" w:type="auto"/>
            <w:vAlign w:val="center"/>
          </w:tcPr>
          <w:p w14:paraId="03C1D914" w14:textId="77777777" w:rsidR="0079785D" w:rsidRDefault="0079785D"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2.61</w:t>
            </w:r>
          </w:p>
        </w:tc>
      </w:tr>
      <w:tr w:rsidR="00A94851" w:rsidRPr="00854783" w14:paraId="56C8AA33" w14:textId="77777777" w:rsidTr="008717FC">
        <w:trPr>
          <w:trHeight w:val="440"/>
        </w:trPr>
        <w:tc>
          <w:tcPr>
            <w:tcW w:w="2250" w:type="dxa"/>
            <w:vAlign w:val="center"/>
          </w:tcPr>
          <w:p w14:paraId="38EE3583" w14:textId="77777777" w:rsidR="00A94851" w:rsidRPr="006F26AD" w:rsidRDefault="00A94851" w:rsidP="006F26AD">
            <w:pPr>
              <w:spacing w:after="0"/>
              <w:rPr>
                <w:rFonts w:asciiTheme="minorHAnsi" w:hAnsiTheme="minorHAnsi" w:cstheme="minorHAnsi"/>
                <w:color w:val="000000"/>
                <w:sz w:val="20"/>
                <w:szCs w:val="20"/>
              </w:rPr>
            </w:pPr>
            <w:r>
              <w:rPr>
                <w:rFonts w:asciiTheme="minorHAnsi" w:hAnsiTheme="minorHAnsi" w:cstheme="minorHAnsi"/>
                <w:color w:val="000000"/>
                <w:sz w:val="20"/>
                <w:szCs w:val="20"/>
              </w:rPr>
              <w:t>Miltner 2010</w:t>
            </w:r>
          </w:p>
        </w:tc>
        <w:tc>
          <w:tcPr>
            <w:tcW w:w="1445" w:type="dxa"/>
            <w:vAlign w:val="center"/>
          </w:tcPr>
          <w:p w14:paraId="2587A5F4" w14:textId="77777777" w:rsidR="00A94851" w:rsidRPr="006F26AD" w:rsidRDefault="00A94851"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Ohio</w:t>
            </w:r>
          </w:p>
        </w:tc>
        <w:tc>
          <w:tcPr>
            <w:tcW w:w="2425" w:type="dxa"/>
            <w:vAlign w:val="center"/>
          </w:tcPr>
          <w:p w14:paraId="5FF6406E" w14:textId="77777777" w:rsidR="00A94851" w:rsidRPr="006F26AD" w:rsidRDefault="00A94851"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BMI</w:t>
            </w:r>
          </w:p>
        </w:tc>
        <w:tc>
          <w:tcPr>
            <w:tcW w:w="1397" w:type="dxa"/>
            <w:vAlign w:val="center"/>
          </w:tcPr>
          <w:p w14:paraId="05129E0C" w14:textId="77777777" w:rsidR="00A94851" w:rsidRPr="006F26AD" w:rsidRDefault="00A94851"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Nutrients and Biomass</w:t>
            </w:r>
          </w:p>
        </w:tc>
        <w:tc>
          <w:tcPr>
            <w:tcW w:w="3330" w:type="dxa"/>
            <w:vAlign w:val="center"/>
          </w:tcPr>
          <w:p w14:paraId="3645DCEB" w14:textId="77777777" w:rsidR="00A94851" w:rsidRPr="006F26AD" w:rsidRDefault="00A94851"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nCPA</w:t>
            </w:r>
          </w:p>
        </w:tc>
        <w:tc>
          <w:tcPr>
            <w:tcW w:w="0" w:type="auto"/>
            <w:vAlign w:val="center"/>
          </w:tcPr>
          <w:p w14:paraId="313903CE" w14:textId="77777777" w:rsidR="00A94851" w:rsidRPr="006F26AD" w:rsidRDefault="00A94851"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0.048</w:t>
            </w:r>
          </w:p>
        </w:tc>
        <w:tc>
          <w:tcPr>
            <w:tcW w:w="0" w:type="auto"/>
            <w:vAlign w:val="center"/>
          </w:tcPr>
          <w:p w14:paraId="7353C6E8" w14:textId="77777777" w:rsidR="00A94851" w:rsidRPr="006F26AD" w:rsidRDefault="00A94851"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0.078</w:t>
            </w:r>
          </w:p>
        </w:tc>
        <w:tc>
          <w:tcPr>
            <w:tcW w:w="0" w:type="auto"/>
            <w:vAlign w:val="center"/>
          </w:tcPr>
          <w:p w14:paraId="7002A0A6" w14:textId="77777777" w:rsidR="00A94851" w:rsidRPr="006F26AD" w:rsidRDefault="00A94851"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w:t>
            </w:r>
          </w:p>
        </w:tc>
        <w:tc>
          <w:tcPr>
            <w:tcW w:w="0" w:type="auto"/>
            <w:vAlign w:val="center"/>
          </w:tcPr>
          <w:p w14:paraId="2FD9EF93" w14:textId="77777777" w:rsidR="00A94851" w:rsidRPr="006F26AD" w:rsidRDefault="00A94851"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w:t>
            </w:r>
          </w:p>
        </w:tc>
      </w:tr>
      <w:tr w:rsidR="00BD3939" w:rsidRPr="00854783" w14:paraId="150B285F" w14:textId="77777777" w:rsidTr="008717FC">
        <w:trPr>
          <w:trHeight w:val="440"/>
        </w:trPr>
        <w:tc>
          <w:tcPr>
            <w:tcW w:w="2250" w:type="dxa"/>
            <w:vAlign w:val="center"/>
            <w:hideMark/>
          </w:tcPr>
          <w:p w14:paraId="6B365186" w14:textId="77777777" w:rsidR="006F26AD" w:rsidRPr="006F26AD" w:rsidRDefault="006F26AD" w:rsidP="006F26AD">
            <w:pPr>
              <w:spacing w:after="0"/>
              <w:rPr>
                <w:rFonts w:asciiTheme="minorHAnsi" w:hAnsiTheme="minorHAnsi" w:cstheme="minorHAnsi"/>
                <w:color w:val="000000"/>
                <w:sz w:val="20"/>
                <w:szCs w:val="20"/>
              </w:rPr>
            </w:pPr>
            <w:r w:rsidRPr="006F26AD">
              <w:rPr>
                <w:rFonts w:asciiTheme="minorHAnsi" w:hAnsiTheme="minorHAnsi" w:cstheme="minorHAnsi"/>
                <w:color w:val="000000"/>
                <w:sz w:val="20"/>
                <w:szCs w:val="20"/>
              </w:rPr>
              <w:t>Evans-White et al. 2009</w:t>
            </w:r>
          </w:p>
        </w:tc>
        <w:tc>
          <w:tcPr>
            <w:tcW w:w="1445" w:type="dxa"/>
            <w:vAlign w:val="center"/>
            <w:hideMark/>
          </w:tcPr>
          <w:p w14:paraId="1DE26A35" w14:textId="77777777" w:rsidR="006F26AD" w:rsidRPr="006F26AD" w:rsidRDefault="008717FC"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KS., MS, NE</w:t>
            </w:r>
            <w:r w:rsidR="006F26AD" w:rsidRPr="006F26AD">
              <w:rPr>
                <w:rFonts w:asciiTheme="minorHAnsi" w:hAnsiTheme="minorHAnsi" w:cstheme="minorHAnsi"/>
                <w:color w:val="000000"/>
                <w:sz w:val="20"/>
                <w:szCs w:val="20"/>
              </w:rPr>
              <w:t xml:space="preserve"> </w:t>
            </w:r>
          </w:p>
        </w:tc>
        <w:tc>
          <w:tcPr>
            <w:tcW w:w="2425" w:type="dxa"/>
            <w:vAlign w:val="center"/>
            <w:hideMark/>
          </w:tcPr>
          <w:p w14:paraId="121135B8"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BMIs</w:t>
            </w:r>
          </w:p>
        </w:tc>
        <w:tc>
          <w:tcPr>
            <w:tcW w:w="1397" w:type="dxa"/>
            <w:vAlign w:val="center"/>
            <w:hideMark/>
          </w:tcPr>
          <w:p w14:paraId="39468BBE" w14:textId="397F92A6" w:rsidR="006F26AD" w:rsidRPr="006F26AD" w:rsidRDefault="005011E3"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TN, TP</w:t>
            </w:r>
          </w:p>
        </w:tc>
        <w:tc>
          <w:tcPr>
            <w:tcW w:w="3330" w:type="dxa"/>
            <w:vAlign w:val="center"/>
            <w:hideMark/>
          </w:tcPr>
          <w:p w14:paraId="626BBED4"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nCPA</w:t>
            </w:r>
          </w:p>
        </w:tc>
        <w:tc>
          <w:tcPr>
            <w:tcW w:w="0" w:type="auto"/>
            <w:vAlign w:val="center"/>
            <w:hideMark/>
          </w:tcPr>
          <w:p w14:paraId="5A84BDCE"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0.05</w:t>
            </w:r>
          </w:p>
        </w:tc>
        <w:tc>
          <w:tcPr>
            <w:tcW w:w="0" w:type="auto"/>
            <w:vAlign w:val="center"/>
            <w:hideMark/>
          </w:tcPr>
          <w:p w14:paraId="31726C2B"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0.05</w:t>
            </w:r>
          </w:p>
        </w:tc>
        <w:tc>
          <w:tcPr>
            <w:tcW w:w="0" w:type="auto"/>
            <w:vAlign w:val="center"/>
            <w:hideMark/>
          </w:tcPr>
          <w:p w14:paraId="0DAC696B"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1.04</w:t>
            </w:r>
          </w:p>
        </w:tc>
        <w:tc>
          <w:tcPr>
            <w:tcW w:w="0" w:type="auto"/>
            <w:vAlign w:val="center"/>
            <w:hideMark/>
          </w:tcPr>
          <w:p w14:paraId="2A54DF66"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1.04</w:t>
            </w:r>
          </w:p>
        </w:tc>
      </w:tr>
      <w:tr w:rsidR="00BD3939" w:rsidRPr="00854783" w14:paraId="53C4ADF7" w14:textId="77777777" w:rsidTr="008717FC">
        <w:trPr>
          <w:trHeight w:val="368"/>
        </w:trPr>
        <w:tc>
          <w:tcPr>
            <w:tcW w:w="2250" w:type="dxa"/>
            <w:vAlign w:val="center"/>
            <w:hideMark/>
          </w:tcPr>
          <w:p w14:paraId="68186F98" w14:textId="77777777" w:rsidR="006F26AD" w:rsidRPr="006F26AD" w:rsidRDefault="006F26AD" w:rsidP="006F26AD">
            <w:pPr>
              <w:spacing w:after="0"/>
              <w:rPr>
                <w:rFonts w:asciiTheme="minorHAnsi" w:hAnsiTheme="minorHAnsi" w:cstheme="minorHAnsi"/>
                <w:color w:val="000000"/>
                <w:sz w:val="20"/>
                <w:szCs w:val="20"/>
              </w:rPr>
            </w:pPr>
            <w:r w:rsidRPr="006F26AD">
              <w:rPr>
                <w:rFonts w:asciiTheme="minorHAnsi" w:hAnsiTheme="minorHAnsi" w:cstheme="minorHAnsi"/>
                <w:color w:val="000000"/>
                <w:sz w:val="20"/>
                <w:szCs w:val="20"/>
              </w:rPr>
              <w:t>Paul et al. 2007</w:t>
            </w:r>
          </w:p>
        </w:tc>
        <w:tc>
          <w:tcPr>
            <w:tcW w:w="1445" w:type="dxa"/>
            <w:vAlign w:val="center"/>
            <w:hideMark/>
          </w:tcPr>
          <w:p w14:paraId="0C7E0512" w14:textId="77777777" w:rsidR="006F26AD" w:rsidRPr="006F26AD" w:rsidRDefault="008717FC" w:rsidP="006F26AD">
            <w:pPr>
              <w:spacing w:after="0"/>
              <w:jc w:val="center"/>
              <w:rPr>
                <w:rFonts w:asciiTheme="minorHAnsi" w:hAnsiTheme="minorHAnsi" w:cstheme="minorHAnsi"/>
                <w:color w:val="000000"/>
                <w:sz w:val="20"/>
                <w:szCs w:val="20"/>
              </w:rPr>
            </w:pPr>
            <w:r>
              <w:rPr>
                <w:rFonts w:asciiTheme="minorHAnsi" w:hAnsiTheme="minorHAnsi" w:cstheme="minorHAnsi"/>
                <w:color w:val="000000"/>
                <w:sz w:val="20"/>
                <w:szCs w:val="20"/>
              </w:rPr>
              <w:t>SE PA</w:t>
            </w:r>
          </w:p>
        </w:tc>
        <w:tc>
          <w:tcPr>
            <w:tcW w:w="2425" w:type="dxa"/>
            <w:vAlign w:val="center"/>
            <w:hideMark/>
          </w:tcPr>
          <w:p w14:paraId="599537C3"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BMIs, diatoms</w:t>
            </w:r>
          </w:p>
        </w:tc>
        <w:tc>
          <w:tcPr>
            <w:tcW w:w="1397" w:type="dxa"/>
            <w:vAlign w:val="center"/>
            <w:hideMark/>
          </w:tcPr>
          <w:p w14:paraId="4C8924D5"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TP</w:t>
            </w:r>
          </w:p>
        </w:tc>
        <w:tc>
          <w:tcPr>
            <w:tcW w:w="3330" w:type="dxa"/>
            <w:vAlign w:val="center"/>
            <w:hideMark/>
          </w:tcPr>
          <w:p w14:paraId="4456D5EC"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nCPA</w:t>
            </w:r>
          </w:p>
        </w:tc>
        <w:tc>
          <w:tcPr>
            <w:tcW w:w="0" w:type="auto"/>
            <w:vAlign w:val="center"/>
            <w:hideMark/>
          </w:tcPr>
          <w:p w14:paraId="525990B5"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0.038</w:t>
            </w:r>
          </w:p>
        </w:tc>
        <w:tc>
          <w:tcPr>
            <w:tcW w:w="0" w:type="auto"/>
            <w:vAlign w:val="center"/>
            <w:hideMark/>
          </w:tcPr>
          <w:p w14:paraId="51113EA7"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0.064</w:t>
            </w:r>
          </w:p>
        </w:tc>
        <w:tc>
          <w:tcPr>
            <w:tcW w:w="0" w:type="auto"/>
            <w:vAlign w:val="center"/>
            <w:hideMark/>
          </w:tcPr>
          <w:p w14:paraId="1D9D70C6"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w:t>
            </w:r>
          </w:p>
        </w:tc>
        <w:tc>
          <w:tcPr>
            <w:tcW w:w="0" w:type="auto"/>
            <w:vAlign w:val="center"/>
            <w:hideMark/>
          </w:tcPr>
          <w:p w14:paraId="3BFC292E"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w:t>
            </w:r>
          </w:p>
        </w:tc>
      </w:tr>
      <w:tr w:rsidR="00BD3939" w:rsidRPr="00854783" w14:paraId="0638B1C2" w14:textId="77777777" w:rsidTr="008717FC">
        <w:trPr>
          <w:trHeight w:val="395"/>
        </w:trPr>
        <w:tc>
          <w:tcPr>
            <w:tcW w:w="2250" w:type="dxa"/>
            <w:vAlign w:val="center"/>
          </w:tcPr>
          <w:p w14:paraId="3B52B7EB" w14:textId="77777777" w:rsidR="00BD3939" w:rsidRPr="006F26AD" w:rsidRDefault="00BD3939" w:rsidP="006F26AD">
            <w:pPr>
              <w:spacing w:after="0"/>
              <w:rPr>
                <w:rFonts w:asciiTheme="minorHAnsi" w:hAnsiTheme="minorHAnsi" w:cstheme="minorHAnsi"/>
                <w:color w:val="000000"/>
                <w:sz w:val="20"/>
                <w:szCs w:val="20"/>
              </w:rPr>
            </w:pPr>
            <w:r w:rsidRPr="006F26AD">
              <w:rPr>
                <w:rFonts w:asciiTheme="minorHAnsi" w:hAnsiTheme="minorHAnsi" w:cstheme="minorHAnsi"/>
                <w:color w:val="000000"/>
                <w:sz w:val="20"/>
                <w:szCs w:val="20"/>
              </w:rPr>
              <w:t>Qian et al. 2003</w:t>
            </w:r>
          </w:p>
        </w:tc>
        <w:tc>
          <w:tcPr>
            <w:tcW w:w="1445" w:type="dxa"/>
            <w:vMerge w:val="restart"/>
            <w:vAlign w:val="center"/>
          </w:tcPr>
          <w:p w14:paraId="6F668E61" w14:textId="77777777" w:rsidR="00BD3939" w:rsidRPr="006F26AD" w:rsidRDefault="00BD3939"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Florida Everglades</w:t>
            </w:r>
          </w:p>
          <w:p w14:paraId="4C71218A" w14:textId="77777777" w:rsidR="00BD3939" w:rsidRPr="006F26AD" w:rsidRDefault="00BD3939" w:rsidP="006F26AD">
            <w:pPr>
              <w:spacing w:after="0"/>
              <w:jc w:val="center"/>
              <w:rPr>
                <w:rFonts w:asciiTheme="minorHAnsi" w:hAnsiTheme="minorHAnsi" w:cstheme="minorHAnsi"/>
                <w:color w:val="000000"/>
                <w:sz w:val="20"/>
                <w:szCs w:val="20"/>
              </w:rPr>
            </w:pPr>
          </w:p>
        </w:tc>
        <w:tc>
          <w:tcPr>
            <w:tcW w:w="2425" w:type="dxa"/>
            <w:vAlign w:val="center"/>
          </w:tcPr>
          <w:p w14:paraId="2B20802E" w14:textId="77777777" w:rsidR="00BD3939" w:rsidRPr="006F26AD" w:rsidRDefault="00BD3939"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BMIs</w:t>
            </w:r>
          </w:p>
        </w:tc>
        <w:tc>
          <w:tcPr>
            <w:tcW w:w="1397" w:type="dxa"/>
            <w:vAlign w:val="center"/>
          </w:tcPr>
          <w:p w14:paraId="18E21E69" w14:textId="77777777" w:rsidR="00BD3939" w:rsidRPr="006F26AD" w:rsidRDefault="00BD3939"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TP</w:t>
            </w:r>
          </w:p>
        </w:tc>
        <w:tc>
          <w:tcPr>
            <w:tcW w:w="3330" w:type="dxa"/>
            <w:vAlign w:val="center"/>
          </w:tcPr>
          <w:p w14:paraId="35B55060" w14:textId="77777777" w:rsidR="00BD3939" w:rsidRPr="006F26AD" w:rsidRDefault="00BD3939"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 xml:space="preserve">changepoint </w:t>
            </w:r>
            <w:r>
              <w:rPr>
                <w:rFonts w:asciiTheme="minorHAnsi" w:hAnsiTheme="minorHAnsi" w:cstheme="minorHAnsi"/>
                <w:color w:val="000000"/>
                <w:sz w:val="20"/>
                <w:szCs w:val="20"/>
              </w:rPr>
              <w:t>with</w:t>
            </w:r>
            <w:r w:rsidRPr="006F26AD">
              <w:rPr>
                <w:rFonts w:asciiTheme="minorHAnsi" w:hAnsiTheme="minorHAnsi" w:cstheme="minorHAnsi"/>
                <w:color w:val="000000"/>
                <w:sz w:val="20"/>
                <w:szCs w:val="20"/>
              </w:rPr>
              <w:t xml:space="preserve"> nonparametric &amp; the Bayesian methods</w:t>
            </w:r>
          </w:p>
        </w:tc>
        <w:tc>
          <w:tcPr>
            <w:tcW w:w="0" w:type="auto"/>
            <w:vAlign w:val="center"/>
          </w:tcPr>
          <w:p w14:paraId="07D94F7D" w14:textId="77777777" w:rsidR="00BD3939" w:rsidRPr="006F26AD" w:rsidRDefault="00BD3939"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0.011</w:t>
            </w:r>
          </w:p>
        </w:tc>
        <w:tc>
          <w:tcPr>
            <w:tcW w:w="0" w:type="auto"/>
            <w:vAlign w:val="center"/>
          </w:tcPr>
          <w:p w14:paraId="36CB355E" w14:textId="77777777" w:rsidR="00BD3939" w:rsidRPr="006F26AD" w:rsidRDefault="00BD3939"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0.014</w:t>
            </w:r>
          </w:p>
        </w:tc>
        <w:tc>
          <w:tcPr>
            <w:tcW w:w="0" w:type="auto"/>
            <w:vAlign w:val="center"/>
          </w:tcPr>
          <w:p w14:paraId="2CCB3183" w14:textId="77777777" w:rsidR="00BD3939" w:rsidRPr="006F26AD" w:rsidRDefault="00BD3939"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w:t>
            </w:r>
          </w:p>
        </w:tc>
        <w:tc>
          <w:tcPr>
            <w:tcW w:w="0" w:type="auto"/>
            <w:vAlign w:val="center"/>
          </w:tcPr>
          <w:p w14:paraId="0A374AAE" w14:textId="77777777" w:rsidR="00BD3939" w:rsidRPr="006F26AD" w:rsidRDefault="00BD3939"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w:t>
            </w:r>
          </w:p>
        </w:tc>
      </w:tr>
      <w:tr w:rsidR="00BD3939" w:rsidRPr="00854783" w14:paraId="2CD95CEC" w14:textId="77777777" w:rsidTr="008717FC">
        <w:trPr>
          <w:trHeight w:val="440"/>
        </w:trPr>
        <w:tc>
          <w:tcPr>
            <w:tcW w:w="2250" w:type="dxa"/>
            <w:vAlign w:val="center"/>
          </w:tcPr>
          <w:p w14:paraId="480809F6" w14:textId="77777777" w:rsidR="00BD3939" w:rsidRPr="006F26AD" w:rsidRDefault="00BD3939" w:rsidP="006F26AD">
            <w:pPr>
              <w:spacing w:after="0"/>
              <w:rPr>
                <w:rFonts w:asciiTheme="minorHAnsi" w:hAnsiTheme="minorHAnsi" w:cstheme="minorHAnsi"/>
                <w:color w:val="000000"/>
                <w:sz w:val="20"/>
                <w:szCs w:val="20"/>
              </w:rPr>
            </w:pPr>
            <w:r w:rsidRPr="006F26AD">
              <w:rPr>
                <w:rFonts w:asciiTheme="minorHAnsi" w:hAnsiTheme="minorHAnsi" w:cstheme="minorHAnsi"/>
                <w:color w:val="000000"/>
                <w:sz w:val="20"/>
                <w:szCs w:val="20"/>
              </w:rPr>
              <w:t>Richardson et al. 2007</w:t>
            </w:r>
          </w:p>
        </w:tc>
        <w:tc>
          <w:tcPr>
            <w:tcW w:w="1445" w:type="dxa"/>
            <w:vMerge/>
            <w:vAlign w:val="center"/>
          </w:tcPr>
          <w:p w14:paraId="7772FBD4" w14:textId="77777777" w:rsidR="00BD3939" w:rsidRPr="006F26AD" w:rsidRDefault="00BD3939" w:rsidP="006F26AD">
            <w:pPr>
              <w:spacing w:after="0"/>
              <w:jc w:val="center"/>
              <w:rPr>
                <w:rFonts w:asciiTheme="minorHAnsi" w:hAnsiTheme="minorHAnsi" w:cstheme="minorHAnsi"/>
                <w:color w:val="000000"/>
                <w:sz w:val="20"/>
                <w:szCs w:val="20"/>
              </w:rPr>
            </w:pPr>
          </w:p>
        </w:tc>
        <w:tc>
          <w:tcPr>
            <w:tcW w:w="2425" w:type="dxa"/>
            <w:vAlign w:val="center"/>
          </w:tcPr>
          <w:p w14:paraId="1133EF93" w14:textId="77777777" w:rsidR="00BD3939" w:rsidRPr="006F26AD" w:rsidRDefault="00BD3939"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algal, macrophyte and BMI</w:t>
            </w:r>
          </w:p>
        </w:tc>
        <w:tc>
          <w:tcPr>
            <w:tcW w:w="1397" w:type="dxa"/>
            <w:vAlign w:val="center"/>
          </w:tcPr>
          <w:p w14:paraId="107AA21D" w14:textId="77777777" w:rsidR="00BD3939" w:rsidRPr="006F26AD" w:rsidRDefault="00BD3939"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TP</w:t>
            </w:r>
          </w:p>
        </w:tc>
        <w:tc>
          <w:tcPr>
            <w:tcW w:w="3330" w:type="dxa"/>
            <w:vAlign w:val="center"/>
          </w:tcPr>
          <w:p w14:paraId="4BA9DF7E" w14:textId="77777777" w:rsidR="00BD3939" w:rsidRPr="006F26AD" w:rsidRDefault="00BD3939"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Bayesian change point analysis</w:t>
            </w:r>
          </w:p>
        </w:tc>
        <w:tc>
          <w:tcPr>
            <w:tcW w:w="0" w:type="auto"/>
            <w:vAlign w:val="center"/>
          </w:tcPr>
          <w:p w14:paraId="4EEFBE03" w14:textId="77777777" w:rsidR="00BD3939" w:rsidRPr="006F26AD" w:rsidRDefault="00BD3939"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0.008</w:t>
            </w:r>
          </w:p>
        </w:tc>
        <w:tc>
          <w:tcPr>
            <w:tcW w:w="0" w:type="auto"/>
            <w:vAlign w:val="center"/>
          </w:tcPr>
          <w:p w14:paraId="5E595FBD" w14:textId="77777777" w:rsidR="00BD3939" w:rsidRPr="006F26AD" w:rsidRDefault="00BD3939"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0.024</w:t>
            </w:r>
          </w:p>
        </w:tc>
        <w:tc>
          <w:tcPr>
            <w:tcW w:w="0" w:type="auto"/>
            <w:vAlign w:val="center"/>
          </w:tcPr>
          <w:p w14:paraId="25BAD005" w14:textId="77777777" w:rsidR="00BD3939" w:rsidRPr="006F26AD" w:rsidRDefault="00BD3939"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w:t>
            </w:r>
          </w:p>
        </w:tc>
        <w:tc>
          <w:tcPr>
            <w:tcW w:w="0" w:type="auto"/>
            <w:vAlign w:val="center"/>
          </w:tcPr>
          <w:p w14:paraId="0ACB1B0C" w14:textId="77777777" w:rsidR="00BD3939" w:rsidRPr="006F26AD" w:rsidRDefault="00BD3939"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w:t>
            </w:r>
          </w:p>
        </w:tc>
      </w:tr>
      <w:tr w:rsidR="00BD3939" w:rsidRPr="00854783" w14:paraId="1A5F1FC4" w14:textId="77777777" w:rsidTr="008717FC">
        <w:trPr>
          <w:trHeight w:val="440"/>
        </w:trPr>
        <w:tc>
          <w:tcPr>
            <w:tcW w:w="2250" w:type="dxa"/>
            <w:vAlign w:val="center"/>
          </w:tcPr>
          <w:p w14:paraId="29CEA11A" w14:textId="77777777" w:rsidR="006F26AD" w:rsidRPr="006F26AD" w:rsidRDefault="006F26AD" w:rsidP="006F26AD">
            <w:pPr>
              <w:spacing w:after="0"/>
              <w:rPr>
                <w:rFonts w:asciiTheme="minorHAnsi" w:hAnsiTheme="minorHAnsi" w:cstheme="minorHAnsi"/>
                <w:color w:val="000000"/>
                <w:sz w:val="20"/>
                <w:szCs w:val="20"/>
              </w:rPr>
            </w:pPr>
            <w:r w:rsidRPr="006F26AD">
              <w:rPr>
                <w:rFonts w:asciiTheme="minorHAnsi" w:hAnsiTheme="minorHAnsi" w:cstheme="minorHAnsi"/>
                <w:color w:val="000000"/>
                <w:sz w:val="20"/>
                <w:szCs w:val="20"/>
              </w:rPr>
              <w:t>Smith et al. 2010</w:t>
            </w:r>
          </w:p>
        </w:tc>
        <w:tc>
          <w:tcPr>
            <w:tcW w:w="1445" w:type="dxa"/>
            <w:vAlign w:val="center"/>
          </w:tcPr>
          <w:p w14:paraId="77073457"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New York</w:t>
            </w:r>
          </w:p>
        </w:tc>
        <w:tc>
          <w:tcPr>
            <w:tcW w:w="2425" w:type="dxa"/>
            <w:vAlign w:val="center"/>
          </w:tcPr>
          <w:p w14:paraId="6A6FDBE6"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BMI, diatom</w:t>
            </w:r>
          </w:p>
        </w:tc>
        <w:tc>
          <w:tcPr>
            <w:tcW w:w="1397" w:type="dxa"/>
            <w:vAlign w:val="center"/>
          </w:tcPr>
          <w:p w14:paraId="6053EEC7" w14:textId="5ACE6032" w:rsidR="006F26AD" w:rsidRPr="006F26AD" w:rsidRDefault="005011E3"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TN, TP</w:t>
            </w:r>
          </w:p>
        </w:tc>
        <w:tc>
          <w:tcPr>
            <w:tcW w:w="3330" w:type="dxa"/>
            <w:vAlign w:val="center"/>
          </w:tcPr>
          <w:p w14:paraId="0EFC3B89"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nCPA</w:t>
            </w:r>
          </w:p>
        </w:tc>
        <w:tc>
          <w:tcPr>
            <w:tcW w:w="0" w:type="auto"/>
            <w:vAlign w:val="center"/>
          </w:tcPr>
          <w:p w14:paraId="7D84B82E"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0.009</w:t>
            </w:r>
          </w:p>
        </w:tc>
        <w:tc>
          <w:tcPr>
            <w:tcW w:w="0" w:type="auto"/>
            <w:vAlign w:val="center"/>
          </w:tcPr>
          <w:p w14:paraId="679AAC80"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0.07</w:t>
            </w:r>
          </w:p>
        </w:tc>
        <w:tc>
          <w:tcPr>
            <w:tcW w:w="0" w:type="auto"/>
            <w:vAlign w:val="center"/>
          </w:tcPr>
          <w:p w14:paraId="33D8AB01"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0.41</w:t>
            </w:r>
          </w:p>
        </w:tc>
        <w:tc>
          <w:tcPr>
            <w:tcW w:w="0" w:type="auto"/>
            <w:vAlign w:val="center"/>
          </w:tcPr>
          <w:p w14:paraId="1A250C8C"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1.2</w:t>
            </w:r>
          </w:p>
        </w:tc>
      </w:tr>
      <w:tr w:rsidR="00BD3939" w:rsidRPr="00854783" w14:paraId="4CDB99DE" w14:textId="77777777" w:rsidTr="008717FC">
        <w:trPr>
          <w:trHeight w:val="440"/>
        </w:trPr>
        <w:tc>
          <w:tcPr>
            <w:tcW w:w="2250" w:type="dxa"/>
            <w:vAlign w:val="center"/>
          </w:tcPr>
          <w:p w14:paraId="4E5271ED" w14:textId="77777777" w:rsidR="006F26AD" w:rsidRPr="006F26AD" w:rsidRDefault="006F26AD" w:rsidP="006F26AD">
            <w:pPr>
              <w:spacing w:after="0"/>
              <w:rPr>
                <w:rFonts w:asciiTheme="minorHAnsi" w:hAnsiTheme="minorHAnsi" w:cstheme="minorHAnsi"/>
                <w:color w:val="000000"/>
                <w:sz w:val="20"/>
                <w:szCs w:val="20"/>
              </w:rPr>
            </w:pPr>
            <w:r w:rsidRPr="006F26AD">
              <w:rPr>
                <w:rFonts w:asciiTheme="minorHAnsi" w:hAnsiTheme="minorHAnsi" w:cstheme="minorHAnsi"/>
                <w:color w:val="000000"/>
                <w:sz w:val="20"/>
                <w:szCs w:val="20"/>
              </w:rPr>
              <w:t>Smith et al. 2007</w:t>
            </w:r>
          </w:p>
        </w:tc>
        <w:tc>
          <w:tcPr>
            <w:tcW w:w="1445" w:type="dxa"/>
            <w:vAlign w:val="center"/>
          </w:tcPr>
          <w:p w14:paraId="4BE97520"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New York</w:t>
            </w:r>
          </w:p>
        </w:tc>
        <w:tc>
          <w:tcPr>
            <w:tcW w:w="2425" w:type="dxa"/>
            <w:vAlign w:val="center"/>
          </w:tcPr>
          <w:p w14:paraId="563F3945"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BMIs</w:t>
            </w:r>
          </w:p>
        </w:tc>
        <w:tc>
          <w:tcPr>
            <w:tcW w:w="1397" w:type="dxa"/>
            <w:vAlign w:val="center"/>
          </w:tcPr>
          <w:p w14:paraId="5284F471"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TP, NO</w:t>
            </w:r>
            <w:r w:rsidRPr="006F26AD">
              <w:rPr>
                <w:rFonts w:asciiTheme="minorHAnsi" w:hAnsiTheme="minorHAnsi" w:cstheme="minorHAnsi"/>
                <w:color w:val="000000"/>
                <w:sz w:val="20"/>
                <w:szCs w:val="20"/>
                <w:vertAlign w:val="subscript"/>
              </w:rPr>
              <w:t>3</w:t>
            </w:r>
          </w:p>
        </w:tc>
        <w:tc>
          <w:tcPr>
            <w:tcW w:w="3330" w:type="dxa"/>
            <w:vAlign w:val="center"/>
          </w:tcPr>
          <w:p w14:paraId="51A26DDD"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Hodges-Lehmann estimation</w:t>
            </w:r>
          </w:p>
        </w:tc>
        <w:tc>
          <w:tcPr>
            <w:tcW w:w="0" w:type="auto"/>
            <w:vAlign w:val="center"/>
          </w:tcPr>
          <w:p w14:paraId="5F5D96D1"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0.065</w:t>
            </w:r>
          </w:p>
        </w:tc>
        <w:tc>
          <w:tcPr>
            <w:tcW w:w="0" w:type="auto"/>
            <w:vAlign w:val="center"/>
          </w:tcPr>
          <w:p w14:paraId="246FC078"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0.065</w:t>
            </w:r>
          </w:p>
        </w:tc>
        <w:tc>
          <w:tcPr>
            <w:tcW w:w="0" w:type="auto"/>
            <w:vAlign w:val="center"/>
          </w:tcPr>
          <w:p w14:paraId="6E378EB0"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0.98 (NO</w:t>
            </w:r>
            <w:r w:rsidRPr="006F26AD">
              <w:rPr>
                <w:rFonts w:asciiTheme="minorHAnsi" w:hAnsiTheme="minorHAnsi" w:cstheme="minorHAnsi"/>
                <w:color w:val="000000"/>
                <w:sz w:val="20"/>
                <w:szCs w:val="20"/>
                <w:vertAlign w:val="subscript"/>
              </w:rPr>
              <w:t>3</w:t>
            </w:r>
            <w:r w:rsidRPr="006F26AD">
              <w:rPr>
                <w:rFonts w:asciiTheme="minorHAnsi" w:hAnsiTheme="minorHAnsi" w:cstheme="minorHAnsi"/>
                <w:color w:val="000000"/>
                <w:sz w:val="20"/>
                <w:szCs w:val="20"/>
              </w:rPr>
              <w:t>)</w:t>
            </w:r>
          </w:p>
        </w:tc>
        <w:tc>
          <w:tcPr>
            <w:tcW w:w="0" w:type="auto"/>
            <w:vAlign w:val="center"/>
          </w:tcPr>
          <w:p w14:paraId="6469E0A2"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0.98 (NO</w:t>
            </w:r>
            <w:r w:rsidRPr="006F26AD">
              <w:rPr>
                <w:rFonts w:asciiTheme="minorHAnsi" w:hAnsiTheme="minorHAnsi" w:cstheme="minorHAnsi"/>
                <w:color w:val="000000"/>
                <w:sz w:val="20"/>
                <w:szCs w:val="20"/>
                <w:vertAlign w:val="subscript"/>
              </w:rPr>
              <w:t>3</w:t>
            </w:r>
            <w:r w:rsidRPr="006F26AD">
              <w:rPr>
                <w:rFonts w:asciiTheme="minorHAnsi" w:hAnsiTheme="minorHAnsi" w:cstheme="minorHAnsi"/>
                <w:color w:val="000000"/>
                <w:sz w:val="20"/>
                <w:szCs w:val="20"/>
              </w:rPr>
              <w:t>)</w:t>
            </w:r>
          </w:p>
        </w:tc>
      </w:tr>
      <w:tr w:rsidR="00BD3939" w:rsidRPr="00854783" w14:paraId="214FE880" w14:textId="77777777" w:rsidTr="008717FC">
        <w:trPr>
          <w:trHeight w:val="440"/>
        </w:trPr>
        <w:tc>
          <w:tcPr>
            <w:tcW w:w="2250" w:type="dxa"/>
            <w:vAlign w:val="center"/>
          </w:tcPr>
          <w:p w14:paraId="1FAAAC85" w14:textId="77777777" w:rsidR="006F26AD" w:rsidRPr="006F26AD" w:rsidRDefault="006F26AD" w:rsidP="006F26AD">
            <w:pPr>
              <w:spacing w:after="0"/>
              <w:rPr>
                <w:rFonts w:asciiTheme="minorHAnsi" w:hAnsiTheme="minorHAnsi" w:cstheme="minorHAnsi"/>
                <w:color w:val="000000"/>
                <w:sz w:val="20"/>
                <w:szCs w:val="20"/>
              </w:rPr>
            </w:pPr>
            <w:r w:rsidRPr="006F26AD">
              <w:rPr>
                <w:rFonts w:asciiTheme="minorHAnsi" w:hAnsiTheme="minorHAnsi" w:cstheme="minorHAnsi"/>
                <w:color w:val="000000"/>
                <w:sz w:val="20"/>
                <w:szCs w:val="20"/>
              </w:rPr>
              <w:t>Smucker et al. 2013a</w:t>
            </w:r>
          </w:p>
        </w:tc>
        <w:tc>
          <w:tcPr>
            <w:tcW w:w="1445" w:type="dxa"/>
            <w:vAlign w:val="center"/>
          </w:tcPr>
          <w:p w14:paraId="71A9401B"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Connecticut</w:t>
            </w:r>
          </w:p>
        </w:tc>
        <w:tc>
          <w:tcPr>
            <w:tcW w:w="2425" w:type="dxa"/>
            <w:vAlign w:val="center"/>
          </w:tcPr>
          <w:p w14:paraId="050D4B31"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diatoms</w:t>
            </w:r>
          </w:p>
        </w:tc>
        <w:tc>
          <w:tcPr>
            <w:tcW w:w="1397" w:type="dxa"/>
            <w:vAlign w:val="center"/>
          </w:tcPr>
          <w:p w14:paraId="6A0A422F"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TP</w:t>
            </w:r>
          </w:p>
        </w:tc>
        <w:tc>
          <w:tcPr>
            <w:tcW w:w="3330" w:type="dxa"/>
            <w:vAlign w:val="center"/>
          </w:tcPr>
          <w:p w14:paraId="2699E56F"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boosted regression trees</w:t>
            </w:r>
          </w:p>
        </w:tc>
        <w:tc>
          <w:tcPr>
            <w:tcW w:w="0" w:type="auto"/>
            <w:vAlign w:val="center"/>
          </w:tcPr>
          <w:p w14:paraId="79039D6D"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 xml:space="preserve"> 0.019 </w:t>
            </w:r>
          </w:p>
        </w:tc>
        <w:tc>
          <w:tcPr>
            <w:tcW w:w="0" w:type="auto"/>
            <w:vAlign w:val="center"/>
          </w:tcPr>
          <w:p w14:paraId="1ABB5117"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0.082</w:t>
            </w:r>
          </w:p>
        </w:tc>
        <w:tc>
          <w:tcPr>
            <w:tcW w:w="0" w:type="auto"/>
            <w:vAlign w:val="center"/>
          </w:tcPr>
          <w:p w14:paraId="1F22A7D0"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w:t>
            </w:r>
          </w:p>
        </w:tc>
        <w:tc>
          <w:tcPr>
            <w:tcW w:w="0" w:type="auto"/>
            <w:vAlign w:val="center"/>
          </w:tcPr>
          <w:p w14:paraId="0F8CA2D8"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w:t>
            </w:r>
          </w:p>
        </w:tc>
      </w:tr>
      <w:tr w:rsidR="00BD3939" w:rsidRPr="00854783" w14:paraId="7142F7DB" w14:textId="77777777" w:rsidTr="008717FC">
        <w:trPr>
          <w:trHeight w:val="440"/>
        </w:trPr>
        <w:tc>
          <w:tcPr>
            <w:tcW w:w="2250" w:type="dxa"/>
            <w:vAlign w:val="center"/>
          </w:tcPr>
          <w:p w14:paraId="11973A8A" w14:textId="77777777" w:rsidR="006F26AD" w:rsidRPr="006F26AD" w:rsidRDefault="006F26AD" w:rsidP="006F26AD">
            <w:pPr>
              <w:spacing w:after="0"/>
              <w:rPr>
                <w:rFonts w:asciiTheme="minorHAnsi" w:hAnsiTheme="minorHAnsi" w:cstheme="minorHAnsi"/>
                <w:color w:val="000000"/>
                <w:sz w:val="20"/>
                <w:szCs w:val="20"/>
              </w:rPr>
            </w:pPr>
            <w:r w:rsidRPr="006F26AD">
              <w:rPr>
                <w:rFonts w:asciiTheme="minorHAnsi" w:hAnsiTheme="minorHAnsi" w:cstheme="minorHAnsi"/>
                <w:color w:val="000000"/>
                <w:sz w:val="20"/>
                <w:szCs w:val="20"/>
              </w:rPr>
              <w:t>Stevenson et al. 2008</w:t>
            </w:r>
          </w:p>
        </w:tc>
        <w:tc>
          <w:tcPr>
            <w:tcW w:w="1445" w:type="dxa"/>
            <w:vAlign w:val="center"/>
          </w:tcPr>
          <w:p w14:paraId="71AD70E9"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Mid-Atlantic Highlands</w:t>
            </w:r>
          </w:p>
        </w:tc>
        <w:tc>
          <w:tcPr>
            <w:tcW w:w="2425" w:type="dxa"/>
            <w:vAlign w:val="center"/>
          </w:tcPr>
          <w:p w14:paraId="25D17E00"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diatoms</w:t>
            </w:r>
          </w:p>
        </w:tc>
        <w:tc>
          <w:tcPr>
            <w:tcW w:w="1397" w:type="dxa"/>
            <w:vAlign w:val="center"/>
          </w:tcPr>
          <w:p w14:paraId="70DB9A71"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TP</w:t>
            </w:r>
          </w:p>
        </w:tc>
        <w:tc>
          <w:tcPr>
            <w:tcW w:w="3330" w:type="dxa"/>
            <w:vAlign w:val="center"/>
          </w:tcPr>
          <w:p w14:paraId="33C0D617" w14:textId="5AFA290C"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loess</w:t>
            </w:r>
            <w:r w:rsidR="00BD3939">
              <w:rPr>
                <w:rFonts w:asciiTheme="minorHAnsi" w:hAnsiTheme="minorHAnsi" w:cstheme="minorHAnsi"/>
                <w:color w:val="000000"/>
                <w:sz w:val="20"/>
                <w:szCs w:val="20"/>
              </w:rPr>
              <w:t xml:space="preserve"> regression &amp; regression trees</w:t>
            </w:r>
          </w:p>
        </w:tc>
        <w:tc>
          <w:tcPr>
            <w:tcW w:w="0" w:type="auto"/>
            <w:vAlign w:val="center"/>
          </w:tcPr>
          <w:p w14:paraId="07E1FFB5"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0.012</w:t>
            </w:r>
          </w:p>
        </w:tc>
        <w:tc>
          <w:tcPr>
            <w:tcW w:w="0" w:type="auto"/>
            <w:vAlign w:val="center"/>
          </w:tcPr>
          <w:p w14:paraId="041B83F2"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0.027</w:t>
            </w:r>
          </w:p>
        </w:tc>
        <w:tc>
          <w:tcPr>
            <w:tcW w:w="0" w:type="auto"/>
            <w:vAlign w:val="center"/>
          </w:tcPr>
          <w:p w14:paraId="2EA18F71"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w:t>
            </w:r>
          </w:p>
        </w:tc>
        <w:tc>
          <w:tcPr>
            <w:tcW w:w="0" w:type="auto"/>
            <w:vAlign w:val="center"/>
          </w:tcPr>
          <w:p w14:paraId="0708A231"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w:t>
            </w:r>
          </w:p>
        </w:tc>
      </w:tr>
      <w:tr w:rsidR="00BD3939" w:rsidRPr="00854783" w14:paraId="547F3F62" w14:textId="77777777" w:rsidTr="008717FC">
        <w:trPr>
          <w:trHeight w:val="440"/>
        </w:trPr>
        <w:tc>
          <w:tcPr>
            <w:tcW w:w="2250" w:type="dxa"/>
            <w:vAlign w:val="center"/>
          </w:tcPr>
          <w:p w14:paraId="312B8665" w14:textId="77777777" w:rsidR="006F26AD" w:rsidRPr="006F26AD" w:rsidRDefault="006F26AD" w:rsidP="006F26AD">
            <w:pPr>
              <w:spacing w:after="0"/>
              <w:rPr>
                <w:rFonts w:asciiTheme="minorHAnsi" w:hAnsiTheme="minorHAnsi" w:cstheme="minorHAnsi"/>
                <w:color w:val="000000"/>
                <w:sz w:val="20"/>
                <w:szCs w:val="20"/>
              </w:rPr>
            </w:pPr>
            <w:r w:rsidRPr="006F26AD">
              <w:rPr>
                <w:rFonts w:asciiTheme="minorHAnsi" w:hAnsiTheme="minorHAnsi" w:cstheme="minorHAnsi"/>
                <w:color w:val="000000"/>
                <w:sz w:val="20"/>
                <w:szCs w:val="20"/>
              </w:rPr>
              <w:t>Wang et al. 2007</w:t>
            </w:r>
          </w:p>
        </w:tc>
        <w:tc>
          <w:tcPr>
            <w:tcW w:w="1445" w:type="dxa"/>
            <w:vAlign w:val="center"/>
          </w:tcPr>
          <w:p w14:paraId="6DCF91A7"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Wisconsin</w:t>
            </w:r>
          </w:p>
        </w:tc>
        <w:tc>
          <w:tcPr>
            <w:tcW w:w="2425" w:type="dxa"/>
            <w:vAlign w:val="center"/>
          </w:tcPr>
          <w:p w14:paraId="4F13A004"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fish, BMIs</w:t>
            </w:r>
          </w:p>
        </w:tc>
        <w:tc>
          <w:tcPr>
            <w:tcW w:w="1397" w:type="dxa"/>
            <w:vAlign w:val="center"/>
          </w:tcPr>
          <w:p w14:paraId="3EEE861B" w14:textId="30190DF3" w:rsidR="006F26AD" w:rsidRPr="006F26AD" w:rsidRDefault="005011E3"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TN, TP</w:t>
            </w:r>
          </w:p>
        </w:tc>
        <w:tc>
          <w:tcPr>
            <w:tcW w:w="3330" w:type="dxa"/>
            <w:vAlign w:val="center"/>
          </w:tcPr>
          <w:p w14:paraId="5F9B8CAD"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 xml:space="preserve">regression tree analysis &amp; 2-dimensional </w:t>
            </w:r>
            <w:r w:rsidR="00BD3939">
              <w:rPr>
                <w:rFonts w:asciiTheme="minorHAnsi" w:hAnsiTheme="minorHAnsi" w:cstheme="minorHAnsi"/>
                <w:color w:val="000000"/>
                <w:sz w:val="20"/>
                <w:szCs w:val="20"/>
              </w:rPr>
              <w:t>KS</w:t>
            </w:r>
            <w:r w:rsidRPr="006F26AD">
              <w:rPr>
                <w:rFonts w:asciiTheme="minorHAnsi" w:hAnsiTheme="minorHAnsi" w:cstheme="minorHAnsi"/>
                <w:color w:val="000000"/>
                <w:sz w:val="20"/>
                <w:szCs w:val="20"/>
              </w:rPr>
              <w:t xml:space="preserve"> techniques</w:t>
            </w:r>
          </w:p>
        </w:tc>
        <w:tc>
          <w:tcPr>
            <w:tcW w:w="0" w:type="auto"/>
            <w:vAlign w:val="center"/>
          </w:tcPr>
          <w:p w14:paraId="6D70C500"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0.06</w:t>
            </w:r>
          </w:p>
        </w:tc>
        <w:tc>
          <w:tcPr>
            <w:tcW w:w="0" w:type="auto"/>
            <w:vAlign w:val="center"/>
          </w:tcPr>
          <w:p w14:paraId="1A429061"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0.09</w:t>
            </w:r>
          </w:p>
        </w:tc>
        <w:tc>
          <w:tcPr>
            <w:tcW w:w="0" w:type="auto"/>
            <w:vAlign w:val="center"/>
          </w:tcPr>
          <w:p w14:paraId="06A9AAFD"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0.54</w:t>
            </w:r>
          </w:p>
        </w:tc>
        <w:tc>
          <w:tcPr>
            <w:tcW w:w="0" w:type="auto"/>
            <w:vAlign w:val="center"/>
          </w:tcPr>
          <w:p w14:paraId="361165E8"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0.61</w:t>
            </w:r>
          </w:p>
        </w:tc>
      </w:tr>
      <w:tr w:rsidR="00BD3939" w:rsidRPr="00854783" w14:paraId="583E2843" w14:textId="77777777" w:rsidTr="008717FC">
        <w:trPr>
          <w:trHeight w:val="440"/>
        </w:trPr>
        <w:tc>
          <w:tcPr>
            <w:tcW w:w="2250" w:type="dxa"/>
            <w:tcBorders>
              <w:bottom w:val="single" w:sz="6" w:space="0" w:color="auto"/>
            </w:tcBorders>
            <w:vAlign w:val="center"/>
          </w:tcPr>
          <w:p w14:paraId="30AF8518" w14:textId="77777777" w:rsidR="006F26AD" w:rsidRPr="006F26AD" w:rsidRDefault="006F26AD" w:rsidP="006F26AD">
            <w:pPr>
              <w:spacing w:after="0"/>
              <w:rPr>
                <w:rFonts w:asciiTheme="minorHAnsi" w:hAnsiTheme="minorHAnsi" w:cstheme="minorHAnsi"/>
                <w:color w:val="000000"/>
                <w:sz w:val="20"/>
                <w:szCs w:val="20"/>
              </w:rPr>
            </w:pPr>
            <w:r w:rsidRPr="006F26AD">
              <w:rPr>
                <w:rFonts w:asciiTheme="minorHAnsi" w:hAnsiTheme="minorHAnsi" w:cstheme="minorHAnsi"/>
                <w:color w:val="000000"/>
                <w:sz w:val="20"/>
                <w:szCs w:val="20"/>
              </w:rPr>
              <w:t>Weigel and Robertson 2007</w:t>
            </w:r>
          </w:p>
        </w:tc>
        <w:tc>
          <w:tcPr>
            <w:tcW w:w="1445" w:type="dxa"/>
            <w:tcBorders>
              <w:bottom w:val="single" w:sz="6" w:space="0" w:color="auto"/>
            </w:tcBorders>
            <w:vAlign w:val="center"/>
          </w:tcPr>
          <w:p w14:paraId="5891B22C"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Wisconsin</w:t>
            </w:r>
          </w:p>
        </w:tc>
        <w:tc>
          <w:tcPr>
            <w:tcW w:w="2425" w:type="dxa"/>
            <w:tcBorders>
              <w:bottom w:val="single" w:sz="6" w:space="0" w:color="auto"/>
            </w:tcBorders>
            <w:vAlign w:val="center"/>
          </w:tcPr>
          <w:p w14:paraId="686D349F"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fish, BMIs</w:t>
            </w:r>
          </w:p>
        </w:tc>
        <w:tc>
          <w:tcPr>
            <w:tcW w:w="1397" w:type="dxa"/>
            <w:tcBorders>
              <w:bottom w:val="single" w:sz="6" w:space="0" w:color="auto"/>
            </w:tcBorders>
            <w:vAlign w:val="center"/>
          </w:tcPr>
          <w:p w14:paraId="4088B485" w14:textId="2B5DFD74" w:rsidR="006F26AD" w:rsidRPr="006F26AD" w:rsidRDefault="005011E3"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TN, TP</w:t>
            </w:r>
          </w:p>
        </w:tc>
        <w:tc>
          <w:tcPr>
            <w:tcW w:w="3330" w:type="dxa"/>
            <w:tcBorders>
              <w:bottom w:val="single" w:sz="6" w:space="0" w:color="auto"/>
            </w:tcBorders>
            <w:vAlign w:val="center"/>
          </w:tcPr>
          <w:p w14:paraId="5782165A"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regression tree analysis</w:t>
            </w:r>
          </w:p>
        </w:tc>
        <w:tc>
          <w:tcPr>
            <w:tcW w:w="0" w:type="auto"/>
            <w:tcBorders>
              <w:bottom w:val="single" w:sz="6" w:space="0" w:color="auto"/>
            </w:tcBorders>
            <w:vAlign w:val="center"/>
          </w:tcPr>
          <w:p w14:paraId="34A051D7"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0.06</w:t>
            </w:r>
          </w:p>
        </w:tc>
        <w:tc>
          <w:tcPr>
            <w:tcW w:w="0" w:type="auto"/>
            <w:tcBorders>
              <w:bottom w:val="single" w:sz="6" w:space="0" w:color="auto"/>
            </w:tcBorders>
            <w:vAlign w:val="center"/>
          </w:tcPr>
          <w:p w14:paraId="0570621A"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0.06</w:t>
            </w:r>
          </w:p>
        </w:tc>
        <w:tc>
          <w:tcPr>
            <w:tcW w:w="0" w:type="auto"/>
            <w:tcBorders>
              <w:bottom w:val="single" w:sz="6" w:space="0" w:color="auto"/>
            </w:tcBorders>
            <w:vAlign w:val="center"/>
          </w:tcPr>
          <w:p w14:paraId="43702D60"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0.64</w:t>
            </w:r>
          </w:p>
        </w:tc>
        <w:tc>
          <w:tcPr>
            <w:tcW w:w="0" w:type="auto"/>
            <w:tcBorders>
              <w:bottom w:val="single" w:sz="6" w:space="0" w:color="auto"/>
            </w:tcBorders>
            <w:vAlign w:val="center"/>
          </w:tcPr>
          <w:p w14:paraId="4189A2FA" w14:textId="77777777" w:rsidR="006F26AD" w:rsidRPr="006F26AD" w:rsidRDefault="006F26AD" w:rsidP="006F26AD">
            <w:pPr>
              <w:spacing w:after="0"/>
              <w:jc w:val="center"/>
              <w:rPr>
                <w:rFonts w:asciiTheme="minorHAnsi" w:hAnsiTheme="minorHAnsi" w:cstheme="minorHAnsi"/>
                <w:color w:val="000000"/>
                <w:sz w:val="20"/>
                <w:szCs w:val="20"/>
              </w:rPr>
            </w:pPr>
            <w:r w:rsidRPr="006F26AD">
              <w:rPr>
                <w:rFonts w:asciiTheme="minorHAnsi" w:hAnsiTheme="minorHAnsi" w:cstheme="minorHAnsi"/>
                <w:color w:val="000000"/>
                <w:sz w:val="20"/>
                <w:szCs w:val="20"/>
              </w:rPr>
              <w:t>0.64</w:t>
            </w:r>
          </w:p>
        </w:tc>
      </w:tr>
      <w:bookmarkEnd w:id="120"/>
    </w:tbl>
    <w:p w14:paraId="639B6B34" w14:textId="77777777" w:rsidR="00D524C3" w:rsidRDefault="00D524C3" w:rsidP="006F26AD">
      <w:pPr>
        <w:sectPr w:rsidR="00D524C3" w:rsidSect="00EC3F79">
          <w:pgSz w:w="15840" w:h="12240" w:orient="landscape"/>
          <w:pgMar w:top="1440" w:right="1440" w:bottom="1440" w:left="1440" w:header="720" w:footer="720" w:gutter="0"/>
          <w:cols w:space="720"/>
          <w:docGrid w:linePitch="360"/>
        </w:sectPr>
      </w:pPr>
    </w:p>
    <w:p w14:paraId="5C6C9410" w14:textId="77777777" w:rsidR="004972C5" w:rsidRDefault="004972C5" w:rsidP="00FE3573">
      <w:pPr>
        <w:pStyle w:val="TOT"/>
      </w:pPr>
    </w:p>
    <w:p w14:paraId="4C791269" w14:textId="77777777" w:rsidR="00BD3939" w:rsidRDefault="00BD3939" w:rsidP="00FE3573">
      <w:pPr>
        <w:pStyle w:val="TOT"/>
      </w:pPr>
      <w:bookmarkStart w:id="121" w:name="_Toc526489920"/>
      <w:r>
        <w:t>Table 3.5 Candidate nutrient threshold values based on 90</w:t>
      </w:r>
      <w:r w:rsidRPr="00BD3939">
        <w:rPr>
          <w:vertAlign w:val="superscript"/>
        </w:rPr>
        <w:t>th</w:t>
      </w:r>
      <w:r>
        <w:t xml:space="preserve"> percentile of reference and stress-response change point analyses in wadeable streams of New Mexico, based on frequency distributions and ranges of endpoints by nutrient and stream class. From Jessup et al. (2015).</w:t>
      </w:r>
      <w:bookmarkEnd w:id="121"/>
      <w:r>
        <w:t xml:space="preserve"> </w:t>
      </w:r>
    </w:p>
    <w:p w14:paraId="5BC435DC" w14:textId="77777777" w:rsidR="00BD3939" w:rsidRDefault="00BD3939" w:rsidP="00914C12">
      <w:bookmarkStart w:id="122" w:name="_Toc525822900"/>
      <w:bookmarkStart w:id="123" w:name="_Toc525823097"/>
      <w:bookmarkStart w:id="124" w:name="_Toc525876624"/>
      <w:r w:rsidRPr="004972C5">
        <w:rPr>
          <w:noProof/>
          <w:lang w:eastAsia="zh-CN" w:bidi="ar-SA"/>
        </w:rPr>
        <w:drawing>
          <wp:inline distT="0" distB="0" distL="0" distR="0" wp14:anchorId="4EC7CE80" wp14:editId="6249DC64">
            <wp:extent cx="5260430" cy="13620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t="17143"/>
                    <a:stretch/>
                  </pic:blipFill>
                  <pic:spPr bwMode="auto">
                    <a:xfrm>
                      <a:off x="0" y="0"/>
                      <a:ext cx="5320895" cy="1377731"/>
                    </a:xfrm>
                    <a:prstGeom prst="rect">
                      <a:avLst/>
                    </a:prstGeom>
                    <a:ln>
                      <a:noFill/>
                    </a:ln>
                    <a:extLst>
                      <a:ext uri="{53640926-AAD7-44D8-BBD7-CCE9431645EC}">
                        <a14:shadowObscured xmlns:a14="http://schemas.microsoft.com/office/drawing/2010/main"/>
                      </a:ext>
                    </a:extLst>
                  </pic:spPr>
                </pic:pic>
              </a:graphicData>
            </a:graphic>
          </wp:inline>
        </w:drawing>
      </w:r>
      <w:bookmarkEnd w:id="122"/>
      <w:bookmarkEnd w:id="123"/>
      <w:bookmarkEnd w:id="124"/>
    </w:p>
    <w:p w14:paraId="11533275" w14:textId="77777777" w:rsidR="00BD3939" w:rsidRDefault="00BD3939" w:rsidP="00FE3573">
      <w:pPr>
        <w:pStyle w:val="TOT"/>
      </w:pPr>
    </w:p>
    <w:p w14:paraId="3FC37DCF" w14:textId="0D170757" w:rsidR="00FE3573" w:rsidRDefault="00FE3573" w:rsidP="00FE3573">
      <w:pPr>
        <w:pStyle w:val="TOT"/>
      </w:pPr>
      <w:bookmarkStart w:id="125" w:name="_Toc526489921"/>
      <w:r>
        <w:t>Table 3.</w:t>
      </w:r>
      <w:r w:rsidR="00BD3939">
        <w:t>6</w:t>
      </w:r>
      <w:r w:rsidR="00EC2A3D">
        <w:t xml:space="preserve"> Summary of CA numeric TN and TP translator (San Diego Board) and </w:t>
      </w:r>
      <w:r>
        <w:t>adopted nutrient criteria for rivers and streams across U.S. States and Territories. All TN and TP values are given in mg/L. Guam values are for Nitrate-N and phosphate-P.</w:t>
      </w:r>
      <w:bookmarkEnd w:id="125"/>
      <w:r>
        <w:t xml:space="preserve"> </w:t>
      </w:r>
      <w:r w:rsidR="00870331">
        <w:t xml:space="preserve">Dashes represent no indication that numbers were derived or established. </w:t>
      </w:r>
    </w:p>
    <w:tbl>
      <w:tblPr>
        <w:tblStyle w:val="LightShading1"/>
        <w:tblW w:w="9090" w:type="dxa"/>
        <w:tblLook w:val="06A0" w:firstRow="1" w:lastRow="0" w:firstColumn="1" w:lastColumn="0" w:noHBand="1" w:noVBand="1"/>
      </w:tblPr>
      <w:tblGrid>
        <w:gridCol w:w="1960"/>
        <w:gridCol w:w="1460"/>
        <w:gridCol w:w="2250"/>
        <w:gridCol w:w="1600"/>
        <w:gridCol w:w="1820"/>
      </w:tblGrid>
      <w:tr w:rsidR="00FE3573" w:rsidRPr="00FE3573" w14:paraId="0BF19EE1" w14:textId="77777777" w:rsidTr="00BD393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60" w:type="dxa"/>
            <w:noWrap/>
            <w:hideMark/>
          </w:tcPr>
          <w:p w14:paraId="49BE36BB" w14:textId="77777777" w:rsidR="00FE3573" w:rsidRPr="00FE3573" w:rsidRDefault="00FE3573" w:rsidP="00FE3573">
            <w:pPr>
              <w:spacing w:after="0" w:line="240" w:lineRule="auto"/>
              <w:jc w:val="center"/>
              <w:rPr>
                <w:rFonts w:asciiTheme="minorHAnsi" w:hAnsiTheme="minorHAnsi" w:cstheme="minorHAnsi"/>
                <w:sz w:val="20"/>
                <w:szCs w:val="20"/>
                <w:lang w:bidi="ar-SA"/>
              </w:rPr>
            </w:pPr>
            <w:r w:rsidRPr="00FE3573">
              <w:rPr>
                <w:rFonts w:asciiTheme="minorHAnsi" w:hAnsiTheme="minorHAnsi" w:cstheme="minorHAnsi"/>
                <w:sz w:val="20"/>
                <w:szCs w:val="20"/>
                <w:lang w:bidi="ar-SA"/>
              </w:rPr>
              <w:t>State</w:t>
            </w:r>
          </w:p>
        </w:tc>
        <w:tc>
          <w:tcPr>
            <w:tcW w:w="1460" w:type="dxa"/>
            <w:hideMark/>
          </w:tcPr>
          <w:p w14:paraId="2146772E" w14:textId="77777777" w:rsidR="00FE3573" w:rsidRPr="00FE3573" w:rsidRDefault="00FE3573" w:rsidP="00FE357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Year Published</w:t>
            </w:r>
          </w:p>
        </w:tc>
        <w:tc>
          <w:tcPr>
            <w:tcW w:w="2250" w:type="dxa"/>
            <w:hideMark/>
          </w:tcPr>
          <w:p w14:paraId="2756F1FC" w14:textId="77777777" w:rsidR="00FE3573" w:rsidRPr="00FE3573" w:rsidRDefault="00FE3573" w:rsidP="00FE357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Criteria Categories</w:t>
            </w:r>
          </w:p>
        </w:tc>
        <w:tc>
          <w:tcPr>
            <w:tcW w:w="1600" w:type="dxa"/>
            <w:noWrap/>
            <w:hideMark/>
          </w:tcPr>
          <w:p w14:paraId="4D8E14F5" w14:textId="77777777" w:rsidR="00FE3573" w:rsidRPr="00FE3573" w:rsidRDefault="00FE3573" w:rsidP="00FE357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Pr>
                <w:rFonts w:asciiTheme="minorHAnsi" w:hAnsiTheme="minorHAnsi" w:cstheme="minorHAnsi"/>
                <w:sz w:val="20"/>
                <w:szCs w:val="20"/>
                <w:lang w:bidi="ar-SA"/>
              </w:rPr>
              <w:t>Total Nitrogen</w:t>
            </w:r>
          </w:p>
        </w:tc>
        <w:tc>
          <w:tcPr>
            <w:tcW w:w="1820" w:type="dxa"/>
            <w:noWrap/>
            <w:hideMark/>
          </w:tcPr>
          <w:p w14:paraId="5EC6CE9F" w14:textId="77777777" w:rsidR="00FE3573" w:rsidRPr="00FE3573" w:rsidRDefault="00FE3573" w:rsidP="00FE357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Pr>
                <w:rFonts w:asciiTheme="minorHAnsi" w:hAnsiTheme="minorHAnsi" w:cstheme="minorHAnsi"/>
                <w:sz w:val="20"/>
                <w:szCs w:val="20"/>
                <w:lang w:bidi="ar-SA"/>
              </w:rPr>
              <w:t>Total Phosphorus</w:t>
            </w:r>
          </w:p>
        </w:tc>
      </w:tr>
      <w:tr w:rsidR="00EC2A3D" w:rsidRPr="00FE3573" w14:paraId="2D4BB2CE"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tcBorders>
              <w:top w:val="single" w:sz="8" w:space="0" w:color="000000"/>
              <w:bottom w:val="single" w:sz="4" w:space="0" w:color="auto"/>
              <w:right w:val="single" w:sz="4" w:space="0" w:color="FFFFFF" w:themeColor="background1"/>
            </w:tcBorders>
            <w:noWrap/>
          </w:tcPr>
          <w:p w14:paraId="4F68CD8B" w14:textId="77777777" w:rsidR="00EC2A3D" w:rsidRPr="00FE3573" w:rsidRDefault="00EC2A3D" w:rsidP="00FE3573">
            <w:pPr>
              <w:spacing w:after="0" w:line="240" w:lineRule="auto"/>
              <w:jc w:val="center"/>
              <w:rPr>
                <w:rFonts w:asciiTheme="minorHAnsi" w:hAnsiTheme="minorHAnsi" w:cstheme="minorHAnsi"/>
                <w:sz w:val="20"/>
                <w:szCs w:val="20"/>
                <w:lang w:bidi="ar-SA"/>
              </w:rPr>
            </w:pPr>
            <w:r>
              <w:rPr>
                <w:rFonts w:asciiTheme="minorHAnsi" w:hAnsiTheme="minorHAnsi" w:cstheme="minorHAnsi"/>
                <w:sz w:val="20"/>
                <w:szCs w:val="20"/>
                <w:lang w:bidi="ar-SA"/>
              </w:rPr>
              <w:t xml:space="preserve">California, San Diego </w:t>
            </w:r>
          </w:p>
        </w:tc>
        <w:tc>
          <w:tcPr>
            <w:tcW w:w="1460" w:type="dxa"/>
            <w:tcBorders>
              <w:top w:val="single" w:sz="8" w:space="0" w:color="000000"/>
              <w:left w:val="single" w:sz="4" w:space="0" w:color="FFFFFF" w:themeColor="background1"/>
              <w:bottom w:val="single" w:sz="4" w:space="0" w:color="auto"/>
            </w:tcBorders>
            <w:noWrap/>
          </w:tcPr>
          <w:p w14:paraId="02A222FE" w14:textId="77777777" w:rsidR="00EC2A3D" w:rsidRPr="00FE3573" w:rsidRDefault="00D14D96"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Pr>
                <w:rFonts w:asciiTheme="minorHAnsi" w:hAnsiTheme="minorHAnsi" w:cstheme="minorHAnsi"/>
                <w:sz w:val="20"/>
                <w:szCs w:val="20"/>
                <w:lang w:bidi="ar-SA"/>
              </w:rPr>
              <w:t>2016</w:t>
            </w:r>
          </w:p>
        </w:tc>
        <w:tc>
          <w:tcPr>
            <w:tcW w:w="2250" w:type="dxa"/>
            <w:tcBorders>
              <w:top w:val="single" w:sz="8" w:space="0" w:color="000000"/>
              <w:bottom w:val="single" w:sz="4" w:space="0" w:color="auto"/>
            </w:tcBorders>
            <w:noWrap/>
          </w:tcPr>
          <w:p w14:paraId="2125276B" w14:textId="77777777" w:rsidR="00EC2A3D" w:rsidRPr="00FE3573" w:rsidRDefault="00EC2A3D"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Pr>
                <w:rFonts w:asciiTheme="minorHAnsi" w:hAnsiTheme="minorHAnsi" w:cstheme="minorHAnsi"/>
                <w:sz w:val="20"/>
                <w:szCs w:val="20"/>
                <w:lang w:bidi="ar-SA"/>
              </w:rPr>
              <w:t xml:space="preserve">Numeric translator </w:t>
            </w:r>
          </w:p>
        </w:tc>
        <w:tc>
          <w:tcPr>
            <w:tcW w:w="1600" w:type="dxa"/>
            <w:tcBorders>
              <w:top w:val="single" w:sz="8" w:space="0" w:color="000000"/>
              <w:bottom w:val="single" w:sz="4" w:space="0" w:color="auto"/>
            </w:tcBorders>
            <w:noWrap/>
          </w:tcPr>
          <w:p w14:paraId="2965EFBE" w14:textId="77777777" w:rsidR="00EC2A3D" w:rsidRPr="00FE3573" w:rsidRDefault="00EC2A3D"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Pr>
                <w:rFonts w:asciiTheme="minorHAnsi" w:hAnsiTheme="minorHAnsi" w:cstheme="minorHAnsi"/>
                <w:sz w:val="20"/>
                <w:szCs w:val="20"/>
                <w:lang w:bidi="ar-SA"/>
              </w:rPr>
              <w:t>1.0</w:t>
            </w:r>
          </w:p>
        </w:tc>
        <w:tc>
          <w:tcPr>
            <w:tcW w:w="1820" w:type="dxa"/>
            <w:tcBorders>
              <w:top w:val="single" w:sz="8" w:space="0" w:color="000000"/>
              <w:bottom w:val="single" w:sz="4" w:space="0" w:color="auto"/>
            </w:tcBorders>
            <w:noWrap/>
          </w:tcPr>
          <w:p w14:paraId="46AB1B86" w14:textId="77777777" w:rsidR="00EC2A3D" w:rsidRPr="00FE3573" w:rsidRDefault="00EC2A3D"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Pr>
                <w:rFonts w:asciiTheme="minorHAnsi" w:hAnsiTheme="minorHAnsi" w:cstheme="minorHAnsi"/>
                <w:sz w:val="20"/>
                <w:szCs w:val="20"/>
                <w:lang w:bidi="ar-SA"/>
              </w:rPr>
              <w:t>0.1</w:t>
            </w:r>
          </w:p>
        </w:tc>
      </w:tr>
      <w:tr w:rsidR="00FE3573" w:rsidRPr="00FE3573" w14:paraId="53B64425"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tcBorders>
              <w:top w:val="single" w:sz="4" w:space="0" w:color="auto"/>
            </w:tcBorders>
            <w:noWrap/>
            <w:hideMark/>
          </w:tcPr>
          <w:p w14:paraId="4C175B7B" w14:textId="77777777" w:rsidR="00FE3573" w:rsidRPr="00FE3573" w:rsidRDefault="00FE3573" w:rsidP="00FE3573">
            <w:pPr>
              <w:spacing w:after="0" w:line="240" w:lineRule="auto"/>
              <w:jc w:val="center"/>
              <w:rPr>
                <w:rFonts w:asciiTheme="minorHAnsi" w:hAnsiTheme="minorHAnsi" w:cstheme="minorHAnsi"/>
                <w:sz w:val="20"/>
                <w:szCs w:val="20"/>
                <w:lang w:bidi="ar-SA"/>
              </w:rPr>
            </w:pPr>
            <w:r w:rsidRPr="00FE3573">
              <w:rPr>
                <w:rFonts w:asciiTheme="minorHAnsi" w:hAnsiTheme="minorHAnsi" w:cstheme="minorHAnsi"/>
                <w:sz w:val="20"/>
                <w:szCs w:val="20"/>
                <w:lang w:bidi="ar-SA"/>
              </w:rPr>
              <w:t>Minnesota</w:t>
            </w:r>
          </w:p>
        </w:tc>
        <w:tc>
          <w:tcPr>
            <w:tcW w:w="1460" w:type="dxa"/>
            <w:tcBorders>
              <w:top w:val="single" w:sz="4" w:space="0" w:color="auto"/>
            </w:tcBorders>
            <w:noWrap/>
            <w:hideMark/>
          </w:tcPr>
          <w:p w14:paraId="371D64F0"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2015</w:t>
            </w:r>
          </w:p>
        </w:tc>
        <w:tc>
          <w:tcPr>
            <w:tcW w:w="2250" w:type="dxa"/>
            <w:tcBorders>
              <w:top w:val="single" w:sz="4" w:space="0" w:color="auto"/>
            </w:tcBorders>
            <w:noWrap/>
            <w:hideMark/>
          </w:tcPr>
          <w:p w14:paraId="7DB60A33"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North</w:t>
            </w:r>
          </w:p>
        </w:tc>
        <w:tc>
          <w:tcPr>
            <w:tcW w:w="1600" w:type="dxa"/>
            <w:tcBorders>
              <w:top w:val="single" w:sz="4" w:space="0" w:color="auto"/>
            </w:tcBorders>
            <w:noWrap/>
            <w:hideMark/>
          </w:tcPr>
          <w:p w14:paraId="4BB23D83"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w:t>
            </w:r>
          </w:p>
        </w:tc>
        <w:tc>
          <w:tcPr>
            <w:tcW w:w="1820" w:type="dxa"/>
            <w:tcBorders>
              <w:top w:val="single" w:sz="4" w:space="0" w:color="auto"/>
            </w:tcBorders>
            <w:noWrap/>
            <w:hideMark/>
          </w:tcPr>
          <w:p w14:paraId="0FEEB584"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0.05</w:t>
            </w:r>
          </w:p>
        </w:tc>
      </w:tr>
      <w:tr w:rsidR="00FE3573" w:rsidRPr="00FE3573" w14:paraId="7C379EE5"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noWrap/>
            <w:hideMark/>
          </w:tcPr>
          <w:p w14:paraId="12612C51" w14:textId="77777777" w:rsidR="00FE3573" w:rsidRPr="00FE3573" w:rsidRDefault="00FE3573" w:rsidP="00FE3573">
            <w:pPr>
              <w:spacing w:after="0" w:line="240" w:lineRule="auto"/>
              <w:jc w:val="center"/>
              <w:rPr>
                <w:rFonts w:asciiTheme="minorHAnsi" w:hAnsiTheme="minorHAnsi" w:cstheme="minorHAnsi"/>
                <w:sz w:val="20"/>
                <w:szCs w:val="20"/>
                <w:lang w:bidi="ar-SA"/>
              </w:rPr>
            </w:pPr>
          </w:p>
        </w:tc>
        <w:tc>
          <w:tcPr>
            <w:tcW w:w="1460" w:type="dxa"/>
            <w:noWrap/>
            <w:hideMark/>
          </w:tcPr>
          <w:p w14:paraId="34EDCFFB"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p>
        </w:tc>
        <w:tc>
          <w:tcPr>
            <w:tcW w:w="2250" w:type="dxa"/>
            <w:noWrap/>
            <w:hideMark/>
          </w:tcPr>
          <w:p w14:paraId="22509EA3"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Central</w:t>
            </w:r>
          </w:p>
        </w:tc>
        <w:tc>
          <w:tcPr>
            <w:tcW w:w="1600" w:type="dxa"/>
            <w:noWrap/>
            <w:hideMark/>
          </w:tcPr>
          <w:p w14:paraId="09E28D83"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w:t>
            </w:r>
          </w:p>
        </w:tc>
        <w:tc>
          <w:tcPr>
            <w:tcW w:w="1820" w:type="dxa"/>
            <w:noWrap/>
            <w:hideMark/>
          </w:tcPr>
          <w:p w14:paraId="535B9A34"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0.1</w:t>
            </w:r>
          </w:p>
        </w:tc>
      </w:tr>
      <w:tr w:rsidR="00FE3573" w:rsidRPr="00FE3573" w14:paraId="2AE912CF"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tcBorders>
              <w:bottom w:val="single" w:sz="4" w:space="0" w:color="000000"/>
            </w:tcBorders>
            <w:noWrap/>
            <w:hideMark/>
          </w:tcPr>
          <w:p w14:paraId="7CD7A781" w14:textId="77777777" w:rsidR="00FE3573" w:rsidRPr="00FE3573" w:rsidRDefault="00FE3573" w:rsidP="00FE3573">
            <w:pPr>
              <w:spacing w:after="0" w:line="240" w:lineRule="auto"/>
              <w:jc w:val="center"/>
              <w:rPr>
                <w:rFonts w:asciiTheme="minorHAnsi" w:hAnsiTheme="minorHAnsi" w:cstheme="minorHAnsi"/>
                <w:sz w:val="20"/>
                <w:szCs w:val="20"/>
                <w:lang w:bidi="ar-SA"/>
              </w:rPr>
            </w:pPr>
          </w:p>
        </w:tc>
        <w:tc>
          <w:tcPr>
            <w:tcW w:w="1460" w:type="dxa"/>
            <w:tcBorders>
              <w:bottom w:val="single" w:sz="4" w:space="0" w:color="000000"/>
            </w:tcBorders>
            <w:noWrap/>
            <w:hideMark/>
          </w:tcPr>
          <w:p w14:paraId="78420ADA"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p>
        </w:tc>
        <w:tc>
          <w:tcPr>
            <w:tcW w:w="2250" w:type="dxa"/>
            <w:tcBorders>
              <w:bottom w:val="single" w:sz="4" w:space="0" w:color="000000"/>
            </w:tcBorders>
            <w:noWrap/>
            <w:hideMark/>
          </w:tcPr>
          <w:p w14:paraId="18A74B4D"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South</w:t>
            </w:r>
          </w:p>
        </w:tc>
        <w:tc>
          <w:tcPr>
            <w:tcW w:w="1600" w:type="dxa"/>
            <w:tcBorders>
              <w:bottom w:val="single" w:sz="4" w:space="0" w:color="000000"/>
            </w:tcBorders>
            <w:noWrap/>
            <w:hideMark/>
          </w:tcPr>
          <w:p w14:paraId="6500976C"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w:t>
            </w:r>
          </w:p>
        </w:tc>
        <w:tc>
          <w:tcPr>
            <w:tcW w:w="1820" w:type="dxa"/>
            <w:tcBorders>
              <w:bottom w:val="single" w:sz="4" w:space="0" w:color="000000"/>
            </w:tcBorders>
            <w:noWrap/>
            <w:hideMark/>
          </w:tcPr>
          <w:p w14:paraId="62BDEAE4"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0.15</w:t>
            </w:r>
          </w:p>
        </w:tc>
      </w:tr>
      <w:tr w:rsidR="00FE3573" w:rsidRPr="00FE3573" w14:paraId="4FF837F7"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tcBorders>
              <w:top w:val="single" w:sz="4" w:space="0" w:color="000000"/>
            </w:tcBorders>
            <w:noWrap/>
            <w:hideMark/>
          </w:tcPr>
          <w:p w14:paraId="4A834AD8" w14:textId="77777777" w:rsidR="00FE3573" w:rsidRPr="00FE3573" w:rsidRDefault="00FE3573" w:rsidP="00FE3573">
            <w:pPr>
              <w:spacing w:after="0" w:line="240" w:lineRule="auto"/>
              <w:jc w:val="center"/>
              <w:rPr>
                <w:rFonts w:asciiTheme="minorHAnsi" w:hAnsiTheme="minorHAnsi" w:cstheme="minorHAnsi"/>
                <w:sz w:val="20"/>
                <w:szCs w:val="20"/>
                <w:lang w:bidi="ar-SA"/>
              </w:rPr>
            </w:pPr>
            <w:r w:rsidRPr="00FE3573">
              <w:rPr>
                <w:rFonts w:asciiTheme="minorHAnsi" w:hAnsiTheme="minorHAnsi" w:cstheme="minorHAnsi"/>
                <w:sz w:val="20"/>
                <w:szCs w:val="20"/>
                <w:lang w:bidi="ar-SA"/>
              </w:rPr>
              <w:t>Wisconsin</w:t>
            </w:r>
          </w:p>
        </w:tc>
        <w:tc>
          <w:tcPr>
            <w:tcW w:w="1460" w:type="dxa"/>
            <w:tcBorders>
              <w:top w:val="single" w:sz="4" w:space="0" w:color="000000"/>
            </w:tcBorders>
            <w:noWrap/>
            <w:hideMark/>
          </w:tcPr>
          <w:p w14:paraId="29DB0A6D"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2010</w:t>
            </w:r>
          </w:p>
        </w:tc>
        <w:tc>
          <w:tcPr>
            <w:tcW w:w="2250" w:type="dxa"/>
            <w:tcBorders>
              <w:top w:val="single" w:sz="4" w:space="0" w:color="000000"/>
            </w:tcBorders>
            <w:noWrap/>
            <w:hideMark/>
          </w:tcPr>
          <w:p w14:paraId="532BB5CA"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Rivers</w:t>
            </w:r>
          </w:p>
        </w:tc>
        <w:tc>
          <w:tcPr>
            <w:tcW w:w="1600" w:type="dxa"/>
            <w:tcBorders>
              <w:top w:val="single" w:sz="4" w:space="0" w:color="000000"/>
            </w:tcBorders>
            <w:noWrap/>
            <w:hideMark/>
          </w:tcPr>
          <w:p w14:paraId="4EE9D714"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w:t>
            </w:r>
          </w:p>
        </w:tc>
        <w:tc>
          <w:tcPr>
            <w:tcW w:w="1820" w:type="dxa"/>
            <w:tcBorders>
              <w:top w:val="single" w:sz="4" w:space="0" w:color="000000"/>
            </w:tcBorders>
            <w:noWrap/>
            <w:hideMark/>
          </w:tcPr>
          <w:p w14:paraId="7BED0C27"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0.1</w:t>
            </w:r>
          </w:p>
        </w:tc>
      </w:tr>
      <w:tr w:rsidR="00FE3573" w:rsidRPr="00FE3573" w14:paraId="2FE79CC5"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tcBorders>
              <w:bottom w:val="single" w:sz="4" w:space="0" w:color="000000"/>
            </w:tcBorders>
            <w:noWrap/>
            <w:hideMark/>
          </w:tcPr>
          <w:p w14:paraId="0087EC0E" w14:textId="77777777" w:rsidR="00FE3573" w:rsidRPr="00FE3573" w:rsidRDefault="00FE3573" w:rsidP="00FE3573">
            <w:pPr>
              <w:spacing w:after="0" w:line="240" w:lineRule="auto"/>
              <w:jc w:val="center"/>
              <w:rPr>
                <w:rFonts w:asciiTheme="minorHAnsi" w:hAnsiTheme="minorHAnsi" w:cstheme="minorHAnsi"/>
                <w:sz w:val="20"/>
                <w:szCs w:val="20"/>
                <w:lang w:bidi="ar-SA"/>
              </w:rPr>
            </w:pPr>
          </w:p>
        </w:tc>
        <w:tc>
          <w:tcPr>
            <w:tcW w:w="1460" w:type="dxa"/>
            <w:tcBorders>
              <w:bottom w:val="single" w:sz="4" w:space="0" w:color="000000"/>
            </w:tcBorders>
            <w:noWrap/>
            <w:hideMark/>
          </w:tcPr>
          <w:p w14:paraId="79778915"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p>
        </w:tc>
        <w:tc>
          <w:tcPr>
            <w:tcW w:w="2250" w:type="dxa"/>
            <w:tcBorders>
              <w:bottom w:val="single" w:sz="4" w:space="0" w:color="000000"/>
            </w:tcBorders>
            <w:noWrap/>
            <w:hideMark/>
          </w:tcPr>
          <w:p w14:paraId="79D2ED14"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Streams</w:t>
            </w:r>
          </w:p>
        </w:tc>
        <w:tc>
          <w:tcPr>
            <w:tcW w:w="1600" w:type="dxa"/>
            <w:tcBorders>
              <w:bottom w:val="single" w:sz="4" w:space="0" w:color="000000"/>
            </w:tcBorders>
            <w:noWrap/>
            <w:hideMark/>
          </w:tcPr>
          <w:p w14:paraId="2BDE06C9"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w:t>
            </w:r>
          </w:p>
        </w:tc>
        <w:tc>
          <w:tcPr>
            <w:tcW w:w="1820" w:type="dxa"/>
            <w:tcBorders>
              <w:bottom w:val="single" w:sz="4" w:space="0" w:color="000000"/>
            </w:tcBorders>
            <w:noWrap/>
            <w:hideMark/>
          </w:tcPr>
          <w:p w14:paraId="7FB723DC"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0.075</w:t>
            </w:r>
          </w:p>
        </w:tc>
      </w:tr>
      <w:tr w:rsidR="00FE3573" w:rsidRPr="00FE3573" w14:paraId="594DC257"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tcBorders>
              <w:top w:val="single" w:sz="4" w:space="0" w:color="000000"/>
            </w:tcBorders>
            <w:noWrap/>
            <w:hideMark/>
          </w:tcPr>
          <w:p w14:paraId="6375F021" w14:textId="77777777" w:rsidR="00FE3573" w:rsidRPr="00FE3573" w:rsidRDefault="00FE3573" w:rsidP="00FE3573">
            <w:pPr>
              <w:spacing w:after="0" w:line="240" w:lineRule="auto"/>
              <w:jc w:val="center"/>
              <w:rPr>
                <w:rFonts w:asciiTheme="minorHAnsi" w:hAnsiTheme="minorHAnsi" w:cstheme="minorHAnsi"/>
                <w:sz w:val="20"/>
                <w:szCs w:val="20"/>
                <w:lang w:bidi="ar-SA"/>
              </w:rPr>
            </w:pPr>
            <w:r w:rsidRPr="00FE3573">
              <w:rPr>
                <w:rFonts w:asciiTheme="minorHAnsi" w:hAnsiTheme="minorHAnsi" w:cstheme="minorHAnsi"/>
                <w:sz w:val="20"/>
                <w:szCs w:val="20"/>
                <w:lang w:bidi="ar-SA"/>
              </w:rPr>
              <w:t>Florida</w:t>
            </w:r>
          </w:p>
        </w:tc>
        <w:tc>
          <w:tcPr>
            <w:tcW w:w="1460" w:type="dxa"/>
            <w:tcBorders>
              <w:top w:val="single" w:sz="4" w:space="0" w:color="000000"/>
            </w:tcBorders>
            <w:noWrap/>
            <w:hideMark/>
          </w:tcPr>
          <w:p w14:paraId="3E8A1587"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2012</w:t>
            </w:r>
          </w:p>
        </w:tc>
        <w:tc>
          <w:tcPr>
            <w:tcW w:w="2250" w:type="dxa"/>
            <w:tcBorders>
              <w:top w:val="single" w:sz="4" w:space="0" w:color="000000"/>
            </w:tcBorders>
            <w:noWrap/>
            <w:hideMark/>
          </w:tcPr>
          <w:p w14:paraId="5268B954"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Panhandle West</w:t>
            </w:r>
          </w:p>
        </w:tc>
        <w:tc>
          <w:tcPr>
            <w:tcW w:w="1600" w:type="dxa"/>
            <w:tcBorders>
              <w:top w:val="single" w:sz="4" w:space="0" w:color="000000"/>
            </w:tcBorders>
            <w:noWrap/>
            <w:hideMark/>
          </w:tcPr>
          <w:p w14:paraId="169AAAD4"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0.67</w:t>
            </w:r>
          </w:p>
        </w:tc>
        <w:tc>
          <w:tcPr>
            <w:tcW w:w="1820" w:type="dxa"/>
            <w:tcBorders>
              <w:top w:val="single" w:sz="4" w:space="0" w:color="000000"/>
            </w:tcBorders>
            <w:noWrap/>
            <w:hideMark/>
          </w:tcPr>
          <w:p w14:paraId="46983C4A"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0.06</w:t>
            </w:r>
          </w:p>
        </w:tc>
      </w:tr>
      <w:tr w:rsidR="00FE3573" w:rsidRPr="00FE3573" w14:paraId="14F7D1A4"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noWrap/>
            <w:hideMark/>
          </w:tcPr>
          <w:p w14:paraId="17256D2F" w14:textId="77777777" w:rsidR="00FE3573" w:rsidRPr="00FE3573" w:rsidRDefault="00FE3573" w:rsidP="00FE3573">
            <w:pPr>
              <w:spacing w:after="0" w:line="240" w:lineRule="auto"/>
              <w:jc w:val="center"/>
              <w:rPr>
                <w:rFonts w:asciiTheme="minorHAnsi" w:hAnsiTheme="minorHAnsi" w:cstheme="minorHAnsi"/>
                <w:sz w:val="20"/>
                <w:szCs w:val="20"/>
                <w:lang w:bidi="ar-SA"/>
              </w:rPr>
            </w:pPr>
          </w:p>
        </w:tc>
        <w:tc>
          <w:tcPr>
            <w:tcW w:w="1460" w:type="dxa"/>
            <w:noWrap/>
            <w:hideMark/>
          </w:tcPr>
          <w:p w14:paraId="11DA54EE"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p>
        </w:tc>
        <w:tc>
          <w:tcPr>
            <w:tcW w:w="2250" w:type="dxa"/>
            <w:noWrap/>
            <w:hideMark/>
          </w:tcPr>
          <w:p w14:paraId="7FF8F26B"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Panhandle East</w:t>
            </w:r>
          </w:p>
        </w:tc>
        <w:tc>
          <w:tcPr>
            <w:tcW w:w="1600" w:type="dxa"/>
            <w:noWrap/>
            <w:hideMark/>
          </w:tcPr>
          <w:p w14:paraId="0C78E969"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1.03</w:t>
            </w:r>
          </w:p>
        </w:tc>
        <w:tc>
          <w:tcPr>
            <w:tcW w:w="1820" w:type="dxa"/>
            <w:noWrap/>
            <w:hideMark/>
          </w:tcPr>
          <w:p w14:paraId="159F2269"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0.18</w:t>
            </w:r>
          </w:p>
        </w:tc>
      </w:tr>
      <w:tr w:rsidR="00FE3573" w:rsidRPr="00FE3573" w14:paraId="2F8F35BC"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noWrap/>
            <w:hideMark/>
          </w:tcPr>
          <w:p w14:paraId="02323C9A" w14:textId="77777777" w:rsidR="00FE3573" w:rsidRPr="00FE3573" w:rsidRDefault="00FE3573" w:rsidP="00FE3573">
            <w:pPr>
              <w:spacing w:after="0" w:line="240" w:lineRule="auto"/>
              <w:jc w:val="center"/>
              <w:rPr>
                <w:rFonts w:asciiTheme="minorHAnsi" w:hAnsiTheme="minorHAnsi" w:cstheme="minorHAnsi"/>
                <w:sz w:val="20"/>
                <w:szCs w:val="20"/>
                <w:lang w:bidi="ar-SA"/>
              </w:rPr>
            </w:pPr>
          </w:p>
        </w:tc>
        <w:tc>
          <w:tcPr>
            <w:tcW w:w="1460" w:type="dxa"/>
            <w:noWrap/>
            <w:hideMark/>
          </w:tcPr>
          <w:p w14:paraId="5C4B8003"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p>
        </w:tc>
        <w:tc>
          <w:tcPr>
            <w:tcW w:w="2250" w:type="dxa"/>
            <w:noWrap/>
            <w:hideMark/>
          </w:tcPr>
          <w:p w14:paraId="577AE967"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North Central</w:t>
            </w:r>
          </w:p>
        </w:tc>
        <w:tc>
          <w:tcPr>
            <w:tcW w:w="1600" w:type="dxa"/>
            <w:noWrap/>
            <w:hideMark/>
          </w:tcPr>
          <w:p w14:paraId="2158FDFE"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1.87</w:t>
            </w:r>
          </w:p>
        </w:tc>
        <w:tc>
          <w:tcPr>
            <w:tcW w:w="1820" w:type="dxa"/>
            <w:noWrap/>
            <w:hideMark/>
          </w:tcPr>
          <w:p w14:paraId="6E14D07D"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0.3</w:t>
            </w:r>
          </w:p>
        </w:tc>
      </w:tr>
      <w:tr w:rsidR="00FE3573" w:rsidRPr="00FE3573" w14:paraId="078D1063"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noWrap/>
            <w:hideMark/>
          </w:tcPr>
          <w:p w14:paraId="240D3D8C" w14:textId="77777777" w:rsidR="00FE3573" w:rsidRPr="00FE3573" w:rsidRDefault="00FE3573" w:rsidP="00FE3573">
            <w:pPr>
              <w:spacing w:after="0" w:line="240" w:lineRule="auto"/>
              <w:jc w:val="center"/>
              <w:rPr>
                <w:rFonts w:asciiTheme="minorHAnsi" w:hAnsiTheme="minorHAnsi" w:cstheme="minorHAnsi"/>
                <w:sz w:val="20"/>
                <w:szCs w:val="20"/>
                <w:lang w:bidi="ar-SA"/>
              </w:rPr>
            </w:pPr>
          </w:p>
        </w:tc>
        <w:tc>
          <w:tcPr>
            <w:tcW w:w="1460" w:type="dxa"/>
            <w:noWrap/>
            <w:hideMark/>
          </w:tcPr>
          <w:p w14:paraId="2AFEEBF1"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p>
        </w:tc>
        <w:tc>
          <w:tcPr>
            <w:tcW w:w="2250" w:type="dxa"/>
            <w:noWrap/>
            <w:hideMark/>
          </w:tcPr>
          <w:p w14:paraId="10AE4C5A"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Peninsular</w:t>
            </w:r>
          </w:p>
        </w:tc>
        <w:tc>
          <w:tcPr>
            <w:tcW w:w="1600" w:type="dxa"/>
            <w:noWrap/>
            <w:hideMark/>
          </w:tcPr>
          <w:p w14:paraId="09B3DD55"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1.54</w:t>
            </w:r>
          </w:p>
        </w:tc>
        <w:tc>
          <w:tcPr>
            <w:tcW w:w="1820" w:type="dxa"/>
            <w:noWrap/>
            <w:hideMark/>
          </w:tcPr>
          <w:p w14:paraId="543EC80A"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0.12</w:t>
            </w:r>
          </w:p>
        </w:tc>
      </w:tr>
      <w:tr w:rsidR="00FE3573" w:rsidRPr="00FE3573" w14:paraId="56C8DBDF"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tcBorders>
              <w:bottom w:val="single" w:sz="4" w:space="0" w:color="000000"/>
            </w:tcBorders>
            <w:noWrap/>
            <w:hideMark/>
          </w:tcPr>
          <w:p w14:paraId="49BA56E5" w14:textId="77777777" w:rsidR="00FE3573" w:rsidRPr="00FE3573" w:rsidRDefault="00FE3573" w:rsidP="00FE3573">
            <w:pPr>
              <w:spacing w:after="0" w:line="240" w:lineRule="auto"/>
              <w:jc w:val="center"/>
              <w:rPr>
                <w:rFonts w:asciiTheme="minorHAnsi" w:hAnsiTheme="minorHAnsi" w:cstheme="minorHAnsi"/>
                <w:sz w:val="20"/>
                <w:szCs w:val="20"/>
                <w:lang w:bidi="ar-SA"/>
              </w:rPr>
            </w:pPr>
          </w:p>
        </w:tc>
        <w:tc>
          <w:tcPr>
            <w:tcW w:w="1460" w:type="dxa"/>
            <w:tcBorders>
              <w:bottom w:val="single" w:sz="4" w:space="0" w:color="000000"/>
            </w:tcBorders>
            <w:noWrap/>
            <w:hideMark/>
          </w:tcPr>
          <w:p w14:paraId="0CA45A20"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p>
        </w:tc>
        <w:tc>
          <w:tcPr>
            <w:tcW w:w="2250" w:type="dxa"/>
            <w:tcBorders>
              <w:bottom w:val="single" w:sz="4" w:space="0" w:color="000000"/>
            </w:tcBorders>
            <w:noWrap/>
            <w:hideMark/>
          </w:tcPr>
          <w:p w14:paraId="18222351"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West Central</w:t>
            </w:r>
          </w:p>
        </w:tc>
        <w:tc>
          <w:tcPr>
            <w:tcW w:w="1600" w:type="dxa"/>
            <w:tcBorders>
              <w:bottom w:val="single" w:sz="4" w:space="0" w:color="000000"/>
            </w:tcBorders>
            <w:noWrap/>
            <w:hideMark/>
          </w:tcPr>
          <w:p w14:paraId="70B19BE9"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1.65</w:t>
            </w:r>
          </w:p>
        </w:tc>
        <w:tc>
          <w:tcPr>
            <w:tcW w:w="1820" w:type="dxa"/>
            <w:tcBorders>
              <w:bottom w:val="single" w:sz="4" w:space="0" w:color="000000"/>
            </w:tcBorders>
            <w:noWrap/>
            <w:hideMark/>
          </w:tcPr>
          <w:p w14:paraId="68B73067"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0.49</w:t>
            </w:r>
          </w:p>
        </w:tc>
      </w:tr>
      <w:tr w:rsidR="00FE3573" w:rsidRPr="00FE3573" w14:paraId="35FBD741"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tcBorders>
              <w:top w:val="single" w:sz="4" w:space="0" w:color="000000"/>
              <w:bottom w:val="single" w:sz="4" w:space="0" w:color="000000"/>
            </w:tcBorders>
            <w:noWrap/>
            <w:hideMark/>
          </w:tcPr>
          <w:p w14:paraId="72A7EEE6" w14:textId="77777777" w:rsidR="00FE3573" w:rsidRPr="00FE3573" w:rsidRDefault="00FE3573" w:rsidP="00FE3573">
            <w:pPr>
              <w:spacing w:after="0" w:line="240" w:lineRule="auto"/>
              <w:jc w:val="center"/>
              <w:rPr>
                <w:rFonts w:asciiTheme="minorHAnsi" w:hAnsiTheme="minorHAnsi" w:cstheme="minorHAnsi"/>
                <w:sz w:val="20"/>
                <w:szCs w:val="20"/>
                <w:lang w:bidi="ar-SA"/>
              </w:rPr>
            </w:pPr>
            <w:r w:rsidRPr="00FE3573">
              <w:rPr>
                <w:rFonts w:asciiTheme="minorHAnsi" w:hAnsiTheme="minorHAnsi" w:cstheme="minorHAnsi"/>
                <w:sz w:val="20"/>
                <w:szCs w:val="20"/>
                <w:lang w:bidi="ar-SA"/>
              </w:rPr>
              <w:t>New Jersey</w:t>
            </w:r>
          </w:p>
        </w:tc>
        <w:tc>
          <w:tcPr>
            <w:tcW w:w="1460" w:type="dxa"/>
            <w:tcBorders>
              <w:top w:val="single" w:sz="4" w:space="0" w:color="000000"/>
              <w:bottom w:val="single" w:sz="4" w:space="0" w:color="000000"/>
            </w:tcBorders>
            <w:noWrap/>
            <w:hideMark/>
          </w:tcPr>
          <w:p w14:paraId="2F84D52F"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1981/2011</w:t>
            </w:r>
          </w:p>
        </w:tc>
        <w:tc>
          <w:tcPr>
            <w:tcW w:w="2250" w:type="dxa"/>
            <w:tcBorders>
              <w:top w:val="single" w:sz="4" w:space="0" w:color="000000"/>
              <w:bottom w:val="single" w:sz="4" w:space="0" w:color="000000"/>
            </w:tcBorders>
            <w:noWrap/>
            <w:hideMark/>
          </w:tcPr>
          <w:p w14:paraId="15F327A5"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p>
        </w:tc>
        <w:tc>
          <w:tcPr>
            <w:tcW w:w="1600" w:type="dxa"/>
            <w:tcBorders>
              <w:top w:val="single" w:sz="4" w:space="0" w:color="000000"/>
              <w:bottom w:val="single" w:sz="4" w:space="0" w:color="000000"/>
            </w:tcBorders>
            <w:noWrap/>
            <w:hideMark/>
          </w:tcPr>
          <w:p w14:paraId="2C44A7EE"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w:t>
            </w:r>
          </w:p>
        </w:tc>
        <w:tc>
          <w:tcPr>
            <w:tcW w:w="1820" w:type="dxa"/>
            <w:tcBorders>
              <w:top w:val="single" w:sz="4" w:space="0" w:color="000000"/>
              <w:bottom w:val="single" w:sz="4" w:space="0" w:color="000000"/>
            </w:tcBorders>
            <w:noWrap/>
            <w:hideMark/>
          </w:tcPr>
          <w:p w14:paraId="60EB17C5"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0.1</w:t>
            </w:r>
          </w:p>
        </w:tc>
      </w:tr>
      <w:tr w:rsidR="00FE3573" w:rsidRPr="00FE3573" w14:paraId="4B19B7DE"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tcBorders>
              <w:top w:val="single" w:sz="4" w:space="0" w:color="000000"/>
            </w:tcBorders>
            <w:noWrap/>
            <w:hideMark/>
          </w:tcPr>
          <w:p w14:paraId="197DA7AA" w14:textId="77777777" w:rsidR="00FE3573" w:rsidRPr="00FE3573" w:rsidRDefault="00FE3573" w:rsidP="00FE3573">
            <w:pPr>
              <w:spacing w:after="0" w:line="240" w:lineRule="auto"/>
              <w:jc w:val="center"/>
              <w:rPr>
                <w:rFonts w:asciiTheme="minorHAnsi" w:hAnsiTheme="minorHAnsi" w:cstheme="minorHAnsi"/>
                <w:sz w:val="20"/>
                <w:szCs w:val="20"/>
                <w:lang w:bidi="ar-SA"/>
              </w:rPr>
            </w:pPr>
            <w:r w:rsidRPr="00FE3573">
              <w:rPr>
                <w:rFonts w:asciiTheme="minorHAnsi" w:hAnsiTheme="minorHAnsi" w:cstheme="minorHAnsi"/>
                <w:sz w:val="20"/>
                <w:szCs w:val="20"/>
                <w:lang w:bidi="ar-SA"/>
              </w:rPr>
              <w:t>Hawaii</w:t>
            </w:r>
          </w:p>
        </w:tc>
        <w:tc>
          <w:tcPr>
            <w:tcW w:w="1460" w:type="dxa"/>
            <w:tcBorders>
              <w:top w:val="single" w:sz="4" w:space="0" w:color="000000"/>
            </w:tcBorders>
            <w:noWrap/>
            <w:hideMark/>
          </w:tcPr>
          <w:p w14:paraId="0495F070"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2014</w:t>
            </w:r>
          </w:p>
        </w:tc>
        <w:tc>
          <w:tcPr>
            <w:tcW w:w="2250" w:type="dxa"/>
            <w:tcBorders>
              <w:top w:val="single" w:sz="4" w:space="0" w:color="000000"/>
            </w:tcBorders>
            <w:noWrap/>
            <w:hideMark/>
          </w:tcPr>
          <w:p w14:paraId="0735BDB3"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Wet season (Nov-Apr)</w:t>
            </w:r>
          </w:p>
        </w:tc>
        <w:tc>
          <w:tcPr>
            <w:tcW w:w="1600" w:type="dxa"/>
            <w:tcBorders>
              <w:top w:val="single" w:sz="4" w:space="0" w:color="000000"/>
            </w:tcBorders>
            <w:noWrap/>
            <w:hideMark/>
          </w:tcPr>
          <w:p w14:paraId="33BB3AAB"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0.25</w:t>
            </w:r>
          </w:p>
        </w:tc>
        <w:tc>
          <w:tcPr>
            <w:tcW w:w="1820" w:type="dxa"/>
            <w:tcBorders>
              <w:top w:val="single" w:sz="4" w:space="0" w:color="000000"/>
            </w:tcBorders>
            <w:noWrap/>
            <w:hideMark/>
          </w:tcPr>
          <w:p w14:paraId="30C68644"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0.05</w:t>
            </w:r>
          </w:p>
        </w:tc>
      </w:tr>
      <w:tr w:rsidR="00FE3573" w:rsidRPr="00FE3573" w14:paraId="37C33C81"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tcBorders>
              <w:bottom w:val="single" w:sz="4" w:space="0" w:color="000000"/>
            </w:tcBorders>
            <w:noWrap/>
            <w:hideMark/>
          </w:tcPr>
          <w:p w14:paraId="34AF9F55" w14:textId="77777777" w:rsidR="00FE3573" w:rsidRPr="00FE3573" w:rsidRDefault="00FE3573" w:rsidP="00FE3573">
            <w:pPr>
              <w:spacing w:after="0" w:line="240" w:lineRule="auto"/>
              <w:jc w:val="center"/>
              <w:rPr>
                <w:rFonts w:asciiTheme="minorHAnsi" w:hAnsiTheme="minorHAnsi" w:cstheme="minorHAnsi"/>
                <w:sz w:val="20"/>
                <w:szCs w:val="20"/>
                <w:lang w:bidi="ar-SA"/>
              </w:rPr>
            </w:pPr>
          </w:p>
        </w:tc>
        <w:tc>
          <w:tcPr>
            <w:tcW w:w="1460" w:type="dxa"/>
            <w:tcBorders>
              <w:bottom w:val="single" w:sz="4" w:space="0" w:color="000000"/>
            </w:tcBorders>
            <w:noWrap/>
            <w:hideMark/>
          </w:tcPr>
          <w:p w14:paraId="508057FE"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p>
        </w:tc>
        <w:tc>
          <w:tcPr>
            <w:tcW w:w="2250" w:type="dxa"/>
            <w:tcBorders>
              <w:bottom w:val="single" w:sz="4" w:space="0" w:color="000000"/>
            </w:tcBorders>
            <w:noWrap/>
            <w:hideMark/>
          </w:tcPr>
          <w:p w14:paraId="66BC9C7D"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Dry season (May-Oct)</w:t>
            </w:r>
          </w:p>
        </w:tc>
        <w:tc>
          <w:tcPr>
            <w:tcW w:w="1600" w:type="dxa"/>
            <w:tcBorders>
              <w:bottom w:val="single" w:sz="4" w:space="0" w:color="000000"/>
            </w:tcBorders>
            <w:noWrap/>
            <w:hideMark/>
          </w:tcPr>
          <w:p w14:paraId="6CCC52DB"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0.18</w:t>
            </w:r>
          </w:p>
        </w:tc>
        <w:tc>
          <w:tcPr>
            <w:tcW w:w="1820" w:type="dxa"/>
            <w:tcBorders>
              <w:bottom w:val="single" w:sz="4" w:space="0" w:color="000000"/>
            </w:tcBorders>
            <w:noWrap/>
            <w:hideMark/>
          </w:tcPr>
          <w:p w14:paraId="75938787"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0.03</w:t>
            </w:r>
          </w:p>
        </w:tc>
      </w:tr>
      <w:tr w:rsidR="00FE3573" w:rsidRPr="00FE3573" w14:paraId="2FD62D1E"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tcBorders>
              <w:top w:val="single" w:sz="4" w:space="0" w:color="000000"/>
              <w:bottom w:val="single" w:sz="4" w:space="0" w:color="000000"/>
            </w:tcBorders>
            <w:noWrap/>
            <w:hideMark/>
          </w:tcPr>
          <w:p w14:paraId="57F50172" w14:textId="77777777" w:rsidR="00FE3573" w:rsidRPr="00FE3573" w:rsidRDefault="00FE3573" w:rsidP="00FE3573">
            <w:pPr>
              <w:spacing w:after="0" w:line="240" w:lineRule="auto"/>
              <w:jc w:val="center"/>
              <w:rPr>
                <w:rFonts w:asciiTheme="minorHAnsi" w:hAnsiTheme="minorHAnsi" w:cstheme="minorHAnsi"/>
                <w:sz w:val="20"/>
                <w:szCs w:val="20"/>
                <w:lang w:bidi="ar-SA"/>
              </w:rPr>
            </w:pPr>
            <w:r w:rsidRPr="00FE3573">
              <w:rPr>
                <w:rFonts w:asciiTheme="minorHAnsi" w:hAnsiTheme="minorHAnsi" w:cstheme="minorHAnsi"/>
                <w:sz w:val="20"/>
                <w:szCs w:val="20"/>
                <w:lang w:bidi="ar-SA"/>
              </w:rPr>
              <w:t>American Samoa</w:t>
            </w:r>
          </w:p>
        </w:tc>
        <w:tc>
          <w:tcPr>
            <w:tcW w:w="1460" w:type="dxa"/>
            <w:tcBorders>
              <w:top w:val="single" w:sz="4" w:space="0" w:color="000000"/>
              <w:bottom w:val="single" w:sz="4" w:space="0" w:color="000000"/>
            </w:tcBorders>
            <w:noWrap/>
            <w:hideMark/>
          </w:tcPr>
          <w:p w14:paraId="6D45516C"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2013</w:t>
            </w:r>
          </w:p>
        </w:tc>
        <w:tc>
          <w:tcPr>
            <w:tcW w:w="2250" w:type="dxa"/>
            <w:tcBorders>
              <w:top w:val="single" w:sz="4" w:space="0" w:color="000000"/>
              <w:bottom w:val="single" w:sz="4" w:space="0" w:color="000000"/>
            </w:tcBorders>
            <w:noWrap/>
            <w:hideMark/>
          </w:tcPr>
          <w:p w14:paraId="1751825D"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p>
        </w:tc>
        <w:tc>
          <w:tcPr>
            <w:tcW w:w="1600" w:type="dxa"/>
            <w:tcBorders>
              <w:top w:val="single" w:sz="4" w:space="0" w:color="000000"/>
              <w:bottom w:val="single" w:sz="4" w:space="0" w:color="000000"/>
            </w:tcBorders>
            <w:noWrap/>
            <w:hideMark/>
          </w:tcPr>
          <w:p w14:paraId="2D02F371"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0.3</w:t>
            </w:r>
          </w:p>
        </w:tc>
        <w:tc>
          <w:tcPr>
            <w:tcW w:w="1820" w:type="dxa"/>
            <w:tcBorders>
              <w:top w:val="single" w:sz="4" w:space="0" w:color="000000"/>
              <w:bottom w:val="single" w:sz="4" w:space="0" w:color="000000"/>
            </w:tcBorders>
            <w:noWrap/>
            <w:hideMark/>
          </w:tcPr>
          <w:p w14:paraId="6541FEBB"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0.175</w:t>
            </w:r>
          </w:p>
        </w:tc>
      </w:tr>
      <w:tr w:rsidR="00FE3573" w:rsidRPr="00FE3573" w14:paraId="5C3D27B8"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tcBorders>
              <w:top w:val="single" w:sz="4" w:space="0" w:color="000000"/>
            </w:tcBorders>
            <w:noWrap/>
            <w:hideMark/>
          </w:tcPr>
          <w:p w14:paraId="468DA1ED" w14:textId="77777777" w:rsidR="00FE3573" w:rsidRPr="00FE3573" w:rsidRDefault="00FE3573" w:rsidP="00FE3573">
            <w:pPr>
              <w:spacing w:after="0" w:line="240" w:lineRule="auto"/>
              <w:jc w:val="center"/>
              <w:rPr>
                <w:rFonts w:asciiTheme="minorHAnsi" w:hAnsiTheme="minorHAnsi" w:cstheme="minorHAnsi"/>
                <w:sz w:val="20"/>
                <w:szCs w:val="20"/>
                <w:lang w:bidi="ar-SA"/>
              </w:rPr>
            </w:pPr>
            <w:r w:rsidRPr="00FE3573">
              <w:rPr>
                <w:rFonts w:asciiTheme="minorHAnsi" w:hAnsiTheme="minorHAnsi" w:cstheme="minorHAnsi"/>
                <w:sz w:val="20"/>
                <w:szCs w:val="20"/>
                <w:lang w:bidi="ar-SA"/>
              </w:rPr>
              <w:t>Northern Marianas</w:t>
            </w:r>
          </w:p>
        </w:tc>
        <w:tc>
          <w:tcPr>
            <w:tcW w:w="1460" w:type="dxa"/>
            <w:tcBorders>
              <w:top w:val="single" w:sz="4" w:space="0" w:color="000000"/>
            </w:tcBorders>
            <w:noWrap/>
            <w:hideMark/>
          </w:tcPr>
          <w:p w14:paraId="4289EC9F"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2014</w:t>
            </w:r>
          </w:p>
        </w:tc>
        <w:tc>
          <w:tcPr>
            <w:tcW w:w="2250" w:type="dxa"/>
            <w:tcBorders>
              <w:top w:val="single" w:sz="4" w:space="0" w:color="000000"/>
            </w:tcBorders>
            <w:noWrap/>
            <w:hideMark/>
          </w:tcPr>
          <w:p w14:paraId="40475C57"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Class 1 (no discharge)</w:t>
            </w:r>
          </w:p>
        </w:tc>
        <w:tc>
          <w:tcPr>
            <w:tcW w:w="1600" w:type="dxa"/>
            <w:tcBorders>
              <w:top w:val="single" w:sz="4" w:space="0" w:color="000000"/>
            </w:tcBorders>
            <w:noWrap/>
            <w:hideMark/>
          </w:tcPr>
          <w:p w14:paraId="0CAE4183"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0.75</w:t>
            </w:r>
          </w:p>
        </w:tc>
        <w:tc>
          <w:tcPr>
            <w:tcW w:w="1820" w:type="dxa"/>
            <w:tcBorders>
              <w:top w:val="single" w:sz="4" w:space="0" w:color="000000"/>
            </w:tcBorders>
            <w:noWrap/>
            <w:hideMark/>
          </w:tcPr>
          <w:p w14:paraId="1413F225"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0.1</w:t>
            </w:r>
          </w:p>
        </w:tc>
      </w:tr>
      <w:tr w:rsidR="00FE3573" w:rsidRPr="00FE3573" w14:paraId="33D8D498"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tcBorders>
              <w:bottom w:val="single" w:sz="4" w:space="0" w:color="000000"/>
            </w:tcBorders>
            <w:noWrap/>
            <w:hideMark/>
          </w:tcPr>
          <w:p w14:paraId="3129931D" w14:textId="77777777" w:rsidR="00FE3573" w:rsidRPr="00FE3573" w:rsidRDefault="00FE3573" w:rsidP="00FE3573">
            <w:pPr>
              <w:spacing w:after="0" w:line="240" w:lineRule="auto"/>
              <w:jc w:val="center"/>
              <w:rPr>
                <w:rFonts w:asciiTheme="minorHAnsi" w:hAnsiTheme="minorHAnsi" w:cstheme="minorHAnsi"/>
                <w:sz w:val="20"/>
                <w:szCs w:val="20"/>
                <w:lang w:bidi="ar-SA"/>
              </w:rPr>
            </w:pPr>
          </w:p>
        </w:tc>
        <w:tc>
          <w:tcPr>
            <w:tcW w:w="1460" w:type="dxa"/>
            <w:tcBorders>
              <w:bottom w:val="single" w:sz="4" w:space="0" w:color="000000"/>
            </w:tcBorders>
            <w:noWrap/>
            <w:hideMark/>
          </w:tcPr>
          <w:p w14:paraId="22FD8E23"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p>
        </w:tc>
        <w:tc>
          <w:tcPr>
            <w:tcW w:w="2250" w:type="dxa"/>
            <w:tcBorders>
              <w:bottom w:val="single" w:sz="4" w:space="0" w:color="000000"/>
            </w:tcBorders>
            <w:noWrap/>
            <w:hideMark/>
          </w:tcPr>
          <w:p w14:paraId="74429CF1"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Class 2</w:t>
            </w:r>
          </w:p>
        </w:tc>
        <w:tc>
          <w:tcPr>
            <w:tcW w:w="1600" w:type="dxa"/>
            <w:tcBorders>
              <w:bottom w:val="single" w:sz="4" w:space="0" w:color="000000"/>
            </w:tcBorders>
            <w:noWrap/>
            <w:hideMark/>
          </w:tcPr>
          <w:p w14:paraId="3A8BCDA6"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1.5</w:t>
            </w:r>
          </w:p>
        </w:tc>
        <w:tc>
          <w:tcPr>
            <w:tcW w:w="1820" w:type="dxa"/>
            <w:tcBorders>
              <w:bottom w:val="single" w:sz="4" w:space="0" w:color="000000"/>
            </w:tcBorders>
            <w:noWrap/>
            <w:hideMark/>
          </w:tcPr>
          <w:p w14:paraId="205D3C23"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0.1</w:t>
            </w:r>
          </w:p>
        </w:tc>
      </w:tr>
      <w:tr w:rsidR="00FE3573" w:rsidRPr="00FE3573" w14:paraId="7336D936"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tcBorders>
              <w:top w:val="single" w:sz="4" w:space="0" w:color="000000"/>
            </w:tcBorders>
            <w:noWrap/>
            <w:hideMark/>
          </w:tcPr>
          <w:p w14:paraId="2060A8CE" w14:textId="77777777" w:rsidR="00FE3573" w:rsidRPr="00FE3573" w:rsidRDefault="00FE3573" w:rsidP="00FE3573">
            <w:pPr>
              <w:spacing w:after="0" w:line="240" w:lineRule="auto"/>
              <w:jc w:val="center"/>
              <w:rPr>
                <w:rFonts w:asciiTheme="minorHAnsi" w:hAnsiTheme="minorHAnsi" w:cstheme="minorHAnsi"/>
                <w:sz w:val="20"/>
                <w:szCs w:val="20"/>
                <w:lang w:bidi="ar-SA"/>
              </w:rPr>
            </w:pPr>
            <w:r w:rsidRPr="00FE3573">
              <w:rPr>
                <w:rFonts w:asciiTheme="minorHAnsi" w:hAnsiTheme="minorHAnsi" w:cstheme="minorHAnsi"/>
                <w:sz w:val="20"/>
                <w:szCs w:val="20"/>
                <w:lang w:bidi="ar-SA"/>
              </w:rPr>
              <w:t>Guam</w:t>
            </w:r>
          </w:p>
        </w:tc>
        <w:tc>
          <w:tcPr>
            <w:tcW w:w="1460" w:type="dxa"/>
            <w:tcBorders>
              <w:top w:val="single" w:sz="4" w:space="0" w:color="000000"/>
            </w:tcBorders>
            <w:noWrap/>
            <w:hideMark/>
          </w:tcPr>
          <w:p w14:paraId="3738BBA8"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2010</w:t>
            </w:r>
          </w:p>
        </w:tc>
        <w:tc>
          <w:tcPr>
            <w:tcW w:w="2250" w:type="dxa"/>
            <w:tcBorders>
              <w:top w:val="single" w:sz="4" w:space="0" w:color="000000"/>
            </w:tcBorders>
            <w:noWrap/>
            <w:hideMark/>
          </w:tcPr>
          <w:p w14:paraId="1683E730"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S1 (no discharge)</w:t>
            </w:r>
          </w:p>
        </w:tc>
        <w:tc>
          <w:tcPr>
            <w:tcW w:w="1600" w:type="dxa"/>
            <w:tcBorders>
              <w:top w:val="single" w:sz="4" w:space="0" w:color="000000"/>
            </w:tcBorders>
            <w:noWrap/>
            <w:hideMark/>
          </w:tcPr>
          <w:p w14:paraId="5D48D708" w14:textId="21E9CC5F" w:rsidR="00FE3573" w:rsidRPr="00FE3573" w:rsidRDefault="005011E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0.025 NO</w:t>
            </w:r>
            <w:r w:rsidR="00FE3573" w:rsidRPr="00FE3573">
              <w:rPr>
                <w:rFonts w:asciiTheme="minorHAnsi" w:hAnsiTheme="minorHAnsi" w:cstheme="minorHAnsi"/>
                <w:sz w:val="20"/>
                <w:szCs w:val="20"/>
                <w:lang w:bidi="ar-SA"/>
              </w:rPr>
              <w:t>3</w:t>
            </w:r>
          </w:p>
        </w:tc>
        <w:tc>
          <w:tcPr>
            <w:tcW w:w="1820" w:type="dxa"/>
            <w:tcBorders>
              <w:top w:val="single" w:sz="4" w:space="0" w:color="000000"/>
            </w:tcBorders>
            <w:noWrap/>
            <w:hideMark/>
          </w:tcPr>
          <w:p w14:paraId="4E6E2965" w14:textId="66577B6A" w:rsidR="00FE3573" w:rsidRPr="00FE3573" w:rsidRDefault="005011E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0.10 orthoP</w:t>
            </w:r>
          </w:p>
        </w:tc>
      </w:tr>
      <w:tr w:rsidR="00FE3573" w:rsidRPr="00FE3573" w14:paraId="1443E889"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noWrap/>
            <w:hideMark/>
          </w:tcPr>
          <w:p w14:paraId="1A37DE70" w14:textId="77777777" w:rsidR="00FE3573" w:rsidRPr="00FE3573" w:rsidRDefault="00FE3573" w:rsidP="00FE3573">
            <w:pPr>
              <w:spacing w:after="0" w:line="240" w:lineRule="auto"/>
              <w:jc w:val="center"/>
              <w:rPr>
                <w:rFonts w:asciiTheme="minorHAnsi" w:hAnsiTheme="minorHAnsi" w:cstheme="minorHAnsi"/>
                <w:sz w:val="20"/>
                <w:szCs w:val="20"/>
                <w:lang w:bidi="ar-SA"/>
              </w:rPr>
            </w:pPr>
          </w:p>
        </w:tc>
        <w:tc>
          <w:tcPr>
            <w:tcW w:w="1460" w:type="dxa"/>
            <w:noWrap/>
            <w:hideMark/>
          </w:tcPr>
          <w:p w14:paraId="6C5D1EDD"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p>
        </w:tc>
        <w:tc>
          <w:tcPr>
            <w:tcW w:w="2250" w:type="dxa"/>
            <w:noWrap/>
            <w:hideMark/>
          </w:tcPr>
          <w:p w14:paraId="4B75FC9F"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S2</w:t>
            </w:r>
          </w:p>
        </w:tc>
        <w:tc>
          <w:tcPr>
            <w:tcW w:w="1600" w:type="dxa"/>
            <w:noWrap/>
            <w:hideMark/>
          </w:tcPr>
          <w:p w14:paraId="08692ED1" w14:textId="6E83A068" w:rsidR="00FE3573" w:rsidRPr="00FE3573" w:rsidRDefault="005011E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0.05 NO</w:t>
            </w:r>
            <w:r w:rsidR="00FE3573" w:rsidRPr="00FE3573">
              <w:rPr>
                <w:rFonts w:asciiTheme="minorHAnsi" w:hAnsiTheme="minorHAnsi" w:cstheme="minorHAnsi"/>
                <w:sz w:val="20"/>
                <w:szCs w:val="20"/>
                <w:lang w:bidi="ar-SA"/>
              </w:rPr>
              <w:t>3</w:t>
            </w:r>
          </w:p>
        </w:tc>
        <w:tc>
          <w:tcPr>
            <w:tcW w:w="1820" w:type="dxa"/>
            <w:noWrap/>
            <w:hideMark/>
          </w:tcPr>
          <w:p w14:paraId="4635AD3D" w14:textId="0259D6AF" w:rsidR="00FE3573" w:rsidRPr="00FE3573" w:rsidRDefault="005011E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0.20 orthoP</w:t>
            </w:r>
          </w:p>
        </w:tc>
      </w:tr>
      <w:tr w:rsidR="00FE3573" w:rsidRPr="00FE3573" w14:paraId="791D8B42"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tcBorders>
              <w:bottom w:val="single" w:sz="4" w:space="0" w:color="000000"/>
            </w:tcBorders>
            <w:noWrap/>
            <w:hideMark/>
          </w:tcPr>
          <w:p w14:paraId="0C3C8E6A" w14:textId="77777777" w:rsidR="00FE3573" w:rsidRPr="00FE3573" w:rsidRDefault="00FE3573" w:rsidP="00FE3573">
            <w:pPr>
              <w:spacing w:after="0" w:line="240" w:lineRule="auto"/>
              <w:jc w:val="center"/>
              <w:rPr>
                <w:rFonts w:asciiTheme="minorHAnsi" w:hAnsiTheme="minorHAnsi" w:cstheme="minorHAnsi"/>
                <w:sz w:val="20"/>
                <w:szCs w:val="20"/>
                <w:lang w:bidi="ar-SA"/>
              </w:rPr>
            </w:pPr>
          </w:p>
        </w:tc>
        <w:tc>
          <w:tcPr>
            <w:tcW w:w="1460" w:type="dxa"/>
            <w:tcBorders>
              <w:bottom w:val="single" w:sz="4" w:space="0" w:color="000000"/>
            </w:tcBorders>
            <w:noWrap/>
            <w:hideMark/>
          </w:tcPr>
          <w:p w14:paraId="0A30264B"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p>
        </w:tc>
        <w:tc>
          <w:tcPr>
            <w:tcW w:w="2250" w:type="dxa"/>
            <w:tcBorders>
              <w:bottom w:val="single" w:sz="4" w:space="0" w:color="000000"/>
            </w:tcBorders>
            <w:noWrap/>
            <w:hideMark/>
          </w:tcPr>
          <w:p w14:paraId="7439BE0B"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S3</w:t>
            </w:r>
          </w:p>
        </w:tc>
        <w:tc>
          <w:tcPr>
            <w:tcW w:w="1600" w:type="dxa"/>
            <w:tcBorders>
              <w:bottom w:val="single" w:sz="4" w:space="0" w:color="000000"/>
            </w:tcBorders>
            <w:noWrap/>
            <w:hideMark/>
          </w:tcPr>
          <w:p w14:paraId="663CB20A" w14:textId="14A006A2" w:rsidR="00FE3573" w:rsidRPr="00FE3573" w:rsidRDefault="005011E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0.10 NO</w:t>
            </w:r>
            <w:r w:rsidR="00FE3573" w:rsidRPr="00FE3573">
              <w:rPr>
                <w:rFonts w:asciiTheme="minorHAnsi" w:hAnsiTheme="minorHAnsi" w:cstheme="minorHAnsi"/>
                <w:sz w:val="20"/>
                <w:szCs w:val="20"/>
                <w:lang w:bidi="ar-SA"/>
              </w:rPr>
              <w:t>3</w:t>
            </w:r>
          </w:p>
        </w:tc>
        <w:tc>
          <w:tcPr>
            <w:tcW w:w="1820" w:type="dxa"/>
            <w:tcBorders>
              <w:bottom w:val="single" w:sz="4" w:space="0" w:color="000000"/>
            </w:tcBorders>
            <w:noWrap/>
            <w:hideMark/>
          </w:tcPr>
          <w:p w14:paraId="41872830" w14:textId="46495E15" w:rsidR="00FE3573" w:rsidRPr="00FE3573" w:rsidRDefault="005011E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0.50 orthoP</w:t>
            </w:r>
          </w:p>
        </w:tc>
      </w:tr>
      <w:tr w:rsidR="00FE3573" w:rsidRPr="00FE3573" w14:paraId="25CA5B1E"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tcBorders>
              <w:top w:val="single" w:sz="4" w:space="0" w:color="000000"/>
              <w:bottom w:val="single" w:sz="4" w:space="0" w:color="000000"/>
            </w:tcBorders>
            <w:noWrap/>
            <w:hideMark/>
          </w:tcPr>
          <w:p w14:paraId="7D744A4D" w14:textId="77777777" w:rsidR="00FE3573" w:rsidRPr="00FE3573" w:rsidRDefault="00FE3573" w:rsidP="00FE3573">
            <w:pPr>
              <w:spacing w:after="0" w:line="240" w:lineRule="auto"/>
              <w:jc w:val="center"/>
              <w:rPr>
                <w:rFonts w:asciiTheme="minorHAnsi" w:hAnsiTheme="minorHAnsi" w:cstheme="minorHAnsi"/>
                <w:sz w:val="20"/>
                <w:szCs w:val="20"/>
                <w:lang w:bidi="ar-SA"/>
              </w:rPr>
            </w:pPr>
            <w:r w:rsidRPr="00FE3573">
              <w:rPr>
                <w:rFonts w:asciiTheme="minorHAnsi" w:hAnsiTheme="minorHAnsi" w:cstheme="minorHAnsi"/>
                <w:sz w:val="20"/>
                <w:szCs w:val="20"/>
                <w:lang w:bidi="ar-SA"/>
              </w:rPr>
              <w:t>Puerto Rico</w:t>
            </w:r>
          </w:p>
        </w:tc>
        <w:tc>
          <w:tcPr>
            <w:tcW w:w="1460" w:type="dxa"/>
            <w:tcBorders>
              <w:top w:val="single" w:sz="4" w:space="0" w:color="000000"/>
              <w:bottom w:val="single" w:sz="4" w:space="0" w:color="000000"/>
            </w:tcBorders>
            <w:noWrap/>
            <w:hideMark/>
          </w:tcPr>
          <w:p w14:paraId="71535864"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2016</w:t>
            </w:r>
          </w:p>
        </w:tc>
        <w:tc>
          <w:tcPr>
            <w:tcW w:w="2250" w:type="dxa"/>
            <w:tcBorders>
              <w:top w:val="single" w:sz="4" w:space="0" w:color="000000"/>
              <w:bottom w:val="single" w:sz="4" w:space="0" w:color="000000"/>
            </w:tcBorders>
            <w:noWrap/>
            <w:hideMark/>
          </w:tcPr>
          <w:p w14:paraId="2572EE3D"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SD</w:t>
            </w:r>
          </w:p>
        </w:tc>
        <w:tc>
          <w:tcPr>
            <w:tcW w:w="1600" w:type="dxa"/>
            <w:tcBorders>
              <w:top w:val="single" w:sz="4" w:space="0" w:color="000000"/>
              <w:bottom w:val="single" w:sz="4" w:space="0" w:color="000000"/>
            </w:tcBorders>
            <w:noWrap/>
            <w:hideMark/>
          </w:tcPr>
          <w:p w14:paraId="452A6204"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1.7</w:t>
            </w:r>
          </w:p>
        </w:tc>
        <w:tc>
          <w:tcPr>
            <w:tcW w:w="1820" w:type="dxa"/>
            <w:tcBorders>
              <w:top w:val="single" w:sz="4" w:space="0" w:color="000000"/>
              <w:bottom w:val="single" w:sz="4" w:space="0" w:color="000000"/>
            </w:tcBorders>
            <w:noWrap/>
            <w:hideMark/>
          </w:tcPr>
          <w:p w14:paraId="05FF14B7"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0.16</w:t>
            </w:r>
          </w:p>
        </w:tc>
      </w:tr>
      <w:tr w:rsidR="00FE3573" w:rsidRPr="00FE3573" w14:paraId="19131CBB"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tcBorders>
              <w:top w:val="single" w:sz="4" w:space="0" w:color="000000"/>
              <w:bottom w:val="single" w:sz="4" w:space="0" w:color="000000"/>
            </w:tcBorders>
            <w:noWrap/>
            <w:hideMark/>
          </w:tcPr>
          <w:p w14:paraId="5F164EEF" w14:textId="77777777" w:rsidR="00FE3573" w:rsidRPr="00FE3573" w:rsidRDefault="00FE3573" w:rsidP="00FE3573">
            <w:pPr>
              <w:spacing w:after="0" w:line="240" w:lineRule="auto"/>
              <w:jc w:val="center"/>
              <w:rPr>
                <w:rFonts w:asciiTheme="minorHAnsi" w:hAnsiTheme="minorHAnsi" w:cstheme="minorHAnsi"/>
                <w:sz w:val="20"/>
                <w:szCs w:val="20"/>
                <w:lang w:bidi="ar-SA"/>
              </w:rPr>
            </w:pPr>
            <w:r w:rsidRPr="00FE3573">
              <w:rPr>
                <w:rFonts w:asciiTheme="minorHAnsi" w:hAnsiTheme="minorHAnsi" w:cstheme="minorHAnsi"/>
                <w:sz w:val="20"/>
                <w:szCs w:val="20"/>
                <w:lang w:bidi="ar-SA"/>
              </w:rPr>
              <w:t>New York</w:t>
            </w:r>
          </w:p>
        </w:tc>
        <w:tc>
          <w:tcPr>
            <w:tcW w:w="1460" w:type="dxa"/>
            <w:tcBorders>
              <w:top w:val="single" w:sz="4" w:space="0" w:color="000000"/>
              <w:bottom w:val="single" w:sz="4" w:space="0" w:color="000000"/>
            </w:tcBorders>
            <w:noWrap/>
            <w:hideMark/>
          </w:tcPr>
          <w:p w14:paraId="75DF1A23"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2016</w:t>
            </w:r>
          </w:p>
        </w:tc>
        <w:tc>
          <w:tcPr>
            <w:tcW w:w="2250" w:type="dxa"/>
            <w:tcBorders>
              <w:top w:val="single" w:sz="4" w:space="0" w:color="000000"/>
              <w:bottom w:val="single" w:sz="4" w:space="0" w:color="000000"/>
            </w:tcBorders>
            <w:noWrap/>
            <w:hideMark/>
          </w:tcPr>
          <w:p w14:paraId="0AFA9F76"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p>
        </w:tc>
        <w:tc>
          <w:tcPr>
            <w:tcW w:w="1600" w:type="dxa"/>
            <w:tcBorders>
              <w:top w:val="single" w:sz="4" w:space="0" w:color="000000"/>
              <w:bottom w:val="single" w:sz="4" w:space="0" w:color="000000"/>
            </w:tcBorders>
            <w:noWrap/>
            <w:hideMark/>
          </w:tcPr>
          <w:p w14:paraId="4BC43753" w14:textId="77777777" w:rsidR="00FE3573" w:rsidRPr="00FE3573" w:rsidRDefault="00355D77"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w:t>
            </w:r>
          </w:p>
        </w:tc>
        <w:tc>
          <w:tcPr>
            <w:tcW w:w="1820" w:type="dxa"/>
            <w:tcBorders>
              <w:top w:val="single" w:sz="4" w:space="0" w:color="000000"/>
              <w:bottom w:val="single" w:sz="4" w:space="0" w:color="000000"/>
            </w:tcBorders>
            <w:noWrap/>
            <w:hideMark/>
          </w:tcPr>
          <w:p w14:paraId="418B539A" w14:textId="77777777" w:rsidR="00FE3573" w:rsidRPr="00FE3573" w:rsidRDefault="00355D77"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0.020-0.100</w:t>
            </w:r>
          </w:p>
        </w:tc>
      </w:tr>
      <w:tr w:rsidR="00FE3573" w:rsidRPr="00FE3573" w14:paraId="0E97F040"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tcBorders>
              <w:top w:val="single" w:sz="4" w:space="0" w:color="000000"/>
              <w:bottom w:val="single" w:sz="4" w:space="0" w:color="000000"/>
            </w:tcBorders>
            <w:noWrap/>
            <w:hideMark/>
          </w:tcPr>
          <w:p w14:paraId="0D41E6FC" w14:textId="77777777" w:rsidR="00FE3573" w:rsidRPr="00FE3573" w:rsidRDefault="00FE3573" w:rsidP="00FE3573">
            <w:pPr>
              <w:spacing w:after="0" w:line="240" w:lineRule="auto"/>
              <w:jc w:val="center"/>
              <w:rPr>
                <w:rFonts w:asciiTheme="minorHAnsi" w:hAnsiTheme="minorHAnsi" w:cstheme="minorHAnsi"/>
                <w:sz w:val="20"/>
                <w:szCs w:val="20"/>
                <w:lang w:bidi="ar-SA"/>
              </w:rPr>
            </w:pPr>
            <w:r w:rsidRPr="00FE3573">
              <w:rPr>
                <w:rFonts w:asciiTheme="minorHAnsi" w:hAnsiTheme="minorHAnsi" w:cstheme="minorHAnsi"/>
                <w:sz w:val="20"/>
                <w:szCs w:val="20"/>
                <w:lang w:bidi="ar-SA"/>
              </w:rPr>
              <w:t>Montana</w:t>
            </w:r>
          </w:p>
        </w:tc>
        <w:tc>
          <w:tcPr>
            <w:tcW w:w="1460" w:type="dxa"/>
            <w:tcBorders>
              <w:top w:val="single" w:sz="4" w:space="0" w:color="000000"/>
              <w:bottom w:val="single" w:sz="4" w:space="0" w:color="000000"/>
            </w:tcBorders>
            <w:noWrap/>
            <w:hideMark/>
          </w:tcPr>
          <w:p w14:paraId="34471C1A"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2014</w:t>
            </w:r>
          </w:p>
        </w:tc>
        <w:tc>
          <w:tcPr>
            <w:tcW w:w="2250" w:type="dxa"/>
            <w:tcBorders>
              <w:top w:val="single" w:sz="4" w:space="0" w:color="000000"/>
              <w:bottom w:val="single" w:sz="4" w:space="0" w:color="000000"/>
            </w:tcBorders>
            <w:noWrap/>
            <w:hideMark/>
          </w:tcPr>
          <w:p w14:paraId="270DE105"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p>
        </w:tc>
        <w:tc>
          <w:tcPr>
            <w:tcW w:w="1600" w:type="dxa"/>
            <w:tcBorders>
              <w:top w:val="single" w:sz="4" w:space="0" w:color="000000"/>
              <w:bottom w:val="single" w:sz="4" w:space="0" w:color="000000"/>
            </w:tcBorders>
            <w:noWrap/>
            <w:hideMark/>
          </w:tcPr>
          <w:p w14:paraId="5A7E52E8"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0.3</w:t>
            </w:r>
          </w:p>
        </w:tc>
        <w:tc>
          <w:tcPr>
            <w:tcW w:w="1820" w:type="dxa"/>
            <w:tcBorders>
              <w:top w:val="single" w:sz="4" w:space="0" w:color="000000"/>
              <w:bottom w:val="single" w:sz="4" w:space="0" w:color="000000"/>
            </w:tcBorders>
            <w:noWrap/>
            <w:hideMark/>
          </w:tcPr>
          <w:p w14:paraId="3B3F832C"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 xml:space="preserve">0.020-0.039 </w:t>
            </w:r>
          </w:p>
        </w:tc>
      </w:tr>
      <w:tr w:rsidR="00FE3573" w:rsidRPr="00FE3573" w14:paraId="1872DC49"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tcBorders>
              <w:top w:val="single" w:sz="4" w:space="0" w:color="000000"/>
            </w:tcBorders>
            <w:noWrap/>
            <w:hideMark/>
          </w:tcPr>
          <w:p w14:paraId="75E882BD" w14:textId="77777777" w:rsidR="00FE3573" w:rsidRPr="00FE3573" w:rsidRDefault="00FE3573" w:rsidP="00FE3573">
            <w:pPr>
              <w:spacing w:after="0" w:line="240" w:lineRule="auto"/>
              <w:jc w:val="center"/>
              <w:rPr>
                <w:rFonts w:asciiTheme="minorHAnsi" w:hAnsiTheme="minorHAnsi" w:cstheme="minorHAnsi"/>
                <w:sz w:val="20"/>
                <w:szCs w:val="20"/>
                <w:lang w:bidi="ar-SA"/>
              </w:rPr>
            </w:pPr>
            <w:r w:rsidRPr="00FE3573">
              <w:rPr>
                <w:rFonts w:asciiTheme="minorHAnsi" w:hAnsiTheme="minorHAnsi" w:cstheme="minorHAnsi"/>
                <w:sz w:val="20"/>
                <w:szCs w:val="20"/>
                <w:lang w:bidi="ar-SA"/>
              </w:rPr>
              <w:t>Colorado</w:t>
            </w:r>
          </w:p>
        </w:tc>
        <w:tc>
          <w:tcPr>
            <w:tcW w:w="1460" w:type="dxa"/>
            <w:tcBorders>
              <w:top w:val="single" w:sz="4" w:space="0" w:color="000000"/>
            </w:tcBorders>
            <w:noWrap/>
            <w:hideMark/>
          </w:tcPr>
          <w:p w14:paraId="73EC9567"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2012</w:t>
            </w:r>
          </w:p>
        </w:tc>
        <w:tc>
          <w:tcPr>
            <w:tcW w:w="2250" w:type="dxa"/>
            <w:tcBorders>
              <w:top w:val="single" w:sz="4" w:space="0" w:color="000000"/>
            </w:tcBorders>
            <w:noWrap/>
            <w:hideMark/>
          </w:tcPr>
          <w:p w14:paraId="562C7D4A"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Cold</w:t>
            </w:r>
          </w:p>
        </w:tc>
        <w:tc>
          <w:tcPr>
            <w:tcW w:w="1600" w:type="dxa"/>
            <w:tcBorders>
              <w:top w:val="single" w:sz="4" w:space="0" w:color="000000"/>
            </w:tcBorders>
            <w:noWrap/>
            <w:hideMark/>
          </w:tcPr>
          <w:p w14:paraId="03CF56E1"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1.25</w:t>
            </w:r>
          </w:p>
        </w:tc>
        <w:tc>
          <w:tcPr>
            <w:tcW w:w="1820" w:type="dxa"/>
            <w:tcBorders>
              <w:top w:val="single" w:sz="4" w:space="0" w:color="000000"/>
            </w:tcBorders>
            <w:noWrap/>
            <w:hideMark/>
          </w:tcPr>
          <w:p w14:paraId="4444A4CB"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0.11</w:t>
            </w:r>
          </w:p>
        </w:tc>
      </w:tr>
      <w:tr w:rsidR="00FE3573" w:rsidRPr="00FE3573" w14:paraId="41AD2D74" w14:textId="77777777" w:rsidTr="00BD3939">
        <w:trPr>
          <w:trHeight w:val="300"/>
        </w:trPr>
        <w:tc>
          <w:tcPr>
            <w:cnfStyle w:val="001000000000" w:firstRow="0" w:lastRow="0" w:firstColumn="1" w:lastColumn="0" w:oddVBand="0" w:evenVBand="0" w:oddHBand="0" w:evenHBand="0" w:firstRowFirstColumn="0" w:firstRowLastColumn="0" w:lastRowFirstColumn="0" w:lastRowLastColumn="0"/>
            <w:tcW w:w="1960" w:type="dxa"/>
            <w:noWrap/>
            <w:hideMark/>
          </w:tcPr>
          <w:p w14:paraId="09799C83" w14:textId="77777777" w:rsidR="00FE3573" w:rsidRPr="00FE3573" w:rsidRDefault="00FE3573" w:rsidP="00FE3573">
            <w:pPr>
              <w:spacing w:after="0" w:line="240" w:lineRule="auto"/>
              <w:jc w:val="center"/>
              <w:rPr>
                <w:rFonts w:asciiTheme="minorHAnsi" w:hAnsiTheme="minorHAnsi" w:cstheme="minorHAnsi"/>
                <w:sz w:val="20"/>
                <w:szCs w:val="20"/>
                <w:lang w:bidi="ar-SA"/>
              </w:rPr>
            </w:pPr>
          </w:p>
        </w:tc>
        <w:tc>
          <w:tcPr>
            <w:tcW w:w="1460" w:type="dxa"/>
            <w:noWrap/>
            <w:hideMark/>
          </w:tcPr>
          <w:p w14:paraId="197605B7"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p>
        </w:tc>
        <w:tc>
          <w:tcPr>
            <w:tcW w:w="2250" w:type="dxa"/>
            <w:noWrap/>
            <w:hideMark/>
          </w:tcPr>
          <w:p w14:paraId="5FC5F2D4"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Warm</w:t>
            </w:r>
          </w:p>
        </w:tc>
        <w:tc>
          <w:tcPr>
            <w:tcW w:w="1600" w:type="dxa"/>
            <w:noWrap/>
            <w:hideMark/>
          </w:tcPr>
          <w:p w14:paraId="48019571"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2.01</w:t>
            </w:r>
          </w:p>
        </w:tc>
        <w:tc>
          <w:tcPr>
            <w:tcW w:w="1820" w:type="dxa"/>
            <w:noWrap/>
            <w:hideMark/>
          </w:tcPr>
          <w:p w14:paraId="7FCEF580" w14:textId="77777777" w:rsidR="00FE3573" w:rsidRPr="00FE3573" w:rsidRDefault="00FE3573" w:rsidP="00FE35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bidi="ar-SA"/>
              </w:rPr>
            </w:pPr>
            <w:r w:rsidRPr="00FE3573">
              <w:rPr>
                <w:rFonts w:asciiTheme="minorHAnsi" w:hAnsiTheme="minorHAnsi" w:cstheme="minorHAnsi"/>
                <w:sz w:val="20"/>
                <w:szCs w:val="20"/>
                <w:lang w:bidi="ar-SA"/>
              </w:rPr>
              <w:t>0.17</w:t>
            </w:r>
          </w:p>
        </w:tc>
      </w:tr>
    </w:tbl>
    <w:p w14:paraId="2BB5A205" w14:textId="77777777" w:rsidR="006F26AD" w:rsidRDefault="00FE3573" w:rsidP="006F26AD">
      <w:pPr>
        <w:sectPr w:rsidR="006F26AD" w:rsidSect="00D524C3">
          <w:pgSz w:w="12240" w:h="15840"/>
          <w:pgMar w:top="1440" w:right="1440" w:bottom="1440" w:left="1440" w:header="720" w:footer="720" w:gutter="0"/>
          <w:cols w:space="720"/>
          <w:docGrid w:linePitch="360"/>
        </w:sectPr>
      </w:pPr>
      <w:r>
        <w:t xml:space="preserve"> </w:t>
      </w:r>
    </w:p>
    <w:p w14:paraId="72155C5A" w14:textId="4B7E81A1" w:rsidR="00BE7110" w:rsidRDefault="00BE7110" w:rsidP="00ED6714">
      <w:pPr>
        <w:pStyle w:val="Heading3"/>
      </w:pPr>
      <w:bookmarkStart w:id="126" w:name="_Toc526505132"/>
      <w:r>
        <w:t>3.</w:t>
      </w:r>
      <w:r w:rsidR="00A958A0">
        <w:t>2</w:t>
      </w:r>
      <w:r>
        <w:t>.</w:t>
      </w:r>
      <w:r w:rsidR="00C07C27">
        <w:t>3</w:t>
      </w:r>
      <w:r>
        <w:t xml:space="preserve"> Benthic </w:t>
      </w:r>
      <w:r w:rsidR="00CF46F1">
        <w:t>Chlorophyll-a and AFDM</w:t>
      </w:r>
      <w:r w:rsidR="00C07C27">
        <w:t xml:space="preserve"> </w:t>
      </w:r>
      <w:r w:rsidR="0073250B">
        <w:t xml:space="preserve">Thresholds </w:t>
      </w:r>
      <w:r w:rsidR="00C07C27">
        <w:t xml:space="preserve">Protective of </w:t>
      </w:r>
      <w:r w:rsidR="005011E3">
        <w:t>Biological</w:t>
      </w:r>
      <w:r w:rsidR="0073250B">
        <w:t xml:space="preserve"> </w:t>
      </w:r>
      <w:r w:rsidR="00C07C27">
        <w:t>Integrity</w:t>
      </w:r>
      <w:bookmarkEnd w:id="126"/>
    </w:p>
    <w:p w14:paraId="3884CDED" w14:textId="5DF291AC" w:rsidR="00EC3F79" w:rsidRDefault="00EC3F79" w:rsidP="00EC3F79">
      <w:pPr>
        <w:jc w:val="both"/>
      </w:pPr>
      <w:r>
        <w:t xml:space="preserve">In general, thresholds of aquatic response of both BMI and algae </w:t>
      </w:r>
      <w:r w:rsidR="00A44BAD">
        <w:t xml:space="preserve">to benthic chl-a (live algal biomass) versus AFDM (total live </w:t>
      </w:r>
      <w:r w:rsidR="001C7767">
        <w:t xml:space="preserve">algal biomass </w:t>
      </w:r>
      <w:r w:rsidR="00A44BAD">
        <w:t xml:space="preserve">and </w:t>
      </w:r>
      <w:r w:rsidR="005011E3">
        <w:t>detrital</w:t>
      </w:r>
      <w:r w:rsidR="00A44BAD">
        <w:t xml:space="preserve"> organic matter) </w:t>
      </w:r>
      <w:r>
        <w:t xml:space="preserve">occurred across </w:t>
      </w:r>
      <w:r w:rsidR="001C7767">
        <w:t>reasonably narrow</w:t>
      </w:r>
      <w:r>
        <w:t xml:space="preserve"> values</w:t>
      </w:r>
      <w:r w:rsidR="001C7767">
        <w:t xml:space="preserve"> at REF30 </w:t>
      </w:r>
      <w:r w:rsidR="00A958A0">
        <w:t>to</w:t>
      </w:r>
      <w:r w:rsidR="001C7767">
        <w:t xml:space="preserve"> REF10 percentiles</w:t>
      </w:r>
      <w:r w:rsidR="00A958A0">
        <w:t>, with a wide range at the REF01 percentile (Table 3.</w:t>
      </w:r>
      <w:r w:rsidR="004C1226">
        <w:t>7</w:t>
      </w:r>
      <w:r w:rsidR="00A958A0">
        <w:t xml:space="preserve">). </w:t>
      </w:r>
      <w:r w:rsidR="001C7767">
        <w:t xml:space="preserve"> In contrast to TN and TP</w:t>
      </w:r>
      <w:r>
        <w:t xml:space="preserve">, </w:t>
      </w:r>
      <w:r w:rsidR="001C7767">
        <w:t>BMI</w:t>
      </w:r>
      <w:r>
        <w:t xml:space="preserve"> were generally more sensitive than </w:t>
      </w:r>
      <w:r w:rsidR="001C7767">
        <w:t>algae to these organic matter variables</w:t>
      </w:r>
      <w:r>
        <w:t xml:space="preserve"> (Figure 3.</w:t>
      </w:r>
      <w:r w:rsidR="004F6E61">
        <w:t>4</w:t>
      </w:r>
      <w:r>
        <w:t xml:space="preserve">, Mazor et al. in prep).  Using the </w:t>
      </w:r>
      <w:r w:rsidRPr="00CF3401">
        <w:t>10</w:t>
      </w:r>
      <w:r w:rsidRPr="009971E1">
        <w:rPr>
          <w:vertAlign w:val="superscript"/>
        </w:rPr>
        <w:t>th</w:t>
      </w:r>
      <w:r>
        <w:t xml:space="preserve"> </w:t>
      </w:r>
      <w:r w:rsidRPr="00CF3401">
        <w:t>percentile of</w:t>
      </w:r>
      <w:r>
        <w:t xml:space="preserve"> </w:t>
      </w:r>
      <w:r w:rsidRPr="00CF3401">
        <w:t xml:space="preserve">reference </w:t>
      </w:r>
      <w:r>
        <w:t>as CSCI and ASCI_H</w:t>
      </w:r>
      <w:r w:rsidRPr="00CF3401">
        <w:t xml:space="preserve"> </w:t>
      </w:r>
      <w:r>
        <w:t xml:space="preserve">ALU protection endpoints </w:t>
      </w:r>
      <w:r w:rsidRPr="00CF3401">
        <w:t>yield</w:t>
      </w:r>
      <w:r>
        <w:t>ed</w:t>
      </w:r>
      <w:r w:rsidRPr="00CF3401">
        <w:t xml:space="preserve"> </w:t>
      </w:r>
      <w:r w:rsidR="001C7767">
        <w:t>28</w:t>
      </w:r>
      <w:r>
        <w:t xml:space="preserve"> to </w:t>
      </w:r>
      <w:r w:rsidR="001C7767">
        <w:t>43</w:t>
      </w:r>
      <w:r>
        <w:t xml:space="preserve"> </w:t>
      </w:r>
      <w:r w:rsidR="001C7767">
        <w:t>mg/m</w:t>
      </w:r>
      <w:r w:rsidR="001C7767" w:rsidRPr="0069037A">
        <w:rPr>
          <w:vertAlign w:val="superscript"/>
        </w:rPr>
        <w:t>2</w:t>
      </w:r>
      <w:r w:rsidR="001C7767">
        <w:t xml:space="preserve"> chl-a</w:t>
      </w:r>
      <w:r>
        <w:t xml:space="preserve"> and </w:t>
      </w:r>
      <w:r w:rsidR="001C7767">
        <w:t>20 – 30 g/m</w:t>
      </w:r>
      <w:r w:rsidR="001C7767" w:rsidRPr="0069037A">
        <w:rPr>
          <w:vertAlign w:val="superscript"/>
        </w:rPr>
        <w:t>2</w:t>
      </w:r>
      <w:r>
        <w:t xml:space="preserve"> </w:t>
      </w:r>
      <w:r w:rsidR="001C7767">
        <w:t>AFDM</w:t>
      </w:r>
      <w:r>
        <w:t xml:space="preserve">. </w:t>
      </w:r>
    </w:p>
    <w:p w14:paraId="59DCBFDC" w14:textId="1137ACF4" w:rsidR="00EC3F79" w:rsidRDefault="00EC3F79" w:rsidP="00EC3F79">
      <w:pPr>
        <w:pStyle w:val="TOT"/>
      </w:pPr>
      <w:bookmarkStart w:id="127" w:name="_Toc526489922"/>
      <w:r>
        <w:t>Table 3.</w:t>
      </w:r>
      <w:r w:rsidR="004C1226">
        <w:t>7</w:t>
      </w:r>
      <w:r>
        <w:t xml:space="preserve"> Range of </w:t>
      </w:r>
      <w:r w:rsidR="00A958A0">
        <w:t xml:space="preserve">benthic chl-a and AFDM </w:t>
      </w:r>
      <w:r>
        <w:t>thresholds associated with protection of CSCI and ASCI_H at a relative probability of 90% confidence, at varying levels of percentile of reference, from 30</w:t>
      </w:r>
      <w:r w:rsidRPr="00FF793D">
        <w:rPr>
          <w:vertAlign w:val="superscript"/>
        </w:rPr>
        <w:t>th</w:t>
      </w:r>
      <w:r>
        <w:t xml:space="preserve"> to 1</w:t>
      </w:r>
      <w:r w:rsidRPr="00FF793D">
        <w:rPr>
          <w:vertAlign w:val="superscript"/>
        </w:rPr>
        <w:t>st</w:t>
      </w:r>
      <w:r>
        <w:t xml:space="preserve">. Relative risk is provided for calibration versus validation datasets. All </w:t>
      </w:r>
      <w:r w:rsidRPr="00241762">
        <w:t>targets passed validation (i.e., the lower 95% confidence interval of the relative risk estimate was greater than 1 for both calibration and validation data sets</w:t>
      </w:r>
      <w:r>
        <w:t>. BI goal refers to CSCI or ASCI endpoint (30</w:t>
      </w:r>
      <w:r w:rsidRPr="00BF41F0">
        <w:rPr>
          <w:vertAlign w:val="superscript"/>
        </w:rPr>
        <w:t>th</w:t>
      </w:r>
      <w:r>
        <w:t>, 10</w:t>
      </w:r>
      <w:r w:rsidRPr="00BF41F0">
        <w:rPr>
          <w:vertAlign w:val="superscript"/>
        </w:rPr>
        <w:t>th</w:t>
      </w:r>
      <w:r>
        <w:t xml:space="preserve"> or 1</w:t>
      </w:r>
      <w:r w:rsidR="005011E3" w:rsidRPr="00BF41F0">
        <w:rPr>
          <w:vertAlign w:val="superscript"/>
        </w:rPr>
        <w:t>st</w:t>
      </w:r>
      <w:r w:rsidR="005011E3">
        <w:t>)</w:t>
      </w:r>
      <w:r>
        <w:t>.</w:t>
      </w:r>
      <w:bookmarkEnd w:id="127"/>
      <w:r>
        <w:t xml:space="preserve"> </w:t>
      </w:r>
    </w:p>
    <w:tbl>
      <w:tblPr>
        <w:tblStyle w:val="LightShading1"/>
        <w:tblW w:w="7625" w:type="dxa"/>
        <w:tblLook w:val="06A0" w:firstRow="1" w:lastRow="0" w:firstColumn="1" w:lastColumn="0" w:noHBand="1" w:noVBand="1"/>
      </w:tblPr>
      <w:tblGrid>
        <w:gridCol w:w="696"/>
        <w:gridCol w:w="805"/>
        <w:gridCol w:w="1332"/>
        <w:gridCol w:w="1050"/>
        <w:gridCol w:w="1008"/>
        <w:gridCol w:w="1028"/>
        <w:gridCol w:w="932"/>
        <w:gridCol w:w="774"/>
      </w:tblGrid>
      <w:tr w:rsidR="00EC3F79" w:rsidRPr="00C36698" w14:paraId="36BFD61C" w14:textId="77777777" w:rsidTr="00EC3F7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04B92EB2" w14:textId="77777777" w:rsidR="00EC3F79" w:rsidRPr="00EC3F79" w:rsidRDefault="00EC3F79" w:rsidP="00EC3F79">
            <w:pPr>
              <w:spacing w:after="0" w:line="274" w:lineRule="auto"/>
              <w:jc w:val="center"/>
              <w:rPr>
                <w:rFonts w:asciiTheme="minorHAnsi" w:hAnsiTheme="minorHAnsi" w:cstheme="minorHAnsi"/>
                <w:b w:val="0"/>
                <w:bCs w:val="0"/>
                <w:sz w:val="20"/>
                <w:szCs w:val="20"/>
              </w:rPr>
            </w:pPr>
            <w:r w:rsidRPr="00EC3F79">
              <w:rPr>
                <w:rFonts w:asciiTheme="minorHAnsi" w:hAnsiTheme="minorHAnsi" w:cstheme="minorHAnsi"/>
                <w:sz w:val="20"/>
                <w:szCs w:val="20"/>
              </w:rPr>
              <w:t>BI</w:t>
            </w:r>
          </w:p>
          <w:p w14:paraId="4F4118FD" w14:textId="77777777" w:rsidR="00EC3F79" w:rsidRPr="00EC3F79" w:rsidRDefault="00EC3F79" w:rsidP="00EC3F79">
            <w:pPr>
              <w:spacing w:after="0" w:line="274" w:lineRule="auto"/>
              <w:jc w:val="center"/>
              <w:rPr>
                <w:rFonts w:asciiTheme="minorHAnsi" w:hAnsiTheme="minorHAnsi" w:cstheme="minorHAnsi"/>
                <w:sz w:val="20"/>
                <w:szCs w:val="20"/>
              </w:rPr>
            </w:pPr>
            <w:r w:rsidRPr="00EC3F79">
              <w:rPr>
                <w:rFonts w:asciiTheme="minorHAnsi" w:hAnsiTheme="minorHAnsi" w:cstheme="minorHAnsi"/>
                <w:sz w:val="20"/>
                <w:szCs w:val="20"/>
              </w:rPr>
              <w:t>Goal</w:t>
            </w:r>
          </w:p>
        </w:tc>
        <w:tc>
          <w:tcPr>
            <w:tcW w:w="0" w:type="auto"/>
            <w:vMerge w:val="restart"/>
            <w:noWrap/>
            <w:hideMark/>
          </w:tcPr>
          <w:p w14:paraId="0F686FD7" w14:textId="77777777" w:rsidR="00EC3F79" w:rsidRPr="00EC3F79" w:rsidRDefault="00EC3F79" w:rsidP="00EC3F79">
            <w:pPr>
              <w:spacing w:after="0" w:line="274"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C3F79">
              <w:rPr>
                <w:rFonts w:asciiTheme="minorHAnsi" w:hAnsiTheme="minorHAnsi" w:cstheme="minorHAnsi"/>
                <w:sz w:val="20"/>
                <w:szCs w:val="20"/>
              </w:rPr>
              <w:t>Index</w:t>
            </w:r>
          </w:p>
        </w:tc>
        <w:tc>
          <w:tcPr>
            <w:tcW w:w="3390" w:type="dxa"/>
            <w:gridSpan w:val="3"/>
            <w:noWrap/>
            <w:hideMark/>
          </w:tcPr>
          <w:p w14:paraId="34973AFC" w14:textId="77777777" w:rsidR="00EC3F79" w:rsidRPr="00EC3F79" w:rsidRDefault="00ED6714" w:rsidP="00EC3F79">
            <w:pPr>
              <w:spacing w:after="0" w:line="274"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Benthic Chl-a</w:t>
            </w:r>
            <w:r w:rsidR="00A44BAD">
              <w:rPr>
                <w:rFonts w:asciiTheme="minorHAnsi" w:hAnsiTheme="minorHAnsi" w:cstheme="minorHAnsi"/>
                <w:sz w:val="20"/>
                <w:szCs w:val="20"/>
              </w:rPr>
              <w:t xml:space="preserve"> (mg/m2)</w:t>
            </w:r>
          </w:p>
        </w:tc>
        <w:tc>
          <w:tcPr>
            <w:tcW w:w="2510" w:type="dxa"/>
            <w:gridSpan w:val="3"/>
          </w:tcPr>
          <w:p w14:paraId="28BEB203" w14:textId="77777777" w:rsidR="00EC3F79" w:rsidRPr="00EC3F79" w:rsidRDefault="00ED6714" w:rsidP="00EC3F79">
            <w:pPr>
              <w:spacing w:after="0" w:line="274"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AFDM</w:t>
            </w:r>
            <w:r w:rsidR="00A44BAD">
              <w:rPr>
                <w:rFonts w:asciiTheme="minorHAnsi" w:hAnsiTheme="minorHAnsi" w:cstheme="minorHAnsi"/>
                <w:sz w:val="20"/>
                <w:szCs w:val="20"/>
              </w:rPr>
              <w:t xml:space="preserve"> (g/m2)</w:t>
            </w:r>
          </w:p>
        </w:tc>
      </w:tr>
      <w:tr w:rsidR="00EC3F79" w:rsidRPr="00C36698" w14:paraId="52361ED0" w14:textId="77777777" w:rsidTr="00EC3F79">
        <w:trPr>
          <w:trHeight w:val="300"/>
        </w:trPr>
        <w:tc>
          <w:tcPr>
            <w:cnfStyle w:val="001000000000" w:firstRow="0" w:lastRow="0" w:firstColumn="1" w:lastColumn="0" w:oddVBand="0" w:evenVBand="0" w:oddHBand="0" w:evenHBand="0" w:firstRowFirstColumn="0" w:firstRowLastColumn="0" w:lastRowFirstColumn="0" w:lastRowLastColumn="0"/>
            <w:tcW w:w="0" w:type="auto"/>
            <w:vMerge/>
            <w:noWrap/>
            <w:hideMark/>
          </w:tcPr>
          <w:p w14:paraId="7885D2C6" w14:textId="77777777" w:rsidR="00EC3F79" w:rsidRPr="00EC3F79" w:rsidRDefault="00EC3F79" w:rsidP="00EC3F79">
            <w:pPr>
              <w:spacing w:after="0" w:line="274" w:lineRule="auto"/>
              <w:jc w:val="center"/>
              <w:rPr>
                <w:rFonts w:asciiTheme="minorHAnsi" w:hAnsiTheme="minorHAnsi" w:cstheme="minorHAnsi"/>
                <w:sz w:val="20"/>
                <w:szCs w:val="20"/>
              </w:rPr>
            </w:pPr>
          </w:p>
        </w:tc>
        <w:tc>
          <w:tcPr>
            <w:tcW w:w="0" w:type="auto"/>
            <w:vMerge/>
            <w:noWrap/>
            <w:hideMark/>
          </w:tcPr>
          <w:p w14:paraId="40F3F7A1" w14:textId="77777777" w:rsidR="00EC3F79" w:rsidRPr="00EC3F79" w:rsidRDefault="00EC3F79" w:rsidP="00EC3F79">
            <w:pPr>
              <w:spacing w:after="0" w:line="274"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332" w:type="dxa"/>
            <w:vMerge w:val="restart"/>
            <w:noWrap/>
            <w:hideMark/>
          </w:tcPr>
          <w:p w14:paraId="6A6FC582" w14:textId="77777777" w:rsidR="00EC3F79" w:rsidRPr="00EC3F79" w:rsidRDefault="00EC3F79" w:rsidP="00EC3F79">
            <w:pPr>
              <w:spacing w:after="0" w:line="274"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EC3F79">
              <w:rPr>
                <w:rFonts w:asciiTheme="minorHAnsi" w:hAnsiTheme="minorHAnsi" w:cstheme="minorHAnsi"/>
                <w:sz w:val="20"/>
                <w:szCs w:val="20"/>
              </w:rPr>
              <w:t>Threshold</w:t>
            </w:r>
          </w:p>
          <w:p w14:paraId="5CF90D40" w14:textId="77777777" w:rsidR="00EC3F79" w:rsidRPr="00EC3F79" w:rsidRDefault="00EC3F79"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2058" w:type="dxa"/>
            <w:gridSpan w:val="2"/>
            <w:tcBorders>
              <w:bottom w:val="single" w:sz="4" w:space="0" w:color="auto"/>
            </w:tcBorders>
            <w:noWrap/>
            <w:hideMark/>
          </w:tcPr>
          <w:p w14:paraId="597E4835" w14:textId="77777777" w:rsidR="00EC3F79" w:rsidRPr="00EC3F79" w:rsidRDefault="00EC3F79" w:rsidP="00EC3F79">
            <w:pPr>
              <w:spacing w:after="0" w:line="274"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C3F79">
              <w:rPr>
                <w:rFonts w:asciiTheme="minorHAnsi" w:hAnsiTheme="minorHAnsi" w:cstheme="minorHAnsi"/>
                <w:sz w:val="20"/>
                <w:szCs w:val="20"/>
              </w:rPr>
              <w:t>Relative Risk</w:t>
            </w:r>
          </w:p>
        </w:tc>
        <w:tc>
          <w:tcPr>
            <w:tcW w:w="801" w:type="dxa"/>
            <w:vMerge w:val="restart"/>
          </w:tcPr>
          <w:p w14:paraId="5CA51209" w14:textId="77777777" w:rsidR="00EC3F79" w:rsidRPr="00EC3F79" w:rsidRDefault="00EC3F79" w:rsidP="00EC3F79">
            <w:pPr>
              <w:spacing w:after="0" w:line="274"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EC3F79">
              <w:rPr>
                <w:rFonts w:asciiTheme="minorHAnsi" w:hAnsiTheme="minorHAnsi" w:cstheme="minorHAnsi"/>
                <w:sz w:val="20"/>
                <w:szCs w:val="20"/>
              </w:rPr>
              <w:t>Threshold</w:t>
            </w:r>
          </w:p>
          <w:p w14:paraId="43B1DBFB" w14:textId="77777777" w:rsidR="00EC3F79" w:rsidRPr="00EC3F79" w:rsidRDefault="00EC3F79" w:rsidP="00EC3F79">
            <w:pPr>
              <w:spacing w:after="0" w:line="274"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709" w:type="dxa"/>
            <w:gridSpan w:val="2"/>
            <w:tcBorders>
              <w:bottom w:val="single" w:sz="4" w:space="0" w:color="auto"/>
            </w:tcBorders>
          </w:tcPr>
          <w:p w14:paraId="1950F790" w14:textId="77777777" w:rsidR="00EC3F79" w:rsidRPr="00EC3F79" w:rsidRDefault="00EC3F79" w:rsidP="00EC3F79">
            <w:pPr>
              <w:spacing w:after="0" w:line="274"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C3F79">
              <w:rPr>
                <w:rFonts w:asciiTheme="minorHAnsi" w:hAnsiTheme="minorHAnsi" w:cstheme="minorHAnsi"/>
                <w:sz w:val="20"/>
                <w:szCs w:val="20"/>
              </w:rPr>
              <w:t>Relative Risk</w:t>
            </w:r>
          </w:p>
        </w:tc>
      </w:tr>
      <w:tr w:rsidR="00EC3F79" w:rsidRPr="00C36698" w14:paraId="3C8E57CC" w14:textId="77777777" w:rsidTr="00EC3F79">
        <w:trPr>
          <w:trHeight w:val="300"/>
        </w:trPr>
        <w:tc>
          <w:tcPr>
            <w:cnfStyle w:val="001000000000" w:firstRow="0" w:lastRow="0" w:firstColumn="1" w:lastColumn="0" w:oddVBand="0" w:evenVBand="0" w:oddHBand="0" w:evenHBand="0" w:firstRowFirstColumn="0" w:firstRowLastColumn="0" w:lastRowFirstColumn="0" w:lastRowLastColumn="0"/>
            <w:tcW w:w="798" w:type="dxa"/>
            <w:vMerge/>
          </w:tcPr>
          <w:p w14:paraId="0148E0B1" w14:textId="77777777" w:rsidR="00EC3F79" w:rsidRPr="00EC3F79" w:rsidRDefault="00EC3F79" w:rsidP="00EC3F79">
            <w:pPr>
              <w:spacing w:after="0" w:line="274" w:lineRule="auto"/>
              <w:rPr>
                <w:rFonts w:asciiTheme="minorHAnsi" w:hAnsiTheme="minorHAnsi" w:cstheme="minorHAnsi"/>
                <w:sz w:val="20"/>
                <w:szCs w:val="20"/>
              </w:rPr>
            </w:pPr>
          </w:p>
        </w:tc>
        <w:tc>
          <w:tcPr>
            <w:tcW w:w="0" w:type="auto"/>
            <w:vMerge/>
            <w:tcBorders>
              <w:bottom w:val="single" w:sz="4" w:space="0" w:color="auto"/>
            </w:tcBorders>
            <w:noWrap/>
          </w:tcPr>
          <w:p w14:paraId="63E09295" w14:textId="77777777" w:rsidR="00EC3F79" w:rsidRPr="00EC3F79" w:rsidRDefault="00EC3F79" w:rsidP="00EC3F79">
            <w:pPr>
              <w:spacing w:after="0" w:line="274"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332" w:type="dxa"/>
            <w:vMerge/>
            <w:tcBorders>
              <w:bottom w:val="single" w:sz="4" w:space="0" w:color="auto"/>
            </w:tcBorders>
            <w:noWrap/>
          </w:tcPr>
          <w:p w14:paraId="39644562" w14:textId="77777777" w:rsidR="00EC3F79" w:rsidRPr="00EC3F79" w:rsidRDefault="00EC3F79"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050" w:type="dxa"/>
            <w:tcBorders>
              <w:top w:val="single" w:sz="4" w:space="0" w:color="auto"/>
              <w:bottom w:val="single" w:sz="4" w:space="0" w:color="auto"/>
            </w:tcBorders>
            <w:noWrap/>
          </w:tcPr>
          <w:p w14:paraId="56C68B14" w14:textId="77777777" w:rsidR="00EC3F79" w:rsidRPr="00EC3F79" w:rsidRDefault="00EC3F79"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C3F79">
              <w:rPr>
                <w:rFonts w:asciiTheme="minorHAnsi" w:hAnsiTheme="minorHAnsi" w:cstheme="minorHAnsi"/>
                <w:sz w:val="20"/>
                <w:szCs w:val="20"/>
              </w:rPr>
              <w:t>Cal</w:t>
            </w:r>
          </w:p>
        </w:tc>
        <w:tc>
          <w:tcPr>
            <w:tcW w:w="1008" w:type="dxa"/>
            <w:tcBorders>
              <w:top w:val="single" w:sz="4" w:space="0" w:color="auto"/>
              <w:bottom w:val="single" w:sz="4" w:space="0" w:color="auto"/>
            </w:tcBorders>
            <w:noWrap/>
          </w:tcPr>
          <w:p w14:paraId="19D26D3D" w14:textId="77777777" w:rsidR="00EC3F79" w:rsidRPr="00EC3F79" w:rsidRDefault="00EC3F79"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C3F79">
              <w:rPr>
                <w:rFonts w:asciiTheme="minorHAnsi" w:hAnsiTheme="minorHAnsi" w:cstheme="minorHAnsi"/>
                <w:sz w:val="20"/>
                <w:szCs w:val="20"/>
              </w:rPr>
              <w:t>Val</w:t>
            </w:r>
          </w:p>
        </w:tc>
        <w:tc>
          <w:tcPr>
            <w:tcW w:w="801" w:type="dxa"/>
            <w:vMerge/>
            <w:tcBorders>
              <w:bottom w:val="single" w:sz="4" w:space="0" w:color="auto"/>
            </w:tcBorders>
          </w:tcPr>
          <w:p w14:paraId="38B57103" w14:textId="77777777" w:rsidR="00EC3F79" w:rsidRPr="00EC3F79" w:rsidRDefault="00EC3F79"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934" w:type="dxa"/>
            <w:tcBorders>
              <w:top w:val="single" w:sz="4" w:space="0" w:color="auto"/>
              <w:bottom w:val="single" w:sz="4" w:space="0" w:color="auto"/>
            </w:tcBorders>
          </w:tcPr>
          <w:p w14:paraId="23BD4E3E" w14:textId="77777777" w:rsidR="00EC3F79" w:rsidRPr="00EC3F79" w:rsidRDefault="00EC3F79"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C3F79">
              <w:rPr>
                <w:rFonts w:asciiTheme="minorHAnsi" w:hAnsiTheme="minorHAnsi" w:cstheme="minorHAnsi"/>
                <w:sz w:val="20"/>
                <w:szCs w:val="20"/>
              </w:rPr>
              <w:t>Cal</w:t>
            </w:r>
          </w:p>
        </w:tc>
        <w:tc>
          <w:tcPr>
            <w:tcW w:w="775" w:type="dxa"/>
            <w:tcBorders>
              <w:top w:val="single" w:sz="4" w:space="0" w:color="auto"/>
              <w:bottom w:val="single" w:sz="4" w:space="0" w:color="auto"/>
            </w:tcBorders>
          </w:tcPr>
          <w:p w14:paraId="306F654F" w14:textId="77777777" w:rsidR="00EC3F79" w:rsidRPr="00EC3F79" w:rsidRDefault="00EC3F79"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C3F79">
              <w:rPr>
                <w:rFonts w:asciiTheme="minorHAnsi" w:hAnsiTheme="minorHAnsi" w:cstheme="minorHAnsi"/>
                <w:sz w:val="20"/>
                <w:szCs w:val="20"/>
              </w:rPr>
              <w:t>Val</w:t>
            </w:r>
          </w:p>
        </w:tc>
      </w:tr>
      <w:tr w:rsidR="00EC3F79" w:rsidRPr="00C36698" w14:paraId="3DCB6C70" w14:textId="77777777" w:rsidTr="00ED6714">
        <w:trPr>
          <w:trHeight w:val="30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noWrap/>
            <w:hideMark/>
          </w:tcPr>
          <w:p w14:paraId="3BCB0D9E" w14:textId="77777777" w:rsidR="00EC3F79" w:rsidRPr="00EC3F79" w:rsidRDefault="00EC3F79" w:rsidP="00EC3F79">
            <w:pPr>
              <w:spacing w:after="0" w:line="274" w:lineRule="auto"/>
              <w:jc w:val="center"/>
              <w:rPr>
                <w:rFonts w:asciiTheme="minorHAnsi" w:hAnsiTheme="minorHAnsi" w:cstheme="minorHAnsi"/>
                <w:sz w:val="20"/>
                <w:szCs w:val="20"/>
              </w:rPr>
            </w:pPr>
            <w:r w:rsidRPr="00EC3F79">
              <w:rPr>
                <w:rFonts w:asciiTheme="minorHAnsi" w:hAnsiTheme="minorHAnsi" w:cstheme="minorHAnsi"/>
                <w:sz w:val="20"/>
                <w:szCs w:val="20"/>
              </w:rPr>
              <w:t>Ref30</w:t>
            </w:r>
          </w:p>
        </w:tc>
        <w:tc>
          <w:tcPr>
            <w:tcW w:w="0" w:type="auto"/>
            <w:tcBorders>
              <w:top w:val="single" w:sz="4" w:space="0" w:color="auto"/>
            </w:tcBorders>
            <w:noWrap/>
            <w:hideMark/>
          </w:tcPr>
          <w:p w14:paraId="77D63E70" w14:textId="77777777" w:rsidR="00EC3F79" w:rsidRPr="00EC3F79" w:rsidRDefault="00EC3F79" w:rsidP="00EC3F79">
            <w:pPr>
              <w:spacing w:after="0" w:line="274"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C3F79">
              <w:rPr>
                <w:rFonts w:asciiTheme="minorHAnsi" w:hAnsiTheme="minorHAnsi" w:cstheme="minorHAnsi"/>
                <w:sz w:val="20"/>
                <w:szCs w:val="20"/>
              </w:rPr>
              <w:t>ASCI_H</w:t>
            </w:r>
          </w:p>
        </w:tc>
        <w:tc>
          <w:tcPr>
            <w:tcW w:w="1332" w:type="dxa"/>
            <w:tcBorders>
              <w:top w:val="single" w:sz="4" w:space="0" w:color="auto"/>
            </w:tcBorders>
            <w:noWrap/>
          </w:tcPr>
          <w:p w14:paraId="712638EF"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24</w:t>
            </w:r>
          </w:p>
        </w:tc>
        <w:tc>
          <w:tcPr>
            <w:tcW w:w="1050" w:type="dxa"/>
            <w:tcBorders>
              <w:top w:val="single" w:sz="4" w:space="0" w:color="auto"/>
            </w:tcBorders>
            <w:noWrap/>
          </w:tcPr>
          <w:p w14:paraId="6263188A"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2.1</w:t>
            </w:r>
          </w:p>
        </w:tc>
        <w:tc>
          <w:tcPr>
            <w:tcW w:w="1008" w:type="dxa"/>
            <w:tcBorders>
              <w:top w:val="single" w:sz="4" w:space="0" w:color="auto"/>
            </w:tcBorders>
            <w:noWrap/>
          </w:tcPr>
          <w:p w14:paraId="0EB15FBF"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1.7</w:t>
            </w:r>
          </w:p>
        </w:tc>
        <w:tc>
          <w:tcPr>
            <w:tcW w:w="801" w:type="dxa"/>
            <w:tcBorders>
              <w:top w:val="single" w:sz="4" w:space="0" w:color="auto"/>
            </w:tcBorders>
          </w:tcPr>
          <w:p w14:paraId="45B2CE4B"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17</w:t>
            </w:r>
          </w:p>
        </w:tc>
        <w:tc>
          <w:tcPr>
            <w:tcW w:w="934" w:type="dxa"/>
            <w:tcBorders>
              <w:top w:val="single" w:sz="4" w:space="0" w:color="auto"/>
            </w:tcBorders>
          </w:tcPr>
          <w:p w14:paraId="77A0FE04"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2.0</w:t>
            </w:r>
          </w:p>
        </w:tc>
        <w:tc>
          <w:tcPr>
            <w:tcW w:w="775" w:type="dxa"/>
            <w:tcBorders>
              <w:top w:val="single" w:sz="4" w:space="0" w:color="auto"/>
            </w:tcBorders>
          </w:tcPr>
          <w:p w14:paraId="763DD96F"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1.7</w:t>
            </w:r>
          </w:p>
        </w:tc>
      </w:tr>
      <w:tr w:rsidR="00EC3F79" w:rsidRPr="00C36698" w14:paraId="6113D93B" w14:textId="77777777" w:rsidTr="00ED671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00BDAEE" w14:textId="77777777" w:rsidR="00EC3F79" w:rsidRPr="00EC3F79" w:rsidRDefault="00EC3F79" w:rsidP="00EC3F79">
            <w:pPr>
              <w:spacing w:after="0" w:line="274" w:lineRule="auto"/>
              <w:jc w:val="center"/>
              <w:rPr>
                <w:rFonts w:asciiTheme="minorHAnsi" w:hAnsiTheme="minorHAnsi" w:cstheme="minorHAnsi"/>
                <w:sz w:val="20"/>
                <w:szCs w:val="20"/>
              </w:rPr>
            </w:pPr>
            <w:r w:rsidRPr="00EC3F79">
              <w:rPr>
                <w:rFonts w:asciiTheme="minorHAnsi" w:hAnsiTheme="minorHAnsi" w:cstheme="minorHAnsi"/>
                <w:sz w:val="20"/>
                <w:szCs w:val="20"/>
              </w:rPr>
              <w:t>Ref30</w:t>
            </w:r>
          </w:p>
        </w:tc>
        <w:tc>
          <w:tcPr>
            <w:tcW w:w="0" w:type="auto"/>
            <w:noWrap/>
            <w:hideMark/>
          </w:tcPr>
          <w:p w14:paraId="21DAB8ED" w14:textId="77777777" w:rsidR="00EC3F79" w:rsidRPr="00EC3F79" w:rsidRDefault="00EC3F79" w:rsidP="00EC3F79">
            <w:pPr>
              <w:spacing w:after="0" w:line="274"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C3F79">
              <w:rPr>
                <w:rFonts w:asciiTheme="minorHAnsi" w:hAnsiTheme="minorHAnsi" w:cstheme="minorHAnsi"/>
                <w:sz w:val="20"/>
                <w:szCs w:val="20"/>
              </w:rPr>
              <w:t>CSCI</w:t>
            </w:r>
          </w:p>
        </w:tc>
        <w:tc>
          <w:tcPr>
            <w:tcW w:w="1332" w:type="dxa"/>
            <w:noWrap/>
          </w:tcPr>
          <w:p w14:paraId="5EF5151E"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14</w:t>
            </w:r>
          </w:p>
        </w:tc>
        <w:tc>
          <w:tcPr>
            <w:tcW w:w="1050" w:type="dxa"/>
            <w:noWrap/>
          </w:tcPr>
          <w:p w14:paraId="7B380280"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1.7</w:t>
            </w:r>
          </w:p>
        </w:tc>
        <w:tc>
          <w:tcPr>
            <w:tcW w:w="1008" w:type="dxa"/>
            <w:noWrap/>
          </w:tcPr>
          <w:p w14:paraId="2EC4EA34"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1.8</w:t>
            </w:r>
          </w:p>
        </w:tc>
        <w:tc>
          <w:tcPr>
            <w:tcW w:w="801" w:type="dxa"/>
          </w:tcPr>
          <w:p w14:paraId="5359908D"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12</w:t>
            </w:r>
          </w:p>
        </w:tc>
        <w:tc>
          <w:tcPr>
            <w:tcW w:w="934" w:type="dxa"/>
          </w:tcPr>
          <w:p w14:paraId="2E0B4BE3"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2.0</w:t>
            </w:r>
          </w:p>
        </w:tc>
        <w:tc>
          <w:tcPr>
            <w:tcW w:w="775" w:type="dxa"/>
          </w:tcPr>
          <w:p w14:paraId="026B1511"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1.7</w:t>
            </w:r>
          </w:p>
        </w:tc>
      </w:tr>
      <w:tr w:rsidR="00EC3F79" w:rsidRPr="00C36698" w14:paraId="621331C9" w14:textId="77777777" w:rsidTr="00ED671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181A525" w14:textId="77777777" w:rsidR="00EC3F79" w:rsidRPr="00EC3F79" w:rsidRDefault="00EC3F79" w:rsidP="00EC3F79">
            <w:pPr>
              <w:spacing w:after="0" w:line="274" w:lineRule="auto"/>
              <w:jc w:val="center"/>
              <w:rPr>
                <w:rFonts w:asciiTheme="minorHAnsi" w:hAnsiTheme="minorHAnsi" w:cstheme="minorHAnsi"/>
                <w:sz w:val="20"/>
                <w:szCs w:val="20"/>
              </w:rPr>
            </w:pPr>
            <w:r w:rsidRPr="00EC3F79">
              <w:rPr>
                <w:rFonts w:asciiTheme="minorHAnsi" w:hAnsiTheme="minorHAnsi" w:cstheme="minorHAnsi"/>
                <w:sz w:val="20"/>
                <w:szCs w:val="20"/>
              </w:rPr>
              <w:t>Ref10</w:t>
            </w:r>
          </w:p>
        </w:tc>
        <w:tc>
          <w:tcPr>
            <w:tcW w:w="0" w:type="auto"/>
            <w:noWrap/>
            <w:hideMark/>
          </w:tcPr>
          <w:p w14:paraId="75A95ED2" w14:textId="77777777" w:rsidR="00EC3F79" w:rsidRPr="00EC3F79" w:rsidRDefault="00EC3F79" w:rsidP="00EC3F79">
            <w:pPr>
              <w:spacing w:after="0" w:line="274"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C3F79">
              <w:rPr>
                <w:rFonts w:asciiTheme="minorHAnsi" w:hAnsiTheme="minorHAnsi" w:cstheme="minorHAnsi"/>
                <w:sz w:val="20"/>
                <w:szCs w:val="20"/>
              </w:rPr>
              <w:t>ASCI_H</w:t>
            </w:r>
          </w:p>
        </w:tc>
        <w:tc>
          <w:tcPr>
            <w:tcW w:w="1332" w:type="dxa"/>
            <w:noWrap/>
          </w:tcPr>
          <w:p w14:paraId="7DA78B15"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43</w:t>
            </w:r>
          </w:p>
        </w:tc>
        <w:tc>
          <w:tcPr>
            <w:tcW w:w="1050" w:type="dxa"/>
            <w:noWrap/>
          </w:tcPr>
          <w:p w14:paraId="1F8F9AF1"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4.3</w:t>
            </w:r>
          </w:p>
        </w:tc>
        <w:tc>
          <w:tcPr>
            <w:tcW w:w="1008" w:type="dxa"/>
            <w:noWrap/>
          </w:tcPr>
          <w:p w14:paraId="6337E232"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4.0</w:t>
            </w:r>
          </w:p>
        </w:tc>
        <w:tc>
          <w:tcPr>
            <w:tcW w:w="801" w:type="dxa"/>
          </w:tcPr>
          <w:p w14:paraId="71ED7F6A"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30</w:t>
            </w:r>
          </w:p>
        </w:tc>
        <w:tc>
          <w:tcPr>
            <w:tcW w:w="934" w:type="dxa"/>
          </w:tcPr>
          <w:p w14:paraId="3F3DEAE3"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3.3</w:t>
            </w:r>
          </w:p>
        </w:tc>
        <w:tc>
          <w:tcPr>
            <w:tcW w:w="775" w:type="dxa"/>
          </w:tcPr>
          <w:p w14:paraId="4568D72A"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2.6</w:t>
            </w:r>
          </w:p>
        </w:tc>
      </w:tr>
      <w:tr w:rsidR="00EC3F79" w:rsidRPr="00C36698" w14:paraId="2368EA15" w14:textId="77777777" w:rsidTr="00ED671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569C975" w14:textId="77777777" w:rsidR="00EC3F79" w:rsidRPr="00EC3F79" w:rsidRDefault="00EC3F79" w:rsidP="00EC3F79">
            <w:pPr>
              <w:spacing w:after="0" w:line="274" w:lineRule="auto"/>
              <w:jc w:val="center"/>
              <w:rPr>
                <w:rFonts w:asciiTheme="minorHAnsi" w:hAnsiTheme="minorHAnsi" w:cstheme="minorHAnsi"/>
                <w:sz w:val="20"/>
                <w:szCs w:val="20"/>
              </w:rPr>
            </w:pPr>
            <w:r w:rsidRPr="00EC3F79">
              <w:rPr>
                <w:rFonts w:asciiTheme="minorHAnsi" w:hAnsiTheme="minorHAnsi" w:cstheme="minorHAnsi"/>
                <w:sz w:val="20"/>
                <w:szCs w:val="20"/>
              </w:rPr>
              <w:t>Ref10</w:t>
            </w:r>
          </w:p>
        </w:tc>
        <w:tc>
          <w:tcPr>
            <w:tcW w:w="0" w:type="auto"/>
            <w:noWrap/>
            <w:hideMark/>
          </w:tcPr>
          <w:p w14:paraId="16625464" w14:textId="77777777" w:rsidR="00EC3F79" w:rsidRPr="00EC3F79" w:rsidRDefault="00EC3F79" w:rsidP="00EC3F79">
            <w:pPr>
              <w:spacing w:after="0" w:line="274"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C3F79">
              <w:rPr>
                <w:rFonts w:asciiTheme="minorHAnsi" w:hAnsiTheme="minorHAnsi" w:cstheme="minorHAnsi"/>
                <w:sz w:val="20"/>
                <w:szCs w:val="20"/>
              </w:rPr>
              <w:t>CSCI</w:t>
            </w:r>
          </w:p>
        </w:tc>
        <w:tc>
          <w:tcPr>
            <w:tcW w:w="1332" w:type="dxa"/>
            <w:noWrap/>
          </w:tcPr>
          <w:p w14:paraId="554C2D5C"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28</w:t>
            </w:r>
          </w:p>
        </w:tc>
        <w:tc>
          <w:tcPr>
            <w:tcW w:w="1050" w:type="dxa"/>
            <w:noWrap/>
          </w:tcPr>
          <w:p w14:paraId="667502A1"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2.3</w:t>
            </w:r>
          </w:p>
        </w:tc>
        <w:tc>
          <w:tcPr>
            <w:tcW w:w="1008" w:type="dxa"/>
            <w:noWrap/>
          </w:tcPr>
          <w:p w14:paraId="31F2BD05"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2.2</w:t>
            </w:r>
          </w:p>
        </w:tc>
        <w:tc>
          <w:tcPr>
            <w:tcW w:w="801" w:type="dxa"/>
          </w:tcPr>
          <w:p w14:paraId="484A3D2F"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20</w:t>
            </w:r>
          </w:p>
        </w:tc>
        <w:tc>
          <w:tcPr>
            <w:tcW w:w="934" w:type="dxa"/>
          </w:tcPr>
          <w:p w14:paraId="631A2224"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2.4</w:t>
            </w:r>
          </w:p>
        </w:tc>
        <w:tc>
          <w:tcPr>
            <w:tcW w:w="775" w:type="dxa"/>
          </w:tcPr>
          <w:p w14:paraId="7C9CB8C2"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1.9</w:t>
            </w:r>
          </w:p>
        </w:tc>
      </w:tr>
      <w:tr w:rsidR="00EC3F79" w:rsidRPr="00C36698" w14:paraId="1328BDA2" w14:textId="77777777" w:rsidTr="00ED671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AE8E7FF" w14:textId="77777777" w:rsidR="00EC3F79" w:rsidRPr="00EC3F79" w:rsidRDefault="00EC3F79" w:rsidP="00EC3F79">
            <w:pPr>
              <w:spacing w:after="0" w:line="274" w:lineRule="auto"/>
              <w:jc w:val="center"/>
              <w:rPr>
                <w:rFonts w:asciiTheme="minorHAnsi" w:hAnsiTheme="minorHAnsi" w:cstheme="minorHAnsi"/>
                <w:sz w:val="20"/>
                <w:szCs w:val="20"/>
              </w:rPr>
            </w:pPr>
            <w:r w:rsidRPr="00EC3F79">
              <w:rPr>
                <w:rFonts w:asciiTheme="minorHAnsi" w:hAnsiTheme="minorHAnsi" w:cstheme="minorHAnsi"/>
                <w:sz w:val="20"/>
                <w:szCs w:val="20"/>
              </w:rPr>
              <w:t>Ref01</w:t>
            </w:r>
          </w:p>
        </w:tc>
        <w:tc>
          <w:tcPr>
            <w:tcW w:w="0" w:type="auto"/>
            <w:noWrap/>
            <w:hideMark/>
          </w:tcPr>
          <w:p w14:paraId="2418D63D" w14:textId="77777777" w:rsidR="00EC3F79" w:rsidRPr="00EC3F79" w:rsidRDefault="00EC3F79" w:rsidP="00EC3F79">
            <w:pPr>
              <w:spacing w:after="0" w:line="274"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C3F79">
              <w:rPr>
                <w:rFonts w:asciiTheme="minorHAnsi" w:hAnsiTheme="minorHAnsi" w:cstheme="minorHAnsi"/>
                <w:sz w:val="20"/>
                <w:szCs w:val="20"/>
              </w:rPr>
              <w:t>ASCI_H</w:t>
            </w:r>
          </w:p>
        </w:tc>
        <w:tc>
          <w:tcPr>
            <w:tcW w:w="1332" w:type="dxa"/>
            <w:noWrap/>
          </w:tcPr>
          <w:p w14:paraId="67DFA944"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122</w:t>
            </w:r>
          </w:p>
        </w:tc>
        <w:tc>
          <w:tcPr>
            <w:tcW w:w="1050" w:type="dxa"/>
            <w:noWrap/>
          </w:tcPr>
          <w:p w14:paraId="0A6D7E02"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5.4</w:t>
            </w:r>
          </w:p>
        </w:tc>
        <w:tc>
          <w:tcPr>
            <w:tcW w:w="1008" w:type="dxa"/>
            <w:noWrap/>
          </w:tcPr>
          <w:p w14:paraId="2587C036"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8.9</w:t>
            </w:r>
          </w:p>
        </w:tc>
        <w:tc>
          <w:tcPr>
            <w:tcW w:w="801" w:type="dxa"/>
          </w:tcPr>
          <w:p w14:paraId="63E594E8"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80</w:t>
            </w:r>
          </w:p>
        </w:tc>
        <w:tc>
          <w:tcPr>
            <w:tcW w:w="934" w:type="dxa"/>
          </w:tcPr>
          <w:p w14:paraId="798E7872"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3.0</w:t>
            </w:r>
          </w:p>
        </w:tc>
        <w:tc>
          <w:tcPr>
            <w:tcW w:w="775" w:type="dxa"/>
          </w:tcPr>
          <w:p w14:paraId="69AFAA64"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4.1</w:t>
            </w:r>
          </w:p>
        </w:tc>
      </w:tr>
      <w:tr w:rsidR="00EC3F79" w:rsidRPr="00C36698" w14:paraId="69AE8760" w14:textId="77777777" w:rsidTr="00ED6714">
        <w:trPr>
          <w:trHeight w:val="300"/>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noWrap/>
            <w:hideMark/>
          </w:tcPr>
          <w:p w14:paraId="1CFFBAA2" w14:textId="77777777" w:rsidR="00EC3F79" w:rsidRPr="00EC3F79" w:rsidRDefault="00EC3F79" w:rsidP="00EC3F79">
            <w:pPr>
              <w:spacing w:after="0" w:line="274" w:lineRule="auto"/>
              <w:jc w:val="center"/>
              <w:rPr>
                <w:rFonts w:asciiTheme="minorHAnsi" w:hAnsiTheme="minorHAnsi" w:cstheme="minorHAnsi"/>
                <w:sz w:val="20"/>
                <w:szCs w:val="20"/>
              </w:rPr>
            </w:pPr>
            <w:r w:rsidRPr="00EC3F79">
              <w:rPr>
                <w:rFonts w:asciiTheme="minorHAnsi" w:hAnsiTheme="minorHAnsi" w:cstheme="minorHAnsi"/>
                <w:sz w:val="20"/>
                <w:szCs w:val="20"/>
              </w:rPr>
              <w:t>Ref01</w:t>
            </w:r>
          </w:p>
        </w:tc>
        <w:tc>
          <w:tcPr>
            <w:tcW w:w="0" w:type="auto"/>
            <w:tcBorders>
              <w:bottom w:val="single" w:sz="4" w:space="0" w:color="auto"/>
            </w:tcBorders>
            <w:noWrap/>
            <w:hideMark/>
          </w:tcPr>
          <w:p w14:paraId="19A796F8" w14:textId="77777777" w:rsidR="00EC3F79" w:rsidRPr="00EC3F79" w:rsidRDefault="00EC3F79" w:rsidP="00EC3F79">
            <w:pPr>
              <w:spacing w:after="0" w:line="274"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C3F79">
              <w:rPr>
                <w:rFonts w:asciiTheme="minorHAnsi" w:hAnsiTheme="minorHAnsi" w:cstheme="minorHAnsi"/>
                <w:sz w:val="20"/>
                <w:szCs w:val="20"/>
              </w:rPr>
              <w:t>CSCI</w:t>
            </w:r>
          </w:p>
        </w:tc>
        <w:tc>
          <w:tcPr>
            <w:tcW w:w="1332" w:type="dxa"/>
            <w:tcBorders>
              <w:bottom w:val="single" w:sz="4" w:space="0" w:color="auto"/>
            </w:tcBorders>
            <w:noWrap/>
          </w:tcPr>
          <w:p w14:paraId="4D5771D3"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65</w:t>
            </w:r>
          </w:p>
        </w:tc>
        <w:tc>
          <w:tcPr>
            <w:tcW w:w="1050" w:type="dxa"/>
            <w:tcBorders>
              <w:bottom w:val="single" w:sz="4" w:space="0" w:color="auto"/>
            </w:tcBorders>
            <w:noWrap/>
          </w:tcPr>
          <w:p w14:paraId="2EB67B4D"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3.2</w:t>
            </w:r>
          </w:p>
        </w:tc>
        <w:tc>
          <w:tcPr>
            <w:tcW w:w="1008" w:type="dxa"/>
            <w:tcBorders>
              <w:bottom w:val="single" w:sz="4" w:space="0" w:color="auto"/>
            </w:tcBorders>
            <w:noWrap/>
          </w:tcPr>
          <w:p w14:paraId="29A51609"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3.0</w:t>
            </w:r>
          </w:p>
        </w:tc>
        <w:tc>
          <w:tcPr>
            <w:tcW w:w="801" w:type="dxa"/>
            <w:tcBorders>
              <w:bottom w:val="single" w:sz="4" w:space="0" w:color="auto"/>
            </w:tcBorders>
          </w:tcPr>
          <w:p w14:paraId="3D4B21AC"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37</w:t>
            </w:r>
          </w:p>
        </w:tc>
        <w:tc>
          <w:tcPr>
            <w:tcW w:w="934" w:type="dxa"/>
            <w:tcBorders>
              <w:bottom w:val="single" w:sz="4" w:space="0" w:color="auto"/>
            </w:tcBorders>
          </w:tcPr>
          <w:p w14:paraId="0657AB7D"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3.1</w:t>
            </w:r>
          </w:p>
        </w:tc>
        <w:tc>
          <w:tcPr>
            <w:tcW w:w="775" w:type="dxa"/>
            <w:tcBorders>
              <w:bottom w:val="single" w:sz="4" w:space="0" w:color="auto"/>
            </w:tcBorders>
          </w:tcPr>
          <w:p w14:paraId="6C5A9261" w14:textId="77777777" w:rsidR="00EC3F79" w:rsidRPr="00EC3F79" w:rsidRDefault="00A44BAD" w:rsidP="00EC3F79">
            <w:pPr>
              <w:spacing w:after="0" w:line="274"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2.4</w:t>
            </w:r>
          </w:p>
        </w:tc>
      </w:tr>
    </w:tbl>
    <w:p w14:paraId="678C5CB1" w14:textId="77777777" w:rsidR="00EC3F79" w:rsidRDefault="00EC3F79" w:rsidP="00EC3F79"/>
    <w:p w14:paraId="0ECCE4F2" w14:textId="77777777" w:rsidR="00EC3F79" w:rsidRDefault="00EC3F79" w:rsidP="00EC3F79">
      <w:pPr>
        <w:jc w:val="both"/>
      </w:pPr>
      <w:r>
        <w:t xml:space="preserve">Fetscher et al. (2014) found </w:t>
      </w:r>
      <w:r w:rsidR="006D119E">
        <w:t xml:space="preserve">mean </w:t>
      </w:r>
      <w:r>
        <w:t xml:space="preserve">changepoints of </w:t>
      </w:r>
      <w:r w:rsidR="006D119E">
        <w:t>19</w:t>
      </w:r>
      <w:r w:rsidR="00A958A0">
        <w:t xml:space="preserve"> </w:t>
      </w:r>
      <w:r w:rsidR="006D119E">
        <w:t>-</w:t>
      </w:r>
      <w:r w:rsidR="00A958A0">
        <w:t xml:space="preserve"> </w:t>
      </w:r>
      <w:r w:rsidR="006D119E">
        <w:t>40 mg/m2 for benthic chl-a and 12</w:t>
      </w:r>
      <w:r w:rsidR="00A958A0">
        <w:t xml:space="preserve"> </w:t>
      </w:r>
      <w:r w:rsidR="006D119E">
        <w:t>-</w:t>
      </w:r>
      <w:r w:rsidR="00A958A0">
        <w:t xml:space="preserve"> </w:t>
      </w:r>
      <w:r w:rsidR="006D119E">
        <w:t>23 g/m2 AFDM</w:t>
      </w:r>
      <w:r>
        <w:t xml:space="preserve">, corresponding to </w:t>
      </w:r>
      <w:r w:rsidRPr="00443CBA">
        <w:rPr>
          <w:i/>
        </w:rPr>
        <w:t>exhaustion thresholds</w:t>
      </w:r>
      <w:r>
        <w:t xml:space="preserve"> for both metric level and index level responses (Figure 3.</w:t>
      </w:r>
      <w:r w:rsidR="004F6E61">
        <w:t>5</w:t>
      </w:r>
      <w:r>
        <w:t xml:space="preserve">).  The ranges of these breakpoints are </w:t>
      </w:r>
      <w:r w:rsidR="006D119E">
        <w:t>roughly within</w:t>
      </w:r>
      <w:r>
        <w:t xml:space="preserve"> the 10</w:t>
      </w:r>
      <w:r w:rsidRPr="00443CBA">
        <w:rPr>
          <w:vertAlign w:val="superscript"/>
        </w:rPr>
        <w:t>th</w:t>
      </w:r>
      <w:r>
        <w:t xml:space="preserve"> percentile of reference protection endpoints</w:t>
      </w:r>
      <w:r w:rsidR="006D119E">
        <w:t xml:space="preserve"> (</w:t>
      </w:r>
      <w:r>
        <w:t>Mazor et al. in prep; Figure</w:t>
      </w:r>
      <w:r w:rsidR="004F6DA8">
        <w:t>s</w:t>
      </w:r>
      <w:r>
        <w:t xml:space="preserve"> 3.</w:t>
      </w:r>
      <w:r w:rsidR="004F6E61">
        <w:t>7</w:t>
      </w:r>
      <w:r w:rsidR="004F6DA8">
        <w:t>-3.</w:t>
      </w:r>
      <w:r w:rsidR="00CB21D1">
        <w:t>8</w:t>
      </w:r>
      <w:r>
        <w:t xml:space="preserve">). </w:t>
      </w:r>
    </w:p>
    <w:p w14:paraId="6577C7F1" w14:textId="77777777" w:rsidR="00EC3F79" w:rsidRDefault="00EC3F79" w:rsidP="00EC3F79">
      <w:pPr>
        <w:jc w:val="both"/>
        <w:sectPr w:rsidR="00EC3F79" w:rsidSect="00C5540D">
          <w:pgSz w:w="12240" w:h="15840"/>
          <w:pgMar w:top="1440" w:right="1440" w:bottom="1440" w:left="1440" w:header="720" w:footer="720" w:gutter="0"/>
          <w:cols w:space="720"/>
          <w:docGrid w:linePitch="360"/>
        </w:sectPr>
      </w:pPr>
    </w:p>
    <w:p w14:paraId="3F3E52F3" w14:textId="77777777" w:rsidR="00EC3F79" w:rsidRDefault="00EC3F79" w:rsidP="00EC3F79">
      <w:pPr>
        <w:jc w:val="both"/>
      </w:pPr>
    </w:p>
    <w:p w14:paraId="55010B6B" w14:textId="77777777" w:rsidR="00EC3F79" w:rsidRDefault="00EC3F79" w:rsidP="00AF51B8"/>
    <w:p w14:paraId="241FEB3A" w14:textId="77777777" w:rsidR="00EC3F79" w:rsidRDefault="00EC3F79" w:rsidP="00AF51B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6"/>
        <w:gridCol w:w="5724"/>
      </w:tblGrid>
      <w:tr w:rsidR="004F6DA8" w14:paraId="27009DE8" w14:textId="77777777" w:rsidTr="005D7E40">
        <w:tc>
          <w:tcPr>
            <w:tcW w:w="7236" w:type="dxa"/>
          </w:tcPr>
          <w:p w14:paraId="778FE45D" w14:textId="77777777" w:rsidR="00EC3F79" w:rsidRDefault="004F6DA8" w:rsidP="00AF51B8">
            <w:bookmarkStart w:id="128" w:name="_Toc525198230"/>
            <w:bookmarkStart w:id="129" w:name="_Toc525823128"/>
            <w:bookmarkStart w:id="130" w:name="_Toc525876655"/>
            <w:r>
              <w:rPr>
                <w:noProof/>
                <w:lang w:eastAsia="zh-CN" w:bidi="ar-SA"/>
              </w:rPr>
              <w:drawing>
                <wp:inline distT="0" distB="0" distL="0" distR="0" wp14:anchorId="4698C4A4" wp14:editId="6DBC9906">
                  <wp:extent cx="4457700" cy="3695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la.titan.plot.jpg"/>
                          <pic:cNvPicPr/>
                        </pic:nvPicPr>
                        <pic:blipFill rotWithShape="1">
                          <a:blip r:embed="rId46" cstate="print">
                            <a:extLst>
                              <a:ext uri="{28A0092B-C50C-407E-A947-70E740481C1C}">
                                <a14:useLocalDpi xmlns:a14="http://schemas.microsoft.com/office/drawing/2010/main" val="0"/>
                              </a:ext>
                            </a:extLst>
                          </a:blip>
                          <a:srcRect l="4218" t="5561" r="1791" b="4527"/>
                          <a:stretch/>
                        </pic:blipFill>
                        <pic:spPr bwMode="auto">
                          <a:xfrm>
                            <a:off x="0" y="0"/>
                            <a:ext cx="4465322" cy="3702019"/>
                          </a:xfrm>
                          <a:prstGeom prst="rect">
                            <a:avLst/>
                          </a:prstGeom>
                          <a:ln>
                            <a:noFill/>
                          </a:ln>
                          <a:extLst>
                            <a:ext uri="{53640926-AAD7-44D8-BBD7-CCE9431645EC}">
                              <a14:shadowObscured xmlns:a14="http://schemas.microsoft.com/office/drawing/2010/main"/>
                            </a:ext>
                          </a:extLst>
                        </pic:spPr>
                      </pic:pic>
                    </a:graphicData>
                  </a:graphic>
                </wp:inline>
              </w:drawing>
            </w:r>
            <w:bookmarkEnd w:id="128"/>
            <w:bookmarkEnd w:id="129"/>
            <w:bookmarkEnd w:id="130"/>
          </w:p>
        </w:tc>
        <w:tc>
          <w:tcPr>
            <w:tcW w:w="5724" w:type="dxa"/>
          </w:tcPr>
          <w:p w14:paraId="6638AAE2" w14:textId="77777777" w:rsidR="00EC3F79" w:rsidRDefault="004F6DA8" w:rsidP="00AF51B8">
            <w:bookmarkStart w:id="131" w:name="_Toc525198231"/>
            <w:bookmarkStart w:id="132" w:name="_Toc525823129"/>
            <w:bookmarkStart w:id="133" w:name="_Toc525876656"/>
            <w:r>
              <w:rPr>
                <w:noProof/>
                <w:lang w:eastAsia="zh-CN" w:bidi="ar-SA"/>
              </w:rPr>
              <w:drawing>
                <wp:anchor distT="0" distB="0" distL="114300" distR="114300" simplePos="0" relativeHeight="251661312" behindDoc="0" locked="0" layoutInCell="1" allowOverlap="1" wp14:anchorId="77476606" wp14:editId="0921F549">
                  <wp:simplePos x="0" y="0"/>
                  <wp:positionH relativeFrom="column">
                    <wp:posOffset>99060</wp:posOffset>
                  </wp:positionH>
                  <wp:positionV relativeFrom="paragraph">
                    <wp:posOffset>678815</wp:posOffset>
                  </wp:positionV>
                  <wp:extent cx="3232785" cy="2952750"/>
                  <wp:effectExtent l="0" t="0" r="571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ther.chla.plot.jpg"/>
                          <pic:cNvPicPr/>
                        </pic:nvPicPr>
                        <pic:blipFill rotWithShape="1">
                          <a:blip r:embed="rId47" cstate="print">
                            <a:extLst>
                              <a:ext uri="{28A0092B-C50C-407E-A947-70E740481C1C}">
                                <a14:useLocalDpi xmlns:a14="http://schemas.microsoft.com/office/drawing/2010/main" val="0"/>
                              </a:ext>
                            </a:extLst>
                          </a:blip>
                          <a:srcRect b="6053"/>
                          <a:stretch/>
                        </pic:blipFill>
                        <pic:spPr bwMode="auto">
                          <a:xfrm>
                            <a:off x="0" y="0"/>
                            <a:ext cx="3232785" cy="29527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bookmarkEnd w:id="131"/>
            <w:bookmarkEnd w:id="132"/>
            <w:bookmarkEnd w:id="133"/>
          </w:p>
        </w:tc>
      </w:tr>
    </w:tbl>
    <w:p w14:paraId="5DB6A625" w14:textId="77777777" w:rsidR="00EC3F79" w:rsidRDefault="00EC3F79" w:rsidP="00AF51B8"/>
    <w:p w14:paraId="4310C39D" w14:textId="77777777" w:rsidR="00EC3F79" w:rsidRDefault="00EC3F79" w:rsidP="00EC3F79">
      <w:pPr>
        <w:pStyle w:val="TOF"/>
      </w:pPr>
      <w:bookmarkStart w:id="134" w:name="_Toc526489950"/>
      <w:r w:rsidRPr="004618D8">
        <w:t>Figure 3.</w:t>
      </w:r>
      <w:r w:rsidR="004F6E61" w:rsidRPr="004618D8">
        <w:t>7</w:t>
      </w:r>
      <w:r w:rsidRPr="004618D8">
        <w:t xml:space="preserve"> Titan plots showing changepoints in species presence/absence as a function of increasing </w:t>
      </w:r>
      <w:r w:rsidR="005D7E40" w:rsidRPr="004618D8">
        <w:t>benthic chl-a by species (left panel) and by grouping of BMI and algal increasers versus decreasers</w:t>
      </w:r>
      <w:r w:rsidRPr="004618D8">
        <w:t xml:space="preserve">). </w:t>
      </w:r>
      <w:r w:rsidR="005D7E40" w:rsidRPr="004618D8">
        <w:t xml:space="preserve">X -axis on both plots is benthic chl-a (mg/m2). </w:t>
      </w:r>
      <w:r w:rsidRPr="004618D8">
        <w:t>From Mazor et al. (in prep</w:t>
      </w:r>
      <w:r>
        <w:t>).</w:t>
      </w:r>
      <w:bookmarkEnd w:id="134"/>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6"/>
        <w:gridCol w:w="5724"/>
      </w:tblGrid>
      <w:tr w:rsidR="005D7E40" w14:paraId="24E54849" w14:textId="77777777" w:rsidTr="00A6560D">
        <w:tc>
          <w:tcPr>
            <w:tcW w:w="7236" w:type="dxa"/>
          </w:tcPr>
          <w:p w14:paraId="752D46A2" w14:textId="77777777" w:rsidR="005D7E40" w:rsidRDefault="005D7E40" w:rsidP="00AF51B8">
            <w:bookmarkStart w:id="135" w:name="_Toc525198233"/>
            <w:bookmarkStart w:id="136" w:name="_Toc525823131"/>
            <w:bookmarkStart w:id="137" w:name="_Toc525876658"/>
            <w:r>
              <w:rPr>
                <w:noProof/>
                <w:lang w:eastAsia="zh-CN" w:bidi="ar-SA"/>
              </w:rPr>
              <w:drawing>
                <wp:inline distT="0" distB="0" distL="0" distR="0" wp14:anchorId="76CBA3CB" wp14:editId="7D579E60">
                  <wp:extent cx="4227006" cy="479107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dm.titan.plot.jpg"/>
                          <pic:cNvPicPr/>
                        </pic:nvPicPr>
                        <pic:blipFill rotWithShape="1">
                          <a:blip r:embed="rId48" cstate="print">
                            <a:extLst>
                              <a:ext uri="{28A0092B-C50C-407E-A947-70E740481C1C}">
                                <a14:useLocalDpi xmlns:a14="http://schemas.microsoft.com/office/drawing/2010/main" val="0"/>
                              </a:ext>
                            </a:extLst>
                          </a:blip>
                          <a:srcRect t="3519" b="3321"/>
                          <a:stretch/>
                        </pic:blipFill>
                        <pic:spPr bwMode="auto">
                          <a:xfrm>
                            <a:off x="0" y="0"/>
                            <a:ext cx="4229303" cy="4793678"/>
                          </a:xfrm>
                          <a:prstGeom prst="rect">
                            <a:avLst/>
                          </a:prstGeom>
                          <a:ln>
                            <a:noFill/>
                          </a:ln>
                          <a:extLst>
                            <a:ext uri="{53640926-AAD7-44D8-BBD7-CCE9431645EC}">
                              <a14:shadowObscured xmlns:a14="http://schemas.microsoft.com/office/drawing/2010/main"/>
                            </a:ext>
                          </a:extLst>
                        </pic:spPr>
                      </pic:pic>
                    </a:graphicData>
                  </a:graphic>
                </wp:inline>
              </w:drawing>
            </w:r>
            <w:bookmarkEnd w:id="135"/>
            <w:bookmarkEnd w:id="136"/>
            <w:bookmarkEnd w:id="137"/>
          </w:p>
        </w:tc>
        <w:tc>
          <w:tcPr>
            <w:tcW w:w="5724" w:type="dxa"/>
          </w:tcPr>
          <w:p w14:paraId="64FBA491" w14:textId="77777777" w:rsidR="005D7E40" w:rsidRDefault="005D7E40" w:rsidP="00AF51B8">
            <w:bookmarkStart w:id="138" w:name="_Toc525198234"/>
            <w:bookmarkStart w:id="139" w:name="_Toc525823132"/>
            <w:bookmarkStart w:id="140" w:name="_Toc525876659"/>
            <w:r>
              <w:rPr>
                <w:noProof/>
                <w:lang w:eastAsia="zh-CN" w:bidi="ar-SA"/>
              </w:rPr>
              <w:drawing>
                <wp:anchor distT="0" distB="0" distL="114300" distR="114300" simplePos="0" relativeHeight="251662336" behindDoc="0" locked="0" layoutInCell="1" allowOverlap="1" wp14:anchorId="2563BDFD" wp14:editId="7E7C6926">
                  <wp:simplePos x="0" y="0"/>
                  <wp:positionH relativeFrom="column">
                    <wp:posOffset>32385</wp:posOffset>
                  </wp:positionH>
                  <wp:positionV relativeFrom="paragraph">
                    <wp:posOffset>1828800</wp:posOffset>
                  </wp:positionV>
                  <wp:extent cx="3291840" cy="3009900"/>
                  <wp:effectExtent l="0" t="0" r="381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ther.afdm.plot.jpg"/>
                          <pic:cNvPicPr/>
                        </pic:nvPicPr>
                        <pic:blipFill rotWithShape="1">
                          <a:blip r:embed="rId49" cstate="print">
                            <a:extLst>
                              <a:ext uri="{28A0092B-C50C-407E-A947-70E740481C1C}">
                                <a14:useLocalDpi xmlns:a14="http://schemas.microsoft.com/office/drawing/2010/main" val="0"/>
                              </a:ext>
                            </a:extLst>
                          </a:blip>
                          <a:srcRect b="5953"/>
                          <a:stretch/>
                        </pic:blipFill>
                        <pic:spPr bwMode="auto">
                          <a:xfrm>
                            <a:off x="0" y="0"/>
                            <a:ext cx="3291840" cy="30099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bookmarkEnd w:id="138"/>
            <w:bookmarkEnd w:id="139"/>
            <w:bookmarkEnd w:id="140"/>
          </w:p>
        </w:tc>
      </w:tr>
    </w:tbl>
    <w:p w14:paraId="0B12EACB" w14:textId="77777777" w:rsidR="005D7E40" w:rsidRDefault="005D7E40" w:rsidP="005D7E40">
      <w:pPr>
        <w:pStyle w:val="TOF"/>
      </w:pPr>
    </w:p>
    <w:p w14:paraId="6FC63227" w14:textId="77777777" w:rsidR="005D7E40" w:rsidRPr="004618D8" w:rsidRDefault="004F6E61" w:rsidP="004618D8">
      <w:pPr>
        <w:pStyle w:val="TOF"/>
      </w:pPr>
      <w:bookmarkStart w:id="141" w:name="_Toc526489951"/>
      <w:r w:rsidRPr="004618D8">
        <w:t>Figure 3.8</w:t>
      </w:r>
      <w:r w:rsidR="005D7E40" w:rsidRPr="004618D8">
        <w:t xml:space="preserve"> Titan plots showing changepoints in species presence/absence as a function of increasing AFDM (mg/cm2) by species (left panel) and by grouping of BMI and algal increasers versus decreasers). X-axis on both plots is AFDM (mg/cm2). From Mazor et al. (in prep).</w:t>
      </w:r>
      <w:bookmarkEnd w:id="141"/>
      <w:r w:rsidR="005D7E40" w:rsidRPr="004618D8">
        <w:t xml:space="preserve"> </w:t>
      </w:r>
    </w:p>
    <w:p w14:paraId="217EFC27" w14:textId="77777777" w:rsidR="004F6DA8" w:rsidRDefault="004F6DA8" w:rsidP="00EC3F79">
      <w:pPr>
        <w:pStyle w:val="TOF"/>
      </w:pPr>
    </w:p>
    <w:p w14:paraId="1F9C32EB" w14:textId="77777777" w:rsidR="004F6DA8" w:rsidRDefault="004F6DA8" w:rsidP="004F6DA8">
      <w:pPr>
        <w:pStyle w:val="TOF"/>
        <w:sectPr w:rsidR="004F6DA8" w:rsidSect="004F6DA8">
          <w:pgSz w:w="15840" w:h="12240" w:orient="landscape"/>
          <w:pgMar w:top="1440" w:right="1440" w:bottom="1440" w:left="1440" w:header="720" w:footer="720" w:gutter="0"/>
          <w:cols w:space="720"/>
          <w:docGrid w:linePitch="360"/>
        </w:sectPr>
      </w:pPr>
      <w:r>
        <w:t xml:space="preserve"> </w:t>
      </w:r>
    </w:p>
    <w:p w14:paraId="465A378A" w14:textId="77777777" w:rsidR="00EC3F79" w:rsidRDefault="00EC3F79" w:rsidP="00EC3F79">
      <w:r>
        <w:t>These CSCI and ASCI 10</w:t>
      </w:r>
      <w:r w:rsidRPr="00BF41F0">
        <w:rPr>
          <w:vertAlign w:val="superscript"/>
        </w:rPr>
        <w:t>th</w:t>
      </w:r>
      <w:r>
        <w:t xml:space="preserve"> percentile </w:t>
      </w:r>
      <w:r w:rsidR="005D7E40">
        <w:t xml:space="preserve">benthic chl-a </w:t>
      </w:r>
      <w:r>
        <w:t xml:space="preserve">ALU protection and changepoint </w:t>
      </w:r>
      <w:r w:rsidRPr="00CF3401">
        <w:t xml:space="preserve">thresholds </w:t>
      </w:r>
      <w:r>
        <w:t>were just above</w:t>
      </w:r>
      <w:r w:rsidRPr="00CF3401">
        <w:t xml:space="preserve"> the 75</w:t>
      </w:r>
      <w:r w:rsidRPr="009971E1">
        <w:rPr>
          <w:vertAlign w:val="superscript"/>
        </w:rPr>
        <w:t>th</w:t>
      </w:r>
      <w:r>
        <w:t xml:space="preserve"> </w:t>
      </w:r>
      <w:r w:rsidRPr="00CF3401">
        <w:t xml:space="preserve">percentile of </w:t>
      </w:r>
      <w:r>
        <w:t>statewide and ecoregional r</w:t>
      </w:r>
      <w:r w:rsidRPr="00CF3401">
        <w:t>eference stream reaches (</w:t>
      </w:r>
      <w:r w:rsidR="00F64399">
        <w:t>7.9</w:t>
      </w:r>
      <w:r>
        <w:t xml:space="preserve"> – </w:t>
      </w:r>
      <w:r w:rsidR="00F64399">
        <w:t>23</w:t>
      </w:r>
      <w:r>
        <w:t xml:space="preserve"> </w:t>
      </w:r>
      <w:r w:rsidR="0073250B">
        <w:t>mg/</w:t>
      </w:r>
      <w:r w:rsidR="00F64399">
        <w:t>m</w:t>
      </w:r>
      <w:r w:rsidR="00F64399" w:rsidRPr="0069037A">
        <w:rPr>
          <w:vertAlign w:val="superscript"/>
        </w:rPr>
        <w:t>2</w:t>
      </w:r>
      <w:r w:rsidR="00F64399">
        <w:t>). For AFDM, the range of ALU and protection thresholds (20 - 30 g/m</w:t>
      </w:r>
      <w:r w:rsidR="00F64399" w:rsidRPr="0069037A">
        <w:rPr>
          <w:vertAlign w:val="superscript"/>
        </w:rPr>
        <w:t>2</w:t>
      </w:r>
      <w:r w:rsidR="00F64399">
        <w:t>) overlapped with the 75</w:t>
      </w:r>
      <w:r w:rsidR="00F64399" w:rsidRPr="00F64399">
        <w:rPr>
          <w:vertAlign w:val="superscript"/>
        </w:rPr>
        <w:t>th</w:t>
      </w:r>
      <w:r w:rsidR="00F64399">
        <w:t xml:space="preserve"> percentile of Desert-Modoc and South Coast reference sites (24 and 27 g/m</w:t>
      </w:r>
      <w:r w:rsidR="00F64399" w:rsidRPr="0069037A">
        <w:rPr>
          <w:vertAlign w:val="superscript"/>
        </w:rPr>
        <w:t>2</w:t>
      </w:r>
      <w:r w:rsidR="00F64399">
        <w:t xml:space="preserve">, respectively; </w:t>
      </w:r>
      <w:r>
        <w:t xml:space="preserve">Table 3.2, Fetscher et al. 2014). </w:t>
      </w:r>
    </w:p>
    <w:p w14:paraId="0E117EA1" w14:textId="77777777" w:rsidR="00F64399" w:rsidRPr="00CF3401" w:rsidRDefault="0073250B" w:rsidP="00F64399">
      <w:r>
        <w:t>Although</w:t>
      </w:r>
      <w:r w:rsidR="00F64399" w:rsidRPr="00CF3401">
        <w:t xml:space="preserve"> benthic chl-a is a commonly measured parameter in eutrophication assessments of wadeable streams, far less literature </w:t>
      </w:r>
      <w:r w:rsidR="00F64399">
        <w:t xml:space="preserve">outside of California </w:t>
      </w:r>
      <w:r w:rsidR="00F64399" w:rsidRPr="00CF3401">
        <w:t xml:space="preserve">has been devoted to quantifying thresholds protective of </w:t>
      </w:r>
      <w:r w:rsidR="001A6DC5">
        <w:t>BMI</w:t>
      </w:r>
      <w:r w:rsidR="005112A7">
        <w:t xml:space="preserve"> or a balanced algal community</w:t>
      </w:r>
      <w:r w:rsidR="00F64399" w:rsidRPr="00CF3401">
        <w:t>, compared to nutrients</w:t>
      </w:r>
      <w:r w:rsidR="00F25BA4">
        <w:t xml:space="preserve"> (Table 3.8)</w:t>
      </w:r>
      <w:r w:rsidR="00F64399" w:rsidRPr="00CF3401">
        <w:t xml:space="preserve">. </w:t>
      </w:r>
      <w:r w:rsidR="001A6DC5">
        <w:t xml:space="preserve">BMI REF10 thresholds with a 90% </w:t>
      </w:r>
      <w:r>
        <w:t xml:space="preserve">relative probability </w:t>
      </w:r>
      <w:r w:rsidR="001A6DC5">
        <w:t>level</w:t>
      </w:r>
      <w:r w:rsidR="00F64399" w:rsidRPr="00CF3401">
        <w:t xml:space="preserve"> </w:t>
      </w:r>
      <w:r w:rsidR="001A6DC5">
        <w:t>(28 mg/m</w:t>
      </w:r>
      <w:r w:rsidR="001A6DC5" w:rsidRPr="0069037A">
        <w:rPr>
          <w:vertAlign w:val="superscript"/>
        </w:rPr>
        <w:t>2</w:t>
      </w:r>
      <w:r w:rsidR="001A6DC5">
        <w:t xml:space="preserve">) </w:t>
      </w:r>
      <w:r w:rsidR="00F64399" w:rsidRPr="00CA44F7">
        <w:t>are somewhat higher than the mean</w:t>
      </w:r>
      <w:r w:rsidR="00F64399" w:rsidRPr="00CF3401">
        <w:t xml:space="preserve"> monthly benthic chl-a of 13-20 mg/m</w:t>
      </w:r>
      <w:r w:rsidR="00F64399" w:rsidRPr="009971E1">
        <w:rPr>
          <w:vertAlign w:val="superscript"/>
        </w:rPr>
        <w:t>2</w:t>
      </w:r>
      <w:r w:rsidR="00F64399" w:rsidRPr="00CF3401">
        <w:t xml:space="preserve"> were associated with a 50% reduction in the percentage of </w:t>
      </w:r>
      <w:r>
        <w:t>Ephemeroptera, Plecoptera, and Trichoptera (</w:t>
      </w:r>
      <w:r w:rsidR="00F64399" w:rsidRPr="00CF3401">
        <w:t>EPT</w:t>
      </w:r>
      <w:r>
        <w:t>)</w:t>
      </w:r>
      <w:r w:rsidR="00F64399" w:rsidRPr="00CF3401">
        <w:t xml:space="preserve"> taxa in New Zealand streams (Biggs 2000).  The distinction between mean versus peak is critical in interpreting impacts. Biggs (2000) found that benthic invertebrates can continue to thrive when benthic algal abundance is elevated for a short duration, but that more substantial adverse effects would occur with chronic algal blooms. Unfortunately, </w:t>
      </w:r>
      <w:r w:rsidR="00735EDF">
        <w:t>time course</w:t>
      </w:r>
      <w:r w:rsidR="00F64399" w:rsidRPr="00CF3401">
        <w:t xml:space="preserve"> sampling that would be helpful to relate the one-time sample taken during the perennial stream assessment spring-summer index period to mean monthly or maximum statistics has not been conducted for California</w:t>
      </w:r>
      <w:r>
        <w:t xml:space="preserve"> on a large scale sufficient to support comparable analysis</w:t>
      </w:r>
      <w:r w:rsidR="00F64399" w:rsidRPr="00CF3401">
        <w:t xml:space="preserve">. </w:t>
      </w:r>
      <w:r w:rsidR="00F64399">
        <w:t xml:space="preserve">These values are </w:t>
      </w:r>
      <w:r w:rsidR="00F64399" w:rsidRPr="00CF3401">
        <w:t>substantially lower than that of Miltner</w:t>
      </w:r>
      <w:r w:rsidR="005112A7">
        <w:t xml:space="preserve"> et al.</w:t>
      </w:r>
      <w:r w:rsidR="00F64399" w:rsidRPr="00CF3401">
        <w:t xml:space="preserve"> (2010), who found a change point at 107 mg/m</w:t>
      </w:r>
      <w:r w:rsidR="00F64399" w:rsidRPr="0069037A">
        <w:t>2</w:t>
      </w:r>
      <w:r w:rsidR="00F64399" w:rsidRPr="00CF3401">
        <w:t xml:space="preserve"> related to changes in the abundance of </w:t>
      </w:r>
      <w:r>
        <w:t>EPT</w:t>
      </w:r>
      <w:r w:rsidR="00F64399" w:rsidRPr="00CF3401">
        <w:t xml:space="preserve"> taxa in Ohio streams</w:t>
      </w:r>
      <w:r w:rsidR="005112A7">
        <w:t>, but within the same range (40 mg/m</w:t>
      </w:r>
      <w:r w:rsidR="005112A7" w:rsidRPr="0069037A">
        <w:rPr>
          <w:vertAlign w:val="superscript"/>
        </w:rPr>
        <w:t>2</w:t>
      </w:r>
      <w:r w:rsidR="005112A7">
        <w:t>) of predicted benthic chl-a that is protective of having a low percent (</w:t>
      </w:r>
      <w:r>
        <w:t xml:space="preserve">i.e., </w:t>
      </w:r>
      <w:r w:rsidR="005112A7">
        <w:t xml:space="preserve">&lt; 5%) of cyanobacteria abundance (Carleton et al. 2009). </w:t>
      </w:r>
    </w:p>
    <w:p w14:paraId="5033A3A1" w14:textId="77777777" w:rsidR="00BE7110" w:rsidRDefault="00F64399" w:rsidP="00F64399">
      <w:r>
        <w:t>Although</w:t>
      </w:r>
      <w:r w:rsidRPr="00CF3401">
        <w:t xml:space="preserve"> </w:t>
      </w:r>
      <w:r>
        <w:t xml:space="preserve">targets </w:t>
      </w:r>
      <w:r w:rsidRPr="00CF3401">
        <w:t xml:space="preserve">arising from the present study were derived based on </w:t>
      </w:r>
      <w:r w:rsidR="0073250B">
        <w:t>biointe</w:t>
      </w:r>
      <w:r w:rsidR="00735EDF">
        <w:t>gri</w:t>
      </w:r>
      <w:r w:rsidR="0073250B">
        <w:t>ty measures specific to</w:t>
      </w:r>
      <w:r w:rsidRPr="00CF3401">
        <w:t xml:space="preserve"> algal and benthic macroinvertebrate </w:t>
      </w:r>
      <w:r>
        <w:t xml:space="preserve">assemblage </w:t>
      </w:r>
      <w:r w:rsidRPr="00CF3401">
        <w:t>composition, comparison</w:t>
      </w:r>
      <w:r w:rsidR="0073250B">
        <w:t>s</w:t>
      </w:r>
      <w:r w:rsidRPr="00CF3401">
        <w:t xml:space="preserve"> </w:t>
      </w:r>
      <w:r w:rsidR="0073250B">
        <w:t>may</w:t>
      </w:r>
      <w:r w:rsidRPr="00CF3401">
        <w:t xml:space="preserve"> be made to literature linked to other aquatic life. For example, Biggs (2000) asserted that protection of salmonids affords a slightly higher algal biomass </w:t>
      </w:r>
      <w:r w:rsidR="0073250B">
        <w:t xml:space="preserve">threshold </w:t>
      </w:r>
      <w:r w:rsidRPr="00CF3401">
        <w:t xml:space="preserve">than is protective of </w:t>
      </w:r>
      <w:r w:rsidR="0073250B">
        <w:t xml:space="preserve">sensitive </w:t>
      </w:r>
      <w:r w:rsidRPr="00CF3401">
        <w:t>benthic invertebrate</w:t>
      </w:r>
      <w:r w:rsidR="0073250B">
        <w:t xml:space="preserve"> species</w:t>
      </w:r>
      <w:r w:rsidRPr="00CF3401">
        <w:t>; mean monthly benthic algal biomass in New Zealand streams that are “renowned for their trout fisheries” was 23 mg/m</w:t>
      </w:r>
      <w:r w:rsidRPr="009971E1">
        <w:rPr>
          <w:vertAlign w:val="superscript"/>
        </w:rPr>
        <w:t>2</w:t>
      </w:r>
      <w:r w:rsidRPr="00CF3401">
        <w:t>, with average maximum biomass of 171 mg/m</w:t>
      </w:r>
      <w:r w:rsidRPr="009971E1">
        <w:rPr>
          <w:vertAlign w:val="superscript"/>
        </w:rPr>
        <w:t>2</w:t>
      </w:r>
      <w:r w:rsidRPr="00CF3401">
        <w:t xml:space="preserve">. Quinn and McFarlane (1989) at </w:t>
      </w:r>
      <w:r w:rsidRPr="00CA44F7">
        <w:t>21</w:t>
      </w:r>
      <w:r w:rsidRPr="00CA44F7">
        <w:rPr>
          <w:rFonts w:cstheme="minorHAnsi"/>
        </w:rPr>
        <w:t>°</w:t>
      </w:r>
      <w:r w:rsidRPr="00CA44F7">
        <w:t>C</w:t>
      </w:r>
      <w:r w:rsidRPr="00CF3401">
        <w:t xml:space="preserve"> link abundance of macroalgae &gt; 120 mg/m</w:t>
      </w:r>
      <w:r w:rsidRPr="009971E1">
        <w:rPr>
          <w:vertAlign w:val="superscript"/>
        </w:rPr>
        <w:t>2</w:t>
      </w:r>
      <w:r w:rsidRPr="00CF3401">
        <w:t xml:space="preserve"> chl-a </w:t>
      </w:r>
      <w:r w:rsidR="00827C3D">
        <w:t xml:space="preserve">led </w:t>
      </w:r>
      <w:r w:rsidRPr="00CF3401">
        <w:t xml:space="preserve">to depressed DO (i.e., &lt; 5 mg/L). For California streams, algal indicators of </w:t>
      </w:r>
      <w:r w:rsidR="0073250B">
        <w:t xml:space="preserve">both </w:t>
      </w:r>
      <w:r w:rsidRPr="00CF3401">
        <w:t xml:space="preserve">oxygen-saturated waters and </w:t>
      </w:r>
      <w:r w:rsidR="0073250B">
        <w:t>of</w:t>
      </w:r>
      <w:r w:rsidRPr="00CF3401">
        <w:t xml:space="preserve"> oxygen-depleted waters showed exhaustion thresholds of 45 and 115 mg/m</w:t>
      </w:r>
      <w:r w:rsidRPr="009971E1">
        <w:rPr>
          <w:vertAlign w:val="superscript"/>
        </w:rPr>
        <w:t>2</w:t>
      </w:r>
      <w:r w:rsidRPr="00CF3401">
        <w:t xml:space="preserve"> chl-a, respectively (Fetscher et al. 2014). </w:t>
      </w:r>
      <w:r>
        <w:t>Alt</w:t>
      </w:r>
      <w:r w:rsidRPr="00CF3401">
        <w:t>hough temperature and other site-specific factors play a role in determining the amount of algal biomass that would result in depression of stream DO, the scientific basis for establishing separate biomass endpoints for COLD and WARM wadeable streams remains unclear.</w:t>
      </w:r>
    </w:p>
    <w:p w14:paraId="681939B8" w14:textId="77777777" w:rsidR="00C07C27" w:rsidRDefault="00C07C27">
      <w:pPr>
        <w:spacing w:after="0" w:line="240" w:lineRule="auto"/>
        <w:rPr>
          <w:rFonts w:ascii="Arial" w:hAnsi="Arial"/>
          <w:b/>
          <w:sz w:val="20"/>
        </w:rPr>
      </w:pPr>
      <w:r>
        <w:br w:type="page"/>
      </w:r>
    </w:p>
    <w:p w14:paraId="2AC826B4" w14:textId="77777777" w:rsidR="005C61BF" w:rsidRPr="00F230B0" w:rsidRDefault="005C61BF" w:rsidP="00F25BA4">
      <w:pPr>
        <w:pStyle w:val="TOT"/>
      </w:pPr>
      <w:bookmarkStart w:id="142" w:name="_Toc526489923"/>
      <w:r w:rsidRPr="00F230B0">
        <w:t>Table 3.</w:t>
      </w:r>
      <w:r w:rsidR="00F25BA4" w:rsidRPr="00F230B0">
        <w:t>8</w:t>
      </w:r>
      <w:r w:rsidRPr="00F230B0">
        <w:t xml:space="preserve"> Summary of </w:t>
      </w:r>
      <w:r w:rsidR="00F230B0">
        <w:t xml:space="preserve">literature sources of </w:t>
      </w:r>
      <w:r w:rsidRPr="00F230B0">
        <w:t xml:space="preserve">benthic chlorophyll-a thresholds </w:t>
      </w:r>
      <w:r w:rsidR="0079785D" w:rsidRPr="00F230B0">
        <w:t xml:space="preserve">(mg/m2) </w:t>
      </w:r>
      <w:r w:rsidRPr="00F230B0">
        <w:t>for wadeable streams</w:t>
      </w:r>
      <w:bookmarkEnd w:id="142"/>
    </w:p>
    <w:tbl>
      <w:tblPr>
        <w:tblStyle w:val="TableGrid"/>
        <w:tblW w:w="10149" w:type="dxa"/>
        <w:tblLook w:val="04A0" w:firstRow="1" w:lastRow="0" w:firstColumn="1" w:lastColumn="0" w:noHBand="0" w:noVBand="1"/>
      </w:tblPr>
      <w:tblGrid>
        <w:gridCol w:w="1975"/>
        <w:gridCol w:w="1890"/>
        <w:gridCol w:w="3420"/>
        <w:gridCol w:w="1609"/>
        <w:gridCol w:w="1255"/>
      </w:tblGrid>
      <w:tr w:rsidR="0079785D" w:rsidRPr="00C766E8" w14:paraId="1F15CCB0" w14:textId="77777777" w:rsidTr="00F230B0">
        <w:trPr>
          <w:trHeight w:val="230"/>
        </w:trPr>
        <w:tc>
          <w:tcPr>
            <w:tcW w:w="1975" w:type="dxa"/>
            <w:vMerge w:val="restart"/>
          </w:tcPr>
          <w:p w14:paraId="5B819F94" w14:textId="77777777" w:rsidR="0079785D" w:rsidRPr="00F230B0" w:rsidRDefault="0079785D" w:rsidP="0079785D">
            <w:pPr>
              <w:spacing w:after="0" w:line="240" w:lineRule="auto"/>
              <w:jc w:val="both"/>
              <w:rPr>
                <w:rFonts w:ascii="Arial" w:hAnsi="Arial" w:cs="Arial"/>
                <w:b/>
                <w:sz w:val="18"/>
                <w:szCs w:val="18"/>
              </w:rPr>
            </w:pPr>
            <w:r w:rsidRPr="00F230B0">
              <w:rPr>
                <w:rFonts w:ascii="Arial" w:hAnsi="Arial" w:cs="Arial"/>
                <w:b/>
                <w:sz w:val="18"/>
                <w:szCs w:val="18"/>
              </w:rPr>
              <w:t>Region</w:t>
            </w:r>
          </w:p>
        </w:tc>
        <w:tc>
          <w:tcPr>
            <w:tcW w:w="1890" w:type="dxa"/>
            <w:vMerge w:val="restart"/>
          </w:tcPr>
          <w:p w14:paraId="16D3E8F4" w14:textId="77777777" w:rsidR="0079785D" w:rsidRPr="00F230B0" w:rsidRDefault="0079785D" w:rsidP="0079785D">
            <w:pPr>
              <w:spacing w:after="0" w:line="240" w:lineRule="auto"/>
              <w:jc w:val="both"/>
              <w:rPr>
                <w:rFonts w:ascii="Arial" w:hAnsi="Arial" w:cs="Arial"/>
                <w:b/>
                <w:sz w:val="18"/>
                <w:szCs w:val="18"/>
              </w:rPr>
            </w:pPr>
            <w:r w:rsidRPr="00F230B0">
              <w:rPr>
                <w:rFonts w:ascii="Arial" w:hAnsi="Arial" w:cs="Arial"/>
                <w:b/>
                <w:sz w:val="18"/>
                <w:szCs w:val="18"/>
              </w:rPr>
              <w:t>Type</w:t>
            </w:r>
          </w:p>
        </w:tc>
        <w:tc>
          <w:tcPr>
            <w:tcW w:w="3420" w:type="dxa"/>
            <w:vMerge w:val="restart"/>
          </w:tcPr>
          <w:p w14:paraId="5A9C999A" w14:textId="77777777" w:rsidR="0079785D" w:rsidRPr="00F230B0" w:rsidRDefault="0079785D" w:rsidP="0079785D">
            <w:pPr>
              <w:spacing w:after="0" w:line="240" w:lineRule="auto"/>
              <w:jc w:val="both"/>
              <w:rPr>
                <w:rFonts w:ascii="Arial" w:hAnsi="Arial" w:cs="Arial"/>
                <w:b/>
                <w:sz w:val="18"/>
                <w:szCs w:val="18"/>
              </w:rPr>
            </w:pPr>
            <w:r w:rsidRPr="00F230B0">
              <w:rPr>
                <w:rFonts w:ascii="Arial" w:hAnsi="Arial" w:cs="Arial"/>
                <w:b/>
                <w:sz w:val="18"/>
                <w:szCs w:val="18"/>
              </w:rPr>
              <w:t>Protection Endpoint</w:t>
            </w:r>
          </w:p>
        </w:tc>
        <w:tc>
          <w:tcPr>
            <w:tcW w:w="1609" w:type="dxa"/>
            <w:vMerge w:val="restart"/>
          </w:tcPr>
          <w:p w14:paraId="44BD954B" w14:textId="77777777" w:rsidR="0079785D" w:rsidRPr="00F230B0" w:rsidRDefault="0079785D" w:rsidP="0079785D">
            <w:pPr>
              <w:spacing w:after="0" w:line="240" w:lineRule="auto"/>
              <w:jc w:val="both"/>
              <w:rPr>
                <w:rFonts w:ascii="Arial" w:hAnsi="Arial" w:cs="Arial"/>
                <w:b/>
                <w:sz w:val="18"/>
                <w:szCs w:val="18"/>
              </w:rPr>
            </w:pPr>
            <w:r w:rsidRPr="00F230B0">
              <w:rPr>
                <w:rFonts w:ascii="Arial" w:hAnsi="Arial" w:cs="Arial"/>
                <w:b/>
                <w:sz w:val="18"/>
                <w:szCs w:val="18"/>
              </w:rPr>
              <w:t>Benthic Chla (mg/m-2)</w:t>
            </w:r>
          </w:p>
        </w:tc>
        <w:tc>
          <w:tcPr>
            <w:tcW w:w="1255" w:type="dxa"/>
            <w:vMerge w:val="restart"/>
          </w:tcPr>
          <w:p w14:paraId="38152AC0" w14:textId="77777777" w:rsidR="0079785D" w:rsidRPr="00F230B0" w:rsidRDefault="0079785D" w:rsidP="0079785D">
            <w:pPr>
              <w:spacing w:after="0" w:line="240" w:lineRule="auto"/>
              <w:jc w:val="both"/>
              <w:rPr>
                <w:rFonts w:ascii="Arial" w:hAnsi="Arial" w:cs="Arial"/>
                <w:b/>
                <w:sz w:val="18"/>
                <w:szCs w:val="18"/>
              </w:rPr>
            </w:pPr>
            <w:r w:rsidRPr="00F230B0">
              <w:rPr>
                <w:rFonts w:ascii="Arial" w:hAnsi="Arial" w:cs="Arial"/>
                <w:b/>
                <w:sz w:val="18"/>
                <w:szCs w:val="18"/>
              </w:rPr>
              <w:t>Source</w:t>
            </w:r>
          </w:p>
        </w:tc>
      </w:tr>
      <w:tr w:rsidR="0079785D" w:rsidRPr="00C766E8" w14:paraId="4E5F9EA9" w14:textId="77777777" w:rsidTr="00F230B0">
        <w:trPr>
          <w:trHeight w:val="230"/>
        </w:trPr>
        <w:tc>
          <w:tcPr>
            <w:tcW w:w="1975" w:type="dxa"/>
            <w:vMerge/>
          </w:tcPr>
          <w:p w14:paraId="225A339D" w14:textId="77777777" w:rsidR="0079785D" w:rsidRPr="00F230B0" w:rsidRDefault="0079785D" w:rsidP="0079785D">
            <w:pPr>
              <w:spacing w:after="0" w:line="240" w:lineRule="auto"/>
              <w:jc w:val="both"/>
              <w:rPr>
                <w:rFonts w:ascii="Arial" w:hAnsi="Arial" w:cs="Arial"/>
                <w:b/>
                <w:sz w:val="18"/>
                <w:szCs w:val="18"/>
              </w:rPr>
            </w:pPr>
          </w:p>
        </w:tc>
        <w:tc>
          <w:tcPr>
            <w:tcW w:w="1890" w:type="dxa"/>
            <w:vMerge/>
          </w:tcPr>
          <w:p w14:paraId="797ABFEF" w14:textId="77777777" w:rsidR="0079785D" w:rsidRPr="00F230B0" w:rsidRDefault="0079785D" w:rsidP="0079785D">
            <w:pPr>
              <w:spacing w:after="0" w:line="240" w:lineRule="auto"/>
              <w:jc w:val="both"/>
              <w:rPr>
                <w:rFonts w:ascii="Arial" w:hAnsi="Arial" w:cs="Arial"/>
                <w:b/>
                <w:sz w:val="18"/>
                <w:szCs w:val="18"/>
              </w:rPr>
            </w:pPr>
          </w:p>
        </w:tc>
        <w:tc>
          <w:tcPr>
            <w:tcW w:w="3420" w:type="dxa"/>
            <w:vMerge/>
          </w:tcPr>
          <w:p w14:paraId="752232FA" w14:textId="77777777" w:rsidR="0079785D" w:rsidRPr="00F230B0" w:rsidRDefault="0079785D" w:rsidP="0079785D">
            <w:pPr>
              <w:spacing w:after="0" w:line="240" w:lineRule="auto"/>
              <w:jc w:val="both"/>
              <w:rPr>
                <w:rFonts w:ascii="Arial" w:hAnsi="Arial" w:cs="Arial"/>
                <w:b/>
                <w:sz w:val="18"/>
                <w:szCs w:val="18"/>
              </w:rPr>
            </w:pPr>
          </w:p>
        </w:tc>
        <w:tc>
          <w:tcPr>
            <w:tcW w:w="1609" w:type="dxa"/>
            <w:vMerge/>
          </w:tcPr>
          <w:p w14:paraId="3C0A841A" w14:textId="77777777" w:rsidR="0079785D" w:rsidRPr="00F230B0" w:rsidRDefault="0079785D" w:rsidP="0079785D">
            <w:pPr>
              <w:spacing w:after="0" w:line="240" w:lineRule="auto"/>
              <w:jc w:val="both"/>
              <w:rPr>
                <w:rFonts w:ascii="Arial" w:hAnsi="Arial" w:cs="Arial"/>
                <w:b/>
                <w:sz w:val="18"/>
                <w:szCs w:val="18"/>
              </w:rPr>
            </w:pPr>
          </w:p>
        </w:tc>
        <w:tc>
          <w:tcPr>
            <w:tcW w:w="1255" w:type="dxa"/>
            <w:vMerge/>
          </w:tcPr>
          <w:p w14:paraId="7A7AA6D8" w14:textId="77777777" w:rsidR="0079785D" w:rsidRPr="00F230B0" w:rsidRDefault="0079785D" w:rsidP="0079785D">
            <w:pPr>
              <w:spacing w:after="0" w:line="240" w:lineRule="auto"/>
              <w:jc w:val="both"/>
              <w:rPr>
                <w:rFonts w:ascii="Arial" w:hAnsi="Arial" w:cs="Arial"/>
                <w:b/>
                <w:sz w:val="18"/>
                <w:szCs w:val="18"/>
              </w:rPr>
            </w:pPr>
          </w:p>
        </w:tc>
      </w:tr>
      <w:tr w:rsidR="0079785D" w:rsidRPr="00C766E8" w14:paraId="18ACC721" w14:textId="77777777" w:rsidTr="00F230B0">
        <w:tc>
          <w:tcPr>
            <w:tcW w:w="1975" w:type="dxa"/>
          </w:tcPr>
          <w:p w14:paraId="45568C57" w14:textId="77777777" w:rsidR="0079785D" w:rsidRPr="00F230B0" w:rsidRDefault="006B030F" w:rsidP="0079785D">
            <w:pPr>
              <w:spacing w:after="0" w:line="240" w:lineRule="auto"/>
              <w:jc w:val="both"/>
              <w:rPr>
                <w:rFonts w:ascii="Arial" w:hAnsi="Arial" w:cs="Arial"/>
                <w:sz w:val="18"/>
                <w:szCs w:val="18"/>
              </w:rPr>
            </w:pPr>
            <w:r w:rsidRPr="00F230B0">
              <w:rPr>
                <w:rFonts w:ascii="Arial" w:hAnsi="Arial" w:cs="Arial"/>
                <w:sz w:val="18"/>
                <w:szCs w:val="18"/>
              </w:rPr>
              <w:t xml:space="preserve">California </w:t>
            </w:r>
          </w:p>
        </w:tc>
        <w:tc>
          <w:tcPr>
            <w:tcW w:w="1890" w:type="dxa"/>
          </w:tcPr>
          <w:p w14:paraId="2452C25E" w14:textId="77777777" w:rsidR="0079785D" w:rsidRPr="00F230B0" w:rsidRDefault="006B030F" w:rsidP="0079785D">
            <w:pPr>
              <w:spacing w:after="0" w:line="240" w:lineRule="auto"/>
              <w:jc w:val="both"/>
              <w:rPr>
                <w:rFonts w:ascii="Arial" w:hAnsi="Arial" w:cs="Arial"/>
                <w:sz w:val="18"/>
                <w:szCs w:val="18"/>
              </w:rPr>
            </w:pPr>
            <w:r w:rsidRPr="00F230B0">
              <w:rPr>
                <w:rFonts w:ascii="Arial" w:hAnsi="Arial" w:cs="Arial"/>
                <w:sz w:val="18"/>
                <w:szCs w:val="18"/>
              </w:rPr>
              <w:t>Wadeable streams</w:t>
            </w:r>
          </w:p>
        </w:tc>
        <w:tc>
          <w:tcPr>
            <w:tcW w:w="3420" w:type="dxa"/>
          </w:tcPr>
          <w:p w14:paraId="15F7650C" w14:textId="77777777" w:rsidR="0079785D" w:rsidRPr="00F230B0" w:rsidRDefault="006B030F" w:rsidP="0079785D">
            <w:pPr>
              <w:spacing w:after="0" w:line="240" w:lineRule="auto"/>
              <w:jc w:val="both"/>
              <w:rPr>
                <w:rFonts w:ascii="Arial" w:hAnsi="Arial" w:cs="Arial"/>
                <w:sz w:val="18"/>
                <w:szCs w:val="18"/>
              </w:rPr>
            </w:pPr>
            <w:r w:rsidRPr="00F230B0">
              <w:rPr>
                <w:rFonts w:ascii="Arial" w:hAnsi="Arial" w:cs="Arial"/>
                <w:sz w:val="18"/>
                <w:szCs w:val="18"/>
              </w:rPr>
              <w:t>CSCI and H20 mean change point</w:t>
            </w:r>
          </w:p>
          <w:p w14:paraId="4EEC291E" w14:textId="77777777" w:rsidR="00F230B0" w:rsidRPr="00F230B0" w:rsidRDefault="00F230B0" w:rsidP="0079785D">
            <w:pPr>
              <w:spacing w:after="0" w:line="240" w:lineRule="auto"/>
              <w:jc w:val="both"/>
              <w:rPr>
                <w:rFonts w:ascii="Arial" w:hAnsi="Arial" w:cs="Arial"/>
                <w:sz w:val="18"/>
                <w:szCs w:val="18"/>
              </w:rPr>
            </w:pPr>
            <w:r w:rsidRPr="00F230B0">
              <w:rPr>
                <w:rFonts w:ascii="Arial" w:hAnsi="Arial" w:cs="Arial"/>
                <w:sz w:val="18"/>
                <w:szCs w:val="18"/>
              </w:rPr>
              <w:t>Oxygen saturated Algal spp</w:t>
            </w:r>
          </w:p>
          <w:p w14:paraId="54F240BC" w14:textId="77777777" w:rsidR="00F230B0" w:rsidRPr="00F230B0" w:rsidRDefault="00F230B0" w:rsidP="0079785D">
            <w:pPr>
              <w:spacing w:after="0" w:line="240" w:lineRule="auto"/>
              <w:jc w:val="both"/>
              <w:rPr>
                <w:rFonts w:ascii="Arial" w:hAnsi="Arial" w:cs="Arial"/>
                <w:sz w:val="18"/>
                <w:szCs w:val="18"/>
              </w:rPr>
            </w:pPr>
            <w:r w:rsidRPr="00F230B0">
              <w:rPr>
                <w:rFonts w:ascii="Arial" w:hAnsi="Arial" w:cs="Arial"/>
                <w:sz w:val="18"/>
                <w:szCs w:val="18"/>
              </w:rPr>
              <w:t>Oxygen Depleted Algal spp.</w:t>
            </w:r>
          </w:p>
        </w:tc>
        <w:tc>
          <w:tcPr>
            <w:tcW w:w="1609" w:type="dxa"/>
          </w:tcPr>
          <w:p w14:paraId="6CAA4828" w14:textId="77777777" w:rsidR="0079785D" w:rsidRPr="00F230B0" w:rsidRDefault="006B030F" w:rsidP="0079785D">
            <w:pPr>
              <w:spacing w:after="0" w:line="240" w:lineRule="auto"/>
              <w:jc w:val="both"/>
              <w:rPr>
                <w:rFonts w:ascii="Arial" w:hAnsi="Arial" w:cs="Arial"/>
                <w:sz w:val="18"/>
                <w:szCs w:val="18"/>
              </w:rPr>
            </w:pPr>
            <w:r w:rsidRPr="00F230B0">
              <w:rPr>
                <w:rFonts w:ascii="Arial" w:hAnsi="Arial" w:cs="Arial"/>
                <w:sz w:val="18"/>
                <w:szCs w:val="18"/>
              </w:rPr>
              <w:t>19-40</w:t>
            </w:r>
          </w:p>
          <w:p w14:paraId="5B9F1AE5" w14:textId="77777777" w:rsidR="00F230B0" w:rsidRPr="00F230B0" w:rsidRDefault="00F230B0" w:rsidP="0079785D">
            <w:pPr>
              <w:spacing w:after="0" w:line="240" w:lineRule="auto"/>
              <w:jc w:val="both"/>
              <w:rPr>
                <w:rFonts w:ascii="Arial" w:hAnsi="Arial" w:cs="Arial"/>
                <w:sz w:val="18"/>
                <w:szCs w:val="18"/>
              </w:rPr>
            </w:pPr>
            <w:r w:rsidRPr="00F230B0">
              <w:rPr>
                <w:rFonts w:ascii="Arial" w:hAnsi="Arial" w:cs="Arial"/>
                <w:sz w:val="18"/>
                <w:szCs w:val="18"/>
              </w:rPr>
              <w:t>45</w:t>
            </w:r>
          </w:p>
          <w:p w14:paraId="01D7A07B" w14:textId="77777777" w:rsidR="00F230B0" w:rsidRPr="00F230B0" w:rsidRDefault="00F230B0" w:rsidP="0079785D">
            <w:pPr>
              <w:spacing w:after="0" w:line="240" w:lineRule="auto"/>
              <w:jc w:val="both"/>
              <w:rPr>
                <w:rFonts w:ascii="Arial" w:hAnsi="Arial" w:cs="Arial"/>
                <w:sz w:val="18"/>
                <w:szCs w:val="18"/>
              </w:rPr>
            </w:pPr>
            <w:r w:rsidRPr="00F230B0">
              <w:rPr>
                <w:rFonts w:ascii="Arial" w:hAnsi="Arial" w:cs="Arial"/>
                <w:sz w:val="18"/>
                <w:szCs w:val="18"/>
              </w:rPr>
              <w:t>115</w:t>
            </w:r>
          </w:p>
        </w:tc>
        <w:tc>
          <w:tcPr>
            <w:tcW w:w="1255" w:type="dxa"/>
          </w:tcPr>
          <w:p w14:paraId="483447A1" w14:textId="77777777" w:rsidR="0079785D" w:rsidRPr="00F230B0" w:rsidRDefault="006B030F" w:rsidP="0079785D">
            <w:pPr>
              <w:spacing w:after="0" w:line="240" w:lineRule="auto"/>
              <w:jc w:val="both"/>
              <w:rPr>
                <w:rFonts w:ascii="Arial" w:hAnsi="Arial" w:cs="Arial"/>
                <w:sz w:val="18"/>
                <w:szCs w:val="18"/>
              </w:rPr>
            </w:pPr>
            <w:r w:rsidRPr="00F230B0">
              <w:rPr>
                <w:rFonts w:ascii="Arial" w:hAnsi="Arial" w:cs="Arial"/>
                <w:sz w:val="18"/>
                <w:szCs w:val="18"/>
              </w:rPr>
              <w:t>Fetscher et al. 2014</w:t>
            </w:r>
          </w:p>
        </w:tc>
      </w:tr>
      <w:tr w:rsidR="006B030F" w:rsidRPr="00C766E8" w14:paraId="604A684F" w14:textId="77777777" w:rsidTr="00F230B0">
        <w:tc>
          <w:tcPr>
            <w:tcW w:w="1975" w:type="dxa"/>
          </w:tcPr>
          <w:p w14:paraId="37600D16" w14:textId="77777777" w:rsidR="006B030F" w:rsidRPr="00F230B0" w:rsidRDefault="006B030F" w:rsidP="0079785D">
            <w:pPr>
              <w:spacing w:after="0" w:line="240" w:lineRule="auto"/>
              <w:jc w:val="both"/>
              <w:rPr>
                <w:rFonts w:ascii="Arial" w:hAnsi="Arial" w:cs="Arial"/>
                <w:sz w:val="18"/>
                <w:szCs w:val="18"/>
              </w:rPr>
            </w:pPr>
            <w:r w:rsidRPr="00F230B0">
              <w:rPr>
                <w:rFonts w:ascii="Arial" w:hAnsi="Arial" w:cs="Arial"/>
                <w:sz w:val="18"/>
                <w:szCs w:val="18"/>
              </w:rPr>
              <w:t>New Zealand</w:t>
            </w:r>
          </w:p>
        </w:tc>
        <w:tc>
          <w:tcPr>
            <w:tcW w:w="1890" w:type="dxa"/>
          </w:tcPr>
          <w:p w14:paraId="7AE2E57F" w14:textId="77777777" w:rsidR="006B030F" w:rsidRPr="00F230B0" w:rsidRDefault="006B030F" w:rsidP="0079785D">
            <w:pPr>
              <w:spacing w:after="0" w:line="240" w:lineRule="auto"/>
              <w:jc w:val="both"/>
              <w:rPr>
                <w:rFonts w:ascii="Arial" w:hAnsi="Arial" w:cs="Arial"/>
                <w:sz w:val="18"/>
                <w:szCs w:val="18"/>
              </w:rPr>
            </w:pPr>
            <w:r w:rsidRPr="00F230B0">
              <w:rPr>
                <w:rFonts w:ascii="Arial" w:hAnsi="Arial" w:cs="Arial"/>
                <w:sz w:val="18"/>
                <w:szCs w:val="18"/>
              </w:rPr>
              <w:t>Wadeable streams</w:t>
            </w:r>
          </w:p>
        </w:tc>
        <w:tc>
          <w:tcPr>
            <w:tcW w:w="3420" w:type="dxa"/>
          </w:tcPr>
          <w:p w14:paraId="6D8B378A" w14:textId="77777777" w:rsidR="006B030F" w:rsidRPr="00F230B0" w:rsidRDefault="006B030F" w:rsidP="0079785D">
            <w:pPr>
              <w:spacing w:after="0" w:line="240" w:lineRule="auto"/>
              <w:jc w:val="both"/>
              <w:rPr>
                <w:rFonts w:ascii="Arial" w:hAnsi="Arial" w:cs="Arial"/>
                <w:sz w:val="18"/>
                <w:szCs w:val="18"/>
              </w:rPr>
            </w:pPr>
            <w:r w:rsidRPr="00F230B0">
              <w:rPr>
                <w:rFonts w:ascii="Arial" w:hAnsi="Arial" w:cs="Arial"/>
                <w:sz w:val="18"/>
                <w:szCs w:val="18"/>
              </w:rPr>
              <w:t>50% reduction EPT taxa</w:t>
            </w:r>
            <w:r w:rsidR="00F230B0" w:rsidRPr="00F230B0">
              <w:rPr>
                <w:rFonts w:ascii="Arial" w:hAnsi="Arial" w:cs="Arial"/>
                <w:sz w:val="18"/>
                <w:szCs w:val="18"/>
              </w:rPr>
              <w:t>, Mean monthly</w:t>
            </w:r>
          </w:p>
          <w:p w14:paraId="10DE9376" w14:textId="77777777" w:rsidR="00F230B0" w:rsidRPr="00F230B0" w:rsidRDefault="00F230B0" w:rsidP="0079785D">
            <w:pPr>
              <w:spacing w:after="0" w:line="240" w:lineRule="auto"/>
              <w:jc w:val="both"/>
              <w:rPr>
                <w:rFonts w:ascii="Arial" w:hAnsi="Arial" w:cs="Arial"/>
                <w:sz w:val="18"/>
                <w:szCs w:val="18"/>
              </w:rPr>
            </w:pPr>
            <w:r w:rsidRPr="00F230B0">
              <w:rPr>
                <w:rFonts w:ascii="Arial" w:hAnsi="Arial" w:cs="Arial"/>
                <w:sz w:val="18"/>
                <w:szCs w:val="18"/>
              </w:rPr>
              <w:t xml:space="preserve">High quality trout fisheries </w:t>
            </w:r>
          </w:p>
        </w:tc>
        <w:tc>
          <w:tcPr>
            <w:tcW w:w="1609" w:type="dxa"/>
          </w:tcPr>
          <w:p w14:paraId="45CBBFC1" w14:textId="77777777" w:rsidR="006B030F" w:rsidRPr="00F230B0" w:rsidRDefault="006B030F" w:rsidP="0079785D">
            <w:pPr>
              <w:spacing w:after="0" w:line="240" w:lineRule="auto"/>
              <w:jc w:val="both"/>
              <w:rPr>
                <w:rFonts w:ascii="Arial" w:hAnsi="Arial" w:cs="Arial"/>
                <w:sz w:val="18"/>
                <w:szCs w:val="18"/>
              </w:rPr>
            </w:pPr>
            <w:r w:rsidRPr="00F230B0">
              <w:rPr>
                <w:rFonts w:ascii="Arial" w:hAnsi="Arial" w:cs="Arial"/>
                <w:sz w:val="18"/>
                <w:szCs w:val="18"/>
              </w:rPr>
              <w:t>13-20</w:t>
            </w:r>
          </w:p>
          <w:p w14:paraId="34881732" w14:textId="77777777" w:rsidR="00F230B0" w:rsidRPr="00F230B0" w:rsidRDefault="00F230B0" w:rsidP="0079785D">
            <w:pPr>
              <w:spacing w:after="0" w:line="240" w:lineRule="auto"/>
              <w:jc w:val="both"/>
              <w:rPr>
                <w:rFonts w:ascii="Arial" w:hAnsi="Arial" w:cs="Arial"/>
                <w:sz w:val="18"/>
                <w:szCs w:val="18"/>
              </w:rPr>
            </w:pPr>
          </w:p>
          <w:p w14:paraId="63EEA8F6" w14:textId="77777777" w:rsidR="00F230B0" w:rsidRPr="00F230B0" w:rsidRDefault="00F230B0" w:rsidP="0079785D">
            <w:pPr>
              <w:spacing w:after="0" w:line="240" w:lineRule="auto"/>
              <w:jc w:val="both"/>
              <w:rPr>
                <w:rFonts w:ascii="Arial" w:hAnsi="Arial" w:cs="Arial"/>
                <w:sz w:val="18"/>
                <w:szCs w:val="18"/>
              </w:rPr>
            </w:pPr>
            <w:r w:rsidRPr="00F230B0">
              <w:rPr>
                <w:rFonts w:ascii="Arial" w:hAnsi="Arial" w:cs="Arial"/>
                <w:sz w:val="18"/>
                <w:szCs w:val="18"/>
              </w:rPr>
              <w:t>Mean of 23, with maximum of 171</w:t>
            </w:r>
          </w:p>
        </w:tc>
        <w:tc>
          <w:tcPr>
            <w:tcW w:w="1255" w:type="dxa"/>
          </w:tcPr>
          <w:p w14:paraId="55D4D05D" w14:textId="77777777" w:rsidR="006B030F" w:rsidRPr="00F230B0" w:rsidRDefault="006B030F" w:rsidP="0079785D">
            <w:pPr>
              <w:spacing w:after="0" w:line="240" w:lineRule="auto"/>
              <w:jc w:val="both"/>
              <w:rPr>
                <w:rFonts w:ascii="Arial" w:hAnsi="Arial" w:cs="Arial"/>
                <w:sz w:val="18"/>
                <w:szCs w:val="18"/>
              </w:rPr>
            </w:pPr>
            <w:r w:rsidRPr="00F230B0">
              <w:rPr>
                <w:rFonts w:ascii="Arial" w:hAnsi="Arial" w:cs="Arial"/>
                <w:sz w:val="18"/>
                <w:szCs w:val="18"/>
              </w:rPr>
              <w:t>Biggs 2000</w:t>
            </w:r>
          </w:p>
        </w:tc>
      </w:tr>
      <w:tr w:rsidR="006B030F" w:rsidRPr="00C766E8" w14:paraId="47EAE725" w14:textId="77777777" w:rsidTr="00F230B0">
        <w:tc>
          <w:tcPr>
            <w:tcW w:w="1975" w:type="dxa"/>
          </w:tcPr>
          <w:p w14:paraId="21908773" w14:textId="77777777" w:rsidR="006B030F" w:rsidRPr="00F230B0" w:rsidRDefault="006B030F" w:rsidP="0079785D">
            <w:pPr>
              <w:spacing w:after="0" w:line="240" w:lineRule="auto"/>
              <w:jc w:val="both"/>
              <w:rPr>
                <w:rFonts w:ascii="Arial" w:hAnsi="Arial" w:cs="Arial"/>
                <w:sz w:val="18"/>
                <w:szCs w:val="18"/>
              </w:rPr>
            </w:pPr>
          </w:p>
        </w:tc>
        <w:tc>
          <w:tcPr>
            <w:tcW w:w="1890" w:type="dxa"/>
          </w:tcPr>
          <w:p w14:paraId="40A91E12" w14:textId="77777777" w:rsidR="006B030F" w:rsidRPr="00F230B0" w:rsidRDefault="006B030F" w:rsidP="0079785D">
            <w:pPr>
              <w:spacing w:after="0" w:line="240" w:lineRule="auto"/>
              <w:jc w:val="both"/>
              <w:rPr>
                <w:rFonts w:ascii="Arial" w:hAnsi="Arial" w:cs="Arial"/>
                <w:sz w:val="18"/>
                <w:szCs w:val="18"/>
              </w:rPr>
            </w:pPr>
            <w:r w:rsidRPr="00F230B0">
              <w:rPr>
                <w:rFonts w:ascii="Arial" w:hAnsi="Arial" w:cs="Arial"/>
                <w:sz w:val="18"/>
                <w:szCs w:val="18"/>
              </w:rPr>
              <w:t>Blue Earth River (site specific</w:t>
            </w:r>
          </w:p>
        </w:tc>
        <w:tc>
          <w:tcPr>
            <w:tcW w:w="3420" w:type="dxa"/>
          </w:tcPr>
          <w:p w14:paraId="32F36378" w14:textId="77777777" w:rsidR="006B030F" w:rsidRPr="00F230B0" w:rsidRDefault="006B030F" w:rsidP="0079785D">
            <w:pPr>
              <w:spacing w:after="0" w:line="240" w:lineRule="auto"/>
              <w:jc w:val="both"/>
              <w:rPr>
                <w:rFonts w:ascii="Arial" w:hAnsi="Arial" w:cs="Arial"/>
                <w:sz w:val="18"/>
                <w:szCs w:val="18"/>
              </w:rPr>
            </w:pPr>
            <w:r w:rsidRPr="00F230B0">
              <w:rPr>
                <w:rFonts w:ascii="Arial" w:hAnsi="Arial" w:cs="Arial"/>
                <w:sz w:val="18"/>
                <w:szCs w:val="18"/>
              </w:rPr>
              <w:t>Low percentage of cyanobacterial abundance</w:t>
            </w:r>
          </w:p>
        </w:tc>
        <w:tc>
          <w:tcPr>
            <w:tcW w:w="1609" w:type="dxa"/>
          </w:tcPr>
          <w:p w14:paraId="3E3BBEA5" w14:textId="77777777" w:rsidR="006B030F" w:rsidRPr="00F230B0" w:rsidRDefault="006B030F" w:rsidP="0079785D">
            <w:pPr>
              <w:spacing w:after="0" w:line="240" w:lineRule="auto"/>
              <w:jc w:val="both"/>
              <w:rPr>
                <w:rFonts w:ascii="Arial" w:hAnsi="Arial" w:cs="Arial"/>
                <w:sz w:val="18"/>
                <w:szCs w:val="18"/>
              </w:rPr>
            </w:pPr>
            <w:r w:rsidRPr="00F230B0">
              <w:rPr>
                <w:rFonts w:ascii="Arial" w:hAnsi="Arial" w:cs="Arial"/>
                <w:sz w:val="18"/>
                <w:szCs w:val="18"/>
              </w:rPr>
              <w:t xml:space="preserve">40 </w:t>
            </w:r>
          </w:p>
        </w:tc>
        <w:tc>
          <w:tcPr>
            <w:tcW w:w="1255" w:type="dxa"/>
          </w:tcPr>
          <w:p w14:paraId="150DA7CC" w14:textId="77777777" w:rsidR="006B030F" w:rsidRPr="00F230B0" w:rsidRDefault="006B030F" w:rsidP="0079785D">
            <w:pPr>
              <w:spacing w:after="0" w:line="240" w:lineRule="auto"/>
              <w:jc w:val="both"/>
              <w:rPr>
                <w:rFonts w:ascii="Arial" w:hAnsi="Arial" w:cs="Arial"/>
                <w:sz w:val="18"/>
                <w:szCs w:val="18"/>
              </w:rPr>
            </w:pPr>
            <w:r w:rsidRPr="00F230B0">
              <w:rPr>
                <w:rFonts w:ascii="Arial" w:hAnsi="Arial" w:cs="Arial"/>
                <w:sz w:val="18"/>
                <w:szCs w:val="18"/>
              </w:rPr>
              <w:t>Carleton et al. 2009</w:t>
            </w:r>
          </w:p>
        </w:tc>
      </w:tr>
      <w:tr w:rsidR="0079785D" w:rsidRPr="00C766E8" w14:paraId="6E8ECE7D" w14:textId="77777777" w:rsidTr="00F230B0">
        <w:tc>
          <w:tcPr>
            <w:tcW w:w="1975" w:type="dxa"/>
          </w:tcPr>
          <w:p w14:paraId="19B24C76" w14:textId="77777777" w:rsidR="0079785D" w:rsidRPr="00F230B0" w:rsidRDefault="0079785D" w:rsidP="0079785D">
            <w:pPr>
              <w:spacing w:after="0" w:line="240" w:lineRule="auto"/>
              <w:jc w:val="both"/>
              <w:rPr>
                <w:rFonts w:ascii="Arial" w:hAnsi="Arial" w:cs="Arial"/>
                <w:sz w:val="18"/>
                <w:szCs w:val="18"/>
              </w:rPr>
            </w:pPr>
            <w:r w:rsidRPr="00F230B0">
              <w:rPr>
                <w:rFonts w:ascii="Arial" w:hAnsi="Arial" w:cs="Arial"/>
                <w:sz w:val="18"/>
                <w:szCs w:val="18"/>
              </w:rPr>
              <w:t>North American Streams and Rivers</w:t>
            </w:r>
          </w:p>
        </w:tc>
        <w:tc>
          <w:tcPr>
            <w:tcW w:w="1890" w:type="dxa"/>
          </w:tcPr>
          <w:p w14:paraId="682C126C" w14:textId="77777777" w:rsidR="0079785D" w:rsidRPr="00F230B0" w:rsidRDefault="0079785D" w:rsidP="0079785D">
            <w:pPr>
              <w:spacing w:after="0" w:line="240" w:lineRule="auto"/>
              <w:jc w:val="both"/>
              <w:rPr>
                <w:rFonts w:ascii="Arial" w:hAnsi="Arial" w:cs="Arial"/>
                <w:sz w:val="18"/>
                <w:szCs w:val="18"/>
              </w:rPr>
            </w:pPr>
            <w:r w:rsidRPr="00F230B0">
              <w:rPr>
                <w:rFonts w:ascii="Arial" w:hAnsi="Arial" w:cs="Arial"/>
                <w:sz w:val="18"/>
                <w:szCs w:val="18"/>
              </w:rPr>
              <w:t>Oligotrophic</w:t>
            </w:r>
          </w:p>
          <w:p w14:paraId="7DCBA4FA" w14:textId="77777777" w:rsidR="0079785D" w:rsidRPr="00F230B0" w:rsidRDefault="0079785D" w:rsidP="0079785D">
            <w:pPr>
              <w:spacing w:after="0" w:line="240" w:lineRule="auto"/>
              <w:jc w:val="both"/>
              <w:rPr>
                <w:rFonts w:ascii="Arial" w:hAnsi="Arial" w:cs="Arial"/>
                <w:sz w:val="18"/>
                <w:szCs w:val="18"/>
              </w:rPr>
            </w:pPr>
            <w:r w:rsidRPr="00F230B0">
              <w:rPr>
                <w:rFonts w:ascii="Arial" w:hAnsi="Arial" w:cs="Arial"/>
                <w:sz w:val="18"/>
                <w:szCs w:val="18"/>
              </w:rPr>
              <w:t>Mesotrophic</w:t>
            </w:r>
          </w:p>
          <w:p w14:paraId="088512AB" w14:textId="77777777" w:rsidR="0079785D" w:rsidRPr="00F230B0" w:rsidRDefault="0079785D" w:rsidP="0079785D">
            <w:pPr>
              <w:spacing w:after="0" w:line="240" w:lineRule="auto"/>
              <w:jc w:val="both"/>
              <w:rPr>
                <w:rFonts w:ascii="Arial" w:hAnsi="Arial" w:cs="Arial"/>
                <w:sz w:val="18"/>
                <w:szCs w:val="18"/>
              </w:rPr>
            </w:pPr>
            <w:r w:rsidRPr="00F230B0">
              <w:rPr>
                <w:rFonts w:ascii="Arial" w:hAnsi="Arial" w:cs="Arial"/>
                <w:sz w:val="18"/>
                <w:szCs w:val="18"/>
              </w:rPr>
              <w:t>Eutrophic</w:t>
            </w:r>
          </w:p>
        </w:tc>
        <w:tc>
          <w:tcPr>
            <w:tcW w:w="3420" w:type="dxa"/>
          </w:tcPr>
          <w:p w14:paraId="7429E9BB" w14:textId="77777777" w:rsidR="0079785D" w:rsidRPr="00F230B0" w:rsidRDefault="0079785D" w:rsidP="0079785D">
            <w:pPr>
              <w:spacing w:after="0" w:line="240" w:lineRule="auto"/>
              <w:jc w:val="both"/>
              <w:rPr>
                <w:rFonts w:ascii="Arial" w:hAnsi="Arial" w:cs="Arial"/>
                <w:sz w:val="18"/>
                <w:szCs w:val="18"/>
              </w:rPr>
            </w:pPr>
            <w:r w:rsidRPr="00F230B0">
              <w:rPr>
                <w:rFonts w:ascii="Arial" w:hAnsi="Arial" w:cs="Arial"/>
                <w:sz w:val="18"/>
                <w:szCs w:val="18"/>
              </w:rPr>
              <w:t>Reference based approach, based on data distribution of full disturbance gradient</w:t>
            </w:r>
            <w:r w:rsidR="002C0075" w:rsidRPr="00F230B0">
              <w:rPr>
                <w:rFonts w:ascii="Arial" w:hAnsi="Arial" w:cs="Arial"/>
                <w:sz w:val="18"/>
                <w:szCs w:val="18"/>
              </w:rPr>
              <w:t>; mean values</w:t>
            </w:r>
          </w:p>
        </w:tc>
        <w:tc>
          <w:tcPr>
            <w:tcW w:w="1609" w:type="dxa"/>
          </w:tcPr>
          <w:p w14:paraId="06F8B34F" w14:textId="77777777" w:rsidR="0079785D" w:rsidRPr="00F230B0" w:rsidRDefault="002C0075" w:rsidP="0079785D">
            <w:pPr>
              <w:spacing w:after="0" w:line="240" w:lineRule="auto"/>
              <w:jc w:val="both"/>
              <w:rPr>
                <w:rFonts w:ascii="Arial" w:hAnsi="Arial" w:cs="Arial"/>
                <w:sz w:val="18"/>
                <w:szCs w:val="18"/>
              </w:rPr>
            </w:pPr>
            <w:r w:rsidRPr="00F230B0">
              <w:rPr>
                <w:rFonts w:ascii="Arial" w:hAnsi="Arial" w:cs="Arial"/>
                <w:sz w:val="18"/>
                <w:szCs w:val="18"/>
              </w:rPr>
              <w:t>&lt;20</w:t>
            </w:r>
          </w:p>
          <w:p w14:paraId="0E03814B" w14:textId="77777777" w:rsidR="002C0075" w:rsidRPr="00F230B0" w:rsidRDefault="002C0075" w:rsidP="0079785D">
            <w:pPr>
              <w:spacing w:after="0" w:line="240" w:lineRule="auto"/>
              <w:jc w:val="both"/>
              <w:rPr>
                <w:rFonts w:ascii="Arial" w:hAnsi="Arial" w:cs="Arial"/>
                <w:sz w:val="18"/>
                <w:szCs w:val="18"/>
              </w:rPr>
            </w:pPr>
            <w:r w:rsidRPr="00F230B0">
              <w:rPr>
                <w:rFonts w:ascii="Arial" w:hAnsi="Arial" w:cs="Arial"/>
                <w:sz w:val="18"/>
                <w:szCs w:val="18"/>
              </w:rPr>
              <w:t>20-70</w:t>
            </w:r>
          </w:p>
          <w:p w14:paraId="3783D870" w14:textId="77777777" w:rsidR="002C0075" w:rsidRPr="00F230B0" w:rsidRDefault="002C0075" w:rsidP="0079785D">
            <w:pPr>
              <w:spacing w:after="0" w:line="240" w:lineRule="auto"/>
              <w:jc w:val="both"/>
              <w:rPr>
                <w:rFonts w:ascii="Arial" w:hAnsi="Arial" w:cs="Arial"/>
                <w:sz w:val="18"/>
                <w:szCs w:val="18"/>
              </w:rPr>
            </w:pPr>
            <w:r w:rsidRPr="00F230B0">
              <w:rPr>
                <w:rFonts w:ascii="Arial" w:hAnsi="Arial" w:cs="Arial"/>
                <w:sz w:val="18"/>
                <w:szCs w:val="18"/>
              </w:rPr>
              <w:t>&gt;70</w:t>
            </w:r>
          </w:p>
        </w:tc>
        <w:tc>
          <w:tcPr>
            <w:tcW w:w="1255" w:type="dxa"/>
          </w:tcPr>
          <w:p w14:paraId="58131162" w14:textId="77777777" w:rsidR="0079785D" w:rsidRPr="00F230B0" w:rsidRDefault="0079785D" w:rsidP="0079785D">
            <w:pPr>
              <w:spacing w:after="0" w:line="240" w:lineRule="auto"/>
              <w:jc w:val="both"/>
              <w:rPr>
                <w:rFonts w:ascii="Arial" w:hAnsi="Arial" w:cs="Arial"/>
                <w:sz w:val="18"/>
                <w:szCs w:val="18"/>
              </w:rPr>
            </w:pPr>
            <w:r w:rsidRPr="00F230B0">
              <w:rPr>
                <w:rFonts w:ascii="Arial" w:hAnsi="Arial" w:cs="Arial"/>
                <w:sz w:val="18"/>
                <w:szCs w:val="18"/>
              </w:rPr>
              <w:t>Dodds et al. (1988)</w:t>
            </w:r>
          </w:p>
        </w:tc>
      </w:tr>
      <w:tr w:rsidR="0079785D" w:rsidRPr="00C766E8" w14:paraId="51408FE0" w14:textId="77777777" w:rsidTr="00F230B0">
        <w:tc>
          <w:tcPr>
            <w:tcW w:w="1975" w:type="dxa"/>
          </w:tcPr>
          <w:p w14:paraId="77949535" w14:textId="77777777" w:rsidR="0079785D" w:rsidRPr="00F230B0" w:rsidRDefault="0079785D" w:rsidP="0079785D">
            <w:pPr>
              <w:spacing w:after="0" w:line="240" w:lineRule="auto"/>
              <w:jc w:val="both"/>
              <w:rPr>
                <w:rFonts w:ascii="Arial" w:hAnsi="Arial" w:cs="Arial"/>
                <w:sz w:val="18"/>
                <w:szCs w:val="18"/>
              </w:rPr>
            </w:pPr>
            <w:r w:rsidRPr="00F230B0">
              <w:rPr>
                <w:rFonts w:ascii="Arial" w:hAnsi="Arial" w:cs="Arial"/>
                <w:sz w:val="18"/>
                <w:szCs w:val="18"/>
              </w:rPr>
              <w:t xml:space="preserve">Indiana </w:t>
            </w:r>
          </w:p>
        </w:tc>
        <w:tc>
          <w:tcPr>
            <w:tcW w:w="1890" w:type="dxa"/>
          </w:tcPr>
          <w:p w14:paraId="1A2CFF94" w14:textId="77777777" w:rsidR="0079785D" w:rsidRPr="00F230B0" w:rsidRDefault="0079785D" w:rsidP="0079785D">
            <w:pPr>
              <w:spacing w:after="0" w:line="240" w:lineRule="auto"/>
              <w:jc w:val="both"/>
              <w:rPr>
                <w:rFonts w:ascii="Arial" w:hAnsi="Arial" w:cs="Arial"/>
                <w:sz w:val="18"/>
                <w:szCs w:val="18"/>
              </w:rPr>
            </w:pPr>
            <w:r w:rsidRPr="00F230B0">
              <w:rPr>
                <w:rFonts w:ascii="Arial" w:hAnsi="Arial" w:cs="Arial"/>
                <w:sz w:val="18"/>
                <w:szCs w:val="18"/>
              </w:rPr>
              <w:t>wadeable streams</w:t>
            </w:r>
          </w:p>
        </w:tc>
        <w:tc>
          <w:tcPr>
            <w:tcW w:w="3420" w:type="dxa"/>
          </w:tcPr>
          <w:p w14:paraId="4B5584D7" w14:textId="77777777" w:rsidR="0079785D" w:rsidRPr="00F230B0" w:rsidRDefault="0079785D" w:rsidP="0079785D">
            <w:pPr>
              <w:spacing w:after="0" w:line="240" w:lineRule="auto"/>
              <w:jc w:val="both"/>
              <w:rPr>
                <w:rFonts w:ascii="Arial" w:hAnsi="Arial" w:cs="Arial"/>
                <w:sz w:val="18"/>
                <w:szCs w:val="18"/>
              </w:rPr>
            </w:pPr>
            <w:r w:rsidRPr="00F230B0">
              <w:rPr>
                <w:rFonts w:ascii="Arial" w:hAnsi="Arial" w:cs="Arial"/>
                <w:sz w:val="18"/>
                <w:szCs w:val="18"/>
              </w:rPr>
              <w:t>Invertebrate and fish community metrics</w:t>
            </w:r>
          </w:p>
          <w:p w14:paraId="2AD60F2A" w14:textId="77777777" w:rsidR="00F230B0" w:rsidRDefault="00F230B0" w:rsidP="0079785D">
            <w:pPr>
              <w:spacing w:after="0" w:line="240" w:lineRule="auto"/>
              <w:jc w:val="both"/>
              <w:rPr>
                <w:rFonts w:ascii="Arial" w:hAnsi="Arial" w:cs="Arial"/>
                <w:sz w:val="18"/>
                <w:szCs w:val="18"/>
              </w:rPr>
            </w:pPr>
          </w:p>
          <w:p w14:paraId="711076AD" w14:textId="77777777" w:rsidR="0079785D" w:rsidRPr="00F230B0" w:rsidRDefault="0079785D" w:rsidP="0079785D">
            <w:pPr>
              <w:spacing w:after="0" w:line="240" w:lineRule="auto"/>
              <w:jc w:val="both"/>
              <w:rPr>
                <w:rFonts w:ascii="Arial" w:hAnsi="Arial" w:cs="Arial"/>
                <w:sz w:val="18"/>
                <w:szCs w:val="18"/>
              </w:rPr>
            </w:pPr>
            <w:r w:rsidRPr="00F230B0">
              <w:rPr>
                <w:rFonts w:ascii="Arial" w:hAnsi="Arial" w:cs="Arial"/>
                <w:sz w:val="18"/>
                <w:szCs w:val="18"/>
              </w:rPr>
              <w:t>EPT Taxa</w:t>
            </w:r>
          </w:p>
        </w:tc>
        <w:tc>
          <w:tcPr>
            <w:tcW w:w="1609" w:type="dxa"/>
          </w:tcPr>
          <w:p w14:paraId="1FA5C26F" w14:textId="77777777" w:rsidR="0079785D" w:rsidRPr="00F230B0" w:rsidRDefault="0079785D" w:rsidP="0079785D">
            <w:pPr>
              <w:spacing w:after="0" w:line="240" w:lineRule="auto"/>
              <w:jc w:val="both"/>
              <w:rPr>
                <w:rFonts w:ascii="Arial" w:hAnsi="Arial" w:cs="Arial"/>
                <w:sz w:val="18"/>
                <w:szCs w:val="18"/>
              </w:rPr>
            </w:pPr>
            <w:r w:rsidRPr="00F230B0">
              <w:rPr>
                <w:rFonts w:ascii="Arial" w:hAnsi="Arial" w:cs="Arial"/>
                <w:sz w:val="18"/>
                <w:szCs w:val="18"/>
              </w:rPr>
              <w:t>20.9 mean low</w:t>
            </w:r>
          </w:p>
          <w:p w14:paraId="3520F245" w14:textId="77777777" w:rsidR="0079785D" w:rsidRPr="00F230B0" w:rsidRDefault="0079785D" w:rsidP="0079785D">
            <w:pPr>
              <w:spacing w:after="0" w:line="240" w:lineRule="auto"/>
              <w:jc w:val="both"/>
              <w:rPr>
                <w:rFonts w:ascii="Arial" w:hAnsi="Arial" w:cs="Arial"/>
                <w:sz w:val="18"/>
                <w:szCs w:val="18"/>
              </w:rPr>
            </w:pPr>
            <w:r w:rsidRPr="00F230B0">
              <w:rPr>
                <w:rFonts w:ascii="Arial" w:hAnsi="Arial" w:cs="Arial"/>
                <w:sz w:val="18"/>
                <w:szCs w:val="18"/>
              </w:rPr>
              <w:t>98.6 mean high</w:t>
            </w:r>
          </w:p>
          <w:p w14:paraId="4BFB01A7" w14:textId="77777777" w:rsidR="0079785D" w:rsidRPr="00F230B0" w:rsidRDefault="0079785D" w:rsidP="0079785D">
            <w:pPr>
              <w:spacing w:after="0" w:line="240" w:lineRule="auto"/>
              <w:jc w:val="both"/>
              <w:rPr>
                <w:rFonts w:ascii="Arial" w:hAnsi="Arial" w:cs="Arial"/>
                <w:sz w:val="18"/>
                <w:szCs w:val="18"/>
              </w:rPr>
            </w:pPr>
            <w:r w:rsidRPr="00F230B0">
              <w:rPr>
                <w:rFonts w:ascii="Arial" w:hAnsi="Arial" w:cs="Arial"/>
                <w:sz w:val="18"/>
                <w:szCs w:val="18"/>
              </w:rPr>
              <w:t>27.2</w:t>
            </w:r>
          </w:p>
        </w:tc>
        <w:tc>
          <w:tcPr>
            <w:tcW w:w="1255" w:type="dxa"/>
          </w:tcPr>
          <w:p w14:paraId="777B5388" w14:textId="77777777" w:rsidR="0079785D" w:rsidRPr="00F230B0" w:rsidRDefault="0079785D" w:rsidP="0079785D">
            <w:pPr>
              <w:spacing w:after="0" w:line="240" w:lineRule="auto"/>
              <w:jc w:val="both"/>
              <w:rPr>
                <w:rFonts w:ascii="Arial" w:hAnsi="Arial" w:cs="Arial"/>
                <w:sz w:val="18"/>
                <w:szCs w:val="18"/>
              </w:rPr>
            </w:pPr>
            <w:r w:rsidRPr="00F230B0">
              <w:rPr>
                <w:rFonts w:ascii="Arial" w:hAnsi="Arial" w:cs="Arial"/>
                <w:sz w:val="18"/>
                <w:szCs w:val="18"/>
              </w:rPr>
              <w:t xml:space="preserve">Caskey et al. 2005 </w:t>
            </w:r>
          </w:p>
        </w:tc>
      </w:tr>
    </w:tbl>
    <w:p w14:paraId="34DC6DCD" w14:textId="77777777" w:rsidR="00446562" w:rsidRPr="005C61BF" w:rsidRDefault="00446562" w:rsidP="00F25BA4">
      <w:pPr>
        <w:pStyle w:val="TOT"/>
        <w:rPr>
          <w:highlight w:val="yellow"/>
        </w:rPr>
      </w:pPr>
    </w:p>
    <w:p w14:paraId="076D1AC2" w14:textId="36A0679B" w:rsidR="001A6DC5" w:rsidRDefault="001A6DC5" w:rsidP="001A6DC5">
      <w:r w:rsidRPr="00CF3401">
        <w:t xml:space="preserve">As with benthic </w:t>
      </w:r>
      <w:r>
        <w:t>chl</w:t>
      </w:r>
      <w:r w:rsidRPr="00CF3401">
        <w:t xml:space="preserve">-a, peer-reviewed literature provided little in the way of examples of wadeable stream studies using quantitative methods to detect AFDM thresholds of effect on BMI and algal </w:t>
      </w:r>
      <w:r>
        <w:t>assemblage</w:t>
      </w:r>
      <w:r w:rsidRPr="00CF3401">
        <w:t xml:space="preserve"> structure. The range found to be protective of 90</w:t>
      </w:r>
      <w:r w:rsidRPr="00AA0B5E">
        <w:rPr>
          <w:vertAlign w:val="superscript"/>
        </w:rPr>
        <w:t>th</w:t>
      </w:r>
      <w:r>
        <w:t xml:space="preserve"> </w:t>
      </w:r>
      <w:r w:rsidRPr="00CF3401">
        <w:t xml:space="preserve">percentile of CSCI and ASCI reference </w:t>
      </w:r>
      <w:r>
        <w:t>was</w:t>
      </w:r>
      <w:r w:rsidRPr="00CF3401">
        <w:t xml:space="preserve"> greater than that of Biggs (2000), in which a 50% reduction in the number of EPT taxa was found to correspond to AFDM levels &gt; 5 g/m</w:t>
      </w:r>
      <w:r w:rsidRPr="00AA0B5E">
        <w:rPr>
          <w:vertAlign w:val="superscript"/>
        </w:rPr>
        <w:t>2</w:t>
      </w:r>
      <w:r w:rsidRPr="00CF3401">
        <w:t xml:space="preserve">, with similar caveats as those stated above regarding </w:t>
      </w:r>
      <w:r>
        <w:t>difference in mean monthly versus maximum</w:t>
      </w:r>
      <w:r w:rsidRPr="00CF3401">
        <w:t>. It is worth noting that Biggs (2000a) does not recommend specific criteria for AFDM, because “AFDM is more prone to large measurement error with low biomass accrual.” It may be advisable to</w:t>
      </w:r>
      <w:r w:rsidR="00A6560D">
        <w:t xml:space="preserve">: 1) </w:t>
      </w:r>
      <w:r w:rsidR="00F230B0">
        <w:t>consider how to use AFDM in multiple lines of evidence, particularly at low end of the disturbance gradient</w:t>
      </w:r>
      <w:r w:rsidR="00A6560D">
        <w:t xml:space="preserve">, particularly in Desert Modoc and South Coast, where reference ranges overlap with ALU and changepoint analyses, and 2) </w:t>
      </w:r>
      <w:r w:rsidRPr="00CF3401">
        <w:t xml:space="preserve">move California’s PSA program toward piloting a carbon-enrichment measure that provides information on carbon source as well as biomass. For example, benthic </w:t>
      </w:r>
      <w:r w:rsidR="005011E3" w:rsidRPr="00CF3401">
        <w:t>C: N</w:t>
      </w:r>
      <w:r w:rsidRPr="00CF3401">
        <w:t xml:space="preserve"> ratio can be used to indicate algal (labile) versus terrestrial (refractory) sources of carbon to sediments (</w:t>
      </w:r>
      <w:r w:rsidR="005011E3" w:rsidRPr="00CF3401">
        <w:t>e.g., Ruttenberg</w:t>
      </w:r>
      <w:r w:rsidRPr="00CF3401">
        <w:t xml:space="preserve"> and Goñi 1997).  </w:t>
      </w:r>
    </w:p>
    <w:p w14:paraId="7FA82A50" w14:textId="77777777" w:rsidR="00F81CA7" w:rsidRDefault="00F81CA7" w:rsidP="00F81CA7">
      <w:pPr>
        <w:pStyle w:val="Heading2"/>
      </w:pPr>
      <w:bookmarkStart w:id="143" w:name="_Toc526505133"/>
      <w:r>
        <w:t>3.3 Other Biostimulatory Thresholds Protective of Aquatic Life Use</w:t>
      </w:r>
      <w:r w:rsidR="00F6386D">
        <w:t>s</w:t>
      </w:r>
      <w:bookmarkEnd w:id="143"/>
      <w:r>
        <w:t xml:space="preserve"> </w:t>
      </w:r>
    </w:p>
    <w:p w14:paraId="716C34D9" w14:textId="77777777" w:rsidR="005C61BF" w:rsidRDefault="005C61BF" w:rsidP="005C61BF">
      <w:pPr>
        <w:pStyle w:val="Heading3"/>
      </w:pPr>
      <w:bookmarkStart w:id="144" w:name="_Toc526505134"/>
      <w:r>
        <w:t>3.3.1 Sestonic (Water Column) Chl-a</w:t>
      </w:r>
      <w:r w:rsidR="00984CA7">
        <w:t xml:space="preserve"> and Associated TN and TP Thresholds</w:t>
      </w:r>
      <w:bookmarkEnd w:id="144"/>
    </w:p>
    <w:p w14:paraId="5F34575A" w14:textId="471E6F23" w:rsidR="0052704A" w:rsidRDefault="001140EE" w:rsidP="0052704A">
      <w:pPr>
        <w:jc w:val="both"/>
      </w:pPr>
      <w:r w:rsidRPr="00436A48">
        <w:t xml:space="preserve">Most </w:t>
      </w:r>
      <w:r>
        <w:t>wadeable streams in California</w:t>
      </w:r>
      <w:r w:rsidRPr="00436A48">
        <w:t xml:space="preserve"> typically do not develop such high phytoplanktonic biomass due to a combination of residence time and turbidity limitations</w:t>
      </w:r>
      <w:r w:rsidR="0052704A">
        <w:t xml:space="preserve">. For this reason, </w:t>
      </w:r>
      <w:r w:rsidR="006B2F35">
        <w:t xml:space="preserve">current SWAMP </w:t>
      </w:r>
      <w:r w:rsidR="0073250B">
        <w:t>bioassessment programs (</w:t>
      </w:r>
      <w:r w:rsidR="00FE66CC">
        <w:t>except for</w:t>
      </w:r>
      <w:r w:rsidR="006B0FFF">
        <w:t xml:space="preserve"> the Regional Central Coast CCAMP assessment</w:t>
      </w:r>
      <w:r w:rsidR="0073250B">
        <w:t xml:space="preserve">) </w:t>
      </w:r>
      <w:r w:rsidR="007D4099">
        <w:t xml:space="preserve">do not </w:t>
      </w:r>
      <w:r w:rsidR="006B2F35">
        <w:t>measure water column chl-a</w:t>
      </w:r>
      <w:r w:rsidR="0073250B">
        <w:t>,</w:t>
      </w:r>
      <w:r w:rsidR="0052704A">
        <w:t xml:space="preserve"> </w:t>
      </w:r>
      <w:r w:rsidR="007D4099">
        <w:t xml:space="preserve">and </w:t>
      </w:r>
      <w:r w:rsidR="0052704A">
        <w:t xml:space="preserve">sestonic algal thresholds protective of aquatic life </w:t>
      </w:r>
      <w:r w:rsidR="0073250B">
        <w:t xml:space="preserve">could not </w:t>
      </w:r>
      <w:r w:rsidR="0052704A">
        <w:t xml:space="preserve">be derived from </w:t>
      </w:r>
      <w:r w:rsidR="007D4099">
        <w:t>empirical stress-</w:t>
      </w:r>
      <w:r w:rsidR="00F01CB8">
        <w:t>response</w:t>
      </w:r>
      <w:r w:rsidR="007D4099">
        <w:t xml:space="preserve"> relationships of </w:t>
      </w:r>
      <w:r w:rsidR="0052704A">
        <w:t xml:space="preserve">statewide bioassessment data. However, </w:t>
      </w:r>
      <w:r w:rsidR="0073250B">
        <w:t>published studies in different regions</w:t>
      </w:r>
      <w:r w:rsidR="0073250B" w:rsidDel="0073250B">
        <w:t xml:space="preserve"> </w:t>
      </w:r>
      <w:r w:rsidR="0073250B">
        <w:t xml:space="preserve">provide some </w:t>
      </w:r>
      <w:r w:rsidR="0052704A">
        <w:t xml:space="preserve">basis for thresholds, </w:t>
      </w:r>
      <w:r w:rsidR="0073250B">
        <w:t>presented below.</w:t>
      </w:r>
      <w:r w:rsidR="0052704A">
        <w:t xml:space="preserve"> </w:t>
      </w:r>
    </w:p>
    <w:p w14:paraId="7607EE89" w14:textId="1CB2730F" w:rsidR="00FE66CC" w:rsidRDefault="00190801" w:rsidP="00AC713A">
      <w:pPr>
        <w:jc w:val="both"/>
      </w:pPr>
      <w:r w:rsidRPr="00190801">
        <w:t>Many states have set stream chl-a criteria at range</w:t>
      </w:r>
      <w:r w:rsidR="00DE5161">
        <w:t xml:space="preserve"> of </w:t>
      </w:r>
      <w:r w:rsidR="005C61BF">
        <w:t>7</w:t>
      </w:r>
      <w:r w:rsidR="00DE5161">
        <w:t xml:space="preserve">-30 </w:t>
      </w:r>
      <w:r w:rsidR="00162103">
        <w:rPr>
          <w:rFonts w:cs="Calibri"/>
        </w:rPr>
        <w:t>µ</w:t>
      </w:r>
      <w:r w:rsidR="00162103">
        <w:t>g/L</w:t>
      </w:r>
      <w:r w:rsidRPr="00190801">
        <w:t xml:space="preserve">, based on a combination of stream types and use designation, where &lt; 10 is </w:t>
      </w:r>
      <w:r w:rsidR="005C61BF">
        <w:t xml:space="preserve">a resistance threshold </w:t>
      </w:r>
      <w:r w:rsidRPr="00190801">
        <w:t>protective of higher quality habitat and &gt; 30</w:t>
      </w:r>
      <w:r w:rsidR="00162103" w:rsidRPr="00162103">
        <w:rPr>
          <w:rFonts w:cs="Calibri"/>
        </w:rPr>
        <w:t xml:space="preserve"> </w:t>
      </w:r>
      <w:r w:rsidR="00162103">
        <w:rPr>
          <w:rFonts w:cs="Calibri"/>
        </w:rPr>
        <w:t>µ</w:t>
      </w:r>
      <w:r w:rsidR="00162103">
        <w:t>g/L</w:t>
      </w:r>
      <w:r w:rsidRPr="00190801">
        <w:t xml:space="preserve"> is </w:t>
      </w:r>
      <w:r w:rsidR="005C61BF">
        <w:t xml:space="preserve">an exhaustion threshold associated with </w:t>
      </w:r>
      <w:r w:rsidR="00F47A3D">
        <w:t xml:space="preserve">strong diel DO variability, loss of pollution sensitive BMI and fish, and increased risk of </w:t>
      </w:r>
      <w:r w:rsidR="00162103">
        <w:t>cyano</w:t>
      </w:r>
      <w:r w:rsidR="00F47A3D">
        <w:t>HABs</w:t>
      </w:r>
      <w:r w:rsidR="005C61BF">
        <w:t xml:space="preserve"> (Table 3.</w:t>
      </w:r>
      <w:r w:rsidR="00F25BA4">
        <w:t>9</w:t>
      </w:r>
      <w:r w:rsidR="005C61BF">
        <w:t xml:space="preserve">).  </w:t>
      </w:r>
      <w:r w:rsidR="00793C35">
        <w:t>Within California, a</w:t>
      </w:r>
      <w:r w:rsidR="006B0FFF">
        <w:t xml:space="preserve"> value of &lt; 15 </w:t>
      </w:r>
      <w:r w:rsidR="006B0FFF">
        <w:rPr>
          <w:rFonts w:cs="Calibri"/>
        </w:rPr>
        <w:t>µ</w:t>
      </w:r>
      <w:r w:rsidR="006B0FFF">
        <w:t xml:space="preserve">g/L was established by the Central Coast Water Board as protective of wadeable streams based on a number of lines of evidence, including: 1) their own long-term use as a screening value, 2) maximum acceptable value used by North Carolina for cold water(lakes, reservoir, and other waters subject to growths of macroscopic or microscopic vegetation designated as trout waters; North Carolina Administrative Code 15A NCAC 02B .0211), 3) values established by Oregon an average chlorophyll a concentration of &lt;15 </w:t>
      </w:r>
      <w:r w:rsidR="00F01CB8">
        <w:rPr>
          <w:rFonts w:cs="Calibri"/>
        </w:rPr>
        <w:t>µ</w:t>
      </w:r>
      <w:r w:rsidR="006B0FFF">
        <w:t xml:space="preserve">g/L as a criterion nuisance phytoplankton growth in lakes and rivers (OAR, 2000), 4) a value of &lt;8 </w:t>
      </w:r>
      <w:r w:rsidR="00F01CB8">
        <w:rPr>
          <w:rFonts w:cs="Calibri"/>
        </w:rPr>
        <w:t>µ</w:t>
      </w:r>
      <w:r w:rsidR="006B0FFF">
        <w:t xml:space="preserve">g/L is recommended as a </w:t>
      </w:r>
      <w:r w:rsidR="00F01CB8">
        <w:t xml:space="preserve">eutrophic </w:t>
      </w:r>
      <w:r w:rsidR="006B0FFF">
        <w:t>threshold for plankton in EPA’s Nutrient Criteria Technical Guidance Manual for Rivers and Streams (2000b). Note that r</w:t>
      </w:r>
      <w:r w:rsidR="005C61BF">
        <w:t xml:space="preserve">anges are slightly lower for mean values (e.g. &lt; 7 </w:t>
      </w:r>
      <w:r w:rsidR="005C61BF">
        <w:rPr>
          <w:rFonts w:cs="Calibri"/>
        </w:rPr>
        <w:t>µ</w:t>
      </w:r>
      <w:r w:rsidR="005C61BF">
        <w:t xml:space="preserve">g/L) than for single grab samples (&lt; 10 </w:t>
      </w:r>
      <w:r w:rsidR="005C61BF">
        <w:rPr>
          <w:rFonts w:cs="Calibri"/>
        </w:rPr>
        <w:t>µ</w:t>
      </w:r>
      <w:r w:rsidR="005C61BF">
        <w:t xml:space="preserve">g/L), so differences in these ranges </w:t>
      </w:r>
      <w:r w:rsidR="00AC713A">
        <w:t xml:space="preserve">among studies </w:t>
      </w:r>
      <w:r w:rsidR="005C61BF">
        <w:t xml:space="preserve">aren’t necessarily meaningful. </w:t>
      </w:r>
      <w:r w:rsidR="00AC713A">
        <w:t xml:space="preserve">The best relationships </w:t>
      </w:r>
      <w:r w:rsidR="006B0FFF">
        <w:t xml:space="preserve">of sestonic chl-a </w:t>
      </w:r>
      <w:r w:rsidR="00AC713A">
        <w:t xml:space="preserve">with nutrients were typically found in open canopy (e.g. ag or urban sites) during low flow conditions (Royer et al. 2008). </w:t>
      </w:r>
    </w:p>
    <w:p w14:paraId="2956EB9E" w14:textId="77777777" w:rsidR="00594C17" w:rsidRDefault="00AC713A" w:rsidP="008D7CE4">
      <w:pPr>
        <w:jc w:val="both"/>
      </w:pPr>
      <w:r>
        <w:t>TN and TP thresholds associated with these protection endpoints tended to increase with river Strahler order, from headwater streams to large rivers (Table 3</w:t>
      </w:r>
      <w:r w:rsidR="00FE66CC">
        <w:t>.9</w:t>
      </w:r>
      <w:r>
        <w:t>). Levels associated with COLD and WARM wadeable streams streams were generally with</w:t>
      </w:r>
      <w:r w:rsidR="008D7CE4">
        <w:t>in</w:t>
      </w:r>
      <w:r>
        <w:t xml:space="preserve"> the same range as the 90% </w:t>
      </w:r>
      <w:r w:rsidR="0073250B">
        <w:t xml:space="preserve">relative probability </w:t>
      </w:r>
      <w:r>
        <w:t xml:space="preserve">for </w:t>
      </w:r>
      <w:r w:rsidR="008D7CE4">
        <w:t xml:space="preserve">CSCI and ASCI </w:t>
      </w:r>
      <w:r>
        <w:t>REF10 and REF01</w:t>
      </w:r>
      <w:r w:rsidR="008D7CE4">
        <w:t xml:space="preserve"> </w:t>
      </w:r>
      <w:r>
        <w:t xml:space="preserve">(Table 3.2). </w:t>
      </w:r>
      <w:r w:rsidR="005C61BF">
        <w:t xml:space="preserve">TSS has a strong control on whether </w:t>
      </w:r>
      <w:r w:rsidR="0073250B">
        <w:t>chl</w:t>
      </w:r>
      <w:r w:rsidR="005C61BF">
        <w:t>-a is expressed in the water column at a given nutrient level (Figure 3.</w:t>
      </w:r>
      <w:r w:rsidR="00CB66E9">
        <w:t>9</w:t>
      </w:r>
      <w:r w:rsidR="00F25BA4">
        <w:t>, right panel</w:t>
      </w:r>
      <w:r w:rsidR="005C61BF">
        <w:t xml:space="preserve">, </w:t>
      </w:r>
      <w:r w:rsidR="00F25BA4">
        <w:t>Carlton et al. 2015</w:t>
      </w:r>
      <w:r w:rsidR="0073250B">
        <w:t>);</w:t>
      </w:r>
      <w:r>
        <w:t xml:space="preserve"> </w:t>
      </w:r>
      <w:r w:rsidR="0073250B">
        <w:t xml:space="preserve">however, </w:t>
      </w:r>
      <w:r>
        <w:t>at higher turbidity levels and nutrient levels and thermally stratified water columns, cyanoHABs may be at a competitive advantage over other phytoplankton</w:t>
      </w:r>
      <w:r w:rsidR="005C61BF">
        <w:t xml:space="preserve"> </w:t>
      </w:r>
      <w:r>
        <w:t>because of the ability to form surface (scum) blooms (</w:t>
      </w:r>
      <w:r w:rsidR="00F25BA4">
        <w:t>Figure 3</w:t>
      </w:r>
      <w:r w:rsidR="00CB66E9">
        <w:t>.9</w:t>
      </w:r>
      <w:r w:rsidR="00F25BA4">
        <w:t xml:space="preserve">, left panel, Carlton et al. 2009, </w:t>
      </w:r>
      <w:r>
        <w:t xml:space="preserve">Berg and Sutula 2015). </w:t>
      </w:r>
    </w:p>
    <w:p w14:paraId="0699CAF8" w14:textId="77777777" w:rsidR="00FE66CC" w:rsidRDefault="00FE66CC" w:rsidP="008D7CE4">
      <w:pPr>
        <w:pStyle w:val="BodyText0"/>
        <w:jc w:val="both"/>
      </w:pPr>
      <w:r>
        <w:t xml:space="preserve">We note that it is not straightforward to provide guidance in which stream types benthic versus sestonic chl-a thresholds would apply; determining the dominant primary producer depends on many site-specific conditions. </w:t>
      </w:r>
      <w:r w:rsidRPr="00436A48">
        <w:t xml:space="preserve"> </w:t>
      </w:r>
      <w:r>
        <w:t xml:space="preserve">Adding water column chl-a as parameter to monitoring program in areas downstream of dams and in tributaries with in timber or ag-dominated landscapes or with low water clarity may be a practical solution to the issue; in such cases, either benthic or sestonic chl-a thresholds could apply.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FE66CC" w14:paraId="07F9C589" w14:textId="77777777" w:rsidTr="00357709">
        <w:tc>
          <w:tcPr>
            <w:tcW w:w="4675" w:type="dxa"/>
          </w:tcPr>
          <w:p w14:paraId="550C32E8" w14:textId="77777777" w:rsidR="00FE66CC" w:rsidRDefault="00FE66CC" w:rsidP="00357709">
            <w:pPr>
              <w:pStyle w:val="TOF"/>
            </w:pPr>
            <w:bookmarkStart w:id="145" w:name="_Toc525823134"/>
            <w:bookmarkStart w:id="146" w:name="_Toc525876661"/>
            <w:bookmarkStart w:id="147" w:name="_Toc526057726"/>
            <w:bookmarkStart w:id="148" w:name="_Toc526322680"/>
            <w:bookmarkStart w:id="149" w:name="_Toc526489952"/>
            <w:r w:rsidRPr="002723FB">
              <w:rPr>
                <w:lang w:eastAsia="zh-CN" w:bidi="ar-SA"/>
              </w:rPr>
              <w:drawing>
                <wp:anchor distT="0" distB="0" distL="114300" distR="114300" simplePos="0" relativeHeight="251671552" behindDoc="0" locked="0" layoutInCell="1" allowOverlap="1" wp14:anchorId="05DAD9A2" wp14:editId="37DBD506">
                  <wp:simplePos x="0" y="0"/>
                  <wp:positionH relativeFrom="margin">
                    <wp:posOffset>71120</wp:posOffset>
                  </wp:positionH>
                  <wp:positionV relativeFrom="paragraph">
                    <wp:posOffset>0</wp:posOffset>
                  </wp:positionV>
                  <wp:extent cx="2781300" cy="1921510"/>
                  <wp:effectExtent l="0" t="0" r="0" b="254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r="4865" b="25971"/>
                          <a:stretch/>
                        </pic:blipFill>
                        <pic:spPr bwMode="auto">
                          <a:xfrm>
                            <a:off x="0" y="0"/>
                            <a:ext cx="2781300" cy="1921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45"/>
            <w:bookmarkEnd w:id="146"/>
            <w:bookmarkEnd w:id="147"/>
            <w:bookmarkEnd w:id="148"/>
            <w:bookmarkEnd w:id="149"/>
          </w:p>
          <w:p w14:paraId="5009CB91" w14:textId="77777777" w:rsidR="00FE66CC" w:rsidRDefault="00FE66CC" w:rsidP="00357709">
            <w:pPr>
              <w:pStyle w:val="TOF"/>
            </w:pPr>
            <w:bookmarkStart w:id="150" w:name="_Toc526489953"/>
            <w:r>
              <w:t>Figure 3.</w:t>
            </w:r>
            <w:r w:rsidR="00CB66E9">
              <w:t>9</w:t>
            </w:r>
            <w:r>
              <w:t xml:space="preserve"> Left panel: simulated mean (summer 2000) chl-a (solid line) and cyanobacterial percentage of sestonic   algal biovolume at reach B-54 of the Blue Earth River (dashed line) as a function of TSS. Right panel: percentage sestonic cyanobacteria in different reaches of five Minnesota Rivers in summer 2000 as a function of TN (top) and TSS (bottom). From Carlton et al. 2009.</w:t>
            </w:r>
            <w:bookmarkEnd w:id="150"/>
          </w:p>
          <w:p w14:paraId="22D358FD" w14:textId="77777777" w:rsidR="00FE66CC" w:rsidRDefault="00FE66CC" w:rsidP="00357709">
            <w:pPr>
              <w:pStyle w:val="BodyText0"/>
            </w:pPr>
          </w:p>
        </w:tc>
        <w:tc>
          <w:tcPr>
            <w:tcW w:w="4675" w:type="dxa"/>
          </w:tcPr>
          <w:p w14:paraId="21099730" w14:textId="77777777" w:rsidR="00FE66CC" w:rsidRDefault="00FE66CC" w:rsidP="00357709">
            <w:pPr>
              <w:pStyle w:val="BodyText0"/>
            </w:pPr>
            <w:r>
              <w:rPr>
                <w:noProof/>
                <w:lang w:eastAsia="zh-CN" w:bidi="ar-SA"/>
              </w:rPr>
              <w:drawing>
                <wp:inline distT="0" distB="0" distL="0" distR="0" wp14:anchorId="0788115D" wp14:editId="0A0EC985">
                  <wp:extent cx="2481539" cy="36480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b="6551"/>
                          <a:stretch/>
                        </pic:blipFill>
                        <pic:spPr bwMode="auto">
                          <a:xfrm>
                            <a:off x="0" y="0"/>
                            <a:ext cx="2495070" cy="3667967"/>
                          </a:xfrm>
                          <a:prstGeom prst="rect">
                            <a:avLst/>
                          </a:prstGeom>
                          <a:ln>
                            <a:noFill/>
                          </a:ln>
                          <a:extLst>
                            <a:ext uri="{53640926-AAD7-44D8-BBD7-CCE9431645EC}">
                              <a14:shadowObscured xmlns:a14="http://schemas.microsoft.com/office/drawing/2010/main"/>
                            </a:ext>
                          </a:extLst>
                        </pic:spPr>
                      </pic:pic>
                    </a:graphicData>
                  </a:graphic>
                </wp:inline>
              </w:drawing>
            </w:r>
          </w:p>
        </w:tc>
      </w:tr>
    </w:tbl>
    <w:p w14:paraId="141BDBFC" w14:textId="77777777" w:rsidR="00FE66CC" w:rsidRDefault="00FE66CC" w:rsidP="00FE66CC">
      <w:pPr>
        <w:pStyle w:val="BodyText0"/>
      </w:pPr>
    </w:p>
    <w:p w14:paraId="0BD30367" w14:textId="77777777" w:rsidR="00FE66CC" w:rsidRDefault="00FE66CC" w:rsidP="00AC713A">
      <w:pPr>
        <w:jc w:val="both"/>
        <w:sectPr w:rsidR="00FE66CC" w:rsidSect="00C5540D">
          <w:pgSz w:w="12240" w:h="15840"/>
          <w:pgMar w:top="1440" w:right="1440" w:bottom="1440" w:left="1440" w:header="720" w:footer="720" w:gutter="0"/>
          <w:cols w:space="720"/>
          <w:docGrid w:linePitch="360"/>
        </w:sectPr>
      </w:pPr>
    </w:p>
    <w:p w14:paraId="39364A61" w14:textId="77777777" w:rsidR="00190801" w:rsidRDefault="00190801" w:rsidP="00E71C72">
      <w:pPr>
        <w:pStyle w:val="TOT"/>
      </w:pPr>
      <w:bookmarkStart w:id="151" w:name="_Toc526489924"/>
      <w:r>
        <w:t>Table 3.</w:t>
      </w:r>
      <w:r w:rsidR="00F25BA4">
        <w:t>9</w:t>
      </w:r>
      <w:r>
        <w:t xml:space="preserve"> Summary of sestonic chlorophyll-a values from peer-reviewed literature-based sources. </w:t>
      </w:r>
      <w:r w:rsidR="00F13F09">
        <w:t>Single sample = SS</w:t>
      </w:r>
      <w:bookmarkEnd w:id="151"/>
    </w:p>
    <w:tbl>
      <w:tblPr>
        <w:tblStyle w:val="TableGrid"/>
        <w:tblW w:w="13495" w:type="dxa"/>
        <w:tblLook w:val="04A0" w:firstRow="1" w:lastRow="0" w:firstColumn="1" w:lastColumn="0" w:noHBand="0" w:noVBand="1"/>
      </w:tblPr>
      <w:tblGrid>
        <w:gridCol w:w="2425"/>
        <w:gridCol w:w="2070"/>
        <w:gridCol w:w="3420"/>
        <w:gridCol w:w="1609"/>
        <w:gridCol w:w="1255"/>
        <w:gridCol w:w="1337"/>
        <w:gridCol w:w="24"/>
        <w:gridCol w:w="1355"/>
      </w:tblGrid>
      <w:tr w:rsidR="00A614C3" w14:paraId="2A4331CC" w14:textId="77777777" w:rsidTr="006B0FFF">
        <w:tc>
          <w:tcPr>
            <w:tcW w:w="2425" w:type="dxa"/>
            <w:vMerge w:val="restart"/>
          </w:tcPr>
          <w:p w14:paraId="72D03B69" w14:textId="77777777" w:rsidR="00A614C3" w:rsidRPr="00C766E8" w:rsidRDefault="00A614C3" w:rsidP="003A3C97">
            <w:pPr>
              <w:spacing w:after="0" w:line="240" w:lineRule="auto"/>
              <w:jc w:val="both"/>
              <w:rPr>
                <w:rFonts w:ascii="Arial" w:hAnsi="Arial" w:cs="Arial"/>
                <w:b/>
                <w:sz w:val="20"/>
                <w:szCs w:val="20"/>
              </w:rPr>
            </w:pPr>
            <w:r w:rsidRPr="00C766E8">
              <w:rPr>
                <w:rFonts w:ascii="Arial" w:hAnsi="Arial" w:cs="Arial"/>
                <w:b/>
                <w:sz w:val="20"/>
                <w:szCs w:val="20"/>
              </w:rPr>
              <w:t>Region</w:t>
            </w:r>
          </w:p>
        </w:tc>
        <w:tc>
          <w:tcPr>
            <w:tcW w:w="2070" w:type="dxa"/>
            <w:vMerge w:val="restart"/>
          </w:tcPr>
          <w:p w14:paraId="3984129F" w14:textId="77777777" w:rsidR="00A614C3" w:rsidRPr="00C766E8" w:rsidRDefault="00A614C3" w:rsidP="003A3C97">
            <w:pPr>
              <w:spacing w:after="0" w:line="240" w:lineRule="auto"/>
              <w:jc w:val="both"/>
              <w:rPr>
                <w:rFonts w:ascii="Arial" w:hAnsi="Arial" w:cs="Arial"/>
                <w:b/>
                <w:sz w:val="20"/>
                <w:szCs w:val="20"/>
              </w:rPr>
            </w:pPr>
            <w:r w:rsidRPr="00C766E8">
              <w:rPr>
                <w:rFonts w:ascii="Arial" w:hAnsi="Arial" w:cs="Arial"/>
                <w:b/>
                <w:sz w:val="20"/>
                <w:szCs w:val="20"/>
              </w:rPr>
              <w:t>Type</w:t>
            </w:r>
          </w:p>
        </w:tc>
        <w:tc>
          <w:tcPr>
            <w:tcW w:w="3420" w:type="dxa"/>
            <w:vMerge w:val="restart"/>
          </w:tcPr>
          <w:p w14:paraId="1ACB31C2" w14:textId="77777777" w:rsidR="00A614C3" w:rsidRPr="00C766E8" w:rsidRDefault="00A614C3" w:rsidP="003A3C97">
            <w:pPr>
              <w:spacing w:after="0" w:line="240" w:lineRule="auto"/>
              <w:jc w:val="both"/>
              <w:rPr>
                <w:rFonts w:ascii="Arial" w:hAnsi="Arial" w:cs="Arial"/>
                <w:b/>
                <w:sz w:val="20"/>
                <w:szCs w:val="20"/>
              </w:rPr>
            </w:pPr>
            <w:r w:rsidRPr="00C766E8">
              <w:rPr>
                <w:rFonts w:ascii="Arial" w:hAnsi="Arial" w:cs="Arial"/>
                <w:b/>
                <w:sz w:val="20"/>
                <w:szCs w:val="20"/>
              </w:rPr>
              <w:t>Protection Endpoint</w:t>
            </w:r>
          </w:p>
        </w:tc>
        <w:tc>
          <w:tcPr>
            <w:tcW w:w="4225" w:type="dxa"/>
            <w:gridSpan w:val="4"/>
          </w:tcPr>
          <w:p w14:paraId="0040AAB5" w14:textId="77777777" w:rsidR="00A614C3" w:rsidRPr="00C766E8" w:rsidRDefault="00A614C3" w:rsidP="00A614C3">
            <w:pPr>
              <w:spacing w:after="0" w:line="240" w:lineRule="auto"/>
              <w:jc w:val="center"/>
              <w:rPr>
                <w:rFonts w:ascii="Arial" w:hAnsi="Arial" w:cs="Arial"/>
                <w:b/>
                <w:sz w:val="20"/>
                <w:szCs w:val="20"/>
              </w:rPr>
            </w:pPr>
            <w:r w:rsidRPr="00C766E8">
              <w:rPr>
                <w:rFonts w:ascii="Arial" w:hAnsi="Arial" w:cs="Arial"/>
                <w:b/>
                <w:sz w:val="20"/>
                <w:szCs w:val="20"/>
              </w:rPr>
              <w:t>Threshold</w:t>
            </w:r>
          </w:p>
        </w:tc>
        <w:tc>
          <w:tcPr>
            <w:tcW w:w="1355" w:type="dxa"/>
          </w:tcPr>
          <w:p w14:paraId="4BE1A351" w14:textId="77777777" w:rsidR="00A614C3" w:rsidRPr="00C766E8" w:rsidRDefault="00A614C3" w:rsidP="003A3C97">
            <w:pPr>
              <w:spacing w:after="0" w:line="240" w:lineRule="auto"/>
              <w:jc w:val="both"/>
              <w:rPr>
                <w:rFonts w:ascii="Arial" w:hAnsi="Arial" w:cs="Arial"/>
                <w:b/>
                <w:sz w:val="20"/>
                <w:szCs w:val="20"/>
              </w:rPr>
            </w:pPr>
          </w:p>
        </w:tc>
      </w:tr>
      <w:tr w:rsidR="00A614C3" w14:paraId="45D41519" w14:textId="77777777" w:rsidTr="006B0FFF">
        <w:tc>
          <w:tcPr>
            <w:tcW w:w="2425" w:type="dxa"/>
            <w:vMerge/>
          </w:tcPr>
          <w:p w14:paraId="6EDA1907" w14:textId="77777777" w:rsidR="00A614C3" w:rsidRPr="00C766E8" w:rsidRDefault="00A614C3" w:rsidP="003A3C97">
            <w:pPr>
              <w:spacing w:after="0" w:line="240" w:lineRule="auto"/>
              <w:jc w:val="both"/>
              <w:rPr>
                <w:rFonts w:ascii="Arial" w:hAnsi="Arial" w:cs="Arial"/>
                <w:b/>
                <w:sz w:val="20"/>
                <w:szCs w:val="20"/>
              </w:rPr>
            </w:pPr>
          </w:p>
        </w:tc>
        <w:tc>
          <w:tcPr>
            <w:tcW w:w="2070" w:type="dxa"/>
            <w:vMerge/>
          </w:tcPr>
          <w:p w14:paraId="3FFF0B0B" w14:textId="77777777" w:rsidR="00A614C3" w:rsidRPr="00C766E8" w:rsidRDefault="00A614C3" w:rsidP="003A3C97">
            <w:pPr>
              <w:spacing w:after="0" w:line="240" w:lineRule="auto"/>
              <w:jc w:val="both"/>
              <w:rPr>
                <w:rFonts w:ascii="Arial" w:hAnsi="Arial" w:cs="Arial"/>
                <w:b/>
                <w:sz w:val="20"/>
                <w:szCs w:val="20"/>
              </w:rPr>
            </w:pPr>
          </w:p>
        </w:tc>
        <w:tc>
          <w:tcPr>
            <w:tcW w:w="3420" w:type="dxa"/>
            <w:vMerge/>
          </w:tcPr>
          <w:p w14:paraId="3657753F" w14:textId="77777777" w:rsidR="00A614C3" w:rsidRPr="00C766E8" w:rsidRDefault="00A614C3" w:rsidP="003A3C97">
            <w:pPr>
              <w:spacing w:after="0" w:line="240" w:lineRule="auto"/>
              <w:jc w:val="both"/>
              <w:rPr>
                <w:rFonts w:ascii="Arial" w:hAnsi="Arial" w:cs="Arial"/>
                <w:b/>
                <w:sz w:val="20"/>
                <w:szCs w:val="20"/>
              </w:rPr>
            </w:pPr>
          </w:p>
        </w:tc>
        <w:tc>
          <w:tcPr>
            <w:tcW w:w="1609" w:type="dxa"/>
          </w:tcPr>
          <w:p w14:paraId="5439B9F8" w14:textId="77777777" w:rsidR="00A614C3" w:rsidRPr="00C766E8" w:rsidRDefault="00A614C3" w:rsidP="003A3C97">
            <w:pPr>
              <w:spacing w:after="0" w:line="240" w:lineRule="auto"/>
              <w:jc w:val="both"/>
              <w:rPr>
                <w:rFonts w:ascii="Arial" w:hAnsi="Arial" w:cs="Arial"/>
                <w:b/>
                <w:sz w:val="20"/>
                <w:szCs w:val="20"/>
              </w:rPr>
            </w:pPr>
            <w:r w:rsidRPr="00C766E8">
              <w:rPr>
                <w:rFonts w:ascii="Arial" w:hAnsi="Arial" w:cs="Arial"/>
                <w:b/>
                <w:sz w:val="20"/>
                <w:szCs w:val="20"/>
              </w:rPr>
              <w:t>Chl-a(ug/L)</w:t>
            </w:r>
          </w:p>
        </w:tc>
        <w:tc>
          <w:tcPr>
            <w:tcW w:w="1255" w:type="dxa"/>
          </w:tcPr>
          <w:p w14:paraId="45A02EE4" w14:textId="77777777" w:rsidR="00A614C3" w:rsidRPr="00C766E8" w:rsidRDefault="00A614C3" w:rsidP="003A3C97">
            <w:pPr>
              <w:spacing w:after="0" w:line="240" w:lineRule="auto"/>
              <w:jc w:val="both"/>
              <w:rPr>
                <w:rFonts w:ascii="Arial" w:hAnsi="Arial" w:cs="Arial"/>
                <w:b/>
                <w:sz w:val="20"/>
                <w:szCs w:val="20"/>
              </w:rPr>
            </w:pPr>
            <w:r w:rsidRPr="00C766E8">
              <w:rPr>
                <w:rFonts w:ascii="Arial" w:hAnsi="Arial" w:cs="Arial"/>
                <w:b/>
                <w:sz w:val="20"/>
                <w:szCs w:val="20"/>
              </w:rPr>
              <w:t>TN (mg/L)</w:t>
            </w:r>
          </w:p>
        </w:tc>
        <w:tc>
          <w:tcPr>
            <w:tcW w:w="1337" w:type="dxa"/>
          </w:tcPr>
          <w:p w14:paraId="2D33CBD4" w14:textId="77777777" w:rsidR="00A614C3" w:rsidRPr="00C766E8" w:rsidRDefault="00A614C3" w:rsidP="003A3C97">
            <w:pPr>
              <w:spacing w:after="0" w:line="240" w:lineRule="auto"/>
              <w:jc w:val="both"/>
              <w:rPr>
                <w:rFonts w:ascii="Arial" w:hAnsi="Arial" w:cs="Arial"/>
                <w:b/>
                <w:sz w:val="20"/>
                <w:szCs w:val="20"/>
              </w:rPr>
            </w:pPr>
            <w:r w:rsidRPr="00C766E8">
              <w:rPr>
                <w:rFonts w:ascii="Arial" w:hAnsi="Arial" w:cs="Arial"/>
                <w:b/>
                <w:sz w:val="20"/>
                <w:szCs w:val="20"/>
              </w:rPr>
              <w:t>TP (mg/L)</w:t>
            </w:r>
          </w:p>
        </w:tc>
        <w:tc>
          <w:tcPr>
            <w:tcW w:w="1379" w:type="dxa"/>
            <w:gridSpan w:val="2"/>
          </w:tcPr>
          <w:p w14:paraId="371F462E" w14:textId="77777777" w:rsidR="00A614C3" w:rsidRPr="00C766E8" w:rsidRDefault="00A614C3" w:rsidP="003A3C97">
            <w:pPr>
              <w:spacing w:after="0" w:line="240" w:lineRule="auto"/>
              <w:jc w:val="both"/>
              <w:rPr>
                <w:rFonts w:ascii="Arial" w:hAnsi="Arial" w:cs="Arial"/>
                <w:b/>
                <w:sz w:val="20"/>
                <w:szCs w:val="20"/>
              </w:rPr>
            </w:pPr>
            <w:r w:rsidRPr="00C766E8">
              <w:rPr>
                <w:rFonts w:ascii="Arial" w:hAnsi="Arial" w:cs="Arial"/>
                <w:b/>
                <w:sz w:val="20"/>
                <w:szCs w:val="20"/>
              </w:rPr>
              <w:t>Source</w:t>
            </w:r>
          </w:p>
        </w:tc>
      </w:tr>
      <w:tr w:rsidR="00E611D3" w14:paraId="07AF7589" w14:textId="77777777" w:rsidTr="006B0FFF">
        <w:tc>
          <w:tcPr>
            <w:tcW w:w="2425" w:type="dxa"/>
          </w:tcPr>
          <w:p w14:paraId="743A375F" w14:textId="77777777" w:rsidR="00E611D3" w:rsidRPr="00C766E8" w:rsidRDefault="00E611D3" w:rsidP="003A3C97">
            <w:pPr>
              <w:spacing w:after="0" w:line="240" w:lineRule="auto"/>
              <w:jc w:val="both"/>
              <w:rPr>
                <w:rFonts w:ascii="Arial" w:hAnsi="Arial" w:cs="Arial"/>
                <w:sz w:val="20"/>
                <w:szCs w:val="20"/>
              </w:rPr>
            </w:pPr>
            <w:r>
              <w:rPr>
                <w:rFonts w:ascii="Arial" w:hAnsi="Arial" w:cs="Arial"/>
                <w:sz w:val="20"/>
                <w:szCs w:val="20"/>
              </w:rPr>
              <w:t xml:space="preserve">Central Coast </w:t>
            </w:r>
            <w:r w:rsidR="008717FC">
              <w:rPr>
                <w:rFonts w:ascii="Arial" w:hAnsi="Arial" w:cs="Arial"/>
                <w:sz w:val="20"/>
                <w:szCs w:val="20"/>
              </w:rPr>
              <w:t>California</w:t>
            </w:r>
          </w:p>
        </w:tc>
        <w:tc>
          <w:tcPr>
            <w:tcW w:w="2070" w:type="dxa"/>
          </w:tcPr>
          <w:p w14:paraId="786B28CD" w14:textId="77777777" w:rsidR="00E611D3" w:rsidRPr="00C766E8" w:rsidRDefault="008717FC" w:rsidP="003A3C97">
            <w:pPr>
              <w:spacing w:after="0" w:line="240" w:lineRule="auto"/>
              <w:jc w:val="both"/>
              <w:rPr>
                <w:rFonts w:ascii="Arial" w:hAnsi="Arial" w:cs="Arial"/>
                <w:sz w:val="20"/>
                <w:szCs w:val="20"/>
              </w:rPr>
            </w:pPr>
            <w:r>
              <w:rPr>
                <w:rFonts w:ascii="Arial" w:hAnsi="Arial" w:cs="Arial"/>
                <w:sz w:val="20"/>
                <w:szCs w:val="20"/>
              </w:rPr>
              <w:t>wadeable streams</w:t>
            </w:r>
          </w:p>
        </w:tc>
        <w:tc>
          <w:tcPr>
            <w:tcW w:w="3420" w:type="dxa"/>
          </w:tcPr>
          <w:p w14:paraId="420932E3" w14:textId="77777777" w:rsidR="00E611D3" w:rsidRPr="00C766E8" w:rsidRDefault="008717FC" w:rsidP="003A3C97">
            <w:pPr>
              <w:spacing w:after="0" w:line="240" w:lineRule="auto"/>
              <w:jc w:val="both"/>
              <w:rPr>
                <w:rFonts w:ascii="Arial" w:hAnsi="Arial" w:cs="Arial"/>
                <w:sz w:val="20"/>
                <w:szCs w:val="20"/>
              </w:rPr>
            </w:pPr>
            <w:r>
              <w:rPr>
                <w:rFonts w:ascii="Arial" w:hAnsi="Arial" w:cs="Arial"/>
                <w:sz w:val="20"/>
                <w:szCs w:val="20"/>
              </w:rPr>
              <w:t>Literature</w:t>
            </w:r>
          </w:p>
        </w:tc>
        <w:tc>
          <w:tcPr>
            <w:tcW w:w="1609" w:type="dxa"/>
          </w:tcPr>
          <w:p w14:paraId="75F21663" w14:textId="77777777" w:rsidR="00E611D3" w:rsidRPr="00C766E8" w:rsidRDefault="00E611D3" w:rsidP="003A3C97">
            <w:pPr>
              <w:spacing w:after="0" w:line="240" w:lineRule="auto"/>
              <w:jc w:val="both"/>
              <w:rPr>
                <w:rFonts w:ascii="Arial" w:hAnsi="Arial" w:cs="Arial"/>
                <w:sz w:val="20"/>
                <w:szCs w:val="20"/>
              </w:rPr>
            </w:pPr>
            <w:r>
              <w:rPr>
                <w:rFonts w:ascii="Arial" w:hAnsi="Arial" w:cs="Arial"/>
                <w:sz w:val="20"/>
                <w:szCs w:val="20"/>
              </w:rPr>
              <w:t>15, SS</w:t>
            </w:r>
          </w:p>
        </w:tc>
        <w:tc>
          <w:tcPr>
            <w:tcW w:w="1255" w:type="dxa"/>
          </w:tcPr>
          <w:p w14:paraId="6351D1B1" w14:textId="77777777" w:rsidR="00E611D3" w:rsidRPr="00C766E8" w:rsidRDefault="008717FC" w:rsidP="003A3C97">
            <w:pPr>
              <w:spacing w:after="0" w:line="240" w:lineRule="auto"/>
              <w:jc w:val="both"/>
              <w:rPr>
                <w:rFonts w:ascii="Arial" w:hAnsi="Arial" w:cs="Arial"/>
                <w:sz w:val="20"/>
                <w:szCs w:val="20"/>
              </w:rPr>
            </w:pPr>
            <w:r>
              <w:rPr>
                <w:rFonts w:ascii="Arial" w:hAnsi="Arial" w:cs="Arial"/>
                <w:sz w:val="20"/>
                <w:szCs w:val="20"/>
              </w:rPr>
              <w:t>--</w:t>
            </w:r>
          </w:p>
        </w:tc>
        <w:tc>
          <w:tcPr>
            <w:tcW w:w="1337" w:type="dxa"/>
          </w:tcPr>
          <w:p w14:paraId="54E66BB6" w14:textId="77777777" w:rsidR="00E611D3" w:rsidRPr="00C766E8" w:rsidRDefault="00E611D3" w:rsidP="003A3C97">
            <w:pPr>
              <w:spacing w:after="0" w:line="240" w:lineRule="auto"/>
              <w:jc w:val="both"/>
              <w:rPr>
                <w:rFonts w:ascii="Arial" w:hAnsi="Arial" w:cs="Arial"/>
                <w:sz w:val="20"/>
                <w:szCs w:val="20"/>
              </w:rPr>
            </w:pPr>
            <w:r>
              <w:rPr>
                <w:rFonts w:ascii="Arial" w:hAnsi="Arial" w:cs="Arial"/>
                <w:sz w:val="20"/>
                <w:szCs w:val="20"/>
              </w:rPr>
              <w:t>--</w:t>
            </w:r>
          </w:p>
        </w:tc>
        <w:tc>
          <w:tcPr>
            <w:tcW w:w="1379" w:type="dxa"/>
            <w:gridSpan w:val="2"/>
          </w:tcPr>
          <w:p w14:paraId="26BEFAFD" w14:textId="77777777" w:rsidR="00E611D3" w:rsidRPr="00C766E8" w:rsidRDefault="00E611D3" w:rsidP="003A3C97">
            <w:pPr>
              <w:spacing w:after="0" w:line="240" w:lineRule="auto"/>
              <w:jc w:val="both"/>
              <w:rPr>
                <w:rFonts w:ascii="Arial" w:hAnsi="Arial" w:cs="Arial"/>
                <w:sz w:val="20"/>
                <w:szCs w:val="20"/>
              </w:rPr>
            </w:pPr>
            <w:r>
              <w:rPr>
                <w:rFonts w:ascii="Arial" w:hAnsi="Arial" w:cs="Arial"/>
                <w:sz w:val="20"/>
                <w:szCs w:val="20"/>
              </w:rPr>
              <w:t>Worcester et al. (2010)</w:t>
            </w:r>
          </w:p>
        </w:tc>
      </w:tr>
      <w:tr w:rsidR="002A710F" w14:paraId="23DDA7D7" w14:textId="77777777" w:rsidTr="006B0FFF">
        <w:tc>
          <w:tcPr>
            <w:tcW w:w="2425" w:type="dxa"/>
          </w:tcPr>
          <w:p w14:paraId="713CB007"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North American Streams and Rivers</w:t>
            </w:r>
          </w:p>
        </w:tc>
        <w:tc>
          <w:tcPr>
            <w:tcW w:w="2070" w:type="dxa"/>
          </w:tcPr>
          <w:p w14:paraId="403A03A4"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Oligotrophic</w:t>
            </w:r>
          </w:p>
          <w:p w14:paraId="0CAA713D"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Mesotrophic</w:t>
            </w:r>
          </w:p>
          <w:p w14:paraId="01C6EFA8"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Eutrophic</w:t>
            </w:r>
          </w:p>
        </w:tc>
        <w:tc>
          <w:tcPr>
            <w:tcW w:w="3420" w:type="dxa"/>
          </w:tcPr>
          <w:p w14:paraId="47E49FE0"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Reference based approach, based on data distribution of full disturbance gradient</w:t>
            </w:r>
          </w:p>
        </w:tc>
        <w:tc>
          <w:tcPr>
            <w:tcW w:w="1609" w:type="dxa"/>
          </w:tcPr>
          <w:p w14:paraId="28D635C9"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&lt; 10, SS</w:t>
            </w:r>
          </w:p>
          <w:p w14:paraId="3CDA2F98"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10-30, SS</w:t>
            </w:r>
          </w:p>
          <w:p w14:paraId="1960B050"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&gt;30, SS</w:t>
            </w:r>
          </w:p>
        </w:tc>
        <w:tc>
          <w:tcPr>
            <w:tcW w:w="1255" w:type="dxa"/>
          </w:tcPr>
          <w:p w14:paraId="2D58BB97" w14:textId="77777777" w:rsidR="00F13F09" w:rsidRPr="00C766E8" w:rsidRDefault="002A710F" w:rsidP="003A3C97">
            <w:pPr>
              <w:spacing w:after="0" w:line="240" w:lineRule="auto"/>
              <w:jc w:val="both"/>
              <w:rPr>
                <w:rFonts w:ascii="Arial" w:hAnsi="Arial" w:cs="Arial"/>
                <w:sz w:val="20"/>
                <w:szCs w:val="20"/>
              </w:rPr>
            </w:pPr>
            <w:r w:rsidRPr="00C766E8">
              <w:rPr>
                <w:rFonts w:ascii="Arial" w:hAnsi="Arial" w:cs="Arial"/>
                <w:sz w:val="20"/>
                <w:szCs w:val="20"/>
              </w:rPr>
              <w:t>&lt;0.70</w:t>
            </w:r>
          </w:p>
          <w:p w14:paraId="4021511E" w14:textId="77777777" w:rsidR="002A710F" w:rsidRPr="00C766E8" w:rsidRDefault="002A710F" w:rsidP="003A3C97">
            <w:pPr>
              <w:spacing w:after="0" w:line="240" w:lineRule="auto"/>
              <w:jc w:val="both"/>
              <w:rPr>
                <w:rFonts w:ascii="Arial" w:hAnsi="Arial" w:cs="Arial"/>
                <w:sz w:val="20"/>
                <w:szCs w:val="20"/>
              </w:rPr>
            </w:pPr>
            <w:r w:rsidRPr="00C766E8">
              <w:rPr>
                <w:rFonts w:ascii="Arial" w:hAnsi="Arial" w:cs="Arial"/>
                <w:sz w:val="20"/>
                <w:szCs w:val="20"/>
              </w:rPr>
              <w:t>0.70-1.5</w:t>
            </w:r>
          </w:p>
          <w:p w14:paraId="5931CDC1" w14:textId="77777777" w:rsidR="002A710F" w:rsidRPr="00C766E8" w:rsidRDefault="002A710F" w:rsidP="003A3C97">
            <w:pPr>
              <w:spacing w:after="0" w:line="240" w:lineRule="auto"/>
              <w:jc w:val="both"/>
              <w:rPr>
                <w:rFonts w:ascii="Arial" w:hAnsi="Arial" w:cs="Arial"/>
                <w:sz w:val="20"/>
                <w:szCs w:val="20"/>
              </w:rPr>
            </w:pPr>
            <w:r w:rsidRPr="00C766E8">
              <w:rPr>
                <w:rFonts w:ascii="Arial" w:hAnsi="Arial" w:cs="Arial"/>
                <w:sz w:val="20"/>
                <w:szCs w:val="20"/>
              </w:rPr>
              <w:t>&gt;1.5</w:t>
            </w:r>
          </w:p>
        </w:tc>
        <w:tc>
          <w:tcPr>
            <w:tcW w:w="1337" w:type="dxa"/>
          </w:tcPr>
          <w:p w14:paraId="66AF477E" w14:textId="77777777" w:rsidR="00F13F09" w:rsidRPr="00C766E8" w:rsidRDefault="002A710F" w:rsidP="003A3C97">
            <w:pPr>
              <w:spacing w:after="0" w:line="240" w:lineRule="auto"/>
              <w:jc w:val="both"/>
              <w:rPr>
                <w:rFonts w:ascii="Arial" w:hAnsi="Arial" w:cs="Arial"/>
                <w:sz w:val="20"/>
                <w:szCs w:val="20"/>
              </w:rPr>
            </w:pPr>
            <w:r w:rsidRPr="00C766E8">
              <w:rPr>
                <w:rFonts w:ascii="Arial" w:hAnsi="Arial" w:cs="Arial"/>
                <w:sz w:val="20"/>
                <w:szCs w:val="20"/>
              </w:rPr>
              <w:t>&lt;0.025</w:t>
            </w:r>
          </w:p>
          <w:p w14:paraId="6D569991" w14:textId="77777777" w:rsidR="002A710F" w:rsidRPr="00C766E8" w:rsidRDefault="002A710F" w:rsidP="003A3C97">
            <w:pPr>
              <w:spacing w:after="0" w:line="240" w:lineRule="auto"/>
              <w:jc w:val="both"/>
              <w:rPr>
                <w:rFonts w:ascii="Arial" w:hAnsi="Arial" w:cs="Arial"/>
                <w:sz w:val="20"/>
                <w:szCs w:val="20"/>
              </w:rPr>
            </w:pPr>
            <w:r w:rsidRPr="00C766E8">
              <w:rPr>
                <w:rFonts w:ascii="Arial" w:hAnsi="Arial" w:cs="Arial"/>
                <w:sz w:val="20"/>
                <w:szCs w:val="20"/>
              </w:rPr>
              <w:t>0.025-0.075</w:t>
            </w:r>
          </w:p>
          <w:p w14:paraId="2E4E45FD" w14:textId="77777777" w:rsidR="002A710F" w:rsidRPr="00C766E8" w:rsidRDefault="002A710F" w:rsidP="003A3C97">
            <w:pPr>
              <w:spacing w:after="0" w:line="240" w:lineRule="auto"/>
              <w:jc w:val="both"/>
              <w:rPr>
                <w:rFonts w:ascii="Arial" w:hAnsi="Arial" w:cs="Arial"/>
                <w:sz w:val="20"/>
                <w:szCs w:val="20"/>
              </w:rPr>
            </w:pPr>
            <w:r w:rsidRPr="00C766E8">
              <w:rPr>
                <w:rFonts w:ascii="Arial" w:hAnsi="Arial" w:cs="Arial"/>
                <w:sz w:val="20"/>
                <w:szCs w:val="20"/>
              </w:rPr>
              <w:t>&gt;0.075</w:t>
            </w:r>
          </w:p>
        </w:tc>
        <w:tc>
          <w:tcPr>
            <w:tcW w:w="1379" w:type="dxa"/>
            <w:gridSpan w:val="2"/>
          </w:tcPr>
          <w:p w14:paraId="0BDFCD8F"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Dodds et al. (1988)</w:t>
            </w:r>
          </w:p>
        </w:tc>
      </w:tr>
      <w:tr w:rsidR="002A710F" w14:paraId="2EC4CA01" w14:textId="77777777" w:rsidTr="006B0FFF">
        <w:tc>
          <w:tcPr>
            <w:tcW w:w="2425" w:type="dxa"/>
          </w:tcPr>
          <w:p w14:paraId="097CA220"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North American temperate rivers and streams</w:t>
            </w:r>
          </w:p>
        </w:tc>
        <w:tc>
          <w:tcPr>
            <w:tcW w:w="2070" w:type="dxa"/>
          </w:tcPr>
          <w:p w14:paraId="0D644FE3"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Oligotrophic</w:t>
            </w:r>
          </w:p>
          <w:p w14:paraId="5C597C06"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Mesotrophic</w:t>
            </w:r>
          </w:p>
          <w:p w14:paraId="6FF7D3BC"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Eutrophic</w:t>
            </w:r>
          </w:p>
        </w:tc>
        <w:tc>
          <w:tcPr>
            <w:tcW w:w="3420" w:type="dxa"/>
          </w:tcPr>
          <w:p w14:paraId="1182C02C"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 xml:space="preserve">Autotrophic state boundaries calculated from reference distributions of TN and TP </w:t>
            </w:r>
          </w:p>
        </w:tc>
        <w:tc>
          <w:tcPr>
            <w:tcW w:w="1609" w:type="dxa"/>
          </w:tcPr>
          <w:p w14:paraId="6013089C"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2-6, SS</w:t>
            </w:r>
          </w:p>
          <w:p w14:paraId="553E4474" w14:textId="77777777" w:rsidR="00F13F09" w:rsidRPr="00C766E8" w:rsidRDefault="00F13F09" w:rsidP="003A3C97">
            <w:pPr>
              <w:spacing w:after="0" w:line="240" w:lineRule="auto"/>
              <w:jc w:val="both"/>
              <w:rPr>
                <w:rFonts w:ascii="Arial" w:hAnsi="Arial" w:cs="Arial"/>
                <w:sz w:val="20"/>
                <w:szCs w:val="20"/>
              </w:rPr>
            </w:pPr>
          </w:p>
          <w:p w14:paraId="50D4F2AD"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4-12, SS</w:t>
            </w:r>
          </w:p>
        </w:tc>
        <w:tc>
          <w:tcPr>
            <w:tcW w:w="1255" w:type="dxa"/>
          </w:tcPr>
          <w:p w14:paraId="146EBD34" w14:textId="77777777" w:rsidR="00F13F09" w:rsidRPr="00C766E8" w:rsidRDefault="00A614C3" w:rsidP="003A3C97">
            <w:pPr>
              <w:spacing w:after="0" w:line="240" w:lineRule="auto"/>
              <w:jc w:val="both"/>
              <w:rPr>
                <w:rFonts w:ascii="Arial" w:hAnsi="Arial" w:cs="Arial"/>
                <w:sz w:val="20"/>
                <w:szCs w:val="20"/>
              </w:rPr>
            </w:pPr>
            <w:r w:rsidRPr="00C766E8">
              <w:rPr>
                <w:rFonts w:ascii="Arial" w:hAnsi="Arial" w:cs="Arial"/>
                <w:sz w:val="20"/>
                <w:szCs w:val="20"/>
              </w:rPr>
              <w:t>0.285</w:t>
            </w:r>
          </w:p>
          <w:p w14:paraId="775D2C02" w14:textId="77777777" w:rsidR="00A614C3" w:rsidRPr="00C766E8" w:rsidRDefault="00A614C3" w:rsidP="003A3C97">
            <w:pPr>
              <w:spacing w:after="0" w:line="240" w:lineRule="auto"/>
              <w:jc w:val="both"/>
              <w:rPr>
                <w:rFonts w:ascii="Arial" w:hAnsi="Arial" w:cs="Arial"/>
                <w:sz w:val="20"/>
                <w:szCs w:val="20"/>
              </w:rPr>
            </w:pPr>
          </w:p>
          <w:p w14:paraId="4C6E4ACD" w14:textId="77777777" w:rsidR="00A614C3" w:rsidRPr="00C766E8" w:rsidRDefault="00A614C3" w:rsidP="003A3C97">
            <w:pPr>
              <w:spacing w:after="0" w:line="240" w:lineRule="auto"/>
              <w:jc w:val="both"/>
              <w:rPr>
                <w:rFonts w:ascii="Arial" w:hAnsi="Arial" w:cs="Arial"/>
                <w:sz w:val="20"/>
                <w:szCs w:val="20"/>
              </w:rPr>
            </w:pPr>
            <w:r w:rsidRPr="00C766E8">
              <w:rPr>
                <w:rFonts w:ascii="Arial" w:hAnsi="Arial" w:cs="Arial"/>
                <w:sz w:val="20"/>
                <w:szCs w:val="20"/>
              </w:rPr>
              <w:t>0.714</w:t>
            </w:r>
          </w:p>
        </w:tc>
        <w:tc>
          <w:tcPr>
            <w:tcW w:w="1337" w:type="dxa"/>
          </w:tcPr>
          <w:p w14:paraId="3E3880E6" w14:textId="77777777" w:rsidR="00A614C3" w:rsidRPr="00C766E8" w:rsidRDefault="00A614C3" w:rsidP="003A3C97">
            <w:pPr>
              <w:spacing w:after="0" w:line="240" w:lineRule="auto"/>
              <w:jc w:val="both"/>
              <w:rPr>
                <w:rFonts w:ascii="Arial" w:hAnsi="Arial" w:cs="Arial"/>
                <w:sz w:val="20"/>
                <w:szCs w:val="20"/>
              </w:rPr>
            </w:pPr>
            <w:r w:rsidRPr="00C766E8">
              <w:rPr>
                <w:rFonts w:ascii="Arial" w:hAnsi="Arial" w:cs="Arial"/>
                <w:sz w:val="20"/>
                <w:szCs w:val="20"/>
              </w:rPr>
              <w:t>0.029</w:t>
            </w:r>
          </w:p>
          <w:p w14:paraId="18B5DD03" w14:textId="77777777" w:rsidR="00A614C3" w:rsidRPr="00C766E8" w:rsidRDefault="00A614C3" w:rsidP="003A3C97">
            <w:pPr>
              <w:spacing w:after="0" w:line="240" w:lineRule="auto"/>
              <w:jc w:val="both"/>
              <w:rPr>
                <w:rFonts w:ascii="Arial" w:hAnsi="Arial" w:cs="Arial"/>
                <w:sz w:val="20"/>
                <w:szCs w:val="20"/>
              </w:rPr>
            </w:pPr>
          </w:p>
          <w:p w14:paraId="13EC6D52" w14:textId="77777777" w:rsidR="00F13F09" w:rsidRPr="00C766E8" w:rsidRDefault="00525875" w:rsidP="003A3C97">
            <w:pPr>
              <w:spacing w:after="0" w:line="240" w:lineRule="auto"/>
              <w:jc w:val="both"/>
              <w:rPr>
                <w:rFonts w:ascii="Arial" w:hAnsi="Arial" w:cs="Arial"/>
                <w:sz w:val="20"/>
                <w:szCs w:val="20"/>
              </w:rPr>
            </w:pPr>
            <w:r w:rsidRPr="00C766E8">
              <w:rPr>
                <w:rFonts w:ascii="Arial" w:hAnsi="Arial" w:cs="Arial"/>
                <w:sz w:val="20"/>
                <w:szCs w:val="20"/>
              </w:rPr>
              <w:t>0.07</w:t>
            </w:r>
            <w:r w:rsidR="00A614C3" w:rsidRPr="00C766E8">
              <w:rPr>
                <w:rFonts w:ascii="Arial" w:hAnsi="Arial" w:cs="Arial"/>
                <w:sz w:val="20"/>
                <w:szCs w:val="20"/>
              </w:rPr>
              <w:t>1</w:t>
            </w:r>
          </w:p>
        </w:tc>
        <w:tc>
          <w:tcPr>
            <w:tcW w:w="1379" w:type="dxa"/>
            <w:gridSpan w:val="2"/>
          </w:tcPr>
          <w:p w14:paraId="702AA33A"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Dodds (2006)</w:t>
            </w:r>
          </w:p>
        </w:tc>
      </w:tr>
      <w:tr w:rsidR="002A710F" w14:paraId="0EA6EF0D" w14:textId="77777777" w:rsidTr="006B0FFF">
        <w:tc>
          <w:tcPr>
            <w:tcW w:w="2425" w:type="dxa"/>
            <w:vMerge w:val="restart"/>
          </w:tcPr>
          <w:p w14:paraId="4E864B6C"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Minnesota</w:t>
            </w:r>
          </w:p>
        </w:tc>
        <w:tc>
          <w:tcPr>
            <w:tcW w:w="2070" w:type="dxa"/>
          </w:tcPr>
          <w:p w14:paraId="11085DE1"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Wadeable COLD</w:t>
            </w:r>
          </w:p>
        </w:tc>
        <w:tc>
          <w:tcPr>
            <w:tcW w:w="3420" w:type="dxa"/>
            <w:vMerge w:val="restart"/>
          </w:tcPr>
          <w:p w14:paraId="09064CF2"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Fish community, BMI taxa richness, diel DO range, TP inflection point</w:t>
            </w:r>
          </w:p>
        </w:tc>
        <w:tc>
          <w:tcPr>
            <w:tcW w:w="1609" w:type="dxa"/>
          </w:tcPr>
          <w:p w14:paraId="51C288F9"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7, mean</w:t>
            </w:r>
          </w:p>
        </w:tc>
        <w:tc>
          <w:tcPr>
            <w:tcW w:w="1255" w:type="dxa"/>
          </w:tcPr>
          <w:p w14:paraId="2F0DA6FA" w14:textId="77777777" w:rsidR="00F13F09" w:rsidRPr="00C766E8" w:rsidRDefault="005112A7" w:rsidP="003A3C97">
            <w:pPr>
              <w:spacing w:after="0" w:line="240" w:lineRule="auto"/>
              <w:jc w:val="both"/>
              <w:rPr>
                <w:rFonts w:ascii="Arial" w:hAnsi="Arial" w:cs="Arial"/>
                <w:sz w:val="20"/>
                <w:szCs w:val="20"/>
              </w:rPr>
            </w:pPr>
            <w:r w:rsidRPr="00C766E8">
              <w:rPr>
                <w:rFonts w:ascii="Arial" w:hAnsi="Arial" w:cs="Arial"/>
                <w:sz w:val="20"/>
                <w:szCs w:val="20"/>
              </w:rPr>
              <w:t>--</w:t>
            </w:r>
          </w:p>
        </w:tc>
        <w:tc>
          <w:tcPr>
            <w:tcW w:w="1337" w:type="dxa"/>
          </w:tcPr>
          <w:p w14:paraId="39CB9B97" w14:textId="77777777" w:rsidR="00F13F09" w:rsidRPr="00C766E8" w:rsidRDefault="005112A7" w:rsidP="003A3C97">
            <w:pPr>
              <w:spacing w:after="0" w:line="240" w:lineRule="auto"/>
              <w:jc w:val="both"/>
              <w:rPr>
                <w:rFonts w:ascii="Arial" w:hAnsi="Arial" w:cs="Arial"/>
                <w:sz w:val="20"/>
                <w:szCs w:val="20"/>
              </w:rPr>
            </w:pPr>
            <w:r w:rsidRPr="00C766E8">
              <w:rPr>
                <w:rFonts w:ascii="Arial" w:hAnsi="Arial" w:cs="Arial"/>
                <w:sz w:val="20"/>
                <w:szCs w:val="20"/>
              </w:rPr>
              <w:t>0.05</w:t>
            </w:r>
            <w:r w:rsidR="00F47A3D" w:rsidRPr="00C766E8">
              <w:rPr>
                <w:rFonts w:ascii="Arial" w:hAnsi="Arial" w:cs="Arial"/>
                <w:sz w:val="20"/>
                <w:szCs w:val="20"/>
              </w:rPr>
              <w:t>0</w:t>
            </w:r>
          </w:p>
        </w:tc>
        <w:tc>
          <w:tcPr>
            <w:tcW w:w="1379" w:type="dxa"/>
            <w:gridSpan w:val="2"/>
            <w:vMerge w:val="restart"/>
          </w:tcPr>
          <w:p w14:paraId="531CB05E"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Heiskary and Bouchard (2016)</w:t>
            </w:r>
          </w:p>
        </w:tc>
      </w:tr>
      <w:tr w:rsidR="002A710F" w14:paraId="14E087E7" w14:textId="77777777" w:rsidTr="006B0FFF">
        <w:tc>
          <w:tcPr>
            <w:tcW w:w="2425" w:type="dxa"/>
            <w:vMerge/>
          </w:tcPr>
          <w:p w14:paraId="352D8497" w14:textId="77777777" w:rsidR="00F13F09" w:rsidRPr="00C766E8" w:rsidRDefault="00F13F09" w:rsidP="003A3C97">
            <w:pPr>
              <w:spacing w:after="0" w:line="240" w:lineRule="auto"/>
              <w:jc w:val="both"/>
              <w:rPr>
                <w:rFonts w:ascii="Arial" w:hAnsi="Arial" w:cs="Arial"/>
                <w:sz w:val="20"/>
                <w:szCs w:val="20"/>
              </w:rPr>
            </w:pPr>
          </w:p>
        </w:tc>
        <w:tc>
          <w:tcPr>
            <w:tcW w:w="2070" w:type="dxa"/>
          </w:tcPr>
          <w:p w14:paraId="2E44578B"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Wadeable WARM</w:t>
            </w:r>
          </w:p>
        </w:tc>
        <w:tc>
          <w:tcPr>
            <w:tcW w:w="3420" w:type="dxa"/>
            <w:vMerge/>
          </w:tcPr>
          <w:p w14:paraId="0EDF3C4D" w14:textId="77777777" w:rsidR="00F13F09" w:rsidRPr="00C766E8" w:rsidRDefault="00F13F09" w:rsidP="003A3C97">
            <w:pPr>
              <w:spacing w:after="0" w:line="240" w:lineRule="auto"/>
              <w:jc w:val="both"/>
              <w:rPr>
                <w:rFonts w:ascii="Arial" w:hAnsi="Arial" w:cs="Arial"/>
                <w:sz w:val="20"/>
                <w:szCs w:val="20"/>
              </w:rPr>
            </w:pPr>
          </w:p>
        </w:tc>
        <w:tc>
          <w:tcPr>
            <w:tcW w:w="1609" w:type="dxa"/>
          </w:tcPr>
          <w:p w14:paraId="2519106B"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18, mean</w:t>
            </w:r>
          </w:p>
        </w:tc>
        <w:tc>
          <w:tcPr>
            <w:tcW w:w="1255" w:type="dxa"/>
          </w:tcPr>
          <w:p w14:paraId="4D97A66C" w14:textId="77777777" w:rsidR="00F13F09" w:rsidRPr="00C766E8" w:rsidRDefault="00F47A3D" w:rsidP="003A3C97">
            <w:pPr>
              <w:spacing w:after="0" w:line="240" w:lineRule="auto"/>
              <w:jc w:val="both"/>
              <w:rPr>
                <w:rFonts w:ascii="Arial" w:hAnsi="Arial" w:cs="Arial"/>
                <w:sz w:val="20"/>
                <w:szCs w:val="20"/>
              </w:rPr>
            </w:pPr>
            <w:r w:rsidRPr="00C766E8">
              <w:rPr>
                <w:rFonts w:ascii="Arial" w:hAnsi="Arial" w:cs="Arial"/>
                <w:sz w:val="20"/>
                <w:szCs w:val="20"/>
              </w:rPr>
              <w:t>--</w:t>
            </w:r>
          </w:p>
        </w:tc>
        <w:tc>
          <w:tcPr>
            <w:tcW w:w="1337" w:type="dxa"/>
          </w:tcPr>
          <w:p w14:paraId="4DD856FF" w14:textId="77777777" w:rsidR="00F13F09" w:rsidRPr="00C766E8" w:rsidRDefault="00F47A3D" w:rsidP="003A3C97">
            <w:pPr>
              <w:spacing w:after="0" w:line="240" w:lineRule="auto"/>
              <w:jc w:val="both"/>
              <w:rPr>
                <w:rFonts w:ascii="Arial" w:hAnsi="Arial" w:cs="Arial"/>
                <w:sz w:val="20"/>
                <w:szCs w:val="20"/>
              </w:rPr>
            </w:pPr>
            <w:r w:rsidRPr="00C766E8">
              <w:rPr>
                <w:rFonts w:ascii="Arial" w:hAnsi="Arial" w:cs="Arial"/>
                <w:sz w:val="20"/>
                <w:szCs w:val="20"/>
              </w:rPr>
              <w:t>0.100</w:t>
            </w:r>
          </w:p>
        </w:tc>
        <w:tc>
          <w:tcPr>
            <w:tcW w:w="1379" w:type="dxa"/>
            <w:gridSpan w:val="2"/>
            <w:vMerge/>
          </w:tcPr>
          <w:p w14:paraId="7F8E65B3" w14:textId="77777777" w:rsidR="00F13F09" w:rsidRPr="00C766E8" w:rsidRDefault="00F13F09" w:rsidP="003A3C97">
            <w:pPr>
              <w:spacing w:after="0" w:line="240" w:lineRule="auto"/>
              <w:jc w:val="both"/>
              <w:rPr>
                <w:rFonts w:ascii="Arial" w:hAnsi="Arial" w:cs="Arial"/>
                <w:sz w:val="20"/>
                <w:szCs w:val="20"/>
              </w:rPr>
            </w:pPr>
          </w:p>
        </w:tc>
      </w:tr>
      <w:tr w:rsidR="002A710F" w14:paraId="34611B84" w14:textId="77777777" w:rsidTr="006B0FFF">
        <w:tc>
          <w:tcPr>
            <w:tcW w:w="2425" w:type="dxa"/>
            <w:vMerge/>
          </w:tcPr>
          <w:p w14:paraId="04CA76C6" w14:textId="77777777" w:rsidR="00F13F09" w:rsidRPr="00C766E8" w:rsidRDefault="00F13F09" w:rsidP="003A3C97">
            <w:pPr>
              <w:spacing w:after="0" w:line="240" w:lineRule="auto"/>
              <w:jc w:val="both"/>
              <w:rPr>
                <w:rFonts w:ascii="Arial" w:hAnsi="Arial" w:cs="Arial"/>
                <w:sz w:val="20"/>
                <w:szCs w:val="20"/>
              </w:rPr>
            </w:pPr>
          </w:p>
        </w:tc>
        <w:tc>
          <w:tcPr>
            <w:tcW w:w="2070" w:type="dxa"/>
          </w:tcPr>
          <w:p w14:paraId="663B32D7"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Large Rivers</w:t>
            </w:r>
          </w:p>
        </w:tc>
        <w:tc>
          <w:tcPr>
            <w:tcW w:w="3420" w:type="dxa"/>
            <w:vMerge/>
          </w:tcPr>
          <w:p w14:paraId="081A42B1" w14:textId="77777777" w:rsidR="00F13F09" w:rsidRPr="00C766E8" w:rsidRDefault="00F13F09" w:rsidP="003A3C97">
            <w:pPr>
              <w:spacing w:after="0" w:line="240" w:lineRule="auto"/>
              <w:jc w:val="both"/>
              <w:rPr>
                <w:rFonts w:ascii="Arial" w:hAnsi="Arial" w:cs="Arial"/>
                <w:sz w:val="20"/>
                <w:szCs w:val="20"/>
              </w:rPr>
            </w:pPr>
          </w:p>
        </w:tc>
        <w:tc>
          <w:tcPr>
            <w:tcW w:w="1609" w:type="dxa"/>
          </w:tcPr>
          <w:p w14:paraId="727D38F2"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35, mean</w:t>
            </w:r>
          </w:p>
        </w:tc>
        <w:tc>
          <w:tcPr>
            <w:tcW w:w="1255" w:type="dxa"/>
          </w:tcPr>
          <w:p w14:paraId="48FE820B" w14:textId="77777777" w:rsidR="00F13F09" w:rsidRPr="00C766E8" w:rsidRDefault="00F47A3D" w:rsidP="003A3C97">
            <w:pPr>
              <w:spacing w:after="0" w:line="240" w:lineRule="auto"/>
              <w:jc w:val="both"/>
              <w:rPr>
                <w:rFonts w:ascii="Arial" w:hAnsi="Arial" w:cs="Arial"/>
                <w:sz w:val="20"/>
                <w:szCs w:val="20"/>
              </w:rPr>
            </w:pPr>
            <w:r w:rsidRPr="00C766E8">
              <w:rPr>
                <w:rFonts w:ascii="Arial" w:hAnsi="Arial" w:cs="Arial"/>
                <w:sz w:val="20"/>
                <w:szCs w:val="20"/>
              </w:rPr>
              <w:t>--</w:t>
            </w:r>
          </w:p>
        </w:tc>
        <w:tc>
          <w:tcPr>
            <w:tcW w:w="1337" w:type="dxa"/>
          </w:tcPr>
          <w:p w14:paraId="66CFA9A6" w14:textId="77777777" w:rsidR="00F13F09" w:rsidRPr="00C766E8" w:rsidRDefault="00F47A3D" w:rsidP="003A3C97">
            <w:pPr>
              <w:spacing w:after="0" w:line="240" w:lineRule="auto"/>
              <w:jc w:val="both"/>
              <w:rPr>
                <w:rFonts w:ascii="Arial" w:hAnsi="Arial" w:cs="Arial"/>
                <w:sz w:val="20"/>
                <w:szCs w:val="20"/>
              </w:rPr>
            </w:pPr>
            <w:r w:rsidRPr="00C766E8">
              <w:rPr>
                <w:rFonts w:ascii="Arial" w:hAnsi="Arial" w:cs="Arial"/>
                <w:sz w:val="20"/>
                <w:szCs w:val="20"/>
              </w:rPr>
              <w:t>0.150</w:t>
            </w:r>
          </w:p>
        </w:tc>
        <w:tc>
          <w:tcPr>
            <w:tcW w:w="1379" w:type="dxa"/>
            <w:gridSpan w:val="2"/>
            <w:vMerge/>
          </w:tcPr>
          <w:p w14:paraId="47AC3459" w14:textId="77777777" w:rsidR="00F13F09" w:rsidRPr="00C766E8" w:rsidRDefault="00F13F09" w:rsidP="003A3C97">
            <w:pPr>
              <w:spacing w:after="0" w:line="240" w:lineRule="auto"/>
              <w:jc w:val="both"/>
              <w:rPr>
                <w:rFonts w:ascii="Arial" w:hAnsi="Arial" w:cs="Arial"/>
                <w:sz w:val="20"/>
                <w:szCs w:val="20"/>
              </w:rPr>
            </w:pPr>
          </w:p>
        </w:tc>
      </w:tr>
      <w:tr w:rsidR="002A710F" w14:paraId="72F98C48" w14:textId="77777777" w:rsidTr="006B0FFF">
        <w:tc>
          <w:tcPr>
            <w:tcW w:w="2425" w:type="dxa"/>
            <w:vMerge/>
          </w:tcPr>
          <w:p w14:paraId="0C6960FC" w14:textId="77777777" w:rsidR="00F13F09" w:rsidRPr="00C766E8" w:rsidRDefault="00F13F09" w:rsidP="003A3C97">
            <w:pPr>
              <w:spacing w:after="0" w:line="240" w:lineRule="auto"/>
              <w:jc w:val="both"/>
              <w:rPr>
                <w:rFonts w:ascii="Arial" w:hAnsi="Arial" w:cs="Arial"/>
                <w:sz w:val="20"/>
                <w:szCs w:val="20"/>
              </w:rPr>
            </w:pPr>
          </w:p>
        </w:tc>
        <w:tc>
          <w:tcPr>
            <w:tcW w:w="2070" w:type="dxa"/>
          </w:tcPr>
          <w:p w14:paraId="41BA68B5"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Blue Earth River</w:t>
            </w:r>
            <w:r w:rsidR="00C766E8" w:rsidRPr="00C766E8">
              <w:rPr>
                <w:rFonts w:ascii="Arial" w:hAnsi="Arial" w:cs="Arial"/>
                <w:sz w:val="20"/>
                <w:szCs w:val="20"/>
              </w:rPr>
              <w:t xml:space="preserve"> (large river) </w:t>
            </w:r>
          </w:p>
        </w:tc>
        <w:tc>
          <w:tcPr>
            <w:tcW w:w="3420" w:type="dxa"/>
          </w:tcPr>
          <w:p w14:paraId="274FB455"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Inflection point in % blue green algae</w:t>
            </w:r>
          </w:p>
        </w:tc>
        <w:tc>
          <w:tcPr>
            <w:tcW w:w="1609" w:type="dxa"/>
          </w:tcPr>
          <w:p w14:paraId="37C5ECC8"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 xml:space="preserve">&lt;20, SS </w:t>
            </w:r>
          </w:p>
        </w:tc>
        <w:tc>
          <w:tcPr>
            <w:tcW w:w="1255" w:type="dxa"/>
          </w:tcPr>
          <w:p w14:paraId="3F198E92" w14:textId="77777777" w:rsidR="00F13F09" w:rsidRPr="00C766E8" w:rsidRDefault="00C766E8" w:rsidP="003A3C97">
            <w:pPr>
              <w:spacing w:after="0" w:line="240" w:lineRule="auto"/>
              <w:jc w:val="both"/>
              <w:rPr>
                <w:rFonts w:ascii="Arial" w:hAnsi="Arial" w:cs="Arial"/>
                <w:sz w:val="20"/>
                <w:szCs w:val="20"/>
              </w:rPr>
            </w:pPr>
            <w:r w:rsidRPr="00C766E8">
              <w:rPr>
                <w:rFonts w:ascii="Arial" w:hAnsi="Arial" w:cs="Arial"/>
                <w:sz w:val="20"/>
                <w:szCs w:val="20"/>
              </w:rPr>
              <w:t>--</w:t>
            </w:r>
          </w:p>
        </w:tc>
        <w:tc>
          <w:tcPr>
            <w:tcW w:w="1337" w:type="dxa"/>
          </w:tcPr>
          <w:p w14:paraId="527F4FAE" w14:textId="77777777" w:rsidR="00F13F09" w:rsidRPr="00C766E8" w:rsidRDefault="00C766E8" w:rsidP="003A3C97">
            <w:pPr>
              <w:spacing w:after="0" w:line="240" w:lineRule="auto"/>
              <w:jc w:val="both"/>
              <w:rPr>
                <w:rFonts w:ascii="Arial" w:hAnsi="Arial" w:cs="Arial"/>
                <w:sz w:val="20"/>
                <w:szCs w:val="20"/>
              </w:rPr>
            </w:pPr>
            <w:r w:rsidRPr="00C766E8">
              <w:rPr>
                <w:rFonts w:ascii="Arial" w:hAnsi="Arial" w:cs="Arial"/>
                <w:sz w:val="20"/>
                <w:szCs w:val="20"/>
              </w:rPr>
              <w:t>0.1</w:t>
            </w:r>
          </w:p>
        </w:tc>
        <w:tc>
          <w:tcPr>
            <w:tcW w:w="1379" w:type="dxa"/>
            <w:gridSpan w:val="2"/>
          </w:tcPr>
          <w:p w14:paraId="79209B7A"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Carlton et al. 2009</w:t>
            </w:r>
          </w:p>
        </w:tc>
      </w:tr>
      <w:tr w:rsidR="002A710F" w14:paraId="75892E26" w14:textId="77777777" w:rsidTr="006B0FFF">
        <w:tc>
          <w:tcPr>
            <w:tcW w:w="2425" w:type="dxa"/>
          </w:tcPr>
          <w:p w14:paraId="6A8794D3"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Ohio</w:t>
            </w:r>
          </w:p>
        </w:tc>
        <w:tc>
          <w:tcPr>
            <w:tcW w:w="2070" w:type="dxa"/>
          </w:tcPr>
          <w:p w14:paraId="6E65476E"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Large rivers</w:t>
            </w:r>
          </w:p>
        </w:tc>
        <w:tc>
          <w:tcPr>
            <w:tcW w:w="3420" w:type="dxa"/>
          </w:tcPr>
          <w:p w14:paraId="3E722C90"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Fish IBI</w:t>
            </w:r>
          </w:p>
          <w:p w14:paraId="3D2475D7"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24-hour diel range (±3.5 mg/L DO)</w:t>
            </w:r>
          </w:p>
          <w:p w14:paraId="3AC997AA"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BOD (&lt; 2.5 mg/L)</w:t>
            </w:r>
          </w:p>
        </w:tc>
        <w:tc>
          <w:tcPr>
            <w:tcW w:w="1609" w:type="dxa"/>
          </w:tcPr>
          <w:p w14:paraId="62CC3770" w14:textId="77777777" w:rsidR="00C766E8" w:rsidRPr="00C766E8" w:rsidRDefault="00C766E8" w:rsidP="003A3C97">
            <w:pPr>
              <w:spacing w:after="0" w:line="240" w:lineRule="auto"/>
              <w:jc w:val="both"/>
              <w:rPr>
                <w:rFonts w:ascii="Arial" w:hAnsi="Arial" w:cs="Arial"/>
                <w:sz w:val="20"/>
                <w:szCs w:val="20"/>
              </w:rPr>
            </w:pPr>
            <w:r w:rsidRPr="00C766E8">
              <w:rPr>
                <w:rFonts w:ascii="Arial" w:hAnsi="Arial" w:cs="Arial"/>
                <w:sz w:val="20"/>
                <w:szCs w:val="20"/>
              </w:rPr>
              <w:t>&lt;30 protective</w:t>
            </w:r>
          </w:p>
        </w:tc>
        <w:tc>
          <w:tcPr>
            <w:tcW w:w="1255" w:type="dxa"/>
          </w:tcPr>
          <w:p w14:paraId="4F77A5FE" w14:textId="77777777" w:rsidR="00F13F09" w:rsidRPr="00C766E8" w:rsidRDefault="00C766E8" w:rsidP="003A3C97">
            <w:pPr>
              <w:spacing w:after="0" w:line="240" w:lineRule="auto"/>
              <w:jc w:val="both"/>
              <w:rPr>
                <w:rFonts w:ascii="Arial" w:hAnsi="Arial" w:cs="Arial"/>
                <w:sz w:val="20"/>
                <w:szCs w:val="20"/>
              </w:rPr>
            </w:pPr>
            <w:r w:rsidRPr="00C766E8">
              <w:rPr>
                <w:rFonts w:ascii="Arial" w:hAnsi="Arial" w:cs="Arial"/>
                <w:sz w:val="20"/>
                <w:szCs w:val="20"/>
              </w:rPr>
              <w:t>--</w:t>
            </w:r>
          </w:p>
        </w:tc>
        <w:tc>
          <w:tcPr>
            <w:tcW w:w="1337" w:type="dxa"/>
          </w:tcPr>
          <w:p w14:paraId="3C27E71A" w14:textId="77777777" w:rsidR="00F13F09" w:rsidRPr="00C766E8" w:rsidRDefault="00C766E8" w:rsidP="003A3C97">
            <w:pPr>
              <w:spacing w:after="0" w:line="240" w:lineRule="auto"/>
              <w:jc w:val="both"/>
              <w:rPr>
                <w:rFonts w:ascii="Arial" w:hAnsi="Arial" w:cs="Arial"/>
                <w:sz w:val="20"/>
                <w:szCs w:val="20"/>
              </w:rPr>
            </w:pPr>
            <w:r w:rsidRPr="00C766E8">
              <w:rPr>
                <w:rFonts w:ascii="Arial" w:hAnsi="Arial" w:cs="Arial"/>
                <w:sz w:val="20"/>
                <w:szCs w:val="20"/>
              </w:rPr>
              <w:t>0.130</w:t>
            </w:r>
          </w:p>
        </w:tc>
        <w:tc>
          <w:tcPr>
            <w:tcW w:w="1379" w:type="dxa"/>
            <w:gridSpan w:val="2"/>
          </w:tcPr>
          <w:p w14:paraId="61D9A483"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Miltner et al. (2010)</w:t>
            </w:r>
          </w:p>
        </w:tc>
      </w:tr>
      <w:tr w:rsidR="002A710F" w14:paraId="324851B7" w14:textId="77777777" w:rsidTr="006B0FFF">
        <w:tc>
          <w:tcPr>
            <w:tcW w:w="2425" w:type="dxa"/>
          </w:tcPr>
          <w:p w14:paraId="2ABC4B9C"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Illinois</w:t>
            </w:r>
          </w:p>
        </w:tc>
        <w:tc>
          <w:tcPr>
            <w:tcW w:w="2070" w:type="dxa"/>
          </w:tcPr>
          <w:p w14:paraId="14AD776A"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Wadeable streams, open canopy (ag dominated)</w:t>
            </w:r>
          </w:p>
        </w:tc>
        <w:tc>
          <w:tcPr>
            <w:tcW w:w="3420" w:type="dxa"/>
          </w:tcPr>
          <w:p w14:paraId="5DCAEBE2"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Inflection point with TP</w:t>
            </w:r>
          </w:p>
        </w:tc>
        <w:tc>
          <w:tcPr>
            <w:tcW w:w="1609" w:type="dxa"/>
          </w:tcPr>
          <w:p w14:paraId="4CC816CA"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&lt; 10, SS</w:t>
            </w:r>
          </w:p>
        </w:tc>
        <w:tc>
          <w:tcPr>
            <w:tcW w:w="1255" w:type="dxa"/>
          </w:tcPr>
          <w:p w14:paraId="331F2D7B" w14:textId="77777777" w:rsidR="00F13F09" w:rsidRPr="00C766E8" w:rsidRDefault="007847F4" w:rsidP="003A3C97">
            <w:pPr>
              <w:spacing w:after="0" w:line="240" w:lineRule="auto"/>
              <w:jc w:val="both"/>
              <w:rPr>
                <w:rFonts w:ascii="Arial" w:hAnsi="Arial" w:cs="Arial"/>
                <w:sz w:val="20"/>
                <w:szCs w:val="20"/>
              </w:rPr>
            </w:pPr>
            <w:r>
              <w:rPr>
                <w:rFonts w:ascii="Arial" w:hAnsi="Arial" w:cs="Arial"/>
                <w:sz w:val="20"/>
                <w:szCs w:val="20"/>
              </w:rPr>
              <w:t>--</w:t>
            </w:r>
          </w:p>
        </w:tc>
        <w:tc>
          <w:tcPr>
            <w:tcW w:w="1337" w:type="dxa"/>
          </w:tcPr>
          <w:p w14:paraId="4E20A951" w14:textId="77777777" w:rsidR="00F13F09" w:rsidRPr="00C766E8" w:rsidRDefault="00A614C3" w:rsidP="003A3C97">
            <w:pPr>
              <w:spacing w:after="0" w:line="240" w:lineRule="auto"/>
              <w:jc w:val="both"/>
              <w:rPr>
                <w:rFonts w:ascii="Arial" w:hAnsi="Arial" w:cs="Arial"/>
                <w:sz w:val="20"/>
                <w:szCs w:val="20"/>
              </w:rPr>
            </w:pPr>
            <w:r w:rsidRPr="00C766E8">
              <w:rPr>
                <w:rFonts w:ascii="Arial" w:hAnsi="Arial" w:cs="Arial"/>
                <w:sz w:val="20"/>
                <w:szCs w:val="20"/>
              </w:rPr>
              <w:t>0.07</w:t>
            </w:r>
          </w:p>
        </w:tc>
        <w:tc>
          <w:tcPr>
            <w:tcW w:w="1379" w:type="dxa"/>
            <w:gridSpan w:val="2"/>
          </w:tcPr>
          <w:p w14:paraId="560C55E7"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Royer et al. 2008</w:t>
            </w:r>
          </w:p>
        </w:tc>
      </w:tr>
      <w:tr w:rsidR="002A710F" w14:paraId="033601BA" w14:textId="77777777" w:rsidTr="006B0FFF">
        <w:tc>
          <w:tcPr>
            <w:tcW w:w="2425" w:type="dxa"/>
          </w:tcPr>
          <w:p w14:paraId="1B73A84F"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Red River Basin (Arkansas, Louisiana, New Mexico, Oklahoma, and Texas)</w:t>
            </w:r>
          </w:p>
        </w:tc>
        <w:tc>
          <w:tcPr>
            <w:tcW w:w="2070" w:type="dxa"/>
          </w:tcPr>
          <w:p w14:paraId="3F0C9579" w14:textId="77777777" w:rsidR="00F13F09" w:rsidRPr="00C766E8" w:rsidRDefault="00A614C3" w:rsidP="003A3C97">
            <w:pPr>
              <w:spacing w:after="0" w:line="240" w:lineRule="auto"/>
              <w:jc w:val="both"/>
              <w:rPr>
                <w:rFonts w:ascii="Arial" w:hAnsi="Arial" w:cs="Arial"/>
                <w:sz w:val="20"/>
                <w:szCs w:val="20"/>
              </w:rPr>
            </w:pPr>
            <w:r w:rsidRPr="00C766E8">
              <w:rPr>
                <w:rFonts w:ascii="Arial" w:hAnsi="Arial" w:cs="Arial"/>
                <w:sz w:val="20"/>
                <w:szCs w:val="20"/>
              </w:rPr>
              <w:t>Large river</w:t>
            </w:r>
          </w:p>
        </w:tc>
        <w:tc>
          <w:tcPr>
            <w:tcW w:w="3420" w:type="dxa"/>
          </w:tcPr>
          <w:p w14:paraId="60CF1454"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Inflection points with TN and TP</w:t>
            </w:r>
          </w:p>
        </w:tc>
        <w:tc>
          <w:tcPr>
            <w:tcW w:w="1609" w:type="dxa"/>
          </w:tcPr>
          <w:p w14:paraId="034BBE66"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&lt; 10, SS</w:t>
            </w:r>
          </w:p>
        </w:tc>
        <w:tc>
          <w:tcPr>
            <w:tcW w:w="1255" w:type="dxa"/>
          </w:tcPr>
          <w:p w14:paraId="0BD40767" w14:textId="77777777" w:rsidR="00F13F09" w:rsidRPr="00C766E8" w:rsidRDefault="00A614C3" w:rsidP="003A3C97">
            <w:pPr>
              <w:spacing w:after="0" w:line="240" w:lineRule="auto"/>
              <w:jc w:val="both"/>
              <w:rPr>
                <w:rFonts w:ascii="Arial" w:hAnsi="Arial" w:cs="Arial"/>
                <w:sz w:val="20"/>
                <w:szCs w:val="20"/>
              </w:rPr>
            </w:pPr>
            <w:r w:rsidRPr="00C766E8">
              <w:rPr>
                <w:rFonts w:ascii="Arial" w:hAnsi="Arial" w:cs="Arial"/>
                <w:sz w:val="20"/>
                <w:szCs w:val="20"/>
              </w:rPr>
              <w:t>0.9-2.11</w:t>
            </w:r>
          </w:p>
        </w:tc>
        <w:tc>
          <w:tcPr>
            <w:tcW w:w="1337" w:type="dxa"/>
          </w:tcPr>
          <w:p w14:paraId="602CC4AC" w14:textId="77777777" w:rsidR="00F13F09" w:rsidRPr="00C766E8" w:rsidRDefault="00A614C3" w:rsidP="003A3C97">
            <w:pPr>
              <w:spacing w:after="0" w:line="240" w:lineRule="auto"/>
              <w:jc w:val="both"/>
              <w:rPr>
                <w:rFonts w:ascii="Arial" w:hAnsi="Arial" w:cs="Arial"/>
                <w:sz w:val="20"/>
                <w:szCs w:val="20"/>
              </w:rPr>
            </w:pPr>
            <w:r w:rsidRPr="00C766E8">
              <w:rPr>
                <w:rFonts w:ascii="Arial" w:hAnsi="Arial" w:cs="Arial"/>
                <w:sz w:val="20"/>
                <w:szCs w:val="20"/>
              </w:rPr>
              <w:t>0.11-0.23</w:t>
            </w:r>
          </w:p>
        </w:tc>
        <w:tc>
          <w:tcPr>
            <w:tcW w:w="1379" w:type="dxa"/>
            <w:gridSpan w:val="2"/>
          </w:tcPr>
          <w:p w14:paraId="3081EB8B" w14:textId="77777777" w:rsidR="00F13F09" w:rsidRPr="00C766E8" w:rsidRDefault="00F13F09" w:rsidP="003A3C97">
            <w:pPr>
              <w:spacing w:after="0" w:line="240" w:lineRule="auto"/>
              <w:jc w:val="both"/>
              <w:rPr>
                <w:rFonts w:ascii="Arial" w:hAnsi="Arial" w:cs="Arial"/>
                <w:sz w:val="20"/>
                <w:szCs w:val="20"/>
              </w:rPr>
            </w:pPr>
            <w:r w:rsidRPr="00C766E8">
              <w:rPr>
                <w:rFonts w:ascii="Arial" w:hAnsi="Arial" w:cs="Arial"/>
                <w:sz w:val="20"/>
                <w:szCs w:val="20"/>
              </w:rPr>
              <w:t>Haggard et al. 2013</w:t>
            </w:r>
          </w:p>
        </w:tc>
      </w:tr>
      <w:tr w:rsidR="00E611D3" w14:paraId="2D92D120" w14:textId="77777777" w:rsidTr="006B0FFF">
        <w:tc>
          <w:tcPr>
            <w:tcW w:w="2425" w:type="dxa"/>
          </w:tcPr>
          <w:p w14:paraId="49ECE1F6" w14:textId="77777777" w:rsidR="00E611D3" w:rsidRPr="00C766E8" w:rsidRDefault="00E611D3" w:rsidP="003A3C97">
            <w:pPr>
              <w:spacing w:after="0" w:line="240" w:lineRule="auto"/>
              <w:jc w:val="both"/>
              <w:rPr>
                <w:rFonts w:ascii="Arial" w:hAnsi="Arial" w:cs="Arial"/>
                <w:sz w:val="20"/>
                <w:szCs w:val="20"/>
              </w:rPr>
            </w:pPr>
            <w:r>
              <w:rPr>
                <w:rFonts w:ascii="Arial" w:hAnsi="Arial" w:cs="Arial"/>
                <w:sz w:val="20"/>
                <w:szCs w:val="20"/>
              </w:rPr>
              <w:t>Oregon Rivers</w:t>
            </w:r>
          </w:p>
        </w:tc>
        <w:tc>
          <w:tcPr>
            <w:tcW w:w="2070" w:type="dxa"/>
          </w:tcPr>
          <w:p w14:paraId="1FA56659" w14:textId="77777777" w:rsidR="00E611D3" w:rsidRPr="00C766E8" w:rsidRDefault="00E611D3" w:rsidP="003A3C97">
            <w:pPr>
              <w:spacing w:after="0" w:line="240" w:lineRule="auto"/>
              <w:jc w:val="both"/>
              <w:rPr>
                <w:rFonts w:ascii="Arial" w:hAnsi="Arial" w:cs="Arial"/>
                <w:sz w:val="20"/>
                <w:szCs w:val="20"/>
              </w:rPr>
            </w:pPr>
            <w:r>
              <w:rPr>
                <w:rFonts w:ascii="Arial" w:hAnsi="Arial" w:cs="Arial"/>
                <w:sz w:val="20"/>
                <w:szCs w:val="20"/>
              </w:rPr>
              <w:t>Rivers and streams</w:t>
            </w:r>
          </w:p>
        </w:tc>
        <w:tc>
          <w:tcPr>
            <w:tcW w:w="3420" w:type="dxa"/>
          </w:tcPr>
          <w:p w14:paraId="275435DB" w14:textId="77777777" w:rsidR="00E611D3" w:rsidRPr="00C766E8" w:rsidRDefault="00E611D3" w:rsidP="003A3C97">
            <w:pPr>
              <w:spacing w:after="0" w:line="240" w:lineRule="auto"/>
              <w:jc w:val="both"/>
              <w:rPr>
                <w:rFonts w:ascii="Arial" w:hAnsi="Arial" w:cs="Arial"/>
                <w:sz w:val="20"/>
                <w:szCs w:val="20"/>
              </w:rPr>
            </w:pPr>
            <w:r>
              <w:rPr>
                <w:rFonts w:ascii="Arial" w:hAnsi="Arial" w:cs="Arial"/>
                <w:sz w:val="20"/>
                <w:szCs w:val="20"/>
              </w:rPr>
              <w:t>Not specified</w:t>
            </w:r>
          </w:p>
        </w:tc>
        <w:tc>
          <w:tcPr>
            <w:tcW w:w="1609" w:type="dxa"/>
          </w:tcPr>
          <w:p w14:paraId="64A2DE02" w14:textId="77777777" w:rsidR="00E611D3" w:rsidRPr="00C766E8" w:rsidRDefault="00E611D3" w:rsidP="003A3C97">
            <w:pPr>
              <w:spacing w:after="0" w:line="240" w:lineRule="auto"/>
              <w:jc w:val="both"/>
              <w:rPr>
                <w:rFonts w:ascii="Arial" w:hAnsi="Arial" w:cs="Arial"/>
                <w:sz w:val="20"/>
                <w:szCs w:val="20"/>
              </w:rPr>
            </w:pPr>
            <w:r>
              <w:rPr>
                <w:rFonts w:ascii="Arial" w:hAnsi="Arial" w:cs="Arial"/>
                <w:sz w:val="20"/>
                <w:szCs w:val="20"/>
              </w:rPr>
              <w:t>&lt; 15, SS</w:t>
            </w:r>
          </w:p>
        </w:tc>
        <w:tc>
          <w:tcPr>
            <w:tcW w:w="1255" w:type="dxa"/>
          </w:tcPr>
          <w:p w14:paraId="572BEF8E" w14:textId="77777777" w:rsidR="00E611D3" w:rsidRPr="00C766E8" w:rsidRDefault="00E611D3" w:rsidP="003A3C97">
            <w:pPr>
              <w:spacing w:after="0" w:line="240" w:lineRule="auto"/>
              <w:jc w:val="both"/>
              <w:rPr>
                <w:rFonts w:ascii="Arial" w:hAnsi="Arial" w:cs="Arial"/>
                <w:sz w:val="20"/>
                <w:szCs w:val="20"/>
              </w:rPr>
            </w:pPr>
            <w:r>
              <w:rPr>
                <w:rFonts w:ascii="Arial" w:hAnsi="Arial" w:cs="Arial"/>
                <w:sz w:val="20"/>
                <w:szCs w:val="20"/>
              </w:rPr>
              <w:t>--</w:t>
            </w:r>
          </w:p>
        </w:tc>
        <w:tc>
          <w:tcPr>
            <w:tcW w:w="1337" w:type="dxa"/>
          </w:tcPr>
          <w:p w14:paraId="4B920BF4" w14:textId="77777777" w:rsidR="00E611D3" w:rsidRPr="00C766E8" w:rsidRDefault="00E611D3" w:rsidP="003A3C97">
            <w:pPr>
              <w:spacing w:after="0" w:line="240" w:lineRule="auto"/>
              <w:jc w:val="both"/>
              <w:rPr>
                <w:rFonts w:ascii="Arial" w:hAnsi="Arial" w:cs="Arial"/>
                <w:sz w:val="20"/>
                <w:szCs w:val="20"/>
              </w:rPr>
            </w:pPr>
            <w:r>
              <w:rPr>
                <w:rFonts w:ascii="Arial" w:hAnsi="Arial" w:cs="Arial"/>
                <w:sz w:val="20"/>
                <w:szCs w:val="20"/>
              </w:rPr>
              <w:t>--</w:t>
            </w:r>
          </w:p>
        </w:tc>
        <w:tc>
          <w:tcPr>
            <w:tcW w:w="1379" w:type="dxa"/>
            <w:gridSpan w:val="2"/>
          </w:tcPr>
          <w:p w14:paraId="3CE162A9" w14:textId="77777777" w:rsidR="00E611D3" w:rsidRPr="00C766E8" w:rsidRDefault="00E611D3" w:rsidP="003A3C97">
            <w:pPr>
              <w:spacing w:after="0" w:line="240" w:lineRule="auto"/>
              <w:jc w:val="both"/>
              <w:rPr>
                <w:rFonts w:ascii="Arial" w:hAnsi="Arial" w:cs="Arial"/>
                <w:sz w:val="20"/>
                <w:szCs w:val="20"/>
              </w:rPr>
            </w:pPr>
            <w:r w:rsidRPr="00E611D3">
              <w:rPr>
                <w:rFonts w:ascii="Arial" w:hAnsi="Arial" w:cs="Arial"/>
                <w:sz w:val="20"/>
                <w:szCs w:val="20"/>
              </w:rPr>
              <w:t>OAR, 2000</w:t>
            </w:r>
          </w:p>
        </w:tc>
      </w:tr>
      <w:tr w:rsidR="00E611D3" w14:paraId="18BF5F8D" w14:textId="77777777" w:rsidTr="006B0FFF">
        <w:tc>
          <w:tcPr>
            <w:tcW w:w="2425" w:type="dxa"/>
          </w:tcPr>
          <w:p w14:paraId="746D8965" w14:textId="77777777" w:rsidR="00E611D3" w:rsidRDefault="00E611D3" w:rsidP="003A3C97">
            <w:pPr>
              <w:spacing w:after="0" w:line="240" w:lineRule="auto"/>
              <w:jc w:val="both"/>
              <w:rPr>
                <w:rFonts w:ascii="Arial" w:hAnsi="Arial" w:cs="Arial"/>
                <w:sz w:val="20"/>
                <w:szCs w:val="20"/>
              </w:rPr>
            </w:pPr>
            <w:r>
              <w:rPr>
                <w:rFonts w:ascii="Arial" w:hAnsi="Arial" w:cs="Arial"/>
                <w:sz w:val="20"/>
                <w:szCs w:val="20"/>
              </w:rPr>
              <w:t>North Carolina</w:t>
            </w:r>
          </w:p>
        </w:tc>
        <w:tc>
          <w:tcPr>
            <w:tcW w:w="2070" w:type="dxa"/>
          </w:tcPr>
          <w:p w14:paraId="293CE08D" w14:textId="77777777" w:rsidR="00E611D3" w:rsidRDefault="00E611D3" w:rsidP="003A3C97">
            <w:pPr>
              <w:spacing w:after="0" w:line="240" w:lineRule="auto"/>
              <w:jc w:val="both"/>
              <w:rPr>
                <w:rFonts w:ascii="Arial" w:hAnsi="Arial" w:cs="Arial"/>
                <w:sz w:val="20"/>
                <w:szCs w:val="20"/>
              </w:rPr>
            </w:pPr>
            <w:r>
              <w:rPr>
                <w:rFonts w:ascii="Arial" w:hAnsi="Arial" w:cs="Arial"/>
                <w:sz w:val="20"/>
                <w:szCs w:val="20"/>
              </w:rPr>
              <w:t>COLD lakes and rivers</w:t>
            </w:r>
          </w:p>
          <w:p w14:paraId="1F7F5A9D" w14:textId="77777777" w:rsidR="00E611D3" w:rsidRDefault="00E611D3" w:rsidP="003A3C97">
            <w:pPr>
              <w:spacing w:after="0" w:line="240" w:lineRule="auto"/>
              <w:jc w:val="both"/>
              <w:rPr>
                <w:rFonts w:ascii="Arial" w:hAnsi="Arial" w:cs="Arial"/>
                <w:sz w:val="20"/>
                <w:szCs w:val="20"/>
              </w:rPr>
            </w:pPr>
            <w:r>
              <w:rPr>
                <w:rFonts w:ascii="Arial" w:hAnsi="Arial" w:cs="Arial"/>
                <w:sz w:val="20"/>
                <w:szCs w:val="20"/>
              </w:rPr>
              <w:t>WARM lakes &amp; rivers</w:t>
            </w:r>
          </w:p>
        </w:tc>
        <w:tc>
          <w:tcPr>
            <w:tcW w:w="3420" w:type="dxa"/>
          </w:tcPr>
          <w:p w14:paraId="73C40742" w14:textId="77777777" w:rsidR="00E611D3" w:rsidRPr="00C766E8" w:rsidRDefault="00E611D3" w:rsidP="003A3C97">
            <w:pPr>
              <w:spacing w:after="0" w:line="240" w:lineRule="auto"/>
              <w:jc w:val="both"/>
              <w:rPr>
                <w:rFonts w:ascii="Arial" w:hAnsi="Arial" w:cs="Arial"/>
                <w:sz w:val="20"/>
                <w:szCs w:val="20"/>
              </w:rPr>
            </w:pPr>
            <w:r>
              <w:rPr>
                <w:rFonts w:ascii="Arial" w:hAnsi="Arial" w:cs="Arial"/>
                <w:sz w:val="20"/>
                <w:szCs w:val="20"/>
              </w:rPr>
              <w:t>Not specified</w:t>
            </w:r>
          </w:p>
        </w:tc>
        <w:tc>
          <w:tcPr>
            <w:tcW w:w="1609" w:type="dxa"/>
          </w:tcPr>
          <w:p w14:paraId="42576118" w14:textId="77777777" w:rsidR="00E611D3" w:rsidRDefault="00E611D3" w:rsidP="003A3C97">
            <w:pPr>
              <w:spacing w:after="0" w:line="240" w:lineRule="auto"/>
              <w:jc w:val="both"/>
              <w:rPr>
                <w:rFonts w:ascii="Arial" w:hAnsi="Arial" w:cs="Arial"/>
                <w:sz w:val="20"/>
                <w:szCs w:val="20"/>
              </w:rPr>
            </w:pPr>
            <w:r>
              <w:rPr>
                <w:rFonts w:ascii="Arial" w:hAnsi="Arial" w:cs="Arial"/>
                <w:sz w:val="20"/>
                <w:szCs w:val="20"/>
              </w:rPr>
              <w:t>&lt; 15, SS</w:t>
            </w:r>
          </w:p>
          <w:p w14:paraId="2D34A1C6" w14:textId="77777777" w:rsidR="00E611D3" w:rsidRDefault="00E611D3" w:rsidP="003A3C97">
            <w:pPr>
              <w:spacing w:after="0" w:line="240" w:lineRule="auto"/>
              <w:jc w:val="both"/>
              <w:rPr>
                <w:rFonts w:ascii="Arial" w:hAnsi="Arial" w:cs="Arial"/>
                <w:sz w:val="20"/>
                <w:szCs w:val="20"/>
              </w:rPr>
            </w:pPr>
            <w:r>
              <w:rPr>
                <w:rFonts w:ascii="Arial" w:hAnsi="Arial" w:cs="Arial"/>
                <w:sz w:val="20"/>
                <w:szCs w:val="20"/>
              </w:rPr>
              <w:t>&lt; 40, SS</w:t>
            </w:r>
          </w:p>
        </w:tc>
        <w:tc>
          <w:tcPr>
            <w:tcW w:w="1255" w:type="dxa"/>
          </w:tcPr>
          <w:p w14:paraId="572EEA6A" w14:textId="77777777" w:rsidR="00E611D3" w:rsidRDefault="00E611D3" w:rsidP="003A3C97">
            <w:pPr>
              <w:spacing w:after="0" w:line="240" w:lineRule="auto"/>
              <w:jc w:val="both"/>
              <w:rPr>
                <w:rFonts w:ascii="Arial" w:hAnsi="Arial" w:cs="Arial"/>
                <w:sz w:val="20"/>
                <w:szCs w:val="20"/>
              </w:rPr>
            </w:pPr>
          </w:p>
        </w:tc>
        <w:tc>
          <w:tcPr>
            <w:tcW w:w="1337" w:type="dxa"/>
          </w:tcPr>
          <w:p w14:paraId="3DE3DB45" w14:textId="77777777" w:rsidR="00E611D3" w:rsidRDefault="00E611D3" w:rsidP="003A3C97">
            <w:pPr>
              <w:spacing w:after="0" w:line="240" w:lineRule="auto"/>
              <w:jc w:val="both"/>
              <w:rPr>
                <w:rFonts w:ascii="Arial" w:hAnsi="Arial" w:cs="Arial"/>
                <w:sz w:val="20"/>
                <w:szCs w:val="20"/>
              </w:rPr>
            </w:pPr>
          </w:p>
        </w:tc>
        <w:tc>
          <w:tcPr>
            <w:tcW w:w="1379" w:type="dxa"/>
            <w:gridSpan w:val="2"/>
          </w:tcPr>
          <w:p w14:paraId="695FBC15" w14:textId="77777777" w:rsidR="00E611D3" w:rsidRPr="00E611D3" w:rsidRDefault="006B0FFF" w:rsidP="003A3C97">
            <w:pPr>
              <w:spacing w:after="0" w:line="240" w:lineRule="auto"/>
              <w:jc w:val="both"/>
              <w:rPr>
                <w:rFonts w:ascii="Arial" w:hAnsi="Arial" w:cs="Arial"/>
                <w:sz w:val="20"/>
                <w:szCs w:val="20"/>
              </w:rPr>
            </w:pPr>
            <w:r>
              <w:rPr>
                <w:rFonts w:ascii="Arial" w:hAnsi="Arial" w:cs="Arial"/>
                <w:sz w:val="20"/>
                <w:szCs w:val="20"/>
              </w:rPr>
              <w:t>NC 2002</w:t>
            </w:r>
          </w:p>
        </w:tc>
      </w:tr>
      <w:tr w:rsidR="00E611D3" w14:paraId="25719FCA" w14:textId="77777777" w:rsidTr="006B0FFF">
        <w:tc>
          <w:tcPr>
            <w:tcW w:w="2425" w:type="dxa"/>
          </w:tcPr>
          <w:p w14:paraId="00C1699C" w14:textId="77777777" w:rsidR="00E611D3" w:rsidRDefault="006B0FFF" w:rsidP="003A3C97">
            <w:pPr>
              <w:spacing w:after="0" w:line="240" w:lineRule="auto"/>
              <w:jc w:val="both"/>
              <w:rPr>
                <w:rFonts w:ascii="Arial" w:hAnsi="Arial" w:cs="Arial"/>
                <w:sz w:val="20"/>
                <w:szCs w:val="20"/>
              </w:rPr>
            </w:pPr>
            <w:r>
              <w:rPr>
                <w:rFonts w:ascii="Arial" w:hAnsi="Arial" w:cs="Arial"/>
                <w:sz w:val="20"/>
                <w:szCs w:val="20"/>
              </w:rPr>
              <w:t>EPA Rivers and Stream Criteria</w:t>
            </w:r>
          </w:p>
        </w:tc>
        <w:tc>
          <w:tcPr>
            <w:tcW w:w="2070" w:type="dxa"/>
          </w:tcPr>
          <w:p w14:paraId="16FD40CB" w14:textId="77777777" w:rsidR="00E611D3" w:rsidRDefault="00E611D3" w:rsidP="003A3C97">
            <w:pPr>
              <w:spacing w:after="0" w:line="240" w:lineRule="auto"/>
              <w:jc w:val="both"/>
              <w:rPr>
                <w:rFonts w:ascii="Arial" w:hAnsi="Arial" w:cs="Arial"/>
                <w:sz w:val="20"/>
                <w:szCs w:val="20"/>
              </w:rPr>
            </w:pPr>
          </w:p>
        </w:tc>
        <w:tc>
          <w:tcPr>
            <w:tcW w:w="3420" w:type="dxa"/>
          </w:tcPr>
          <w:p w14:paraId="0CAB6B4A" w14:textId="77777777" w:rsidR="00E611D3" w:rsidRDefault="00E611D3" w:rsidP="003A3C97">
            <w:pPr>
              <w:spacing w:after="0" w:line="240" w:lineRule="auto"/>
              <w:jc w:val="both"/>
              <w:rPr>
                <w:rFonts w:ascii="Arial" w:hAnsi="Arial" w:cs="Arial"/>
                <w:sz w:val="20"/>
                <w:szCs w:val="20"/>
              </w:rPr>
            </w:pPr>
          </w:p>
        </w:tc>
        <w:tc>
          <w:tcPr>
            <w:tcW w:w="1609" w:type="dxa"/>
          </w:tcPr>
          <w:p w14:paraId="273FB610" w14:textId="77777777" w:rsidR="00E611D3" w:rsidRDefault="006B0FFF" w:rsidP="003A3C97">
            <w:pPr>
              <w:spacing w:after="0" w:line="240" w:lineRule="auto"/>
              <w:jc w:val="both"/>
              <w:rPr>
                <w:rFonts w:ascii="Arial" w:hAnsi="Arial" w:cs="Arial"/>
                <w:sz w:val="20"/>
                <w:szCs w:val="20"/>
              </w:rPr>
            </w:pPr>
            <w:r>
              <w:rPr>
                <w:rFonts w:ascii="Arial" w:hAnsi="Arial" w:cs="Arial"/>
                <w:sz w:val="20"/>
                <w:szCs w:val="20"/>
              </w:rPr>
              <w:t>&lt; 8</w:t>
            </w:r>
          </w:p>
        </w:tc>
        <w:tc>
          <w:tcPr>
            <w:tcW w:w="1255" w:type="dxa"/>
          </w:tcPr>
          <w:p w14:paraId="52383A2C" w14:textId="77777777" w:rsidR="00E611D3" w:rsidRDefault="00E611D3" w:rsidP="003A3C97">
            <w:pPr>
              <w:spacing w:after="0" w:line="240" w:lineRule="auto"/>
              <w:jc w:val="both"/>
              <w:rPr>
                <w:rFonts w:ascii="Arial" w:hAnsi="Arial" w:cs="Arial"/>
                <w:sz w:val="20"/>
                <w:szCs w:val="20"/>
              </w:rPr>
            </w:pPr>
          </w:p>
        </w:tc>
        <w:tc>
          <w:tcPr>
            <w:tcW w:w="1337" w:type="dxa"/>
          </w:tcPr>
          <w:p w14:paraId="521C8E93" w14:textId="77777777" w:rsidR="00E611D3" w:rsidRDefault="00E611D3" w:rsidP="003A3C97">
            <w:pPr>
              <w:spacing w:after="0" w:line="240" w:lineRule="auto"/>
              <w:jc w:val="both"/>
              <w:rPr>
                <w:rFonts w:ascii="Arial" w:hAnsi="Arial" w:cs="Arial"/>
                <w:sz w:val="20"/>
                <w:szCs w:val="20"/>
              </w:rPr>
            </w:pPr>
          </w:p>
        </w:tc>
        <w:tc>
          <w:tcPr>
            <w:tcW w:w="1379" w:type="dxa"/>
            <w:gridSpan w:val="2"/>
          </w:tcPr>
          <w:p w14:paraId="2C9684CE" w14:textId="77777777" w:rsidR="00E611D3" w:rsidRPr="00E611D3" w:rsidRDefault="006B0FFF" w:rsidP="003A3C97">
            <w:pPr>
              <w:spacing w:after="0" w:line="240" w:lineRule="auto"/>
              <w:jc w:val="both"/>
              <w:rPr>
                <w:rFonts w:ascii="Arial" w:hAnsi="Arial" w:cs="Arial"/>
                <w:sz w:val="20"/>
                <w:szCs w:val="20"/>
              </w:rPr>
            </w:pPr>
            <w:r>
              <w:rPr>
                <w:rFonts w:ascii="Arial" w:hAnsi="Arial" w:cs="Arial"/>
                <w:sz w:val="20"/>
                <w:szCs w:val="20"/>
              </w:rPr>
              <w:t>EPA 2000</w:t>
            </w:r>
          </w:p>
        </w:tc>
      </w:tr>
    </w:tbl>
    <w:p w14:paraId="130BD0C4" w14:textId="77777777" w:rsidR="00F13F09" w:rsidRDefault="00F13F09" w:rsidP="0052704A">
      <w:pPr>
        <w:jc w:val="both"/>
        <w:sectPr w:rsidR="00F13F09" w:rsidSect="00F13F09">
          <w:pgSz w:w="15840" w:h="12240" w:orient="landscape"/>
          <w:pgMar w:top="1440" w:right="1440" w:bottom="1440" w:left="1440" w:header="720" w:footer="720" w:gutter="0"/>
          <w:cols w:space="720"/>
          <w:docGrid w:linePitch="360"/>
        </w:sectPr>
      </w:pPr>
    </w:p>
    <w:p w14:paraId="4754B483" w14:textId="77777777" w:rsidR="00A6560D" w:rsidRDefault="00A6560D" w:rsidP="00A6560D">
      <w:pPr>
        <w:pStyle w:val="Heading3"/>
      </w:pPr>
      <w:bookmarkStart w:id="152" w:name="_Toc526505135"/>
      <w:r>
        <w:t>3.3.</w:t>
      </w:r>
      <w:r w:rsidR="00F81CA7">
        <w:t>2</w:t>
      </w:r>
      <w:r>
        <w:t xml:space="preserve"> </w:t>
      </w:r>
      <w:r w:rsidR="00BE7110">
        <w:t xml:space="preserve">Dissolved Oxygen </w:t>
      </w:r>
      <w:r w:rsidR="00B61BBF">
        <w:t>and pH: Water Board Basin Plans</w:t>
      </w:r>
      <w:bookmarkEnd w:id="152"/>
    </w:p>
    <w:p w14:paraId="179DE01B" w14:textId="77777777" w:rsidR="00A6560D" w:rsidRDefault="00E55418" w:rsidP="00B10A6B">
      <w:r>
        <w:t xml:space="preserve">The basis for DO </w:t>
      </w:r>
      <w:r w:rsidR="00B61BBF">
        <w:t xml:space="preserve">and pH </w:t>
      </w:r>
      <w:r>
        <w:t>targets are Regional Water Board basin plan objectives. All Regional Board Basin Plan feature some element of a</w:t>
      </w:r>
      <w:r w:rsidR="00B61BBF">
        <w:t xml:space="preserve">n </w:t>
      </w:r>
      <w:r>
        <w:t xml:space="preserve">absolute concentration target </w:t>
      </w:r>
      <w:r w:rsidR="00B61BBF">
        <w:t xml:space="preserve">for DO </w:t>
      </w:r>
      <w:r>
        <w:t>(e.g. &gt; 5 mg/L). Most specify WARM versus COLD water objectives and a designated averaging period. Some give an alternative objective based on percent saturation or percent deviation from natural (Table 3.</w:t>
      </w:r>
      <w:r w:rsidR="00F25BA4">
        <w:t>10</w:t>
      </w:r>
      <w:r>
        <w:t>)</w:t>
      </w:r>
      <w:r w:rsidR="00F07A15">
        <w:t xml:space="preserve">. </w:t>
      </w:r>
    </w:p>
    <w:p w14:paraId="1EAB2F79" w14:textId="77777777" w:rsidR="00F07A15" w:rsidRDefault="00F07A15" w:rsidP="00FE66CC">
      <w:r>
        <w:t xml:space="preserve">The literature does contribute some useful information on interpretation of thresholds which, though </w:t>
      </w:r>
      <w:r w:rsidR="009B17C2">
        <w:t xml:space="preserve">currently addressed through the </w:t>
      </w:r>
      <w:r w:rsidR="00FE66CC">
        <w:t xml:space="preserve">Water Quality Control Policy for Developing California’s Clean Water Action Section 303(d) list </w:t>
      </w:r>
      <w:r w:rsidR="009B17C2">
        <w:t xml:space="preserve">(i.e. 7-day mean of DO minima, </w:t>
      </w:r>
      <w:r w:rsidR="00FE66CC" w:rsidRPr="00FE66CC">
        <w:t>www.waterboards.ca.gov</w:t>
      </w:r>
      <w:r w:rsidR="009B17C2">
        <w:t xml:space="preserve">), </w:t>
      </w:r>
      <w:r>
        <w:t xml:space="preserve">is </w:t>
      </w:r>
      <w:r w:rsidR="009B17C2">
        <w:t xml:space="preserve">often the subject of discussion in science supporting site specific DO targets (e.g. Tetra Tech 2018). Several studies have found strong correlations of BMI and invertebrates with DO minima metrics (e.g. Jessup et al. 2015, DO minima of 5.0 mg/L and Miltner et al. (2010, DO minima of 5.25-5.86 in large rivers to protect invertebrates), which lends support </w:t>
      </w:r>
      <w:r w:rsidR="00FE66CC">
        <w:t>for the use of the 7-day mean of DO minima in</w:t>
      </w:r>
      <w:r w:rsidR="009B17C2">
        <w:t xml:space="preserve"> current State Water Board Impaired Waters Policy</w:t>
      </w:r>
      <w:r w:rsidR="00FE66CC" w:rsidRPr="00FE66CC">
        <w:t xml:space="preserve"> </w:t>
      </w:r>
      <w:r w:rsidR="00FE66CC">
        <w:t>in wadeable streams</w:t>
      </w:r>
      <w:r w:rsidR="009B17C2">
        <w:t xml:space="preserve">. </w:t>
      </w:r>
    </w:p>
    <w:p w14:paraId="2848E942" w14:textId="77777777" w:rsidR="00E55418" w:rsidRDefault="00E55418" w:rsidP="00B81294">
      <w:pPr>
        <w:pStyle w:val="TOT"/>
      </w:pPr>
      <w:bookmarkStart w:id="153" w:name="_Toc526489925"/>
      <w:r>
        <w:t>Table 3.</w:t>
      </w:r>
      <w:r w:rsidR="00F25BA4">
        <w:t>10</w:t>
      </w:r>
      <w:r>
        <w:t xml:space="preserve"> Summary of freshwater DO objectives excerpted from Regional Board Basin Plans. From </w:t>
      </w:r>
      <w:hyperlink r:id="rId52" w:history="1">
        <w:r w:rsidRPr="00F24821">
          <w:rPr>
            <w:rStyle w:val="Hyperlink"/>
          </w:rPr>
          <w:t>www.waterboards.ca.gov</w:t>
        </w:r>
        <w:bookmarkEnd w:id="153"/>
      </w:hyperlink>
    </w:p>
    <w:tbl>
      <w:tblPr>
        <w:tblStyle w:val="TableGrid"/>
        <w:tblW w:w="0" w:type="auto"/>
        <w:tblLook w:val="04A0" w:firstRow="1" w:lastRow="0" w:firstColumn="1" w:lastColumn="0" w:noHBand="0" w:noVBand="1"/>
      </w:tblPr>
      <w:tblGrid>
        <w:gridCol w:w="9350"/>
      </w:tblGrid>
      <w:tr w:rsidR="00E55418" w14:paraId="1D848BD3" w14:textId="77777777" w:rsidTr="00E55418">
        <w:tc>
          <w:tcPr>
            <w:tcW w:w="9350" w:type="dxa"/>
          </w:tcPr>
          <w:p w14:paraId="10295A94" w14:textId="77777777" w:rsidR="00E55418" w:rsidRPr="00B61BBF" w:rsidRDefault="00E55418" w:rsidP="00FE66CC">
            <w:pPr>
              <w:spacing w:after="120"/>
              <w:rPr>
                <w:rFonts w:ascii="Arial" w:hAnsi="Arial" w:cs="Arial"/>
                <w:sz w:val="20"/>
                <w:szCs w:val="20"/>
              </w:rPr>
            </w:pPr>
            <w:r w:rsidRPr="00B61BBF">
              <w:rPr>
                <w:rFonts w:ascii="Arial" w:hAnsi="Arial" w:cs="Arial"/>
                <w:b/>
                <w:sz w:val="20"/>
                <w:szCs w:val="20"/>
              </w:rPr>
              <w:t>Region 1:</w:t>
            </w:r>
            <w:r w:rsidRPr="00B61BBF">
              <w:rPr>
                <w:rFonts w:ascii="Arial" w:hAnsi="Arial" w:cs="Arial"/>
                <w:sz w:val="20"/>
                <w:szCs w:val="20"/>
              </w:rPr>
              <w:t xml:space="preserve"> WARM: 5.0 mg/L daily minimum and 6 mg/L for 7-day moving average; COLD 6 mg/L daily minimum and 8 mg/L 7-day moving average; SPWN, 9 mg/L daily min and 11 mg/L 7-day moving average</w:t>
            </w:r>
          </w:p>
        </w:tc>
      </w:tr>
      <w:tr w:rsidR="00E55418" w14:paraId="4FA7FB61" w14:textId="77777777" w:rsidTr="00E55418">
        <w:tc>
          <w:tcPr>
            <w:tcW w:w="9350" w:type="dxa"/>
          </w:tcPr>
          <w:p w14:paraId="00F4F001" w14:textId="77777777" w:rsidR="00E55418" w:rsidRPr="00B61BBF" w:rsidRDefault="00E55418" w:rsidP="00FE66CC">
            <w:pPr>
              <w:spacing w:after="120"/>
              <w:rPr>
                <w:rFonts w:ascii="Arial" w:hAnsi="Arial" w:cs="Arial"/>
                <w:sz w:val="20"/>
                <w:szCs w:val="20"/>
              </w:rPr>
            </w:pPr>
            <w:r w:rsidRPr="00B61BBF">
              <w:rPr>
                <w:rFonts w:ascii="Arial" w:hAnsi="Arial" w:cs="Arial"/>
                <w:b/>
                <w:sz w:val="20"/>
                <w:szCs w:val="20"/>
              </w:rPr>
              <w:t>Region 2:</w:t>
            </w:r>
            <w:r w:rsidRPr="00B61BBF">
              <w:rPr>
                <w:rFonts w:ascii="Arial" w:hAnsi="Arial" w:cs="Arial"/>
                <w:sz w:val="20"/>
                <w:szCs w:val="20"/>
              </w:rPr>
              <w:t xml:space="preserve"> 5 mg/L WARM; 6 mg/L COLD, 7 mg/L COLD and SPWN</w:t>
            </w:r>
          </w:p>
        </w:tc>
      </w:tr>
      <w:tr w:rsidR="00E55418" w14:paraId="575B383F" w14:textId="77777777" w:rsidTr="00E55418">
        <w:tc>
          <w:tcPr>
            <w:tcW w:w="9350" w:type="dxa"/>
          </w:tcPr>
          <w:p w14:paraId="7A6387BC" w14:textId="3C178490" w:rsidR="00E55418" w:rsidRPr="00B61BBF" w:rsidRDefault="00B81294" w:rsidP="00FE66CC">
            <w:pPr>
              <w:spacing w:after="120"/>
              <w:ind w:left="-30" w:firstLine="30"/>
              <w:rPr>
                <w:rFonts w:ascii="Arial" w:hAnsi="Arial" w:cs="Arial"/>
                <w:sz w:val="20"/>
                <w:szCs w:val="20"/>
              </w:rPr>
            </w:pPr>
            <w:r w:rsidRPr="00B61BBF">
              <w:rPr>
                <w:rFonts w:ascii="Arial" w:hAnsi="Arial" w:cs="Arial"/>
                <w:b/>
                <w:sz w:val="20"/>
                <w:szCs w:val="20"/>
              </w:rPr>
              <w:t>Region 3:</w:t>
            </w:r>
            <w:r w:rsidRPr="00B61BBF">
              <w:rPr>
                <w:rFonts w:ascii="Arial" w:hAnsi="Arial" w:cs="Arial"/>
                <w:sz w:val="20"/>
                <w:szCs w:val="20"/>
              </w:rPr>
              <w:t xml:space="preserve"> 5.0 mg/L at any time. Median values should not fall below 85 percent saturation </w:t>
            </w:r>
            <w:r w:rsidR="00F01CB8" w:rsidRPr="00B61BBF">
              <w:rPr>
                <w:rFonts w:ascii="Arial" w:hAnsi="Arial" w:cs="Arial"/>
                <w:sz w:val="20"/>
                <w:szCs w:val="20"/>
              </w:rPr>
              <w:t>because of</w:t>
            </w:r>
            <w:r w:rsidRPr="00B61BBF">
              <w:rPr>
                <w:rFonts w:ascii="Arial" w:hAnsi="Arial" w:cs="Arial"/>
                <w:sz w:val="20"/>
                <w:szCs w:val="20"/>
              </w:rPr>
              <w:t xml:space="preserve"> controllable water quality conditions.</w:t>
            </w:r>
          </w:p>
        </w:tc>
      </w:tr>
      <w:tr w:rsidR="00E55418" w14:paraId="7BAFA326" w14:textId="77777777" w:rsidTr="00E55418">
        <w:tc>
          <w:tcPr>
            <w:tcW w:w="9350" w:type="dxa"/>
          </w:tcPr>
          <w:p w14:paraId="6189B9F4" w14:textId="77777777" w:rsidR="00E55418" w:rsidRPr="00B61BBF" w:rsidRDefault="00E55418" w:rsidP="00FE66CC">
            <w:pPr>
              <w:spacing w:after="120"/>
              <w:rPr>
                <w:rFonts w:ascii="Arial" w:hAnsi="Arial" w:cs="Arial"/>
                <w:sz w:val="20"/>
                <w:szCs w:val="20"/>
              </w:rPr>
            </w:pPr>
            <w:r w:rsidRPr="00B61BBF">
              <w:rPr>
                <w:rFonts w:ascii="Arial" w:hAnsi="Arial" w:cs="Arial"/>
                <w:b/>
                <w:sz w:val="20"/>
                <w:szCs w:val="20"/>
              </w:rPr>
              <w:t>Region 4:</w:t>
            </w:r>
            <w:r w:rsidRPr="00B61BBF">
              <w:rPr>
                <w:rFonts w:ascii="Arial" w:hAnsi="Arial" w:cs="Arial"/>
                <w:sz w:val="20"/>
                <w:szCs w:val="20"/>
              </w:rPr>
              <w:t xml:space="preserve"> 5 mg/L WARM; 6 mg/L COLD, 7 mg/L COLD and SPWN</w:t>
            </w:r>
          </w:p>
        </w:tc>
      </w:tr>
      <w:tr w:rsidR="00E55418" w14:paraId="1AB5D82B" w14:textId="77777777" w:rsidTr="00E55418">
        <w:tc>
          <w:tcPr>
            <w:tcW w:w="9350" w:type="dxa"/>
          </w:tcPr>
          <w:p w14:paraId="1C12DD05" w14:textId="77777777" w:rsidR="00E55418" w:rsidRPr="00B61BBF" w:rsidRDefault="00E55418" w:rsidP="00FE66CC">
            <w:pPr>
              <w:spacing w:after="120"/>
              <w:rPr>
                <w:rFonts w:ascii="Arial" w:hAnsi="Arial" w:cs="Arial"/>
                <w:sz w:val="20"/>
                <w:szCs w:val="20"/>
              </w:rPr>
            </w:pPr>
            <w:r w:rsidRPr="00B61BBF">
              <w:rPr>
                <w:rFonts w:ascii="Arial" w:hAnsi="Arial" w:cs="Arial"/>
                <w:b/>
                <w:sz w:val="20"/>
                <w:szCs w:val="20"/>
              </w:rPr>
              <w:t>Region 5</w:t>
            </w:r>
            <w:r w:rsidRPr="00B61BBF">
              <w:rPr>
                <w:rFonts w:ascii="Arial" w:hAnsi="Arial" w:cs="Arial"/>
                <w:sz w:val="20"/>
                <w:szCs w:val="20"/>
              </w:rPr>
              <w:t>: Waters designated WARM 5.0 mg/l, COLD 7.0 mg/l, SPWN 7.0 mg/l</w:t>
            </w:r>
          </w:p>
        </w:tc>
      </w:tr>
      <w:tr w:rsidR="00E55418" w14:paraId="578A0C7E" w14:textId="77777777" w:rsidTr="00E55418">
        <w:tc>
          <w:tcPr>
            <w:tcW w:w="9350" w:type="dxa"/>
          </w:tcPr>
          <w:p w14:paraId="4D32AACF" w14:textId="77777777" w:rsidR="00E55418" w:rsidRPr="00B61BBF" w:rsidRDefault="00B81294" w:rsidP="00FE66CC">
            <w:pPr>
              <w:spacing w:after="120"/>
              <w:ind w:left="-29"/>
              <w:rPr>
                <w:rFonts w:ascii="Arial" w:hAnsi="Arial" w:cs="Arial"/>
                <w:sz w:val="20"/>
                <w:szCs w:val="20"/>
              </w:rPr>
            </w:pPr>
            <w:r w:rsidRPr="00B61BBF">
              <w:rPr>
                <w:rFonts w:ascii="Arial" w:hAnsi="Arial" w:cs="Arial"/>
                <w:b/>
                <w:sz w:val="20"/>
                <w:szCs w:val="20"/>
              </w:rPr>
              <w:t>Region 6</w:t>
            </w:r>
            <w:r w:rsidRPr="00B61BBF">
              <w:rPr>
                <w:rFonts w:ascii="Arial" w:hAnsi="Arial" w:cs="Arial"/>
                <w:sz w:val="20"/>
                <w:szCs w:val="20"/>
              </w:rPr>
              <w:t>: &gt; 80% saturation, or 10% of natural; concentrations specified for COLD, WARM or SPWN below</w:t>
            </w:r>
          </w:p>
          <w:p w14:paraId="2BCFA217" w14:textId="77777777" w:rsidR="00B81294" w:rsidRPr="00B61BBF" w:rsidRDefault="00B81294" w:rsidP="00FE66CC">
            <w:pPr>
              <w:spacing w:after="120"/>
              <w:ind w:left="-29"/>
              <w:rPr>
                <w:rFonts w:ascii="Arial" w:hAnsi="Arial" w:cs="Arial"/>
                <w:sz w:val="20"/>
                <w:szCs w:val="20"/>
              </w:rPr>
            </w:pPr>
            <w:r w:rsidRPr="00B61BBF">
              <w:rPr>
                <w:rFonts w:ascii="Arial" w:hAnsi="Arial" w:cs="Arial"/>
                <w:noProof/>
                <w:sz w:val="20"/>
                <w:szCs w:val="20"/>
                <w:lang w:eastAsia="zh-CN" w:bidi="ar-SA"/>
              </w:rPr>
              <w:drawing>
                <wp:inline distT="0" distB="0" distL="0" distR="0" wp14:anchorId="7455B7A6" wp14:editId="17734E53">
                  <wp:extent cx="5105400" cy="1135078"/>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132327" cy="1141065"/>
                          </a:xfrm>
                          <a:prstGeom prst="rect">
                            <a:avLst/>
                          </a:prstGeom>
                        </pic:spPr>
                      </pic:pic>
                    </a:graphicData>
                  </a:graphic>
                </wp:inline>
              </w:drawing>
            </w:r>
          </w:p>
        </w:tc>
      </w:tr>
      <w:tr w:rsidR="00E55418" w14:paraId="487593A2" w14:textId="77777777" w:rsidTr="00E55418">
        <w:tc>
          <w:tcPr>
            <w:tcW w:w="9350" w:type="dxa"/>
          </w:tcPr>
          <w:p w14:paraId="660E2A31" w14:textId="77777777" w:rsidR="00E55418" w:rsidRPr="00B61BBF" w:rsidRDefault="00B81294" w:rsidP="00FE66CC">
            <w:pPr>
              <w:spacing w:after="120"/>
              <w:ind w:left="-30"/>
              <w:rPr>
                <w:rFonts w:ascii="Arial" w:hAnsi="Arial" w:cs="Arial"/>
                <w:sz w:val="20"/>
                <w:szCs w:val="20"/>
              </w:rPr>
            </w:pPr>
            <w:r w:rsidRPr="00B61BBF">
              <w:rPr>
                <w:rFonts w:ascii="Arial" w:hAnsi="Arial" w:cs="Arial"/>
                <w:b/>
                <w:sz w:val="20"/>
                <w:szCs w:val="20"/>
              </w:rPr>
              <w:t>Region 7</w:t>
            </w:r>
            <w:r w:rsidRPr="00B61BBF">
              <w:rPr>
                <w:rFonts w:ascii="Arial" w:hAnsi="Arial" w:cs="Arial"/>
                <w:sz w:val="20"/>
                <w:szCs w:val="20"/>
              </w:rPr>
              <w:t>: WARM 5 mg/L, COLD 8 mg/L, WARM and COLD: 8 mg/L</w:t>
            </w:r>
          </w:p>
        </w:tc>
      </w:tr>
      <w:tr w:rsidR="00E55418" w14:paraId="5B3B0BF4" w14:textId="77777777" w:rsidTr="00E55418">
        <w:tc>
          <w:tcPr>
            <w:tcW w:w="9350" w:type="dxa"/>
          </w:tcPr>
          <w:p w14:paraId="61AD9507" w14:textId="18DC0EF7" w:rsidR="00E55418" w:rsidRPr="00B61BBF" w:rsidRDefault="00B81294" w:rsidP="00FE66CC">
            <w:pPr>
              <w:spacing w:after="120"/>
              <w:ind w:left="-30"/>
              <w:rPr>
                <w:rFonts w:ascii="Arial" w:hAnsi="Arial" w:cs="Arial"/>
                <w:sz w:val="20"/>
                <w:szCs w:val="20"/>
              </w:rPr>
            </w:pPr>
            <w:r w:rsidRPr="00B61BBF">
              <w:rPr>
                <w:rFonts w:ascii="Arial" w:hAnsi="Arial" w:cs="Arial"/>
                <w:b/>
                <w:sz w:val="20"/>
                <w:szCs w:val="20"/>
              </w:rPr>
              <w:t>Region 8</w:t>
            </w:r>
            <w:r w:rsidRPr="00B61BBF">
              <w:rPr>
                <w:rFonts w:ascii="Arial" w:hAnsi="Arial" w:cs="Arial"/>
                <w:sz w:val="20"/>
                <w:szCs w:val="20"/>
              </w:rPr>
              <w:t xml:space="preserve">:  5 mg/L for waters designated WARM, or 6 mg/L for waters designated COLD, </w:t>
            </w:r>
            <w:r w:rsidR="00F01CB8" w:rsidRPr="00B61BBF">
              <w:rPr>
                <w:rFonts w:ascii="Arial" w:hAnsi="Arial" w:cs="Arial"/>
                <w:sz w:val="20"/>
                <w:szCs w:val="20"/>
              </w:rPr>
              <w:t>because of</w:t>
            </w:r>
            <w:r w:rsidRPr="00B61BBF">
              <w:rPr>
                <w:rFonts w:ascii="Arial" w:hAnsi="Arial" w:cs="Arial"/>
                <w:sz w:val="20"/>
                <w:szCs w:val="20"/>
              </w:rPr>
              <w:t xml:space="preserve"> controllable water quality factors. In addition, waste discharges shall not cause the median dissolved oxygen concentration to fall below 85% of saturation or the 95</w:t>
            </w:r>
            <w:r w:rsidRPr="00B61BBF">
              <w:rPr>
                <w:rFonts w:ascii="Arial" w:hAnsi="Arial" w:cs="Arial"/>
                <w:sz w:val="20"/>
                <w:szCs w:val="20"/>
                <w:vertAlign w:val="superscript"/>
              </w:rPr>
              <w:t>th</w:t>
            </w:r>
            <w:r w:rsidRPr="00B61BBF">
              <w:rPr>
                <w:rFonts w:ascii="Arial" w:hAnsi="Arial" w:cs="Arial"/>
                <w:sz w:val="20"/>
                <w:szCs w:val="20"/>
              </w:rPr>
              <w:t xml:space="preserve"> percentile concentration or fall below 75% of saturation within a 30-day period</w:t>
            </w:r>
          </w:p>
        </w:tc>
      </w:tr>
      <w:tr w:rsidR="00B81294" w14:paraId="3E85EE26" w14:textId="77777777" w:rsidTr="00E55418">
        <w:tc>
          <w:tcPr>
            <w:tcW w:w="9350" w:type="dxa"/>
          </w:tcPr>
          <w:p w14:paraId="03466463" w14:textId="77777777" w:rsidR="00B81294" w:rsidRPr="00B61BBF" w:rsidRDefault="00B81294" w:rsidP="00FE66CC">
            <w:pPr>
              <w:spacing w:after="120"/>
              <w:rPr>
                <w:rFonts w:ascii="Arial" w:hAnsi="Arial" w:cs="Arial"/>
                <w:sz w:val="20"/>
                <w:szCs w:val="20"/>
              </w:rPr>
            </w:pPr>
            <w:r w:rsidRPr="00B61BBF">
              <w:rPr>
                <w:rFonts w:ascii="Arial" w:hAnsi="Arial" w:cs="Arial"/>
                <w:b/>
                <w:sz w:val="20"/>
                <w:szCs w:val="20"/>
              </w:rPr>
              <w:t>Region 9</w:t>
            </w:r>
            <w:r w:rsidRPr="00B61BBF">
              <w:rPr>
                <w:rFonts w:ascii="Arial" w:hAnsi="Arial" w:cs="Arial"/>
                <w:sz w:val="20"/>
                <w:szCs w:val="20"/>
              </w:rPr>
              <w:t>: 5 mg/L WARM; 6 mg/L COLD</w:t>
            </w:r>
          </w:p>
        </w:tc>
      </w:tr>
    </w:tbl>
    <w:p w14:paraId="330E0CE3" w14:textId="77777777" w:rsidR="00E55418" w:rsidRDefault="00E55418" w:rsidP="00B10A6B"/>
    <w:p w14:paraId="3D112C38" w14:textId="77777777" w:rsidR="00FE66CC" w:rsidRPr="00B61BBF" w:rsidRDefault="00FE66CC" w:rsidP="00FE66CC">
      <w:r>
        <w:t xml:space="preserve">For pH, Regional Board Basin Plans are more comparable. </w:t>
      </w:r>
      <w:r w:rsidRPr="00B61BBF">
        <w:t xml:space="preserve">Regions 1, 2, 4, 6 </w:t>
      </w:r>
      <w:r>
        <w:t>and</w:t>
      </w:r>
      <w:r w:rsidRPr="00B61BBF">
        <w:t xml:space="preserve"> 9</w:t>
      </w:r>
      <w:r>
        <w:t xml:space="preserve"> specify no more than a</w:t>
      </w:r>
      <w:r w:rsidRPr="00B61BBF">
        <w:t xml:space="preserve"> 0.5 change from “natural conditions”</w:t>
      </w:r>
      <w:r>
        <w:t xml:space="preserve"> with a range not exceed 8.5 and not to fall below </w:t>
      </w:r>
      <w:r w:rsidRPr="00B61BBF">
        <w:t>6.5</w:t>
      </w:r>
      <w:r>
        <w:t xml:space="preserve">. Regions 5 and 8 specify the same pH range, but do not specify a limit on change from natural conditions. Region 3 has a slightly different pH range (not to pH of &lt; 7 and &gt; 8.5). </w:t>
      </w:r>
    </w:p>
    <w:p w14:paraId="56DA2C52" w14:textId="77777777" w:rsidR="00BE7110" w:rsidRDefault="00A6560D" w:rsidP="00A6560D">
      <w:pPr>
        <w:pStyle w:val="Heading3"/>
      </w:pPr>
      <w:bookmarkStart w:id="154" w:name="_Toc526505136"/>
      <w:r>
        <w:t>3.3.</w:t>
      </w:r>
      <w:r w:rsidR="00F81CA7">
        <w:t>3</w:t>
      </w:r>
      <w:r>
        <w:t xml:space="preserve"> DO </w:t>
      </w:r>
      <w:r w:rsidR="00C86CEF">
        <w:t xml:space="preserve">Diel Variability </w:t>
      </w:r>
      <w:r w:rsidR="00F25BA4">
        <w:t>and Associated TN and TP Thresholds</w:t>
      </w:r>
      <w:bookmarkEnd w:id="154"/>
    </w:p>
    <w:p w14:paraId="0AE326AD" w14:textId="5AD8347D" w:rsidR="00793C35" w:rsidRDefault="00F25BA4" w:rsidP="004C7E26">
      <w:r>
        <w:t xml:space="preserve">As defined in this document, diel DO variability is the mean </w:t>
      </w:r>
      <w:r w:rsidR="00FC38C7">
        <w:t>of the diel range (maximum-</w:t>
      </w:r>
      <w:r w:rsidR="00F01CB8">
        <w:t>minimum</w:t>
      </w:r>
      <w:r w:rsidR="00FC38C7">
        <w:t xml:space="preserve">), divided by two. </w:t>
      </w:r>
      <w:r>
        <w:t>There are two mains sources of information on DO diel variability</w:t>
      </w:r>
      <w:r w:rsidR="0073250B">
        <w:t xml:space="preserve"> and its impact on beneficial uses: a study of streams in the Central Coast region of California (</w:t>
      </w:r>
      <w:r w:rsidR="00F01CB8">
        <w:t>Worcester</w:t>
      </w:r>
      <w:r w:rsidR="0073250B">
        <w:t xml:space="preserve"> et al. 2010), and literature (both gray and peer-reviewed) summarizing studies conducted </w:t>
      </w:r>
      <w:r w:rsidR="00F01CB8">
        <w:t>elsewhere</w:t>
      </w:r>
      <w:r w:rsidR="00FC38C7">
        <w:t xml:space="preserve">. </w:t>
      </w:r>
    </w:p>
    <w:p w14:paraId="474F6901" w14:textId="63B87F15" w:rsidR="00F25BA4" w:rsidRDefault="0073250B" w:rsidP="004C7E26">
      <w:r>
        <w:rPr>
          <w:noProof/>
          <w:lang w:eastAsia="zh-CN" w:bidi="ar-SA"/>
        </w:rPr>
        <w:drawing>
          <wp:anchor distT="0" distB="0" distL="114300" distR="114300" simplePos="0" relativeHeight="251673600" behindDoc="0" locked="0" layoutInCell="1" allowOverlap="1" wp14:anchorId="3D9072BC" wp14:editId="698E730E">
            <wp:simplePos x="0" y="0"/>
            <wp:positionH relativeFrom="margin">
              <wp:posOffset>-116205</wp:posOffset>
            </wp:positionH>
            <wp:positionV relativeFrom="paragraph">
              <wp:posOffset>294640</wp:posOffset>
            </wp:positionV>
            <wp:extent cx="3954145" cy="4899025"/>
            <wp:effectExtent l="0" t="0" r="8255" b="0"/>
            <wp:wrapSquare wrapText="bothSides"/>
            <wp:docPr id="1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67"/>
                    <pic:cNvPicPr>
                      <a:picLocks noChangeAspect="1" noChangeArrowheads="1"/>
                    </pic:cNvPicPr>
                  </pic:nvPicPr>
                  <pic:blipFill rotWithShape="1">
                    <a:blip r:embed="rId54">
                      <a:extLst>
                        <a:ext uri="{28A0092B-C50C-407E-A947-70E740481C1C}">
                          <a14:useLocalDpi xmlns:a14="http://schemas.microsoft.com/office/drawing/2010/main" val="0"/>
                        </a:ext>
                      </a:extLst>
                    </a:blip>
                    <a:srcRect b="7747"/>
                    <a:stretch/>
                  </pic:blipFill>
                  <pic:spPr bwMode="auto">
                    <a:xfrm>
                      <a:off x="0" y="0"/>
                      <a:ext cx="3954145" cy="4899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Based on a study by Worcester et al. (201)</w:t>
      </w:r>
      <w:r w:rsidR="00FC38C7">
        <w:t>, the Central Coast Water Board established diel limits for the protection of wadeable streams fro</w:t>
      </w:r>
      <w:r w:rsidR="00CB66E9">
        <w:t>m biostimulatory impacts</w:t>
      </w:r>
      <w:r w:rsidR="00FC38C7">
        <w:t xml:space="preserve">. </w:t>
      </w:r>
      <w:r>
        <w:t>This study</w:t>
      </w:r>
      <w:r w:rsidR="004C7E26">
        <w:t xml:space="preserve"> proposed 13 mg/L as an upper limit for sites that always met WARM and COLD water DO objectives. A diel variability of 2.0 mg/L for COLD and 3.0 mg/L always meet COLD and WARM water DO objectives, respectively (</w:t>
      </w:r>
      <w:r w:rsidR="00CB66E9">
        <w:t>Figure 3.10</w:t>
      </w:r>
      <w:r w:rsidR="004C7E26">
        <w:t>)</w:t>
      </w:r>
      <w:r w:rsidR="00793C35">
        <w:t xml:space="preserve">, but a screening level value of 1.25 mg/L (analogous to DO diel variability) was established based on the biostimulatory potential of NO3, established as a threshold at 1 mg/L NO3. In comparing the 1.25 mg/L screening value with the values that always met DO objectives (2.0 and 3.0 mg/L for COLD and WARM, respectively), the value of 1.25 likely has more significance, because DO minima are flow and temperature dependent (i.e. influenced by </w:t>
      </w:r>
      <w:r w:rsidR="00F01CB8">
        <w:t>solubility</w:t>
      </w:r>
      <w:r w:rsidR="00793C35">
        <w:t xml:space="preserve"> and reaeration rates). </w:t>
      </w:r>
    </w:p>
    <w:p w14:paraId="4C7C2102" w14:textId="77777777" w:rsidR="008D7775" w:rsidRDefault="008D7775" w:rsidP="00CB66E9">
      <w:pPr>
        <w:pStyle w:val="TOF"/>
      </w:pPr>
      <w:bookmarkStart w:id="155" w:name="_Toc526489954"/>
      <w:r>
        <w:rPr>
          <w:rFonts w:eastAsia="Arial"/>
        </w:rPr>
        <w:t>F</w:t>
      </w:r>
      <w:r>
        <w:rPr>
          <w:rFonts w:eastAsia="Arial"/>
          <w:spacing w:val="-1"/>
        </w:rPr>
        <w:t>i</w:t>
      </w:r>
      <w:r>
        <w:rPr>
          <w:rFonts w:eastAsia="Arial"/>
        </w:rPr>
        <w:t>g</w:t>
      </w:r>
      <w:r>
        <w:rPr>
          <w:rFonts w:eastAsia="Arial"/>
          <w:spacing w:val="-1"/>
        </w:rPr>
        <w:t>u</w:t>
      </w:r>
      <w:r>
        <w:rPr>
          <w:rFonts w:eastAsia="Arial"/>
        </w:rPr>
        <w:t>re</w:t>
      </w:r>
      <w:r>
        <w:rPr>
          <w:rFonts w:eastAsia="Arial"/>
          <w:spacing w:val="-4"/>
        </w:rPr>
        <w:t xml:space="preserve"> 3.</w:t>
      </w:r>
      <w:r w:rsidR="00CB66E9">
        <w:rPr>
          <w:rFonts w:eastAsia="Arial"/>
          <w:spacing w:val="-4"/>
        </w:rPr>
        <w:t>10</w:t>
      </w:r>
      <w:r>
        <w:rPr>
          <w:rFonts w:eastAsia="Arial"/>
          <w:spacing w:val="-4"/>
        </w:rPr>
        <w:t xml:space="preserve"> </w:t>
      </w:r>
      <w:r>
        <w:rPr>
          <w:rFonts w:eastAsia="Arial"/>
        </w:rPr>
        <w:t>Ra</w:t>
      </w:r>
      <w:r>
        <w:rPr>
          <w:rFonts w:eastAsia="Arial"/>
          <w:spacing w:val="1"/>
        </w:rPr>
        <w:t>n</w:t>
      </w:r>
      <w:r>
        <w:rPr>
          <w:rFonts w:eastAsia="Arial"/>
        </w:rPr>
        <w:t>ge</w:t>
      </w:r>
      <w:r>
        <w:rPr>
          <w:rFonts w:eastAsia="Arial"/>
          <w:spacing w:val="-6"/>
        </w:rPr>
        <w:t xml:space="preserve"> </w:t>
      </w:r>
      <w:r>
        <w:rPr>
          <w:rFonts w:eastAsia="Arial"/>
          <w:spacing w:val="1"/>
        </w:rPr>
        <w:t>o</w:t>
      </w:r>
      <w:r>
        <w:rPr>
          <w:rFonts w:eastAsia="Arial"/>
        </w:rPr>
        <w:t>f</w:t>
      </w:r>
      <w:r>
        <w:rPr>
          <w:rFonts w:eastAsia="Arial"/>
          <w:spacing w:val="-6"/>
        </w:rPr>
        <w:t xml:space="preserve"> </w:t>
      </w:r>
      <w:r>
        <w:rPr>
          <w:rFonts w:eastAsia="Arial"/>
          <w:spacing w:val="1"/>
        </w:rPr>
        <w:t>d</w:t>
      </w:r>
      <w:r>
        <w:rPr>
          <w:rFonts w:eastAsia="Arial"/>
          <w:spacing w:val="-1"/>
        </w:rPr>
        <w:t>i</w:t>
      </w:r>
      <w:r>
        <w:rPr>
          <w:rFonts w:eastAsia="Arial"/>
          <w:spacing w:val="1"/>
        </w:rPr>
        <w:t>e</w:t>
      </w:r>
      <w:r>
        <w:rPr>
          <w:rFonts w:eastAsia="Arial"/>
        </w:rPr>
        <w:t>l</w:t>
      </w:r>
      <w:r>
        <w:rPr>
          <w:rFonts w:eastAsia="Arial"/>
          <w:w w:val="99"/>
        </w:rPr>
        <w:t xml:space="preserve"> </w:t>
      </w:r>
      <w:r>
        <w:rPr>
          <w:rFonts w:eastAsia="Arial"/>
          <w:spacing w:val="1"/>
        </w:rPr>
        <w:t>v</w:t>
      </w:r>
      <w:r>
        <w:rPr>
          <w:rFonts w:eastAsia="Arial"/>
        </w:rPr>
        <w:t>ari</w:t>
      </w:r>
      <w:r>
        <w:rPr>
          <w:rFonts w:eastAsia="Arial"/>
          <w:spacing w:val="-1"/>
        </w:rPr>
        <w:t>a</w:t>
      </w:r>
      <w:r>
        <w:rPr>
          <w:rFonts w:eastAsia="Arial"/>
          <w:spacing w:val="1"/>
        </w:rPr>
        <w:t>b</w:t>
      </w:r>
      <w:r>
        <w:rPr>
          <w:rFonts w:eastAsia="Arial"/>
          <w:spacing w:val="-1"/>
        </w:rPr>
        <w:t>i</w:t>
      </w:r>
      <w:r>
        <w:rPr>
          <w:rFonts w:eastAsia="Arial"/>
          <w:spacing w:val="1"/>
        </w:rPr>
        <w:t>l</w:t>
      </w:r>
      <w:r>
        <w:rPr>
          <w:rFonts w:eastAsia="Arial"/>
          <w:spacing w:val="-1"/>
        </w:rPr>
        <w:t>i</w:t>
      </w:r>
      <w:r>
        <w:rPr>
          <w:rFonts w:eastAsia="Arial"/>
        </w:rPr>
        <w:t>ty</w:t>
      </w:r>
      <w:r>
        <w:rPr>
          <w:rFonts w:eastAsia="Arial"/>
          <w:spacing w:val="-9"/>
        </w:rPr>
        <w:t xml:space="preserve"> </w:t>
      </w:r>
      <w:r>
        <w:rPr>
          <w:rFonts w:eastAsia="Arial"/>
          <w:spacing w:val="-2"/>
        </w:rPr>
        <w:t>i</w:t>
      </w:r>
      <w:r>
        <w:rPr>
          <w:rFonts w:eastAsia="Arial"/>
        </w:rPr>
        <w:t>n</w:t>
      </w:r>
      <w:r>
        <w:rPr>
          <w:rFonts w:eastAsia="Arial"/>
          <w:spacing w:val="-7"/>
        </w:rPr>
        <w:t xml:space="preserve"> </w:t>
      </w:r>
      <w:r>
        <w:rPr>
          <w:rFonts w:eastAsia="Arial"/>
        </w:rPr>
        <w:t>24-</w:t>
      </w:r>
      <w:r>
        <w:rPr>
          <w:rFonts w:eastAsia="Arial"/>
          <w:spacing w:val="1"/>
        </w:rPr>
        <w:t>h</w:t>
      </w:r>
      <w:r>
        <w:rPr>
          <w:rFonts w:eastAsia="Arial"/>
        </w:rPr>
        <w:t>o</w:t>
      </w:r>
      <w:r>
        <w:rPr>
          <w:rFonts w:eastAsia="Arial"/>
          <w:spacing w:val="-1"/>
        </w:rPr>
        <w:t>u</w:t>
      </w:r>
      <w:r>
        <w:rPr>
          <w:rFonts w:eastAsia="Arial"/>
        </w:rPr>
        <w:t>r</w:t>
      </w:r>
      <w:r>
        <w:rPr>
          <w:rFonts w:eastAsia="Arial"/>
          <w:w w:val="99"/>
        </w:rPr>
        <w:t xml:space="preserve"> </w:t>
      </w:r>
      <w:r>
        <w:rPr>
          <w:rFonts w:eastAsia="Arial"/>
        </w:rPr>
        <w:t>d</w:t>
      </w:r>
      <w:r>
        <w:rPr>
          <w:rFonts w:eastAsia="Arial"/>
          <w:spacing w:val="-1"/>
        </w:rPr>
        <w:t>e</w:t>
      </w:r>
      <w:r>
        <w:rPr>
          <w:rFonts w:eastAsia="Arial"/>
          <w:spacing w:val="1"/>
        </w:rPr>
        <w:t>p</w:t>
      </w:r>
      <w:r>
        <w:rPr>
          <w:rFonts w:eastAsia="Arial"/>
          <w:spacing w:val="-1"/>
        </w:rPr>
        <w:t>l</w:t>
      </w:r>
      <w:r>
        <w:rPr>
          <w:rFonts w:eastAsia="Arial"/>
        </w:rPr>
        <w:t>oym</w:t>
      </w:r>
      <w:r>
        <w:rPr>
          <w:rFonts w:eastAsia="Arial"/>
          <w:spacing w:val="1"/>
        </w:rPr>
        <w:t>e</w:t>
      </w:r>
      <w:r>
        <w:rPr>
          <w:rFonts w:eastAsia="Arial"/>
        </w:rPr>
        <w:t>nts</w:t>
      </w:r>
      <w:r>
        <w:rPr>
          <w:rFonts w:eastAsia="Arial"/>
          <w:spacing w:val="-7"/>
        </w:rPr>
        <w:t xml:space="preserve"> </w:t>
      </w:r>
      <w:r>
        <w:rPr>
          <w:rFonts w:eastAsia="Arial"/>
        </w:rPr>
        <w:t>of</w:t>
      </w:r>
      <w:r>
        <w:rPr>
          <w:rFonts w:eastAsia="Arial"/>
          <w:spacing w:val="-6"/>
        </w:rPr>
        <w:t xml:space="preserve"> </w:t>
      </w:r>
      <w:r>
        <w:rPr>
          <w:rFonts w:eastAsia="Arial"/>
        </w:rPr>
        <w:t>DO</w:t>
      </w:r>
      <w:r>
        <w:rPr>
          <w:rFonts w:eastAsia="Arial"/>
          <w:spacing w:val="-6"/>
        </w:rPr>
        <w:t xml:space="preserve"> </w:t>
      </w:r>
      <w:r>
        <w:rPr>
          <w:rFonts w:eastAsia="Arial"/>
        </w:rPr>
        <w:t>f</w:t>
      </w:r>
      <w:r>
        <w:rPr>
          <w:rFonts w:eastAsia="Arial"/>
          <w:spacing w:val="-1"/>
        </w:rPr>
        <w:t>o</w:t>
      </w:r>
      <w:r>
        <w:rPr>
          <w:rFonts w:eastAsia="Arial"/>
        </w:rPr>
        <w:t>r</w:t>
      </w:r>
      <w:r>
        <w:rPr>
          <w:rFonts w:eastAsia="Arial"/>
          <w:spacing w:val="-4"/>
        </w:rPr>
        <w:t xml:space="preserve"> </w:t>
      </w:r>
      <w:r>
        <w:rPr>
          <w:rFonts w:eastAsia="Arial"/>
        </w:rPr>
        <w:t>C</w:t>
      </w:r>
      <w:r>
        <w:rPr>
          <w:rFonts w:eastAsia="Arial"/>
          <w:spacing w:val="2"/>
        </w:rPr>
        <w:t>e</w:t>
      </w:r>
      <w:r>
        <w:rPr>
          <w:rFonts w:eastAsia="Arial"/>
          <w:spacing w:val="1"/>
        </w:rPr>
        <w:t>n</w:t>
      </w:r>
      <w:r>
        <w:rPr>
          <w:rFonts w:eastAsia="Arial"/>
        </w:rPr>
        <w:t>tral</w:t>
      </w:r>
      <w:r>
        <w:rPr>
          <w:rFonts w:eastAsia="Arial"/>
          <w:w w:val="99"/>
        </w:rPr>
        <w:t xml:space="preserve"> </w:t>
      </w:r>
      <w:r>
        <w:rPr>
          <w:rFonts w:eastAsia="Arial"/>
        </w:rPr>
        <w:t>Coast</w:t>
      </w:r>
      <w:r>
        <w:rPr>
          <w:rFonts w:eastAsia="Arial"/>
          <w:spacing w:val="-8"/>
        </w:rPr>
        <w:t xml:space="preserve"> </w:t>
      </w:r>
      <w:r>
        <w:rPr>
          <w:rFonts w:eastAsia="Arial"/>
          <w:spacing w:val="1"/>
        </w:rPr>
        <w:t>s</w:t>
      </w:r>
      <w:r>
        <w:rPr>
          <w:rFonts w:eastAsia="Arial"/>
        </w:rPr>
        <w:t>tre</w:t>
      </w:r>
      <w:r>
        <w:rPr>
          <w:rFonts w:eastAsia="Arial"/>
          <w:spacing w:val="1"/>
        </w:rPr>
        <w:t>a</w:t>
      </w:r>
      <w:r>
        <w:rPr>
          <w:rFonts w:eastAsia="Arial"/>
        </w:rPr>
        <w:t>ms</w:t>
      </w:r>
      <w:r>
        <w:rPr>
          <w:rFonts w:eastAsia="Arial"/>
          <w:spacing w:val="-6"/>
        </w:rPr>
        <w:t xml:space="preserve"> </w:t>
      </w:r>
      <w:r>
        <w:rPr>
          <w:rFonts w:eastAsia="Arial"/>
        </w:rPr>
        <w:t>t</w:t>
      </w:r>
      <w:r>
        <w:rPr>
          <w:rFonts w:eastAsia="Arial"/>
          <w:spacing w:val="-1"/>
        </w:rPr>
        <w:t>h</w:t>
      </w:r>
      <w:r>
        <w:rPr>
          <w:rFonts w:eastAsia="Arial"/>
        </w:rPr>
        <w:t>at</w:t>
      </w:r>
      <w:r>
        <w:rPr>
          <w:rFonts w:eastAsia="Arial"/>
          <w:spacing w:val="-5"/>
        </w:rPr>
        <w:t xml:space="preserve"> </w:t>
      </w:r>
      <w:r>
        <w:rPr>
          <w:rFonts w:eastAsia="Arial"/>
        </w:rPr>
        <w:t>always</w:t>
      </w:r>
      <w:r>
        <w:rPr>
          <w:rFonts w:eastAsia="Arial"/>
          <w:spacing w:val="-7"/>
        </w:rPr>
        <w:t xml:space="preserve"> </w:t>
      </w:r>
      <w:r>
        <w:rPr>
          <w:rFonts w:eastAsia="Arial"/>
        </w:rPr>
        <w:t>m</w:t>
      </w:r>
      <w:r>
        <w:rPr>
          <w:rFonts w:eastAsia="Arial"/>
          <w:spacing w:val="-1"/>
        </w:rPr>
        <w:t>e</w:t>
      </w:r>
      <w:r>
        <w:rPr>
          <w:rFonts w:eastAsia="Arial"/>
        </w:rPr>
        <w:t>t</w:t>
      </w:r>
      <w:r>
        <w:rPr>
          <w:rFonts w:eastAsia="Arial"/>
          <w:w w:val="99"/>
        </w:rPr>
        <w:t xml:space="preserve"> </w:t>
      </w:r>
      <w:r>
        <w:rPr>
          <w:rFonts w:eastAsia="Arial"/>
        </w:rPr>
        <w:t>C</w:t>
      </w:r>
      <w:r>
        <w:rPr>
          <w:rFonts w:eastAsia="Arial"/>
          <w:spacing w:val="1"/>
        </w:rPr>
        <w:t>O</w:t>
      </w:r>
      <w:r>
        <w:rPr>
          <w:rFonts w:eastAsia="Arial"/>
        </w:rPr>
        <w:t>LD</w:t>
      </w:r>
      <w:r>
        <w:rPr>
          <w:rFonts w:eastAsia="Arial"/>
          <w:spacing w:val="-7"/>
        </w:rPr>
        <w:t xml:space="preserve"> </w:t>
      </w:r>
      <w:r>
        <w:rPr>
          <w:rFonts w:eastAsia="Arial"/>
        </w:rPr>
        <w:t>(top</w:t>
      </w:r>
      <w:r>
        <w:rPr>
          <w:rFonts w:eastAsia="Arial"/>
          <w:spacing w:val="-6"/>
        </w:rPr>
        <w:t xml:space="preserve"> </w:t>
      </w:r>
      <w:r>
        <w:rPr>
          <w:rFonts w:eastAsia="Arial"/>
        </w:rPr>
        <w:t>p</w:t>
      </w:r>
      <w:r>
        <w:rPr>
          <w:rFonts w:eastAsia="Arial"/>
          <w:spacing w:val="1"/>
        </w:rPr>
        <w:t>a</w:t>
      </w:r>
      <w:r>
        <w:rPr>
          <w:rFonts w:eastAsia="Arial"/>
        </w:rPr>
        <w:t>n</w:t>
      </w:r>
      <w:r>
        <w:rPr>
          <w:rFonts w:eastAsia="Arial"/>
          <w:spacing w:val="-1"/>
        </w:rPr>
        <w:t>el</w:t>
      </w:r>
      <w:r>
        <w:rPr>
          <w:rFonts w:eastAsia="Arial"/>
        </w:rPr>
        <w:t>)</w:t>
      </w:r>
      <w:r>
        <w:rPr>
          <w:rFonts w:eastAsia="Arial"/>
          <w:spacing w:val="-4"/>
        </w:rPr>
        <w:t xml:space="preserve"> </w:t>
      </w:r>
      <w:r>
        <w:rPr>
          <w:rFonts w:eastAsia="Arial"/>
        </w:rPr>
        <w:t>a</w:t>
      </w:r>
      <w:r>
        <w:rPr>
          <w:rFonts w:eastAsia="Arial"/>
          <w:spacing w:val="-1"/>
        </w:rPr>
        <w:t>n</w:t>
      </w:r>
      <w:r>
        <w:rPr>
          <w:rFonts w:eastAsia="Arial"/>
        </w:rPr>
        <w:t>d</w:t>
      </w:r>
      <w:r>
        <w:rPr>
          <w:rFonts w:eastAsia="Arial"/>
          <w:spacing w:val="-7"/>
        </w:rPr>
        <w:t xml:space="preserve"> </w:t>
      </w:r>
      <w:r>
        <w:rPr>
          <w:rFonts w:eastAsia="Arial"/>
          <w:spacing w:val="3"/>
        </w:rPr>
        <w:t>WA</w:t>
      </w:r>
      <w:r>
        <w:rPr>
          <w:rFonts w:eastAsia="Arial"/>
          <w:spacing w:val="2"/>
        </w:rPr>
        <w:t>R</w:t>
      </w:r>
      <w:r>
        <w:rPr>
          <w:rFonts w:eastAsia="Arial"/>
        </w:rPr>
        <w:t>M</w:t>
      </w:r>
      <w:r>
        <w:rPr>
          <w:rFonts w:eastAsia="Arial"/>
          <w:w w:val="99"/>
        </w:rPr>
        <w:t xml:space="preserve"> </w:t>
      </w:r>
      <w:r>
        <w:rPr>
          <w:rFonts w:eastAsia="Arial"/>
        </w:rPr>
        <w:t>(b</w:t>
      </w:r>
      <w:r>
        <w:rPr>
          <w:rFonts w:eastAsia="Arial"/>
          <w:spacing w:val="-1"/>
        </w:rPr>
        <w:t>o</w:t>
      </w:r>
      <w:r>
        <w:rPr>
          <w:rFonts w:eastAsia="Arial"/>
        </w:rPr>
        <w:t>tt</w:t>
      </w:r>
      <w:r>
        <w:rPr>
          <w:rFonts w:eastAsia="Arial"/>
          <w:spacing w:val="1"/>
        </w:rPr>
        <w:t>o</w:t>
      </w:r>
      <w:r>
        <w:rPr>
          <w:rFonts w:eastAsia="Arial"/>
        </w:rPr>
        <w:t>m</w:t>
      </w:r>
      <w:r>
        <w:rPr>
          <w:rFonts w:eastAsia="Arial"/>
          <w:spacing w:val="-10"/>
        </w:rPr>
        <w:t xml:space="preserve"> </w:t>
      </w:r>
      <w:r>
        <w:rPr>
          <w:rFonts w:eastAsia="Arial"/>
          <w:spacing w:val="-1"/>
        </w:rPr>
        <w:t>p</w:t>
      </w:r>
      <w:r>
        <w:rPr>
          <w:rFonts w:eastAsia="Arial"/>
          <w:spacing w:val="1"/>
        </w:rPr>
        <w:t>a</w:t>
      </w:r>
      <w:r>
        <w:rPr>
          <w:rFonts w:eastAsia="Arial"/>
        </w:rPr>
        <w:t>n</w:t>
      </w:r>
      <w:r>
        <w:rPr>
          <w:rFonts w:eastAsia="Arial"/>
          <w:spacing w:val="1"/>
        </w:rPr>
        <w:t>e</w:t>
      </w:r>
      <w:r>
        <w:rPr>
          <w:rFonts w:eastAsia="Arial"/>
          <w:spacing w:val="-1"/>
        </w:rPr>
        <w:t>l</w:t>
      </w:r>
      <w:r>
        <w:rPr>
          <w:rFonts w:eastAsia="Arial"/>
        </w:rPr>
        <w:t>)</w:t>
      </w:r>
      <w:r>
        <w:rPr>
          <w:rFonts w:eastAsia="Arial"/>
          <w:spacing w:val="-8"/>
        </w:rPr>
        <w:t xml:space="preserve"> </w:t>
      </w:r>
      <w:r>
        <w:rPr>
          <w:rFonts w:eastAsia="Arial"/>
        </w:rPr>
        <w:t>DO</w:t>
      </w:r>
      <w:r>
        <w:rPr>
          <w:rFonts w:eastAsia="Arial"/>
          <w:spacing w:val="-8"/>
        </w:rPr>
        <w:t xml:space="preserve"> </w:t>
      </w:r>
      <w:r>
        <w:rPr>
          <w:rFonts w:eastAsia="Arial"/>
        </w:rPr>
        <w:t>o</w:t>
      </w:r>
      <w:r>
        <w:rPr>
          <w:rFonts w:eastAsia="Arial"/>
          <w:spacing w:val="1"/>
        </w:rPr>
        <w:t>b</w:t>
      </w:r>
      <w:r>
        <w:rPr>
          <w:rFonts w:eastAsia="Arial"/>
          <w:spacing w:val="-1"/>
        </w:rPr>
        <w:t>j</w:t>
      </w:r>
      <w:r>
        <w:rPr>
          <w:rFonts w:eastAsia="Arial"/>
        </w:rPr>
        <w:t>ec</w:t>
      </w:r>
      <w:r>
        <w:rPr>
          <w:rFonts w:eastAsia="Arial"/>
          <w:spacing w:val="2"/>
        </w:rPr>
        <w:t>t</w:t>
      </w:r>
      <w:r>
        <w:rPr>
          <w:rFonts w:eastAsia="Arial"/>
          <w:spacing w:val="-1"/>
        </w:rPr>
        <w:t>i</w:t>
      </w:r>
      <w:r>
        <w:rPr>
          <w:rFonts w:eastAsia="Arial"/>
          <w:spacing w:val="1"/>
        </w:rPr>
        <w:t>v</w:t>
      </w:r>
      <w:r>
        <w:rPr>
          <w:rFonts w:eastAsia="Arial"/>
        </w:rPr>
        <w:t>es.</w:t>
      </w:r>
      <w:r>
        <w:rPr>
          <w:rFonts w:eastAsia="Arial"/>
          <w:w w:val="99"/>
        </w:rPr>
        <w:t xml:space="preserve"> </w:t>
      </w:r>
      <w:r>
        <w:rPr>
          <w:rFonts w:eastAsia="Arial"/>
        </w:rPr>
        <w:t>From</w:t>
      </w:r>
      <w:r>
        <w:rPr>
          <w:rFonts w:eastAsia="Arial"/>
          <w:spacing w:val="-7"/>
        </w:rPr>
        <w:t xml:space="preserve"> </w:t>
      </w:r>
      <w:r>
        <w:rPr>
          <w:rFonts w:eastAsia="Arial"/>
          <w:spacing w:val="3"/>
        </w:rPr>
        <w:t>W</w:t>
      </w:r>
      <w:r>
        <w:rPr>
          <w:rFonts w:eastAsia="Arial"/>
        </w:rPr>
        <w:t>or</w:t>
      </w:r>
      <w:r>
        <w:rPr>
          <w:rFonts w:eastAsia="Arial"/>
          <w:spacing w:val="1"/>
        </w:rPr>
        <w:t>c</w:t>
      </w:r>
      <w:r>
        <w:rPr>
          <w:rFonts w:eastAsia="Arial"/>
        </w:rPr>
        <w:t>ester</w:t>
      </w:r>
      <w:r>
        <w:rPr>
          <w:rFonts w:eastAsia="Arial"/>
          <w:spacing w:val="-7"/>
        </w:rPr>
        <w:t xml:space="preserve"> </w:t>
      </w:r>
      <w:r>
        <w:rPr>
          <w:rFonts w:eastAsia="Arial"/>
        </w:rPr>
        <w:t>et</w:t>
      </w:r>
      <w:r>
        <w:rPr>
          <w:rFonts w:eastAsia="Arial"/>
          <w:spacing w:val="-7"/>
        </w:rPr>
        <w:t xml:space="preserve"> </w:t>
      </w:r>
      <w:r>
        <w:rPr>
          <w:rFonts w:eastAsia="Arial"/>
          <w:spacing w:val="-1"/>
        </w:rPr>
        <w:t>al</w:t>
      </w:r>
      <w:r>
        <w:rPr>
          <w:rFonts w:eastAsia="Arial"/>
        </w:rPr>
        <w:t>.</w:t>
      </w:r>
      <w:r>
        <w:rPr>
          <w:rFonts w:eastAsia="Arial"/>
          <w:spacing w:val="-7"/>
        </w:rPr>
        <w:t xml:space="preserve"> </w:t>
      </w:r>
      <w:r>
        <w:rPr>
          <w:rFonts w:eastAsia="Arial"/>
        </w:rPr>
        <w:t>(</w:t>
      </w:r>
      <w:r>
        <w:rPr>
          <w:rFonts w:eastAsia="Arial"/>
          <w:spacing w:val="2"/>
        </w:rPr>
        <w:t>2</w:t>
      </w:r>
      <w:r>
        <w:rPr>
          <w:rFonts w:eastAsia="Arial"/>
        </w:rPr>
        <w:t>0</w:t>
      </w:r>
      <w:r>
        <w:rPr>
          <w:rFonts w:eastAsia="Arial"/>
          <w:spacing w:val="1"/>
        </w:rPr>
        <w:t>1</w:t>
      </w:r>
      <w:r>
        <w:rPr>
          <w:rFonts w:eastAsia="Arial"/>
        </w:rPr>
        <w:t>0)</w:t>
      </w:r>
      <w:bookmarkEnd w:id="155"/>
    </w:p>
    <w:p w14:paraId="510B14CE" w14:textId="77777777" w:rsidR="00735EDF" w:rsidRDefault="00735EDF" w:rsidP="00F6386D"/>
    <w:p w14:paraId="3129FCD3" w14:textId="77777777" w:rsidR="00FC38C7" w:rsidRDefault="00793C35" w:rsidP="00F6386D">
      <w:r>
        <w:t xml:space="preserve">The second source </w:t>
      </w:r>
      <w:r w:rsidR="00FC38C7">
        <w:t>includes peer-reviewed and grey literature on diel variability thresholds that correspond to percentiles</w:t>
      </w:r>
      <w:r w:rsidR="00FD5DF2">
        <w:t xml:space="preserve"> of reference sites</w:t>
      </w:r>
      <w:r w:rsidR="00FC38C7">
        <w:t>, fish and benthic macroinvertebrate community measures</w:t>
      </w:r>
      <w:r w:rsidR="00357709">
        <w:t xml:space="preserve"> (Figure 3.11)</w:t>
      </w:r>
      <w:r w:rsidR="00FC38C7">
        <w:t>. Of these, a New Mexico state study of wadeable streams to support nutrient criteria development is probably the most applicable to wadeable streams</w:t>
      </w:r>
      <w:r w:rsidR="00AC36F0">
        <w:t xml:space="preserve"> </w:t>
      </w:r>
      <w:r w:rsidR="0073250B">
        <w:t xml:space="preserve">in arid portion of California </w:t>
      </w:r>
      <w:r w:rsidR="00AC36F0">
        <w:t>due to</w:t>
      </w:r>
      <w:r w:rsidR="00FC38C7">
        <w:t xml:space="preserve"> </w:t>
      </w:r>
      <w:r w:rsidR="00AC36F0">
        <w:t>similar</w:t>
      </w:r>
      <w:r w:rsidR="00FC38C7">
        <w:t>, geology, topographic gradients</w:t>
      </w:r>
      <w:r w:rsidR="00AC36F0">
        <w:t>, and biological communities</w:t>
      </w:r>
      <w:r w:rsidR="002006F1">
        <w:t xml:space="preserve"> and has a stronger statistical and conceptual basis for threshold development than Worcester et al. (2010)</w:t>
      </w:r>
      <w:r w:rsidR="00FC38C7">
        <w:t>. Jessup et al. (2015) established protection endpoints for diel range</w:t>
      </w:r>
      <w:r w:rsidR="004C7E26">
        <w:t>s, based on the 90</w:t>
      </w:r>
      <w:r w:rsidR="004C7E26" w:rsidRPr="004C7E26">
        <w:rPr>
          <w:vertAlign w:val="superscript"/>
        </w:rPr>
        <w:t>th</w:t>
      </w:r>
      <w:r w:rsidR="004C7E26">
        <w:t xml:space="preserve"> percentile of reference streams (Table 3.</w:t>
      </w:r>
      <w:r w:rsidR="008D7775">
        <w:t>12</w:t>
      </w:r>
      <w:r w:rsidR="004C7E26">
        <w:t xml:space="preserve">), with a range of diel variability of </w:t>
      </w:r>
      <w:r w:rsidR="004C7E26">
        <w:rPr>
          <w:rFonts w:cs="Calibri"/>
        </w:rPr>
        <w:t>±</w:t>
      </w:r>
      <w:r w:rsidR="004C7E26">
        <w:t xml:space="preserve">0.9 in high velocity “steep” streams to </w:t>
      </w:r>
      <w:r w:rsidR="004C7E26">
        <w:rPr>
          <w:rFonts w:cs="Calibri"/>
        </w:rPr>
        <w:t>±</w:t>
      </w:r>
      <w:r w:rsidR="004C7E26">
        <w:t xml:space="preserve">2.04 in “flat” low gradient channels, with </w:t>
      </w:r>
      <w:r w:rsidR="004C7E26">
        <w:rPr>
          <w:rFonts w:cs="Calibri"/>
        </w:rPr>
        <w:t>±</w:t>
      </w:r>
      <w:r w:rsidR="004C7E26">
        <w:t>2.51 in “volcanic” streams (presumably more highly productive streams of igneous/metamorphic geology)</w:t>
      </w:r>
      <w:r w:rsidR="007679F6">
        <w:t xml:space="preserve">, numbers that bracket the Central Coast screening value of </w:t>
      </w:r>
      <w:r w:rsidR="007679F6">
        <w:rPr>
          <w:rFonts w:cs="Calibri"/>
        </w:rPr>
        <w:t>±</w:t>
      </w:r>
      <w:r w:rsidR="007679F6">
        <w:t>1.25 mg/L.</w:t>
      </w:r>
    </w:p>
    <w:p w14:paraId="32D50A43" w14:textId="77777777" w:rsidR="00B61BBF" w:rsidRDefault="008B33EC" w:rsidP="00F6386D">
      <w:r w:rsidRPr="00A60E72">
        <w:rPr>
          <w:noProof/>
          <w:lang w:eastAsia="zh-CN" w:bidi="ar-SA"/>
        </w:rPr>
        <w:drawing>
          <wp:anchor distT="0" distB="0" distL="114300" distR="114300" simplePos="0" relativeHeight="251667456" behindDoc="0" locked="0" layoutInCell="1" allowOverlap="1" wp14:anchorId="18E0DB58" wp14:editId="054B9118">
            <wp:simplePos x="0" y="0"/>
            <wp:positionH relativeFrom="margin">
              <wp:posOffset>2809875</wp:posOffset>
            </wp:positionH>
            <wp:positionV relativeFrom="paragraph">
              <wp:posOffset>236220</wp:posOffset>
            </wp:positionV>
            <wp:extent cx="3385820" cy="2304415"/>
            <wp:effectExtent l="0" t="0" r="5080" b="63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b="31673"/>
                    <a:stretch/>
                  </pic:blipFill>
                  <pic:spPr bwMode="auto">
                    <a:xfrm>
                      <a:off x="0" y="0"/>
                      <a:ext cx="3385820" cy="2304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1BBF">
        <w:rPr>
          <w:noProof/>
          <w:lang w:eastAsia="zh-CN" w:bidi="ar-SA"/>
        </w:rPr>
        <w:drawing>
          <wp:anchor distT="0" distB="0" distL="114300" distR="114300" simplePos="0" relativeHeight="251666432" behindDoc="0" locked="0" layoutInCell="1" allowOverlap="1" wp14:anchorId="3F09FC31" wp14:editId="7D1CBFA9">
            <wp:simplePos x="0" y="0"/>
            <wp:positionH relativeFrom="margin">
              <wp:align>left</wp:align>
            </wp:positionH>
            <wp:positionV relativeFrom="paragraph">
              <wp:posOffset>142875</wp:posOffset>
            </wp:positionV>
            <wp:extent cx="2790825" cy="2335530"/>
            <wp:effectExtent l="0" t="0" r="0" b="762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93976" cy="23382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F77D7D" w14:textId="77777777" w:rsidR="008B33EC" w:rsidRDefault="008B33EC" w:rsidP="00043CC3">
      <w:pPr>
        <w:pStyle w:val="TOF"/>
        <w:jc w:val="both"/>
      </w:pPr>
    </w:p>
    <w:p w14:paraId="7E95F362" w14:textId="77777777" w:rsidR="00CF7A14" w:rsidRDefault="00043CC3" w:rsidP="00043CC3">
      <w:pPr>
        <w:pStyle w:val="TOF"/>
        <w:jc w:val="both"/>
      </w:pPr>
      <w:bookmarkStart w:id="156" w:name="_Toc526489955"/>
      <w:r>
        <w:t>Figure 3.</w:t>
      </w:r>
      <w:r w:rsidR="00F25BA4">
        <w:t>11</w:t>
      </w:r>
      <w:r>
        <w:t xml:space="preserve"> </w:t>
      </w:r>
      <w:r w:rsidR="008B33EC">
        <w:t xml:space="preserve">Left Panel: </w:t>
      </w:r>
      <w:r>
        <w:t>Schematic of diel oxygen fluctuations as a function or autotrophic photosynthesis (daylight only) or autrotrophic and heterotrophic respiration (day and night) for a 24-hour period. Center line represents “mean” trend in DO. Diel range = maximum – minimum, while the amplitude is referred to as the “variability”</w:t>
      </w:r>
      <w:r w:rsidR="008B33EC">
        <w:t>. Right Panel: examples of relationship between diel DO variability (termed flux here) and % tolerant fish individuals. 75</w:t>
      </w:r>
      <w:r w:rsidR="008B33EC" w:rsidRPr="00A60E72">
        <w:rPr>
          <w:vertAlign w:val="superscript"/>
        </w:rPr>
        <w:t>th</w:t>
      </w:r>
      <w:r w:rsidR="008B33EC">
        <w:t xml:space="preserve"> percentile additive quantile regression smoothing (AQRS) showing upper breakpoint only</w:t>
      </w:r>
      <w:r w:rsidR="007679F6">
        <w:t xml:space="preserve">. From </w:t>
      </w:r>
      <w:r w:rsidR="008B33EC">
        <w:t>Minnesota River Nutrient Study</w:t>
      </w:r>
      <w:r w:rsidR="007679F6">
        <w:t xml:space="preserve">, </w:t>
      </w:r>
      <w:r w:rsidR="008B33EC">
        <w:t>Heiskary and Bouchard (2015)</w:t>
      </w:r>
      <w:bookmarkEnd w:id="156"/>
    </w:p>
    <w:p w14:paraId="59A6E1AC" w14:textId="77777777" w:rsidR="00357709" w:rsidRDefault="00357709" w:rsidP="00357709"/>
    <w:p w14:paraId="722C730D" w14:textId="5F2E5A0F" w:rsidR="00043CC3" w:rsidRDefault="00CF7A14" w:rsidP="00793C35">
      <w:pPr>
        <w:pStyle w:val="TOT"/>
      </w:pPr>
      <w:bookmarkStart w:id="157" w:name="_Toc526489926"/>
      <w:r>
        <w:t>Table 3.</w:t>
      </w:r>
      <w:r w:rsidR="00F25BA4">
        <w:t>11</w:t>
      </w:r>
      <w:r>
        <w:t xml:space="preserve"> </w:t>
      </w:r>
      <w:r w:rsidR="008D7775">
        <w:t xml:space="preserve">Threshold ranges for Delta DO derived from reference distributions (Ref </w:t>
      </w:r>
      <w:r w:rsidR="00F01CB8">
        <w:t>Dist.</w:t>
      </w:r>
      <w:r w:rsidR="008D7775">
        <w:t xml:space="preserve"> 90</w:t>
      </w:r>
      <w:r w:rsidR="008D7775" w:rsidRPr="008D7775">
        <w:rPr>
          <w:vertAlign w:val="superscript"/>
        </w:rPr>
        <w:t>th</w:t>
      </w:r>
      <w:r w:rsidR="008D7775">
        <w:t xml:space="preserve">), the reference distribution 90% confidence </w:t>
      </w:r>
      <w:r w:rsidR="00F01CB8">
        <w:t>interval</w:t>
      </w:r>
      <w:r w:rsidR="008D7775">
        <w:t xml:space="preserve"> (Ref </w:t>
      </w:r>
      <w:r w:rsidR="00F01CB8">
        <w:t>Dist.</w:t>
      </w:r>
      <w:r w:rsidR="008D7775">
        <w:t xml:space="preserve"> CI90), regression interpolation range (Reg Int Range), change </w:t>
      </w:r>
      <w:r w:rsidR="00F01CB8">
        <w:t>point</w:t>
      </w:r>
      <w:r w:rsidR="008D7775">
        <w:t xml:space="preserve"> analyses (CPA) median and CPA ranges associated with benthic macroinvertebrates (BMI) and nutrients. NA refers to where thresholds did not pass the validation test. Delta DO = DO range = 2* diel variability. From Jessup et al. (2015).  </w:t>
      </w:r>
      <w:r w:rsidR="008D7775" w:rsidRPr="008D7775">
        <w:rPr>
          <w:noProof/>
          <w:lang w:eastAsia="zh-CN" w:bidi="ar-SA"/>
        </w:rPr>
        <w:drawing>
          <wp:inline distT="0" distB="0" distL="0" distR="0" wp14:anchorId="52F1AAC2" wp14:editId="1C30B1C4">
            <wp:extent cx="5219700" cy="1274263"/>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33720"/>
                    <a:stretch/>
                  </pic:blipFill>
                  <pic:spPr bwMode="auto">
                    <a:xfrm>
                      <a:off x="0" y="0"/>
                      <a:ext cx="5324880" cy="1299940"/>
                    </a:xfrm>
                    <a:prstGeom prst="rect">
                      <a:avLst/>
                    </a:prstGeom>
                    <a:ln>
                      <a:noFill/>
                    </a:ln>
                    <a:extLst>
                      <a:ext uri="{53640926-AAD7-44D8-BBD7-CCE9431645EC}">
                        <a14:shadowObscured xmlns:a14="http://schemas.microsoft.com/office/drawing/2010/main"/>
                      </a:ext>
                    </a:extLst>
                  </pic:spPr>
                </pic:pic>
              </a:graphicData>
            </a:graphic>
          </wp:inline>
        </w:drawing>
      </w:r>
      <w:bookmarkEnd w:id="157"/>
    </w:p>
    <w:p w14:paraId="2E46A552" w14:textId="77777777" w:rsidR="00043CC3" w:rsidRDefault="00043CC3" w:rsidP="00043CC3">
      <w:pPr>
        <w:sectPr w:rsidR="00043CC3" w:rsidSect="00C5540D">
          <w:pgSz w:w="12240" w:h="15840"/>
          <w:pgMar w:top="1440" w:right="1440" w:bottom="1440" w:left="1440" w:header="720" w:footer="720" w:gutter="0"/>
          <w:cols w:space="720"/>
          <w:docGrid w:linePitch="360"/>
        </w:sectPr>
      </w:pPr>
    </w:p>
    <w:p w14:paraId="67410E55" w14:textId="77777777" w:rsidR="00043CC3" w:rsidRDefault="00043CC3" w:rsidP="00043CC3">
      <w:pPr>
        <w:pStyle w:val="TOT"/>
      </w:pPr>
      <w:bookmarkStart w:id="158" w:name="_Toc526489927"/>
      <w:r>
        <w:t>Table 3.</w:t>
      </w:r>
      <w:r w:rsidR="00F25BA4">
        <w:t>12</w:t>
      </w:r>
      <w:r>
        <w:t xml:space="preserve"> Summary of diel DO thresholds </w:t>
      </w:r>
      <w:r w:rsidR="00D67944">
        <w:t xml:space="preserve">and associated TN and TP protection thresholds </w:t>
      </w:r>
      <w:r>
        <w:t xml:space="preserve">from peer-reviewed </w:t>
      </w:r>
      <w:r w:rsidR="00D67944">
        <w:t xml:space="preserve">and grey </w:t>
      </w:r>
      <w:r>
        <w:t>literature-based sources.</w:t>
      </w:r>
      <w:bookmarkEnd w:id="158"/>
      <w:r>
        <w:t xml:space="preserve"> </w:t>
      </w:r>
    </w:p>
    <w:tbl>
      <w:tblPr>
        <w:tblStyle w:val="TableGrid"/>
        <w:tblW w:w="12642" w:type="dxa"/>
        <w:tblLook w:val="04A0" w:firstRow="1" w:lastRow="0" w:firstColumn="1" w:lastColumn="0" w:noHBand="0" w:noVBand="1"/>
      </w:tblPr>
      <w:tblGrid>
        <w:gridCol w:w="1615"/>
        <w:gridCol w:w="2010"/>
        <w:gridCol w:w="3030"/>
        <w:gridCol w:w="1910"/>
        <w:gridCol w:w="1328"/>
        <w:gridCol w:w="1320"/>
        <w:gridCol w:w="1429"/>
      </w:tblGrid>
      <w:tr w:rsidR="002006F1" w14:paraId="60058FD0" w14:textId="77777777" w:rsidTr="002006F1">
        <w:tc>
          <w:tcPr>
            <w:tcW w:w="1615" w:type="dxa"/>
            <w:vMerge w:val="restart"/>
          </w:tcPr>
          <w:p w14:paraId="45CFC106" w14:textId="77777777" w:rsidR="002006F1" w:rsidRPr="00C766E8" w:rsidRDefault="002006F1" w:rsidP="00CF7A14">
            <w:pPr>
              <w:spacing w:after="0" w:line="240" w:lineRule="auto"/>
              <w:jc w:val="both"/>
              <w:rPr>
                <w:rFonts w:ascii="Arial" w:hAnsi="Arial" w:cs="Arial"/>
                <w:b/>
                <w:sz w:val="20"/>
                <w:szCs w:val="20"/>
              </w:rPr>
            </w:pPr>
            <w:r w:rsidRPr="00C766E8">
              <w:rPr>
                <w:rFonts w:ascii="Arial" w:hAnsi="Arial" w:cs="Arial"/>
                <w:b/>
                <w:sz w:val="20"/>
                <w:szCs w:val="20"/>
              </w:rPr>
              <w:t>Region</w:t>
            </w:r>
          </w:p>
        </w:tc>
        <w:tc>
          <w:tcPr>
            <w:tcW w:w="2010" w:type="dxa"/>
            <w:vMerge w:val="restart"/>
          </w:tcPr>
          <w:p w14:paraId="4E2CDD78" w14:textId="77777777" w:rsidR="002006F1" w:rsidRPr="00C766E8" w:rsidRDefault="002006F1" w:rsidP="00CF7A14">
            <w:pPr>
              <w:spacing w:after="0" w:line="240" w:lineRule="auto"/>
              <w:jc w:val="both"/>
              <w:rPr>
                <w:rFonts w:ascii="Arial" w:hAnsi="Arial" w:cs="Arial"/>
                <w:b/>
                <w:sz w:val="20"/>
                <w:szCs w:val="20"/>
              </w:rPr>
            </w:pPr>
            <w:r w:rsidRPr="00C766E8">
              <w:rPr>
                <w:rFonts w:ascii="Arial" w:hAnsi="Arial" w:cs="Arial"/>
                <w:b/>
                <w:sz w:val="20"/>
                <w:szCs w:val="20"/>
              </w:rPr>
              <w:t>Type</w:t>
            </w:r>
          </w:p>
        </w:tc>
        <w:tc>
          <w:tcPr>
            <w:tcW w:w="3030" w:type="dxa"/>
            <w:vMerge w:val="restart"/>
          </w:tcPr>
          <w:p w14:paraId="2A3919B7" w14:textId="77777777" w:rsidR="002006F1" w:rsidRPr="00C766E8" w:rsidRDefault="002006F1" w:rsidP="00CF7A14">
            <w:pPr>
              <w:spacing w:after="0" w:line="240" w:lineRule="auto"/>
              <w:jc w:val="both"/>
              <w:rPr>
                <w:rFonts w:ascii="Arial" w:hAnsi="Arial" w:cs="Arial"/>
                <w:b/>
                <w:sz w:val="20"/>
                <w:szCs w:val="20"/>
              </w:rPr>
            </w:pPr>
            <w:r w:rsidRPr="00C766E8">
              <w:rPr>
                <w:rFonts w:ascii="Arial" w:hAnsi="Arial" w:cs="Arial"/>
                <w:b/>
                <w:sz w:val="20"/>
                <w:szCs w:val="20"/>
              </w:rPr>
              <w:t>Protection Endpoint</w:t>
            </w:r>
          </w:p>
        </w:tc>
        <w:tc>
          <w:tcPr>
            <w:tcW w:w="1910" w:type="dxa"/>
            <w:vMerge w:val="restart"/>
          </w:tcPr>
          <w:p w14:paraId="6B9C4224" w14:textId="77777777" w:rsidR="002006F1" w:rsidRPr="00C766E8" w:rsidRDefault="002006F1" w:rsidP="00CF7A14">
            <w:pPr>
              <w:spacing w:after="0" w:line="240" w:lineRule="auto"/>
              <w:jc w:val="center"/>
              <w:rPr>
                <w:rFonts w:ascii="Arial" w:hAnsi="Arial" w:cs="Arial"/>
                <w:b/>
                <w:sz w:val="20"/>
                <w:szCs w:val="20"/>
              </w:rPr>
            </w:pPr>
            <w:r>
              <w:rPr>
                <w:rFonts w:ascii="Arial" w:hAnsi="Arial" w:cs="Arial"/>
                <w:b/>
                <w:sz w:val="20"/>
                <w:szCs w:val="20"/>
              </w:rPr>
              <w:t xml:space="preserve">DO Diel Variability </w:t>
            </w:r>
            <w:r w:rsidRPr="00C766E8">
              <w:rPr>
                <w:rFonts w:ascii="Arial" w:hAnsi="Arial" w:cs="Arial"/>
                <w:b/>
                <w:sz w:val="20"/>
                <w:szCs w:val="20"/>
              </w:rPr>
              <w:t>Threshold</w:t>
            </w:r>
            <w:r>
              <w:rPr>
                <w:rFonts w:ascii="Arial" w:hAnsi="Arial" w:cs="Arial"/>
                <w:b/>
                <w:sz w:val="20"/>
                <w:szCs w:val="20"/>
              </w:rPr>
              <w:t xml:space="preserve"> (± mg/L)</w:t>
            </w:r>
          </w:p>
        </w:tc>
        <w:tc>
          <w:tcPr>
            <w:tcW w:w="2648" w:type="dxa"/>
            <w:gridSpan w:val="2"/>
          </w:tcPr>
          <w:p w14:paraId="64A255EA" w14:textId="77777777" w:rsidR="002006F1" w:rsidRPr="00C766E8" w:rsidRDefault="002006F1" w:rsidP="00CF7A14">
            <w:pPr>
              <w:spacing w:after="0" w:line="240" w:lineRule="auto"/>
              <w:jc w:val="center"/>
              <w:rPr>
                <w:rFonts w:ascii="Arial" w:hAnsi="Arial" w:cs="Arial"/>
                <w:b/>
                <w:sz w:val="20"/>
                <w:szCs w:val="20"/>
              </w:rPr>
            </w:pPr>
            <w:r>
              <w:rPr>
                <w:rFonts w:ascii="Arial" w:hAnsi="Arial" w:cs="Arial"/>
                <w:b/>
                <w:sz w:val="20"/>
                <w:szCs w:val="20"/>
              </w:rPr>
              <w:t>Nutrient Thresholds (mg/L)</w:t>
            </w:r>
          </w:p>
        </w:tc>
        <w:tc>
          <w:tcPr>
            <w:tcW w:w="1429" w:type="dxa"/>
          </w:tcPr>
          <w:p w14:paraId="42C6CF25" w14:textId="77777777" w:rsidR="002006F1" w:rsidRPr="00C766E8" w:rsidRDefault="002006F1" w:rsidP="00CF7A14">
            <w:pPr>
              <w:spacing w:after="0" w:line="240" w:lineRule="auto"/>
              <w:jc w:val="both"/>
              <w:rPr>
                <w:rFonts w:ascii="Arial" w:hAnsi="Arial" w:cs="Arial"/>
                <w:b/>
                <w:sz w:val="20"/>
                <w:szCs w:val="20"/>
              </w:rPr>
            </w:pPr>
          </w:p>
        </w:tc>
      </w:tr>
      <w:tr w:rsidR="002006F1" w14:paraId="7212DA8C" w14:textId="77777777" w:rsidTr="002006F1">
        <w:tc>
          <w:tcPr>
            <w:tcW w:w="1615" w:type="dxa"/>
            <w:vMerge/>
          </w:tcPr>
          <w:p w14:paraId="506B0271" w14:textId="77777777" w:rsidR="002006F1" w:rsidRPr="00C766E8" w:rsidRDefault="002006F1" w:rsidP="00CF7A14">
            <w:pPr>
              <w:spacing w:after="0" w:line="240" w:lineRule="auto"/>
              <w:jc w:val="both"/>
              <w:rPr>
                <w:rFonts w:ascii="Arial" w:hAnsi="Arial" w:cs="Arial"/>
                <w:b/>
                <w:sz w:val="20"/>
                <w:szCs w:val="20"/>
              </w:rPr>
            </w:pPr>
          </w:p>
        </w:tc>
        <w:tc>
          <w:tcPr>
            <w:tcW w:w="2010" w:type="dxa"/>
            <w:vMerge/>
          </w:tcPr>
          <w:p w14:paraId="344987C3" w14:textId="77777777" w:rsidR="002006F1" w:rsidRPr="00C766E8" w:rsidRDefault="002006F1" w:rsidP="00CF7A14">
            <w:pPr>
              <w:spacing w:after="0" w:line="240" w:lineRule="auto"/>
              <w:jc w:val="both"/>
              <w:rPr>
                <w:rFonts w:ascii="Arial" w:hAnsi="Arial" w:cs="Arial"/>
                <w:b/>
                <w:sz w:val="20"/>
                <w:szCs w:val="20"/>
              </w:rPr>
            </w:pPr>
          </w:p>
        </w:tc>
        <w:tc>
          <w:tcPr>
            <w:tcW w:w="3030" w:type="dxa"/>
            <w:vMerge/>
          </w:tcPr>
          <w:p w14:paraId="03EA0E19" w14:textId="77777777" w:rsidR="002006F1" w:rsidRPr="00C766E8" w:rsidRDefault="002006F1" w:rsidP="00CF7A14">
            <w:pPr>
              <w:spacing w:after="0" w:line="240" w:lineRule="auto"/>
              <w:jc w:val="both"/>
              <w:rPr>
                <w:rFonts w:ascii="Arial" w:hAnsi="Arial" w:cs="Arial"/>
                <w:b/>
                <w:sz w:val="20"/>
                <w:szCs w:val="20"/>
              </w:rPr>
            </w:pPr>
          </w:p>
        </w:tc>
        <w:tc>
          <w:tcPr>
            <w:tcW w:w="1910" w:type="dxa"/>
            <w:vMerge/>
          </w:tcPr>
          <w:p w14:paraId="452B88C8" w14:textId="77777777" w:rsidR="002006F1" w:rsidRPr="00C766E8" w:rsidRDefault="002006F1" w:rsidP="00CF7A14">
            <w:pPr>
              <w:spacing w:after="0" w:line="240" w:lineRule="auto"/>
              <w:jc w:val="both"/>
              <w:rPr>
                <w:rFonts w:ascii="Arial" w:hAnsi="Arial" w:cs="Arial"/>
                <w:b/>
                <w:sz w:val="20"/>
                <w:szCs w:val="20"/>
              </w:rPr>
            </w:pPr>
          </w:p>
        </w:tc>
        <w:tc>
          <w:tcPr>
            <w:tcW w:w="1328" w:type="dxa"/>
          </w:tcPr>
          <w:p w14:paraId="322B473C" w14:textId="77777777" w:rsidR="002006F1" w:rsidRPr="00C766E8" w:rsidRDefault="002006F1" w:rsidP="00CF7A14">
            <w:pPr>
              <w:spacing w:after="0" w:line="240" w:lineRule="auto"/>
              <w:jc w:val="both"/>
              <w:rPr>
                <w:rFonts w:ascii="Arial" w:hAnsi="Arial" w:cs="Arial"/>
                <w:b/>
                <w:sz w:val="20"/>
                <w:szCs w:val="20"/>
              </w:rPr>
            </w:pPr>
            <w:r>
              <w:rPr>
                <w:rFonts w:ascii="Arial" w:hAnsi="Arial" w:cs="Arial"/>
                <w:b/>
                <w:sz w:val="20"/>
                <w:szCs w:val="20"/>
              </w:rPr>
              <w:t>TN</w:t>
            </w:r>
          </w:p>
        </w:tc>
        <w:tc>
          <w:tcPr>
            <w:tcW w:w="1320" w:type="dxa"/>
          </w:tcPr>
          <w:p w14:paraId="415895D3" w14:textId="77777777" w:rsidR="002006F1" w:rsidRPr="00C766E8" w:rsidRDefault="002006F1" w:rsidP="00CF7A14">
            <w:pPr>
              <w:spacing w:after="0" w:line="240" w:lineRule="auto"/>
              <w:jc w:val="both"/>
              <w:rPr>
                <w:rFonts w:ascii="Arial" w:hAnsi="Arial" w:cs="Arial"/>
                <w:b/>
                <w:sz w:val="20"/>
                <w:szCs w:val="20"/>
              </w:rPr>
            </w:pPr>
            <w:r w:rsidRPr="00C766E8">
              <w:rPr>
                <w:rFonts w:ascii="Arial" w:hAnsi="Arial" w:cs="Arial"/>
                <w:b/>
                <w:sz w:val="20"/>
                <w:szCs w:val="20"/>
              </w:rPr>
              <w:t xml:space="preserve">TP </w:t>
            </w:r>
          </w:p>
        </w:tc>
        <w:tc>
          <w:tcPr>
            <w:tcW w:w="1429" w:type="dxa"/>
          </w:tcPr>
          <w:p w14:paraId="7E788EFF" w14:textId="77777777" w:rsidR="002006F1" w:rsidRPr="00C766E8" w:rsidRDefault="002006F1" w:rsidP="00CF7A14">
            <w:pPr>
              <w:spacing w:after="0" w:line="240" w:lineRule="auto"/>
              <w:jc w:val="both"/>
              <w:rPr>
                <w:rFonts w:ascii="Arial" w:hAnsi="Arial" w:cs="Arial"/>
                <w:b/>
                <w:sz w:val="20"/>
                <w:szCs w:val="20"/>
              </w:rPr>
            </w:pPr>
            <w:r w:rsidRPr="00C766E8">
              <w:rPr>
                <w:rFonts w:ascii="Arial" w:hAnsi="Arial" w:cs="Arial"/>
                <w:b/>
                <w:sz w:val="20"/>
                <w:szCs w:val="20"/>
              </w:rPr>
              <w:t>Source</w:t>
            </w:r>
          </w:p>
        </w:tc>
      </w:tr>
      <w:tr w:rsidR="002006F1" w14:paraId="440E5EA4" w14:textId="77777777" w:rsidTr="002006F1">
        <w:tc>
          <w:tcPr>
            <w:tcW w:w="1615" w:type="dxa"/>
            <w:vMerge w:val="restart"/>
          </w:tcPr>
          <w:p w14:paraId="58572E42" w14:textId="77777777" w:rsidR="002006F1" w:rsidRDefault="002006F1" w:rsidP="00CF7A14">
            <w:pPr>
              <w:spacing w:after="0" w:line="240" w:lineRule="auto"/>
              <w:jc w:val="both"/>
              <w:rPr>
                <w:rFonts w:ascii="Arial" w:hAnsi="Arial" w:cs="Arial"/>
                <w:sz w:val="20"/>
                <w:szCs w:val="20"/>
              </w:rPr>
            </w:pPr>
            <w:r>
              <w:rPr>
                <w:rFonts w:ascii="Arial" w:hAnsi="Arial" w:cs="Arial"/>
                <w:sz w:val="20"/>
                <w:szCs w:val="20"/>
              </w:rPr>
              <w:t>Central Coast, California</w:t>
            </w:r>
          </w:p>
        </w:tc>
        <w:tc>
          <w:tcPr>
            <w:tcW w:w="2010" w:type="dxa"/>
          </w:tcPr>
          <w:p w14:paraId="23968E7E" w14:textId="77777777" w:rsidR="002006F1" w:rsidRDefault="002006F1" w:rsidP="00CF7A14">
            <w:pPr>
              <w:spacing w:after="0" w:line="240" w:lineRule="auto"/>
              <w:jc w:val="both"/>
              <w:rPr>
                <w:rFonts w:ascii="Arial" w:hAnsi="Arial" w:cs="Arial"/>
                <w:sz w:val="20"/>
                <w:szCs w:val="20"/>
              </w:rPr>
            </w:pPr>
            <w:r>
              <w:rPr>
                <w:rFonts w:ascii="Arial" w:hAnsi="Arial" w:cs="Arial"/>
                <w:sz w:val="20"/>
                <w:szCs w:val="20"/>
              </w:rPr>
              <w:t>Screening Value</w:t>
            </w:r>
          </w:p>
        </w:tc>
        <w:tc>
          <w:tcPr>
            <w:tcW w:w="3030" w:type="dxa"/>
          </w:tcPr>
          <w:p w14:paraId="61E53C8E" w14:textId="77777777" w:rsidR="002006F1" w:rsidRDefault="002006F1" w:rsidP="00CF7A14">
            <w:pPr>
              <w:spacing w:after="0" w:line="240" w:lineRule="auto"/>
              <w:jc w:val="both"/>
              <w:rPr>
                <w:rFonts w:ascii="Arial" w:hAnsi="Arial" w:cs="Arial"/>
                <w:sz w:val="20"/>
                <w:szCs w:val="20"/>
              </w:rPr>
            </w:pPr>
            <w:r>
              <w:rPr>
                <w:rFonts w:ascii="Arial" w:hAnsi="Arial" w:cs="Arial"/>
                <w:sz w:val="20"/>
                <w:szCs w:val="20"/>
              </w:rPr>
              <w:t>O2 deficit associated with NO3 biostimulation</w:t>
            </w:r>
          </w:p>
        </w:tc>
        <w:tc>
          <w:tcPr>
            <w:tcW w:w="1910" w:type="dxa"/>
          </w:tcPr>
          <w:p w14:paraId="32510A0C" w14:textId="77777777" w:rsidR="002006F1" w:rsidRPr="00C766E8" w:rsidRDefault="002006F1" w:rsidP="00CF7A14">
            <w:pPr>
              <w:spacing w:after="0" w:line="240" w:lineRule="auto"/>
              <w:jc w:val="both"/>
              <w:rPr>
                <w:rFonts w:ascii="Arial" w:hAnsi="Arial" w:cs="Arial"/>
                <w:sz w:val="20"/>
                <w:szCs w:val="20"/>
              </w:rPr>
            </w:pPr>
            <w:r>
              <w:rPr>
                <w:rFonts w:ascii="Arial" w:hAnsi="Arial" w:cs="Arial"/>
                <w:sz w:val="20"/>
                <w:szCs w:val="20"/>
              </w:rPr>
              <w:t>1.25</w:t>
            </w:r>
          </w:p>
        </w:tc>
        <w:tc>
          <w:tcPr>
            <w:tcW w:w="1328" w:type="dxa"/>
            <w:vMerge w:val="restart"/>
          </w:tcPr>
          <w:p w14:paraId="69FB4EDD" w14:textId="77777777" w:rsidR="002006F1" w:rsidRDefault="002006F1" w:rsidP="00CF7A14">
            <w:pPr>
              <w:spacing w:after="0" w:line="240" w:lineRule="auto"/>
              <w:jc w:val="both"/>
              <w:rPr>
                <w:rFonts w:ascii="Arial" w:hAnsi="Arial" w:cs="Arial"/>
                <w:sz w:val="20"/>
                <w:szCs w:val="20"/>
              </w:rPr>
            </w:pPr>
            <w:r>
              <w:rPr>
                <w:rFonts w:ascii="Arial" w:hAnsi="Arial" w:cs="Arial"/>
                <w:sz w:val="20"/>
                <w:szCs w:val="20"/>
              </w:rPr>
              <w:t>1 mg/l NO3</w:t>
            </w:r>
            <w:r>
              <w:rPr>
                <w:rStyle w:val="FootnoteReference"/>
                <w:rFonts w:ascii="Arial" w:hAnsi="Arial" w:cs="Arial"/>
                <w:sz w:val="20"/>
                <w:szCs w:val="20"/>
              </w:rPr>
              <w:footnoteReference w:id="7"/>
            </w:r>
          </w:p>
        </w:tc>
        <w:tc>
          <w:tcPr>
            <w:tcW w:w="1320" w:type="dxa"/>
            <w:vMerge w:val="restart"/>
          </w:tcPr>
          <w:p w14:paraId="690D72B0" w14:textId="77777777" w:rsidR="002006F1" w:rsidRDefault="002006F1" w:rsidP="00CF7A14">
            <w:pPr>
              <w:spacing w:after="0" w:line="240" w:lineRule="auto"/>
              <w:jc w:val="both"/>
              <w:rPr>
                <w:rFonts w:ascii="Arial" w:hAnsi="Arial" w:cs="Arial"/>
                <w:sz w:val="20"/>
                <w:szCs w:val="20"/>
              </w:rPr>
            </w:pPr>
            <w:r>
              <w:rPr>
                <w:rFonts w:ascii="Arial" w:hAnsi="Arial" w:cs="Arial"/>
                <w:sz w:val="20"/>
                <w:szCs w:val="20"/>
              </w:rPr>
              <w:t>--</w:t>
            </w:r>
          </w:p>
        </w:tc>
        <w:tc>
          <w:tcPr>
            <w:tcW w:w="1429" w:type="dxa"/>
            <w:vMerge w:val="restart"/>
          </w:tcPr>
          <w:p w14:paraId="43F5B430" w14:textId="77777777" w:rsidR="002006F1" w:rsidRDefault="002006F1" w:rsidP="00CF7A14">
            <w:pPr>
              <w:spacing w:after="0" w:line="240" w:lineRule="auto"/>
              <w:jc w:val="both"/>
              <w:rPr>
                <w:rFonts w:ascii="Arial" w:hAnsi="Arial" w:cs="Arial"/>
                <w:sz w:val="20"/>
                <w:szCs w:val="20"/>
              </w:rPr>
            </w:pPr>
            <w:r>
              <w:rPr>
                <w:rFonts w:ascii="Arial" w:hAnsi="Arial" w:cs="Arial"/>
                <w:sz w:val="20"/>
                <w:szCs w:val="20"/>
              </w:rPr>
              <w:t>Worcester et al. (2010)</w:t>
            </w:r>
          </w:p>
        </w:tc>
      </w:tr>
      <w:tr w:rsidR="002006F1" w14:paraId="47CF0DC1" w14:textId="77777777" w:rsidTr="002006F1">
        <w:tc>
          <w:tcPr>
            <w:tcW w:w="1615" w:type="dxa"/>
            <w:vMerge/>
          </w:tcPr>
          <w:p w14:paraId="7651A52C" w14:textId="77777777" w:rsidR="002006F1" w:rsidRPr="00C766E8" w:rsidRDefault="002006F1" w:rsidP="00CF7A14">
            <w:pPr>
              <w:spacing w:after="0" w:line="240" w:lineRule="auto"/>
              <w:jc w:val="both"/>
              <w:rPr>
                <w:rFonts w:ascii="Arial" w:hAnsi="Arial" w:cs="Arial"/>
                <w:sz w:val="20"/>
                <w:szCs w:val="20"/>
              </w:rPr>
            </w:pPr>
          </w:p>
        </w:tc>
        <w:tc>
          <w:tcPr>
            <w:tcW w:w="2010" w:type="dxa"/>
          </w:tcPr>
          <w:p w14:paraId="353A82E5" w14:textId="77777777" w:rsidR="002006F1" w:rsidRPr="00C766E8" w:rsidRDefault="002006F1" w:rsidP="00CF7A14">
            <w:pPr>
              <w:spacing w:after="0" w:line="240" w:lineRule="auto"/>
              <w:jc w:val="both"/>
              <w:rPr>
                <w:rFonts w:ascii="Arial" w:hAnsi="Arial" w:cs="Arial"/>
                <w:sz w:val="20"/>
                <w:szCs w:val="20"/>
              </w:rPr>
            </w:pPr>
            <w:r>
              <w:rPr>
                <w:rFonts w:ascii="Arial" w:hAnsi="Arial" w:cs="Arial"/>
                <w:sz w:val="20"/>
                <w:szCs w:val="20"/>
              </w:rPr>
              <w:t>COLD</w:t>
            </w:r>
          </w:p>
        </w:tc>
        <w:tc>
          <w:tcPr>
            <w:tcW w:w="3030" w:type="dxa"/>
            <w:vMerge w:val="restart"/>
          </w:tcPr>
          <w:p w14:paraId="20BC530D" w14:textId="77777777" w:rsidR="002006F1" w:rsidRPr="00C766E8" w:rsidRDefault="002006F1" w:rsidP="00CF7A14">
            <w:pPr>
              <w:spacing w:after="0" w:line="240" w:lineRule="auto"/>
              <w:jc w:val="both"/>
              <w:rPr>
                <w:rFonts w:ascii="Arial" w:hAnsi="Arial" w:cs="Arial"/>
                <w:sz w:val="20"/>
                <w:szCs w:val="20"/>
              </w:rPr>
            </w:pPr>
            <w:r>
              <w:rPr>
                <w:rFonts w:ascii="Arial" w:hAnsi="Arial" w:cs="Arial"/>
                <w:sz w:val="20"/>
                <w:szCs w:val="20"/>
              </w:rPr>
              <w:t>Reference or near reference that always met either COLD or WARM DO objectives</w:t>
            </w:r>
          </w:p>
        </w:tc>
        <w:tc>
          <w:tcPr>
            <w:tcW w:w="1910" w:type="dxa"/>
          </w:tcPr>
          <w:p w14:paraId="73CAD49D" w14:textId="77777777" w:rsidR="002006F1" w:rsidRPr="00C766E8" w:rsidRDefault="002006F1" w:rsidP="00CF7A14">
            <w:pPr>
              <w:spacing w:after="0" w:line="240" w:lineRule="auto"/>
              <w:jc w:val="both"/>
              <w:rPr>
                <w:rFonts w:ascii="Arial" w:hAnsi="Arial" w:cs="Arial"/>
                <w:sz w:val="20"/>
                <w:szCs w:val="20"/>
              </w:rPr>
            </w:pPr>
            <w:r>
              <w:rPr>
                <w:rFonts w:ascii="Arial" w:hAnsi="Arial" w:cs="Arial"/>
                <w:sz w:val="20"/>
                <w:szCs w:val="20"/>
              </w:rPr>
              <w:t>2.0</w:t>
            </w:r>
          </w:p>
        </w:tc>
        <w:tc>
          <w:tcPr>
            <w:tcW w:w="1328" w:type="dxa"/>
            <w:vMerge/>
          </w:tcPr>
          <w:p w14:paraId="474B8265" w14:textId="77777777" w:rsidR="002006F1" w:rsidRPr="00C766E8" w:rsidRDefault="002006F1" w:rsidP="00CF7A14">
            <w:pPr>
              <w:spacing w:after="0" w:line="240" w:lineRule="auto"/>
              <w:jc w:val="both"/>
              <w:rPr>
                <w:rFonts w:ascii="Arial" w:hAnsi="Arial" w:cs="Arial"/>
                <w:sz w:val="20"/>
                <w:szCs w:val="20"/>
              </w:rPr>
            </w:pPr>
          </w:p>
        </w:tc>
        <w:tc>
          <w:tcPr>
            <w:tcW w:w="1320" w:type="dxa"/>
            <w:vMerge/>
          </w:tcPr>
          <w:p w14:paraId="36D6442B" w14:textId="77777777" w:rsidR="002006F1" w:rsidRPr="00C766E8" w:rsidRDefault="002006F1" w:rsidP="00CF7A14">
            <w:pPr>
              <w:spacing w:after="0" w:line="240" w:lineRule="auto"/>
              <w:jc w:val="both"/>
              <w:rPr>
                <w:rFonts w:ascii="Arial" w:hAnsi="Arial" w:cs="Arial"/>
                <w:sz w:val="20"/>
                <w:szCs w:val="20"/>
              </w:rPr>
            </w:pPr>
          </w:p>
        </w:tc>
        <w:tc>
          <w:tcPr>
            <w:tcW w:w="1429" w:type="dxa"/>
            <w:vMerge/>
          </w:tcPr>
          <w:p w14:paraId="5501F98A" w14:textId="77777777" w:rsidR="002006F1" w:rsidRPr="00C766E8" w:rsidRDefault="002006F1" w:rsidP="00CF7A14">
            <w:pPr>
              <w:spacing w:after="0" w:line="240" w:lineRule="auto"/>
              <w:jc w:val="both"/>
              <w:rPr>
                <w:rFonts w:ascii="Arial" w:hAnsi="Arial" w:cs="Arial"/>
                <w:sz w:val="20"/>
                <w:szCs w:val="20"/>
              </w:rPr>
            </w:pPr>
          </w:p>
        </w:tc>
      </w:tr>
      <w:tr w:rsidR="002006F1" w14:paraId="2E5B4714" w14:textId="77777777" w:rsidTr="002006F1">
        <w:tc>
          <w:tcPr>
            <w:tcW w:w="1615" w:type="dxa"/>
            <w:vMerge/>
          </w:tcPr>
          <w:p w14:paraId="6D4F9128" w14:textId="77777777" w:rsidR="002006F1" w:rsidRPr="00C766E8" w:rsidRDefault="002006F1" w:rsidP="00CF7A14">
            <w:pPr>
              <w:spacing w:after="0" w:line="240" w:lineRule="auto"/>
              <w:jc w:val="both"/>
              <w:rPr>
                <w:rFonts w:ascii="Arial" w:hAnsi="Arial" w:cs="Arial"/>
                <w:sz w:val="20"/>
                <w:szCs w:val="20"/>
              </w:rPr>
            </w:pPr>
          </w:p>
        </w:tc>
        <w:tc>
          <w:tcPr>
            <w:tcW w:w="2010" w:type="dxa"/>
          </w:tcPr>
          <w:p w14:paraId="2080A8E3" w14:textId="77777777" w:rsidR="002006F1" w:rsidRPr="00C766E8" w:rsidRDefault="002006F1" w:rsidP="00CF7A14">
            <w:pPr>
              <w:spacing w:after="0" w:line="240" w:lineRule="auto"/>
              <w:jc w:val="both"/>
              <w:rPr>
                <w:rFonts w:ascii="Arial" w:hAnsi="Arial" w:cs="Arial"/>
                <w:sz w:val="20"/>
                <w:szCs w:val="20"/>
              </w:rPr>
            </w:pPr>
            <w:r>
              <w:rPr>
                <w:rFonts w:ascii="Arial" w:hAnsi="Arial" w:cs="Arial"/>
                <w:sz w:val="20"/>
                <w:szCs w:val="20"/>
              </w:rPr>
              <w:t>WARM</w:t>
            </w:r>
          </w:p>
        </w:tc>
        <w:tc>
          <w:tcPr>
            <w:tcW w:w="3030" w:type="dxa"/>
            <w:vMerge/>
          </w:tcPr>
          <w:p w14:paraId="02DBE1F6" w14:textId="77777777" w:rsidR="002006F1" w:rsidRPr="00C766E8" w:rsidRDefault="002006F1" w:rsidP="00CF7A14">
            <w:pPr>
              <w:spacing w:after="0" w:line="240" w:lineRule="auto"/>
              <w:jc w:val="both"/>
              <w:rPr>
                <w:rFonts w:ascii="Arial" w:hAnsi="Arial" w:cs="Arial"/>
                <w:sz w:val="20"/>
                <w:szCs w:val="20"/>
              </w:rPr>
            </w:pPr>
          </w:p>
        </w:tc>
        <w:tc>
          <w:tcPr>
            <w:tcW w:w="1910" w:type="dxa"/>
          </w:tcPr>
          <w:p w14:paraId="48785782" w14:textId="77777777" w:rsidR="002006F1" w:rsidRPr="00C766E8" w:rsidRDefault="002006F1" w:rsidP="00CF7A14">
            <w:pPr>
              <w:spacing w:after="0" w:line="240" w:lineRule="auto"/>
              <w:jc w:val="both"/>
              <w:rPr>
                <w:rFonts w:ascii="Arial" w:hAnsi="Arial" w:cs="Arial"/>
                <w:sz w:val="20"/>
                <w:szCs w:val="20"/>
              </w:rPr>
            </w:pPr>
            <w:r>
              <w:rPr>
                <w:rFonts w:ascii="Arial" w:hAnsi="Arial" w:cs="Arial"/>
                <w:sz w:val="20"/>
                <w:szCs w:val="20"/>
              </w:rPr>
              <w:t>3.0</w:t>
            </w:r>
          </w:p>
        </w:tc>
        <w:tc>
          <w:tcPr>
            <w:tcW w:w="1328" w:type="dxa"/>
            <w:vMerge/>
          </w:tcPr>
          <w:p w14:paraId="4BC1F876" w14:textId="77777777" w:rsidR="002006F1" w:rsidRPr="00C766E8" w:rsidRDefault="002006F1" w:rsidP="00CF7A14">
            <w:pPr>
              <w:spacing w:after="0" w:line="240" w:lineRule="auto"/>
              <w:jc w:val="both"/>
              <w:rPr>
                <w:rFonts w:ascii="Arial" w:hAnsi="Arial" w:cs="Arial"/>
                <w:sz w:val="20"/>
                <w:szCs w:val="20"/>
              </w:rPr>
            </w:pPr>
          </w:p>
        </w:tc>
        <w:tc>
          <w:tcPr>
            <w:tcW w:w="1320" w:type="dxa"/>
            <w:vMerge/>
          </w:tcPr>
          <w:p w14:paraId="6B65965D" w14:textId="77777777" w:rsidR="002006F1" w:rsidRPr="00C766E8" w:rsidRDefault="002006F1" w:rsidP="00CF7A14">
            <w:pPr>
              <w:spacing w:after="0" w:line="240" w:lineRule="auto"/>
              <w:jc w:val="both"/>
              <w:rPr>
                <w:rFonts w:ascii="Arial" w:hAnsi="Arial" w:cs="Arial"/>
                <w:sz w:val="20"/>
                <w:szCs w:val="20"/>
              </w:rPr>
            </w:pPr>
          </w:p>
        </w:tc>
        <w:tc>
          <w:tcPr>
            <w:tcW w:w="1429" w:type="dxa"/>
            <w:vMerge/>
          </w:tcPr>
          <w:p w14:paraId="33466346" w14:textId="77777777" w:rsidR="002006F1" w:rsidRPr="00C766E8" w:rsidRDefault="002006F1" w:rsidP="00CF7A14">
            <w:pPr>
              <w:spacing w:after="0" w:line="240" w:lineRule="auto"/>
              <w:jc w:val="both"/>
              <w:rPr>
                <w:rFonts w:ascii="Arial" w:hAnsi="Arial" w:cs="Arial"/>
                <w:sz w:val="20"/>
                <w:szCs w:val="20"/>
              </w:rPr>
            </w:pPr>
          </w:p>
        </w:tc>
      </w:tr>
      <w:tr w:rsidR="00C7561A" w14:paraId="4DFA61E5" w14:textId="77777777" w:rsidTr="002006F1">
        <w:tc>
          <w:tcPr>
            <w:tcW w:w="1615" w:type="dxa"/>
            <w:vMerge w:val="restart"/>
          </w:tcPr>
          <w:p w14:paraId="7EC28B26" w14:textId="77777777" w:rsidR="00C7561A" w:rsidRPr="00C766E8" w:rsidRDefault="00C7561A" w:rsidP="00CF7A14">
            <w:pPr>
              <w:spacing w:after="0" w:line="240" w:lineRule="auto"/>
              <w:jc w:val="both"/>
              <w:rPr>
                <w:rFonts w:ascii="Arial" w:hAnsi="Arial" w:cs="Arial"/>
                <w:sz w:val="20"/>
                <w:szCs w:val="20"/>
              </w:rPr>
            </w:pPr>
            <w:r>
              <w:rPr>
                <w:rFonts w:ascii="Arial" w:hAnsi="Arial" w:cs="Arial"/>
                <w:sz w:val="20"/>
                <w:szCs w:val="20"/>
              </w:rPr>
              <w:t>New Mexico</w:t>
            </w:r>
          </w:p>
        </w:tc>
        <w:tc>
          <w:tcPr>
            <w:tcW w:w="2010" w:type="dxa"/>
          </w:tcPr>
          <w:p w14:paraId="08613C8D" w14:textId="77777777" w:rsidR="00C7561A" w:rsidRPr="00C766E8" w:rsidRDefault="00C7561A" w:rsidP="00CF7A14">
            <w:pPr>
              <w:spacing w:after="0" w:line="240" w:lineRule="auto"/>
              <w:jc w:val="both"/>
              <w:rPr>
                <w:rFonts w:ascii="Arial" w:hAnsi="Arial" w:cs="Arial"/>
                <w:sz w:val="20"/>
                <w:szCs w:val="20"/>
              </w:rPr>
            </w:pPr>
            <w:r>
              <w:rPr>
                <w:rFonts w:ascii="Arial" w:hAnsi="Arial" w:cs="Arial"/>
                <w:sz w:val="20"/>
                <w:szCs w:val="20"/>
              </w:rPr>
              <w:t>Volcanic</w:t>
            </w:r>
          </w:p>
        </w:tc>
        <w:tc>
          <w:tcPr>
            <w:tcW w:w="3030" w:type="dxa"/>
          </w:tcPr>
          <w:p w14:paraId="155C978F" w14:textId="77777777" w:rsidR="00C7561A" w:rsidRDefault="00C7561A" w:rsidP="00CF7A14">
            <w:pPr>
              <w:spacing w:after="0" w:line="240" w:lineRule="auto"/>
              <w:jc w:val="both"/>
              <w:rPr>
                <w:rFonts w:ascii="Arial" w:hAnsi="Arial" w:cs="Arial"/>
                <w:sz w:val="20"/>
                <w:szCs w:val="20"/>
              </w:rPr>
            </w:pPr>
            <w:r>
              <w:rPr>
                <w:rFonts w:ascii="Arial" w:hAnsi="Arial" w:cs="Arial"/>
                <w:sz w:val="20"/>
                <w:szCs w:val="20"/>
              </w:rPr>
              <w:t>BMI Changepoint median</w:t>
            </w:r>
          </w:p>
          <w:p w14:paraId="1C2F147B" w14:textId="77777777" w:rsidR="00C7561A" w:rsidRPr="00C766E8" w:rsidRDefault="00C7561A" w:rsidP="004972C5">
            <w:pPr>
              <w:spacing w:after="0" w:line="240" w:lineRule="auto"/>
              <w:jc w:val="both"/>
              <w:rPr>
                <w:rFonts w:ascii="Arial" w:hAnsi="Arial" w:cs="Arial"/>
                <w:sz w:val="20"/>
                <w:szCs w:val="20"/>
              </w:rPr>
            </w:pPr>
            <w:r>
              <w:rPr>
                <w:rFonts w:ascii="Arial" w:hAnsi="Arial" w:cs="Arial"/>
                <w:sz w:val="20"/>
                <w:szCs w:val="20"/>
              </w:rPr>
              <w:t>90</w:t>
            </w:r>
            <w:r w:rsidRPr="004972C5">
              <w:rPr>
                <w:rFonts w:ascii="Arial" w:hAnsi="Arial" w:cs="Arial"/>
                <w:sz w:val="20"/>
                <w:szCs w:val="20"/>
                <w:vertAlign w:val="superscript"/>
              </w:rPr>
              <w:t>th</w:t>
            </w:r>
            <w:r>
              <w:rPr>
                <w:rFonts w:ascii="Arial" w:hAnsi="Arial" w:cs="Arial"/>
                <w:sz w:val="20"/>
                <w:szCs w:val="20"/>
              </w:rPr>
              <w:t xml:space="preserve"> percentile of reference</w:t>
            </w:r>
          </w:p>
        </w:tc>
        <w:tc>
          <w:tcPr>
            <w:tcW w:w="1910" w:type="dxa"/>
          </w:tcPr>
          <w:p w14:paraId="553169C1" w14:textId="77777777" w:rsidR="00C7561A" w:rsidRDefault="00C7561A" w:rsidP="00CF7A14">
            <w:pPr>
              <w:spacing w:after="0" w:line="240" w:lineRule="auto"/>
              <w:jc w:val="both"/>
              <w:rPr>
                <w:rFonts w:ascii="Arial" w:hAnsi="Arial" w:cs="Arial"/>
                <w:sz w:val="20"/>
                <w:szCs w:val="20"/>
              </w:rPr>
            </w:pPr>
            <w:r>
              <w:rPr>
                <w:rFonts w:ascii="Arial" w:hAnsi="Arial" w:cs="Arial"/>
                <w:sz w:val="20"/>
                <w:szCs w:val="20"/>
              </w:rPr>
              <w:t>--</w:t>
            </w:r>
          </w:p>
          <w:p w14:paraId="63B2FE5B" w14:textId="77777777" w:rsidR="00C7561A" w:rsidRPr="00C766E8" w:rsidRDefault="00C7561A" w:rsidP="00CF7A14">
            <w:pPr>
              <w:spacing w:after="0" w:line="240" w:lineRule="auto"/>
              <w:jc w:val="both"/>
              <w:rPr>
                <w:rFonts w:ascii="Arial" w:hAnsi="Arial" w:cs="Arial"/>
                <w:sz w:val="20"/>
                <w:szCs w:val="20"/>
              </w:rPr>
            </w:pPr>
            <w:r>
              <w:rPr>
                <w:rFonts w:ascii="Arial" w:hAnsi="Arial" w:cs="Arial"/>
                <w:sz w:val="20"/>
                <w:szCs w:val="20"/>
              </w:rPr>
              <w:t>2.51</w:t>
            </w:r>
          </w:p>
        </w:tc>
        <w:tc>
          <w:tcPr>
            <w:tcW w:w="1328" w:type="dxa"/>
          </w:tcPr>
          <w:p w14:paraId="64D4E2D1" w14:textId="77777777" w:rsidR="00C7561A" w:rsidRDefault="00C7561A" w:rsidP="00CF7A14">
            <w:pPr>
              <w:spacing w:after="0" w:line="240" w:lineRule="auto"/>
              <w:jc w:val="both"/>
              <w:rPr>
                <w:rFonts w:ascii="Arial" w:hAnsi="Arial" w:cs="Arial"/>
                <w:sz w:val="20"/>
                <w:szCs w:val="20"/>
              </w:rPr>
            </w:pPr>
          </w:p>
          <w:p w14:paraId="560E4C22" w14:textId="77777777" w:rsidR="00C7561A" w:rsidRPr="00C766E8" w:rsidRDefault="00C7561A" w:rsidP="00CF7A14">
            <w:pPr>
              <w:spacing w:after="0" w:line="240" w:lineRule="auto"/>
              <w:jc w:val="both"/>
              <w:rPr>
                <w:rFonts w:ascii="Arial" w:hAnsi="Arial" w:cs="Arial"/>
                <w:sz w:val="20"/>
                <w:szCs w:val="20"/>
              </w:rPr>
            </w:pPr>
            <w:r>
              <w:rPr>
                <w:rFonts w:ascii="Arial" w:hAnsi="Arial" w:cs="Arial"/>
                <w:sz w:val="20"/>
                <w:szCs w:val="20"/>
              </w:rPr>
              <w:t>0.36</w:t>
            </w:r>
          </w:p>
        </w:tc>
        <w:tc>
          <w:tcPr>
            <w:tcW w:w="1320" w:type="dxa"/>
          </w:tcPr>
          <w:p w14:paraId="7D8B96E1" w14:textId="77777777" w:rsidR="00C7561A" w:rsidRDefault="00C7561A" w:rsidP="00CF7A14">
            <w:pPr>
              <w:spacing w:after="0" w:line="240" w:lineRule="auto"/>
              <w:jc w:val="both"/>
              <w:rPr>
                <w:rFonts w:ascii="Arial" w:hAnsi="Arial" w:cs="Arial"/>
                <w:sz w:val="20"/>
                <w:szCs w:val="20"/>
              </w:rPr>
            </w:pPr>
          </w:p>
          <w:p w14:paraId="6F283078" w14:textId="77777777" w:rsidR="00C7561A" w:rsidRPr="00C766E8" w:rsidRDefault="00C7561A" w:rsidP="00CF7A14">
            <w:pPr>
              <w:spacing w:after="0" w:line="240" w:lineRule="auto"/>
              <w:jc w:val="both"/>
              <w:rPr>
                <w:rFonts w:ascii="Arial" w:hAnsi="Arial" w:cs="Arial"/>
                <w:sz w:val="20"/>
                <w:szCs w:val="20"/>
              </w:rPr>
            </w:pPr>
            <w:r>
              <w:rPr>
                <w:rFonts w:ascii="Arial" w:hAnsi="Arial" w:cs="Arial"/>
                <w:sz w:val="20"/>
                <w:szCs w:val="20"/>
              </w:rPr>
              <w:t>0.059</w:t>
            </w:r>
          </w:p>
        </w:tc>
        <w:tc>
          <w:tcPr>
            <w:tcW w:w="1429" w:type="dxa"/>
            <w:vMerge w:val="restart"/>
          </w:tcPr>
          <w:p w14:paraId="73D859CF" w14:textId="77777777" w:rsidR="00C7561A" w:rsidRPr="00C766E8" w:rsidRDefault="00C7561A" w:rsidP="00CF7A14">
            <w:pPr>
              <w:spacing w:after="0" w:line="240" w:lineRule="auto"/>
              <w:jc w:val="both"/>
              <w:rPr>
                <w:rFonts w:ascii="Arial" w:hAnsi="Arial" w:cs="Arial"/>
                <w:sz w:val="20"/>
                <w:szCs w:val="20"/>
              </w:rPr>
            </w:pPr>
            <w:r>
              <w:rPr>
                <w:rFonts w:ascii="Arial" w:hAnsi="Arial" w:cs="Arial"/>
                <w:sz w:val="20"/>
                <w:szCs w:val="20"/>
              </w:rPr>
              <w:t>Jessup et al. (2015)</w:t>
            </w:r>
          </w:p>
        </w:tc>
      </w:tr>
      <w:tr w:rsidR="00C7561A" w14:paraId="52BDAA1C" w14:textId="77777777" w:rsidTr="002006F1">
        <w:tc>
          <w:tcPr>
            <w:tcW w:w="1615" w:type="dxa"/>
            <w:vMerge/>
          </w:tcPr>
          <w:p w14:paraId="198A663C" w14:textId="77777777" w:rsidR="00C7561A" w:rsidRPr="00C766E8" w:rsidRDefault="00C7561A" w:rsidP="004972C5">
            <w:pPr>
              <w:spacing w:after="0" w:line="240" w:lineRule="auto"/>
              <w:jc w:val="both"/>
              <w:rPr>
                <w:rFonts w:ascii="Arial" w:hAnsi="Arial" w:cs="Arial"/>
                <w:sz w:val="20"/>
                <w:szCs w:val="20"/>
              </w:rPr>
            </w:pPr>
          </w:p>
        </w:tc>
        <w:tc>
          <w:tcPr>
            <w:tcW w:w="2010" w:type="dxa"/>
          </w:tcPr>
          <w:p w14:paraId="6D80CFAE" w14:textId="77777777" w:rsidR="00C7561A" w:rsidRPr="00C766E8" w:rsidRDefault="00C7561A" w:rsidP="004972C5">
            <w:pPr>
              <w:spacing w:after="0" w:line="240" w:lineRule="auto"/>
              <w:jc w:val="both"/>
              <w:rPr>
                <w:rFonts w:ascii="Arial" w:hAnsi="Arial" w:cs="Arial"/>
                <w:sz w:val="20"/>
                <w:szCs w:val="20"/>
              </w:rPr>
            </w:pPr>
            <w:r>
              <w:rPr>
                <w:rFonts w:ascii="Arial" w:hAnsi="Arial" w:cs="Arial"/>
                <w:sz w:val="20"/>
                <w:szCs w:val="20"/>
              </w:rPr>
              <w:t>Flat</w:t>
            </w:r>
          </w:p>
        </w:tc>
        <w:tc>
          <w:tcPr>
            <w:tcW w:w="3030" w:type="dxa"/>
          </w:tcPr>
          <w:p w14:paraId="01AC35C9" w14:textId="77777777" w:rsidR="00C7561A" w:rsidRDefault="00C7561A" w:rsidP="004972C5">
            <w:pPr>
              <w:spacing w:after="0" w:line="240" w:lineRule="auto"/>
              <w:jc w:val="both"/>
              <w:rPr>
                <w:rFonts w:ascii="Arial" w:hAnsi="Arial" w:cs="Arial"/>
                <w:sz w:val="20"/>
                <w:szCs w:val="20"/>
              </w:rPr>
            </w:pPr>
            <w:r>
              <w:rPr>
                <w:rFonts w:ascii="Arial" w:hAnsi="Arial" w:cs="Arial"/>
                <w:sz w:val="20"/>
                <w:szCs w:val="20"/>
              </w:rPr>
              <w:t>BMI Changepoint median</w:t>
            </w:r>
          </w:p>
          <w:p w14:paraId="4697FEF7" w14:textId="77777777" w:rsidR="00C7561A" w:rsidRPr="00C766E8" w:rsidRDefault="00C7561A" w:rsidP="004972C5">
            <w:pPr>
              <w:spacing w:after="0" w:line="240" w:lineRule="auto"/>
              <w:jc w:val="both"/>
              <w:rPr>
                <w:rFonts w:ascii="Arial" w:hAnsi="Arial" w:cs="Arial"/>
                <w:sz w:val="20"/>
                <w:szCs w:val="20"/>
              </w:rPr>
            </w:pPr>
            <w:r>
              <w:rPr>
                <w:rFonts w:ascii="Arial" w:hAnsi="Arial" w:cs="Arial"/>
                <w:sz w:val="20"/>
                <w:szCs w:val="20"/>
              </w:rPr>
              <w:t>90</w:t>
            </w:r>
            <w:r w:rsidRPr="004972C5">
              <w:rPr>
                <w:rFonts w:ascii="Arial" w:hAnsi="Arial" w:cs="Arial"/>
                <w:sz w:val="20"/>
                <w:szCs w:val="20"/>
                <w:vertAlign w:val="superscript"/>
              </w:rPr>
              <w:t>th</w:t>
            </w:r>
            <w:r>
              <w:rPr>
                <w:rFonts w:ascii="Arial" w:hAnsi="Arial" w:cs="Arial"/>
                <w:sz w:val="20"/>
                <w:szCs w:val="20"/>
              </w:rPr>
              <w:t xml:space="preserve"> percentile of reference</w:t>
            </w:r>
          </w:p>
        </w:tc>
        <w:tc>
          <w:tcPr>
            <w:tcW w:w="1910" w:type="dxa"/>
          </w:tcPr>
          <w:p w14:paraId="501D243F" w14:textId="77777777" w:rsidR="00C7561A" w:rsidRDefault="00C7561A" w:rsidP="004972C5">
            <w:pPr>
              <w:spacing w:after="0" w:line="240" w:lineRule="auto"/>
              <w:jc w:val="both"/>
              <w:rPr>
                <w:rFonts w:ascii="Arial" w:hAnsi="Arial" w:cs="Arial"/>
                <w:sz w:val="20"/>
                <w:szCs w:val="20"/>
              </w:rPr>
            </w:pPr>
            <w:r>
              <w:rPr>
                <w:rFonts w:ascii="Arial" w:hAnsi="Arial" w:cs="Arial"/>
                <w:sz w:val="20"/>
                <w:szCs w:val="20"/>
              </w:rPr>
              <w:t>1.21</w:t>
            </w:r>
          </w:p>
          <w:p w14:paraId="09045F8E" w14:textId="77777777" w:rsidR="00C7561A" w:rsidRPr="00C766E8" w:rsidRDefault="00C7561A" w:rsidP="004972C5">
            <w:pPr>
              <w:spacing w:after="0" w:line="240" w:lineRule="auto"/>
              <w:jc w:val="both"/>
              <w:rPr>
                <w:rFonts w:ascii="Arial" w:hAnsi="Arial" w:cs="Arial"/>
                <w:sz w:val="20"/>
                <w:szCs w:val="20"/>
              </w:rPr>
            </w:pPr>
            <w:r>
              <w:rPr>
                <w:rFonts w:ascii="Arial" w:hAnsi="Arial" w:cs="Arial"/>
                <w:sz w:val="20"/>
                <w:szCs w:val="20"/>
              </w:rPr>
              <w:t>2.04</w:t>
            </w:r>
          </w:p>
        </w:tc>
        <w:tc>
          <w:tcPr>
            <w:tcW w:w="1328" w:type="dxa"/>
          </w:tcPr>
          <w:p w14:paraId="07D275D3" w14:textId="77777777" w:rsidR="00C7561A" w:rsidRDefault="00C7561A" w:rsidP="004972C5">
            <w:pPr>
              <w:spacing w:after="0" w:line="240" w:lineRule="auto"/>
              <w:jc w:val="both"/>
              <w:rPr>
                <w:rFonts w:ascii="Arial" w:hAnsi="Arial" w:cs="Arial"/>
                <w:sz w:val="20"/>
                <w:szCs w:val="20"/>
              </w:rPr>
            </w:pPr>
          </w:p>
          <w:p w14:paraId="2FFECBB6" w14:textId="77777777" w:rsidR="00C7561A" w:rsidRPr="00C766E8" w:rsidRDefault="00C7561A" w:rsidP="004972C5">
            <w:pPr>
              <w:spacing w:after="0" w:line="240" w:lineRule="auto"/>
              <w:jc w:val="both"/>
              <w:rPr>
                <w:rFonts w:ascii="Arial" w:hAnsi="Arial" w:cs="Arial"/>
                <w:sz w:val="20"/>
                <w:szCs w:val="20"/>
              </w:rPr>
            </w:pPr>
            <w:r>
              <w:rPr>
                <w:rFonts w:ascii="Arial" w:hAnsi="Arial" w:cs="Arial"/>
                <w:sz w:val="20"/>
                <w:szCs w:val="20"/>
              </w:rPr>
              <w:t>NS</w:t>
            </w:r>
          </w:p>
        </w:tc>
        <w:tc>
          <w:tcPr>
            <w:tcW w:w="1320" w:type="dxa"/>
          </w:tcPr>
          <w:p w14:paraId="5CD9D776" w14:textId="77777777" w:rsidR="00C7561A" w:rsidRDefault="00C7561A" w:rsidP="004972C5">
            <w:pPr>
              <w:spacing w:after="0" w:line="240" w:lineRule="auto"/>
              <w:jc w:val="both"/>
              <w:rPr>
                <w:rFonts w:ascii="Arial" w:hAnsi="Arial" w:cs="Arial"/>
                <w:sz w:val="20"/>
                <w:szCs w:val="20"/>
              </w:rPr>
            </w:pPr>
          </w:p>
          <w:p w14:paraId="2C2BBB9C" w14:textId="77777777" w:rsidR="00C7561A" w:rsidRPr="00C766E8" w:rsidRDefault="00C7561A" w:rsidP="004972C5">
            <w:pPr>
              <w:spacing w:after="0" w:line="240" w:lineRule="auto"/>
              <w:jc w:val="both"/>
              <w:rPr>
                <w:rFonts w:ascii="Arial" w:hAnsi="Arial" w:cs="Arial"/>
                <w:sz w:val="20"/>
                <w:szCs w:val="20"/>
              </w:rPr>
            </w:pPr>
            <w:r>
              <w:rPr>
                <w:rFonts w:ascii="Arial" w:hAnsi="Arial" w:cs="Arial"/>
                <w:sz w:val="20"/>
                <w:szCs w:val="20"/>
              </w:rPr>
              <w:t>0.099</w:t>
            </w:r>
          </w:p>
        </w:tc>
        <w:tc>
          <w:tcPr>
            <w:tcW w:w="1429" w:type="dxa"/>
            <w:vMerge/>
          </w:tcPr>
          <w:p w14:paraId="24C91F2C" w14:textId="77777777" w:rsidR="00C7561A" w:rsidRPr="00C766E8" w:rsidRDefault="00C7561A" w:rsidP="004972C5">
            <w:pPr>
              <w:spacing w:after="0" w:line="240" w:lineRule="auto"/>
              <w:jc w:val="both"/>
              <w:rPr>
                <w:rFonts w:ascii="Arial" w:hAnsi="Arial" w:cs="Arial"/>
                <w:sz w:val="20"/>
                <w:szCs w:val="20"/>
              </w:rPr>
            </w:pPr>
          </w:p>
        </w:tc>
      </w:tr>
      <w:tr w:rsidR="00C7561A" w14:paraId="74612453" w14:textId="77777777" w:rsidTr="002006F1">
        <w:tc>
          <w:tcPr>
            <w:tcW w:w="1615" w:type="dxa"/>
            <w:vMerge/>
          </w:tcPr>
          <w:p w14:paraId="5133C6D1" w14:textId="77777777" w:rsidR="00C7561A" w:rsidRPr="00C766E8" w:rsidRDefault="00C7561A" w:rsidP="004972C5">
            <w:pPr>
              <w:spacing w:after="0" w:line="240" w:lineRule="auto"/>
              <w:jc w:val="both"/>
              <w:rPr>
                <w:rFonts w:ascii="Arial" w:hAnsi="Arial" w:cs="Arial"/>
                <w:sz w:val="20"/>
                <w:szCs w:val="20"/>
              </w:rPr>
            </w:pPr>
          </w:p>
        </w:tc>
        <w:tc>
          <w:tcPr>
            <w:tcW w:w="2010" w:type="dxa"/>
          </w:tcPr>
          <w:p w14:paraId="4A5F272D" w14:textId="77777777" w:rsidR="00C7561A" w:rsidRPr="00C766E8" w:rsidRDefault="00C7561A" w:rsidP="004972C5">
            <w:pPr>
              <w:spacing w:after="0" w:line="240" w:lineRule="auto"/>
              <w:jc w:val="both"/>
              <w:rPr>
                <w:rFonts w:ascii="Arial" w:hAnsi="Arial" w:cs="Arial"/>
                <w:sz w:val="20"/>
                <w:szCs w:val="20"/>
              </w:rPr>
            </w:pPr>
            <w:r>
              <w:rPr>
                <w:rFonts w:ascii="Arial" w:hAnsi="Arial" w:cs="Arial"/>
                <w:sz w:val="20"/>
                <w:szCs w:val="20"/>
              </w:rPr>
              <w:t>Steep</w:t>
            </w:r>
          </w:p>
        </w:tc>
        <w:tc>
          <w:tcPr>
            <w:tcW w:w="3030" w:type="dxa"/>
          </w:tcPr>
          <w:p w14:paraId="3F6ECEBA" w14:textId="77777777" w:rsidR="00C7561A" w:rsidRDefault="00C7561A" w:rsidP="004972C5">
            <w:pPr>
              <w:spacing w:after="0" w:line="240" w:lineRule="auto"/>
              <w:jc w:val="both"/>
              <w:rPr>
                <w:rFonts w:ascii="Arial" w:hAnsi="Arial" w:cs="Arial"/>
                <w:sz w:val="20"/>
                <w:szCs w:val="20"/>
              </w:rPr>
            </w:pPr>
            <w:r>
              <w:rPr>
                <w:rFonts w:ascii="Arial" w:hAnsi="Arial" w:cs="Arial"/>
                <w:sz w:val="20"/>
                <w:szCs w:val="20"/>
              </w:rPr>
              <w:t>BMI Changepoint</w:t>
            </w:r>
          </w:p>
          <w:p w14:paraId="18FD8632" w14:textId="77777777" w:rsidR="00C7561A" w:rsidRPr="00C766E8" w:rsidRDefault="00C7561A" w:rsidP="004972C5">
            <w:pPr>
              <w:spacing w:after="0" w:line="240" w:lineRule="auto"/>
              <w:jc w:val="both"/>
              <w:rPr>
                <w:rFonts w:ascii="Arial" w:hAnsi="Arial" w:cs="Arial"/>
                <w:sz w:val="20"/>
                <w:szCs w:val="20"/>
              </w:rPr>
            </w:pPr>
            <w:r>
              <w:rPr>
                <w:rFonts w:ascii="Arial" w:hAnsi="Arial" w:cs="Arial"/>
                <w:sz w:val="20"/>
                <w:szCs w:val="20"/>
              </w:rPr>
              <w:t>90</w:t>
            </w:r>
            <w:r w:rsidRPr="004972C5">
              <w:rPr>
                <w:rFonts w:ascii="Arial" w:hAnsi="Arial" w:cs="Arial"/>
                <w:sz w:val="20"/>
                <w:szCs w:val="20"/>
                <w:vertAlign w:val="superscript"/>
              </w:rPr>
              <w:t>th</w:t>
            </w:r>
            <w:r>
              <w:rPr>
                <w:rFonts w:ascii="Arial" w:hAnsi="Arial" w:cs="Arial"/>
                <w:sz w:val="20"/>
                <w:szCs w:val="20"/>
              </w:rPr>
              <w:t xml:space="preserve"> percentile of reference</w:t>
            </w:r>
          </w:p>
        </w:tc>
        <w:tc>
          <w:tcPr>
            <w:tcW w:w="1910" w:type="dxa"/>
          </w:tcPr>
          <w:p w14:paraId="5111F0B9" w14:textId="77777777" w:rsidR="00C7561A" w:rsidRDefault="00C7561A" w:rsidP="004972C5">
            <w:pPr>
              <w:spacing w:after="0" w:line="240" w:lineRule="auto"/>
              <w:jc w:val="both"/>
              <w:rPr>
                <w:rFonts w:ascii="Arial" w:hAnsi="Arial" w:cs="Arial"/>
                <w:sz w:val="20"/>
                <w:szCs w:val="20"/>
              </w:rPr>
            </w:pPr>
            <w:r>
              <w:rPr>
                <w:rFonts w:ascii="Arial" w:hAnsi="Arial" w:cs="Arial"/>
                <w:sz w:val="20"/>
                <w:szCs w:val="20"/>
              </w:rPr>
              <w:t>--</w:t>
            </w:r>
          </w:p>
          <w:p w14:paraId="384CCAC4" w14:textId="77777777" w:rsidR="00C7561A" w:rsidRPr="00C766E8" w:rsidRDefault="00C7561A" w:rsidP="004972C5">
            <w:pPr>
              <w:spacing w:after="0" w:line="240" w:lineRule="auto"/>
              <w:jc w:val="both"/>
              <w:rPr>
                <w:rFonts w:ascii="Arial" w:hAnsi="Arial" w:cs="Arial"/>
                <w:sz w:val="20"/>
                <w:szCs w:val="20"/>
              </w:rPr>
            </w:pPr>
            <w:r>
              <w:rPr>
                <w:rFonts w:ascii="Arial" w:hAnsi="Arial" w:cs="Arial"/>
                <w:sz w:val="20"/>
                <w:szCs w:val="20"/>
              </w:rPr>
              <w:t>0.085</w:t>
            </w:r>
          </w:p>
        </w:tc>
        <w:tc>
          <w:tcPr>
            <w:tcW w:w="1328" w:type="dxa"/>
          </w:tcPr>
          <w:p w14:paraId="750B87B5" w14:textId="77777777" w:rsidR="00C7561A" w:rsidRDefault="00C7561A" w:rsidP="004972C5">
            <w:pPr>
              <w:spacing w:after="0" w:line="240" w:lineRule="auto"/>
              <w:jc w:val="both"/>
              <w:rPr>
                <w:rFonts w:ascii="Arial" w:hAnsi="Arial" w:cs="Arial"/>
                <w:sz w:val="20"/>
                <w:szCs w:val="20"/>
              </w:rPr>
            </w:pPr>
          </w:p>
          <w:p w14:paraId="56622808" w14:textId="77777777" w:rsidR="00C7561A" w:rsidRPr="00C766E8" w:rsidRDefault="00C7561A" w:rsidP="004972C5">
            <w:pPr>
              <w:spacing w:after="0" w:line="240" w:lineRule="auto"/>
              <w:jc w:val="both"/>
              <w:rPr>
                <w:rFonts w:ascii="Arial" w:hAnsi="Arial" w:cs="Arial"/>
                <w:sz w:val="20"/>
                <w:szCs w:val="20"/>
              </w:rPr>
            </w:pPr>
            <w:r>
              <w:rPr>
                <w:rFonts w:ascii="Arial" w:hAnsi="Arial" w:cs="Arial"/>
                <w:sz w:val="20"/>
                <w:szCs w:val="20"/>
              </w:rPr>
              <w:t>0.30</w:t>
            </w:r>
          </w:p>
        </w:tc>
        <w:tc>
          <w:tcPr>
            <w:tcW w:w="1320" w:type="dxa"/>
          </w:tcPr>
          <w:p w14:paraId="0EA6AFB9" w14:textId="77777777" w:rsidR="00C7561A" w:rsidRDefault="00C7561A" w:rsidP="004972C5">
            <w:pPr>
              <w:spacing w:after="0" w:line="240" w:lineRule="auto"/>
              <w:jc w:val="both"/>
              <w:rPr>
                <w:rFonts w:ascii="Arial" w:hAnsi="Arial" w:cs="Arial"/>
                <w:sz w:val="20"/>
                <w:szCs w:val="20"/>
              </w:rPr>
            </w:pPr>
          </w:p>
          <w:p w14:paraId="2BB00681" w14:textId="77777777" w:rsidR="00C7561A" w:rsidRPr="00C766E8" w:rsidRDefault="00C7561A" w:rsidP="004972C5">
            <w:pPr>
              <w:spacing w:after="0" w:line="240" w:lineRule="auto"/>
              <w:jc w:val="both"/>
              <w:rPr>
                <w:rFonts w:ascii="Arial" w:hAnsi="Arial" w:cs="Arial"/>
                <w:sz w:val="20"/>
                <w:szCs w:val="20"/>
              </w:rPr>
            </w:pPr>
            <w:r>
              <w:rPr>
                <w:rFonts w:ascii="Arial" w:hAnsi="Arial" w:cs="Arial"/>
                <w:sz w:val="20"/>
                <w:szCs w:val="20"/>
              </w:rPr>
              <w:t>0.035</w:t>
            </w:r>
          </w:p>
        </w:tc>
        <w:tc>
          <w:tcPr>
            <w:tcW w:w="1429" w:type="dxa"/>
            <w:vMerge/>
          </w:tcPr>
          <w:p w14:paraId="1AF6427B" w14:textId="77777777" w:rsidR="00C7561A" w:rsidRPr="00C766E8" w:rsidRDefault="00C7561A" w:rsidP="004972C5">
            <w:pPr>
              <w:spacing w:after="0" w:line="240" w:lineRule="auto"/>
              <w:jc w:val="both"/>
              <w:rPr>
                <w:rFonts w:ascii="Arial" w:hAnsi="Arial" w:cs="Arial"/>
                <w:sz w:val="20"/>
                <w:szCs w:val="20"/>
              </w:rPr>
            </w:pPr>
          </w:p>
        </w:tc>
      </w:tr>
      <w:tr w:rsidR="002006F1" w14:paraId="2AC3AA54" w14:textId="77777777" w:rsidTr="002006F1">
        <w:tc>
          <w:tcPr>
            <w:tcW w:w="1615" w:type="dxa"/>
            <w:vMerge w:val="restart"/>
          </w:tcPr>
          <w:p w14:paraId="4DBB7478" w14:textId="77777777" w:rsidR="002006F1" w:rsidRPr="00C766E8" w:rsidRDefault="002006F1" w:rsidP="004972C5">
            <w:pPr>
              <w:spacing w:after="0" w:line="240" w:lineRule="auto"/>
              <w:jc w:val="both"/>
              <w:rPr>
                <w:rFonts w:ascii="Arial" w:hAnsi="Arial" w:cs="Arial"/>
                <w:sz w:val="20"/>
                <w:szCs w:val="20"/>
              </w:rPr>
            </w:pPr>
            <w:r w:rsidRPr="00C766E8">
              <w:rPr>
                <w:rFonts w:ascii="Arial" w:hAnsi="Arial" w:cs="Arial"/>
                <w:sz w:val="20"/>
                <w:szCs w:val="20"/>
              </w:rPr>
              <w:t>Minnesota</w:t>
            </w:r>
          </w:p>
        </w:tc>
        <w:tc>
          <w:tcPr>
            <w:tcW w:w="2010" w:type="dxa"/>
          </w:tcPr>
          <w:p w14:paraId="2B700439" w14:textId="77777777" w:rsidR="002006F1" w:rsidRPr="00C766E8" w:rsidRDefault="002006F1" w:rsidP="004972C5">
            <w:pPr>
              <w:spacing w:after="0" w:line="240" w:lineRule="auto"/>
              <w:jc w:val="both"/>
              <w:rPr>
                <w:rFonts w:ascii="Arial" w:hAnsi="Arial" w:cs="Arial"/>
                <w:sz w:val="20"/>
                <w:szCs w:val="20"/>
              </w:rPr>
            </w:pPr>
            <w:r w:rsidRPr="00C766E8">
              <w:rPr>
                <w:rFonts w:ascii="Arial" w:hAnsi="Arial" w:cs="Arial"/>
                <w:sz w:val="20"/>
                <w:szCs w:val="20"/>
              </w:rPr>
              <w:t>Wadeable COLD</w:t>
            </w:r>
          </w:p>
        </w:tc>
        <w:tc>
          <w:tcPr>
            <w:tcW w:w="3030" w:type="dxa"/>
            <w:vMerge w:val="restart"/>
          </w:tcPr>
          <w:p w14:paraId="035ED661" w14:textId="77777777" w:rsidR="002006F1" w:rsidRPr="00C766E8" w:rsidRDefault="002006F1" w:rsidP="004972C5">
            <w:pPr>
              <w:spacing w:after="0" w:line="240" w:lineRule="auto"/>
              <w:jc w:val="both"/>
              <w:rPr>
                <w:rFonts w:ascii="Arial" w:hAnsi="Arial" w:cs="Arial"/>
                <w:sz w:val="20"/>
                <w:szCs w:val="20"/>
              </w:rPr>
            </w:pPr>
            <w:r w:rsidRPr="00C766E8">
              <w:rPr>
                <w:rFonts w:ascii="Arial" w:hAnsi="Arial" w:cs="Arial"/>
                <w:sz w:val="20"/>
                <w:szCs w:val="20"/>
              </w:rPr>
              <w:t>Fish community, BMI taxa richness</w:t>
            </w:r>
            <w:r>
              <w:rPr>
                <w:rFonts w:ascii="Arial" w:hAnsi="Arial" w:cs="Arial"/>
                <w:sz w:val="20"/>
                <w:szCs w:val="20"/>
              </w:rPr>
              <w:t>.</w:t>
            </w:r>
          </w:p>
        </w:tc>
        <w:tc>
          <w:tcPr>
            <w:tcW w:w="1910" w:type="dxa"/>
          </w:tcPr>
          <w:p w14:paraId="6852E848" w14:textId="77777777" w:rsidR="002006F1" w:rsidRPr="00C766E8" w:rsidRDefault="002006F1" w:rsidP="004972C5">
            <w:pPr>
              <w:spacing w:after="0" w:line="240" w:lineRule="auto"/>
              <w:jc w:val="both"/>
              <w:rPr>
                <w:rFonts w:ascii="Arial" w:hAnsi="Arial" w:cs="Arial"/>
                <w:sz w:val="20"/>
                <w:szCs w:val="20"/>
              </w:rPr>
            </w:pPr>
            <w:r>
              <w:rPr>
                <w:rFonts w:ascii="Arial" w:hAnsi="Arial" w:cs="Arial"/>
                <w:sz w:val="20"/>
                <w:szCs w:val="20"/>
              </w:rPr>
              <w:t>3.0</w:t>
            </w:r>
          </w:p>
        </w:tc>
        <w:tc>
          <w:tcPr>
            <w:tcW w:w="1328" w:type="dxa"/>
          </w:tcPr>
          <w:p w14:paraId="4FA5EFF7" w14:textId="77777777" w:rsidR="002006F1" w:rsidRPr="00C766E8" w:rsidRDefault="002006F1" w:rsidP="004972C5">
            <w:pPr>
              <w:spacing w:after="0" w:line="240" w:lineRule="auto"/>
              <w:jc w:val="both"/>
              <w:rPr>
                <w:rFonts w:ascii="Arial" w:hAnsi="Arial" w:cs="Arial"/>
                <w:sz w:val="20"/>
                <w:szCs w:val="20"/>
              </w:rPr>
            </w:pPr>
            <w:r>
              <w:rPr>
                <w:rFonts w:ascii="Arial" w:hAnsi="Arial" w:cs="Arial"/>
                <w:sz w:val="20"/>
                <w:szCs w:val="20"/>
              </w:rPr>
              <w:t>--</w:t>
            </w:r>
          </w:p>
        </w:tc>
        <w:tc>
          <w:tcPr>
            <w:tcW w:w="1320" w:type="dxa"/>
          </w:tcPr>
          <w:p w14:paraId="2BF3C075" w14:textId="77777777" w:rsidR="002006F1" w:rsidRPr="00C766E8" w:rsidRDefault="002006F1" w:rsidP="004972C5">
            <w:pPr>
              <w:spacing w:after="0" w:line="240" w:lineRule="auto"/>
              <w:jc w:val="both"/>
              <w:rPr>
                <w:rFonts w:ascii="Arial" w:hAnsi="Arial" w:cs="Arial"/>
                <w:sz w:val="20"/>
                <w:szCs w:val="20"/>
              </w:rPr>
            </w:pPr>
            <w:r w:rsidRPr="00C766E8">
              <w:rPr>
                <w:rFonts w:ascii="Arial" w:hAnsi="Arial" w:cs="Arial"/>
                <w:sz w:val="20"/>
                <w:szCs w:val="20"/>
              </w:rPr>
              <w:t>0.050</w:t>
            </w:r>
          </w:p>
        </w:tc>
        <w:tc>
          <w:tcPr>
            <w:tcW w:w="1429" w:type="dxa"/>
            <w:vMerge w:val="restart"/>
          </w:tcPr>
          <w:p w14:paraId="412B074B" w14:textId="77777777" w:rsidR="002006F1" w:rsidRPr="00C766E8" w:rsidRDefault="002006F1" w:rsidP="004972C5">
            <w:pPr>
              <w:spacing w:after="0" w:line="240" w:lineRule="auto"/>
              <w:jc w:val="both"/>
              <w:rPr>
                <w:rFonts w:ascii="Arial" w:hAnsi="Arial" w:cs="Arial"/>
                <w:sz w:val="20"/>
                <w:szCs w:val="20"/>
              </w:rPr>
            </w:pPr>
            <w:r w:rsidRPr="00C766E8">
              <w:rPr>
                <w:rFonts w:ascii="Arial" w:hAnsi="Arial" w:cs="Arial"/>
                <w:sz w:val="20"/>
                <w:szCs w:val="20"/>
              </w:rPr>
              <w:t>Heiskary and Bouchard (2016)</w:t>
            </w:r>
          </w:p>
        </w:tc>
      </w:tr>
      <w:tr w:rsidR="002006F1" w14:paraId="5F69E1F7" w14:textId="77777777" w:rsidTr="002006F1">
        <w:tc>
          <w:tcPr>
            <w:tcW w:w="1615" w:type="dxa"/>
            <w:vMerge/>
          </w:tcPr>
          <w:p w14:paraId="2F6A2971" w14:textId="77777777" w:rsidR="002006F1" w:rsidRPr="00C766E8" w:rsidRDefault="002006F1" w:rsidP="004972C5">
            <w:pPr>
              <w:spacing w:after="0" w:line="240" w:lineRule="auto"/>
              <w:jc w:val="both"/>
              <w:rPr>
                <w:rFonts w:ascii="Arial" w:hAnsi="Arial" w:cs="Arial"/>
                <w:sz w:val="20"/>
                <w:szCs w:val="20"/>
              </w:rPr>
            </w:pPr>
          </w:p>
        </w:tc>
        <w:tc>
          <w:tcPr>
            <w:tcW w:w="2010" w:type="dxa"/>
          </w:tcPr>
          <w:p w14:paraId="16C48E20" w14:textId="77777777" w:rsidR="002006F1" w:rsidRPr="00C766E8" w:rsidRDefault="002006F1" w:rsidP="004972C5">
            <w:pPr>
              <w:spacing w:after="0" w:line="240" w:lineRule="auto"/>
              <w:jc w:val="both"/>
              <w:rPr>
                <w:rFonts w:ascii="Arial" w:hAnsi="Arial" w:cs="Arial"/>
                <w:sz w:val="20"/>
                <w:szCs w:val="20"/>
              </w:rPr>
            </w:pPr>
            <w:r w:rsidRPr="00C766E8">
              <w:rPr>
                <w:rFonts w:ascii="Arial" w:hAnsi="Arial" w:cs="Arial"/>
                <w:sz w:val="20"/>
                <w:szCs w:val="20"/>
              </w:rPr>
              <w:t>Wadeable WARM</w:t>
            </w:r>
          </w:p>
        </w:tc>
        <w:tc>
          <w:tcPr>
            <w:tcW w:w="3030" w:type="dxa"/>
            <w:vMerge/>
          </w:tcPr>
          <w:p w14:paraId="0D8D0C56" w14:textId="77777777" w:rsidR="002006F1" w:rsidRPr="00C766E8" w:rsidRDefault="002006F1" w:rsidP="004972C5">
            <w:pPr>
              <w:spacing w:after="0" w:line="240" w:lineRule="auto"/>
              <w:jc w:val="both"/>
              <w:rPr>
                <w:rFonts w:ascii="Arial" w:hAnsi="Arial" w:cs="Arial"/>
                <w:sz w:val="20"/>
                <w:szCs w:val="20"/>
              </w:rPr>
            </w:pPr>
          </w:p>
        </w:tc>
        <w:tc>
          <w:tcPr>
            <w:tcW w:w="1910" w:type="dxa"/>
          </w:tcPr>
          <w:p w14:paraId="771F073F" w14:textId="77777777" w:rsidR="002006F1" w:rsidRPr="00C766E8" w:rsidRDefault="002006F1" w:rsidP="004972C5">
            <w:pPr>
              <w:spacing w:after="0" w:line="240" w:lineRule="auto"/>
              <w:jc w:val="both"/>
              <w:rPr>
                <w:rFonts w:ascii="Arial" w:hAnsi="Arial" w:cs="Arial"/>
                <w:sz w:val="20"/>
                <w:szCs w:val="20"/>
              </w:rPr>
            </w:pPr>
            <w:r>
              <w:rPr>
                <w:rFonts w:ascii="Arial" w:hAnsi="Arial" w:cs="Arial"/>
                <w:sz w:val="20"/>
                <w:szCs w:val="20"/>
              </w:rPr>
              <w:t>3.5</w:t>
            </w:r>
          </w:p>
        </w:tc>
        <w:tc>
          <w:tcPr>
            <w:tcW w:w="1328" w:type="dxa"/>
          </w:tcPr>
          <w:p w14:paraId="7C65EB14" w14:textId="77777777" w:rsidR="002006F1" w:rsidRPr="00C766E8" w:rsidRDefault="002006F1" w:rsidP="004972C5">
            <w:pPr>
              <w:spacing w:after="0" w:line="240" w:lineRule="auto"/>
              <w:jc w:val="both"/>
              <w:rPr>
                <w:rFonts w:ascii="Arial" w:hAnsi="Arial" w:cs="Arial"/>
                <w:sz w:val="20"/>
                <w:szCs w:val="20"/>
              </w:rPr>
            </w:pPr>
            <w:r>
              <w:rPr>
                <w:rFonts w:ascii="Arial" w:hAnsi="Arial" w:cs="Arial"/>
                <w:sz w:val="20"/>
                <w:szCs w:val="20"/>
              </w:rPr>
              <w:t>--</w:t>
            </w:r>
          </w:p>
        </w:tc>
        <w:tc>
          <w:tcPr>
            <w:tcW w:w="1320" w:type="dxa"/>
          </w:tcPr>
          <w:p w14:paraId="6CF84D62" w14:textId="77777777" w:rsidR="002006F1" w:rsidRPr="00C766E8" w:rsidRDefault="002006F1" w:rsidP="004972C5">
            <w:pPr>
              <w:spacing w:after="0" w:line="240" w:lineRule="auto"/>
              <w:jc w:val="both"/>
              <w:rPr>
                <w:rFonts w:ascii="Arial" w:hAnsi="Arial" w:cs="Arial"/>
                <w:sz w:val="20"/>
                <w:szCs w:val="20"/>
              </w:rPr>
            </w:pPr>
            <w:r w:rsidRPr="00C766E8">
              <w:rPr>
                <w:rFonts w:ascii="Arial" w:hAnsi="Arial" w:cs="Arial"/>
                <w:sz w:val="20"/>
                <w:szCs w:val="20"/>
              </w:rPr>
              <w:t>0.100</w:t>
            </w:r>
          </w:p>
        </w:tc>
        <w:tc>
          <w:tcPr>
            <w:tcW w:w="1429" w:type="dxa"/>
            <w:vMerge/>
          </w:tcPr>
          <w:p w14:paraId="0CBD90D5" w14:textId="77777777" w:rsidR="002006F1" w:rsidRPr="00C766E8" w:rsidRDefault="002006F1" w:rsidP="004972C5">
            <w:pPr>
              <w:spacing w:after="0" w:line="240" w:lineRule="auto"/>
              <w:jc w:val="both"/>
              <w:rPr>
                <w:rFonts w:ascii="Arial" w:hAnsi="Arial" w:cs="Arial"/>
                <w:sz w:val="20"/>
                <w:szCs w:val="20"/>
              </w:rPr>
            </w:pPr>
          </w:p>
        </w:tc>
      </w:tr>
      <w:tr w:rsidR="002006F1" w14:paraId="4DC41A22" w14:textId="77777777" w:rsidTr="002006F1">
        <w:tc>
          <w:tcPr>
            <w:tcW w:w="1615" w:type="dxa"/>
            <w:vMerge/>
          </w:tcPr>
          <w:p w14:paraId="7C0EAF79" w14:textId="77777777" w:rsidR="002006F1" w:rsidRPr="00C766E8" w:rsidRDefault="002006F1" w:rsidP="004972C5">
            <w:pPr>
              <w:spacing w:after="0" w:line="240" w:lineRule="auto"/>
              <w:jc w:val="both"/>
              <w:rPr>
                <w:rFonts w:ascii="Arial" w:hAnsi="Arial" w:cs="Arial"/>
                <w:sz w:val="20"/>
                <w:szCs w:val="20"/>
              </w:rPr>
            </w:pPr>
          </w:p>
        </w:tc>
        <w:tc>
          <w:tcPr>
            <w:tcW w:w="2010" w:type="dxa"/>
          </w:tcPr>
          <w:p w14:paraId="5A6EA0A1" w14:textId="77777777" w:rsidR="002006F1" w:rsidRPr="00C766E8" w:rsidRDefault="002006F1" w:rsidP="004972C5">
            <w:pPr>
              <w:spacing w:after="0" w:line="240" w:lineRule="auto"/>
              <w:jc w:val="both"/>
              <w:rPr>
                <w:rFonts w:ascii="Arial" w:hAnsi="Arial" w:cs="Arial"/>
                <w:sz w:val="20"/>
                <w:szCs w:val="20"/>
              </w:rPr>
            </w:pPr>
            <w:r w:rsidRPr="00C766E8">
              <w:rPr>
                <w:rFonts w:ascii="Arial" w:hAnsi="Arial" w:cs="Arial"/>
                <w:sz w:val="20"/>
                <w:szCs w:val="20"/>
              </w:rPr>
              <w:t>Large Rivers</w:t>
            </w:r>
          </w:p>
        </w:tc>
        <w:tc>
          <w:tcPr>
            <w:tcW w:w="3030" w:type="dxa"/>
            <w:vMerge/>
          </w:tcPr>
          <w:p w14:paraId="61151B13" w14:textId="77777777" w:rsidR="002006F1" w:rsidRPr="00C766E8" w:rsidRDefault="002006F1" w:rsidP="004972C5">
            <w:pPr>
              <w:spacing w:after="0" w:line="240" w:lineRule="auto"/>
              <w:jc w:val="both"/>
              <w:rPr>
                <w:rFonts w:ascii="Arial" w:hAnsi="Arial" w:cs="Arial"/>
                <w:sz w:val="20"/>
                <w:szCs w:val="20"/>
              </w:rPr>
            </w:pPr>
          </w:p>
        </w:tc>
        <w:tc>
          <w:tcPr>
            <w:tcW w:w="1910" w:type="dxa"/>
          </w:tcPr>
          <w:p w14:paraId="01BC98E6" w14:textId="77777777" w:rsidR="002006F1" w:rsidRPr="00C766E8" w:rsidRDefault="002006F1" w:rsidP="004972C5">
            <w:pPr>
              <w:spacing w:after="0" w:line="240" w:lineRule="auto"/>
              <w:jc w:val="both"/>
              <w:rPr>
                <w:rFonts w:ascii="Arial" w:hAnsi="Arial" w:cs="Arial"/>
                <w:sz w:val="20"/>
                <w:szCs w:val="20"/>
              </w:rPr>
            </w:pPr>
            <w:r>
              <w:rPr>
                <w:rFonts w:ascii="Arial" w:hAnsi="Arial" w:cs="Arial"/>
                <w:sz w:val="20"/>
                <w:szCs w:val="20"/>
              </w:rPr>
              <w:t>4.5</w:t>
            </w:r>
          </w:p>
        </w:tc>
        <w:tc>
          <w:tcPr>
            <w:tcW w:w="1328" w:type="dxa"/>
          </w:tcPr>
          <w:p w14:paraId="3B425FBC" w14:textId="77777777" w:rsidR="002006F1" w:rsidRPr="00C766E8" w:rsidRDefault="002006F1" w:rsidP="004972C5">
            <w:pPr>
              <w:spacing w:after="0" w:line="240" w:lineRule="auto"/>
              <w:jc w:val="both"/>
              <w:rPr>
                <w:rFonts w:ascii="Arial" w:hAnsi="Arial" w:cs="Arial"/>
                <w:sz w:val="20"/>
                <w:szCs w:val="20"/>
              </w:rPr>
            </w:pPr>
            <w:r>
              <w:rPr>
                <w:rFonts w:ascii="Arial" w:hAnsi="Arial" w:cs="Arial"/>
                <w:sz w:val="20"/>
                <w:szCs w:val="20"/>
              </w:rPr>
              <w:t>--</w:t>
            </w:r>
          </w:p>
        </w:tc>
        <w:tc>
          <w:tcPr>
            <w:tcW w:w="1320" w:type="dxa"/>
          </w:tcPr>
          <w:p w14:paraId="7C5F8144" w14:textId="77777777" w:rsidR="002006F1" w:rsidRPr="00C766E8" w:rsidRDefault="002006F1" w:rsidP="004972C5">
            <w:pPr>
              <w:spacing w:after="0" w:line="240" w:lineRule="auto"/>
              <w:jc w:val="both"/>
              <w:rPr>
                <w:rFonts w:ascii="Arial" w:hAnsi="Arial" w:cs="Arial"/>
                <w:sz w:val="20"/>
                <w:szCs w:val="20"/>
              </w:rPr>
            </w:pPr>
            <w:r w:rsidRPr="00C766E8">
              <w:rPr>
                <w:rFonts w:ascii="Arial" w:hAnsi="Arial" w:cs="Arial"/>
                <w:sz w:val="20"/>
                <w:szCs w:val="20"/>
              </w:rPr>
              <w:t>0.150</w:t>
            </w:r>
          </w:p>
        </w:tc>
        <w:tc>
          <w:tcPr>
            <w:tcW w:w="1429" w:type="dxa"/>
            <w:vMerge/>
          </w:tcPr>
          <w:p w14:paraId="76EF19F7" w14:textId="77777777" w:rsidR="002006F1" w:rsidRPr="00C766E8" w:rsidRDefault="002006F1" w:rsidP="004972C5">
            <w:pPr>
              <w:spacing w:after="0" w:line="240" w:lineRule="auto"/>
              <w:jc w:val="both"/>
              <w:rPr>
                <w:rFonts w:ascii="Arial" w:hAnsi="Arial" w:cs="Arial"/>
                <w:sz w:val="20"/>
                <w:szCs w:val="20"/>
              </w:rPr>
            </w:pPr>
          </w:p>
        </w:tc>
      </w:tr>
      <w:tr w:rsidR="00357709" w14:paraId="300AA8D0" w14:textId="77777777" w:rsidTr="002006F1">
        <w:tc>
          <w:tcPr>
            <w:tcW w:w="1615" w:type="dxa"/>
            <w:vMerge w:val="restart"/>
          </w:tcPr>
          <w:p w14:paraId="772B5880" w14:textId="77777777" w:rsidR="00357709" w:rsidRPr="00C766E8" w:rsidRDefault="00357709" w:rsidP="004972C5">
            <w:pPr>
              <w:spacing w:after="0" w:line="240" w:lineRule="auto"/>
              <w:jc w:val="both"/>
              <w:rPr>
                <w:rFonts w:ascii="Arial" w:hAnsi="Arial" w:cs="Arial"/>
                <w:sz w:val="20"/>
                <w:szCs w:val="20"/>
              </w:rPr>
            </w:pPr>
            <w:r w:rsidRPr="00C766E8">
              <w:rPr>
                <w:rFonts w:ascii="Arial" w:hAnsi="Arial" w:cs="Arial"/>
                <w:sz w:val="20"/>
                <w:szCs w:val="20"/>
              </w:rPr>
              <w:t>Ohio</w:t>
            </w:r>
          </w:p>
        </w:tc>
        <w:tc>
          <w:tcPr>
            <w:tcW w:w="2010" w:type="dxa"/>
          </w:tcPr>
          <w:p w14:paraId="54EF11A6" w14:textId="77777777" w:rsidR="00357709" w:rsidRPr="00C766E8" w:rsidRDefault="00357709" w:rsidP="004972C5">
            <w:pPr>
              <w:spacing w:after="0" w:line="240" w:lineRule="auto"/>
              <w:jc w:val="both"/>
              <w:rPr>
                <w:rFonts w:ascii="Arial" w:hAnsi="Arial" w:cs="Arial"/>
                <w:sz w:val="20"/>
                <w:szCs w:val="20"/>
              </w:rPr>
            </w:pPr>
            <w:r>
              <w:rPr>
                <w:rFonts w:ascii="Arial" w:hAnsi="Arial" w:cs="Arial"/>
                <w:sz w:val="20"/>
                <w:szCs w:val="20"/>
              </w:rPr>
              <w:t>Wadeable Streams</w:t>
            </w:r>
          </w:p>
        </w:tc>
        <w:tc>
          <w:tcPr>
            <w:tcW w:w="3030" w:type="dxa"/>
          </w:tcPr>
          <w:p w14:paraId="7284DD8D" w14:textId="77777777" w:rsidR="00357709" w:rsidRDefault="00357709" w:rsidP="004972C5">
            <w:pPr>
              <w:spacing w:after="0" w:line="240" w:lineRule="auto"/>
              <w:jc w:val="both"/>
              <w:rPr>
                <w:rFonts w:ascii="Arial" w:hAnsi="Arial" w:cs="Arial"/>
                <w:sz w:val="20"/>
                <w:szCs w:val="20"/>
              </w:rPr>
            </w:pPr>
            <w:r>
              <w:rPr>
                <w:rFonts w:ascii="Arial" w:hAnsi="Arial" w:cs="Arial"/>
                <w:sz w:val="20"/>
                <w:szCs w:val="20"/>
              </w:rPr>
              <w:t>High quality</w:t>
            </w:r>
          </w:p>
          <w:p w14:paraId="6E3458AA" w14:textId="77777777" w:rsidR="00357709" w:rsidRDefault="00357709" w:rsidP="004972C5">
            <w:pPr>
              <w:spacing w:after="0" w:line="240" w:lineRule="auto"/>
              <w:jc w:val="both"/>
              <w:rPr>
                <w:rFonts w:ascii="Arial" w:hAnsi="Arial" w:cs="Arial"/>
                <w:sz w:val="20"/>
                <w:szCs w:val="20"/>
              </w:rPr>
            </w:pPr>
            <w:r>
              <w:rPr>
                <w:rFonts w:ascii="Arial" w:hAnsi="Arial" w:cs="Arial"/>
                <w:sz w:val="20"/>
                <w:szCs w:val="20"/>
              </w:rPr>
              <w:t>Management</w:t>
            </w:r>
          </w:p>
        </w:tc>
        <w:tc>
          <w:tcPr>
            <w:tcW w:w="1910" w:type="dxa"/>
          </w:tcPr>
          <w:p w14:paraId="693A6811" w14:textId="77777777" w:rsidR="00357709" w:rsidRDefault="00357709" w:rsidP="004972C5">
            <w:pPr>
              <w:spacing w:after="0" w:line="240" w:lineRule="auto"/>
              <w:jc w:val="both"/>
              <w:rPr>
                <w:rFonts w:ascii="Arial" w:hAnsi="Arial" w:cs="Arial"/>
                <w:sz w:val="20"/>
                <w:szCs w:val="20"/>
              </w:rPr>
            </w:pPr>
            <w:r>
              <w:rPr>
                <w:rFonts w:ascii="Arial" w:hAnsi="Arial" w:cs="Arial"/>
                <w:sz w:val="20"/>
                <w:szCs w:val="20"/>
              </w:rPr>
              <w:t>3.0</w:t>
            </w:r>
          </w:p>
          <w:p w14:paraId="00B74D30" w14:textId="77777777" w:rsidR="00357709" w:rsidRDefault="00357709" w:rsidP="004972C5">
            <w:pPr>
              <w:spacing w:after="0" w:line="240" w:lineRule="auto"/>
              <w:jc w:val="both"/>
              <w:rPr>
                <w:rFonts w:ascii="Arial" w:hAnsi="Arial" w:cs="Arial"/>
                <w:sz w:val="20"/>
                <w:szCs w:val="20"/>
              </w:rPr>
            </w:pPr>
            <w:r>
              <w:rPr>
                <w:rFonts w:ascii="Arial" w:hAnsi="Arial" w:cs="Arial"/>
                <w:sz w:val="20"/>
                <w:szCs w:val="20"/>
              </w:rPr>
              <w:t>3.5</w:t>
            </w:r>
          </w:p>
        </w:tc>
        <w:tc>
          <w:tcPr>
            <w:tcW w:w="1328" w:type="dxa"/>
          </w:tcPr>
          <w:p w14:paraId="1318EB54" w14:textId="77777777" w:rsidR="00357709" w:rsidRDefault="00357709" w:rsidP="004972C5">
            <w:pPr>
              <w:spacing w:after="0" w:line="240" w:lineRule="auto"/>
              <w:jc w:val="both"/>
              <w:rPr>
                <w:rFonts w:ascii="Arial" w:hAnsi="Arial" w:cs="Arial"/>
                <w:sz w:val="20"/>
                <w:szCs w:val="20"/>
              </w:rPr>
            </w:pPr>
            <w:r>
              <w:rPr>
                <w:rFonts w:ascii="Arial" w:hAnsi="Arial" w:cs="Arial"/>
                <w:sz w:val="20"/>
                <w:szCs w:val="20"/>
              </w:rPr>
              <w:t>0.44 DIN</w:t>
            </w:r>
          </w:p>
          <w:p w14:paraId="3E08B488" w14:textId="77777777" w:rsidR="00357709" w:rsidRPr="00C766E8" w:rsidRDefault="00357709" w:rsidP="004972C5">
            <w:pPr>
              <w:spacing w:after="0" w:line="240" w:lineRule="auto"/>
              <w:jc w:val="both"/>
              <w:rPr>
                <w:rFonts w:ascii="Arial" w:hAnsi="Arial" w:cs="Arial"/>
                <w:sz w:val="20"/>
                <w:szCs w:val="20"/>
              </w:rPr>
            </w:pPr>
            <w:r>
              <w:rPr>
                <w:rFonts w:ascii="Arial" w:hAnsi="Arial" w:cs="Arial"/>
                <w:sz w:val="20"/>
                <w:szCs w:val="20"/>
              </w:rPr>
              <w:t>1.1 DIN</w:t>
            </w:r>
          </w:p>
        </w:tc>
        <w:tc>
          <w:tcPr>
            <w:tcW w:w="1320" w:type="dxa"/>
          </w:tcPr>
          <w:p w14:paraId="6F02A187" w14:textId="77777777" w:rsidR="00357709" w:rsidRDefault="00357709" w:rsidP="004972C5">
            <w:pPr>
              <w:spacing w:after="0" w:line="240" w:lineRule="auto"/>
              <w:jc w:val="both"/>
              <w:rPr>
                <w:rFonts w:ascii="Arial" w:hAnsi="Arial" w:cs="Arial"/>
                <w:sz w:val="20"/>
                <w:szCs w:val="20"/>
              </w:rPr>
            </w:pPr>
            <w:r>
              <w:rPr>
                <w:rFonts w:ascii="Arial" w:hAnsi="Arial" w:cs="Arial"/>
                <w:sz w:val="20"/>
                <w:szCs w:val="20"/>
              </w:rPr>
              <w:t>0.04</w:t>
            </w:r>
          </w:p>
          <w:p w14:paraId="52FBB193" w14:textId="77777777" w:rsidR="00357709" w:rsidRPr="00C766E8" w:rsidRDefault="00357709" w:rsidP="004972C5">
            <w:pPr>
              <w:spacing w:after="0" w:line="240" w:lineRule="auto"/>
              <w:jc w:val="both"/>
              <w:rPr>
                <w:rFonts w:ascii="Arial" w:hAnsi="Arial" w:cs="Arial"/>
                <w:sz w:val="20"/>
                <w:szCs w:val="20"/>
              </w:rPr>
            </w:pPr>
            <w:r>
              <w:rPr>
                <w:rFonts w:ascii="Arial" w:hAnsi="Arial" w:cs="Arial"/>
                <w:sz w:val="20"/>
                <w:szCs w:val="20"/>
              </w:rPr>
              <w:t>0.1</w:t>
            </w:r>
          </w:p>
        </w:tc>
        <w:tc>
          <w:tcPr>
            <w:tcW w:w="1429" w:type="dxa"/>
          </w:tcPr>
          <w:p w14:paraId="1CD84639" w14:textId="77777777" w:rsidR="00357709" w:rsidRPr="00C766E8" w:rsidRDefault="00357709" w:rsidP="004972C5">
            <w:pPr>
              <w:spacing w:after="0" w:line="240" w:lineRule="auto"/>
              <w:jc w:val="both"/>
              <w:rPr>
                <w:rFonts w:ascii="Arial" w:hAnsi="Arial" w:cs="Arial"/>
                <w:sz w:val="20"/>
                <w:szCs w:val="20"/>
              </w:rPr>
            </w:pPr>
            <w:r>
              <w:rPr>
                <w:rFonts w:ascii="Arial" w:hAnsi="Arial" w:cs="Arial"/>
                <w:sz w:val="20"/>
                <w:szCs w:val="20"/>
              </w:rPr>
              <w:t>Miltner (2010)</w:t>
            </w:r>
          </w:p>
        </w:tc>
      </w:tr>
      <w:tr w:rsidR="00357709" w14:paraId="4E38FC3B" w14:textId="77777777" w:rsidTr="002006F1">
        <w:tc>
          <w:tcPr>
            <w:tcW w:w="1615" w:type="dxa"/>
            <w:vMerge/>
          </w:tcPr>
          <w:p w14:paraId="23FAFE91" w14:textId="77777777" w:rsidR="00357709" w:rsidRPr="00C766E8" w:rsidRDefault="00357709" w:rsidP="004972C5">
            <w:pPr>
              <w:spacing w:after="0" w:line="240" w:lineRule="auto"/>
              <w:jc w:val="both"/>
              <w:rPr>
                <w:rFonts w:ascii="Arial" w:hAnsi="Arial" w:cs="Arial"/>
                <w:sz w:val="20"/>
                <w:szCs w:val="20"/>
              </w:rPr>
            </w:pPr>
          </w:p>
        </w:tc>
        <w:tc>
          <w:tcPr>
            <w:tcW w:w="2010" w:type="dxa"/>
          </w:tcPr>
          <w:p w14:paraId="6F04D3B2" w14:textId="77777777" w:rsidR="00357709" w:rsidRPr="00C766E8" w:rsidRDefault="00357709" w:rsidP="004972C5">
            <w:pPr>
              <w:spacing w:after="0" w:line="240" w:lineRule="auto"/>
              <w:jc w:val="both"/>
              <w:rPr>
                <w:rFonts w:ascii="Arial" w:hAnsi="Arial" w:cs="Arial"/>
                <w:sz w:val="20"/>
                <w:szCs w:val="20"/>
              </w:rPr>
            </w:pPr>
            <w:r w:rsidRPr="00C766E8">
              <w:rPr>
                <w:rFonts w:ascii="Arial" w:hAnsi="Arial" w:cs="Arial"/>
                <w:sz w:val="20"/>
                <w:szCs w:val="20"/>
              </w:rPr>
              <w:t>Large rivers</w:t>
            </w:r>
          </w:p>
        </w:tc>
        <w:tc>
          <w:tcPr>
            <w:tcW w:w="3030" w:type="dxa"/>
          </w:tcPr>
          <w:p w14:paraId="273A3765" w14:textId="77777777" w:rsidR="00357709" w:rsidRPr="00C766E8" w:rsidRDefault="00357709" w:rsidP="004972C5">
            <w:pPr>
              <w:spacing w:after="0" w:line="240" w:lineRule="auto"/>
              <w:jc w:val="both"/>
              <w:rPr>
                <w:rFonts w:ascii="Arial" w:hAnsi="Arial" w:cs="Arial"/>
                <w:sz w:val="20"/>
                <w:szCs w:val="20"/>
              </w:rPr>
            </w:pPr>
            <w:r>
              <w:rPr>
                <w:rFonts w:ascii="Arial" w:hAnsi="Arial" w:cs="Arial"/>
                <w:sz w:val="20"/>
                <w:szCs w:val="20"/>
              </w:rPr>
              <w:t>Fish IBI change point</w:t>
            </w:r>
          </w:p>
        </w:tc>
        <w:tc>
          <w:tcPr>
            <w:tcW w:w="1910" w:type="dxa"/>
          </w:tcPr>
          <w:p w14:paraId="7F6BEE89" w14:textId="77777777" w:rsidR="00357709" w:rsidRPr="00C766E8" w:rsidRDefault="00357709" w:rsidP="004972C5">
            <w:pPr>
              <w:spacing w:after="0" w:line="240" w:lineRule="auto"/>
              <w:jc w:val="both"/>
              <w:rPr>
                <w:rFonts w:ascii="Arial" w:hAnsi="Arial" w:cs="Arial"/>
                <w:sz w:val="20"/>
                <w:szCs w:val="20"/>
              </w:rPr>
            </w:pPr>
            <w:r>
              <w:rPr>
                <w:rFonts w:ascii="Arial" w:hAnsi="Arial" w:cs="Arial"/>
                <w:sz w:val="20"/>
                <w:szCs w:val="20"/>
              </w:rPr>
              <w:t>3.5</w:t>
            </w:r>
          </w:p>
        </w:tc>
        <w:tc>
          <w:tcPr>
            <w:tcW w:w="1328" w:type="dxa"/>
          </w:tcPr>
          <w:p w14:paraId="6AAAFD98" w14:textId="77777777" w:rsidR="00357709" w:rsidRPr="00C766E8" w:rsidRDefault="00357709" w:rsidP="004972C5">
            <w:pPr>
              <w:spacing w:after="0" w:line="240" w:lineRule="auto"/>
              <w:jc w:val="both"/>
              <w:rPr>
                <w:rFonts w:ascii="Arial" w:hAnsi="Arial" w:cs="Arial"/>
                <w:sz w:val="20"/>
                <w:szCs w:val="20"/>
              </w:rPr>
            </w:pPr>
          </w:p>
        </w:tc>
        <w:tc>
          <w:tcPr>
            <w:tcW w:w="1320" w:type="dxa"/>
          </w:tcPr>
          <w:p w14:paraId="3CCFABED" w14:textId="77777777" w:rsidR="00357709" w:rsidRPr="00C766E8" w:rsidRDefault="00357709" w:rsidP="004972C5">
            <w:pPr>
              <w:spacing w:after="0" w:line="240" w:lineRule="auto"/>
              <w:jc w:val="both"/>
              <w:rPr>
                <w:rFonts w:ascii="Arial" w:hAnsi="Arial" w:cs="Arial"/>
                <w:sz w:val="20"/>
                <w:szCs w:val="20"/>
              </w:rPr>
            </w:pPr>
            <w:r w:rsidRPr="00C766E8">
              <w:rPr>
                <w:rFonts w:ascii="Arial" w:hAnsi="Arial" w:cs="Arial"/>
                <w:sz w:val="20"/>
                <w:szCs w:val="20"/>
              </w:rPr>
              <w:t>0.130</w:t>
            </w:r>
          </w:p>
        </w:tc>
        <w:tc>
          <w:tcPr>
            <w:tcW w:w="1429" w:type="dxa"/>
          </w:tcPr>
          <w:p w14:paraId="060378AB" w14:textId="77777777" w:rsidR="00357709" w:rsidRPr="00C766E8" w:rsidRDefault="00357709" w:rsidP="004972C5">
            <w:pPr>
              <w:spacing w:after="0" w:line="240" w:lineRule="auto"/>
              <w:jc w:val="both"/>
              <w:rPr>
                <w:rFonts w:ascii="Arial" w:hAnsi="Arial" w:cs="Arial"/>
                <w:sz w:val="20"/>
                <w:szCs w:val="20"/>
              </w:rPr>
            </w:pPr>
            <w:r w:rsidRPr="00C766E8">
              <w:rPr>
                <w:rFonts w:ascii="Arial" w:hAnsi="Arial" w:cs="Arial"/>
                <w:sz w:val="20"/>
                <w:szCs w:val="20"/>
              </w:rPr>
              <w:t>Miltner et al. (2010)</w:t>
            </w:r>
          </w:p>
        </w:tc>
      </w:tr>
    </w:tbl>
    <w:p w14:paraId="7B31418A" w14:textId="77777777" w:rsidR="00357709" w:rsidRDefault="00357709" w:rsidP="00043CC3">
      <w:pPr>
        <w:jc w:val="both"/>
        <w:sectPr w:rsidR="00357709" w:rsidSect="00F13F09">
          <w:pgSz w:w="15840" w:h="12240" w:orient="landscape"/>
          <w:pgMar w:top="1440" w:right="1440" w:bottom="1440" w:left="1440" w:header="720" w:footer="720" w:gutter="0"/>
          <w:cols w:space="720"/>
          <w:docGrid w:linePitch="360"/>
        </w:sectPr>
      </w:pPr>
    </w:p>
    <w:p w14:paraId="2BAC50BB" w14:textId="77777777" w:rsidR="00357709" w:rsidRDefault="00357709" w:rsidP="00357709">
      <w:r>
        <w:t xml:space="preserve">Diel variability in regions like Minnesota and Ohio have less relevance than New Mexico because of stream type, alkalinity, temperature and </w:t>
      </w:r>
      <w:r w:rsidR="00C7561A">
        <w:t xml:space="preserve">(nonwadeable) </w:t>
      </w:r>
      <w:r>
        <w:t xml:space="preserve">flow regimes. However, comparison of this literature and nutrient concentrations derived to protect against diel variability is informative. Heiskary and Bouchard (2015) and Miltner (2010) have suggested ±3.0 -4.5 mg/L diel variability is a change point for a significant increase in pollution tolerant fish and BMI taxa (e.g. Figure 3.11, right panel), supporting change point analyses on BMI in New Mexico (Jessup et al. 2015). </w:t>
      </w:r>
    </w:p>
    <w:p w14:paraId="0CA1EAAE" w14:textId="77777777" w:rsidR="00357709" w:rsidRDefault="00357709" w:rsidP="00357709">
      <w:r>
        <w:t>The New Mexico diel endpoints resulted in TN and TP thresholds of 0.30-0.36 mg/L TN and 0.035 – 0.099 mg/L TP, which fall within the comparable 90</w:t>
      </w:r>
      <w:r w:rsidRPr="007679F6">
        <w:rPr>
          <w:vertAlign w:val="superscript"/>
        </w:rPr>
        <w:t>th</w:t>
      </w:r>
      <w:r>
        <w:t xml:space="preserve"> confidence thresholds protective of the 10</w:t>
      </w:r>
      <w:r w:rsidRPr="007679F6">
        <w:rPr>
          <w:vertAlign w:val="superscript"/>
        </w:rPr>
        <w:t>th</w:t>
      </w:r>
      <w:r>
        <w:t xml:space="preserve"> percentile of CSCI and ASCI (Table 3.6), but lower than the Minnesota and Ohio suggested criteria of 1.1 mg/L DIN (NO3+ NH4) and 0.05-0.13 mg/L TP (Heiskary and Bourchard 2015, Miltner 2010). </w:t>
      </w:r>
    </w:p>
    <w:p w14:paraId="3AB4D965" w14:textId="77777777" w:rsidR="00F6386D" w:rsidRDefault="00F6386D" w:rsidP="00F6386D">
      <w:pPr>
        <w:pStyle w:val="Heading3"/>
      </w:pPr>
      <w:bookmarkStart w:id="159" w:name="_Toc526505137"/>
      <w:r>
        <w:t>3.3.4 CyanoHAB Cell Density and Toxins</w:t>
      </w:r>
      <w:bookmarkEnd w:id="159"/>
    </w:p>
    <w:p w14:paraId="4704DCC5" w14:textId="77777777" w:rsidR="00E66FCF" w:rsidRDefault="0069138A" w:rsidP="00E66FCF">
      <w:r w:rsidRPr="00AD2D2F">
        <w:rPr>
          <w:rFonts w:asciiTheme="minorHAnsi" w:hAnsiTheme="minorHAnsi" w:cstheme="minorHAnsi"/>
        </w:rPr>
        <w:t xml:space="preserve">CyanoHABs </w:t>
      </w:r>
      <w:r w:rsidR="003E6AA6" w:rsidRPr="00AD2D2F">
        <w:rPr>
          <w:rFonts w:asciiTheme="minorHAnsi" w:hAnsiTheme="minorHAnsi" w:cstheme="minorHAnsi"/>
        </w:rPr>
        <w:t xml:space="preserve">toxins </w:t>
      </w:r>
      <w:r w:rsidR="005A0D80">
        <w:rPr>
          <w:rFonts w:asciiTheme="minorHAnsi" w:hAnsiTheme="minorHAnsi" w:cstheme="minorHAnsi"/>
        </w:rPr>
        <w:t xml:space="preserve">(Table 3.13) </w:t>
      </w:r>
      <w:r w:rsidRPr="00AD2D2F">
        <w:rPr>
          <w:rFonts w:asciiTheme="minorHAnsi" w:hAnsiTheme="minorHAnsi" w:cstheme="minorHAnsi"/>
        </w:rPr>
        <w:t>can impact aquatic life at all taxonomic levels</w:t>
      </w:r>
      <w:r w:rsidR="003E6AA6" w:rsidRPr="00AD2D2F">
        <w:rPr>
          <w:rFonts w:asciiTheme="minorHAnsi" w:hAnsiTheme="minorHAnsi" w:cstheme="minorHAnsi"/>
        </w:rPr>
        <w:t>, including bacteria, algae and plants, aquatic invertebrates, fish and marine mammals</w:t>
      </w:r>
      <w:r w:rsidR="005A0D80">
        <w:rPr>
          <w:rFonts w:asciiTheme="minorHAnsi" w:hAnsiTheme="minorHAnsi" w:cstheme="minorHAnsi"/>
        </w:rPr>
        <w:t xml:space="preserve"> and can also impact wildlife (e.g. piscivorous birds</w:t>
      </w:r>
      <w:r w:rsidR="003E6AA6" w:rsidRPr="00AD2D2F">
        <w:rPr>
          <w:rFonts w:asciiTheme="minorHAnsi" w:hAnsiTheme="minorHAnsi" w:cstheme="minorHAnsi"/>
        </w:rPr>
        <w:t xml:space="preserve">; however, no EPA or California state guidance </w:t>
      </w:r>
      <w:r w:rsidR="00533F6D" w:rsidRPr="00AD2D2F">
        <w:rPr>
          <w:rFonts w:asciiTheme="minorHAnsi" w:hAnsiTheme="minorHAnsi" w:cstheme="minorHAnsi"/>
        </w:rPr>
        <w:t xml:space="preserve">exists to consider </w:t>
      </w:r>
      <w:r w:rsidR="003E6AA6" w:rsidRPr="00AD2D2F">
        <w:rPr>
          <w:rFonts w:asciiTheme="minorHAnsi" w:hAnsiTheme="minorHAnsi" w:cstheme="minorHAnsi"/>
        </w:rPr>
        <w:t>thresholds that are protective of aquatic</w:t>
      </w:r>
      <w:r w:rsidR="00E54BC1">
        <w:rPr>
          <w:rFonts w:asciiTheme="minorHAnsi" w:hAnsiTheme="minorHAnsi" w:cstheme="minorHAnsi"/>
        </w:rPr>
        <w:t xml:space="preserve"> and terrestrial wild</w:t>
      </w:r>
      <w:r w:rsidR="003E6AA6" w:rsidRPr="00AD2D2F">
        <w:rPr>
          <w:rFonts w:asciiTheme="minorHAnsi" w:hAnsiTheme="minorHAnsi" w:cstheme="minorHAnsi"/>
        </w:rPr>
        <w:t>life</w:t>
      </w:r>
      <w:r w:rsidRPr="00AD2D2F">
        <w:rPr>
          <w:rFonts w:asciiTheme="minorHAnsi" w:hAnsiTheme="minorHAnsi" w:cstheme="minorHAnsi"/>
        </w:rPr>
        <w:t xml:space="preserve">.  </w:t>
      </w:r>
      <w:r w:rsidR="00533F6D" w:rsidRPr="00AD2D2F">
        <w:rPr>
          <w:rFonts w:asciiTheme="minorHAnsi" w:hAnsiTheme="minorHAnsi" w:cstheme="minorHAnsi"/>
        </w:rPr>
        <w:t xml:space="preserve">Towards that end, </w:t>
      </w:r>
      <w:r w:rsidR="003E6AA6" w:rsidRPr="00AD2D2F">
        <w:rPr>
          <w:rFonts w:asciiTheme="minorHAnsi" w:hAnsiTheme="minorHAnsi" w:cstheme="minorHAnsi"/>
        </w:rPr>
        <w:t xml:space="preserve">Mehinto et al. (in prep) are preparing a comprehensive review of cyanoHAB aquatic toxicity effects for State Water Board staff to consider the possibility of guidance to protect aquatic life.  </w:t>
      </w:r>
      <w:r w:rsidRPr="00AD2D2F">
        <w:rPr>
          <w:rFonts w:asciiTheme="minorHAnsi" w:hAnsiTheme="minorHAnsi" w:cstheme="minorHAnsi"/>
        </w:rPr>
        <w:t xml:space="preserve">Zanchett and Oliveira-Filho (2013) provide a </w:t>
      </w:r>
      <w:r w:rsidR="00533F6D" w:rsidRPr="00AD2D2F">
        <w:rPr>
          <w:rFonts w:asciiTheme="minorHAnsi" w:hAnsiTheme="minorHAnsi" w:cstheme="minorHAnsi"/>
        </w:rPr>
        <w:t xml:space="preserve">global </w:t>
      </w:r>
      <w:r w:rsidRPr="00AD2D2F">
        <w:rPr>
          <w:rFonts w:asciiTheme="minorHAnsi" w:hAnsiTheme="minorHAnsi" w:cstheme="minorHAnsi"/>
        </w:rPr>
        <w:t xml:space="preserve">review of available literature on </w:t>
      </w:r>
      <w:r w:rsidR="003E6AA6" w:rsidRPr="00AD2D2F">
        <w:rPr>
          <w:rFonts w:asciiTheme="minorHAnsi" w:hAnsiTheme="minorHAnsi" w:cstheme="minorHAnsi"/>
        </w:rPr>
        <w:t>impacts to aquatic life. That literature is briefly summarized here</w:t>
      </w:r>
      <w:r w:rsidR="00533F6D" w:rsidRPr="00AD2D2F">
        <w:rPr>
          <w:rFonts w:asciiTheme="minorHAnsi" w:hAnsiTheme="minorHAnsi" w:cstheme="minorHAnsi"/>
        </w:rPr>
        <w:t>, to provide some perspective of comparison to guidance to protect human uses</w:t>
      </w:r>
      <w:r w:rsidR="00AD2D2F">
        <w:rPr>
          <w:rFonts w:asciiTheme="minorHAnsi" w:hAnsiTheme="minorHAnsi" w:cstheme="minorHAnsi"/>
        </w:rPr>
        <w:t xml:space="preserve"> (see Section 3.</w:t>
      </w:r>
      <w:r w:rsidR="0050052D">
        <w:rPr>
          <w:rFonts w:asciiTheme="minorHAnsi" w:hAnsiTheme="minorHAnsi" w:cstheme="minorHAnsi"/>
        </w:rPr>
        <w:t>4.2</w:t>
      </w:r>
      <w:r w:rsidR="00AD2D2F">
        <w:rPr>
          <w:rFonts w:asciiTheme="minorHAnsi" w:hAnsiTheme="minorHAnsi" w:cstheme="minorHAnsi"/>
        </w:rPr>
        <w:t>)</w:t>
      </w:r>
      <w:r w:rsidR="00533F6D" w:rsidRPr="00AD2D2F">
        <w:rPr>
          <w:rFonts w:asciiTheme="minorHAnsi" w:hAnsiTheme="minorHAnsi" w:cstheme="minorHAnsi"/>
        </w:rPr>
        <w:t xml:space="preserve">, but this section is not intended to inform numeric targets at this time, pending the outcome of the Mehinto et al. (in prep) review. </w:t>
      </w:r>
      <w:r w:rsidR="003E6AA6" w:rsidRPr="00AD2D2F">
        <w:rPr>
          <w:rFonts w:asciiTheme="minorHAnsi" w:hAnsiTheme="minorHAnsi" w:cstheme="minorHAnsi"/>
        </w:rPr>
        <w:t xml:space="preserve">  </w:t>
      </w:r>
      <w:r w:rsidR="00C3083E">
        <w:rPr>
          <w:rFonts w:asciiTheme="minorHAnsi" w:hAnsiTheme="minorHAnsi" w:cstheme="minorHAnsi"/>
        </w:rPr>
        <w:t xml:space="preserve">Note that </w:t>
      </w:r>
      <w:r w:rsidR="00E66FCF">
        <w:rPr>
          <w:rFonts w:asciiTheme="minorHAnsi" w:hAnsiTheme="minorHAnsi" w:cstheme="minorHAnsi"/>
        </w:rPr>
        <w:t xml:space="preserve">planktonic </w:t>
      </w:r>
      <w:r w:rsidR="00C3083E">
        <w:rPr>
          <w:rFonts w:asciiTheme="minorHAnsi" w:hAnsiTheme="minorHAnsi" w:cstheme="minorHAnsi"/>
        </w:rPr>
        <w:t xml:space="preserve">as well as </w:t>
      </w:r>
      <w:r w:rsidR="00E66FCF">
        <w:rPr>
          <w:rFonts w:asciiTheme="minorHAnsi" w:hAnsiTheme="minorHAnsi" w:cstheme="minorHAnsi"/>
        </w:rPr>
        <w:t xml:space="preserve">benthic cyanobacteria found in wadeable streams pose a significant risk from produced toxins such as microcystins, </w:t>
      </w:r>
      <w:r w:rsidR="00E66FCF">
        <w:t xml:space="preserve">lyngbyatoxin, saxitoxins, and anatoxin-a (Fetscher et al., 2015), in addition to the role that streams play as a conduit of cyanotoxins produced in lentic waterbodies that can impact downstream uses (Miller et al. 2010). </w:t>
      </w:r>
    </w:p>
    <w:p w14:paraId="20964CAE" w14:textId="77777777" w:rsidR="007B3001" w:rsidRPr="008717FC" w:rsidRDefault="00533F6D" w:rsidP="007B3001">
      <w:r w:rsidRPr="008717FC">
        <w:rPr>
          <w:rFonts w:asciiTheme="minorHAnsi" w:hAnsiTheme="minorHAnsi" w:cstheme="minorHAnsi"/>
        </w:rPr>
        <w:t xml:space="preserve">Impacts of cyanotoxins on aquatic life is probably the best studied for </w:t>
      </w:r>
      <w:r w:rsidR="00AD2D2F" w:rsidRPr="008717FC">
        <w:rPr>
          <w:rFonts w:asciiTheme="minorHAnsi" w:hAnsiTheme="minorHAnsi" w:cstheme="minorHAnsi"/>
        </w:rPr>
        <w:t xml:space="preserve">invertebrates. </w:t>
      </w:r>
      <w:r w:rsidRPr="008717FC">
        <w:rPr>
          <w:rFonts w:asciiTheme="minorHAnsi" w:hAnsiTheme="minorHAnsi" w:cstheme="minorHAnsi"/>
        </w:rPr>
        <w:t xml:space="preserve">Cyanotoxins can influence the structure of zooplankton communities when </w:t>
      </w:r>
      <w:r w:rsidR="000562FA" w:rsidRPr="008717FC">
        <w:rPr>
          <w:rFonts w:asciiTheme="minorHAnsi" w:hAnsiTheme="minorHAnsi" w:cstheme="minorHAnsi"/>
        </w:rPr>
        <w:t>cyanobacteria are the dominant group (</w:t>
      </w:r>
      <w:r w:rsidR="00C3083E">
        <w:rPr>
          <w:rFonts w:asciiTheme="minorHAnsi" w:hAnsiTheme="minorHAnsi" w:cstheme="minorHAnsi"/>
        </w:rPr>
        <w:t>Chorus and Bantram 1999</w:t>
      </w:r>
      <w:r w:rsidR="000562FA" w:rsidRPr="008717FC">
        <w:rPr>
          <w:rFonts w:asciiTheme="minorHAnsi" w:hAnsiTheme="minorHAnsi" w:cstheme="minorHAnsi"/>
        </w:rPr>
        <w:t>). Impacts of microcystins to Daphnia include reduced filtration capacity, neuromuscular communication, enzyme phosphatase activity (</w:t>
      </w:r>
      <w:r w:rsidR="00C3083E">
        <w:rPr>
          <w:rFonts w:asciiTheme="minorHAnsi" w:hAnsiTheme="minorHAnsi" w:cstheme="minorHAnsi"/>
        </w:rPr>
        <w:t>Chen et al. 1995</w:t>
      </w:r>
      <w:r w:rsidR="000562FA" w:rsidRPr="008717FC">
        <w:rPr>
          <w:rFonts w:asciiTheme="minorHAnsi" w:hAnsiTheme="minorHAnsi" w:cstheme="minorHAnsi"/>
        </w:rPr>
        <w:t>), survival of offspring (</w:t>
      </w:r>
      <w:r w:rsidR="00C3083E">
        <w:rPr>
          <w:rFonts w:asciiTheme="minorHAnsi" w:hAnsiTheme="minorHAnsi" w:cstheme="minorHAnsi"/>
        </w:rPr>
        <w:t>Siqueria and Oliveira-Fihlo, 2005</w:t>
      </w:r>
      <w:r w:rsidR="000562FA" w:rsidRPr="008717FC">
        <w:rPr>
          <w:rFonts w:asciiTheme="minorHAnsi" w:hAnsiTheme="minorHAnsi" w:cstheme="minorHAnsi"/>
        </w:rPr>
        <w:t>), lethality (</w:t>
      </w:r>
      <w:r w:rsidR="00985787">
        <w:rPr>
          <w:rFonts w:asciiTheme="minorHAnsi" w:hAnsiTheme="minorHAnsi" w:cstheme="minorHAnsi"/>
        </w:rPr>
        <w:t>Rohrlack et al 2005</w:t>
      </w:r>
      <w:r w:rsidR="000562FA" w:rsidRPr="008717FC">
        <w:rPr>
          <w:rFonts w:asciiTheme="minorHAnsi" w:hAnsiTheme="minorHAnsi" w:cstheme="minorHAnsi"/>
        </w:rPr>
        <w:t>). Saxitoxins have been documented to impact Daphnia swimming rate (</w:t>
      </w:r>
      <w:r w:rsidR="00985787">
        <w:rPr>
          <w:rFonts w:asciiTheme="minorHAnsi" w:hAnsiTheme="minorHAnsi" w:cstheme="minorHAnsi"/>
        </w:rPr>
        <w:t>Haney et al. 1995</w:t>
      </w:r>
      <w:r w:rsidR="000562FA" w:rsidRPr="008717FC">
        <w:rPr>
          <w:rFonts w:asciiTheme="minorHAnsi" w:hAnsiTheme="minorHAnsi" w:cstheme="minorHAnsi"/>
        </w:rPr>
        <w:t>), survival, reproduction and somatic growth (</w:t>
      </w:r>
      <w:r w:rsidR="00985787">
        <w:rPr>
          <w:rFonts w:asciiTheme="minorHAnsi" w:hAnsiTheme="minorHAnsi" w:cstheme="minorHAnsi"/>
        </w:rPr>
        <w:t>Nogueira et al. 2004</w:t>
      </w:r>
      <w:r w:rsidR="000562FA" w:rsidRPr="008717FC">
        <w:rPr>
          <w:rFonts w:asciiTheme="minorHAnsi" w:hAnsiTheme="minorHAnsi" w:cstheme="minorHAnsi"/>
        </w:rPr>
        <w:t>).</w:t>
      </w:r>
      <w:r w:rsidR="00AD2D2F" w:rsidRPr="008717FC">
        <w:rPr>
          <w:rFonts w:asciiTheme="minorHAnsi" w:hAnsiTheme="minorHAnsi" w:cstheme="minorHAnsi"/>
        </w:rPr>
        <w:t xml:space="preserve"> </w:t>
      </w:r>
      <w:r w:rsidR="007B3001" w:rsidRPr="008717FC">
        <w:rPr>
          <w:rFonts w:asciiTheme="minorHAnsi" w:hAnsiTheme="minorHAnsi" w:cstheme="minorHAnsi"/>
        </w:rPr>
        <w:t xml:space="preserve">Cyanobacteria also form colonies or filaments that </w:t>
      </w:r>
      <w:r w:rsidR="007B3001" w:rsidRPr="008717FC">
        <w:t xml:space="preserve">exert a mechanical influence on the filtration process of zooplankton individuals </w:t>
      </w:r>
      <w:r w:rsidR="00985787">
        <w:t>(Ferrao-Filho 2009)</w:t>
      </w:r>
      <w:r w:rsidR="007B3001" w:rsidRPr="008717FC">
        <w:t xml:space="preserve">. </w:t>
      </w:r>
      <w:r w:rsidR="00AD2D2F" w:rsidRPr="008717FC">
        <w:rPr>
          <w:rFonts w:asciiTheme="minorHAnsi" w:hAnsiTheme="minorHAnsi" w:cstheme="minorHAnsi"/>
        </w:rPr>
        <w:t>Mollusks can be impacted by cyanotoxins; moderate accumulation of microcystins within tissues of a gastropod Lymnaea resulted in strongly reduced egg production (</w:t>
      </w:r>
      <w:r w:rsidR="00985787">
        <w:rPr>
          <w:rFonts w:asciiTheme="minorHAnsi" w:hAnsiTheme="minorHAnsi" w:cstheme="minorHAnsi"/>
        </w:rPr>
        <w:t>Gerard et al. 2005</w:t>
      </w:r>
      <w:r w:rsidR="00AD2D2F" w:rsidRPr="008717FC">
        <w:rPr>
          <w:rFonts w:asciiTheme="minorHAnsi" w:hAnsiTheme="minorHAnsi" w:cstheme="minorHAnsi"/>
        </w:rPr>
        <w:t>). Other impacts of microcystin include low rates of good intake, filtration, absorption and fecal loss, and net energy</w:t>
      </w:r>
      <w:r w:rsidR="00985787">
        <w:rPr>
          <w:rFonts w:asciiTheme="minorHAnsi" w:hAnsiTheme="minorHAnsi" w:cstheme="minorHAnsi"/>
        </w:rPr>
        <w:t xml:space="preserve"> balance (growth) (Juhel et al. 2006</w:t>
      </w:r>
      <w:r w:rsidR="00AD2D2F" w:rsidRPr="008717FC">
        <w:rPr>
          <w:rFonts w:asciiTheme="minorHAnsi" w:hAnsiTheme="minorHAnsi" w:cstheme="minorHAnsi"/>
        </w:rPr>
        <w:t xml:space="preserve">). </w:t>
      </w:r>
      <w:r w:rsidR="007B3001" w:rsidRPr="008717FC">
        <w:t xml:space="preserve">Some species or strains of cyanobacteria present toxins that endanger aquatic organisms. Acute effects that may be seen include reduced survival and diminished swimming movements, which may even include complete paralysis </w:t>
      </w:r>
      <w:r w:rsidR="00985787">
        <w:t>(Landsberg 2002)</w:t>
      </w:r>
      <w:r w:rsidR="007B3001" w:rsidRPr="008717FC">
        <w:t xml:space="preserve">. There are also chronic effects, such as reduced fecundity and population growth rate, which may appear </w:t>
      </w:r>
      <w:r w:rsidR="00AB09EA" w:rsidRPr="008717FC">
        <w:t>because of</w:t>
      </w:r>
      <w:r w:rsidR="007B3001" w:rsidRPr="008717FC">
        <w:t xml:space="preserve"> sub-lethal concentrations (</w:t>
      </w:r>
      <w:r w:rsidR="007B3001" w:rsidRPr="008717FC">
        <w:rPr>
          <w:rFonts w:asciiTheme="minorHAnsi" w:hAnsiTheme="minorHAnsi" w:cstheme="minorHAnsi"/>
        </w:rPr>
        <w:t>Zanchett and Oliveira-Filho 2013).</w:t>
      </w:r>
    </w:p>
    <w:p w14:paraId="41088441" w14:textId="6A618D0B" w:rsidR="00533F6D" w:rsidRPr="008717FC" w:rsidRDefault="000562FA" w:rsidP="0069138A">
      <w:pPr>
        <w:rPr>
          <w:rFonts w:asciiTheme="minorHAnsi" w:hAnsiTheme="minorHAnsi" w:cstheme="minorHAnsi"/>
        </w:rPr>
      </w:pPr>
      <w:r w:rsidRPr="008717FC">
        <w:rPr>
          <w:rFonts w:asciiTheme="minorHAnsi" w:hAnsiTheme="minorHAnsi" w:cstheme="minorHAnsi"/>
        </w:rPr>
        <w:t xml:space="preserve">Diatoms and submerged aquatic vegetation can also be impacted. </w:t>
      </w:r>
      <w:r w:rsidRPr="008717FC">
        <w:rPr>
          <w:rFonts w:asciiTheme="minorHAnsi" w:hAnsiTheme="minorHAnsi" w:cstheme="minorHAnsi"/>
          <w:iCs/>
          <w:lang w:bidi="ar-SA"/>
        </w:rPr>
        <w:t>Cyanotoxins can</w:t>
      </w:r>
      <w:r w:rsidRPr="008717FC">
        <w:rPr>
          <w:rFonts w:asciiTheme="minorHAnsi" w:hAnsiTheme="minorHAnsi" w:cstheme="minorHAnsi"/>
          <w:i/>
          <w:iCs/>
          <w:lang w:bidi="ar-SA"/>
        </w:rPr>
        <w:t xml:space="preserve"> </w:t>
      </w:r>
      <w:r w:rsidRPr="008717FC">
        <w:rPr>
          <w:rFonts w:asciiTheme="minorHAnsi" w:hAnsiTheme="minorHAnsi" w:cstheme="minorHAnsi"/>
          <w:iCs/>
          <w:lang w:bidi="ar-SA"/>
        </w:rPr>
        <w:t>inhibit photosynthesis in other cyanobacteria (</w:t>
      </w:r>
      <w:r w:rsidR="00985787">
        <w:rPr>
          <w:rFonts w:asciiTheme="minorHAnsi" w:hAnsiTheme="minorHAnsi" w:cstheme="minorHAnsi"/>
          <w:iCs/>
          <w:lang w:bidi="ar-SA"/>
        </w:rPr>
        <w:t>Wiegand and Pflugmacher 2005</w:t>
      </w:r>
      <w:r w:rsidRPr="008717FC">
        <w:rPr>
          <w:rFonts w:asciiTheme="minorHAnsi" w:hAnsiTheme="minorHAnsi" w:cstheme="minorHAnsi"/>
          <w:iCs/>
          <w:lang w:bidi="ar-SA"/>
        </w:rPr>
        <w:t xml:space="preserve">, </w:t>
      </w:r>
      <w:r w:rsidR="00985787">
        <w:rPr>
          <w:rFonts w:asciiTheme="minorHAnsi" w:hAnsiTheme="minorHAnsi" w:cstheme="minorHAnsi"/>
          <w:iCs/>
          <w:lang w:bidi="ar-SA"/>
        </w:rPr>
        <w:t>Singh et al. 2007</w:t>
      </w:r>
      <w:r w:rsidRPr="008717FC">
        <w:rPr>
          <w:rFonts w:asciiTheme="minorHAnsi" w:hAnsiTheme="minorHAnsi" w:cstheme="minorHAnsi"/>
          <w:iCs/>
          <w:lang w:bidi="ar-SA"/>
        </w:rPr>
        <w:t>), green algae (</w:t>
      </w:r>
      <w:r w:rsidR="00985787">
        <w:rPr>
          <w:rFonts w:asciiTheme="minorHAnsi" w:hAnsiTheme="minorHAnsi" w:cstheme="minorHAnsi"/>
          <w:iCs/>
          <w:lang w:bidi="ar-SA"/>
        </w:rPr>
        <w:t>Singh et al. 2007</w:t>
      </w:r>
      <w:r w:rsidRPr="008717FC">
        <w:rPr>
          <w:rFonts w:asciiTheme="minorHAnsi" w:hAnsiTheme="minorHAnsi" w:cstheme="minorHAnsi"/>
          <w:iCs/>
          <w:lang w:bidi="ar-SA"/>
        </w:rPr>
        <w:t>), red a</w:t>
      </w:r>
      <w:r w:rsidR="00F01CB8">
        <w:rPr>
          <w:rFonts w:asciiTheme="minorHAnsi" w:hAnsiTheme="minorHAnsi" w:cstheme="minorHAnsi"/>
          <w:iCs/>
          <w:lang w:bidi="ar-SA"/>
        </w:rPr>
        <w:t>l</w:t>
      </w:r>
      <w:r w:rsidRPr="008717FC">
        <w:rPr>
          <w:rFonts w:asciiTheme="minorHAnsi" w:hAnsiTheme="minorHAnsi" w:cstheme="minorHAnsi"/>
          <w:iCs/>
          <w:lang w:bidi="ar-SA"/>
        </w:rPr>
        <w:t>gae, and diatoms (</w:t>
      </w:r>
      <w:r w:rsidR="00F01CB8">
        <w:rPr>
          <w:rFonts w:asciiTheme="minorHAnsi" w:hAnsiTheme="minorHAnsi" w:cstheme="minorHAnsi"/>
          <w:iCs/>
          <w:lang w:bidi="ar-SA"/>
        </w:rPr>
        <w:t>Pflugmacher</w:t>
      </w:r>
      <w:r w:rsidR="00985787">
        <w:rPr>
          <w:rFonts w:asciiTheme="minorHAnsi" w:hAnsiTheme="minorHAnsi" w:cstheme="minorHAnsi"/>
          <w:iCs/>
          <w:lang w:bidi="ar-SA"/>
        </w:rPr>
        <w:t xml:space="preserve"> 2002</w:t>
      </w:r>
      <w:r w:rsidRPr="008717FC">
        <w:rPr>
          <w:rFonts w:asciiTheme="minorHAnsi" w:hAnsiTheme="minorHAnsi" w:cstheme="minorHAnsi"/>
          <w:iCs/>
          <w:lang w:bidi="ar-SA"/>
        </w:rPr>
        <w:t xml:space="preserve">). Microcystins reduced growth of submerged aquatic </w:t>
      </w:r>
      <w:r w:rsidRPr="008717FC">
        <w:rPr>
          <w:rFonts w:asciiTheme="minorHAnsi" w:hAnsiTheme="minorHAnsi" w:cstheme="minorHAnsi"/>
          <w:i/>
          <w:iCs/>
          <w:lang w:bidi="ar-SA"/>
        </w:rPr>
        <w:t>Ceratophyllum dermersum</w:t>
      </w:r>
      <w:r w:rsidRPr="008717FC">
        <w:rPr>
          <w:rFonts w:asciiTheme="minorHAnsi" w:hAnsiTheme="minorHAnsi" w:cstheme="minorHAnsi"/>
          <w:iCs/>
          <w:lang w:bidi="ar-SA"/>
        </w:rPr>
        <w:t xml:space="preserve"> at </w:t>
      </w:r>
      <w:r w:rsidRPr="008717FC">
        <w:rPr>
          <w:rFonts w:asciiTheme="minorHAnsi" w:hAnsiTheme="minorHAnsi" w:cstheme="minorHAnsi"/>
          <w:lang w:bidi="ar-SA"/>
        </w:rPr>
        <w:t xml:space="preserve">1.0 μg L−1 </w:t>
      </w:r>
      <w:r w:rsidR="00AD2D2F" w:rsidRPr="008717FC">
        <w:rPr>
          <w:rFonts w:asciiTheme="minorHAnsi" w:hAnsiTheme="minorHAnsi" w:cstheme="minorHAnsi"/>
          <w:lang w:bidi="ar-SA"/>
        </w:rPr>
        <w:t xml:space="preserve">after 6 weeks, while a higher dose 5 μg L−1 reduced growth after 3 weeks. </w:t>
      </w:r>
    </w:p>
    <w:p w14:paraId="7EC691AB" w14:textId="77777777" w:rsidR="00533F6D" w:rsidRDefault="00533F6D" w:rsidP="0069138A">
      <w:bookmarkStart w:id="160" w:name="_Toc526489928"/>
      <w:r w:rsidRPr="00533F6D">
        <w:rPr>
          <w:rStyle w:val="TOTChar"/>
        </w:rPr>
        <w:t>Table 3.</w:t>
      </w:r>
      <w:r w:rsidR="00E54BC1">
        <w:rPr>
          <w:rStyle w:val="TOTChar"/>
        </w:rPr>
        <w:t>13</w:t>
      </w:r>
      <w:r w:rsidRPr="00533F6D">
        <w:rPr>
          <w:rStyle w:val="TOTChar"/>
        </w:rPr>
        <w:t xml:space="preserve"> Summary of toxins from cyanobacterial blooms, including genera and action mechanism (from Zanchett and Oliveira-Fihlo 2013).</w:t>
      </w:r>
      <w:bookmarkEnd w:id="160"/>
      <w:r>
        <w:t xml:space="preserve"> </w:t>
      </w:r>
      <w:r w:rsidRPr="0069138A">
        <w:rPr>
          <w:noProof/>
          <w:lang w:eastAsia="zh-CN" w:bidi="ar-SA"/>
        </w:rPr>
        <w:drawing>
          <wp:inline distT="0" distB="0" distL="0" distR="0" wp14:anchorId="13206527" wp14:editId="5CD53E71">
            <wp:extent cx="5943600" cy="600138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3963"/>
                    <a:stretch/>
                  </pic:blipFill>
                  <pic:spPr bwMode="auto">
                    <a:xfrm>
                      <a:off x="0" y="0"/>
                      <a:ext cx="5943600" cy="6001385"/>
                    </a:xfrm>
                    <a:prstGeom prst="rect">
                      <a:avLst/>
                    </a:prstGeom>
                    <a:ln>
                      <a:noFill/>
                    </a:ln>
                    <a:extLst>
                      <a:ext uri="{53640926-AAD7-44D8-BBD7-CCE9431645EC}">
                        <a14:shadowObscured xmlns:a14="http://schemas.microsoft.com/office/drawing/2010/main"/>
                      </a:ext>
                    </a:extLst>
                  </pic:spPr>
                </pic:pic>
              </a:graphicData>
            </a:graphic>
          </wp:inline>
        </w:drawing>
      </w:r>
    </w:p>
    <w:p w14:paraId="22CF4815" w14:textId="77777777" w:rsidR="007B3001" w:rsidRPr="00AD2D2F" w:rsidRDefault="007B3001" w:rsidP="007B3001">
      <w:pPr>
        <w:rPr>
          <w:rFonts w:asciiTheme="minorHAnsi" w:hAnsiTheme="minorHAnsi" w:cstheme="minorHAnsi"/>
        </w:rPr>
      </w:pPr>
      <w:r>
        <w:rPr>
          <w:rFonts w:asciiTheme="minorHAnsi" w:hAnsiTheme="minorHAnsi" w:cstheme="minorHAnsi"/>
        </w:rPr>
        <w:t>Cyanotoxins significantly impact fish (salmonids, carp, zebrafish, loach, chub, medaka), via pathways of feeding, dermal contact, or through passive exposure as gills during breathing (</w:t>
      </w:r>
      <w:r w:rsidRPr="00AD2D2F">
        <w:rPr>
          <w:rFonts w:asciiTheme="minorHAnsi" w:hAnsiTheme="minorHAnsi" w:cstheme="minorHAnsi"/>
        </w:rPr>
        <w:t>Zanchett and Oliveira-Filho 2013</w:t>
      </w:r>
      <w:r>
        <w:rPr>
          <w:rFonts w:asciiTheme="minorHAnsi" w:hAnsiTheme="minorHAnsi" w:cstheme="minorHAnsi"/>
        </w:rPr>
        <w:t>). Effects include significant mortality (</w:t>
      </w:r>
      <w:r w:rsidR="00985787" w:rsidRPr="00985787">
        <w:rPr>
          <w:rFonts w:asciiTheme="minorHAnsi" w:hAnsiTheme="minorHAnsi" w:cstheme="minorHAnsi"/>
        </w:rPr>
        <w:t>Palíková</w:t>
      </w:r>
      <w:r w:rsidR="006E7717">
        <w:rPr>
          <w:rFonts w:asciiTheme="minorHAnsi" w:hAnsiTheme="minorHAnsi" w:cstheme="minorHAnsi"/>
        </w:rPr>
        <w:t xml:space="preserve"> et al. 2007</w:t>
      </w:r>
      <w:r>
        <w:rPr>
          <w:rFonts w:asciiTheme="minorHAnsi" w:hAnsiTheme="minorHAnsi" w:cstheme="minorHAnsi"/>
        </w:rPr>
        <w:t xml:space="preserve">, Oberemm et al. </w:t>
      </w:r>
      <w:r w:rsidR="006E7717">
        <w:rPr>
          <w:rFonts w:asciiTheme="minorHAnsi" w:hAnsiTheme="minorHAnsi" w:cstheme="minorHAnsi"/>
        </w:rPr>
        <w:t>1999</w:t>
      </w:r>
      <w:r>
        <w:rPr>
          <w:rFonts w:asciiTheme="minorHAnsi" w:hAnsiTheme="minorHAnsi" w:cstheme="minorHAnsi"/>
        </w:rPr>
        <w:t xml:space="preserve">, </w:t>
      </w:r>
      <w:r w:rsidR="006E7717">
        <w:rPr>
          <w:rFonts w:asciiTheme="minorHAnsi" w:hAnsiTheme="minorHAnsi" w:cstheme="minorHAnsi"/>
        </w:rPr>
        <w:t>1997</w:t>
      </w:r>
      <w:r>
        <w:rPr>
          <w:rFonts w:asciiTheme="minorHAnsi" w:hAnsiTheme="minorHAnsi" w:cstheme="minorHAnsi"/>
        </w:rPr>
        <w:t xml:space="preserve">, </w:t>
      </w:r>
      <w:r w:rsidR="006E7717">
        <w:rPr>
          <w:rFonts w:asciiTheme="minorHAnsi" w:hAnsiTheme="minorHAnsi" w:cstheme="minorHAnsi"/>
        </w:rPr>
        <w:t>Liu et al. 2002</w:t>
      </w:r>
      <w:r>
        <w:rPr>
          <w:rFonts w:asciiTheme="minorHAnsi" w:hAnsiTheme="minorHAnsi" w:cstheme="minorHAnsi"/>
        </w:rPr>
        <w:t>), developmental abnormalities (</w:t>
      </w:r>
      <w:r w:rsidR="006E7717">
        <w:rPr>
          <w:rFonts w:asciiTheme="minorHAnsi" w:hAnsiTheme="minorHAnsi" w:cstheme="minorHAnsi"/>
        </w:rPr>
        <w:t>Liu et al 2002</w:t>
      </w:r>
      <w:r>
        <w:rPr>
          <w:rFonts w:asciiTheme="minorHAnsi" w:hAnsiTheme="minorHAnsi" w:cstheme="minorHAnsi"/>
        </w:rPr>
        <w:t xml:space="preserve">), damage to </w:t>
      </w:r>
      <w:r>
        <w:t xml:space="preserve">liver, heart, kidney, skin, gills, and spleen [3], </w:t>
      </w:r>
      <w:r>
        <w:rPr>
          <w:rFonts w:asciiTheme="minorHAnsi" w:hAnsiTheme="minorHAnsi" w:cstheme="minorHAnsi"/>
        </w:rPr>
        <w:t xml:space="preserve">delayed hatching, lower numbers of hatched embryos, suppression of embryonic development, disturbed regulation of air bladders, and inhibition of antioxidant production (glutathione S-transferase; </w:t>
      </w:r>
      <w:r w:rsidR="006E7717">
        <w:rPr>
          <w:rFonts w:ascii="TimesNewRoman" w:hAnsi="TimesNewRoman" w:cs="TimesNewRoman"/>
          <w:sz w:val="24"/>
          <w:szCs w:val="24"/>
          <w:lang w:bidi="ar-SA"/>
        </w:rPr>
        <w:t>Palíková</w:t>
      </w:r>
      <w:r>
        <w:rPr>
          <w:rFonts w:asciiTheme="minorHAnsi" w:hAnsiTheme="minorHAnsi" w:cstheme="minorHAnsi"/>
        </w:rPr>
        <w:t xml:space="preserve"> et al. </w:t>
      </w:r>
      <w:r w:rsidR="006E7717">
        <w:rPr>
          <w:rFonts w:asciiTheme="minorHAnsi" w:hAnsiTheme="minorHAnsi" w:cstheme="minorHAnsi"/>
        </w:rPr>
        <w:t>2005</w:t>
      </w:r>
      <w:r>
        <w:rPr>
          <w:rFonts w:asciiTheme="minorHAnsi" w:hAnsiTheme="minorHAnsi" w:cstheme="minorHAnsi"/>
        </w:rPr>
        <w:t xml:space="preserve">), and hepatic necrosis (Tencalla et al. </w:t>
      </w:r>
      <w:r w:rsidR="006E7717">
        <w:rPr>
          <w:rFonts w:asciiTheme="minorHAnsi" w:hAnsiTheme="minorHAnsi" w:cstheme="minorHAnsi"/>
        </w:rPr>
        <w:t>1994</w:t>
      </w:r>
      <w:r>
        <w:rPr>
          <w:rFonts w:asciiTheme="minorHAnsi" w:hAnsiTheme="minorHAnsi" w:cstheme="minorHAnsi"/>
        </w:rPr>
        <w:t>). Table 3.14 summarizes dose-response levels in fish from toxicity of microcystins (</w:t>
      </w:r>
      <w:r w:rsidRPr="00AD2D2F">
        <w:rPr>
          <w:rFonts w:asciiTheme="minorHAnsi" w:hAnsiTheme="minorHAnsi" w:cstheme="minorHAnsi"/>
        </w:rPr>
        <w:t>Zanchett and Oliveira-Filho 2013</w:t>
      </w:r>
      <w:r>
        <w:rPr>
          <w:rFonts w:asciiTheme="minorHAnsi" w:hAnsiTheme="minorHAnsi" w:cstheme="minorHAnsi"/>
        </w:rPr>
        <w:t>).</w:t>
      </w:r>
      <w:r w:rsidRPr="007B3001">
        <w:t xml:space="preserve"> </w:t>
      </w:r>
    </w:p>
    <w:p w14:paraId="050D03F5" w14:textId="77777777" w:rsidR="00533F6D" w:rsidRDefault="00E54BC1" w:rsidP="00E54BC1">
      <w:pPr>
        <w:pStyle w:val="TOT"/>
      </w:pPr>
      <w:bookmarkStart w:id="161" w:name="_Toc526489929"/>
      <w:r>
        <w:t xml:space="preserve">Table 3.14 Toxicity of microcystins for some species of fish. From </w:t>
      </w:r>
      <w:r w:rsidRPr="00E54BC1">
        <w:t>Zanchett and Oliveira-Fihlo (2013).</w:t>
      </w:r>
      <w:bookmarkEnd w:id="161"/>
    </w:p>
    <w:p w14:paraId="5F5D7591" w14:textId="77777777" w:rsidR="00AD2D2F" w:rsidRDefault="00AD2D2F" w:rsidP="0069138A">
      <w:r w:rsidRPr="00AD2D2F">
        <w:rPr>
          <w:noProof/>
          <w:lang w:eastAsia="zh-CN" w:bidi="ar-SA"/>
        </w:rPr>
        <w:drawing>
          <wp:inline distT="0" distB="0" distL="0" distR="0" wp14:anchorId="7BC95482" wp14:editId="75BBE8CC">
            <wp:extent cx="5943600" cy="328358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283585"/>
                    </a:xfrm>
                    <a:prstGeom prst="rect">
                      <a:avLst/>
                    </a:prstGeom>
                  </pic:spPr>
                </pic:pic>
              </a:graphicData>
            </a:graphic>
          </wp:inline>
        </w:drawing>
      </w:r>
    </w:p>
    <w:p w14:paraId="1F7411EC" w14:textId="77777777" w:rsidR="002F4519" w:rsidRDefault="002F4519" w:rsidP="007B3001">
      <w:r>
        <w:t>Cyanotoxins can impact marine mammals</w:t>
      </w:r>
      <w:r w:rsidR="00E66FCF">
        <w:t xml:space="preserve">, </w:t>
      </w:r>
      <w:r>
        <w:t>migratory bird</w:t>
      </w:r>
      <w:r w:rsidR="00E66FCF">
        <w:t xml:space="preserve">s, wading and dabbling ducks, as well as terrestrial wildlife. </w:t>
      </w:r>
      <w:r w:rsidR="007B3001">
        <w:t xml:space="preserve">Ibelings et al. </w:t>
      </w:r>
      <w:r w:rsidR="006E7717">
        <w:t>(2005)</w:t>
      </w:r>
      <w:r w:rsidR="007B3001">
        <w:t>, microcystin levels were especially high in the</w:t>
      </w:r>
      <w:r>
        <w:t xml:space="preserve"> </w:t>
      </w:r>
      <w:r w:rsidR="007B3001">
        <w:t>livers of planktivorous fish</w:t>
      </w:r>
      <w:r>
        <w:t xml:space="preserve">, putting </w:t>
      </w:r>
      <w:r w:rsidR="007B3001">
        <w:t>piscivorous birds at risk. In the same study,</w:t>
      </w:r>
      <w:r>
        <w:t xml:space="preserve"> </w:t>
      </w:r>
      <w:r w:rsidR="007B3001">
        <w:t>microcystins were found in 80% of all zooplankton samples and 89% of all samples of</w:t>
      </w:r>
      <w:r>
        <w:t xml:space="preserve"> </w:t>
      </w:r>
      <w:r w:rsidR="007B3001">
        <w:t xml:space="preserve">Dreissena polymorpha. </w:t>
      </w:r>
      <w:r>
        <w:t>Freshwater HABs and associated toxins can impact estuarine and marine uses. The mortality of over 30 endangered California Sea Otters (</w:t>
      </w:r>
      <w:r w:rsidRPr="00976C85">
        <w:t>Enhydra lutris</w:t>
      </w:r>
      <w:r>
        <w:t>) in Elkhorn Slough and Monterey Bay was determined to be due to microcystin intoxication, with ingestion of contaminated marine bivalves as the primary mechanism (Miller et al., 2010). Microcystins have been shown to bioaccumulate in commercially and recreationally-harvested invertebrates such as Pacific oysters (</w:t>
      </w:r>
      <w:r w:rsidRPr="00976C85">
        <w:t>Crassostrea gigas</w:t>
      </w:r>
      <w:r>
        <w:t>) and mussels (</w:t>
      </w:r>
      <w:r w:rsidRPr="00976C85">
        <w:t>Mytilus edulis</w:t>
      </w:r>
      <w:r>
        <w:t xml:space="preserve">) (Miller et al., 2010). </w:t>
      </w:r>
      <w:r w:rsidR="00E66FCF">
        <w:t xml:space="preserve">No summarized data on levels of impacts of cyanotoxins to wildlife was found. However, California Office of Environmental Health Hazard Assessment’s (OEHHA) recommended action levels might be a reasonable analogy to impacts on wildlife when exposure routes are similar, e.g. drinking, dermal exposure, etc. (Table 3.15). </w:t>
      </w:r>
    </w:p>
    <w:p w14:paraId="42E040D5" w14:textId="652572EA" w:rsidR="00E66FCF" w:rsidRDefault="00AB09EA" w:rsidP="006E7717">
      <w:pPr>
        <w:pStyle w:val="TOT"/>
      </w:pPr>
      <w:r>
        <w:br w:type="page"/>
      </w:r>
      <w:bookmarkStart w:id="162" w:name="_Toc526489930"/>
      <w:r w:rsidR="00E66FCF">
        <w:t xml:space="preserve">Table 3.15 </w:t>
      </w:r>
      <w:r w:rsidR="008717FC">
        <w:t xml:space="preserve">California Office of </w:t>
      </w:r>
      <w:r w:rsidR="00F01CB8">
        <w:t>Environmental</w:t>
      </w:r>
      <w:r w:rsidR="008717FC">
        <w:t xml:space="preserve"> Health Hazard Assessment (OEHHA) r</w:t>
      </w:r>
      <w:r w:rsidR="00E66FCF">
        <w:t xml:space="preserve">ecommended </w:t>
      </w:r>
      <w:r>
        <w:t>cyanotoxin action levels under selected scenarios (from OEHHA 2012).</w:t>
      </w:r>
      <w:bookmarkEnd w:id="162"/>
      <w:r>
        <w:t xml:space="preserve"> </w:t>
      </w:r>
    </w:p>
    <w:p w14:paraId="30240AC4" w14:textId="77777777" w:rsidR="00E66FCF" w:rsidRDefault="00E66FCF" w:rsidP="00E66FCF">
      <w:r w:rsidRPr="00E66FCF">
        <w:rPr>
          <w:noProof/>
          <w:lang w:eastAsia="zh-CN" w:bidi="ar-SA"/>
        </w:rPr>
        <w:drawing>
          <wp:inline distT="0" distB="0" distL="0" distR="0" wp14:anchorId="44DED7C4" wp14:editId="34084535">
            <wp:extent cx="5192378" cy="4533900"/>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4887"/>
                    <a:stretch/>
                  </pic:blipFill>
                  <pic:spPr bwMode="auto">
                    <a:xfrm>
                      <a:off x="0" y="0"/>
                      <a:ext cx="5194492" cy="4535746"/>
                    </a:xfrm>
                    <a:prstGeom prst="rect">
                      <a:avLst/>
                    </a:prstGeom>
                    <a:ln>
                      <a:noFill/>
                    </a:ln>
                    <a:extLst>
                      <a:ext uri="{53640926-AAD7-44D8-BBD7-CCE9431645EC}">
                        <a14:shadowObscured xmlns:a14="http://schemas.microsoft.com/office/drawing/2010/main"/>
                      </a:ext>
                    </a:extLst>
                  </pic:spPr>
                </pic:pic>
              </a:graphicData>
            </a:graphic>
          </wp:inline>
        </w:drawing>
      </w:r>
    </w:p>
    <w:p w14:paraId="71BDBD71" w14:textId="77777777" w:rsidR="00D876E6" w:rsidRDefault="00D876E6" w:rsidP="00D876E6">
      <w:pPr>
        <w:pStyle w:val="Heading2"/>
      </w:pPr>
      <w:bookmarkStart w:id="163" w:name="_Toc526505138"/>
      <w:r>
        <w:t xml:space="preserve">3.4 Biostimulatory Thresholds Protective of Human Use </w:t>
      </w:r>
      <w:r w:rsidR="0073362F">
        <w:t xml:space="preserve">Protection </w:t>
      </w:r>
      <w:r>
        <w:t>Endpoints</w:t>
      </w:r>
      <w:bookmarkEnd w:id="163"/>
    </w:p>
    <w:p w14:paraId="171999C1" w14:textId="77777777" w:rsidR="0073362F" w:rsidRPr="00147840" w:rsidRDefault="0073362F" w:rsidP="0073362F">
      <w:r w:rsidRPr="00147840">
        <w:t xml:space="preserve">We found evidence to support </w:t>
      </w:r>
      <w:r>
        <w:t>discussion of biostimulatory</w:t>
      </w:r>
      <w:r w:rsidRPr="00147840">
        <w:t xml:space="preserve"> </w:t>
      </w:r>
      <w:r>
        <w:t xml:space="preserve">targets (in bold), based on the linkage to the following </w:t>
      </w:r>
      <w:r w:rsidR="00BF7FD0">
        <w:t>human use protection</w:t>
      </w:r>
      <w:r>
        <w:t xml:space="preserve"> measures (in italics):</w:t>
      </w:r>
    </w:p>
    <w:p w14:paraId="4C2C44C6" w14:textId="77777777" w:rsidR="006E7717" w:rsidRPr="006E7717" w:rsidRDefault="006E7717" w:rsidP="008E7E7F">
      <w:pPr>
        <w:pStyle w:val="ListParagraph"/>
        <w:numPr>
          <w:ilvl w:val="0"/>
          <w:numId w:val="12"/>
        </w:numPr>
        <w:rPr>
          <w:b/>
        </w:rPr>
      </w:pPr>
      <w:r w:rsidRPr="00C07C27">
        <w:rPr>
          <w:rFonts w:cs="Calibri"/>
          <w:b/>
        </w:rPr>
        <w:t>↑</w:t>
      </w:r>
      <w:r w:rsidRPr="00C07C27">
        <w:rPr>
          <w:b/>
        </w:rPr>
        <w:t xml:space="preserve"> </w:t>
      </w:r>
      <w:r w:rsidR="007D134C">
        <w:rPr>
          <w:b/>
        </w:rPr>
        <w:t xml:space="preserve">TN TP Sestonic Chl-a </w:t>
      </w:r>
      <w:r w:rsidR="007D134C" w:rsidRPr="00C07C27">
        <w:rPr>
          <w:rFonts w:cs="Calibri"/>
          <w:b/>
        </w:rPr>
        <w:t>↑</w:t>
      </w:r>
      <w:r w:rsidR="007D134C">
        <w:rPr>
          <w:rFonts w:cs="Calibri"/>
          <w:b/>
        </w:rPr>
        <w:t xml:space="preserve"> </w:t>
      </w:r>
      <w:r w:rsidRPr="00C07C27">
        <w:rPr>
          <w:b/>
        </w:rPr>
        <w:t>Cyanotoxins</w:t>
      </w:r>
      <w:r>
        <w:t xml:space="preserve"> </w:t>
      </w:r>
      <w:r w:rsidRPr="00C07C27">
        <w:rPr>
          <w:rFonts w:cs="Calibri"/>
        </w:rPr>
        <w:t>↓</w:t>
      </w:r>
      <w:r>
        <w:t xml:space="preserve"> </w:t>
      </w:r>
      <w:r>
        <w:rPr>
          <w:i/>
        </w:rPr>
        <w:t>Municipal Drinking Water, Primary Contact Recreation, Food Safety</w:t>
      </w:r>
    </w:p>
    <w:p w14:paraId="59573A97" w14:textId="77777777" w:rsidR="0073362F" w:rsidRPr="00C07C27" w:rsidRDefault="0073362F" w:rsidP="008E7E7F">
      <w:pPr>
        <w:pStyle w:val="ListParagraph"/>
        <w:numPr>
          <w:ilvl w:val="0"/>
          <w:numId w:val="12"/>
        </w:numPr>
        <w:rPr>
          <w:b/>
        </w:rPr>
      </w:pPr>
      <w:r w:rsidRPr="00C07C27">
        <w:rPr>
          <w:rFonts w:cs="Calibri"/>
          <w:b/>
        </w:rPr>
        <w:t>↑</w:t>
      </w:r>
      <w:r w:rsidRPr="00C07C27">
        <w:rPr>
          <w:b/>
        </w:rPr>
        <w:t xml:space="preserve"> </w:t>
      </w:r>
      <w:r w:rsidR="00BF7FD0">
        <w:rPr>
          <w:b/>
        </w:rPr>
        <w:t xml:space="preserve">Macroalgal % Cover, Benthic Chl-a </w:t>
      </w:r>
      <w:r w:rsidRPr="00C07C27">
        <w:rPr>
          <w:rFonts w:cs="Calibri"/>
        </w:rPr>
        <w:t>↓</w:t>
      </w:r>
      <w:r>
        <w:t xml:space="preserve"> </w:t>
      </w:r>
      <w:r w:rsidR="00BF7FD0">
        <w:rPr>
          <w:i/>
        </w:rPr>
        <w:t>Recreational Aesthetics</w:t>
      </w:r>
    </w:p>
    <w:p w14:paraId="026FAAD2" w14:textId="77777777" w:rsidR="00BF7FD0" w:rsidRPr="00BF7FD0" w:rsidRDefault="00BF7FD0" w:rsidP="008E7E7F">
      <w:pPr>
        <w:pStyle w:val="ListParagraph"/>
        <w:numPr>
          <w:ilvl w:val="0"/>
          <w:numId w:val="12"/>
        </w:numPr>
        <w:rPr>
          <w:b/>
        </w:rPr>
      </w:pPr>
      <w:r w:rsidRPr="00BF7FD0">
        <w:rPr>
          <w:rFonts w:cs="Calibri"/>
          <w:b/>
        </w:rPr>
        <w:t>↑</w:t>
      </w:r>
      <w:r w:rsidRPr="00BF7FD0">
        <w:rPr>
          <w:b/>
        </w:rPr>
        <w:t xml:space="preserve"> DOC and Trihalomethanes</w:t>
      </w:r>
      <w:r w:rsidRPr="00BF7FD0">
        <w:rPr>
          <w:rFonts w:cs="Calibri"/>
        </w:rPr>
        <w:t>↓</w:t>
      </w:r>
      <w:r>
        <w:t xml:space="preserve"> </w:t>
      </w:r>
      <w:r w:rsidRPr="00BF7FD0">
        <w:rPr>
          <w:i/>
        </w:rPr>
        <w:t xml:space="preserve">Municipal Drinking Water </w:t>
      </w:r>
      <w:r w:rsidRPr="00BF7FD0">
        <w:rPr>
          <w:rFonts w:cs="Calibri"/>
          <w:i/>
        </w:rPr>
        <w:t>↑ Water Treatment Cost</w:t>
      </w:r>
    </w:p>
    <w:p w14:paraId="10F8E65A" w14:textId="77777777" w:rsidR="003E2BA9" w:rsidRDefault="0073362F" w:rsidP="006E7717">
      <w:r w:rsidRPr="00B238FC">
        <w:t xml:space="preserve">This information is summarized in the following sections. </w:t>
      </w:r>
    </w:p>
    <w:p w14:paraId="37A9B6AE" w14:textId="77777777" w:rsidR="00D876E6" w:rsidRDefault="00D876E6" w:rsidP="00D876E6">
      <w:pPr>
        <w:pStyle w:val="Heading3"/>
      </w:pPr>
      <w:bookmarkStart w:id="164" w:name="_Toc526505139"/>
      <w:r>
        <w:t>3.4</w:t>
      </w:r>
      <w:r w:rsidR="006E7717">
        <w:t>.1</w:t>
      </w:r>
      <w:r w:rsidR="00914C12">
        <w:t xml:space="preserve">. CyanoHAB Cell Density, </w:t>
      </w:r>
      <w:r>
        <w:t>Toxin Concentrations</w:t>
      </w:r>
      <w:r w:rsidR="00914C12">
        <w:t>, and Associated Chl-a and Nutrient Thresholds</w:t>
      </w:r>
      <w:bookmarkEnd w:id="164"/>
    </w:p>
    <w:p w14:paraId="04D21399" w14:textId="77777777" w:rsidR="0009760B" w:rsidRDefault="00986C68" w:rsidP="00B12067">
      <w:r>
        <w:t>Conceptually, biostimulatory substances and condition increase the risk of cyanoHAB blooms. Cyanotoxins have a direct impact on human uses, such as REC1 (primary contact recreation) from dermal contact and ingestion from surface water and aerosolized toxins, REC2 (non-contact recreation) from unaesthetic surface scums, MUN (drinking water) from ingestion and bathing, and AG, COMM, AQUA and SHELL from human consumption of contaminated food supply (agricultural products</w:t>
      </w:r>
      <w:r w:rsidR="00B12067">
        <w:t xml:space="preserve"> that are contaminated through cyanotoxin contaminated irrigation water</w:t>
      </w:r>
      <w:r w:rsidR="00CB66E9">
        <w:t xml:space="preserve">, fish and shellfish; Table 3..13). </w:t>
      </w:r>
      <w:r w:rsidR="00B12067">
        <w:t>Here we provide a summary of current state guidance and literature</w:t>
      </w:r>
      <w:r w:rsidR="0009760B">
        <w:t xml:space="preserve">, where state guidance is not available, </w:t>
      </w:r>
      <w:r w:rsidR="00B12067">
        <w:t xml:space="preserve">relating exposure to </w:t>
      </w:r>
      <w:r w:rsidR="0009760B">
        <w:t xml:space="preserve">impaired uses for: </w:t>
      </w:r>
    </w:p>
    <w:p w14:paraId="0A4674A8" w14:textId="77777777" w:rsidR="0009760B" w:rsidRDefault="0009760B" w:rsidP="008E7E7F">
      <w:pPr>
        <w:pStyle w:val="ListParagraph"/>
        <w:numPr>
          <w:ilvl w:val="0"/>
          <w:numId w:val="13"/>
        </w:numPr>
      </w:pPr>
      <w:r>
        <w:t xml:space="preserve">Cyanobacteria cell densities and </w:t>
      </w:r>
      <w:r w:rsidR="00B12067">
        <w:t xml:space="preserve">cyanotoxins during an active bloom (measured as particles retained on a filtered sample), </w:t>
      </w:r>
    </w:p>
    <w:p w14:paraId="4BF5FA9E" w14:textId="77777777" w:rsidR="0009760B" w:rsidRDefault="00B12067" w:rsidP="008E7E7F">
      <w:pPr>
        <w:pStyle w:val="ListParagraph"/>
        <w:numPr>
          <w:ilvl w:val="0"/>
          <w:numId w:val="13"/>
        </w:numPr>
      </w:pPr>
      <w:r>
        <w:t xml:space="preserve">via consumption of contaminated tissue (cyanotoxin tissue concentrations) </w:t>
      </w:r>
    </w:p>
    <w:p w14:paraId="369C51F8" w14:textId="77777777" w:rsidR="00B12067" w:rsidRDefault="00B12067" w:rsidP="008E7E7F">
      <w:pPr>
        <w:pStyle w:val="ListParagraph"/>
        <w:numPr>
          <w:ilvl w:val="0"/>
          <w:numId w:val="13"/>
        </w:numPr>
      </w:pPr>
      <w:r>
        <w:t xml:space="preserve">estimated via passive sampling </w:t>
      </w:r>
      <w:r w:rsidR="0009760B">
        <w:t xml:space="preserve">(i.e. SPATT) </w:t>
      </w:r>
    </w:p>
    <w:p w14:paraId="26017761" w14:textId="77777777" w:rsidR="00986C68" w:rsidRPr="00B12067" w:rsidRDefault="0009760B" w:rsidP="00B12067">
      <w:pPr>
        <w:rPr>
          <w:rFonts w:asciiTheme="minorHAnsi" w:eastAsia="Arial" w:hAnsiTheme="minorHAnsi" w:cstheme="minorHAnsi"/>
          <w:color w:val="000000"/>
        </w:rPr>
      </w:pPr>
      <w:r w:rsidRPr="0009760B">
        <w:rPr>
          <w:rFonts w:asciiTheme="minorHAnsi" w:hAnsiTheme="minorHAnsi" w:cstheme="minorHAnsi"/>
          <w:b/>
        </w:rPr>
        <w:t>Cyanotoxin Cell Densities and Particulate Toxin Concentrations.</w:t>
      </w:r>
      <w:r>
        <w:rPr>
          <w:rFonts w:asciiTheme="minorHAnsi" w:hAnsiTheme="minorHAnsi" w:cstheme="minorHAnsi"/>
        </w:rPr>
        <w:t xml:space="preserve"> </w:t>
      </w:r>
      <w:r w:rsidR="008C0786" w:rsidRPr="00B12067">
        <w:rPr>
          <w:rFonts w:asciiTheme="minorHAnsi" w:hAnsiTheme="minorHAnsi" w:cstheme="minorHAnsi"/>
        </w:rPr>
        <w:t xml:space="preserve">In 2015, the USEPA released health advisories for drinking water </w:t>
      </w:r>
      <w:r w:rsidR="00B12067">
        <w:rPr>
          <w:rFonts w:asciiTheme="minorHAnsi" w:hAnsiTheme="minorHAnsi" w:cstheme="minorHAnsi"/>
        </w:rPr>
        <w:t xml:space="preserve">(MUN) </w:t>
      </w:r>
      <w:r w:rsidR="008C0786" w:rsidRPr="00B12067">
        <w:rPr>
          <w:rFonts w:asciiTheme="minorHAnsi" w:hAnsiTheme="minorHAnsi" w:cstheme="minorHAnsi"/>
        </w:rPr>
        <w:t xml:space="preserve">for the cyanobacteria toxins, microcystin and cylindrospermopsin. </w:t>
      </w:r>
      <w:r w:rsidR="00986C68" w:rsidRPr="00B12067">
        <w:rPr>
          <w:rFonts w:asciiTheme="minorHAnsi" w:eastAsia="Arial" w:hAnsiTheme="minorHAnsi" w:cstheme="minorHAnsi"/>
          <w:color w:val="000000"/>
        </w:rPr>
        <w:t>The recommended 10</w:t>
      </w:r>
      <w:r w:rsidR="00B12067">
        <w:rPr>
          <w:rFonts w:asciiTheme="minorHAnsi" w:eastAsia="Arial" w:hAnsiTheme="minorHAnsi" w:cstheme="minorHAnsi"/>
          <w:color w:val="000000"/>
        </w:rPr>
        <w:t>-</w:t>
      </w:r>
      <w:r w:rsidR="00986C68" w:rsidRPr="00B12067">
        <w:rPr>
          <w:rFonts w:asciiTheme="minorHAnsi" w:eastAsia="Arial" w:hAnsiTheme="minorHAnsi" w:cstheme="minorHAnsi"/>
          <w:color w:val="000000"/>
        </w:rPr>
        <w:t xml:space="preserve">day health advisory values are 0.3 μg/L for </w:t>
      </w:r>
      <w:r w:rsidR="00B12067">
        <w:rPr>
          <w:rFonts w:asciiTheme="minorHAnsi" w:eastAsia="Arial" w:hAnsiTheme="minorHAnsi" w:cstheme="minorHAnsi"/>
          <w:color w:val="000000"/>
        </w:rPr>
        <w:t xml:space="preserve">total </w:t>
      </w:r>
      <w:r w:rsidR="00986C68" w:rsidRPr="00B12067">
        <w:rPr>
          <w:rFonts w:asciiTheme="minorHAnsi" w:eastAsia="Arial" w:hAnsiTheme="minorHAnsi" w:cstheme="minorHAnsi"/>
          <w:color w:val="000000"/>
        </w:rPr>
        <w:t>microcystin and 0.7 μg/L for cylindrospermopsin for children younger than school age (values are 1.6 μg/L for microcystin and 3.0 μg/L for cylindrospermopsin for all other ages).</w:t>
      </w:r>
    </w:p>
    <w:p w14:paraId="214D8760" w14:textId="77777777" w:rsidR="008C0786" w:rsidRDefault="008C0786" w:rsidP="00B12067">
      <w:r>
        <w:t>The USEPA included cyanobacteria and cyanotoxins on the drinking water Contaminant Candidate List as constituents that may require regulation under the Safe Drinking Water Act. Toxin thresholds for drinking water (USEPA, 2015) and recreational water (</w:t>
      </w:r>
      <w:r w:rsidR="00B12067">
        <w:t xml:space="preserve">CCHAB Voluntary Guidance Document; </w:t>
      </w:r>
      <w:r w:rsidR="00B12067" w:rsidRPr="00B12067">
        <w:rPr>
          <w:rFonts w:eastAsia="Arial"/>
        </w:rPr>
        <w:t>MyWaterQualityPortal.ca.gov</w:t>
      </w:r>
      <w:r>
        <w:t xml:space="preserve">) have been developed </w:t>
      </w:r>
      <w:r w:rsidR="00B12067">
        <w:t xml:space="preserve">(Table 3.16) and represent California’s currently accepted trigger levels for cyanotoxin impacts to human health. </w:t>
      </w:r>
      <w:r w:rsidR="00412EBA">
        <w:t xml:space="preserve">Note that since </w:t>
      </w:r>
      <w:r w:rsidR="00412EBA" w:rsidRPr="00412EBA">
        <w:t xml:space="preserve">existing guidance is based on acute exposure or Tolerable Daily Intake (e.g. World Health Organization guidelines for microcystins), </w:t>
      </w:r>
      <w:r w:rsidR="00412EBA">
        <w:t>an impact is assessed based on one</w:t>
      </w:r>
      <w:r w:rsidR="00C35D76">
        <w:t>-</w:t>
      </w:r>
      <w:r w:rsidR="00412EBA">
        <w:t xml:space="preserve">time exposure; </w:t>
      </w:r>
      <w:r w:rsidR="00412EBA" w:rsidRPr="00412EBA">
        <w:t xml:space="preserve">consider chronic effects </w:t>
      </w:r>
      <w:r w:rsidR="00970525">
        <w:t>are</w:t>
      </w:r>
      <w:r w:rsidR="00412EBA" w:rsidRPr="00412EBA">
        <w:t xml:space="preserve"> an area of emerging concern (e.g., Ger et al. 2009; Goldstein et al. 2008; Hiolski et al. 2014) that should be considered as more data become available.</w:t>
      </w:r>
    </w:p>
    <w:p w14:paraId="364F3E20" w14:textId="77777777" w:rsidR="00D876E6" w:rsidRPr="00B12067" w:rsidRDefault="00D876E6" w:rsidP="00B12067">
      <w:pPr>
        <w:pStyle w:val="TOT"/>
        <w:rPr>
          <w:rFonts w:eastAsia="Arial"/>
        </w:rPr>
      </w:pPr>
      <w:bookmarkStart w:id="165" w:name="_Toc526489931"/>
      <w:r w:rsidRPr="00B12067">
        <w:rPr>
          <w:rFonts w:eastAsia="Arial"/>
        </w:rPr>
        <w:t xml:space="preserve">Table </w:t>
      </w:r>
      <w:r w:rsidR="00B12067">
        <w:rPr>
          <w:rFonts w:eastAsia="Arial"/>
        </w:rPr>
        <w:t>3.16</w:t>
      </w:r>
      <w:r w:rsidRPr="00B12067">
        <w:rPr>
          <w:rFonts w:eastAsia="Arial"/>
        </w:rPr>
        <w:t>. CCHAB trigger levels for cyanotoxin impacts to human health (from MyWaterQualityPortal.ca.gov).</w:t>
      </w:r>
      <w:bookmarkEnd w:id="165"/>
      <w:r w:rsidRPr="00B12067">
        <w:rPr>
          <w:rFonts w:eastAsia="Arial"/>
        </w:rPr>
        <w:t xml:space="preserve"> </w:t>
      </w:r>
    </w:p>
    <w:p w14:paraId="190F19B5" w14:textId="77777777" w:rsidR="00D876E6" w:rsidRDefault="00D876E6" w:rsidP="00C7561A">
      <w:pPr>
        <w:ind w:left="-90" w:firstLine="90"/>
      </w:pPr>
      <w:r>
        <w:rPr>
          <w:noProof/>
          <w:lang w:eastAsia="zh-CN" w:bidi="ar-SA"/>
        </w:rPr>
        <w:drawing>
          <wp:inline distT="0" distB="0" distL="0" distR="0" wp14:anchorId="3C53D546" wp14:editId="7729C228">
            <wp:extent cx="5097439" cy="2504364"/>
            <wp:effectExtent l="0" t="0" r="8255" b="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1"/>
                    <a:srcRect/>
                    <a:stretch>
                      <a:fillRect/>
                    </a:stretch>
                  </pic:blipFill>
                  <pic:spPr>
                    <a:xfrm>
                      <a:off x="0" y="0"/>
                      <a:ext cx="5102457" cy="2506830"/>
                    </a:xfrm>
                    <a:prstGeom prst="rect">
                      <a:avLst/>
                    </a:prstGeom>
                    <a:ln/>
                  </pic:spPr>
                </pic:pic>
              </a:graphicData>
            </a:graphic>
          </wp:inline>
        </w:drawing>
      </w:r>
    </w:p>
    <w:p w14:paraId="735A048D" w14:textId="77777777" w:rsidR="00B12067" w:rsidRDefault="00B12067" w:rsidP="006E7717">
      <w:pPr>
        <w:rPr>
          <w:rFonts w:eastAsia="Arial"/>
        </w:rPr>
      </w:pPr>
      <w:r w:rsidRPr="00B12067">
        <w:rPr>
          <w:rFonts w:eastAsia="Arial"/>
        </w:rPr>
        <w:t xml:space="preserve">OEHHA has recommended health-based toxin exposure thresholds (also known as “action levels”) to protect humans, pets, and livestock during recreational exposure for three cyanotoxins (microcystins, cylindrospermopsin, and anatoxin-a). These health-based exposure thresholds are summarized in </w:t>
      </w:r>
      <w:r>
        <w:rPr>
          <w:rFonts w:eastAsia="Arial"/>
        </w:rPr>
        <w:t>3.15</w:t>
      </w:r>
      <w:r w:rsidRPr="00B12067">
        <w:rPr>
          <w:rFonts w:eastAsia="Arial"/>
        </w:rPr>
        <w:t xml:space="preserve"> and published in the “Toxicological summary and suggested action levels to reduce potential adverse health effects of six cyanotoxins” (OEHHA, 2012; http://www.oehha.ca.gov/risk/pdf/cyanotoxins053112.pdf). </w:t>
      </w:r>
      <w:r w:rsidR="0009760B">
        <w:rPr>
          <w:rFonts w:eastAsia="Arial"/>
        </w:rPr>
        <w:t xml:space="preserve">Clearly pets and livestock are not aquatic life or wildlife but related more to human designated uses, though the act linkage to which beneficial uses would need to be clarified by Water Board staff. </w:t>
      </w:r>
    </w:p>
    <w:p w14:paraId="5F6D8038" w14:textId="2287C382" w:rsidR="00B12067" w:rsidRDefault="0009760B" w:rsidP="006E7717">
      <w:pPr>
        <w:rPr>
          <w:rFonts w:eastAsia="Arial"/>
        </w:rPr>
      </w:pPr>
      <w:r w:rsidRPr="0009760B">
        <w:rPr>
          <w:rFonts w:eastAsia="Arial"/>
          <w:b/>
        </w:rPr>
        <w:t>Tissue Cyanotoxin Concentrations</w:t>
      </w:r>
      <w:r>
        <w:rPr>
          <w:rFonts w:eastAsia="Arial"/>
        </w:rPr>
        <w:t xml:space="preserve">. </w:t>
      </w:r>
      <w:r w:rsidR="00B12067" w:rsidRPr="00B12067">
        <w:rPr>
          <w:rFonts w:eastAsia="Arial"/>
        </w:rPr>
        <w:t>Action levels have also been developed for fish and shellfish consumption. These exposure thresholds are levels at which no health effects are anticipated and indicate additional action (i.e. monitoring) may be advised</w:t>
      </w:r>
      <w:r w:rsidR="00870331">
        <w:rPr>
          <w:rFonts w:eastAsia="Arial"/>
        </w:rPr>
        <w:t xml:space="preserve"> and are based on the OEHHA (2012) tissue concentrations numbers (Table 3.15). </w:t>
      </w:r>
    </w:p>
    <w:p w14:paraId="683C1242" w14:textId="77777777" w:rsidR="00C35D76" w:rsidRDefault="0009760B" w:rsidP="006E7717">
      <w:r>
        <w:rPr>
          <w:rFonts w:eastAsia="Arial"/>
          <w:b/>
        </w:rPr>
        <w:t>SPATT</w:t>
      </w:r>
      <w:r w:rsidRPr="0009760B">
        <w:rPr>
          <w:rFonts w:eastAsia="Arial"/>
        </w:rPr>
        <w:t>.</w:t>
      </w:r>
      <w:r>
        <w:rPr>
          <w:rFonts w:eastAsia="Arial"/>
        </w:rPr>
        <w:t xml:space="preserve"> </w:t>
      </w:r>
      <w:r w:rsidR="000C36C7">
        <w:rPr>
          <w:rFonts w:eastAsia="Arial"/>
        </w:rPr>
        <w:t xml:space="preserve">SPATT based monitoring accumulates dissolved toxins (as opposed to contained in particulate cells) in surface waters. </w:t>
      </w:r>
      <w:r w:rsidR="000C36C7">
        <w:t>There</w:t>
      </w:r>
      <w:r w:rsidR="000C36C7" w:rsidRPr="000C36C7">
        <w:t xml:space="preserve"> no direct correlation between SPATT toxin concentrations and grab sample concentrations, </w:t>
      </w:r>
      <w:r w:rsidR="000C36C7">
        <w:t xml:space="preserve">but SPATT categories of risk can be defined </w:t>
      </w:r>
      <w:r w:rsidR="000C36C7" w:rsidRPr="000C36C7">
        <w:t>based on comparison of SPATT with grab and tissue samples (Lane et al. 2010; Kudela 2011</w:t>
      </w:r>
      <w:r w:rsidR="000C36C7">
        <w:t>, Sutula and Senn 2015</w:t>
      </w:r>
      <w:r w:rsidR="000C36C7" w:rsidRPr="000C36C7">
        <w:t xml:space="preserve">). We acknowledge that this is </w:t>
      </w:r>
      <w:r w:rsidR="000C36C7">
        <w:t xml:space="preserve">a </w:t>
      </w:r>
      <w:r w:rsidR="000C36C7" w:rsidRPr="000C36C7">
        <w:t>source of uncertainty, but the advantages of SPATT for routine monitoring (Mackenzie et al</w:t>
      </w:r>
      <w:r w:rsidR="000C36C7">
        <w:t>. 2004) outweigh these concerns and thus potentially could justify the use of SPATT as a supporting line of evidence. Based on this science, Sutula and Senn (2011) proposed that the following triggers be considered for assessment of San Francisco Bay waters</w:t>
      </w:r>
      <w:r w:rsidR="00C35D76">
        <w:t>, based on the work of Kudela 2011 and Lane et al. 2010</w:t>
      </w:r>
      <w:r w:rsidR="000C36C7">
        <w:t xml:space="preserve">: </w:t>
      </w:r>
    </w:p>
    <w:p w14:paraId="63956064" w14:textId="77777777" w:rsidR="000C36C7" w:rsidRDefault="000C36C7" w:rsidP="008E7E7F">
      <w:pPr>
        <w:pStyle w:val="ListParagraph"/>
        <w:numPr>
          <w:ilvl w:val="0"/>
          <w:numId w:val="14"/>
        </w:numPr>
        <w:ind w:left="360" w:firstLine="0"/>
      </w:pPr>
      <w:r>
        <w:t>Below the warning level &lt;100 ng/g)</w:t>
      </w:r>
    </w:p>
    <w:p w14:paraId="749FC42D" w14:textId="77777777" w:rsidR="000C36C7" w:rsidRDefault="00C35D76" w:rsidP="008E7E7F">
      <w:pPr>
        <w:pStyle w:val="ListParagraph"/>
        <w:numPr>
          <w:ilvl w:val="0"/>
          <w:numId w:val="14"/>
        </w:numPr>
        <w:ind w:left="360" w:firstLine="0"/>
      </w:pPr>
      <w:r>
        <w:t xml:space="preserve">Warning level: </w:t>
      </w:r>
      <w:r w:rsidR="000C36C7">
        <w:t>100-250 ng/g</w:t>
      </w:r>
    </w:p>
    <w:p w14:paraId="3035E91C" w14:textId="77777777" w:rsidR="00B12067" w:rsidRDefault="00C35D76" w:rsidP="008E7E7F">
      <w:pPr>
        <w:pStyle w:val="ListParagraph"/>
        <w:numPr>
          <w:ilvl w:val="0"/>
          <w:numId w:val="14"/>
        </w:numPr>
        <w:ind w:left="360" w:firstLine="0"/>
      </w:pPr>
      <w:r>
        <w:t xml:space="preserve">Action level: </w:t>
      </w:r>
      <w:r w:rsidR="000C36C7">
        <w:t>&gt;250 ng/g</w:t>
      </w:r>
    </w:p>
    <w:p w14:paraId="75CFD83A" w14:textId="39E40C56" w:rsidR="00067073" w:rsidRDefault="0082467F" w:rsidP="00067073">
      <w:r w:rsidRPr="0082467F">
        <w:rPr>
          <w:b/>
        </w:rPr>
        <w:t xml:space="preserve">Chl-a, TN, and TP Thresholds </w:t>
      </w:r>
      <w:r w:rsidR="00F01CB8" w:rsidRPr="0082467F">
        <w:rPr>
          <w:b/>
        </w:rPr>
        <w:t>with</w:t>
      </w:r>
      <w:r w:rsidRPr="0082467F">
        <w:rPr>
          <w:b/>
        </w:rPr>
        <w:t xml:space="preserve"> Reduced Risk of CyanoHABs.</w:t>
      </w:r>
      <w:r>
        <w:t xml:space="preserve"> </w:t>
      </w:r>
      <w:r w:rsidR="004C4986">
        <w:t xml:space="preserve">The State Water Board staff may choose to consider establishing sestonic chl-a and nutrient thresholds for wadeable streams, </w:t>
      </w:r>
      <w:r w:rsidR="00914C12">
        <w:t>associated with an increased risk of cyanoHAB abundance or toxin concentrations</w:t>
      </w:r>
      <w:r w:rsidR="001933EB">
        <w:t xml:space="preserve"> (e.g. Yuan et al. 2014, Yuan and Pollard 2015, Sutula et al. 2017)</w:t>
      </w:r>
      <w:r w:rsidR="00914C12">
        <w:t xml:space="preserve">. </w:t>
      </w:r>
      <w:r w:rsidR="00067073">
        <w:t>For example, u</w:t>
      </w:r>
      <w:r w:rsidR="00B27A34">
        <w:t xml:space="preserve">sing </w:t>
      </w:r>
      <w:r w:rsidR="00067073">
        <w:t>N</w:t>
      </w:r>
      <w:r w:rsidR="00B27A34">
        <w:t xml:space="preserve">ational </w:t>
      </w:r>
      <w:r w:rsidR="00067073">
        <w:t>L</w:t>
      </w:r>
      <w:r w:rsidR="00B27A34">
        <w:t xml:space="preserve">akes </w:t>
      </w:r>
      <w:r w:rsidR="00067073">
        <w:t>A</w:t>
      </w:r>
      <w:r w:rsidR="00B27A34">
        <w:t xml:space="preserve">ssessment data, Yuan and Pollard 2015 found that thresholds for TN and chl a may help protect against frequent occurrence of high microcystin (MC). </w:t>
      </w:r>
      <w:r w:rsidR="00FF2A73">
        <w:t>“Paired” TN and Chl-a t</w:t>
      </w:r>
      <w:r w:rsidR="00B27A34">
        <w:t>hresholds associated with a desired frequency of occurrence of 0.1</w:t>
      </w:r>
      <w:r w:rsidR="00FF2A73">
        <w:t xml:space="preserve"> (10% risk)</w:t>
      </w:r>
      <w:r w:rsidR="00B27A34">
        <w:t xml:space="preserve"> for MC ≥ 1 </w:t>
      </w:r>
      <w:r w:rsidR="00FF2A73">
        <w:t>µ</w:t>
      </w:r>
      <w:r w:rsidR="00B27A34">
        <w:t>g</w:t>
      </w:r>
      <w:r w:rsidR="00FF2A73">
        <w:t>/</w:t>
      </w:r>
      <w:r w:rsidR="00B27A34">
        <w:t xml:space="preserve">L were 0.57 </w:t>
      </w:r>
      <w:r w:rsidR="00067073">
        <w:t>mg/L TN with 37 µg/L chl-a or 1.1 mg/L TN with 3 µg/L chl-a</w:t>
      </w:r>
      <w:r w:rsidR="00B27A34">
        <w:t>. As expected, reducing the desired frequency</w:t>
      </w:r>
      <w:r w:rsidR="00067073">
        <w:t xml:space="preserve"> </w:t>
      </w:r>
      <w:r w:rsidR="00B27A34">
        <w:t xml:space="preserve">of occurrence to 0.05 </w:t>
      </w:r>
      <w:r w:rsidR="00067073">
        <w:t xml:space="preserve">(5% risk) </w:t>
      </w:r>
      <w:r w:rsidR="00B27A34">
        <w:t>also reduces the threshold</w:t>
      </w:r>
      <w:r w:rsidR="00067073">
        <w:t xml:space="preserve"> </w:t>
      </w:r>
      <w:r w:rsidR="00B27A34">
        <w:t xml:space="preserve">concentrations </w:t>
      </w:r>
      <w:r w:rsidR="00067073">
        <w:t xml:space="preserve">to were 0.250 mg/L TN with 14 µg/L chl-a or 0.40 mg/L TN with 1 µg/L chl-a. The State Water Board recently has funded work to develop threshold science for lakes, including linkage to increased risk of cyanoHAB blooms associated with chl-a, TN and TP. Therefore, we choose to leave a placeholder in this document for forthcoming science associated with that work.   </w:t>
      </w:r>
      <w:r w:rsidR="004C4986">
        <w:t xml:space="preserve">Such an approach could also be used to investigate the relationship between benthic chl-a and benthic cyanotoxins, though conclusions from these analyses may be hampered by the lack of a regulatory threshold for benthic cyanotoxins. </w:t>
      </w:r>
    </w:p>
    <w:p w14:paraId="41A710B2" w14:textId="77777777" w:rsidR="0082467F" w:rsidRDefault="00B27A34" w:rsidP="00914C12">
      <w:r w:rsidRPr="00B27A34">
        <w:rPr>
          <w:noProof/>
          <w:lang w:eastAsia="zh-CN" w:bidi="ar-SA"/>
        </w:rPr>
        <w:drawing>
          <wp:inline distT="0" distB="0" distL="0" distR="0" wp14:anchorId="180A6FAC" wp14:editId="636AC5C4">
            <wp:extent cx="4458873" cy="3275462"/>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188" b="9788"/>
                    <a:stretch/>
                  </pic:blipFill>
                  <pic:spPr bwMode="auto">
                    <a:xfrm>
                      <a:off x="0" y="0"/>
                      <a:ext cx="4473250" cy="3286023"/>
                    </a:xfrm>
                    <a:prstGeom prst="rect">
                      <a:avLst/>
                    </a:prstGeom>
                    <a:ln>
                      <a:noFill/>
                    </a:ln>
                    <a:extLst>
                      <a:ext uri="{53640926-AAD7-44D8-BBD7-CCE9431645EC}">
                        <a14:shadowObscured xmlns:a14="http://schemas.microsoft.com/office/drawing/2010/main"/>
                      </a:ext>
                    </a:extLst>
                  </pic:spPr>
                </pic:pic>
              </a:graphicData>
            </a:graphic>
          </wp:inline>
        </w:drawing>
      </w:r>
    </w:p>
    <w:p w14:paraId="41385E98" w14:textId="77777777" w:rsidR="00B27A34" w:rsidRDefault="00B27A34" w:rsidP="00B27A34">
      <w:pPr>
        <w:pStyle w:val="TOF"/>
      </w:pPr>
      <w:bookmarkStart w:id="166" w:name="_Toc526489956"/>
      <w:r>
        <w:t>Figure 3.12 Examples of probability-based relationships that describe risk of exceeding a microcystin value of 1 µg/L with increasing sestonic chl-a, TN, and TP. From Yuan et al. 2014.</w:t>
      </w:r>
      <w:bookmarkEnd w:id="166"/>
      <w:r>
        <w:t xml:space="preserve">  </w:t>
      </w:r>
    </w:p>
    <w:p w14:paraId="2A91D692" w14:textId="3AD87D9F" w:rsidR="006E7717" w:rsidRDefault="006E7717" w:rsidP="006E7717">
      <w:pPr>
        <w:pStyle w:val="Heading3"/>
        <w:ind w:left="0" w:firstLine="0"/>
      </w:pPr>
      <w:bookmarkStart w:id="167" w:name="_Toc526505140"/>
      <w:r>
        <w:t>3.4.</w:t>
      </w:r>
      <w:r w:rsidR="00B71A90">
        <w:t>2</w:t>
      </w:r>
      <w:r>
        <w:t xml:space="preserve"> Macroalgal Percent Cover, Benthic Chl-a Impacting Recreational Use</w:t>
      </w:r>
      <w:bookmarkEnd w:id="167"/>
    </w:p>
    <w:p w14:paraId="37E1615A" w14:textId="6F864BDC" w:rsidR="006E7717" w:rsidRDefault="006E7717" w:rsidP="006E7717">
      <w:r w:rsidRPr="00BF7FD0">
        <w:t xml:space="preserve">Aesthetic nuisance conditions are caused by the fraction of stream surface covered by visible </w:t>
      </w:r>
      <w:r>
        <w:t xml:space="preserve">benthic algal </w:t>
      </w:r>
      <w:r w:rsidRPr="00BF7FD0">
        <w:t xml:space="preserve">mats, especially filamentous green algae </w:t>
      </w:r>
      <w:r>
        <w:t>(e.g.</w:t>
      </w:r>
      <w:r w:rsidRPr="00BF7FD0">
        <w:t xml:space="preserve"> </w:t>
      </w:r>
      <w:r w:rsidRPr="006E7717">
        <w:rPr>
          <w:i/>
        </w:rPr>
        <w:t>Cladophora</w:t>
      </w:r>
      <w:r>
        <w:t xml:space="preserve"> spp)</w:t>
      </w:r>
      <w:r w:rsidRPr="00BF7FD0">
        <w:t>.</w:t>
      </w:r>
      <w:r>
        <w:t xml:space="preserve"> EPA recommends end user surveys to determine levels of macroalgal cover or algal biomass that is linked to impairment of recreational use. Although California has not undertaken recreational use surveys, two Western states Montana (Suplee et al. 2009) and Utah (Jakus et al. (2017), completed surveys employing a similar rigorous methodology, with highly consistent findings on levels of percent macroalgal cover and (related) benthic algal biomass that represent “</w:t>
      </w:r>
      <w:r w:rsidR="00F01CB8">
        <w:t>desirable</w:t>
      </w:r>
      <w:r>
        <w:t>” recreational user experiences (Figure 3.1</w:t>
      </w:r>
      <w:r w:rsidR="004C4986">
        <w:t>3</w:t>
      </w:r>
      <w:r>
        <w:t xml:space="preserve">). Both Suplee et al. (2009) and Jakus et al. (2017) found that benthic chl-a of 150 mg/m2, with associated macroalgal cover categories &gt; 20 % resulted in a 30-70% drop in percent “desirable” responses either by mail- or on-river surveys. This is consistent with Welch (1988; &gt; 20%, &gt; 150 mg/m2) for north American temperate streams and a West Virginia study (Responsive Management, 2012; &gt; 25%). </w:t>
      </w:r>
      <w:r w:rsidRPr="003A1F4C">
        <w:t xml:space="preserve">These literature values of &gt; 20 to &gt; 25 % </w:t>
      </w:r>
      <w:r>
        <w:t xml:space="preserve">cover that are representative of recreational aesthetic impacts are within the same range of the percent macroalgal cover range that was protective of 90% confidence level REF10 thresholds for CSCI (13%) and ASCI (21%) (Mazor et al. in prep). </w:t>
      </w:r>
    </w:p>
    <w:p w14:paraId="5C608A04" w14:textId="77777777" w:rsidR="006E7717" w:rsidRDefault="006E7717" w:rsidP="006E7717">
      <w:pPr>
        <w:ind w:left="360"/>
      </w:pPr>
      <w:r w:rsidRPr="00864214">
        <w:rPr>
          <w:noProof/>
          <w:lang w:eastAsia="zh-CN" w:bidi="ar-SA"/>
        </w:rPr>
        <w:drawing>
          <wp:inline distT="0" distB="0" distL="0" distR="0" wp14:anchorId="1231D775" wp14:editId="1D236285">
            <wp:extent cx="4448175" cy="3194664"/>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54971" cy="3199545"/>
                    </a:xfrm>
                    <a:prstGeom prst="rect">
                      <a:avLst/>
                    </a:prstGeom>
                    <a:noFill/>
                    <a:ln>
                      <a:noFill/>
                    </a:ln>
                  </pic:spPr>
                </pic:pic>
              </a:graphicData>
            </a:graphic>
          </wp:inline>
        </w:drawing>
      </w:r>
    </w:p>
    <w:p w14:paraId="7E9BB0DD" w14:textId="77777777" w:rsidR="006E7717" w:rsidRDefault="006E7717" w:rsidP="006E7717">
      <w:pPr>
        <w:pStyle w:val="TOF"/>
        <w:ind w:left="360"/>
      </w:pPr>
      <w:bookmarkStart w:id="168" w:name="_Toc526489957"/>
      <w:r>
        <w:t>Figure 3.1</w:t>
      </w:r>
      <w:r w:rsidR="004C4986">
        <w:t>3</w:t>
      </w:r>
      <w:r>
        <w:t xml:space="preserve"> Percent desirable responses from the By-Mail and On-River Surveys. Each histogram set of two bars represents a photograph, with associated benthic chl-a biomass (40-1280 mg/m2) top line of X -axis and the representative percent cover range taken from field notes associated with each photograph below each biomass estimate.  Error bars are the 95% confidence level of each proportion, expressed as percent error.Modified from Suplee et al. (2009).</w:t>
      </w:r>
      <w:bookmarkEnd w:id="168"/>
      <w:r>
        <w:t xml:space="preserve"> </w:t>
      </w:r>
    </w:p>
    <w:p w14:paraId="35DD0054" w14:textId="77777777" w:rsidR="006E7717" w:rsidRDefault="006E7717" w:rsidP="006E7717">
      <w:pPr>
        <w:pStyle w:val="TOF"/>
        <w:ind w:left="360"/>
      </w:pPr>
    </w:p>
    <w:p w14:paraId="7A625BAC" w14:textId="77777777" w:rsidR="006E7717" w:rsidRDefault="006E7717" w:rsidP="006E7717">
      <w:pPr>
        <w:ind w:left="360"/>
      </w:pPr>
      <w:r>
        <w:t xml:space="preserve">Differences exist between California versus Montana and Utah benthic algal biomass protocols that makes comparison of biomass levels that are deemed protective of recreational use problematic. For example, Montana DEQ requires that for all samples where filamentous algae is present, the “Hoop Method” be used, regardless of stream substrate, in which the floating mat is sampled comprehensively within an area roughly equivalent to the bottom of a 5-gallon bucket. This contrasts with California’s Fetscher et al. (2009) protocol, which is optimized for algal taxonomy and therefore likely representing a biased low benthic chl-a estimate of the filamentous mat at higher biomass levels (Sutula et al. 2018). The implication of this is that REC2 algal thresholds from Montana (Suplee et 2009) and Utah (Jakus et al. 2017) cannot be used as a basis for California biomass thresholds protective of REC2. </w:t>
      </w:r>
    </w:p>
    <w:p w14:paraId="2A63C86D" w14:textId="77777777" w:rsidR="006E7717" w:rsidRDefault="006E7717" w:rsidP="006E7717">
      <w:pPr>
        <w:ind w:left="360"/>
      </w:pPr>
      <w:r>
        <w:t>Instead, we analyzed California ambient stream bioassessment data to look at the relationship between % cover categories and benthic chl-a, using the dataset and approaches described in Mazor et al. (in prep; Figure 3.1</w:t>
      </w:r>
      <w:r w:rsidR="004C4986">
        <w:t>4</w:t>
      </w:r>
      <w:r>
        <w:t xml:space="preserve">). Benthic chl-a of 19 to 41 mg/m2 had a 90% probability of meeting macroalgal percent cover goals in the range of 13% to 30%, which was roughly comparable to CSCI and ASCI 90% probability REF10 thresholds of 28-58. In contrast, 50% goal, which the Central Coast Water Board has utilized to protect REC2 (Worcester et al. 2010) corresponded to a biomass of 123 mg/m2. This value exceeds exhaustion thresholds for BMI and algal aquatic life protection (Fetscher et al. 2014), at CSCI and ASCI ranges that have narratives “very likely altered” (Mazor et al. 2016) with moderate to severe loss of structure and function (Paul et al. in prep).  </w:t>
      </w:r>
    </w:p>
    <w:p w14:paraId="510CC9A6" w14:textId="77777777" w:rsidR="006E7717" w:rsidRDefault="006E7717" w:rsidP="006E7717">
      <w:pPr>
        <w:ind w:left="360"/>
      </w:pPr>
      <w:r w:rsidRPr="008328E4">
        <w:rPr>
          <w:noProof/>
          <w:lang w:eastAsia="zh-CN" w:bidi="ar-SA"/>
        </w:rPr>
        <w:drawing>
          <wp:inline distT="0" distB="0" distL="0" distR="0" wp14:anchorId="718758F0" wp14:editId="706BDA1C">
            <wp:extent cx="3706997" cy="4314825"/>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08177" cy="4316199"/>
                    </a:xfrm>
                    <a:prstGeom prst="rect">
                      <a:avLst/>
                    </a:prstGeom>
                    <a:noFill/>
                    <a:ln>
                      <a:noFill/>
                    </a:ln>
                  </pic:spPr>
                </pic:pic>
              </a:graphicData>
            </a:graphic>
          </wp:inline>
        </w:drawing>
      </w:r>
    </w:p>
    <w:p w14:paraId="72A0CD27" w14:textId="5DFFA0F4" w:rsidR="006E7717" w:rsidRDefault="006E7717" w:rsidP="006E7717">
      <w:pPr>
        <w:pStyle w:val="TOF"/>
        <w:ind w:left="360"/>
      </w:pPr>
      <w:bookmarkStart w:id="169" w:name="_Toc526489958"/>
      <w:r>
        <w:t>Figure 3.1</w:t>
      </w:r>
      <w:r w:rsidR="004C4986">
        <w:t>4</w:t>
      </w:r>
      <w:r>
        <w:t xml:space="preserve"> Scatter plot of benthic chl-a on X-axis versus percent cover on Y axis (left panel) and (right panel) relative probability of meeting </w:t>
      </w:r>
      <w:r w:rsidR="0073250B">
        <w:t xml:space="preserve">attached </w:t>
      </w:r>
      <w:r>
        <w:t>macroalgal percent cover (MAP) goal of 13, 30, 50, and 70 % cover. Dashed red lines in graph on left represent this range of cover targets. Dashed lines on the right panel graphic indicate threholds associated with different levels of confidence from 95%, 90% and 80% (top to bottom).</w:t>
      </w:r>
      <w:bookmarkEnd w:id="169"/>
      <w:r>
        <w:t xml:space="preserve"> </w:t>
      </w:r>
    </w:p>
    <w:p w14:paraId="32CE987E" w14:textId="3ABCEA2C" w:rsidR="00E53837" w:rsidRDefault="00E53837" w:rsidP="006E7717">
      <w:pPr>
        <w:pStyle w:val="TOF"/>
        <w:ind w:left="360"/>
      </w:pPr>
    </w:p>
    <w:p w14:paraId="00859DED" w14:textId="77777777" w:rsidR="00E53837" w:rsidRDefault="00E53837" w:rsidP="00E53837">
      <w:r>
        <w:t>However, percent cover, as currently measured by the Fetscher et al. (2009) SOP, is not recommended as a primary line of evidence because 75</w:t>
      </w:r>
      <w:r w:rsidRPr="00C159AF">
        <w:rPr>
          <w:vertAlign w:val="superscript"/>
        </w:rPr>
        <w:t>th</w:t>
      </w:r>
      <w:r>
        <w:t xml:space="preserve"> and 90</w:t>
      </w:r>
      <w:r w:rsidRPr="00C159AF">
        <w:rPr>
          <w:vertAlign w:val="superscript"/>
        </w:rPr>
        <w:t>th</w:t>
      </w:r>
      <w:r>
        <w:t xml:space="preserve"> reference ranges are substantially higher than those suggested by user surveys (Table 4.1, next section).</w:t>
      </w:r>
    </w:p>
    <w:p w14:paraId="1DEB47EF" w14:textId="77777777" w:rsidR="006E7717" w:rsidRDefault="006E7717" w:rsidP="006E7717">
      <w:pPr>
        <w:pStyle w:val="TOF"/>
        <w:ind w:left="360"/>
      </w:pPr>
    </w:p>
    <w:p w14:paraId="66334B8D" w14:textId="77777777" w:rsidR="00B12979" w:rsidRDefault="00B12979" w:rsidP="00B12979">
      <w:pPr>
        <w:pStyle w:val="Heading3"/>
      </w:pPr>
      <w:bookmarkStart w:id="170" w:name="_Toc526505141"/>
      <w:r>
        <w:t>3.4.3 DOC and Trihalomethane</w:t>
      </w:r>
      <w:bookmarkEnd w:id="170"/>
    </w:p>
    <w:p w14:paraId="58E6551C" w14:textId="77777777" w:rsidR="00786DFD" w:rsidRDefault="00786DFD" w:rsidP="00786DFD">
      <w:pPr>
        <w:pStyle w:val="BodyText0"/>
      </w:pPr>
      <w:r w:rsidRPr="00243B4D">
        <w:t xml:space="preserve">The </w:t>
      </w:r>
      <w:r>
        <w:t>dissolved or</w:t>
      </w:r>
      <w:r w:rsidRPr="00CA0459">
        <w:t>g</w:t>
      </w:r>
      <w:r>
        <w:t>anic</w:t>
      </w:r>
      <w:r w:rsidRPr="00B30EB1">
        <w:t xml:space="preserve"> </w:t>
      </w:r>
      <w:r>
        <w:t xml:space="preserve">carbon (DOC) </w:t>
      </w:r>
      <w:r w:rsidRPr="00243B4D">
        <w:t xml:space="preserve">content of natural waters can be increased by algal </w:t>
      </w:r>
      <w:r>
        <w:t xml:space="preserve">or microbial </w:t>
      </w:r>
      <w:r w:rsidRPr="00243B4D">
        <w:t xml:space="preserve">production; however, in most cases, the total DOC supply is dominated by loading of organic compounds from the watershed. </w:t>
      </w:r>
      <w:r>
        <w:t xml:space="preserve"> Higher levels of DOC also increase the amount and costs of disinfectants required to achieve disinfection goals. DOC is a concern to drinking water because trihalomethanes</w:t>
      </w:r>
      <w:r w:rsidRPr="005360FF">
        <w:t xml:space="preserve"> </w:t>
      </w:r>
      <w:r>
        <w:t>(THMs)</w:t>
      </w:r>
      <w:r w:rsidRPr="00B30EB1">
        <w:t xml:space="preserve"> </w:t>
      </w:r>
      <w:r>
        <w:t>are</w:t>
      </w:r>
      <w:r w:rsidRPr="00B55CC6">
        <w:t xml:space="preserve"> </w:t>
      </w:r>
      <w:r>
        <w:t>bypro</w:t>
      </w:r>
      <w:r w:rsidRPr="00CA0459">
        <w:t>d</w:t>
      </w:r>
      <w:r>
        <w:t>ucts</w:t>
      </w:r>
      <w:r w:rsidRPr="00B458EA">
        <w:t xml:space="preserve"> </w:t>
      </w:r>
      <w:r>
        <w:t>of</w:t>
      </w:r>
      <w:r w:rsidRPr="00B31443">
        <w:t xml:space="preserve"> </w:t>
      </w:r>
      <w:r>
        <w:t>dri</w:t>
      </w:r>
      <w:r w:rsidRPr="00CA0459">
        <w:t>n</w:t>
      </w:r>
      <w:r>
        <w:t>king</w:t>
      </w:r>
      <w:r w:rsidRPr="00D8190F">
        <w:t xml:space="preserve"> </w:t>
      </w:r>
      <w:r>
        <w:t>water</w:t>
      </w:r>
      <w:r w:rsidRPr="00B55CC6">
        <w:t xml:space="preserve"> </w:t>
      </w:r>
      <w:r>
        <w:t>treatment</w:t>
      </w:r>
      <w:r w:rsidRPr="000E28FE">
        <w:t xml:space="preserve"> </w:t>
      </w:r>
      <w:r>
        <w:t>that</w:t>
      </w:r>
      <w:r w:rsidRPr="00B55CC6">
        <w:t xml:space="preserve"> </w:t>
      </w:r>
      <w:r>
        <w:t>result</w:t>
      </w:r>
      <w:r w:rsidRPr="00B55CC6">
        <w:t xml:space="preserve"> </w:t>
      </w:r>
      <w:r w:rsidRPr="00CA0459">
        <w:t>f</w:t>
      </w:r>
      <w:r>
        <w:t>rom</w:t>
      </w:r>
      <w:r w:rsidRPr="00F47578">
        <w:t xml:space="preserve"> </w:t>
      </w:r>
      <w:r>
        <w:t>the</w:t>
      </w:r>
      <w:r w:rsidRPr="00B55CC6">
        <w:t xml:space="preserve"> </w:t>
      </w:r>
      <w:r>
        <w:t>chlorination</w:t>
      </w:r>
      <w:r w:rsidRPr="00D8190F">
        <w:t xml:space="preserve"> </w:t>
      </w:r>
      <w:r>
        <w:t>or bro</w:t>
      </w:r>
      <w:r w:rsidRPr="00B31443">
        <w:t>m</w:t>
      </w:r>
      <w:r>
        <w:t>ination</w:t>
      </w:r>
      <w:r w:rsidRPr="00D8190F">
        <w:t xml:space="preserve"> </w:t>
      </w:r>
      <w:r>
        <w:t>of</w:t>
      </w:r>
      <w:r w:rsidRPr="00B31443">
        <w:t xml:space="preserve"> </w:t>
      </w:r>
      <w:r>
        <w:t>certain</w:t>
      </w:r>
      <w:r w:rsidRPr="00F47578">
        <w:t xml:space="preserve"> </w:t>
      </w:r>
      <w:r>
        <w:t>DOC compounds.</w:t>
      </w:r>
      <w:r w:rsidRPr="00B30EB1">
        <w:t xml:space="preserve"> </w:t>
      </w:r>
      <w:r>
        <w:t xml:space="preserve"> THMs include</w:t>
      </w:r>
      <w:r w:rsidRPr="00F47578">
        <w:t xml:space="preserve"> </w:t>
      </w:r>
      <w:r>
        <w:t>several</w:t>
      </w:r>
      <w:r w:rsidRPr="00B31443">
        <w:t xml:space="preserve"> </w:t>
      </w:r>
      <w:r>
        <w:t>kn</w:t>
      </w:r>
      <w:r w:rsidRPr="00CA0459">
        <w:t>o</w:t>
      </w:r>
      <w:r>
        <w:t>wn</w:t>
      </w:r>
      <w:r w:rsidRPr="00F47578">
        <w:t xml:space="preserve"> </w:t>
      </w:r>
      <w:r>
        <w:t>and</w:t>
      </w:r>
      <w:r w:rsidRPr="00B55CC6">
        <w:t xml:space="preserve"> </w:t>
      </w:r>
      <w:r>
        <w:t>suspected</w:t>
      </w:r>
      <w:r w:rsidRPr="00D8190F">
        <w:t xml:space="preserve"> </w:t>
      </w:r>
      <w:r>
        <w:t>carcinogens,</w:t>
      </w:r>
      <w:r w:rsidRPr="005360FF">
        <w:t xml:space="preserve"> </w:t>
      </w:r>
      <w:r>
        <w:t>creating</w:t>
      </w:r>
      <w:r w:rsidRPr="00B30EB1">
        <w:t xml:space="preserve"> </w:t>
      </w:r>
      <w:r>
        <w:t>concern</w:t>
      </w:r>
      <w:r w:rsidRPr="00B30EB1">
        <w:t xml:space="preserve"> </w:t>
      </w:r>
      <w:r>
        <w:t>for</w:t>
      </w:r>
      <w:r w:rsidRPr="00B55CC6">
        <w:t xml:space="preserve"> </w:t>
      </w:r>
      <w:r w:rsidRPr="00CA0459">
        <w:t>d</w:t>
      </w:r>
      <w:r>
        <w:t>rinking</w:t>
      </w:r>
      <w:r w:rsidRPr="00B30EB1">
        <w:t xml:space="preserve"> </w:t>
      </w:r>
      <w:r>
        <w:t>water</w:t>
      </w:r>
      <w:r w:rsidRPr="00B55CC6">
        <w:t xml:space="preserve"> </w:t>
      </w:r>
      <w:r>
        <w:t>safet</w:t>
      </w:r>
      <w:r w:rsidRPr="00B458EA">
        <w:t>y</w:t>
      </w:r>
      <w:r>
        <w:t>.</w:t>
      </w:r>
      <w:r w:rsidRPr="00F47578">
        <w:t xml:space="preserve"> </w:t>
      </w:r>
      <w:r>
        <w:t xml:space="preserve"> Algal metabolites</w:t>
      </w:r>
      <w:r w:rsidRPr="00B458EA">
        <w:t xml:space="preserve"> </w:t>
      </w:r>
      <w:r>
        <w:t>and</w:t>
      </w:r>
      <w:r w:rsidRPr="00B55CC6">
        <w:t xml:space="preserve"> </w:t>
      </w:r>
      <w:r>
        <w:t>deco</w:t>
      </w:r>
      <w:r w:rsidRPr="00B31443">
        <w:t>m</w:t>
      </w:r>
      <w:r>
        <w:t>position</w:t>
      </w:r>
      <w:r w:rsidRPr="005360FF">
        <w:t xml:space="preserve"> </w:t>
      </w:r>
      <w:r>
        <w:t>p</w:t>
      </w:r>
      <w:r w:rsidRPr="00CA0459">
        <w:t>r</w:t>
      </w:r>
      <w:r>
        <w:t>oducts</w:t>
      </w:r>
      <w:r w:rsidRPr="00D8190F">
        <w:t xml:space="preserve"> </w:t>
      </w:r>
      <w:r>
        <w:t>present</w:t>
      </w:r>
      <w:r w:rsidRPr="00F47578">
        <w:t xml:space="preserve"> </w:t>
      </w:r>
      <w:r>
        <w:t>in</w:t>
      </w:r>
      <w:r w:rsidRPr="00CA0459">
        <w:t xml:space="preserve"> </w:t>
      </w:r>
      <w:r>
        <w:t>raw</w:t>
      </w:r>
      <w:r w:rsidRPr="00B55CC6">
        <w:t xml:space="preserve"> </w:t>
      </w:r>
      <w:r>
        <w:t>water</w:t>
      </w:r>
      <w:r w:rsidRPr="00B55CC6">
        <w:t xml:space="preserve"> </w:t>
      </w:r>
      <w:r>
        <w:t>are</w:t>
      </w:r>
      <w:r w:rsidRPr="00B55CC6">
        <w:t xml:space="preserve"> </w:t>
      </w:r>
      <w:r>
        <w:t>candidates</w:t>
      </w:r>
      <w:r w:rsidRPr="00D8190F">
        <w:t xml:space="preserve"> </w:t>
      </w:r>
      <w:r>
        <w:t>for</w:t>
      </w:r>
      <w:r w:rsidRPr="00B55CC6">
        <w:t xml:space="preserve"> </w:t>
      </w:r>
      <w:r>
        <w:t>THM</w:t>
      </w:r>
      <w:r w:rsidRPr="00B55CC6">
        <w:t xml:space="preserve"> </w:t>
      </w:r>
      <w:r>
        <w:t>produc</w:t>
      </w:r>
      <w:r w:rsidRPr="00CA0459">
        <w:t>t</w:t>
      </w:r>
      <w:r>
        <w:t>ion (USEPA,</w:t>
      </w:r>
      <w:r w:rsidRPr="000E28FE">
        <w:t xml:space="preserve"> </w:t>
      </w:r>
      <w:r>
        <w:t>2000b;</w:t>
      </w:r>
      <w:r w:rsidRPr="00F47578">
        <w:t xml:space="preserve"> </w:t>
      </w:r>
      <w:r>
        <w:t>Nigel,</w:t>
      </w:r>
      <w:r w:rsidRPr="00B55CC6">
        <w:t xml:space="preserve"> </w:t>
      </w:r>
      <w:r>
        <w:t>et</w:t>
      </w:r>
      <w:r w:rsidRPr="00B55CC6">
        <w:t xml:space="preserve"> </w:t>
      </w:r>
      <w:r>
        <w:t>al.,</w:t>
      </w:r>
      <w:r w:rsidRPr="00B55CC6">
        <w:t xml:space="preserve"> </w:t>
      </w:r>
      <w:r>
        <w:t>1998;</w:t>
      </w:r>
      <w:r w:rsidRPr="00B55CC6">
        <w:t xml:space="preserve"> </w:t>
      </w:r>
      <w:r>
        <w:t>Plummer</w:t>
      </w:r>
      <w:r w:rsidRPr="000E28FE">
        <w:t xml:space="preserve"> </w:t>
      </w:r>
      <w:r>
        <w:t>and</w:t>
      </w:r>
      <w:r w:rsidRPr="00B31443">
        <w:t xml:space="preserve"> </w:t>
      </w:r>
      <w:r>
        <w:t>Edzwald,</w:t>
      </w:r>
      <w:r w:rsidRPr="000E28FE">
        <w:t xml:space="preserve"> </w:t>
      </w:r>
      <w:r>
        <w:t>2001).</w:t>
      </w:r>
      <w:r w:rsidRPr="00F47578">
        <w:t xml:space="preserve"> </w:t>
      </w:r>
      <w:r>
        <w:t xml:space="preserve"> </w:t>
      </w:r>
    </w:p>
    <w:p w14:paraId="175BFACD" w14:textId="77777777" w:rsidR="00786DFD" w:rsidRDefault="00786DFD" w:rsidP="00786DFD">
      <w:r>
        <w:t>EPA has Disinfectants and Disinfection Byproducts Rules (</w:t>
      </w:r>
      <w:hyperlink r:id="rId65" w:history="1">
        <w:r w:rsidRPr="001F7D0D">
          <w:rPr>
            <w:rStyle w:val="Hyperlink"/>
          </w:rPr>
          <w:t>www.epa.gov/dwreginfo/stage-1-and-stage-2-disinfectants-and-disinfection-byproducts-rules</w:t>
        </w:r>
      </w:hyperlink>
      <w:r>
        <w:t>). Stage 1 Disinfectants and Disinfection Byproducts Rule (DBPR) reduces drinking water exposure to disinfection byproducts and applies to community water systems and non-transient non-community systems, including those that add a disinfectant to the drinking water during any part of the treatment process. The Stage 2 DBPR strengthens public health protection by tightening compliance monitoring requirements for THM et al. brominated byproducts. The rule targets public water systems (PWSs) with the greatest risk. USEPA</w:t>
      </w:r>
      <w:r w:rsidRPr="00B30EB1">
        <w:t xml:space="preserve"> </w:t>
      </w:r>
      <w:r>
        <w:t>(2003)</w:t>
      </w:r>
      <w:r w:rsidRPr="00F47578">
        <w:t xml:space="preserve"> </w:t>
      </w:r>
      <w:r>
        <w:t>suggests</w:t>
      </w:r>
      <w:r w:rsidRPr="00B30EB1">
        <w:t xml:space="preserve"> </w:t>
      </w:r>
      <w:r>
        <w:t>a</w:t>
      </w:r>
      <w:r w:rsidRPr="00CA0459">
        <w:t xml:space="preserve"> </w:t>
      </w:r>
      <w:r>
        <w:t>maxi</w:t>
      </w:r>
      <w:r w:rsidRPr="00B31443">
        <w:t>m</w:t>
      </w:r>
      <w:r w:rsidRPr="00B458EA">
        <w:t>u</w:t>
      </w:r>
      <w:r>
        <w:t>m</w:t>
      </w:r>
      <w:r w:rsidRPr="00D8190F">
        <w:t xml:space="preserve"> </w:t>
      </w:r>
      <w:r>
        <w:t>conta</w:t>
      </w:r>
      <w:r w:rsidRPr="00B31443">
        <w:t>m</w:t>
      </w:r>
      <w:r>
        <w:t>inant</w:t>
      </w:r>
      <w:r w:rsidRPr="00D8190F">
        <w:t xml:space="preserve"> </w:t>
      </w:r>
      <w:r>
        <w:t>level</w:t>
      </w:r>
      <w:r w:rsidRPr="00B55CC6">
        <w:t xml:space="preserve"> </w:t>
      </w:r>
      <w:r>
        <w:t>of</w:t>
      </w:r>
      <w:r w:rsidRPr="00B31443">
        <w:t xml:space="preserve"> </w:t>
      </w:r>
      <w:r>
        <w:t>0.080</w:t>
      </w:r>
      <w:r w:rsidRPr="00B55CC6">
        <w:t xml:space="preserve"> </w:t>
      </w:r>
      <w:r>
        <w:t>mg/L</w:t>
      </w:r>
      <w:r w:rsidRPr="00B55CC6">
        <w:t xml:space="preserve"> </w:t>
      </w:r>
      <w:r>
        <w:t>total</w:t>
      </w:r>
      <w:r w:rsidRPr="00B55CC6">
        <w:t xml:space="preserve"> </w:t>
      </w:r>
      <w:r>
        <w:t>T</w:t>
      </w:r>
      <w:r w:rsidRPr="00CA0459">
        <w:t>H</w:t>
      </w:r>
      <w:r>
        <w:t>M</w:t>
      </w:r>
      <w:r w:rsidRPr="00B55CC6">
        <w:t xml:space="preserve"> </w:t>
      </w:r>
      <w:r>
        <w:t>at</w:t>
      </w:r>
      <w:r w:rsidRPr="00B31443">
        <w:t xml:space="preserve"> </w:t>
      </w:r>
      <w:r>
        <w:t>any</w:t>
      </w:r>
      <w:r w:rsidRPr="00B55CC6">
        <w:t xml:space="preserve"> </w:t>
      </w:r>
      <w:r>
        <w:t>po</w:t>
      </w:r>
      <w:r w:rsidRPr="00CA0459">
        <w:t>i</w:t>
      </w:r>
      <w:r>
        <w:t>nt</w:t>
      </w:r>
      <w:r w:rsidRPr="00B55CC6">
        <w:t xml:space="preserve"> </w:t>
      </w:r>
      <w:r>
        <w:t>in</w:t>
      </w:r>
      <w:r w:rsidRPr="00B31443">
        <w:t xml:space="preserve"> </w:t>
      </w:r>
      <w:r>
        <w:t>the water</w:t>
      </w:r>
      <w:r w:rsidRPr="00B55CC6">
        <w:t xml:space="preserve"> </w:t>
      </w:r>
      <w:r>
        <w:t>distribution</w:t>
      </w:r>
      <w:r w:rsidRPr="00B458EA">
        <w:t xml:space="preserve"> </w:t>
      </w:r>
      <w:r w:rsidRPr="00CA0459">
        <w:t>s</w:t>
      </w:r>
      <w:r w:rsidRPr="00B458EA">
        <w:t>y</w:t>
      </w:r>
      <w:r>
        <w:t>ste</w:t>
      </w:r>
      <w:r w:rsidRPr="00B31443">
        <w:t>m</w:t>
      </w:r>
      <w:r>
        <w:t>.  Stage I Disinfection Byproducts Rule requires removal of TOC by water treatment plants when the source water concentration exceeds 2 mg/L.  DOC/TOC levels are naturally elevated in the Sacramento-San Joaquin Delta, and CALFED (2004) has an objective of 3 mg/L organic carbon in source water, although greater concentrations are frequently reported (Chen et al., 2008).</w:t>
      </w:r>
    </w:p>
    <w:p w14:paraId="3EB145F7" w14:textId="77777777" w:rsidR="00786DFD" w:rsidRDefault="00786DFD" w:rsidP="00B71A90">
      <w:pPr>
        <w:pStyle w:val="BodyText0"/>
      </w:pPr>
      <w:r>
        <w:t xml:space="preserve">We are not recommending that biostimulatory targets </w:t>
      </w:r>
      <w:r w:rsidRPr="00243B4D">
        <w:t xml:space="preserve">be defined </w:t>
      </w:r>
      <w:r>
        <w:t>solel</w:t>
      </w:r>
      <w:r w:rsidRPr="00243B4D">
        <w:t xml:space="preserve">y in terms of DOC or specific THM precursors. </w:t>
      </w:r>
      <w:r>
        <w:t xml:space="preserve"> </w:t>
      </w:r>
      <w:r w:rsidRPr="00243B4D">
        <w:t>However, information from water treatment system operators on acceptable levels of algae</w:t>
      </w:r>
      <w:r>
        <w:t xml:space="preserve"> and DOC</w:t>
      </w:r>
      <w:r w:rsidRPr="00243B4D">
        <w:t xml:space="preserve"> in raw water consistent with meeting THM guidelines </w:t>
      </w:r>
      <w:r>
        <w:t>is</w:t>
      </w:r>
      <w:r w:rsidRPr="00243B4D">
        <w:t xml:space="preserve"> an important input to the determination of </w:t>
      </w:r>
      <w:r>
        <w:t>biostimulatory-associated impairment of</w:t>
      </w:r>
      <w:r w:rsidRPr="00243B4D">
        <w:t xml:space="preserve"> MUN water uses.</w:t>
      </w:r>
    </w:p>
    <w:p w14:paraId="31D5F71D" w14:textId="77777777" w:rsidR="00D96D9B" w:rsidRDefault="00D96D9B" w:rsidP="00B71A90">
      <w:pPr>
        <w:pStyle w:val="BodyText0"/>
        <w:sectPr w:rsidR="00D96D9B" w:rsidSect="00C5540D">
          <w:pgSz w:w="12240" w:h="15840"/>
          <w:pgMar w:top="1440" w:right="1440" w:bottom="1440" w:left="1440" w:header="720" w:footer="720" w:gutter="0"/>
          <w:cols w:space="720"/>
          <w:docGrid w:linePitch="360"/>
        </w:sectPr>
      </w:pPr>
    </w:p>
    <w:p w14:paraId="7875D9F7" w14:textId="77777777" w:rsidR="00D876E6" w:rsidRDefault="00D876E6" w:rsidP="008E7E7F">
      <w:pPr>
        <w:pStyle w:val="Heading1"/>
        <w:numPr>
          <w:ilvl w:val="0"/>
          <w:numId w:val="15"/>
        </w:numPr>
      </w:pPr>
      <w:bookmarkStart w:id="171" w:name="_Toc526505142"/>
      <w:r>
        <w:t>Summary</w:t>
      </w:r>
      <w:bookmarkEnd w:id="171"/>
      <w:r>
        <w:t xml:space="preserve"> </w:t>
      </w:r>
    </w:p>
    <w:p w14:paraId="538B6BB6" w14:textId="77777777" w:rsidR="00F01CB8" w:rsidRDefault="00960AC1" w:rsidP="00F01CB8">
      <w:pPr>
        <w:pStyle w:val="ListParagraph"/>
        <w:ind w:left="0"/>
        <w:jc w:val="both"/>
      </w:pPr>
      <w:bookmarkStart w:id="172" w:name="_Toc225238909"/>
      <w:bookmarkStart w:id="173" w:name="_Toc261867226"/>
      <w:bookmarkStart w:id="174" w:name="_Toc290373917"/>
      <w:r>
        <w:t xml:space="preserve">This document provides a synthesis of science supporting the development of numeric guidance to protect wadeable streams from eutrophication by 1) providing general conceptual models of risk pathways by which nutrient pollution and eutrophication can impair beneficial uses in wadeable streams, 2) providing a review of eutrophication indicators that can serve as the basis for assessing beneficial use protection status and 3) summarizing available science supporting the selection of numeric targets to protect waterbodies against biostimulatory impacts.  </w:t>
      </w:r>
      <w:r w:rsidR="00F01CB8">
        <w:t xml:space="preserve">Three key findings of this work are summarized below. </w:t>
      </w:r>
    </w:p>
    <w:p w14:paraId="26AFF7D7" w14:textId="77777777" w:rsidR="00F01CB8" w:rsidRDefault="00F01CB8" w:rsidP="00F01CB8">
      <w:pPr>
        <w:pStyle w:val="ListParagraph"/>
        <w:ind w:left="360"/>
        <w:jc w:val="both"/>
      </w:pPr>
    </w:p>
    <w:p w14:paraId="47C3BAF6" w14:textId="77777777" w:rsidR="00F01CB8" w:rsidRDefault="00F01CB8" w:rsidP="00F01CB8">
      <w:pPr>
        <w:pStyle w:val="ListParagraph"/>
        <w:ind w:left="180" w:hanging="270"/>
        <w:jc w:val="both"/>
      </w:pPr>
      <w:r>
        <w:rPr>
          <w:b/>
        </w:rPr>
        <w:t xml:space="preserve">1. </w:t>
      </w:r>
      <w:r w:rsidRPr="00D46F8D">
        <w:rPr>
          <w:b/>
        </w:rPr>
        <w:t>A large body of research provides a solid foundation for linking biostimulatory impacts to impairment of beneficial uses in aquatic ecosystems</w:t>
      </w:r>
      <w:r>
        <w:t>.</w:t>
      </w:r>
      <w:r>
        <w:rPr>
          <w:b/>
        </w:rPr>
        <w:t xml:space="preserve"> </w:t>
      </w:r>
      <w:r>
        <w:t xml:space="preserve">Over four decades of scientific research in eutrophication of wadeable streams provides sound scientific basis to develop conceptual models linking biostimulatory substances and conditions to eutrophication responses and their impacts on beneficial uses on California wadeable streams. </w:t>
      </w:r>
    </w:p>
    <w:p w14:paraId="3AE850A0" w14:textId="77777777" w:rsidR="00F01CB8" w:rsidRPr="00960AC1" w:rsidRDefault="00F01CB8" w:rsidP="00F01CB8">
      <w:pPr>
        <w:spacing w:after="120" w:line="240" w:lineRule="auto"/>
        <w:jc w:val="both"/>
        <w:rPr>
          <w:b/>
        </w:rPr>
      </w:pPr>
      <w:r w:rsidRPr="00960AC1">
        <w:rPr>
          <w:b/>
        </w:rPr>
        <w:t>Most Important Risk Pathways Associated with Impairment of Sensitive Uses by Nutrient Pollution and Eutrophication. Aquatic life -related uses, ALU, are grouped to include: COLD, WARM, MIGR, RARE, and SPWN beneficial uses. Birds, amphibian and terrestrial wildlife are represented under WILD, MIGR, and RARE. Poor water quality can be linked to human or aquatic/wildlife uses.</w:t>
      </w:r>
    </w:p>
    <w:tbl>
      <w:tblPr>
        <w:tblW w:w="9402" w:type="dxa"/>
        <w:jc w:val="center"/>
        <w:tblBorders>
          <w:top w:val="single" w:sz="12" w:space="0" w:color="auto"/>
          <w:bottom w:val="single" w:sz="12" w:space="0" w:color="auto"/>
        </w:tblBorders>
        <w:tblLayout w:type="fixed"/>
        <w:tblCellMar>
          <w:top w:w="14" w:type="dxa"/>
          <w:left w:w="72" w:type="dxa"/>
          <w:bottom w:w="14" w:type="dxa"/>
          <w:right w:w="72" w:type="dxa"/>
        </w:tblCellMar>
        <w:tblLook w:val="00A0" w:firstRow="1" w:lastRow="0" w:firstColumn="1" w:lastColumn="0" w:noHBand="0" w:noVBand="0"/>
      </w:tblPr>
      <w:tblGrid>
        <w:gridCol w:w="2160"/>
        <w:gridCol w:w="1180"/>
        <w:gridCol w:w="1340"/>
        <w:gridCol w:w="1181"/>
        <w:gridCol w:w="1180"/>
        <w:gridCol w:w="1180"/>
        <w:gridCol w:w="1181"/>
      </w:tblGrid>
      <w:tr w:rsidR="00F01CB8" w14:paraId="3085CEA2" w14:textId="77777777" w:rsidTr="00C26519">
        <w:trPr>
          <w:tblHeader/>
          <w:jc w:val="center"/>
        </w:trPr>
        <w:tc>
          <w:tcPr>
            <w:tcW w:w="2160" w:type="dxa"/>
            <w:tcBorders>
              <w:top w:val="single" w:sz="4" w:space="0" w:color="auto"/>
              <w:bottom w:val="single" w:sz="4" w:space="0" w:color="auto"/>
            </w:tcBorders>
            <w:shd w:val="clear" w:color="000080" w:fill="auto"/>
            <w:vAlign w:val="center"/>
          </w:tcPr>
          <w:p w14:paraId="7D69DB1E" w14:textId="77777777" w:rsidR="00F01CB8" w:rsidRPr="008A0924" w:rsidRDefault="00F01CB8" w:rsidP="00C26519">
            <w:pPr>
              <w:pStyle w:val="TableHeading"/>
              <w:spacing w:before="0" w:after="0"/>
            </w:pPr>
            <w:r>
              <w:t>Use</w:t>
            </w:r>
          </w:p>
        </w:tc>
        <w:tc>
          <w:tcPr>
            <w:tcW w:w="1180" w:type="dxa"/>
            <w:tcBorders>
              <w:top w:val="single" w:sz="4" w:space="0" w:color="auto"/>
              <w:bottom w:val="single" w:sz="4" w:space="0" w:color="auto"/>
            </w:tcBorders>
            <w:shd w:val="clear" w:color="000080" w:fill="auto"/>
            <w:tcMar>
              <w:left w:w="43" w:type="dxa"/>
              <w:right w:w="43" w:type="dxa"/>
            </w:tcMar>
            <w:vAlign w:val="center"/>
          </w:tcPr>
          <w:p w14:paraId="61081BA9" w14:textId="77777777" w:rsidR="00F01CB8" w:rsidRPr="008A0924" w:rsidRDefault="00F01CB8" w:rsidP="00C26519">
            <w:pPr>
              <w:pStyle w:val="TableHeading"/>
              <w:spacing w:before="0" w:after="0"/>
            </w:pPr>
            <w:r>
              <w:t>Altered Aquatic Life</w:t>
            </w:r>
          </w:p>
        </w:tc>
        <w:tc>
          <w:tcPr>
            <w:tcW w:w="1340" w:type="dxa"/>
            <w:tcBorders>
              <w:top w:val="single" w:sz="4" w:space="0" w:color="auto"/>
              <w:bottom w:val="single" w:sz="4" w:space="0" w:color="auto"/>
            </w:tcBorders>
            <w:shd w:val="clear" w:color="000080" w:fill="auto"/>
            <w:tcMar>
              <w:left w:w="43" w:type="dxa"/>
              <w:right w:w="43" w:type="dxa"/>
            </w:tcMar>
            <w:vAlign w:val="center"/>
          </w:tcPr>
          <w:p w14:paraId="0F1A15B6" w14:textId="77777777" w:rsidR="00F01CB8" w:rsidRPr="008A0924" w:rsidRDefault="00F01CB8" w:rsidP="00C26519">
            <w:pPr>
              <w:pStyle w:val="TableHeading"/>
              <w:spacing w:before="0" w:after="0"/>
            </w:pPr>
            <w:r>
              <w:t>Toxin Contaminated or Low Yield Fisheries</w:t>
            </w:r>
          </w:p>
        </w:tc>
        <w:tc>
          <w:tcPr>
            <w:tcW w:w="1181" w:type="dxa"/>
            <w:tcBorders>
              <w:top w:val="single" w:sz="4" w:space="0" w:color="auto"/>
              <w:bottom w:val="single" w:sz="4" w:space="0" w:color="auto"/>
            </w:tcBorders>
            <w:shd w:val="clear" w:color="000080" w:fill="auto"/>
            <w:tcMar>
              <w:left w:w="43" w:type="dxa"/>
              <w:right w:w="43" w:type="dxa"/>
            </w:tcMar>
            <w:vAlign w:val="center"/>
          </w:tcPr>
          <w:p w14:paraId="76BFAF7F" w14:textId="77777777" w:rsidR="00F01CB8" w:rsidRPr="008A0924" w:rsidRDefault="00F01CB8" w:rsidP="00C26519">
            <w:pPr>
              <w:pStyle w:val="TableHeading"/>
              <w:spacing w:before="0" w:after="0"/>
            </w:pPr>
            <w:r>
              <w:t>Poor Taste and Odor</w:t>
            </w:r>
          </w:p>
        </w:tc>
        <w:tc>
          <w:tcPr>
            <w:tcW w:w="1180" w:type="dxa"/>
            <w:tcBorders>
              <w:top w:val="single" w:sz="4" w:space="0" w:color="auto"/>
              <w:bottom w:val="single" w:sz="4" w:space="0" w:color="auto"/>
            </w:tcBorders>
            <w:shd w:val="clear" w:color="000080" w:fill="auto"/>
            <w:tcMar>
              <w:left w:w="43" w:type="dxa"/>
              <w:right w:w="43" w:type="dxa"/>
            </w:tcMar>
            <w:vAlign w:val="center"/>
          </w:tcPr>
          <w:p w14:paraId="32BC86CF" w14:textId="77777777" w:rsidR="00F01CB8" w:rsidRPr="008A0924" w:rsidRDefault="00F01CB8" w:rsidP="00C26519">
            <w:pPr>
              <w:pStyle w:val="TableHeading"/>
              <w:spacing w:before="0" w:after="0"/>
            </w:pPr>
            <w:r>
              <w:t>Poor Aesthetics</w:t>
            </w:r>
          </w:p>
        </w:tc>
        <w:tc>
          <w:tcPr>
            <w:tcW w:w="1180" w:type="dxa"/>
            <w:tcBorders>
              <w:top w:val="single" w:sz="4" w:space="0" w:color="auto"/>
              <w:bottom w:val="single" w:sz="4" w:space="0" w:color="auto"/>
            </w:tcBorders>
            <w:shd w:val="clear" w:color="000080" w:fill="auto"/>
            <w:tcMar>
              <w:left w:w="43" w:type="dxa"/>
              <w:right w:w="43" w:type="dxa"/>
            </w:tcMar>
            <w:vAlign w:val="center"/>
          </w:tcPr>
          <w:p w14:paraId="058C8DCB" w14:textId="77777777" w:rsidR="00F01CB8" w:rsidRPr="008A0924" w:rsidRDefault="00F01CB8" w:rsidP="00C26519">
            <w:pPr>
              <w:pStyle w:val="TableHeading"/>
              <w:spacing w:before="0" w:after="0"/>
            </w:pPr>
            <w:r>
              <w:t>Impeded Water Intake</w:t>
            </w:r>
          </w:p>
        </w:tc>
        <w:tc>
          <w:tcPr>
            <w:tcW w:w="1181" w:type="dxa"/>
            <w:tcBorders>
              <w:top w:val="single" w:sz="4" w:space="0" w:color="auto"/>
              <w:bottom w:val="single" w:sz="4" w:space="0" w:color="auto"/>
            </w:tcBorders>
            <w:shd w:val="clear" w:color="000080" w:fill="auto"/>
            <w:tcMar>
              <w:left w:w="43" w:type="dxa"/>
              <w:right w:w="43" w:type="dxa"/>
            </w:tcMar>
            <w:vAlign w:val="center"/>
          </w:tcPr>
          <w:p w14:paraId="7C284902" w14:textId="77777777" w:rsidR="00F01CB8" w:rsidRPr="008A0924" w:rsidRDefault="00F01CB8" w:rsidP="00C26519">
            <w:pPr>
              <w:pStyle w:val="TableHeading"/>
              <w:spacing w:before="0" w:after="0"/>
            </w:pPr>
            <w:r>
              <w:t>Poor Water Quality</w:t>
            </w:r>
          </w:p>
        </w:tc>
      </w:tr>
      <w:tr w:rsidR="00F01CB8" w14:paraId="327132F7" w14:textId="77777777" w:rsidTr="00C26519">
        <w:trPr>
          <w:jc w:val="center"/>
        </w:trPr>
        <w:tc>
          <w:tcPr>
            <w:tcW w:w="2160" w:type="dxa"/>
            <w:tcBorders>
              <w:top w:val="single" w:sz="4" w:space="0" w:color="auto"/>
            </w:tcBorders>
            <w:vAlign w:val="center"/>
          </w:tcPr>
          <w:p w14:paraId="1854EEE7" w14:textId="77777777" w:rsidR="00F01CB8" w:rsidRPr="008A0924" w:rsidRDefault="00F01CB8" w:rsidP="00C26519">
            <w:pPr>
              <w:pStyle w:val="TableText0"/>
              <w:spacing w:before="0" w:after="0"/>
            </w:pPr>
            <w:r>
              <w:t>AL-Related Uses</w:t>
            </w:r>
          </w:p>
        </w:tc>
        <w:tc>
          <w:tcPr>
            <w:tcW w:w="1180" w:type="dxa"/>
            <w:tcBorders>
              <w:top w:val="single" w:sz="4" w:space="0" w:color="auto"/>
            </w:tcBorders>
            <w:vAlign w:val="center"/>
          </w:tcPr>
          <w:p w14:paraId="0D5DC36D" w14:textId="77777777" w:rsidR="00F01CB8" w:rsidRDefault="00F01CB8" w:rsidP="00C26519">
            <w:pPr>
              <w:pStyle w:val="TableText0"/>
              <w:spacing w:before="0" w:after="0"/>
              <w:jc w:val="center"/>
              <w:rPr>
                <w:b/>
              </w:rPr>
            </w:pPr>
            <w:r>
              <w:rPr>
                <w:b/>
              </w:rPr>
              <w:t>X</w:t>
            </w:r>
          </w:p>
        </w:tc>
        <w:tc>
          <w:tcPr>
            <w:tcW w:w="1340" w:type="dxa"/>
            <w:tcBorders>
              <w:top w:val="single" w:sz="4" w:space="0" w:color="auto"/>
            </w:tcBorders>
            <w:vAlign w:val="center"/>
          </w:tcPr>
          <w:p w14:paraId="611EE637" w14:textId="77777777" w:rsidR="00F01CB8" w:rsidRDefault="00F01CB8" w:rsidP="00C26519">
            <w:pPr>
              <w:pStyle w:val="TableText0"/>
              <w:spacing w:before="0" w:after="0"/>
              <w:jc w:val="center"/>
              <w:rPr>
                <w:b/>
              </w:rPr>
            </w:pPr>
          </w:p>
        </w:tc>
        <w:tc>
          <w:tcPr>
            <w:tcW w:w="1181" w:type="dxa"/>
            <w:tcBorders>
              <w:top w:val="single" w:sz="4" w:space="0" w:color="auto"/>
            </w:tcBorders>
            <w:vAlign w:val="center"/>
          </w:tcPr>
          <w:p w14:paraId="7972BFF7" w14:textId="77777777" w:rsidR="00F01CB8" w:rsidRDefault="00F01CB8" w:rsidP="00C26519">
            <w:pPr>
              <w:pStyle w:val="TableText0"/>
              <w:spacing w:before="0" w:after="0"/>
              <w:jc w:val="center"/>
              <w:rPr>
                <w:b/>
              </w:rPr>
            </w:pPr>
          </w:p>
        </w:tc>
        <w:tc>
          <w:tcPr>
            <w:tcW w:w="1180" w:type="dxa"/>
            <w:tcBorders>
              <w:top w:val="single" w:sz="4" w:space="0" w:color="auto"/>
            </w:tcBorders>
            <w:vAlign w:val="center"/>
          </w:tcPr>
          <w:p w14:paraId="423B6DD4" w14:textId="77777777" w:rsidR="00F01CB8" w:rsidRDefault="00F01CB8" w:rsidP="00C26519">
            <w:pPr>
              <w:pStyle w:val="TableText0"/>
              <w:spacing w:before="0" w:after="0"/>
              <w:jc w:val="center"/>
              <w:rPr>
                <w:b/>
              </w:rPr>
            </w:pPr>
          </w:p>
        </w:tc>
        <w:tc>
          <w:tcPr>
            <w:tcW w:w="1180" w:type="dxa"/>
            <w:tcBorders>
              <w:top w:val="single" w:sz="4" w:space="0" w:color="auto"/>
            </w:tcBorders>
            <w:vAlign w:val="center"/>
          </w:tcPr>
          <w:p w14:paraId="7CF124AB" w14:textId="77777777" w:rsidR="00F01CB8" w:rsidRPr="008A0924" w:rsidRDefault="00F01CB8" w:rsidP="00C26519">
            <w:pPr>
              <w:pStyle w:val="TableText0"/>
              <w:spacing w:before="0" w:after="0"/>
              <w:jc w:val="center"/>
              <w:rPr>
                <w:b/>
              </w:rPr>
            </w:pPr>
          </w:p>
        </w:tc>
        <w:tc>
          <w:tcPr>
            <w:tcW w:w="1181" w:type="dxa"/>
            <w:tcBorders>
              <w:top w:val="single" w:sz="4" w:space="0" w:color="auto"/>
            </w:tcBorders>
            <w:vAlign w:val="center"/>
          </w:tcPr>
          <w:p w14:paraId="4A18BF56" w14:textId="77777777" w:rsidR="00F01CB8" w:rsidRDefault="00F01CB8" w:rsidP="00C26519">
            <w:pPr>
              <w:pStyle w:val="TableText0"/>
              <w:spacing w:before="0" w:after="0"/>
              <w:jc w:val="center"/>
              <w:rPr>
                <w:b/>
              </w:rPr>
            </w:pPr>
            <w:r>
              <w:rPr>
                <w:b/>
              </w:rPr>
              <w:t>X</w:t>
            </w:r>
          </w:p>
        </w:tc>
      </w:tr>
      <w:tr w:rsidR="00F01CB8" w14:paraId="4800DEAF" w14:textId="77777777" w:rsidTr="00C26519">
        <w:trPr>
          <w:jc w:val="center"/>
        </w:trPr>
        <w:tc>
          <w:tcPr>
            <w:tcW w:w="2160" w:type="dxa"/>
            <w:vAlign w:val="center"/>
          </w:tcPr>
          <w:p w14:paraId="3BBCF6B6" w14:textId="77777777" w:rsidR="00F01CB8" w:rsidRDefault="00F01CB8" w:rsidP="00C26519">
            <w:pPr>
              <w:pStyle w:val="TableText0"/>
              <w:spacing w:before="0" w:after="0"/>
            </w:pPr>
            <w:r>
              <w:t>MIGR/WILD/RARE</w:t>
            </w:r>
          </w:p>
        </w:tc>
        <w:tc>
          <w:tcPr>
            <w:tcW w:w="1180" w:type="dxa"/>
            <w:vAlign w:val="center"/>
          </w:tcPr>
          <w:p w14:paraId="5B517ACF" w14:textId="77777777" w:rsidR="00F01CB8" w:rsidRDefault="00F01CB8" w:rsidP="00C26519">
            <w:pPr>
              <w:pStyle w:val="TableText0"/>
              <w:spacing w:before="0" w:after="0"/>
              <w:jc w:val="center"/>
              <w:rPr>
                <w:b/>
              </w:rPr>
            </w:pPr>
            <w:r>
              <w:rPr>
                <w:b/>
              </w:rPr>
              <w:t>X</w:t>
            </w:r>
          </w:p>
        </w:tc>
        <w:tc>
          <w:tcPr>
            <w:tcW w:w="1340" w:type="dxa"/>
            <w:vAlign w:val="center"/>
          </w:tcPr>
          <w:p w14:paraId="5FE1371B" w14:textId="77777777" w:rsidR="00F01CB8" w:rsidRDefault="00F01CB8" w:rsidP="00C26519">
            <w:pPr>
              <w:pStyle w:val="TableText0"/>
              <w:spacing w:before="0" w:after="0"/>
              <w:jc w:val="center"/>
              <w:rPr>
                <w:b/>
              </w:rPr>
            </w:pPr>
            <w:r>
              <w:rPr>
                <w:b/>
              </w:rPr>
              <w:t>X</w:t>
            </w:r>
          </w:p>
        </w:tc>
        <w:tc>
          <w:tcPr>
            <w:tcW w:w="1181" w:type="dxa"/>
            <w:vAlign w:val="center"/>
          </w:tcPr>
          <w:p w14:paraId="5E0BF3D4" w14:textId="77777777" w:rsidR="00F01CB8" w:rsidRDefault="00F01CB8" w:rsidP="00C26519">
            <w:pPr>
              <w:pStyle w:val="TableText0"/>
              <w:spacing w:before="0" w:after="0"/>
              <w:jc w:val="center"/>
              <w:rPr>
                <w:b/>
              </w:rPr>
            </w:pPr>
            <w:r>
              <w:rPr>
                <w:b/>
              </w:rPr>
              <w:t>X</w:t>
            </w:r>
          </w:p>
        </w:tc>
        <w:tc>
          <w:tcPr>
            <w:tcW w:w="1180" w:type="dxa"/>
            <w:vAlign w:val="center"/>
          </w:tcPr>
          <w:p w14:paraId="0B95F0DF" w14:textId="77777777" w:rsidR="00F01CB8" w:rsidRDefault="00F01CB8" w:rsidP="00C26519">
            <w:pPr>
              <w:pStyle w:val="TableText0"/>
              <w:spacing w:before="0" w:after="0"/>
              <w:jc w:val="center"/>
              <w:rPr>
                <w:b/>
              </w:rPr>
            </w:pPr>
          </w:p>
        </w:tc>
        <w:tc>
          <w:tcPr>
            <w:tcW w:w="1180" w:type="dxa"/>
            <w:vAlign w:val="center"/>
          </w:tcPr>
          <w:p w14:paraId="12466139" w14:textId="77777777" w:rsidR="00F01CB8" w:rsidRPr="008A0924" w:rsidRDefault="00F01CB8" w:rsidP="00C26519">
            <w:pPr>
              <w:pStyle w:val="TableText0"/>
              <w:spacing w:before="0" w:after="0"/>
              <w:jc w:val="center"/>
              <w:rPr>
                <w:b/>
              </w:rPr>
            </w:pPr>
          </w:p>
        </w:tc>
        <w:tc>
          <w:tcPr>
            <w:tcW w:w="1181" w:type="dxa"/>
            <w:vAlign w:val="center"/>
          </w:tcPr>
          <w:p w14:paraId="310C82C0" w14:textId="77777777" w:rsidR="00F01CB8" w:rsidRDefault="00F01CB8" w:rsidP="00C26519">
            <w:pPr>
              <w:pStyle w:val="TableText0"/>
              <w:spacing w:before="0" w:after="0"/>
              <w:jc w:val="center"/>
              <w:rPr>
                <w:b/>
              </w:rPr>
            </w:pPr>
            <w:r>
              <w:rPr>
                <w:b/>
              </w:rPr>
              <w:t>X</w:t>
            </w:r>
          </w:p>
        </w:tc>
      </w:tr>
      <w:tr w:rsidR="00F01CB8" w14:paraId="55570EA4" w14:textId="77777777" w:rsidTr="00C26519">
        <w:trPr>
          <w:jc w:val="center"/>
        </w:trPr>
        <w:tc>
          <w:tcPr>
            <w:tcW w:w="2160" w:type="dxa"/>
            <w:vAlign w:val="center"/>
          </w:tcPr>
          <w:p w14:paraId="646BBEBB" w14:textId="77777777" w:rsidR="00F01CB8" w:rsidRPr="008A0924" w:rsidRDefault="00F01CB8" w:rsidP="00C26519">
            <w:pPr>
              <w:pStyle w:val="TableText0"/>
              <w:spacing w:before="0" w:after="0"/>
            </w:pPr>
            <w:r>
              <w:t>COMM/SHELL/AQUA</w:t>
            </w:r>
          </w:p>
        </w:tc>
        <w:tc>
          <w:tcPr>
            <w:tcW w:w="1180" w:type="dxa"/>
            <w:vAlign w:val="center"/>
          </w:tcPr>
          <w:p w14:paraId="14810000" w14:textId="77777777" w:rsidR="00F01CB8" w:rsidRPr="008A0924" w:rsidRDefault="00F01CB8" w:rsidP="00C26519">
            <w:pPr>
              <w:pStyle w:val="TableText0"/>
              <w:spacing w:before="0" w:after="0"/>
              <w:jc w:val="center"/>
              <w:rPr>
                <w:b/>
              </w:rPr>
            </w:pPr>
            <w:r>
              <w:rPr>
                <w:b/>
              </w:rPr>
              <w:t>X</w:t>
            </w:r>
          </w:p>
        </w:tc>
        <w:tc>
          <w:tcPr>
            <w:tcW w:w="1340" w:type="dxa"/>
            <w:vAlign w:val="center"/>
          </w:tcPr>
          <w:p w14:paraId="33E9C157" w14:textId="77777777" w:rsidR="00F01CB8" w:rsidRPr="008A0924" w:rsidRDefault="00F01CB8" w:rsidP="00C26519">
            <w:pPr>
              <w:pStyle w:val="TableText0"/>
              <w:spacing w:before="0" w:after="0"/>
              <w:jc w:val="center"/>
              <w:rPr>
                <w:b/>
              </w:rPr>
            </w:pPr>
            <w:r>
              <w:rPr>
                <w:b/>
              </w:rPr>
              <w:t>X</w:t>
            </w:r>
          </w:p>
        </w:tc>
        <w:tc>
          <w:tcPr>
            <w:tcW w:w="1181" w:type="dxa"/>
            <w:vAlign w:val="center"/>
          </w:tcPr>
          <w:p w14:paraId="29AAE912" w14:textId="77777777" w:rsidR="00F01CB8" w:rsidRPr="008A0924" w:rsidRDefault="00F01CB8" w:rsidP="00C26519">
            <w:pPr>
              <w:pStyle w:val="TableText0"/>
              <w:spacing w:before="0" w:after="0"/>
              <w:jc w:val="center"/>
              <w:rPr>
                <w:b/>
              </w:rPr>
            </w:pPr>
          </w:p>
        </w:tc>
        <w:tc>
          <w:tcPr>
            <w:tcW w:w="1180" w:type="dxa"/>
            <w:vAlign w:val="center"/>
          </w:tcPr>
          <w:p w14:paraId="1CBC0F70" w14:textId="77777777" w:rsidR="00F01CB8" w:rsidRPr="008A0924" w:rsidRDefault="00F01CB8" w:rsidP="00C26519">
            <w:pPr>
              <w:pStyle w:val="TableText0"/>
              <w:spacing w:before="0" w:after="0"/>
              <w:jc w:val="center"/>
              <w:rPr>
                <w:b/>
              </w:rPr>
            </w:pPr>
          </w:p>
        </w:tc>
        <w:tc>
          <w:tcPr>
            <w:tcW w:w="1180" w:type="dxa"/>
            <w:vAlign w:val="center"/>
          </w:tcPr>
          <w:p w14:paraId="75A9027E" w14:textId="77777777" w:rsidR="00F01CB8" w:rsidRPr="008A0924" w:rsidRDefault="00F01CB8" w:rsidP="00C26519">
            <w:pPr>
              <w:pStyle w:val="TableText0"/>
              <w:spacing w:before="0" w:after="0"/>
              <w:jc w:val="center"/>
              <w:rPr>
                <w:b/>
              </w:rPr>
            </w:pPr>
          </w:p>
        </w:tc>
        <w:tc>
          <w:tcPr>
            <w:tcW w:w="1181" w:type="dxa"/>
            <w:vAlign w:val="center"/>
          </w:tcPr>
          <w:p w14:paraId="6FD18E90" w14:textId="77777777" w:rsidR="00F01CB8" w:rsidRPr="008A0924" w:rsidRDefault="00F01CB8" w:rsidP="00C26519">
            <w:pPr>
              <w:pStyle w:val="TableText0"/>
              <w:spacing w:before="0" w:after="0"/>
              <w:jc w:val="center"/>
              <w:rPr>
                <w:b/>
              </w:rPr>
            </w:pPr>
            <w:r>
              <w:rPr>
                <w:b/>
              </w:rPr>
              <w:t>X</w:t>
            </w:r>
          </w:p>
        </w:tc>
      </w:tr>
      <w:tr w:rsidR="00F01CB8" w14:paraId="4DB1A192" w14:textId="77777777" w:rsidTr="00C26519">
        <w:trPr>
          <w:jc w:val="center"/>
        </w:trPr>
        <w:tc>
          <w:tcPr>
            <w:tcW w:w="2160" w:type="dxa"/>
            <w:vAlign w:val="center"/>
          </w:tcPr>
          <w:p w14:paraId="07D98BD0" w14:textId="77777777" w:rsidR="00F01CB8" w:rsidRPr="008A0924" w:rsidRDefault="00F01CB8" w:rsidP="00C26519">
            <w:pPr>
              <w:pStyle w:val="TableText0"/>
              <w:spacing w:before="0" w:after="0"/>
            </w:pPr>
            <w:r>
              <w:t>TRIB/CULT</w:t>
            </w:r>
          </w:p>
        </w:tc>
        <w:tc>
          <w:tcPr>
            <w:tcW w:w="1180" w:type="dxa"/>
            <w:vAlign w:val="center"/>
          </w:tcPr>
          <w:p w14:paraId="3FD5630F" w14:textId="77777777" w:rsidR="00F01CB8" w:rsidRPr="008A0924" w:rsidRDefault="00F01CB8" w:rsidP="00C26519">
            <w:pPr>
              <w:pStyle w:val="TableText0"/>
              <w:spacing w:before="0" w:after="0"/>
              <w:jc w:val="center"/>
              <w:rPr>
                <w:b/>
              </w:rPr>
            </w:pPr>
            <w:r>
              <w:rPr>
                <w:b/>
              </w:rPr>
              <w:t>X</w:t>
            </w:r>
          </w:p>
        </w:tc>
        <w:tc>
          <w:tcPr>
            <w:tcW w:w="1340" w:type="dxa"/>
            <w:vAlign w:val="center"/>
          </w:tcPr>
          <w:p w14:paraId="78460EA3" w14:textId="77777777" w:rsidR="00F01CB8" w:rsidRPr="008A0924" w:rsidRDefault="00F01CB8" w:rsidP="00C26519">
            <w:pPr>
              <w:pStyle w:val="TableText0"/>
              <w:spacing w:before="0" w:after="0"/>
              <w:jc w:val="center"/>
              <w:rPr>
                <w:b/>
              </w:rPr>
            </w:pPr>
            <w:r>
              <w:rPr>
                <w:b/>
              </w:rPr>
              <w:t>X</w:t>
            </w:r>
          </w:p>
        </w:tc>
        <w:tc>
          <w:tcPr>
            <w:tcW w:w="1181" w:type="dxa"/>
            <w:vAlign w:val="center"/>
          </w:tcPr>
          <w:p w14:paraId="32AC7B67" w14:textId="77777777" w:rsidR="00F01CB8" w:rsidRPr="008A0924" w:rsidRDefault="00F01CB8" w:rsidP="00C26519">
            <w:pPr>
              <w:pStyle w:val="TableText0"/>
              <w:spacing w:before="0" w:after="0"/>
              <w:jc w:val="center"/>
              <w:rPr>
                <w:b/>
              </w:rPr>
            </w:pPr>
            <w:r>
              <w:rPr>
                <w:b/>
              </w:rPr>
              <w:t>X</w:t>
            </w:r>
          </w:p>
        </w:tc>
        <w:tc>
          <w:tcPr>
            <w:tcW w:w="1180" w:type="dxa"/>
            <w:vAlign w:val="center"/>
          </w:tcPr>
          <w:p w14:paraId="1E06DF62" w14:textId="77777777" w:rsidR="00F01CB8" w:rsidRPr="008A0924" w:rsidRDefault="00F01CB8" w:rsidP="00C26519">
            <w:pPr>
              <w:pStyle w:val="TableText0"/>
              <w:spacing w:before="0" w:after="0"/>
              <w:jc w:val="center"/>
              <w:rPr>
                <w:b/>
              </w:rPr>
            </w:pPr>
            <w:r>
              <w:rPr>
                <w:b/>
              </w:rPr>
              <w:t>X</w:t>
            </w:r>
          </w:p>
        </w:tc>
        <w:tc>
          <w:tcPr>
            <w:tcW w:w="1180" w:type="dxa"/>
            <w:vAlign w:val="center"/>
          </w:tcPr>
          <w:p w14:paraId="08B47897" w14:textId="77777777" w:rsidR="00F01CB8" w:rsidRPr="008A0924" w:rsidRDefault="00F01CB8" w:rsidP="00C26519">
            <w:pPr>
              <w:pStyle w:val="TableText0"/>
              <w:spacing w:before="0" w:after="0"/>
              <w:jc w:val="center"/>
              <w:rPr>
                <w:b/>
              </w:rPr>
            </w:pPr>
            <w:r>
              <w:rPr>
                <w:b/>
              </w:rPr>
              <w:t>X</w:t>
            </w:r>
          </w:p>
        </w:tc>
        <w:tc>
          <w:tcPr>
            <w:tcW w:w="1181" w:type="dxa"/>
            <w:vAlign w:val="center"/>
          </w:tcPr>
          <w:p w14:paraId="0E82DEFF" w14:textId="77777777" w:rsidR="00F01CB8" w:rsidRPr="008A0924" w:rsidRDefault="00F01CB8" w:rsidP="00C26519">
            <w:pPr>
              <w:pStyle w:val="TableText0"/>
              <w:spacing w:before="0" w:after="0"/>
              <w:jc w:val="center"/>
              <w:rPr>
                <w:b/>
              </w:rPr>
            </w:pPr>
            <w:r>
              <w:rPr>
                <w:b/>
              </w:rPr>
              <w:t>X</w:t>
            </w:r>
          </w:p>
        </w:tc>
      </w:tr>
      <w:tr w:rsidR="00F01CB8" w14:paraId="65F1058E" w14:textId="77777777" w:rsidTr="00C26519">
        <w:trPr>
          <w:jc w:val="center"/>
        </w:trPr>
        <w:tc>
          <w:tcPr>
            <w:tcW w:w="2160" w:type="dxa"/>
            <w:vAlign w:val="center"/>
          </w:tcPr>
          <w:p w14:paraId="32903C13" w14:textId="77777777" w:rsidR="00F01CB8" w:rsidRPr="008A0924" w:rsidRDefault="00F01CB8" w:rsidP="00C26519">
            <w:pPr>
              <w:pStyle w:val="TableText0"/>
              <w:spacing w:before="0" w:after="0"/>
            </w:pPr>
            <w:r w:rsidRPr="008A0924">
              <w:t>MUN</w:t>
            </w:r>
          </w:p>
        </w:tc>
        <w:tc>
          <w:tcPr>
            <w:tcW w:w="1180" w:type="dxa"/>
            <w:vAlign w:val="center"/>
          </w:tcPr>
          <w:p w14:paraId="625D7D2B" w14:textId="77777777" w:rsidR="00F01CB8" w:rsidRPr="008A0924" w:rsidRDefault="00F01CB8" w:rsidP="00C26519">
            <w:pPr>
              <w:pStyle w:val="TableText0"/>
              <w:spacing w:before="0" w:after="0"/>
              <w:jc w:val="center"/>
              <w:rPr>
                <w:b/>
              </w:rPr>
            </w:pPr>
          </w:p>
        </w:tc>
        <w:tc>
          <w:tcPr>
            <w:tcW w:w="1340" w:type="dxa"/>
            <w:vAlign w:val="center"/>
          </w:tcPr>
          <w:p w14:paraId="3797B369" w14:textId="77777777" w:rsidR="00F01CB8" w:rsidRPr="008A0924" w:rsidRDefault="00F01CB8" w:rsidP="00C26519">
            <w:pPr>
              <w:pStyle w:val="TableText0"/>
              <w:spacing w:before="0" w:after="0"/>
              <w:jc w:val="center"/>
              <w:rPr>
                <w:b/>
              </w:rPr>
            </w:pPr>
          </w:p>
        </w:tc>
        <w:tc>
          <w:tcPr>
            <w:tcW w:w="1181" w:type="dxa"/>
            <w:vAlign w:val="center"/>
          </w:tcPr>
          <w:p w14:paraId="51CAA659" w14:textId="77777777" w:rsidR="00F01CB8" w:rsidRPr="008A0924" w:rsidRDefault="00F01CB8" w:rsidP="00C26519">
            <w:pPr>
              <w:pStyle w:val="TableText0"/>
              <w:spacing w:before="0" w:after="0"/>
              <w:jc w:val="center"/>
              <w:rPr>
                <w:b/>
              </w:rPr>
            </w:pPr>
            <w:r>
              <w:rPr>
                <w:b/>
              </w:rPr>
              <w:t>X</w:t>
            </w:r>
          </w:p>
        </w:tc>
        <w:tc>
          <w:tcPr>
            <w:tcW w:w="1180" w:type="dxa"/>
            <w:vAlign w:val="center"/>
          </w:tcPr>
          <w:p w14:paraId="665C910D" w14:textId="77777777" w:rsidR="00F01CB8" w:rsidRPr="008A0924" w:rsidRDefault="00F01CB8" w:rsidP="00C26519">
            <w:pPr>
              <w:pStyle w:val="TableText0"/>
              <w:spacing w:before="0" w:after="0"/>
              <w:jc w:val="center"/>
              <w:rPr>
                <w:b/>
              </w:rPr>
            </w:pPr>
          </w:p>
        </w:tc>
        <w:tc>
          <w:tcPr>
            <w:tcW w:w="1180" w:type="dxa"/>
            <w:vAlign w:val="center"/>
          </w:tcPr>
          <w:p w14:paraId="08358F12" w14:textId="77777777" w:rsidR="00F01CB8" w:rsidRPr="008A0924" w:rsidRDefault="00F01CB8" w:rsidP="00C26519">
            <w:pPr>
              <w:pStyle w:val="TableText0"/>
              <w:spacing w:before="0" w:after="0"/>
              <w:jc w:val="center"/>
              <w:rPr>
                <w:b/>
              </w:rPr>
            </w:pPr>
            <w:r>
              <w:rPr>
                <w:b/>
              </w:rPr>
              <w:t>X</w:t>
            </w:r>
          </w:p>
        </w:tc>
        <w:tc>
          <w:tcPr>
            <w:tcW w:w="1181" w:type="dxa"/>
            <w:vAlign w:val="center"/>
          </w:tcPr>
          <w:p w14:paraId="09BE55DF" w14:textId="77777777" w:rsidR="00F01CB8" w:rsidRPr="008A0924" w:rsidRDefault="00F01CB8" w:rsidP="00C26519">
            <w:pPr>
              <w:pStyle w:val="TableText0"/>
              <w:spacing w:before="0" w:after="0"/>
              <w:jc w:val="center"/>
              <w:rPr>
                <w:b/>
              </w:rPr>
            </w:pPr>
            <w:r>
              <w:rPr>
                <w:b/>
              </w:rPr>
              <w:t>X</w:t>
            </w:r>
          </w:p>
        </w:tc>
      </w:tr>
      <w:tr w:rsidR="00F01CB8" w14:paraId="0D069FAA" w14:textId="77777777" w:rsidTr="00C26519">
        <w:trPr>
          <w:jc w:val="center"/>
        </w:trPr>
        <w:tc>
          <w:tcPr>
            <w:tcW w:w="2160" w:type="dxa"/>
            <w:vAlign w:val="center"/>
          </w:tcPr>
          <w:p w14:paraId="6A6F059B" w14:textId="77777777" w:rsidR="00F01CB8" w:rsidRPr="008A0924" w:rsidRDefault="00F01CB8" w:rsidP="00C26519">
            <w:pPr>
              <w:pStyle w:val="TableText0"/>
              <w:spacing w:before="0" w:after="0"/>
            </w:pPr>
            <w:r>
              <w:t>IND</w:t>
            </w:r>
          </w:p>
        </w:tc>
        <w:tc>
          <w:tcPr>
            <w:tcW w:w="1180" w:type="dxa"/>
            <w:vAlign w:val="center"/>
          </w:tcPr>
          <w:p w14:paraId="4036F02A" w14:textId="77777777" w:rsidR="00F01CB8" w:rsidRPr="008A0924" w:rsidRDefault="00F01CB8" w:rsidP="00C26519">
            <w:pPr>
              <w:pStyle w:val="TableText0"/>
              <w:spacing w:before="0" w:after="0"/>
              <w:jc w:val="center"/>
              <w:rPr>
                <w:b/>
              </w:rPr>
            </w:pPr>
          </w:p>
        </w:tc>
        <w:tc>
          <w:tcPr>
            <w:tcW w:w="1340" w:type="dxa"/>
            <w:vAlign w:val="center"/>
          </w:tcPr>
          <w:p w14:paraId="16A84178" w14:textId="77777777" w:rsidR="00F01CB8" w:rsidRPr="008A0924" w:rsidRDefault="00F01CB8" w:rsidP="00C26519">
            <w:pPr>
              <w:pStyle w:val="TableText0"/>
              <w:spacing w:before="0" w:after="0"/>
              <w:jc w:val="center"/>
              <w:rPr>
                <w:b/>
              </w:rPr>
            </w:pPr>
          </w:p>
        </w:tc>
        <w:tc>
          <w:tcPr>
            <w:tcW w:w="1181" w:type="dxa"/>
            <w:vAlign w:val="center"/>
          </w:tcPr>
          <w:p w14:paraId="4FE453A3" w14:textId="77777777" w:rsidR="00F01CB8" w:rsidRPr="008A0924" w:rsidRDefault="00F01CB8" w:rsidP="00C26519">
            <w:pPr>
              <w:pStyle w:val="TableText0"/>
              <w:spacing w:before="0" w:after="0"/>
              <w:jc w:val="center"/>
              <w:rPr>
                <w:b/>
              </w:rPr>
            </w:pPr>
          </w:p>
        </w:tc>
        <w:tc>
          <w:tcPr>
            <w:tcW w:w="1180" w:type="dxa"/>
            <w:vAlign w:val="center"/>
          </w:tcPr>
          <w:p w14:paraId="05697327" w14:textId="77777777" w:rsidR="00F01CB8" w:rsidRPr="008A0924" w:rsidRDefault="00F01CB8" w:rsidP="00C26519">
            <w:pPr>
              <w:pStyle w:val="TableText0"/>
              <w:spacing w:before="0" w:after="0"/>
              <w:jc w:val="center"/>
              <w:rPr>
                <w:b/>
              </w:rPr>
            </w:pPr>
          </w:p>
        </w:tc>
        <w:tc>
          <w:tcPr>
            <w:tcW w:w="1180" w:type="dxa"/>
            <w:vAlign w:val="center"/>
          </w:tcPr>
          <w:p w14:paraId="397357F7" w14:textId="77777777" w:rsidR="00F01CB8" w:rsidRPr="008A0924" w:rsidRDefault="00F01CB8" w:rsidP="00C26519">
            <w:pPr>
              <w:pStyle w:val="TableText0"/>
              <w:spacing w:before="0" w:after="0"/>
              <w:jc w:val="center"/>
              <w:rPr>
                <w:b/>
              </w:rPr>
            </w:pPr>
            <w:r>
              <w:rPr>
                <w:b/>
              </w:rPr>
              <w:t>X</w:t>
            </w:r>
          </w:p>
        </w:tc>
        <w:tc>
          <w:tcPr>
            <w:tcW w:w="1181" w:type="dxa"/>
            <w:vAlign w:val="center"/>
          </w:tcPr>
          <w:p w14:paraId="19026C6F" w14:textId="77777777" w:rsidR="00F01CB8" w:rsidRPr="008A0924" w:rsidRDefault="00F01CB8" w:rsidP="00C26519">
            <w:pPr>
              <w:pStyle w:val="TableText0"/>
              <w:spacing w:before="0" w:after="0"/>
              <w:jc w:val="center"/>
              <w:rPr>
                <w:b/>
              </w:rPr>
            </w:pPr>
          </w:p>
        </w:tc>
      </w:tr>
      <w:tr w:rsidR="00F01CB8" w14:paraId="48987EF3" w14:textId="77777777" w:rsidTr="00C26519">
        <w:trPr>
          <w:jc w:val="center"/>
        </w:trPr>
        <w:tc>
          <w:tcPr>
            <w:tcW w:w="2160" w:type="dxa"/>
            <w:vAlign w:val="center"/>
          </w:tcPr>
          <w:p w14:paraId="5227FF38" w14:textId="77777777" w:rsidR="00F01CB8" w:rsidRDefault="00F01CB8" w:rsidP="00C26519">
            <w:pPr>
              <w:pStyle w:val="TableText0"/>
              <w:spacing w:before="0" w:after="0"/>
            </w:pPr>
            <w:r w:rsidRPr="008A0924">
              <w:t>REC-1</w:t>
            </w:r>
          </w:p>
        </w:tc>
        <w:tc>
          <w:tcPr>
            <w:tcW w:w="1180" w:type="dxa"/>
            <w:vAlign w:val="center"/>
          </w:tcPr>
          <w:p w14:paraId="6376E59A" w14:textId="77777777" w:rsidR="00F01CB8" w:rsidRDefault="00F01CB8" w:rsidP="00C26519">
            <w:pPr>
              <w:pStyle w:val="TableText0"/>
              <w:spacing w:before="0" w:after="0"/>
              <w:jc w:val="center"/>
              <w:rPr>
                <w:b/>
              </w:rPr>
            </w:pPr>
          </w:p>
        </w:tc>
        <w:tc>
          <w:tcPr>
            <w:tcW w:w="1340" w:type="dxa"/>
            <w:vAlign w:val="center"/>
          </w:tcPr>
          <w:p w14:paraId="6353321D" w14:textId="77777777" w:rsidR="00F01CB8" w:rsidRDefault="00F01CB8" w:rsidP="00C26519">
            <w:pPr>
              <w:pStyle w:val="TableText0"/>
              <w:spacing w:before="0" w:after="0"/>
              <w:jc w:val="center"/>
              <w:rPr>
                <w:b/>
              </w:rPr>
            </w:pPr>
          </w:p>
        </w:tc>
        <w:tc>
          <w:tcPr>
            <w:tcW w:w="1181" w:type="dxa"/>
            <w:vAlign w:val="center"/>
          </w:tcPr>
          <w:p w14:paraId="09B67554" w14:textId="77777777" w:rsidR="00F01CB8" w:rsidRDefault="00F01CB8" w:rsidP="00C26519">
            <w:pPr>
              <w:pStyle w:val="TableText0"/>
              <w:spacing w:before="0" w:after="0"/>
              <w:jc w:val="center"/>
              <w:rPr>
                <w:b/>
              </w:rPr>
            </w:pPr>
            <w:r>
              <w:rPr>
                <w:b/>
              </w:rPr>
              <w:t>X</w:t>
            </w:r>
          </w:p>
        </w:tc>
        <w:tc>
          <w:tcPr>
            <w:tcW w:w="1180" w:type="dxa"/>
            <w:vAlign w:val="center"/>
          </w:tcPr>
          <w:p w14:paraId="37BFD57B" w14:textId="77777777" w:rsidR="00F01CB8" w:rsidRDefault="00F01CB8" w:rsidP="00C26519">
            <w:pPr>
              <w:pStyle w:val="TableText0"/>
              <w:spacing w:before="0" w:after="0"/>
              <w:jc w:val="center"/>
              <w:rPr>
                <w:b/>
              </w:rPr>
            </w:pPr>
          </w:p>
        </w:tc>
        <w:tc>
          <w:tcPr>
            <w:tcW w:w="1180" w:type="dxa"/>
            <w:vAlign w:val="center"/>
          </w:tcPr>
          <w:p w14:paraId="556DB1D7" w14:textId="77777777" w:rsidR="00F01CB8" w:rsidRPr="008A0924" w:rsidRDefault="00F01CB8" w:rsidP="00C26519">
            <w:pPr>
              <w:pStyle w:val="TableText0"/>
              <w:spacing w:before="0" w:after="0"/>
              <w:jc w:val="center"/>
              <w:rPr>
                <w:b/>
              </w:rPr>
            </w:pPr>
          </w:p>
        </w:tc>
        <w:tc>
          <w:tcPr>
            <w:tcW w:w="1181" w:type="dxa"/>
            <w:vAlign w:val="center"/>
          </w:tcPr>
          <w:p w14:paraId="6C4C5CFE" w14:textId="77777777" w:rsidR="00F01CB8" w:rsidRDefault="00F01CB8" w:rsidP="00C26519">
            <w:pPr>
              <w:pStyle w:val="TableText0"/>
              <w:spacing w:before="0" w:after="0"/>
              <w:jc w:val="center"/>
              <w:rPr>
                <w:b/>
              </w:rPr>
            </w:pPr>
            <w:r>
              <w:rPr>
                <w:b/>
              </w:rPr>
              <w:t>X</w:t>
            </w:r>
          </w:p>
        </w:tc>
      </w:tr>
      <w:tr w:rsidR="00F01CB8" w14:paraId="6F615C38" w14:textId="77777777" w:rsidTr="00C26519">
        <w:trPr>
          <w:jc w:val="center"/>
        </w:trPr>
        <w:tc>
          <w:tcPr>
            <w:tcW w:w="2160" w:type="dxa"/>
            <w:vAlign w:val="center"/>
          </w:tcPr>
          <w:p w14:paraId="1D4B01BA" w14:textId="77777777" w:rsidR="00F01CB8" w:rsidRPr="008A0924" w:rsidRDefault="00F01CB8" w:rsidP="00C26519">
            <w:pPr>
              <w:pStyle w:val="TableText0"/>
              <w:spacing w:before="0" w:after="0"/>
            </w:pPr>
            <w:r w:rsidRPr="008A0924">
              <w:t>REC-2</w:t>
            </w:r>
          </w:p>
        </w:tc>
        <w:tc>
          <w:tcPr>
            <w:tcW w:w="1180" w:type="dxa"/>
            <w:vAlign w:val="center"/>
          </w:tcPr>
          <w:p w14:paraId="618E010E" w14:textId="77777777" w:rsidR="00F01CB8" w:rsidRPr="008A0924" w:rsidRDefault="00F01CB8" w:rsidP="00C26519">
            <w:pPr>
              <w:pStyle w:val="TableText0"/>
              <w:spacing w:before="0" w:after="0"/>
              <w:jc w:val="center"/>
              <w:rPr>
                <w:b/>
              </w:rPr>
            </w:pPr>
            <w:r>
              <w:rPr>
                <w:b/>
              </w:rPr>
              <w:t>X</w:t>
            </w:r>
          </w:p>
        </w:tc>
        <w:tc>
          <w:tcPr>
            <w:tcW w:w="1340" w:type="dxa"/>
            <w:vAlign w:val="center"/>
          </w:tcPr>
          <w:p w14:paraId="1FCB50AD" w14:textId="77777777" w:rsidR="00F01CB8" w:rsidRPr="008A0924" w:rsidRDefault="00F01CB8" w:rsidP="00C26519">
            <w:pPr>
              <w:pStyle w:val="TableText0"/>
              <w:spacing w:before="0" w:after="0"/>
              <w:jc w:val="center"/>
              <w:rPr>
                <w:b/>
              </w:rPr>
            </w:pPr>
            <w:r>
              <w:rPr>
                <w:b/>
              </w:rPr>
              <w:t>X</w:t>
            </w:r>
          </w:p>
        </w:tc>
        <w:tc>
          <w:tcPr>
            <w:tcW w:w="1181" w:type="dxa"/>
            <w:vAlign w:val="center"/>
          </w:tcPr>
          <w:p w14:paraId="55E2C77A" w14:textId="77777777" w:rsidR="00F01CB8" w:rsidRPr="008A0924" w:rsidRDefault="00F01CB8" w:rsidP="00C26519">
            <w:pPr>
              <w:pStyle w:val="TableText0"/>
              <w:spacing w:before="0" w:after="0"/>
              <w:jc w:val="center"/>
              <w:rPr>
                <w:b/>
              </w:rPr>
            </w:pPr>
            <w:r>
              <w:rPr>
                <w:b/>
              </w:rPr>
              <w:t>X</w:t>
            </w:r>
          </w:p>
        </w:tc>
        <w:tc>
          <w:tcPr>
            <w:tcW w:w="1180" w:type="dxa"/>
            <w:vAlign w:val="center"/>
          </w:tcPr>
          <w:p w14:paraId="780B69DC" w14:textId="77777777" w:rsidR="00F01CB8" w:rsidRPr="008A0924" w:rsidRDefault="00F01CB8" w:rsidP="00C26519">
            <w:pPr>
              <w:pStyle w:val="TableText0"/>
              <w:spacing w:before="0" w:after="0"/>
              <w:jc w:val="center"/>
              <w:rPr>
                <w:b/>
              </w:rPr>
            </w:pPr>
            <w:r>
              <w:rPr>
                <w:b/>
              </w:rPr>
              <w:t>X</w:t>
            </w:r>
          </w:p>
        </w:tc>
        <w:tc>
          <w:tcPr>
            <w:tcW w:w="1180" w:type="dxa"/>
            <w:vAlign w:val="center"/>
          </w:tcPr>
          <w:p w14:paraId="68E91541" w14:textId="77777777" w:rsidR="00F01CB8" w:rsidRPr="008A0924" w:rsidRDefault="00F01CB8" w:rsidP="00C26519">
            <w:pPr>
              <w:pStyle w:val="TableText0"/>
              <w:spacing w:before="0" w:after="0"/>
              <w:jc w:val="center"/>
              <w:rPr>
                <w:b/>
              </w:rPr>
            </w:pPr>
          </w:p>
        </w:tc>
        <w:tc>
          <w:tcPr>
            <w:tcW w:w="1181" w:type="dxa"/>
            <w:vAlign w:val="center"/>
          </w:tcPr>
          <w:p w14:paraId="50E15406" w14:textId="77777777" w:rsidR="00F01CB8" w:rsidRPr="008A0924" w:rsidRDefault="00F01CB8" w:rsidP="00C26519">
            <w:pPr>
              <w:pStyle w:val="TableText0"/>
              <w:spacing w:before="0" w:after="0"/>
              <w:jc w:val="center"/>
              <w:rPr>
                <w:b/>
              </w:rPr>
            </w:pPr>
            <w:r>
              <w:rPr>
                <w:b/>
              </w:rPr>
              <w:t>X</w:t>
            </w:r>
          </w:p>
        </w:tc>
      </w:tr>
    </w:tbl>
    <w:p w14:paraId="051BBBB8" w14:textId="057F2134" w:rsidR="00F01CB8" w:rsidRDefault="00F01CB8" w:rsidP="00F01CB8">
      <w:pPr>
        <w:pStyle w:val="TableNotes"/>
      </w:pPr>
    </w:p>
    <w:p w14:paraId="792973DF" w14:textId="77777777" w:rsidR="000D497D" w:rsidRDefault="000D497D" w:rsidP="00F01CB8">
      <w:pPr>
        <w:pStyle w:val="TableNotes"/>
      </w:pPr>
    </w:p>
    <w:p w14:paraId="13FD4090" w14:textId="6EDA441D" w:rsidR="00F01CB8" w:rsidRDefault="00F01CB8" w:rsidP="00F01CB8">
      <w:pPr>
        <w:jc w:val="both"/>
      </w:pPr>
      <w:r>
        <w:rPr>
          <w:b/>
        </w:rPr>
        <w:t xml:space="preserve">2. </w:t>
      </w:r>
      <w:r w:rsidRPr="00D122D4">
        <w:rPr>
          <w:b/>
        </w:rPr>
        <w:t>Several response indicators are recommended for use in eutrophication assessment, based on 1) a strong linkage to beneficial uses, 2) robust signal: noise in assessing eutrophication, 3)</w:t>
      </w:r>
      <w:r w:rsidRPr="00D46F8D">
        <w:rPr>
          <w:b/>
        </w:rPr>
        <w:t xml:space="preserve"> well vet</w:t>
      </w:r>
      <w:r>
        <w:rPr>
          <w:b/>
        </w:rPr>
        <w:t>t</w:t>
      </w:r>
      <w:r w:rsidRPr="00D46F8D">
        <w:rPr>
          <w:b/>
        </w:rPr>
        <w:t xml:space="preserve">ed SOP with accepted practices for interpretation and 4) can establish </w:t>
      </w:r>
      <w:r w:rsidRPr="003E3D4D">
        <w:rPr>
          <w:b/>
        </w:rPr>
        <w:t>the mechanistic linkage between the response indicator and biostimulatory substances and conditions</w:t>
      </w:r>
      <w:r w:rsidRPr="00D122D4" w:rsidDel="00CC5ECE">
        <w:rPr>
          <w:b/>
        </w:rPr>
        <w:t xml:space="preserve"> </w:t>
      </w:r>
      <w:r w:rsidRPr="00D46F8D">
        <w:rPr>
          <w:b/>
        </w:rPr>
        <w:t>via empirical or dynamic simulation models</w:t>
      </w:r>
      <w:r w:rsidRPr="00D122D4">
        <w:rPr>
          <w:b/>
        </w:rPr>
        <w:t>.</w:t>
      </w:r>
      <w:r>
        <w:rPr>
          <w:b/>
        </w:rPr>
        <w:t xml:space="preserve"> </w:t>
      </w:r>
      <w:r>
        <w:t>These indicators, with data on biostimulatory substances (TN and TP) and other biostimulatory drivers</w:t>
      </w:r>
      <w:r w:rsidR="000D497D">
        <w:t xml:space="preserve">, </w:t>
      </w:r>
      <w:r>
        <w:t xml:space="preserve">can be used provide a robust assessment of eutrophication. </w:t>
      </w:r>
    </w:p>
    <w:p w14:paraId="4674065E" w14:textId="464F23C1" w:rsidR="000D497D" w:rsidRDefault="000D497D">
      <w:pPr>
        <w:spacing w:after="0" w:line="240" w:lineRule="auto"/>
      </w:pPr>
      <w:r>
        <w:br w:type="page"/>
      </w:r>
    </w:p>
    <w:p w14:paraId="75A2890F" w14:textId="77777777" w:rsidR="00F01CB8" w:rsidRPr="0024050F" w:rsidRDefault="00F01CB8" w:rsidP="00F01CB8">
      <w:pPr>
        <w:spacing w:after="0" w:line="240" w:lineRule="auto"/>
        <w:contextualSpacing/>
        <w:rPr>
          <w:b/>
        </w:rPr>
      </w:pPr>
      <w:r w:rsidRPr="0024050F">
        <w:rPr>
          <w:b/>
        </w:rPr>
        <w:t xml:space="preserve">Summary of wadeable streams biostimulatory indicators recommended for use in wadeable streams biostimulatory assessment. Absence from list does not imply that other indicators cannot be used, based on expert judgment. Beneficial use (BU) type refers to major pathway of impact to aquatic life (AL) related uses or to human (H) uses. </w:t>
      </w:r>
    </w:p>
    <w:tbl>
      <w:tblPr>
        <w:tblW w:w="8820" w:type="dxa"/>
        <w:tblInd w:w="90" w:type="dxa"/>
        <w:tblBorders>
          <w:top w:val="single" w:sz="12" w:space="0" w:color="auto"/>
          <w:bottom w:val="single" w:sz="12" w:space="0" w:color="auto"/>
        </w:tblBorders>
        <w:tblLayout w:type="fixed"/>
        <w:tblCellMar>
          <w:top w:w="14" w:type="dxa"/>
          <w:left w:w="72" w:type="dxa"/>
          <w:bottom w:w="14" w:type="dxa"/>
          <w:right w:w="72" w:type="dxa"/>
        </w:tblCellMar>
        <w:tblLook w:val="00A0" w:firstRow="1" w:lastRow="0" w:firstColumn="1" w:lastColumn="0" w:noHBand="0" w:noVBand="0"/>
      </w:tblPr>
      <w:tblGrid>
        <w:gridCol w:w="4680"/>
        <w:gridCol w:w="1260"/>
        <w:gridCol w:w="1260"/>
        <w:gridCol w:w="1620"/>
      </w:tblGrid>
      <w:tr w:rsidR="00F01CB8" w:rsidRPr="008A0924" w14:paraId="76352E83" w14:textId="77777777" w:rsidTr="00C26519">
        <w:trPr>
          <w:tblHeader/>
        </w:trPr>
        <w:tc>
          <w:tcPr>
            <w:tcW w:w="4680" w:type="dxa"/>
            <w:tcBorders>
              <w:top w:val="single" w:sz="4" w:space="0" w:color="auto"/>
              <w:bottom w:val="single" w:sz="4" w:space="0" w:color="auto"/>
            </w:tcBorders>
            <w:shd w:val="clear" w:color="000080" w:fill="auto"/>
            <w:vAlign w:val="center"/>
          </w:tcPr>
          <w:p w14:paraId="7770FFDA" w14:textId="77777777" w:rsidR="00F01CB8" w:rsidRPr="008A0924" w:rsidRDefault="00F01CB8" w:rsidP="00C26519">
            <w:pPr>
              <w:pStyle w:val="TableHeading"/>
              <w:spacing w:before="0" w:after="0"/>
              <w:jc w:val="left"/>
            </w:pPr>
            <w:r>
              <w:t xml:space="preserve"> Indicator</w:t>
            </w:r>
          </w:p>
        </w:tc>
        <w:tc>
          <w:tcPr>
            <w:tcW w:w="1260" w:type="dxa"/>
            <w:tcBorders>
              <w:top w:val="single" w:sz="4" w:space="0" w:color="auto"/>
              <w:bottom w:val="single" w:sz="4" w:space="0" w:color="auto"/>
            </w:tcBorders>
            <w:shd w:val="clear" w:color="000080" w:fill="auto"/>
          </w:tcPr>
          <w:p w14:paraId="451454B1" w14:textId="77777777" w:rsidR="00F01CB8" w:rsidRDefault="00F01CB8" w:rsidP="00C26519">
            <w:pPr>
              <w:pStyle w:val="TableHeading"/>
              <w:spacing w:before="0" w:after="0"/>
            </w:pPr>
            <w:r>
              <w:t>Designation</w:t>
            </w:r>
          </w:p>
        </w:tc>
        <w:tc>
          <w:tcPr>
            <w:tcW w:w="1260" w:type="dxa"/>
            <w:tcBorders>
              <w:top w:val="single" w:sz="4" w:space="0" w:color="auto"/>
              <w:bottom w:val="single" w:sz="4" w:space="0" w:color="auto"/>
            </w:tcBorders>
            <w:shd w:val="clear" w:color="000080" w:fill="auto"/>
          </w:tcPr>
          <w:p w14:paraId="3801E5F0" w14:textId="77777777" w:rsidR="00F01CB8" w:rsidRDefault="00F01CB8" w:rsidP="00C26519">
            <w:pPr>
              <w:pStyle w:val="TableHeading"/>
              <w:spacing w:before="0" w:after="0"/>
            </w:pPr>
            <w:r>
              <w:t>BU Type</w:t>
            </w:r>
          </w:p>
        </w:tc>
        <w:tc>
          <w:tcPr>
            <w:tcW w:w="1620" w:type="dxa"/>
            <w:tcBorders>
              <w:top w:val="single" w:sz="4" w:space="0" w:color="auto"/>
              <w:bottom w:val="single" w:sz="4" w:space="0" w:color="auto"/>
            </w:tcBorders>
            <w:shd w:val="clear" w:color="000080" w:fill="auto"/>
          </w:tcPr>
          <w:p w14:paraId="3BDF07A6" w14:textId="77777777" w:rsidR="00F01CB8" w:rsidRDefault="00F01CB8" w:rsidP="00C26519">
            <w:pPr>
              <w:pStyle w:val="TableHeading"/>
              <w:spacing w:before="0" w:after="0"/>
            </w:pPr>
            <w:r>
              <w:t>Routinely Used in SWAMP PSA?</w:t>
            </w:r>
          </w:p>
        </w:tc>
      </w:tr>
      <w:tr w:rsidR="00F01CB8" w:rsidRPr="008A0924" w14:paraId="553DA067" w14:textId="77777777" w:rsidTr="00C26519">
        <w:tc>
          <w:tcPr>
            <w:tcW w:w="4680" w:type="dxa"/>
            <w:tcBorders>
              <w:top w:val="single" w:sz="4" w:space="0" w:color="auto"/>
            </w:tcBorders>
            <w:vAlign w:val="center"/>
          </w:tcPr>
          <w:p w14:paraId="7146552B" w14:textId="77777777" w:rsidR="00F01CB8" w:rsidRDefault="00F01CB8" w:rsidP="00C26519">
            <w:pPr>
              <w:pStyle w:val="TableText0"/>
              <w:spacing w:before="0" w:after="0"/>
              <w:ind w:left="14"/>
            </w:pPr>
            <w:r>
              <w:t>Organic matter accumulation</w:t>
            </w:r>
          </w:p>
        </w:tc>
        <w:tc>
          <w:tcPr>
            <w:tcW w:w="1260" w:type="dxa"/>
            <w:tcBorders>
              <w:top w:val="single" w:sz="4" w:space="0" w:color="auto"/>
            </w:tcBorders>
          </w:tcPr>
          <w:p w14:paraId="323E3CF2" w14:textId="77777777" w:rsidR="00F01CB8" w:rsidRDefault="00F01CB8" w:rsidP="00C26519">
            <w:pPr>
              <w:pStyle w:val="TableText0"/>
              <w:spacing w:before="0" w:after="0"/>
              <w:jc w:val="center"/>
              <w:rPr>
                <w:b/>
              </w:rPr>
            </w:pPr>
          </w:p>
        </w:tc>
        <w:tc>
          <w:tcPr>
            <w:tcW w:w="1260" w:type="dxa"/>
            <w:tcBorders>
              <w:top w:val="single" w:sz="4" w:space="0" w:color="auto"/>
            </w:tcBorders>
          </w:tcPr>
          <w:p w14:paraId="18B4E02A" w14:textId="77777777" w:rsidR="00F01CB8" w:rsidRDefault="00F01CB8" w:rsidP="00C26519">
            <w:pPr>
              <w:pStyle w:val="TableText0"/>
              <w:spacing w:before="0" w:after="0"/>
              <w:jc w:val="center"/>
              <w:rPr>
                <w:b/>
              </w:rPr>
            </w:pPr>
          </w:p>
        </w:tc>
        <w:tc>
          <w:tcPr>
            <w:tcW w:w="1620" w:type="dxa"/>
            <w:tcBorders>
              <w:top w:val="single" w:sz="4" w:space="0" w:color="auto"/>
            </w:tcBorders>
          </w:tcPr>
          <w:p w14:paraId="6E087356" w14:textId="77777777" w:rsidR="00F01CB8" w:rsidRDefault="00F01CB8" w:rsidP="00C26519">
            <w:pPr>
              <w:pStyle w:val="TableText0"/>
              <w:spacing w:before="0" w:after="0"/>
              <w:jc w:val="center"/>
              <w:rPr>
                <w:b/>
              </w:rPr>
            </w:pPr>
          </w:p>
        </w:tc>
      </w:tr>
      <w:tr w:rsidR="00F01CB8" w:rsidRPr="008A0924" w14:paraId="7D372A51" w14:textId="77777777" w:rsidTr="00C26519">
        <w:tc>
          <w:tcPr>
            <w:tcW w:w="4680" w:type="dxa"/>
            <w:tcBorders>
              <w:top w:val="single" w:sz="4" w:space="0" w:color="auto"/>
            </w:tcBorders>
            <w:vAlign w:val="center"/>
          </w:tcPr>
          <w:p w14:paraId="383F7A7E" w14:textId="77777777" w:rsidR="00F01CB8" w:rsidRDefault="00F01CB8" w:rsidP="00C26519">
            <w:pPr>
              <w:pStyle w:val="TableText0"/>
              <w:spacing w:before="0" w:after="0"/>
              <w:ind w:left="285"/>
            </w:pPr>
            <w:r>
              <w:t xml:space="preserve">Benthic algal biomass (benthic chl-a) </w:t>
            </w:r>
          </w:p>
        </w:tc>
        <w:tc>
          <w:tcPr>
            <w:tcW w:w="1260" w:type="dxa"/>
            <w:tcBorders>
              <w:top w:val="single" w:sz="4" w:space="0" w:color="auto"/>
            </w:tcBorders>
          </w:tcPr>
          <w:p w14:paraId="764AFCE7" w14:textId="77777777" w:rsidR="00F01CB8" w:rsidRPr="00870DCF" w:rsidRDefault="00F01CB8" w:rsidP="00C26519">
            <w:pPr>
              <w:pStyle w:val="TableText0"/>
              <w:spacing w:before="0" w:after="0"/>
              <w:jc w:val="center"/>
            </w:pPr>
            <w:r w:rsidRPr="00870DCF">
              <w:t>Primary</w:t>
            </w:r>
          </w:p>
        </w:tc>
        <w:tc>
          <w:tcPr>
            <w:tcW w:w="1260" w:type="dxa"/>
            <w:tcBorders>
              <w:top w:val="single" w:sz="4" w:space="0" w:color="auto"/>
            </w:tcBorders>
          </w:tcPr>
          <w:p w14:paraId="35D50E8C" w14:textId="77777777" w:rsidR="00F01CB8" w:rsidRPr="00870DCF" w:rsidRDefault="00F01CB8" w:rsidP="00C26519">
            <w:pPr>
              <w:pStyle w:val="TableText0"/>
              <w:spacing w:before="0" w:after="0"/>
              <w:jc w:val="center"/>
            </w:pPr>
            <w:r w:rsidRPr="00870DCF">
              <w:t>AL, H</w:t>
            </w:r>
          </w:p>
        </w:tc>
        <w:tc>
          <w:tcPr>
            <w:tcW w:w="1620" w:type="dxa"/>
            <w:tcBorders>
              <w:top w:val="single" w:sz="4" w:space="0" w:color="auto"/>
            </w:tcBorders>
          </w:tcPr>
          <w:p w14:paraId="499BE89A" w14:textId="77777777" w:rsidR="00F01CB8" w:rsidRPr="00870DCF" w:rsidRDefault="00F01CB8" w:rsidP="00C26519">
            <w:pPr>
              <w:pStyle w:val="TableText0"/>
              <w:spacing w:before="0" w:after="0"/>
              <w:jc w:val="center"/>
            </w:pPr>
            <w:r>
              <w:t>Y</w:t>
            </w:r>
          </w:p>
        </w:tc>
      </w:tr>
      <w:tr w:rsidR="00F01CB8" w:rsidRPr="008A0924" w14:paraId="2AC4AF9B" w14:textId="77777777" w:rsidTr="00C26519">
        <w:tc>
          <w:tcPr>
            <w:tcW w:w="4680" w:type="dxa"/>
            <w:tcBorders>
              <w:top w:val="single" w:sz="4" w:space="0" w:color="auto"/>
            </w:tcBorders>
            <w:vAlign w:val="center"/>
          </w:tcPr>
          <w:p w14:paraId="485F657A" w14:textId="77777777" w:rsidR="00F01CB8" w:rsidRDefault="00F01CB8" w:rsidP="00C26519">
            <w:pPr>
              <w:pStyle w:val="TableText0"/>
              <w:spacing w:before="0" w:after="0"/>
              <w:ind w:left="285"/>
            </w:pPr>
            <w:r>
              <w:t>Water column biomass (water column chl-a)</w:t>
            </w:r>
          </w:p>
        </w:tc>
        <w:tc>
          <w:tcPr>
            <w:tcW w:w="1260" w:type="dxa"/>
            <w:tcBorders>
              <w:top w:val="single" w:sz="4" w:space="0" w:color="auto"/>
            </w:tcBorders>
          </w:tcPr>
          <w:p w14:paraId="0EC4E37F" w14:textId="77777777" w:rsidR="00F01CB8" w:rsidRPr="00870DCF" w:rsidRDefault="00F01CB8" w:rsidP="00C26519">
            <w:pPr>
              <w:pStyle w:val="TableText0"/>
              <w:spacing w:before="0" w:after="0"/>
              <w:jc w:val="center"/>
            </w:pPr>
            <w:r w:rsidRPr="00870DCF">
              <w:t>Primary</w:t>
            </w:r>
          </w:p>
        </w:tc>
        <w:tc>
          <w:tcPr>
            <w:tcW w:w="1260" w:type="dxa"/>
            <w:tcBorders>
              <w:top w:val="single" w:sz="4" w:space="0" w:color="auto"/>
            </w:tcBorders>
          </w:tcPr>
          <w:p w14:paraId="32584160" w14:textId="77777777" w:rsidR="00F01CB8" w:rsidRPr="00870DCF" w:rsidRDefault="00F01CB8" w:rsidP="00C26519">
            <w:pPr>
              <w:pStyle w:val="TableText0"/>
              <w:spacing w:before="0" w:after="0"/>
              <w:jc w:val="center"/>
            </w:pPr>
            <w:r w:rsidRPr="00870DCF">
              <w:t>AL, H</w:t>
            </w:r>
          </w:p>
        </w:tc>
        <w:tc>
          <w:tcPr>
            <w:tcW w:w="1620" w:type="dxa"/>
            <w:tcBorders>
              <w:top w:val="single" w:sz="4" w:space="0" w:color="auto"/>
            </w:tcBorders>
          </w:tcPr>
          <w:p w14:paraId="7ED0C93A" w14:textId="77777777" w:rsidR="00F01CB8" w:rsidRPr="00870DCF" w:rsidRDefault="00F01CB8" w:rsidP="00C26519">
            <w:pPr>
              <w:pStyle w:val="TableText0"/>
              <w:spacing w:before="0" w:after="0"/>
              <w:jc w:val="center"/>
            </w:pPr>
          </w:p>
        </w:tc>
      </w:tr>
      <w:tr w:rsidR="00F01CB8" w:rsidRPr="008A0924" w14:paraId="769C87DF" w14:textId="77777777" w:rsidTr="00C26519">
        <w:tc>
          <w:tcPr>
            <w:tcW w:w="4680" w:type="dxa"/>
            <w:tcBorders>
              <w:top w:val="single" w:sz="4" w:space="0" w:color="auto"/>
            </w:tcBorders>
            <w:vAlign w:val="center"/>
          </w:tcPr>
          <w:p w14:paraId="569198C3" w14:textId="77777777" w:rsidR="00F01CB8" w:rsidRDefault="00F01CB8" w:rsidP="00C26519">
            <w:pPr>
              <w:pStyle w:val="TableText0"/>
              <w:spacing w:before="0" w:after="0"/>
              <w:ind w:left="285"/>
            </w:pPr>
            <w:r>
              <w:t xml:space="preserve">Benthic or floating macroalgal percent cover </w:t>
            </w:r>
          </w:p>
        </w:tc>
        <w:tc>
          <w:tcPr>
            <w:tcW w:w="1260" w:type="dxa"/>
            <w:tcBorders>
              <w:top w:val="single" w:sz="4" w:space="0" w:color="auto"/>
            </w:tcBorders>
          </w:tcPr>
          <w:p w14:paraId="2A9E474F" w14:textId="77777777" w:rsidR="00F01CB8" w:rsidRPr="00870DCF" w:rsidRDefault="00F01CB8" w:rsidP="00C26519">
            <w:pPr>
              <w:pStyle w:val="TableText0"/>
              <w:spacing w:before="0" w:after="0"/>
              <w:jc w:val="center"/>
            </w:pPr>
            <w:r>
              <w:t>Supporting</w:t>
            </w:r>
          </w:p>
        </w:tc>
        <w:tc>
          <w:tcPr>
            <w:tcW w:w="1260" w:type="dxa"/>
            <w:tcBorders>
              <w:top w:val="single" w:sz="4" w:space="0" w:color="auto"/>
            </w:tcBorders>
          </w:tcPr>
          <w:p w14:paraId="15226CB5" w14:textId="77777777" w:rsidR="00F01CB8" w:rsidRPr="00870DCF" w:rsidRDefault="00F01CB8" w:rsidP="00C26519">
            <w:pPr>
              <w:pStyle w:val="TableText0"/>
              <w:spacing w:before="0" w:after="0"/>
              <w:jc w:val="center"/>
            </w:pPr>
            <w:r w:rsidRPr="00870DCF">
              <w:t>H</w:t>
            </w:r>
          </w:p>
        </w:tc>
        <w:tc>
          <w:tcPr>
            <w:tcW w:w="1620" w:type="dxa"/>
            <w:tcBorders>
              <w:top w:val="single" w:sz="4" w:space="0" w:color="auto"/>
            </w:tcBorders>
          </w:tcPr>
          <w:p w14:paraId="64B10869" w14:textId="77777777" w:rsidR="00F01CB8" w:rsidRPr="00870DCF" w:rsidRDefault="00F01CB8" w:rsidP="00C26519">
            <w:pPr>
              <w:pStyle w:val="TableText0"/>
              <w:spacing w:before="0" w:after="0"/>
              <w:jc w:val="center"/>
            </w:pPr>
            <w:r>
              <w:t>Y</w:t>
            </w:r>
          </w:p>
        </w:tc>
      </w:tr>
      <w:tr w:rsidR="00F01CB8" w:rsidRPr="008A0924" w14:paraId="7FA3313F" w14:textId="77777777" w:rsidTr="00C26519">
        <w:tc>
          <w:tcPr>
            <w:tcW w:w="4680" w:type="dxa"/>
            <w:tcBorders>
              <w:top w:val="single" w:sz="4" w:space="0" w:color="auto"/>
            </w:tcBorders>
            <w:vAlign w:val="center"/>
          </w:tcPr>
          <w:p w14:paraId="6E156D25" w14:textId="77777777" w:rsidR="00F01CB8" w:rsidRDefault="00F01CB8" w:rsidP="00C26519">
            <w:pPr>
              <w:pStyle w:val="TableText0"/>
              <w:spacing w:before="0" w:after="0"/>
              <w:ind w:left="285"/>
            </w:pPr>
            <w:r>
              <w:t xml:space="preserve">Benthic AFDM </w:t>
            </w:r>
          </w:p>
        </w:tc>
        <w:tc>
          <w:tcPr>
            <w:tcW w:w="1260" w:type="dxa"/>
            <w:tcBorders>
              <w:top w:val="single" w:sz="4" w:space="0" w:color="auto"/>
            </w:tcBorders>
          </w:tcPr>
          <w:p w14:paraId="47091D73" w14:textId="77777777" w:rsidR="00F01CB8" w:rsidRPr="00870DCF" w:rsidRDefault="00F01CB8" w:rsidP="00C26519">
            <w:pPr>
              <w:pStyle w:val="TableText0"/>
              <w:spacing w:before="0" w:after="0"/>
              <w:jc w:val="center"/>
            </w:pPr>
            <w:r w:rsidRPr="00870DCF">
              <w:t>Primary</w:t>
            </w:r>
          </w:p>
        </w:tc>
        <w:tc>
          <w:tcPr>
            <w:tcW w:w="1260" w:type="dxa"/>
            <w:tcBorders>
              <w:top w:val="single" w:sz="4" w:space="0" w:color="auto"/>
            </w:tcBorders>
          </w:tcPr>
          <w:p w14:paraId="43BBAC1B" w14:textId="77777777" w:rsidR="00F01CB8" w:rsidRPr="00870DCF" w:rsidRDefault="00F01CB8" w:rsidP="00C26519">
            <w:pPr>
              <w:pStyle w:val="TableText0"/>
              <w:spacing w:before="0" w:after="0"/>
              <w:jc w:val="center"/>
            </w:pPr>
            <w:r w:rsidRPr="00870DCF">
              <w:t>AL</w:t>
            </w:r>
          </w:p>
        </w:tc>
        <w:tc>
          <w:tcPr>
            <w:tcW w:w="1620" w:type="dxa"/>
            <w:tcBorders>
              <w:top w:val="single" w:sz="4" w:space="0" w:color="auto"/>
            </w:tcBorders>
          </w:tcPr>
          <w:p w14:paraId="11C64DCB" w14:textId="77777777" w:rsidR="00F01CB8" w:rsidRPr="00870DCF" w:rsidRDefault="00F01CB8" w:rsidP="00C26519">
            <w:pPr>
              <w:pStyle w:val="TableText0"/>
              <w:spacing w:before="0" w:after="0"/>
              <w:jc w:val="center"/>
            </w:pPr>
            <w:r>
              <w:t>Y</w:t>
            </w:r>
          </w:p>
        </w:tc>
      </w:tr>
      <w:tr w:rsidR="00F01CB8" w:rsidRPr="008A0924" w14:paraId="324C8887" w14:textId="77777777" w:rsidTr="00C26519">
        <w:tc>
          <w:tcPr>
            <w:tcW w:w="4680" w:type="dxa"/>
            <w:tcBorders>
              <w:top w:val="single" w:sz="4" w:space="0" w:color="auto"/>
            </w:tcBorders>
            <w:vAlign w:val="center"/>
          </w:tcPr>
          <w:p w14:paraId="32A5292F" w14:textId="77777777" w:rsidR="00F01CB8" w:rsidRDefault="00F01CB8" w:rsidP="00C26519">
            <w:pPr>
              <w:pStyle w:val="TableText0"/>
              <w:spacing w:before="0" w:after="0"/>
              <w:ind w:firstLine="14"/>
            </w:pPr>
            <w:r>
              <w:t>Water column or benthic chemistry</w:t>
            </w:r>
          </w:p>
        </w:tc>
        <w:tc>
          <w:tcPr>
            <w:tcW w:w="1260" w:type="dxa"/>
            <w:tcBorders>
              <w:top w:val="single" w:sz="4" w:space="0" w:color="auto"/>
            </w:tcBorders>
          </w:tcPr>
          <w:p w14:paraId="0529CE1D" w14:textId="77777777" w:rsidR="00F01CB8" w:rsidRPr="00870DCF" w:rsidRDefault="00F01CB8" w:rsidP="00C26519">
            <w:pPr>
              <w:pStyle w:val="TableText0"/>
              <w:spacing w:before="0" w:after="0"/>
              <w:jc w:val="center"/>
            </w:pPr>
          </w:p>
        </w:tc>
        <w:tc>
          <w:tcPr>
            <w:tcW w:w="1260" w:type="dxa"/>
            <w:tcBorders>
              <w:top w:val="single" w:sz="4" w:space="0" w:color="auto"/>
            </w:tcBorders>
          </w:tcPr>
          <w:p w14:paraId="2FD4E070" w14:textId="77777777" w:rsidR="00F01CB8" w:rsidRPr="00870DCF" w:rsidRDefault="00F01CB8" w:rsidP="00C26519">
            <w:pPr>
              <w:pStyle w:val="TableText0"/>
              <w:spacing w:before="0" w:after="0"/>
              <w:jc w:val="center"/>
            </w:pPr>
          </w:p>
        </w:tc>
        <w:tc>
          <w:tcPr>
            <w:tcW w:w="1620" w:type="dxa"/>
            <w:tcBorders>
              <w:top w:val="single" w:sz="4" w:space="0" w:color="auto"/>
            </w:tcBorders>
          </w:tcPr>
          <w:p w14:paraId="14B3017B" w14:textId="77777777" w:rsidR="00F01CB8" w:rsidRPr="00870DCF" w:rsidRDefault="00F01CB8" w:rsidP="00C26519">
            <w:pPr>
              <w:pStyle w:val="TableText0"/>
              <w:spacing w:before="0" w:after="0"/>
              <w:jc w:val="center"/>
            </w:pPr>
          </w:p>
        </w:tc>
      </w:tr>
      <w:tr w:rsidR="00F01CB8" w:rsidRPr="008A0924" w14:paraId="4C5C7544" w14:textId="77777777" w:rsidTr="00C26519">
        <w:tc>
          <w:tcPr>
            <w:tcW w:w="4680" w:type="dxa"/>
            <w:tcBorders>
              <w:top w:val="single" w:sz="4" w:space="0" w:color="auto"/>
            </w:tcBorders>
            <w:vAlign w:val="center"/>
          </w:tcPr>
          <w:p w14:paraId="3D1E6967" w14:textId="77777777" w:rsidR="00F01CB8" w:rsidRDefault="00F01CB8" w:rsidP="00C26519">
            <w:pPr>
              <w:pStyle w:val="TableText0"/>
              <w:spacing w:before="0" w:after="0"/>
              <w:ind w:left="285"/>
            </w:pPr>
            <w:r>
              <w:t>Continuous DO and pH</w:t>
            </w:r>
          </w:p>
        </w:tc>
        <w:tc>
          <w:tcPr>
            <w:tcW w:w="1260" w:type="dxa"/>
            <w:tcBorders>
              <w:top w:val="single" w:sz="4" w:space="0" w:color="auto"/>
            </w:tcBorders>
          </w:tcPr>
          <w:p w14:paraId="52BE5D66" w14:textId="77777777" w:rsidR="00F01CB8" w:rsidRPr="00870DCF" w:rsidRDefault="00F01CB8" w:rsidP="00C26519">
            <w:pPr>
              <w:pStyle w:val="TableText0"/>
              <w:spacing w:before="0" w:after="0"/>
              <w:jc w:val="center"/>
            </w:pPr>
            <w:r w:rsidRPr="00870DCF">
              <w:t>Primary</w:t>
            </w:r>
          </w:p>
        </w:tc>
        <w:tc>
          <w:tcPr>
            <w:tcW w:w="1260" w:type="dxa"/>
            <w:tcBorders>
              <w:top w:val="single" w:sz="4" w:space="0" w:color="auto"/>
            </w:tcBorders>
          </w:tcPr>
          <w:p w14:paraId="6C11E8BF" w14:textId="77777777" w:rsidR="00F01CB8" w:rsidRPr="00870DCF" w:rsidRDefault="00F01CB8" w:rsidP="00C26519">
            <w:pPr>
              <w:pStyle w:val="TableText0"/>
              <w:spacing w:before="0" w:after="0"/>
              <w:jc w:val="center"/>
            </w:pPr>
            <w:r w:rsidRPr="00870DCF">
              <w:t>AL</w:t>
            </w:r>
          </w:p>
        </w:tc>
        <w:tc>
          <w:tcPr>
            <w:tcW w:w="1620" w:type="dxa"/>
            <w:tcBorders>
              <w:top w:val="single" w:sz="4" w:space="0" w:color="auto"/>
            </w:tcBorders>
          </w:tcPr>
          <w:p w14:paraId="061AC74C" w14:textId="77777777" w:rsidR="00F01CB8" w:rsidRPr="00870DCF" w:rsidRDefault="00F01CB8" w:rsidP="00C26519">
            <w:pPr>
              <w:pStyle w:val="TableText0"/>
              <w:spacing w:before="0" w:after="0"/>
              <w:jc w:val="center"/>
            </w:pPr>
          </w:p>
        </w:tc>
      </w:tr>
      <w:tr w:rsidR="00F01CB8" w:rsidRPr="008A0924" w14:paraId="0E21D36D" w14:textId="77777777" w:rsidTr="00C26519">
        <w:tc>
          <w:tcPr>
            <w:tcW w:w="4680" w:type="dxa"/>
            <w:tcBorders>
              <w:top w:val="single" w:sz="4" w:space="0" w:color="000000" w:themeColor="text1"/>
              <w:bottom w:val="single" w:sz="4" w:space="0" w:color="000000" w:themeColor="text1"/>
            </w:tcBorders>
            <w:vAlign w:val="center"/>
          </w:tcPr>
          <w:p w14:paraId="120B968F" w14:textId="77777777" w:rsidR="00F01CB8" w:rsidRDefault="00F01CB8" w:rsidP="00C26519">
            <w:pPr>
              <w:pStyle w:val="TableText0"/>
              <w:spacing w:before="0" w:after="0"/>
              <w:ind w:left="285"/>
            </w:pPr>
            <w:r>
              <w:t>DO Diel range</w:t>
            </w:r>
          </w:p>
        </w:tc>
        <w:tc>
          <w:tcPr>
            <w:tcW w:w="1260" w:type="dxa"/>
            <w:tcBorders>
              <w:top w:val="single" w:sz="4" w:space="0" w:color="000000" w:themeColor="text1"/>
              <w:bottom w:val="single" w:sz="4" w:space="0" w:color="000000" w:themeColor="text1"/>
            </w:tcBorders>
          </w:tcPr>
          <w:p w14:paraId="619BB228" w14:textId="77777777" w:rsidR="00F01CB8" w:rsidRPr="00870DCF" w:rsidRDefault="00F01CB8" w:rsidP="00C26519">
            <w:pPr>
              <w:pStyle w:val="TableText0"/>
              <w:spacing w:before="0" w:after="0"/>
              <w:jc w:val="center"/>
            </w:pPr>
            <w:r w:rsidRPr="00870DCF">
              <w:t>Primary</w:t>
            </w:r>
          </w:p>
        </w:tc>
        <w:tc>
          <w:tcPr>
            <w:tcW w:w="1260" w:type="dxa"/>
            <w:tcBorders>
              <w:top w:val="single" w:sz="4" w:space="0" w:color="000000" w:themeColor="text1"/>
              <w:bottom w:val="single" w:sz="4" w:space="0" w:color="000000" w:themeColor="text1"/>
            </w:tcBorders>
          </w:tcPr>
          <w:p w14:paraId="2D0E89F1" w14:textId="77777777" w:rsidR="00F01CB8" w:rsidRPr="00870DCF" w:rsidRDefault="00F01CB8" w:rsidP="00C26519">
            <w:pPr>
              <w:pStyle w:val="TableText0"/>
              <w:spacing w:before="0" w:after="0"/>
              <w:jc w:val="center"/>
            </w:pPr>
            <w:r w:rsidRPr="00870DCF">
              <w:t>AL</w:t>
            </w:r>
          </w:p>
        </w:tc>
        <w:tc>
          <w:tcPr>
            <w:tcW w:w="1620" w:type="dxa"/>
            <w:tcBorders>
              <w:top w:val="single" w:sz="4" w:space="0" w:color="000000" w:themeColor="text1"/>
              <w:bottom w:val="single" w:sz="4" w:space="0" w:color="000000" w:themeColor="text1"/>
            </w:tcBorders>
          </w:tcPr>
          <w:p w14:paraId="21CE9B20" w14:textId="77777777" w:rsidR="00F01CB8" w:rsidRPr="00870DCF" w:rsidRDefault="00F01CB8" w:rsidP="00C26519">
            <w:pPr>
              <w:pStyle w:val="TableText0"/>
              <w:spacing w:before="0" w:after="0"/>
              <w:jc w:val="center"/>
            </w:pPr>
          </w:p>
        </w:tc>
      </w:tr>
      <w:tr w:rsidR="00F01CB8" w:rsidRPr="008A0924" w14:paraId="0A0B6970" w14:textId="77777777" w:rsidTr="00C26519">
        <w:tc>
          <w:tcPr>
            <w:tcW w:w="4680" w:type="dxa"/>
            <w:tcBorders>
              <w:top w:val="single" w:sz="4" w:space="0" w:color="000000" w:themeColor="text1"/>
              <w:bottom w:val="single" w:sz="4" w:space="0" w:color="000000" w:themeColor="text1"/>
            </w:tcBorders>
            <w:vAlign w:val="center"/>
          </w:tcPr>
          <w:p w14:paraId="42B8A3EF" w14:textId="77777777" w:rsidR="00F01CB8" w:rsidRDefault="00F01CB8" w:rsidP="00C26519">
            <w:pPr>
              <w:pStyle w:val="TableText0"/>
              <w:spacing w:before="0" w:after="0"/>
              <w:ind w:left="285"/>
            </w:pPr>
            <w:r>
              <w:t>GPP</w:t>
            </w:r>
          </w:p>
        </w:tc>
        <w:tc>
          <w:tcPr>
            <w:tcW w:w="1260" w:type="dxa"/>
            <w:tcBorders>
              <w:top w:val="single" w:sz="4" w:space="0" w:color="000000" w:themeColor="text1"/>
              <w:bottom w:val="single" w:sz="4" w:space="0" w:color="000000" w:themeColor="text1"/>
            </w:tcBorders>
          </w:tcPr>
          <w:p w14:paraId="4075EF86" w14:textId="77777777" w:rsidR="00F01CB8" w:rsidRPr="00870DCF" w:rsidRDefault="00F01CB8" w:rsidP="00C26519">
            <w:pPr>
              <w:pStyle w:val="TableText0"/>
              <w:spacing w:before="0" w:after="0"/>
              <w:jc w:val="center"/>
            </w:pPr>
            <w:r>
              <w:t>Supporting</w:t>
            </w:r>
          </w:p>
        </w:tc>
        <w:tc>
          <w:tcPr>
            <w:tcW w:w="1260" w:type="dxa"/>
            <w:tcBorders>
              <w:top w:val="single" w:sz="4" w:space="0" w:color="000000" w:themeColor="text1"/>
              <w:bottom w:val="single" w:sz="4" w:space="0" w:color="000000" w:themeColor="text1"/>
            </w:tcBorders>
          </w:tcPr>
          <w:p w14:paraId="0772D082" w14:textId="77777777" w:rsidR="00F01CB8" w:rsidRPr="00870DCF" w:rsidRDefault="00F01CB8" w:rsidP="00C26519">
            <w:pPr>
              <w:pStyle w:val="TableText0"/>
              <w:spacing w:before="0" w:after="0"/>
              <w:jc w:val="center"/>
            </w:pPr>
            <w:r>
              <w:t>AL</w:t>
            </w:r>
          </w:p>
        </w:tc>
        <w:tc>
          <w:tcPr>
            <w:tcW w:w="1620" w:type="dxa"/>
            <w:tcBorders>
              <w:top w:val="single" w:sz="4" w:space="0" w:color="000000" w:themeColor="text1"/>
              <w:bottom w:val="single" w:sz="4" w:space="0" w:color="000000" w:themeColor="text1"/>
            </w:tcBorders>
          </w:tcPr>
          <w:p w14:paraId="5AB5C31F" w14:textId="77777777" w:rsidR="00F01CB8" w:rsidRDefault="00F01CB8" w:rsidP="00C26519">
            <w:pPr>
              <w:pStyle w:val="TableText0"/>
              <w:spacing w:before="0" w:after="0"/>
              <w:jc w:val="center"/>
            </w:pPr>
          </w:p>
        </w:tc>
      </w:tr>
      <w:tr w:rsidR="00F01CB8" w:rsidRPr="008A0924" w14:paraId="021A7AB4" w14:textId="77777777" w:rsidTr="00C26519">
        <w:tc>
          <w:tcPr>
            <w:tcW w:w="4680" w:type="dxa"/>
            <w:tcBorders>
              <w:top w:val="single" w:sz="4" w:space="0" w:color="000000" w:themeColor="text1"/>
              <w:bottom w:val="single" w:sz="4" w:space="0" w:color="000000" w:themeColor="text1"/>
            </w:tcBorders>
            <w:vAlign w:val="center"/>
          </w:tcPr>
          <w:p w14:paraId="72D893C0" w14:textId="77777777" w:rsidR="00F01CB8" w:rsidRDefault="00F01CB8" w:rsidP="00C26519">
            <w:pPr>
              <w:pStyle w:val="TableText0"/>
              <w:spacing w:before="0" w:after="0"/>
              <w:ind w:left="285"/>
            </w:pPr>
            <w:r>
              <w:t>Dissolved organic carbon, trihalomethane</w:t>
            </w:r>
          </w:p>
        </w:tc>
        <w:tc>
          <w:tcPr>
            <w:tcW w:w="1260" w:type="dxa"/>
            <w:tcBorders>
              <w:top w:val="single" w:sz="4" w:space="0" w:color="000000" w:themeColor="text1"/>
              <w:bottom w:val="single" w:sz="4" w:space="0" w:color="000000" w:themeColor="text1"/>
            </w:tcBorders>
          </w:tcPr>
          <w:p w14:paraId="79A91113" w14:textId="77777777" w:rsidR="00F01CB8" w:rsidRPr="00870DCF" w:rsidRDefault="00F01CB8" w:rsidP="00C26519">
            <w:pPr>
              <w:pStyle w:val="TableText0"/>
              <w:spacing w:before="0" w:after="0"/>
              <w:jc w:val="center"/>
            </w:pPr>
            <w:r w:rsidRPr="00870DCF">
              <w:t>Supporting</w:t>
            </w:r>
          </w:p>
        </w:tc>
        <w:tc>
          <w:tcPr>
            <w:tcW w:w="1260" w:type="dxa"/>
            <w:tcBorders>
              <w:top w:val="single" w:sz="4" w:space="0" w:color="000000" w:themeColor="text1"/>
              <w:bottom w:val="single" w:sz="4" w:space="0" w:color="000000" w:themeColor="text1"/>
            </w:tcBorders>
          </w:tcPr>
          <w:p w14:paraId="66010E7F" w14:textId="77777777" w:rsidR="00F01CB8" w:rsidRPr="00870DCF" w:rsidRDefault="00F01CB8" w:rsidP="00C26519">
            <w:pPr>
              <w:pStyle w:val="TableText0"/>
              <w:spacing w:before="0" w:after="0"/>
              <w:jc w:val="center"/>
            </w:pPr>
            <w:r w:rsidRPr="00870DCF">
              <w:t>H</w:t>
            </w:r>
          </w:p>
        </w:tc>
        <w:tc>
          <w:tcPr>
            <w:tcW w:w="1620" w:type="dxa"/>
            <w:tcBorders>
              <w:top w:val="single" w:sz="4" w:space="0" w:color="000000" w:themeColor="text1"/>
              <w:bottom w:val="single" w:sz="4" w:space="0" w:color="000000" w:themeColor="text1"/>
            </w:tcBorders>
          </w:tcPr>
          <w:p w14:paraId="5195FD12" w14:textId="77777777" w:rsidR="00F01CB8" w:rsidRPr="00870DCF" w:rsidRDefault="00F01CB8" w:rsidP="00C26519">
            <w:pPr>
              <w:pStyle w:val="TableText0"/>
              <w:spacing w:before="0" w:after="0"/>
              <w:jc w:val="center"/>
            </w:pPr>
          </w:p>
        </w:tc>
      </w:tr>
      <w:tr w:rsidR="00F01CB8" w:rsidRPr="008A0924" w14:paraId="79C96698" w14:textId="77777777" w:rsidTr="00C26519">
        <w:tc>
          <w:tcPr>
            <w:tcW w:w="4680" w:type="dxa"/>
            <w:tcBorders>
              <w:top w:val="single" w:sz="4" w:space="0" w:color="000000" w:themeColor="text1"/>
              <w:bottom w:val="single" w:sz="4" w:space="0" w:color="000000" w:themeColor="text1"/>
            </w:tcBorders>
            <w:vAlign w:val="center"/>
          </w:tcPr>
          <w:p w14:paraId="4CE1F2BA" w14:textId="77777777" w:rsidR="00F01CB8" w:rsidRDefault="00F01CB8" w:rsidP="00C26519">
            <w:pPr>
              <w:pStyle w:val="TableText0"/>
              <w:spacing w:before="0" w:after="0"/>
              <w:ind w:left="14" w:hanging="14"/>
            </w:pPr>
            <w:r>
              <w:t>Aquatic Community Structure</w:t>
            </w:r>
          </w:p>
        </w:tc>
        <w:tc>
          <w:tcPr>
            <w:tcW w:w="1260" w:type="dxa"/>
            <w:tcBorders>
              <w:top w:val="single" w:sz="4" w:space="0" w:color="000000" w:themeColor="text1"/>
              <w:bottom w:val="single" w:sz="4" w:space="0" w:color="000000" w:themeColor="text1"/>
            </w:tcBorders>
          </w:tcPr>
          <w:p w14:paraId="1329B147" w14:textId="77777777" w:rsidR="00F01CB8" w:rsidRPr="00870DCF" w:rsidRDefault="00F01CB8" w:rsidP="00C26519">
            <w:pPr>
              <w:pStyle w:val="TableText0"/>
              <w:spacing w:before="0" w:after="0"/>
              <w:jc w:val="center"/>
            </w:pPr>
          </w:p>
        </w:tc>
        <w:tc>
          <w:tcPr>
            <w:tcW w:w="1260" w:type="dxa"/>
            <w:tcBorders>
              <w:top w:val="single" w:sz="4" w:space="0" w:color="000000" w:themeColor="text1"/>
              <w:bottom w:val="single" w:sz="4" w:space="0" w:color="000000" w:themeColor="text1"/>
            </w:tcBorders>
          </w:tcPr>
          <w:p w14:paraId="4182A3E5" w14:textId="77777777" w:rsidR="00F01CB8" w:rsidRPr="00870DCF" w:rsidRDefault="00F01CB8" w:rsidP="00C26519">
            <w:pPr>
              <w:pStyle w:val="TableText0"/>
              <w:spacing w:before="0" w:after="0"/>
              <w:jc w:val="center"/>
            </w:pPr>
          </w:p>
        </w:tc>
        <w:tc>
          <w:tcPr>
            <w:tcW w:w="1620" w:type="dxa"/>
            <w:tcBorders>
              <w:top w:val="single" w:sz="4" w:space="0" w:color="000000" w:themeColor="text1"/>
              <w:bottom w:val="single" w:sz="4" w:space="0" w:color="000000" w:themeColor="text1"/>
            </w:tcBorders>
          </w:tcPr>
          <w:p w14:paraId="4BD65D62" w14:textId="77777777" w:rsidR="00F01CB8" w:rsidRPr="00870DCF" w:rsidRDefault="00F01CB8" w:rsidP="00C26519">
            <w:pPr>
              <w:pStyle w:val="TableText0"/>
              <w:spacing w:before="0" w:after="0"/>
              <w:jc w:val="center"/>
            </w:pPr>
          </w:p>
        </w:tc>
      </w:tr>
      <w:tr w:rsidR="00F01CB8" w:rsidRPr="008A0924" w14:paraId="45D6E1A7" w14:textId="77777777" w:rsidTr="00C26519">
        <w:tc>
          <w:tcPr>
            <w:tcW w:w="4680" w:type="dxa"/>
            <w:tcBorders>
              <w:top w:val="single" w:sz="4" w:space="0" w:color="000000" w:themeColor="text1"/>
              <w:bottom w:val="single" w:sz="4" w:space="0" w:color="000000" w:themeColor="text1"/>
            </w:tcBorders>
            <w:vAlign w:val="center"/>
          </w:tcPr>
          <w:p w14:paraId="3E71C7EF" w14:textId="77777777" w:rsidR="00F01CB8" w:rsidRPr="008A0924" w:rsidRDefault="00F01CB8" w:rsidP="00C26519">
            <w:pPr>
              <w:pStyle w:val="TableText0"/>
              <w:spacing w:before="0" w:after="0"/>
              <w:ind w:left="375" w:hanging="85"/>
            </w:pPr>
            <w:r>
              <w:t>Benthic algal community composition (ASCI)</w:t>
            </w:r>
          </w:p>
        </w:tc>
        <w:tc>
          <w:tcPr>
            <w:tcW w:w="1260" w:type="dxa"/>
            <w:tcBorders>
              <w:top w:val="single" w:sz="4" w:space="0" w:color="000000" w:themeColor="text1"/>
              <w:bottom w:val="single" w:sz="4" w:space="0" w:color="000000" w:themeColor="text1"/>
            </w:tcBorders>
          </w:tcPr>
          <w:p w14:paraId="2E0FF943" w14:textId="77777777" w:rsidR="00F01CB8" w:rsidRPr="00870DCF" w:rsidRDefault="00F01CB8" w:rsidP="00C26519">
            <w:pPr>
              <w:pStyle w:val="TableText0"/>
              <w:spacing w:before="0" w:after="0"/>
              <w:jc w:val="center"/>
            </w:pPr>
            <w:r w:rsidRPr="00870DCF">
              <w:t>Supporting</w:t>
            </w:r>
          </w:p>
        </w:tc>
        <w:tc>
          <w:tcPr>
            <w:tcW w:w="1260" w:type="dxa"/>
            <w:tcBorders>
              <w:top w:val="single" w:sz="4" w:space="0" w:color="000000" w:themeColor="text1"/>
              <w:bottom w:val="single" w:sz="4" w:space="0" w:color="000000" w:themeColor="text1"/>
            </w:tcBorders>
          </w:tcPr>
          <w:p w14:paraId="35DA4639" w14:textId="77777777" w:rsidR="00F01CB8" w:rsidRPr="00870DCF" w:rsidRDefault="00F01CB8" w:rsidP="00C26519">
            <w:pPr>
              <w:pStyle w:val="TableText0"/>
              <w:spacing w:before="0" w:after="0"/>
              <w:jc w:val="center"/>
            </w:pPr>
            <w:r w:rsidRPr="00870DCF">
              <w:t>AL</w:t>
            </w:r>
          </w:p>
        </w:tc>
        <w:tc>
          <w:tcPr>
            <w:tcW w:w="1620" w:type="dxa"/>
            <w:tcBorders>
              <w:top w:val="single" w:sz="4" w:space="0" w:color="000000" w:themeColor="text1"/>
              <w:bottom w:val="single" w:sz="4" w:space="0" w:color="000000" w:themeColor="text1"/>
            </w:tcBorders>
          </w:tcPr>
          <w:p w14:paraId="11C4CC1B" w14:textId="77777777" w:rsidR="00F01CB8" w:rsidRPr="00870DCF" w:rsidRDefault="00F01CB8" w:rsidP="00C26519">
            <w:pPr>
              <w:pStyle w:val="TableText0"/>
              <w:spacing w:before="0" w:after="0"/>
              <w:jc w:val="center"/>
            </w:pPr>
            <w:r>
              <w:t>Y</w:t>
            </w:r>
          </w:p>
        </w:tc>
      </w:tr>
      <w:tr w:rsidR="00F01CB8" w14:paraId="6CE3AA81" w14:textId="77777777" w:rsidTr="00C26519">
        <w:tc>
          <w:tcPr>
            <w:tcW w:w="4680" w:type="dxa"/>
            <w:tcBorders>
              <w:top w:val="single" w:sz="4" w:space="0" w:color="000000" w:themeColor="text1"/>
              <w:bottom w:val="single" w:sz="4" w:space="0" w:color="000000" w:themeColor="text1"/>
            </w:tcBorders>
            <w:vAlign w:val="center"/>
          </w:tcPr>
          <w:p w14:paraId="5F9BA632" w14:textId="77777777" w:rsidR="00F01CB8" w:rsidRDefault="00F01CB8" w:rsidP="00C26519">
            <w:pPr>
              <w:pStyle w:val="TableText0"/>
              <w:spacing w:before="0" w:after="0"/>
              <w:ind w:left="375" w:hanging="85"/>
            </w:pPr>
            <w:r>
              <w:t>BMI community composition (CSCI)</w:t>
            </w:r>
          </w:p>
        </w:tc>
        <w:tc>
          <w:tcPr>
            <w:tcW w:w="1260" w:type="dxa"/>
            <w:tcBorders>
              <w:top w:val="single" w:sz="4" w:space="0" w:color="000000" w:themeColor="text1"/>
              <w:bottom w:val="single" w:sz="4" w:space="0" w:color="000000" w:themeColor="text1"/>
            </w:tcBorders>
          </w:tcPr>
          <w:p w14:paraId="7143C6E5" w14:textId="77777777" w:rsidR="00F01CB8" w:rsidRPr="00870DCF" w:rsidRDefault="00F01CB8" w:rsidP="00C26519">
            <w:pPr>
              <w:pStyle w:val="TableText0"/>
              <w:spacing w:before="0" w:after="0"/>
              <w:jc w:val="center"/>
            </w:pPr>
            <w:r w:rsidRPr="00870DCF">
              <w:t>Supporting</w:t>
            </w:r>
          </w:p>
        </w:tc>
        <w:tc>
          <w:tcPr>
            <w:tcW w:w="1260" w:type="dxa"/>
            <w:tcBorders>
              <w:top w:val="single" w:sz="4" w:space="0" w:color="000000" w:themeColor="text1"/>
              <w:bottom w:val="single" w:sz="4" w:space="0" w:color="000000" w:themeColor="text1"/>
            </w:tcBorders>
          </w:tcPr>
          <w:p w14:paraId="50322D43" w14:textId="77777777" w:rsidR="00F01CB8" w:rsidRPr="00870DCF" w:rsidRDefault="00F01CB8" w:rsidP="00C26519">
            <w:pPr>
              <w:pStyle w:val="TableText0"/>
              <w:spacing w:before="0" w:after="0"/>
              <w:jc w:val="center"/>
            </w:pPr>
            <w:r w:rsidRPr="00870DCF">
              <w:t>AL</w:t>
            </w:r>
          </w:p>
        </w:tc>
        <w:tc>
          <w:tcPr>
            <w:tcW w:w="1620" w:type="dxa"/>
            <w:tcBorders>
              <w:top w:val="single" w:sz="4" w:space="0" w:color="000000" w:themeColor="text1"/>
              <w:bottom w:val="single" w:sz="4" w:space="0" w:color="000000" w:themeColor="text1"/>
            </w:tcBorders>
          </w:tcPr>
          <w:p w14:paraId="2FFF36BD" w14:textId="77777777" w:rsidR="00F01CB8" w:rsidRPr="00870DCF" w:rsidRDefault="00F01CB8" w:rsidP="00C26519">
            <w:pPr>
              <w:pStyle w:val="TableText0"/>
              <w:spacing w:before="0" w:after="0"/>
              <w:jc w:val="center"/>
            </w:pPr>
            <w:r>
              <w:t>Y</w:t>
            </w:r>
          </w:p>
        </w:tc>
      </w:tr>
      <w:tr w:rsidR="00F01CB8" w14:paraId="46F58E8C" w14:textId="77777777" w:rsidTr="00C26519">
        <w:tc>
          <w:tcPr>
            <w:tcW w:w="4680" w:type="dxa"/>
            <w:tcBorders>
              <w:top w:val="single" w:sz="4" w:space="0" w:color="000000" w:themeColor="text1"/>
              <w:bottom w:val="single" w:sz="4" w:space="0" w:color="000000" w:themeColor="text1"/>
            </w:tcBorders>
            <w:vAlign w:val="center"/>
          </w:tcPr>
          <w:p w14:paraId="7510F964" w14:textId="77777777" w:rsidR="00F01CB8" w:rsidRDefault="00F01CB8" w:rsidP="00C26519">
            <w:pPr>
              <w:pStyle w:val="TableText0"/>
              <w:spacing w:before="0" w:after="0"/>
            </w:pPr>
            <w:r>
              <w:t xml:space="preserve">Harmful Algal Bloom </w:t>
            </w:r>
          </w:p>
        </w:tc>
        <w:tc>
          <w:tcPr>
            <w:tcW w:w="1260" w:type="dxa"/>
            <w:tcBorders>
              <w:top w:val="single" w:sz="4" w:space="0" w:color="000000" w:themeColor="text1"/>
              <w:bottom w:val="single" w:sz="4" w:space="0" w:color="000000" w:themeColor="text1"/>
            </w:tcBorders>
          </w:tcPr>
          <w:p w14:paraId="273C6C23" w14:textId="77777777" w:rsidR="00F01CB8" w:rsidRPr="00870DCF" w:rsidRDefault="00F01CB8" w:rsidP="00C26519">
            <w:pPr>
              <w:pStyle w:val="TableText0"/>
              <w:spacing w:before="0" w:after="0"/>
              <w:jc w:val="center"/>
            </w:pPr>
          </w:p>
        </w:tc>
        <w:tc>
          <w:tcPr>
            <w:tcW w:w="1260" w:type="dxa"/>
            <w:tcBorders>
              <w:top w:val="single" w:sz="4" w:space="0" w:color="000000" w:themeColor="text1"/>
              <w:bottom w:val="single" w:sz="4" w:space="0" w:color="000000" w:themeColor="text1"/>
            </w:tcBorders>
          </w:tcPr>
          <w:p w14:paraId="540D4977" w14:textId="77777777" w:rsidR="00F01CB8" w:rsidRPr="00870DCF" w:rsidRDefault="00F01CB8" w:rsidP="00C26519">
            <w:pPr>
              <w:pStyle w:val="TableText0"/>
              <w:spacing w:before="0" w:after="0"/>
              <w:jc w:val="center"/>
            </w:pPr>
          </w:p>
        </w:tc>
        <w:tc>
          <w:tcPr>
            <w:tcW w:w="1620" w:type="dxa"/>
            <w:tcBorders>
              <w:top w:val="single" w:sz="4" w:space="0" w:color="000000" w:themeColor="text1"/>
              <w:bottom w:val="single" w:sz="4" w:space="0" w:color="000000" w:themeColor="text1"/>
            </w:tcBorders>
          </w:tcPr>
          <w:p w14:paraId="1CC83067" w14:textId="77777777" w:rsidR="00F01CB8" w:rsidRPr="00870DCF" w:rsidRDefault="00F01CB8" w:rsidP="00C26519">
            <w:pPr>
              <w:pStyle w:val="TableText0"/>
              <w:spacing w:before="0" w:after="0"/>
              <w:jc w:val="center"/>
            </w:pPr>
          </w:p>
        </w:tc>
      </w:tr>
      <w:tr w:rsidR="00F01CB8" w14:paraId="7C15B62C" w14:textId="77777777" w:rsidTr="00C26519">
        <w:tc>
          <w:tcPr>
            <w:tcW w:w="4680" w:type="dxa"/>
            <w:tcBorders>
              <w:top w:val="single" w:sz="4" w:space="0" w:color="000000" w:themeColor="text1"/>
              <w:bottom w:val="single" w:sz="4" w:space="0" w:color="000000" w:themeColor="text1"/>
            </w:tcBorders>
            <w:vAlign w:val="center"/>
          </w:tcPr>
          <w:p w14:paraId="556A745D" w14:textId="77777777" w:rsidR="00F01CB8" w:rsidRDefault="00F01CB8" w:rsidP="00C26519">
            <w:pPr>
              <w:pStyle w:val="TableText0"/>
              <w:spacing w:before="0" w:after="0"/>
              <w:ind w:left="375" w:hanging="85"/>
            </w:pPr>
            <w:r>
              <w:t>Benthic cyanoHAB toxin</w:t>
            </w:r>
          </w:p>
        </w:tc>
        <w:tc>
          <w:tcPr>
            <w:tcW w:w="1260" w:type="dxa"/>
            <w:tcBorders>
              <w:top w:val="single" w:sz="4" w:space="0" w:color="000000" w:themeColor="text1"/>
              <w:bottom w:val="single" w:sz="4" w:space="0" w:color="000000" w:themeColor="text1"/>
            </w:tcBorders>
          </w:tcPr>
          <w:p w14:paraId="6FFEF603" w14:textId="77777777" w:rsidR="00F01CB8" w:rsidRPr="00870DCF" w:rsidRDefault="00F01CB8" w:rsidP="00C26519">
            <w:pPr>
              <w:pStyle w:val="TableText0"/>
              <w:spacing w:before="0" w:after="0"/>
              <w:jc w:val="center"/>
            </w:pPr>
            <w:r w:rsidRPr="00870DCF">
              <w:t>Supporting</w:t>
            </w:r>
          </w:p>
        </w:tc>
        <w:tc>
          <w:tcPr>
            <w:tcW w:w="1260" w:type="dxa"/>
            <w:tcBorders>
              <w:top w:val="single" w:sz="4" w:space="0" w:color="000000" w:themeColor="text1"/>
              <w:bottom w:val="single" w:sz="4" w:space="0" w:color="000000" w:themeColor="text1"/>
            </w:tcBorders>
          </w:tcPr>
          <w:p w14:paraId="2330D650" w14:textId="77777777" w:rsidR="00F01CB8" w:rsidRPr="00870DCF" w:rsidRDefault="00F01CB8" w:rsidP="00C26519">
            <w:pPr>
              <w:pStyle w:val="TableText0"/>
              <w:spacing w:before="0" w:after="0"/>
              <w:jc w:val="center"/>
            </w:pPr>
            <w:r w:rsidRPr="00870DCF">
              <w:t>H, AL</w:t>
            </w:r>
          </w:p>
        </w:tc>
        <w:tc>
          <w:tcPr>
            <w:tcW w:w="1620" w:type="dxa"/>
            <w:tcBorders>
              <w:top w:val="single" w:sz="4" w:space="0" w:color="000000" w:themeColor="text1"/>
              <w:bottom w:val="single" w:sz="4" w:space="0" w:color="000000" w:themeColor="text1"/>
            </w:tcBorders>
          </w:tcPr>
          <w:p w14:paraId="239A9368" w14:textId="77777777" w:rsidR="00F01CB8" w:rsidRPr="00870DCF" w:rsidRDefault="00F01CB8" w:rsidP="00C26519">
            <w:pPr>
              <w:pStyle w:val="TableText0"/>
              <w:spacing w:before="0" w:after="0"/>
              <w:jc w:val="center"/>
            </w:pPr>
          </w:p>
        </w:tc>
      </w:tr>
      <w:tr w:rsidR="00F01CB8" w14:paraId="14978FEC" w14:textId="77777777" w:rsidTr="00C26519">
        <w:tc>
          <w:tcPr>
            <w:tcW w:w="4680" w:type="dxa"/>
            <w:tcBorders>
              <w:top w:val="single" w:sz="4" w:space="0" w:color="000000" w:themeColor="text1"/>
              <w:bottom w:val="single" w:sz="4" w:space="0" w:color="000000" w:themeColor="text1"/>
            </w:tcBorders>
            <w:vAlign w:val="center"/>
          </w:tcPr>
          <w:p w14:paraId="67FABB6E" w14:textId="77777777" w:rsidR="00F01CB8" w:rsidRDefault="00F01CB8" w:rsidP="00C26519">
            <w:pPr>
              <w:pStyle w:val="TableText0"/>
              <w:spacing w:before="0" w:after="0"/>
              <w:ind w:left="375" w:hanging="85"/>
            </w:pPr>
            <w:r>
              <w:t>Benthic cyanoHAB cell density</w:t>
            </w:r>
          </w:p>
        </w:tc>
        <w:tc>
          <w:tcPr>
            <w:tcW w:w="1260" w:type="dxa"/>
            <w:tcBorders>
              <w:top w:val="single" w:sz="4" w:space="0" w:color="000000" w:themeColor="text1"/>
              <w:bottom w:val="single" w:sz="4" w:space="0" w:color="000000" w:themeColor="text1"/>
            </w:tcBorders>
          </w:tcPr>
          <w:p w14:paraId="18F55822" w14:textId="77777777" w:rsidR="00F01CB8" w:rsidRPr="00870DCF" w:rsidRDefault="00F01CB8" w:rsidP="00C26519">
            <w:pPr>
              <w:pStyle w:val="TableText0"/>
              <w:spacing w:before="0" w:after="0"/>
              <w:jc w:val="center"/>
            </w:pPr>
            <w:r w:rsidRPr="00870DCF">
              <w:t>Supporting</w:t>
            </w:r>
          </w:p>
        </w:tc>
        <w:tc>
          <w:tcPr>
            <w:tcW w:w="1260" w:type="dxa"/>
            <w:tcBorders>
              <w:top w:val="single" w:sz="4" w:space="0" w:color="000000" w:themeColor="text1"/>
              <w:bottom w:val="single" w:sz="4" w:space="0" w:color="000000" w:themeColor="text1"/>
            </w:tcBorders>
          </w:tcPr>
          <w:p w14:paraId="1742DCC8" w14:textId="77777777" w:rsidR="00F01CB8" w:rsidRPr="00870DCF" w:rsidRDefault="00F01CB8" w:rsidP="00C26519">
            <w:pPr>
              <w:pStyle w:val="TableText0"/>
              <w:spacing w:before="0" w:after="0"/>
              <w:jc w:val="center"/>
            </w:pPr>
            <w:r w:rsidRPr="00870DCF">
              <w:t>H, AL</w:t>
            </w:r>
          </w:p>
        </w:tc>
        <w:tc>
          <w:tcPr>
            <w:tcW w:w="1620" w:type="dxa"/>
            <w:tcBorders>
              <w:top w:val="single" w:sz="4" w:space="0" w:color="000000" w:themeColor="text1"/>
              <w:bottom w:val="single" w:sz="4" w:space="0" w:color="000000" w:themeColor="text1"/>
            </w:tcBorders>
          </w:tcPr>
          <w:p w14:paraId="7B1CA29E" w14:textId="77777777" w:rsidR="00F01CB8" w:rsidRPr="00870DCF" w:rsidRDefault="00F01CB8" w:rsidP="00C26519">
            <w:pPr>
              <w:pStyle w:val="TableText0"/>
              <w:spacing w:before="0" w:after="0"/>
              <w:jc w:val="center"/>
            </w:pPr>
            <w:r>
              <w:t>Y</w:t>
            </w:r>
          </w:p>
        </w:tc>
      </w:tr>
      <w:tr w:rsidR="00F01CB8" w:rsidRPr="008A0924" w14:paraId="6B7E47ED" w14:textId="77777777" w:rsidTr="00C26519">
        <w:tc>
          <w:tcPr>
            <w:tcW w:w="4680" w:type="dxa"/>
            <w:vMerge w:val="restart"/>
            <w:tcBorders>
              <w:top w:val="single" w:sz="4" w:space="0" w:color="000000" w:themeColor="text1"/>
            </w:tcBorders>
            <w:vAlign w:val="center"/>
          </w:tcPr>
          <w:p w14:paraId="1579026A" w14:textId="77777777" w:rsidR="00F01CB8" w:rsidRPr="008A0924" w:rsidRDefault="00F01CB8" w:rsidP="00C26519">
            <w:pPr>
              <w:pStyle w:val="TableText0"/>
              <w:spacing w:before="0" w:after="0"/>
              <w:ind w:left="375" w:hanging="85"/>
            </w:pPr>
            <w:r>
              <w:t>Particulate cyanoHAB toxin</w:t>
            </w:r>
          </w:p>
        </w:tc>
        <w:tc>
          <w:tcPr>
            <w:tcW w:w="1260" w:type="dxa"/>
            <w:tcBorders>
              <w:top w:val="single" w:sz="4" w:space="0" w:color="000000" w:themeColor="text1"/>
              <w:bottom w:val="single" w:sz="4" w:space="0" w:color="000000" w:themeColor="text1"/>
            </w:tcBorders>
          </w:tcPr>
          <w:p w14:paraId="5E5E6064" w14:textId="77777777" w:rsidR="00F01CB8" w:rsidRPr="00870DCF" w:rsidRDefault="00F01CB8" w:rsidP="00C26519">
            <w:pPr>
              <w:pStyle w:val="TableText0"/>
              <w:spacing w:before="0" w:after="0"/>
              <w:jc w:val="center"/>
            </w:pPr>
            <w:r w:rsidRPr="00870DCF">
              <w:t>Primary</w:t>
            </w:r>
          </w:p>
        </w:tc>
        <w:tc>
          <w:tcPr>
            <w:tcW w:w="1260" w:type="dxa"/>
            <w:tcBorders>
              <w:top w:val="single" w:sz="4" w:space="0" w:color="000000" w:themeColor="text1"/>
              <w:bottom w:val="single" w:sz="4" w:space="0" w:color="000000" w:themeColor="text1"/>
            </w:tcBorders>
          </w:tcPr>
          <w:p w14:paraId="65A4CBE5" w14:textId="77777777" w:rsidR="00F01CB8" w:rsidRPr="00870DCF" w:rsidRDefault="00F01CB8" w:rsidP="00C26519">
            <w:pPr>
              <w:pStyle w:val="TableText0"/>
              <w:spacing w:before="0" w:after="0"/>
              <w:jc w:val="center"/>
            </w:pPr>
            <w:r w:rsidRPr="00870DCF">
              <w:t>H</w:t>
            </w:r>
          </w:p>
        </w:tc>
        <w:tc>
          <w:tcPr>
            <w:tcW w:w="1620" w:type="dxa"/>
            <w:tcBorders>
              <w:top w:val="single" w:sz="4" w:space="0" w:color="000000" w:themeColor="text1"/>
              <w:bottom w:val="single" w:sz="4" w:space="0" w:color="000000" w:themeColor="text1"/>
            </w:tcBorders>
          </w:tcPr>
          <w:p w14:paraId="7E2EFBC9" w14:textId="77777777" w:rsidR="00F01CB8" w:rsidRPr="00870DCF" w:rsidRDefault="00F01CB8" w:rsidP="00C26519">
            <w:pPr>
              <w:pStyle w:val="TableText0"/>
              <w:spacing w:before="0" w:after="0"/>
              <w:jc w:val="center"/>
            </w:pPr>
          </w:p>
        </w:tc>
      </w:tr>
      <w:tr w:rsidR="00F01CB8" w:rsidRPr="008A0924" w14:paraId="0ED96F35" w14:textId="77777777" w:rsidTr="00C26519">
        <w:tc>
          <w:tcPr>
            <w:tcW w:w="4680" w:type="dxa"/>
            <w:vMerge/>
            <w:tcBorders>
              <w:bottom w:val="single" w:sz="4" w:space="0" w:color="000000" w:themeColor="text1"/>
            </w:tcBorders>
            <w:vAlign w:val="center"/>
          </w:tcPr>
          <w:p w14:paraId="669A3D51" w14:textId="77777777" w:rsidR="00F01CB8" w:rsidRDefault="00F01CB8" w:rsidP="00C26519">
            <w:pPr>
              <w:pStyle w:val="TableText0"/>
              <w:spacing w:before="0" w:after="0"/>
              <w:ind w:left="375" w:hanging="85"/>
            </w:pPr>
          </w:p>
        </w:tc>
        <w:tc>
          <w:tcPr>
            <w:tcW w:w="1260" w:type="dxa"/>
            <w:tcBorders>
              <w:top w:val="single" w:sz="4" w:space="0" w:color="000000" w:themeColor="text1"/>
              <w:bottom w:val="single" w:sz="4" w:space="0" w:color="000000" w:themeColor="text1"/>
            </w:tcBorders>
          </w:tcPr>
          <w:p w14:paraId="462F2DC2" w14:textId="77777777" w:rsidR="00F01CB8" w:rsidRPr="00870DCF" w:rsidRDefault="00F01CB8" w:rsidP="00C26519">
            <w:pPr>
              <w:pStyle w:val="TableText0"/>
              <w:spacing w:before="0" w:after="0"/>
              <w:jc w:val="center"/>
            </w:pPr>
            <w:r>
              <w:t>Supporting</w:t>
            </w:r>
          </w:p>
        </w:tc>
        <w:tc>
          <w:tcPr>
            <w:tcW w:w="1260" w:type="dxa"/>
            <w:tcBorders>
              <w:top w:val="single" w:sz="4" w:space="0" w:color="000000" w:themeColor="text1"/>
              <w:bottom w:val="single" w:sz="4" w:space="0" w:color="000000" w:themeColor="text1"/>
            </w:tcBorders>
          </w:tcPr>
          <w:p w14:paraId="1AFB4372" w14:textId="77777777" w:rsidR="00F01CB8" w:rsidRPr="00870DCF" w:rsidRDefault="00F01CB8" w:rsidP="00C26519">
            <w:pPr>
              <w:pStyle w:val="TableText0"/>
              <w:spacing w:before="0" w:after="0"/>
              <w:jc w:val="center"/>
            </w:pPr>
            <w:r>
              <w:t xml:space="preserve"> AL</w:t>
            </w:r>
          </w:p>
        </w:tc>
        <w:tc>
          <w:tcPr>
            <w:tcW w:w="1620" w:type="dxa"/>
            <w:tcBorders>
              <w:top w:val="single" w:sz="4" w:space="0" w:color="000000" w:themeColor="text1"/>
              <w:bottom w:val="single" w:sz="4" w:space="0" w:color="000000" w:themeColor="text1"/>
            </w:tcBorders>
          </w:tcPr>
          <w:p w14:paraId="34572955" w14:textId="77777777" w:rsidR="00F01CB8" w:rsidRDefault="00F01CB8" w:rsidP="00C26519">
            <w:pPr>
              <w:pStyle w:val="TableText0"/>
              <w:spacing w:before="0" w:after="0"/>
              <w:jc w:val="center"/>
            </w:pPr>
          </w:p>
        </w:tc>
      </w:tr>
      <w:tr w:rsidR="00F01CB8" w:rsidRPr="008A0924" w14:paraId="67E8F8F8" w14:textId="77777777" w:rsidTr="00C26519">
        <w:tc>
          <w:tcPr>
            <w:tcW w:w="4680" w:type="dxa"/>
            <w:tcBorders>
              <w:top w:val="single" w:sz="4" w:space="0" w:color="000000" w:themeColor="text1"/>
              <w:bottom w:val="single" w:sz="4" w:space="0" w:color="000000" w:themeColor="text1"/>
            </w:tcBorders>
            <w:vAlign w:val="center"/>
          </w:tcPr>
          <w:p w14:paraId="468C091D" w14:textId="77777777" w:rsidR="00F01CB8" w:rsidRDefault="00F01CB8" w:rsidP="00C26519">
            <w:pPr>
              <w:pStyle w:val="TableText0"/>
              <w:spacing w:before="0" w:after="0"/>
              <w:ind w:left="375" w:hanging="85"/>
            </w:pPr>
            <w:r>
              <w:t>Particulate cyanoHAB cell density</w:t>
            </w:r>
          </w:p>
        </w:tc>
        <w:tc>
          <w:tcPr>
            <w:tcW w:w="1260" w:type="dxa"/>
            <w:tcBorders>
              <w:top w:val="single" w:sz="4" w:space="0" w:color="000000" w:themeColor="text1"/>
              <w:bottom w:val="single" w:sz="4" w:space="0" w:color="000000" w:themeColor="text1"/>
            </w:tcBorders>
          </w:tcPr>
          <w:p w14:paraId="0546749B" w14:textId="77777777" w:rsidR="00F01CB8" w:rsidRPr="00870DCF" w:rsidRDefault="00F01CB8" w:rsidP="00C26519">
            <w:pPr>
              <w:pStyle w:val="TableText0"/>
              <w:spacing w:before="0" w:after="0"/>
              <w:jc w:val="center"/>
            </w:pPr>
            <w:r w:rsidRPr="00870DCF">
              <w:t>Supporting</w:t>
            </w:r>
          </w:p>
        </w:tc>
        <w:tc>
          <w:tcPr>
            <w:tcW w:w="1260" w:type="dxa"/>
            <w:tcBorders>
              <w:top w:val="single" w:sz="4" w:space="0" w:color="000000" w:themeColor="text1"/>
              <w:bottom w:val="single" w:sz="4" w:space="0" w:color="000000" w:themeColor="text1"/>
            </w:tcBorders>
          </w:tcPr>
          <w:p w14:paraId="7AF41454" w14:textId="77777777" w:rsidR="00F01CB8" w:rsidRPr="00870DCF" w:rsidRDefault="00F01CB8" w:rsidP="00C26519">
            <w:pPr>
              <w:pStyle w:val="TableText0"/>
              <w:spacing w:before="0" w:after="0"/>
              <w:jc w:val="center"/>
            </w:pPr>
            <w:r w:rsidRPr="00870DCF">
              <w:t>H, AL</w:t>
            </w:r>
          </w:p>
        </w:tc>
        <w:tc>
          <w:tcPr>
            <w:tcW w:w="1620" w:type="dxa"/>
            <w:tcBorders>
              <w:top w:val="single" w:sz="4" w:space="0" w:color="000000" w:themeColor="text1"/>
              <w:bottom w:val="single" w:sz="4" w:space="0" w:color="000000" w:themeColor="text1"/>
            </w:tcBorders>
          </w:tcPr>
          <w:p w14:paraId="00BCD94C" w14:textId="77777777" w:rsidR="00F01CB8" w:rsidRPr="00870DCF" w:rsidRDefault="00F01CB8" w:rsidP="00C26519">
            <w:pPr>
              <w:pStyle w:val="TableText0"/>
              <w:spacing w:before="0" w:after="0"/>
              <w:jc w:val="center"/>
            </w:pPr>
          </w:p>
        </w:tc>
      </w:tr>
      <w:tr w:rsidR="00F01CB8" w:rsidRPr="008A0924" w14:paraId="24306416" w14:textId="77777777" w:rsidTr="00C26519">
        <w:tc>
          <w:tcPr>
            <w:tcW w:w="4680" w:type="dxa"/>
            <w:vMerge w:val="restart"/>
            <w:tcBorders>
              <w:top w:val="single" w:sz="4" w:space="0" w:color="000000" w:themeColor="text1"/>
            </w:tcBorders>
            <w:vAlign w:val="center"/>
          </w:tcPr>
          <w:p w14:paraId="6FA4436B" w14:textId="77777777" w:rsidR="00F01CB8" w:rsidRDefault="00F01CB8" w:rsidP="00C26519">
            <w:pPr>
              <w:pStyle w:val="TableText0"/>
              <w:spacing w:before="0" w:after="0"/>
              <w:ind w:left="375" w:hanging="85"/>
            </w:pPr>
            <w:r>
              <w:t>CyanoHAB toxin concentration in tissue</w:t>
            </w:r>
          </w:p>
        </w:tc>
        <w:tc>
          <w:tcPr>
            <w:tcW w:w="1260" w:type="dxa"/>
            <w:tcBorders>
              <w:top w:val="single" w:sz="4" w:space="0" w:color="000000" w:themeColor="text1"/>
              <w:bottom w:val="single" w:sz="4" w:space="0" w:color="000000" w:themeColor="text1"/>
            </w:tcBorders>
          </w:tcPr>
          <w:p w14:paraId="0BBB58CF" w14:textId="77777777" w:rsidR="00F01CB8" w:rsidRPr="00870DCF" w:rsidRDefault="00F01CB8" w:rsidP="00C26519">
            <w:pPr>
              <w:pStyle w:val="TableText0"/>
              <w:spacing w:before="0" w:after="0"/>
              <w:jc w:val="center"/>
            </w:pPr>
            <w:r w:rsidRPr="00870DCF">
              <w:t>Primary</w:t>
            </w:r>
          </w:p>
        </w:tc>
        <w:tc>
          <w:tcPr>
            <w:tcW w:w="1260" w:type="dxa"/>
            <w:tcBorders>
              <w:top w:val="single" w:sz="4" w:space="0" w:color="000000" w:themeColor="text1"/>
              <w:bottom w:val="single" w:sz="4" w:space="0" w:color="000000" w:themeColor="text1"/>
            </w:tcBorders>
          </w:tcPr>
          <w:p w14:paraId="2D4AB745" w14:textId="77777777" w:rsidR="00F01CB8" w:rsidRPr="00870DCF" w:rsidRDefault="00F01CB8" w:rsidP="00C26519">
            <w:pPr>
              <w:pStyle w:val="TableText0"/>
              <w:spacing w:before="0" w:after="0"/>
              <w:jc w:val="center"/>
            </w:pPr>
            <w:r w:rsidRPr="00870DCF">
              <w:t>H</w:t>
            </w:r>
          </w:p>
        </w:tc>
        <w:tc>
          <w:tcPr>
            <w:tcW w:w="1620" w:type="dxa"/>
            <w:tcBorders>
              <w:top w:val="single" w:sz="4" w:space="0" w:color="000000" w:themeColor="text1"/>
              <w:bottom w:val="single" w:sz="4" w:space="0" w:color="000000" w:themeColor="text1"/>
            </w:tcBorders>
          </w:tcPr>
          <w:p w14:paraId="2665A324" w14:textId="77777777" w:rsidR="00F01CB8" w:rsidRPr="00870DCF" w:rsidRDefault="00F01CB8" w:rsidP="00C26519">
            <w:pPr>
              <w:pStyle w:val="TableText0"/>
              <w:spacing w:before="0" w:after="0"/>
              <w:jc w:val="center"/>
            </w:pPr>
          </w:p>
        </w:tc>
      </w:tr>
      <w:tr w:rsidR="00F01CB8" w:rsidRPr="008A0924" w14:paraId="64BFE9B8" w14:textId="77777777" w:rsidTr="00C26519">
        <w:tc>
          <w:tcPr>
            <w:tcW w:w="4680" w:type="dxa"/>
            <w:vMerge/>
            <w:tcBorders>
              <w:bottom w:val="single" w:sz="4" w:space="0" w:color="000000" w:themeColor="text1"/>
            </w:tcBorders>
            <w:vAlign w:val="center"/>
          </w:tcPr>
          <w:p w14:paraId="6F7C68D2" w14:textId="77777777" w:rsidR="00F01CB8" w:rsidRDefault="00F01CB8" w:rsidP="00C26519">
            <w:pPr>
              <w:pStyle w:val="TableText0"/>
              <w:spacing w:before="0" w:after="0"/>
              <w:ind w:left="375" w:hanging="85"/>
            </w:pPr>
          </w:p>
        </w:tc>
        <w:tc>
          <w:tcPr>
            <w:tcW w:w="1260" w:type="dxa"/>
            <w:tcBorders>
              <w:top w:val="single" w:sz="4" w:space="0" w:color="000000" w:themeColor="text1"/>
              <w:bottom w:val="single" w:sz="4" w:space="0" w:color="000000" w:themeColor="text1"/>
            </w:tcBorders>
          </w:tcPr>
          <w:p w14:paraId="12CE2F69" w14:textId="77777777" w:rsidR="00F01CB8" w:rsidRPr="00870DCF" w:rsidRDefault="00F01CB8" w:rsidP="00C26519">
            <w:pPr>
              <w:pStyle w:val="TableText0"/>
              <w:spacing w:before="0" w:after="0"/>
              <w:jc w:val="center"/>
            </w:pPr>
            <w:r>
              <w:t>Supporting</w:t>
            </w:r>
          </w:p>
        </w:tc>
        <w:tc>
          <w:tcPr>
            <w:tcW w:w="1260" w:type="dxa"/>
            <w:tcBorders>
              <w:top w:val="single" w:sz="4" w:space="0" w:color="000000" w:themeColor="text1"/>
              <w:bottom w:val="single" w:sz="4" w:space="0" w:color="000000" w:themeColor="text1"/>
            </w:tcBorders>
          </w:tcPr>
          <w:p w14:paraId="0AFD9103" w14:textId="77777777" w:rsidR="00F01CB8" w:rsidRPr="00870DCF" w:rsidRDefault="00F01CB8" w:rsidP="00C26519">
            <w:pPr>
              <w:pStyle w:val="TableText0"/>
              <w:spacing w:before="0" w:after="0"/>
              <w:jc w:val="center"/>
            </w:pPr>
            <w:r>
              <w:t>AL</w:t>
            </w:r>
          </w:p>
        </w:tc>
        <w:tc>
          <w:tcPr>
            <w:tcW w:w="1620" w:type="dxa"/>
            <w:tcBorders>
              <w:top w:val="single" w:sz="4" w:space="0" w:color="000000" w:themeColor="text1"/>
              <w:bottom w:val="single" w:sz="4" w:space="0" w:color="000000" w:themeColor="text1"/>
            </w:tcBorders>
          </w:tcPr>
          <w:p w14:paraId="3CB0C69B" w14:textId="77777777" w:rsidR="00F01CB8" w:rsidRDefault="00F01CB8" w:rsidP="00C26519">
            <w:pPr>
              <w:pStyle w:val="TableText0"/>
              <w:spacing w:before="0" w:after="0"/>
              <w:jc w:val="center"/>
            </w:pPr>
          </w:p>
        </w:tc>
      </w:tr>
      <w:tr w:rsidR="00F01CB8" w:rsidRPr="00852BC2" w14:paraId="0E4CA6B0" w14:textId="77777777" w:rsidTr="00C26519">
        <w:tc>
          <w:tcPr>
            <w:tcW w:w="4680" w:type="dxa"/>
            <w:tcBorders>
              <w:top w:val="single" w:sz="4" w:space="0" w:color="000000" w:themeColor="text1"/>
              <w:bottom w:val="single" w:sz="4" w:space="0" w:color="000000" w:themeColor="text1"/>
            </w:tcBorders>
            <w:vAlign w:val="center"/>
          </w:tcPr>
          <w:p w14:paraId="317627A3" w14:textId="77777777" w:rsidR="00F01CB8" w:rsidRPr="00852BC2" w:rsidRDefault="00F01CB8" w:rsidP="00C26519">
            <w:pPr>
              <w:pStyle w:val="TableText0"/>
              <w:spacing w:before="0" w:after="0"/>
              <w:ind w:left="375" w:hanging="85"/>
            </w:pPr>
            <w:r w:rsidRPr="00852BC2">
              <w:t xml:space="preserve">SPATT </w:t>
            </w:r>
            <w:r>
              <w:t>t</w:t>
            </w:r>
            <w:r w:rsidRPr="00852BC2">
              <w:t>oxin concentration</w:t>
            </w:r>
          </w:p>
        </w:tc>
        <w:tc>
          <w:tcPr>
            <w:tcW w:w="1260" w:type="dxa"/>
            <w:tcBorders>
              <w:top w:val="single" w:sz="4" w:space="0" w:color="000000" w:themeColor="text1"/>
              <w:bottom w:val="single" w:sz="4" w:space="0" w:color="000000" w:themeColor="text1"/>
            </w:tcBorders>
          </w:tcPr>
          <w:p w14:paraId="1CDB725B" w14:textId="77777777" w:rsidR="00F01CB8" w:rsidRPr="00870DCF" w:rsidRDefault="00F01CB8" w:rsidP="00C26519">
            <w:pPr>
              <w:pStyle w:val="TableText0"/>
              <w:spacing w:before="0" w:after="0"/>
              <w:jc w:val="center"/>
            </w:pPr>
            <w:r w:rsidRPr="00870DCF">
              <w:t>Supporting</w:t>
            </w:r>
          </w:p>
        </w:tc>
        <w:tc>
          <w:tcPr>
            <w:tcW w:w="1260" w:type="dxa"/>
            <w:tcBorders>
              <w:top w:val="single" w:sz="4" w:space="0" w:color="000000" w:themeColor="text1"/>
              <w:bottom w:val="single" w:sz="4" w:space="0" w:color="000000" w:themeColor="text1"/>
            </w:tcBorders>
          </w:tcPr>
          <w:p w14:paraId="29BED43E" w14:textId="77777777" w:rsidR="00F01CB8" w:rsidRPr="00870DCF" w:rsidRDefault="00F01CB8" w:rsidP="00C26519">
            <w:pPr>
              <w:pStyle w:val="TableText0"/>
              <w:spacing w:before="0" w:after="0"/>
              <w:jc w:val="center"/>
            </w:pPr>
            <w:r w:rsidRPr="00870DCF">
              <w:t>H, AL</w:t>
            </w:r>
          </w:p>
        </w:tc>
        <w:tc>
          <w:tcPr>
            <w:tcW w:w="1620" w:type="dxa"/>
            <w:tcBorders>
              <w:top w:val="single" w:sz="4" w:space="0" w:color="000000" w:themeColor="text1"/>
              <w:bottom w:val="single" w:sz="4" w:space="0" w:color="000000" w:themeColor="text1"/>
            </w:tcBorders>
          </w:tcPr>
          <w:p w14:paraId="18E1176E" w14:textId="77777777" w:rsidR="00F01CB8" w:rsidRPr="00870DCF" w:rsidRDefault="00F01CB8" w:rsidP="00C26519">
            <w:pPr>
              <w:pStyle w:val="TableText0"/>
              <w:spacing w:before="0" w:after="0"/>
              <w:jc w:val="center"/>
            </w:pPr>
          </w:p>
        </w:tc>
      </w:tr>
      <w:tr w:rsidR="00F01CB8" w:rsidRPr="00852BC2" w14:paraId="769DC64A" w14:textId="77777777" w:rsidTr="00C26519">
        <w:tc>
          <w:tcPr>
            <w:tcW w:w="4680" w:type="dxa"/>
            <w:tcBorders>
              <w:top w:val="single" w:sz="4" w:space="0" w:color="000000" w:themeColor="text1"/>
              <w:bottom w:val="single" w:sz="4" w:space="0" w:color="000000" w:themeColor="text1"/>
            </w:tcBorders>
            <w:vAlign w:val="center"/>
          </w:tcPr>
          <w:p w14:paraId="2DA36B9B" w14:textId="77777777" w:rsidR="00F01CB8" w:rsidRPr="00852BC2" w:rsidRDefault="00F01CB8" w:rsidP="00C26519">
            <w:pPr>
              <w:pStyle w:val="TableText0"/>
              <w:spacing w:before="0" w:after="0"/>
            </w:pPr>
            <w:r>
              <w:t>Causal (Biostimulatory Substances and Conditions)</w:t>
            </w:r>
          </w:p>
        </w:tc>
        <w:tc>
          <w:tcPr>
            <w:tcW w:w="1260" w:type="dxa"/>
            <w:tcBorders>
              <w:top w:val="single" w:sz="4" w:space="0" w:color="000000" w:themeColor="text1"/>
              <w:bottom w:val="single" w:sz="4" w:space="0" w:color="000000" w:themeColor="text1"/>
            </w:tcBorders>
          </w:tcPr>
          <w:p w14:paraId="7163DF97" w14:textId="77777777" w:rsidR="00F01CB8" w:rsidRPr="00870DCF" w:rsidRDefault="00F01CB8" w:rsidP="00C26519">
            <w:pPr>
              <w:pStyle w:val="TableText0"/>
              <w:spacing w:before="0" w:after="0"/>
              <w:jc w:val="center"/>
            </w:pPr>
          </w:p>
        </w:tc>
        <w:tc>
          <w:tcPr>
            <w:tcW w:w="1260" w:type="dxa"/>
            <w:tcBorders>
              <w:top w:val="single" w:sz="4" w:space="0" w:color="000000" w:themeColor="text1"/>
              <w:bottom w:val="single" w:sz="4" w:space="0" w:color="000000" w:themeColor="text1"/>
            </w:tcBorders>
          </w:tcPr>
          <w:p w14:paraId="1F858C3C" w14:textId="77777777" w:rsidR="00F01CB8" w:rsidRPr="00870DCF" w:rsidRDefault="00F01CB8" w:rsidP="00C26519">
            <w:pPr>
              <w:pStyle w:val="TableText0"/>
              <w:spacing w:before="0" w:after="0"/>
              <w:jc w:val="center"/>
            </w:pPr>
          </w:p>
        </w:tc>
        <w:tc>
          <w:tcPr>
            <w:tcW w:w="1620" w:type="dxa"/>
            <w:tcBorders>
              <w:top w:val="single" w:sz="4" w:space="0" w:color="000000" w:themeColor="text1"/>
              <w:bottom w:val="single" w:sz="4" w:space="0" w:color="000000" w:themeColor="text1"/>
            </w:tcBorders>
          </w:tcPr>
          <w:p w14:paraId="61618E52" w14:textId="77777777" w:rsidR="00F01CB8" w:rsidRPr="00870DCF" w:rsidRDefault="00F01CB8" w:rsidP="00C26519">
            <w:pPr>
              <w:pStyle w:val="TableText0"/>
              <w:spacing w:before="0" w:after="0"/>
              <w:jc w:val="center"/>
            </w:pPr>
          </w:p>
        </w:tc>
      </w:tr>
      <w:tr w:rsidR="00F01CB8" w:rsidRPr="00852BC2" w14:paraId="5CEF8672" w14:textId="77777777" w:rsidTr="00C26519">
        <w:tc>
          <w:tcPr>
            <w:tcW w:w="4680" w:type="dxa"/>
            <w:tcBorders>
              <w:top w:val="single" w:sz="4" w:space="0" w:color="000000" w:themeColor="text1"/>
              <w:bottom w:val="single" w:sz="4" w:space="0" w:color="000000" w:themeColor="text1"/>
            </w:tcBorders>
            <w:vAlign w:val="center"/>
          </w:tcPr>
          <w:p w14:paraId="1DCCF14E" w14:textId="77777777" w:rsidR="00F01CB8" w:rsidRPr="00852BC2" w:rsidRDefault="00F01CB8" w:rsidP="00C26519">
            <w:pPr>
              <w:pStyle w:val="TableText0"/>
              <w:spacing w:before="0" w:after="0"/>
              <w:ind w:left="290"/>
            </w:pPr>
            <w:r>
              <w:t>Nitrogen, phosphorus and associated organic matter</w:t>
            </w:r>
          </w:p>
        </w:tc>
        <w:tc>
          <w:tcPr>
            <w:tcW w:w="1260" w:type="dxa"/>
            <w:tcBorders>
              <w:top w:val="single" w:sz="4" w:space="0" w:color="000000" w:themeColor="text1"/>
              <w:bottom w:val="single" w:sz="4" w:space="0" w:color="000000" w:themeColor="text1"/>
            </w:tcBorders>
          </w:tcPr>
          <w:p w14:paraId="5A5210E1" w14:textId="77777777" w:rsidR="00F01CB8" w:rsidRPr="00870DCF" w:rsidRDefault="00F01CB8" w:rsidP="00C26519">
            <w:pPr>
              <w:pStyle w:val="TableText0"/>
              <w:spacing w:before="0" w:after="0"/>
              <w:jc w:val="center"/>
            </w:pPr>
            <w:r>
              <w:t>Primary</w:t>
            </w:r>
          </w:p>
        </w:tc>
        <w:tc>
          <w:tcPr>
            <w:tcW w:w="1260" w:type="dxa"/>
            <w:tcBorders>
              <w:top w:val="single" w:sz="4" w:space="0" w:color="000000" w:themeColor="text1"/>
              <w:bottom w:val="single" w:sz="4" w:space="0" w:color="000000" w:themeColor="text1"/>
            </w:tcBorders>
          </w:tcPr>
          <w:p w14:paraId="195E75E3" w14:textId="77777777" w:rsidR="00F01CB8" w:rsidRPr="00870DCF" w:rsidRDefault="00F01CB8" w:rsidP="00C26519">
            <w:pPr>
              <w:pStyle w:val="TableText0"/>
              <w:spacing w:before="0" w:after="0"/>
              <w:jc w:val="center"/>
            </w:pPr>
            <w:r>
              <w:t>AL, H</w:t>
            </w:r>
          </w:p>
        </w:tc>
        <w:tc>
          <w:tcPr>
            <w:tcW w:w="1620" w:type="dxa"/>
            <w:tcBorders>
              <w:top w:val="single" w:sz="4" w:space="0" w:color="000000" w:themeColor="text1"/>
              <w:bottom w:val="single" w:sz="4" w:space="0" w:color="000000" w:themeColor="text1"/>
            </w:tcBorders>
          </w:tcPr>
          <w:p w14:paraId="57DD3964" w14:textId="77777777" w:rsidR="00F01CB8" w:rsidRDefault="00F01CB8" w:rsidP="00C26519">
            <w:pPr>
              <w:pStyle w:val="TableText0"/>
              <w:spacing w:before="0" w:after="0"/>
              <w:jc w:val="center"/>
            </w:pPr>
            <w:r>
              <w:t>Y</w:t>
            </w:r>
          </w:p>
        </w:tc>
      </w:tr>
      <w:tr w:rsidR="00F01CB8" w:rsidRPr="00852BC2" w14:paraId="5EEFBC7D" w14:textId="77777777" w:rsidTr="00C26519">
        <w:tc>
          <w:tcPr>
            <w:tcW w:w="4680" w:type="dxa"/>
            <w:tcBorders>
              <w:top w:val="single" w:sz="4" w:space="0" w:color="000000" w:themeColor="text1"/>
              <w:bottom w:val="single" w:sz="4" w:space="0" w:color="000000" w:themeColor="text1"/>
            </w:tcBorders>
            <w:vAlign w:val="center"/>
          </w:tcPr>
          <w:p w14:paraId="6C05AA70" w14:textId="77777777" w:rsidR="00F01CB8" w:rsidRDefault="00F01CB8" w:rsidP="00C26519">
            <w:pPr>
              <w:pStyle w:val="TableText0"/>
              <w:spacing w:before="0" w:after="0"/>
              <w:ind w:left="290"/>
            </w:pPr>
            <w:r>
              <w:t>Hydromodification, physical habitat, light, temp.</w:t>
            </w:r>
          </w:p>
        </w:tc>
        <w:tc>
          <w:tcPr>
            <w:tcW w:w="1260" w:type="dxa"/>
            <w:tcBorders>
              <w:top w:val="single" w:sz="4" w:space="0" w:color="000000" w:themeColor="text1"/>
              <w:bottom w:val="single" w:sz="4" w:space="0" w:color="000000" w:themeColor="text1"/>
            </w:tcBorders>
          </w:tcPr>
          <w:p w14:paraId="30688186" w14:textId="77777777" w:rsidR="00F01CB8" w:rsidRDefault="00F01CB8" w:rsidP="00C26519">
            <w:pPr>
              <w:pStyle w:val="TableText0"/>
              <w:spacing w:before="0" w:after="0"/>
              <w:jc w:val="center"/>
            </w:pPr>
            <w:r>
              <w:t>Supporting</w:t>
            </w:r>
          </w:p>
        </w:tc>
        <w:tc>
          <w:tcPr>
            <w:tcW w:w="1260" w:type="dxa"/>
            <w:tcBorders>
              <w:top w:val="single" w:sz="4" w:space="0" w:color="000000" w:themeColor="text1"/>
              <w:bottom w:val="single" w:sz="4" w:space="0" w:color="000000" w:themeColor="text1"/>
            </w:tcBorders>
          </w:tcPr>
          <w:p w14:paraId="343DCED1" w14:textId="77777777" w:rsidR="00F01CB8" w:rsidRDefault="00F01CB8" w:rsidP="00C26519">
            <w:pPr>
              <w:pStyle w:val="TableText0"/>
              <w:spacing w:before="0" w:after="0"/>
              <w:jc w:val="center"/>
            </w:pPr>
            <w:r>
              <w:t>H, AL</w:t>
            </w:r>
          </w:p>
        </w:tc>
        <w:tc>
          <w:tcPr>
            <w:tcW w:w="1620" w:type="dxa"/>
            <w:tcBorders>
              <w:top w:val="single" w:sz="4" w:space="0" w:color="000000" w:themeColor="text1"/>
              <w:bottom w:val="single" w:sz="4" w:space="0" w:color="000000" w:themeColor="text1"/>
            </w:tcBorders>
          </w:tcPr>
          <w:p w14:paraId="4233F94C" w14:textId="77777777" w:rsidR="00F01CB8" w:rsidRDefault="00F01CB8" w:rsidP="00C26519">
            <w:pPr>
              <w:pStyle w:val="TableText0"/>
              <w:spacing w:before="0" w:after="0"/>
              <w:jc w:val="center"/>
            </w:pPr>
            <w:r>
              <w:t>Y</w:t>
            </w:r>
          </w:p>
        </w:tc>
      </w:tr>
    </w:tbl>
    <w:p w14:paraId="2E1EE61F" w14:textId="77777777" w:rsidR="00F01CB8" w:rsidRDefault="00F01CB8" w:rsidP="00F01CB8">
      <w:pPr>
        <w:spacing w:after="0" w:line="240" w:lineRule="auto"/>
      </w:pPr>
    </w:p>
    <w:p w14:paraId="726EFD83" w14:textId="77777777" w:rsidR="00F01CB8" w:rsidRPr="002C37F9" w:rsidRDefault="00F01CB8" w:rsidP="003B605E">
      <w:pPr>
        <w:spacing w:after="120"/>
        <w:contextualSpacing/>
        <w:jc w:val="both"/>
      </w:pPr>
      <w:r>
        <w:rPr>
          <w:b/>
        </w:rPr>
        <w:t xml:space="preserve">3. </w:t>
      </w:r>
      <w:r w:rsidRPr="00930847">
        <w:rPr>
          <w:b/>
        </w:rPr>
        <w:t xml:space="preserve">A review of studies conducted in California and elsewhere </w:t>
      </w:r>
      <w:r>
        <w:rPr>
          <w:b/>
        </w:rPr>
        <w:t>produced a range of</w:t>
      </w:r>
      <w:r w:rsidRPr="00930847">
        <w:rPr>
          <w:b/>
        </w:rPr>
        <w:t xml:space="preserve"> biostimulatory thre</w:t>
      </w:r>
      <w:r>
        <w:rPr>
          <w:b/>
        </w:rPr>
        <w:t>s</w:t>
      </w:r>
      <w:r w:rsidRPr="00930847">
        <w:rPr>
          <w:b/>
        </w:rPr>
        <w:t xml:space="preserve">holds </w:t>
      </w:r>
      <w:r>
        <w:rPr>
          <w:b/>
        </w:rPr>
        <w:t xml:space="preserve">that can serve as the basis for Water Board staff decisions on numeric guidance. </w:t>
      </w:r>
      <w:r w:rsidRPr="002C37F9">
        <w:t xml:space="preserve">These thresholds are based </w:t>
      </w:r>
      <w:r>
        <w:t xml:space="preserve">the following relationships </w:t>
      </w:r>
      <w:r w:rsidRPr="002C37F9">
        <w:t xml:space="preserve">(indicators for </w:t>
      </w:r>
      <w:r>
        <w:t>available</w:t>
      </w:r>
      <w:r w:rsidRPr="002C37F9">
        <w:t xml:space="preserve"> thresholds shown in bold)</w:t>
      </w:r>
      <w:r>
        <w:t xml:space="preserve"> </w:t>
      </w:r>
      <w:r w:rsidRPr="002C37F9">
        <w:t>on impacts to aquatic life related uses</w:t>
      </w:r>
      <w:r>
        <w:t>:</w:t>
      </w:r>
    </w:p>
    <w:p w14:paraId="27008B05" w14:textId="77777777" w:rsidR="00F01CB8" w:rsidRPr="000D61DA" w:rsidRDefault="00F01CB8" w:rsidP="003B605E">
      <w:pPr>
        <w:pStyle w:val="ListParagraph"/>
        <w:numPr>
          <w:ilvl w:val="0"/>
          <w:numId w:val="12"/>
        </w:numPr>
        <w:spacing w:after="120"/>
        <w:rPr>
          <w:b/>
        </w:rPr>
      </w:pPr>
      <w:r w:rsidRPr="00C07C27">
        <w:rPr>
          <w:rFonts w:cs="Calibri"/>
          <w:b/>
        </w:rPr>
        <w:t>↑</w:t>
      </w:r>
      <w:r w:rsidRPr="00C07C27">
        <w:rPr>
          <w:b/>
        </w:rPr>
        <w:t xml:space="preserve"> TN, TN, Benthic Chl-a, </w:t>
      </w:r>
      <w:r>
        <w:rPr>
          <w:b/>
        </w:rPr>
        <w:t xml:space="preserve">and </w:t>
      </w:r>
      <w:r w:rsidRPr="00C07C27">
        <w:rPr>
          <w:b/>
        </w:rPr>
        <w:t>AFDM</w:t>
      </w:r>
      <w:r>
        <w:t xml:space="preserve"> </w:t>
      </w:r>
      <w:r w:rsidRPr="00C07C27">
        <w:rPr>
          <w:rFonts w:cs="Calibri"/>
        </w:rPr>
        <w:t>↓</w:t>
      </w:r>
      <w:r>
        <w:t xml:space="preserve"> </w:t>
      </w:r>
      <w:r w:rsidRPr="00B238FC">
        <w:rPr>
          <w:i/>
        </w:rPr>
        <w:t>Algal</w:t>
      </w:r>
      <w:r>
        <w:rPr>
          <w:i/>
        </w:rPr>
        <w:t>,</w:t>
      </w:r>
      <w:r w:rsidRPr="00B238FC">
        <w:rPr>
          <w:i/>
        </w:rPr>
        <w:t xml:space="preserve"> BMI Community Integrity</w:t>
      </w:r>
    </w:p>
    <w:p w14:paraId="5AE1FF2E" w14:textId="77777777" w:rsidR="00F01CB8" w:rsidRPr="00C07C27" w:rsidRDefault="00F01CB8" w:rsidP="003B605E">
      <w:pPr>
        <w:pStyle w:val="ListParagraph"/>
        <w:numPr>
          <w:ilvl w:val="0"/>
          <w:numId w:val="12"/>
        </w:numPr>
        <w:spacing w:after="120"/>
        <w:rPr>
          <w:b/>
        </w:rPr>
      </w:pPr>
      <w:r w:rsidRPr="00C07C27">
        <w:rPr>
          <w:rFonts w:cs="Calibri"/>
          <w:b/>
        </w:rPr>
        <w:t>↑</w:t>
      </w:r>
      <w:r w:rsidRPr="00C07C27">
        <w:rPr>
          <w:b/>
        </w:rPr>
        <w:t xml:space="preserve"> TN, TN, </w:t>
      </w:r>
      <w:r>
        <w:rPr>
          <w:b/>
        </w:rPr>
        <w:t>Sestonic Chl-a</w:t>
      </w:r>
      <w:r>
        <w:t xml:space="preserve"> </w:t>
      </w:r>
      <w:r w:rsidRPr="00C07C27">
        <w:rPr>
          <w:rFonts w:cs="Calibri"/>
        </w:rPr>
        <w:t>↓</w:t>
      </w:r>
      <w:r>
        <w:t xml:space="preserve"> </w:t>
      </w:r>
      <w:r w:rsidRPr="00B238FC">
        <w:rPr>
          <w:i/>
        </w:rPr>
        <w:t>Algal</w:t>
      </w:r>
      <w:r>
        <w:rPr>
          <w:i/>
        </w:rPr>
        <w:t>,</w:t>
      </w:r>
      <w:r w:rsidRPr="00B238FC">
        <w:rPr>
          <w:i/>
        </w:rPr>
        <w:t xml:space="preserve"> BMI</w:t>
      </w:r>
      <w:r>
        <w:rPr>
          <w:i/>
        </w:rPr>
        <w:t>, Fish</w:t>
      </w:r>
      <w:r w:rsidRPr="00B238FC">
        <w:rPr>
          <w:i/>
        </w:rPr>
        <w:t xml:space="preserve"> Community Integrity</w:t>
      </w:r>
    </w:p>
    <w:p w14:paraId="2B0762AD" w14:textId="77777777" w:rsidR="00F01CB8" w:rsidRPr="00B238FC" w:rsidRDefault="00F01CB8" w:rsidP="003B605E">
      <w:pPr>
        <w:pStyle w:val="ListParagraph"/>
        <w:numPr>
          <w:ilvl w:val="0"/>
          <w:numId w:val="12"/>
        </w:numPr>
        <w:spacing w:after="120"/>
      </w:pPr>
      <w:r w:rsidRPr="00C07C27">
        <w:rPr>
          <w:rFonts w:cs="Calibri"/>
          <w:b/>
        </w:rPr>
        <w:t>↓</w:t>
      </w:r>
      <w:r w:rsidRPr="00C07C27">
        <w:rPr>
          <w:b/>
        </w:rPr>
        <w:t xml:space="preserve"> DO</w:t>
      </w:r>
      <w:r>
        <w:t xml:space="preserve"> </w:t>
      </w:r>
      <w:r w:rsidRPr="00C07C27">
        <w:rPr>
          <w:rFonts w:cs="Calibri"/>
        </w:rPr>
        <w:t>↓</w:t>
      </w:r>
      <w:r>
        <w:t xml:space="preserve"> </w:t>
      </w:r>
      <w:r w:rsidRPr="00B238FC">
        <w:rPr>
          <w:i/>
        </w:rPr>
        <w:t>Fish</w:t>
      </w:r>
      <w:r>
        <w:rPr>
          <w:i/>
        </w:rPr>
        <w:t xml:space="preserve"> and Invertebrate Physiological and Lethal Impacts</w:t>
      </w:r>
      <w:r w:rsidRPr="00B238FC">
        <w:rPr>
          <w:i/>
        </w:rPr>
        <w:t>, BMI Community Integrity</w:t>
      </w:r>
    </w:p>
    <w:p w14:paraId="55614DF4" w14:textId="77777777" w:rsidR="00F01CB8" w:rsidRDefault="00F01CB8" w:rsidP="003B605E">
      <w:pPr>
        <w:pStyle w:val="ListParagraph"/>
        <w:numPr>
          <w:ilvl w:val="0"/>
          <w:numId w:val="12"/>
        </w:numPr>
        <w:spacing w:after="120"/>
      </w:pPr>
      <w:r w:rsidRPr="00C07C27">
        <w:rPr>
          <w:rFonts w:cs="Calibri"/>
          <w:b/>
        </w:rPr>
        <w:t>↑</w:t>
      </w:r>
      <w:r w:rsidRPr="00C07C27">
        <w:rPr>
          <w:b/>
        </w:rPr>
        <w:t xml:space="preserve"> </w:t>
      </w:r>
      <w:r>
        <w:rPr>
          <w:b/>
        </w:rPr>
        <w:t>pH Range</w:t>
      </w:r>
      <w:r>
        <w:t xml:space="preserve"> </w:t>
      </w:r>
      <w:r w:rsidRPr="00C07C27">
        <w:rPr>
          <w:rFonts w:cs="Calibri"/>
        </w:rPr>
        <w:t>↓</w:t>
      </w:r>
      <w:r>
        <w:t xml:space="preserve"> </w:t>
      </w:r>
      <w:r w:rsidRPr="00B238FC">
        <w:rPr>
          <w:i/>
        </w:rPr>
        <w:t>Fish</w:t>
      </w:r>
      <w:r>
        <w:rPr>
          <w:i/>
        </w:rPr>
        <w:t xml:space="preserve"> and Invertebrate Physiological and Lethal Impacts</w:t>
      </w:r>
    </w:p>
    <w:p w14:paraId="10F871F2" w14:textId="77777777" w:rsidR="00F01CB8" w:rsidRPr="00C07C27" w:rsidRDefault="00F01CB8" w:rsidP="003B605E">
      <w:pPr>
        <w:pStyle w:val="ListParagraph"/>
        <w:numPr>
          <w:ilvl w:val="0"/>
          <w:numId w:val="12"/>
        </w:numPr>
        <w:spacing w:after="120"/>
        <w:rPr>
          <w:b/>
        </w:rPr>
      </w:pPr>
      <w:r w:rsidRPr="00C07C27">
        <w:rPr>
          <w:rFonts w:cs="Calibri"/>
          <w:b/>
        </w:rPr>
        <w:t>↑</w:t>
      </w:r>
      <w:r w:rsidRPr="00C07C27">
        <w:rPr>
          <w:b/>
        </w:rPr>
        <w:t xml:space="preserve"> TN, TN</w:t>
      </w:r>
      <w:r w:rsidRPr="000D61DA">
        <w:t>, Benthic Chl-a</w:t>
      </w:r>
      <w:r w:rsidRPr="00C07C27">
        <w:rPr>
          <w:rFonts w:cs="Calibri"/>
          <w:b/>
        </w:rPr>
        <w:t>↑</w:t>
      </w:r>
      <w:r w:rsidRPr="00C07C27">
        <w:rPr>
          <w:b/>
        </w:rPr>
        <w:t xml:space="preserve"> DO Diel Variability </w:t>
      </w:r>
      <w:r w:rsidRPr="00C07C27">
        <w:rPr>
          <w:rFonts w:cs="Calibri"/>
        </w:rPr>
        <w:t>↓</w:t>
      </w:r>
      <w:r>
        <w:t xml:space="preserve"> </w:t>
      </w:r>
      <w:r>
        <w:rPr>
          <w:i/>
        </w:rPr>
        <w:t xml:space="preserve">Fish, Algal, </w:t>
      </w:r>
      <w:r w:rsidRPr="00B238FC">
        <w:rPr>
          <w:i/>
        </w:rPr>
        <w:t>BMI Community Integrity</w:t>
      </w:r>
    </w:p>
    <w:p w14:paraId="2637FE66" w14:textId="77777777" w:rsidR="00F01CB8" w:rsidRPr="007D134C" w:rsidRDefault="00F01CB8" w:rsidP="003B605E">
      <w:pPr>
        <w:pStyle w:val="ListParagraph"/>
        <w:numPr>
          <w:ilvl w:val="0"/>
          <w:numId w:val="12"/>
        </w:numPr>
        <w:spacing w:after="120"/>
        <w:rPr>
          <w:b/>
        </w:rPr>
      </w:pPr>
      <w:r w:rsidRPr="00C07C27">
        <w:rPr>
          <w:rFonts w:cs="Calibri"/>
          <w:b/>
        </w:rPr>
        <w:t>↑</w:t>
      </w:r>
      <w:r w:rsidRPr="000D61DA">
        <w:t xml:space="preserve"> TN TP, Sestonic Chl-a</w:t>
      </w:r>
      <w:r>
        <w:t xml:space="preserve"> </w:t>
      </w:r>
      <w:r w:rsidRPr="00C07C27">
        <w:rPr>
          <w:rFonts w:cs="Calibri"/>
          <w:b/>
        </w:rPr>
        <w:t>↑</w:t>
      </w:r>
      <w:r w:rsidRPr="00C07C27">
        <w:rPr>
          <w:b/>
        </w:rPr>
        <w:t xml:space="preserve"> Cyanotoxins</w:t>
      </w:r>
      <w:r>
        <w:t xml:space="preserve"> </w:t>
      </w:r>
      <w:r w:rsidRPr="00C07C27">
        <w:rPr>
          <w:rFonts w:cs="Calibri"/>
          <w:b/>
        </w:rPr>
        <w:t>↑</w:t>
      </w:r>
      <w:r>
        <w:t xml:space="preserve"> </w:t>
      </w:r>
      <w:r w:rsidRPr="00B238FC">
        <w:rPr>
          <w:i/>
        </w:rPr>
        <w:t xml:space="preserve">Fish, Algal, BMI, Wildlife </w:t>
      </w:r>
      <w:r>
        <w:rPr>
          <w:i/>
        </w:rPr>
        <w:t>Physiological/Lethal Impacts</w:t>
      </w:r>
    </w:p>
    <w:p w14:paraId="4D274C58" w14:textId="77777777" w:rsidR="00F01CB8" w:rsidRDefault="00F01CB8" w:rsidP="003B605E">
      <w:pPr>
        <w:pStyle w:val="ListParagraph"/>
        <w:spacing w:after="120"/>
        <w:ind w:left="0"/>
        <w:jc w:val="both"/>
      </w:pPr>
      <w:r>
        <w:t>And to human uses:</w:t>
      </w:r>
    </w:p>
    <w:p w14:paraId="77A8BC22" w14:textId="4F513011" w:rsidR="00F01CB8" w:rsidRPr="006E7717" w:rsidRDefault="00F01CB8" w:rsidP="003B605E">
      <w:pPr>
        <w:pStyle w:val="ListParagraph"/>
        <w:numPr>
          <w:ilvl w:val="0"/>
          <w:numId w:val="12"/>
        </w:numPr>
        <w:spacing w:after="120"/>
        <w:rPr>
          <w:b/>
        </w:rPr>
      </w:pPr>
      <w:r w:rsidRPr="00C07C27">
        <w:rPr>
          <w:rFonts w:cs="Calibri"/>
          <w:b/>
        </w:rPr>
        <w:t>↑</w:t>
      </w:r>
      <w:r w:rsidRPr="00C07C27">
        <w:rPr>
          <w:b/>
        </w:rPr>
        <w:t xml:space="preserve"> </w:t>
      </w:r>
      <w:r>
        <w:rPr>
          <w:b/>
        </w:rPr>
        <w:t xml:space="preserve">TN TP Sestonic Chl-a </w:t>
      </w:r>
      <w:r w:rsidRPr="00C07C27">
        <w:rPr>
          <w:rFonts w:cs="Calibri"/>
          <w:b/>
        </w:rPr>
        <w:t>↑</w:t>
      </w:r>
      <w:r>
        <w:rPr>
          <w:rFonts w:cs="Calibri"/>
          <w:b/>
        </w:rPr>
        <w:t xml:space="preserve"> </w:t>
      </w:r>
      <w:r w:rsidRPr="00C07C27">
        <w:rPr>
          <w:b/>
        </w:rPr>
        <w:t>Cyanotoxins</w:t>
      </w:r>
      <w:r>
        <w:t xml:space="preserve"> </w:t>
      </w:r>
      <w:r w:rsidRPr="00C07C27">
        <w:rPr>
          <w:rFonts w:cs="Calibri"/>
        </w:rPr>
        <w:t>↓</w:t>
      </w:r>
      <w:r>
        <w:rPr>
          <w:i/>
        </w:rPr>
        <w:t xml:space="preserve"> Drinking Water Source Quality, </w:t>
      </w:r>
      <w:r w:rsidR="003B605E">
        <w:rPr>
          <w:i/>
        </w:rPr>
        <w:t>REC1</w:t>
      </w:r>
      <w:r>
        <w:rPr>
          <w:i/>
        </w:rPr>
        <w:t>, Food Safety</w:t>
      </w:r>
    </w:p>
    <w:p w14:paraId="1F466156" w14:textId="77777777" w:rsidR="00F01CB8" w:rsidRPr="00C07C27" w:rsidRDefault="00F01CB8" w:rsidP="003B605E">
      <w:pPr>
        <w:pStyle w:val="ListParagraph"/>
        <w:numPr>
          <w:ilvl w:val="0"/>
          <w:numId w:val="12"/>
        </w:numPr>
        <w:spacing w:after="120"/>
        <w:rPr>
          <w:b/>
        </w:rPr>
      </w:pPr>
      <w:r w:rsidRPr="00C07C27">
        <w:rPr>
          <w:rFonts w:cs="Calibri"/>
          <w:b/>
        </w:rPr>
        <w:t>↑</w:t>
      </w:r>
      <w:r w:rsidRPr="00C07C27">
        <w:rPr>
          <w:b/>
        </w:rPr>
        <w:t xml:space="preserve"> </w:t>
      </w:r>
      <w:r>
        <w:rPr>
          <w:b/>
        </w:rPr>
        <w:t xml:space="preserve">Macroalgal % Cover, Benthic Chl-a </w:t>
      </w:r>
      <w:r w:rsidRPr="00C07C27">
        <w:rPr>
          <w:rFonts w:cs="Calibri"/>
        </w:rPr>
        <w:t>↓</w:t>
      </w:r>
      <w:r>
        <w:t xml:space="preserve"> </w:t>
      </w:r>
      <w:r>
        <w:rPr>
          <w:i/>
        </w:rPr>
        <w:t>Recreational Aesthetics</w:t>
      </w:r>
    </w:p>
    <w:p w14:paraId="6A10D2D1" w14:textId="77777777" w:rsidR="00F01CB8" w:rsidRPr="00BF7FD0" w:rsidRDefault="00F01CB8" w:rsidP="003B605E">
      <w:pPr>
        <w:pStyle w:val="ListParagraph"/>
        <w:numPr>
          <w:ilvl w:val="0"/>
          <w:numId w:val="12"/>
        </w:numPr>
        <w:spacing w:after="120"/>
        <w:rPr>
          <w:b/>
        </w:rPr>
      </w:pPr>
      <w:r w:rsidRPr="00BF7FD0">
        <w:rPr>
          <w:rFonts w:cs="Calibri"/>
          <w:b/>
        </w:rPr>
        <w:t>↑</w:t>
      </w:r>
      <w:r w:rsidRPr="00BF7FD0">
        <w:rPr>
          <w:b/>
        </w:rPr>
        <w:t xml:space="preserve"> DOC and Trihalomethanes</w:t>
      </w:r>
      <w:r w:rsidRPr="00BF7FD0">
        <w:rPr>
          <w:rFonts w:cs="Calibri"/>
        </w:rPr>
        <w:t>↓</w:t>
      </w:r>
      <w:r>
        <w:t xml:space="preserve"> </w:t>
      </w:r>
      <w:r w:rsidRPr="00BF7FD0">
        <w:rPr>
          <w:i/>
        </w:rPr>
        <w:t xml:space="preserve">Drinking Water </w:t>
      </w:r>
      <w:r>
        <w:rPr>
          <w:i/>
        </w:rPr>
        <w:t>Source Quality</w:t>
      </w:r>
      <w:r w:rsidRPr="00BF7FD0">
        <w:rPr>
          <w:rFonts w:cs="Calibri"/>
          <w:i/>
        </w:rPr>
        <w:t>↑ Water Treatment Cost</w:t>
      </w:r>
    </w:p>
    <w:p w14:paraId="067BB86C" w14:textId="3882BDC4" w:rsidR="00C32EC9" w:rsidRDefault="00F01CB8" w:rsidP="00906C3D">
      <w:pPr>
        <w:spacing w:line="23" w:lineRule="atLeast"/>
      </w:pPr>
      <w:r>
        <w:t>The numeric values of those thresholds depend on pathway of impact, risk tolerance, aquatic life or human use protection endpoints and source data. DO and pH objectives are in Regional Board basin plans</w:t>
      </w:r>
      <w:r w:rsidR="003B605E">
        <w:t xml:space="preserve">. </w:t>
      </w:r>
      <w:r>
        <w:t>CCHAB and the State Water Board staff are coordinating guidance for cyanoHAB cell density and toxin concentrations</w:t>
      </w:r>
      <w:r w:rsidR="003B605E">
        <w:t>; we</w:t>
      </w:r>
      <w:r>
        <w:t xml:space="preserve"> defer to that group for the basis of guidance</w:t>
      </w:r>
      <w:r w:rsidR="00C32EC9">
        <w:t xml:space="preserve">; derivation of sestonic and benthic chl-a thresholds (and associated TN and TP) </w:t>
      </w:r>
      <w:r w:rsidR="00B80774">
        <w:t xml:space="preserve">protective against risk of cyanoHAB toxins </w:t>
      </w:r>
      <w:r w:rsidR="00C32EC9">
        <w:t>can be developed or refined from improved monitoring</w:t>
      </w:r>
      <w:r>
        <w:t xml:space="preserve">. </w:t>
      </w:r>
    </w:p>
    <w:p w14:paraId="32246727" w14:textId="4C2E9CB3" w:rsidR="00906C3D" w:rsidRDefault="00F01CB8" w:rsidP="00906C3D">
      <w:pPr>
        <w:spacing w:line="23" w:lineRule="atLeast"/>
      </w:pPr>
      <w:r>
        <w:t xml:space="preserve">Among the strongest evidence are </w:t>
      </w:r>
      <w:r w:rsidR="002C1E9D">
        <w:t xml:space="preserve">TN, TP, benthic chl-a and AFDM </w:t>
      </w:r>
      <w:r>
        <w:t>thresholds derived from protection endpoints for bioassessment indices for benthic macroinvertebrate (BMI; California Stream Condition Index -CSCI) and algae (algal stream condition index-ASCI), summarized for a selected confidence level, in the table below</w:t>
      </w:r>
      <w:r w:rsidR="00906C3D">
        <w:t xml:space="preserve"> (see Table 4.1 below). </w:t>
      </w:r>
      <w:r w:rsidR="000B0EE3">
        <w:t xml:space="preserve">Based on biological condition gradient (BCG) expert interpretation (Paul et al. in prep), </w:t>
      </w:r>
      <w:r w:rsidR="003B605E">
        <w:t>the 10</w:t>
      </w:r>
      <w:r w:rsidR="003B605E" w:rsidRPr="003B605E">
        <w:rPr>
          <w:vertAlign w:val="superscript"/>
        </w:rPr>
        <w:t>th</w:t>
      </w:r>
      <w:r w:rsidR="003B605E">
        <w:t xml:space="preserve"> percentile of reference equates to </w:t>
      </w:r>
      <w:r w:rsidR="000B0EE3">
        <w:t>evident loss of structure, minimal loss of ecological function, while the 1</w:t>
      </w:r>
      <w:r w:rsidR="000B0EE3" w:rsidRPr="00DC57F9">
        <w:rPr>
          <w:vertAlign w:val="superscript"/>
        </w:rPr>
        <w:t>st</w:t>
      </w:r>
      <w:r w:rsidR="000B0EE3">
        <w:t xml:space="preserve"> </w:t>
      </w:r>
      <w:r w:rsidR="003B605E">
        <w:t xml:space="preserve">equates to </w:t>
      </w:r>
      <w:r w:rsidR="000B0EE3">
        <w:t xml:space="preserve">moderate loss of structure, minor loss of function. </w:t>
      </w:r>
      <w:r w:rsidR="003B605E">
        <w:t>CA-derived TN and TP thresholds are within range of other literature and state criteria (Figure 4.1) and just below best available treatment technologies for municipal wastewater, particularly for TN.</w:t>
      </w:r>
    </w:p>
    <w:p w14:paraId="00B45107" w14:textId="4F58F229" w:rsidR="002C1E9D" w:rsidRPr="0024050F" w:rsidRDefault="00906C3D" w:rsidP="00C26519">
      <w:pPr>
        <w:pStyle w:val="TOT"/>
      </w:pPr>
      <w:bookmarkStart w:id="175" w:name="_Toc526489933"/>
      <w:r>
        <w:t xml:space="preserve">Table 4.1 </w:t>
      </w:r>
      <w:r w:rsidR="002C1E9D" w:rsidRPr="0024050F">
        <w:t>Range of TN, TP thresholds, Benthic Chl-a, AFDM associated with protection of CSCI and ASCI_H at a relative probability of 90% confidence, at varying levels of percentile of reference, from 30</w:t>
      </w:r>
      <w:r w:rsidR="002C1E9D" w:rsidRPr="0024050F">
        <w:rPr>
          <w:vertAlign w:val="superscript"/>
        </w:rPr>
        <w:t>th</w:t>
      </w:r>
      <w:r w:rsidR="002C1E9D" w:rsidRPr="0024050F">
        <w:t xml:space="preserve"> to 1</w:t>
      </w:r>
      <w:r w:rsidR="002C1E9D" w:rsidRPr="0024050F">
        <w:rPr>
          <w:vertAlign w:val="superscript"/>
        </w:rPr>
        <w:t>st</w:t>
      </w:r>
      <w:r w:rsidR="002C1E9D" w:rsidRPr="0024050F">
        <w:t xml:space="preserve">. compared to reference distribution and taxon-specific changepoints for eutrophication factors. Red text highlights reference distributions that are higher than the derived Ref10 threshold, or taxon-specific change-points that are below the derived Ref10 threshold. SBA: soft-bodied algae. BMI: Benthic macroinvertebrates. n: number of reference sites. </w:t>
      </w:r>
      <w:bookmarkEnd w:id="175"/>
    </w:p>
    <w:tbl>
      <w:tblPr>
        <w:tblStyle w:val="LightShading1"/>
        <w:tblW w:w="0" w:type="auto"/>
        <w:tblLook w:val="06A0" w:firstRow="1" w:lastRow="0" w:firstColumn="1" w:lastColumn="0" w:noHBand="1" w:noVBand="1"/>
      </w:tblPr>
      <w:tblGrid>
        <w:gridCol w:w="3445"/>
        <w:gridCol w:w="877"/>
        <w:gridCol w:w="849"/>
        <w:gridCol w:w="681"/>
        <w:gridCol w:w="782"/>
        <w:gridCol w:w="930"/>
      </w:tblGrid>
      <w:tr w:rsidR="002C1E9D" w14:paraId="05C177CA" w14:textId="77777777" w:rsidTr="00C26519">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0953078" w14:textId="77777777" w:rsidR="002C1E9D" w:rsidRDefault="002C1E9D" w:rsidP="00C26519">
            <w:pPr>
              <w:spacing w:after="0" w:line="240" w:lineRule="auto"/>
            </w:pPr>
            <w:r>
              <w:t>Benchmark</w:t>
            </w:r>
          </w:p>
        </w:tc>
        <w:tc>
          <w:tcPr>
            <w:tcW w:w="0" w:type="auto"/>
            <w:noWrap/>
            <w:hideMark/>
          </w:tcPr>
          <w:p w14:paraId="1671248B" w14:textId="77777777" w:rsidR="002C1E9D" w:rsidRDefault="002C1E9D" w:rsidP="00C26519">
            <w:pPr>
              <w:spacing w:after="0" w:line="240" w:lineRule="auto"/>
              <w:cnfStyle w:val="100000000000" w:firstRow="1" w:lastRow="0" w:firstColumn="0" w:lastColumn="0" w:oddVBand="0" w:evenVBand="0" w:oddHBand="0" w:evenHBand="0" w:firstRowFirstColumn="0" w:firstRowLastColumn="0" w:lastRowFirstColumn="0" w:lastRowLastColumn="0"/>
            </w:pPr>
            <w:r>
              <w:t>Total N</w:t>
            </w:r>
          </w:p>
        </w:tc>
        <w:tc>
          <w:tcPr>
            <w:tcW w:w="0" w:type="auto"/>
            <w:noWrap/>
            <w:hideMark/>
          </w:tcPr>
          <w:p w14:paraId="0D93A946" w14:textId="77777777" w:rsidR="002C1E9D" w:rsidRDefault="002C1E9D" w:rsidP="00C26519">
            <w:pPr>
              <w:spacing w:after="0" w:line="240" w:lineRule="auto"/>
              <w:cnfStyle w:val="100000000000" w:firstRow="1" w:lastRow="0" w:firstColumn="0" w:lastColumn="0" w:oddVBand="0" w:evenVBand="0" w:oddHBand="0" w:evenHBand="0" w:firstRowFirstColumn="0" w:firstRowLastColumn="0" w:lastRowFirstColumn="0" w:lastRowLastColumn="0"/>
            </w:pPr>
            <w:r>
              <w:t>Total P</w:t>
            </w:r>
          </w:p>
        </w:tc>
        <w:tc>
          <w:tcPr>
            <w:tcW w:w="0" w:type="auto"/>
            <w:noWrap/>
            <w:hideMark/>
          </w:tcPr>
          <w:p w14:paraId="74D1AA2C" w14:textId="77777777" w:rsidR="002C1E9D" w:rsidRDefault="002C1E9D" w:rsidP="00C26519">
            <w:pPr>
              <w:spacing w:after="0" w:line="240" w:lineRule="auto"/>
              <w:cnfStyle w:val="100000000000" w:firstRow="1" w:lastRow="0" w:firstColumn="0" w:lastColumn="0" w:oddVBand="0" w:evenVBand="0" w:oddHBand="0" w:evenHBand="0" w:firstRowFirstColumn="0" w:firstRowLastColumn="0" w:lastRowFirstColumn="0" w:lastRowLastColumn="0"/>
            </w:pPr>
            <w:r>
              <w:t>Chl-a</w:t>
            </w:r>
          </w:p>
        </w:tc>
        <w:tc>
          <w:tcPr>
            <w:tcW w:w="0" w:type="auto"/>
            <w:noWrap/>
            <w:hideMark/>
          </w:tcPr>
          <w:p w14:paraId="2A7A43F9" w14:textId="77777777" w:rsidR="002C1E9D" w:rsidRDefault="002C1E9D" w:rsidP="00C26519">
            <w:pPr>
              <w:spacing w:after="0" w:line="240" w:lineRule="auto"/>
              <w:cnfStyle w:val="100000000000" w:firstRow="1" w:lastRow="0" w:firstColumn="0" w:lastColumn="0" w:oddVBand="0" w:evenVBand="0" w:oddHBand="0" w:evenHBand="0" w:firstRowFirstColumn="0" w:firstRowLastColumn="0" w:lastRowFirstColumn="0" w:lastRowLastColumn="0"/>
            </w:pPr>
            <w:r>
              <w:t>AFDM</w:t>
            </w:r>
          </w:p>
        </w:tc>
        <w:tc>
          <w:tcPr>
            <w:tcW w:w="0" w:type="auto"/>
            <w:noWrap/>
            <w:hideMark/>
          </w:tcPr>
          <w:p w14:paraId="2F8E6B91" w14:textId="77777777" w:rsidR="002C1E9D" w:rsidRDefault="002C1E9D" w:rsidP="00C26519">
            <w:pPr>
              <w:spacing w:after="0" w:line="240" w:lineRule="auto"/>
              <w:cnfStyle w:val="100000000000" w:firstRow="1" w:lastRow="0" w:firstColumn="0" w:lastColumn="0" w:oddVBand="0" w:evenVBand="0" w:oddHBand="0" w:evenHBand="0" w:firstRowFirstColumn="0" w:firstRowLastColumn="0" w:lastRowFirstColumn="0" w:lastRowLastColumn="0"/>
            </w:pPr>
            <w:r>
              <w:t>% cover</w:t>
            </w:r>
          </w:p>
        </w:tc>
      </w:tr>
      <w:tr w:rsidR="002C1E9D" w14:paraId="253E340E"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1D3940" w14:textId="77777777" w:rsidR="002C1E9D" w:rsidRDefault="002C1E9D" w:rsidP="00C26519">
            <w:pPr>
              <w:spacing w:after="0" w:line="240" w:lineRule="auto"/>
              <w:rPr>
                <w:i/>
                <w:iCs/>
              </w:rPr>
            </w:pPr>
            <w:r>
              <w:rPr>
                <w:i/>
                <w:iCs/>
              </w:rPr>
              <w:t>Derived thresholds- CSCI</w:t>
            </w:r>
          </w:p>
        </w:tc>
        <w:tc>
          <w:tcPr>
            <w:tcW w:w="0" w:type="auto"/>
            <w:noWrap/>
            <w:hideMark/>
          </w:tcPr>
          <w:p w14:paraId="7E2A4747" w14:textId="77777777" w:rsidR="002C1E9D" w:rsidRPr="009D6BB8" w:rsidRDefault="002C1E9D" w:rsidP="00C26519">
            <w:pPr>
              <w:spacing w:after="0" w:line="240" w:lineRule="auto"/>
              <w:cnfStyle w:val="000000000000" w:firstRow="0" w:lastRow="0" w:firstColumn="0" w:lastColumn="0" w:oddVBand="0" w:evenVBand="0" w:oddHBand="0" w:evenHBand="0" w:firstRowFirstColumn="0" w:firstRowLastColumn="0" w:lastRowFirstColumn="0" w:lastRowLastColumn="0"/>
              <w:rPr>
                <w:i/>
                <w:iCs/>
                <w:highlight w:val="yellow"/>
              </w:rPr>
            </w:pPr>
          </w:p>
        </w:tc>
        <w:tc>
          <w:tcPr>
            <w:tcW w:w="0" w:type="auto"/>
            <w:noWrap/>
            <w:hideMark/>
          </w:tcPr>
          <w:p w14:paraId="36FD78BD" w14:textId="77777777" w:rsidR="002C1E9D" w:rsidRPr="009D6BB8" w:rsidRDefault="002C1E9D" w:rsidP="00C265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highlight w:val="yellow"/>
              </w:rPr>
            </w:pPr>
          </w:p>
        </w:tc>
        <w:tc>
          <w:tcPr>
            <w:tcW w:w="0" w:type="auto"/>
            <w:noWrap/>
            <w:hideMark/>
          </w:tcPr>
          <w:p w14:paraId="350DAD92" w14:textId="77777777" w:rsidR="002C1E9D" w:rsidRDefault="002C1E9D" w:rsidP="00C265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c>
          <w:tcPr>
            <w:tcW w:w="0" w:type="auto"/>
            <w:noWrap/>
            <w:hideMark/>
          </w:tcPr>
          <w:p w14:paraId="68C89BBE" w14:textId="77777777" w:rsidR="002C1E9D" w:rsidRDefault="002C1E9D" w:rsidP="00C265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c>
          <w:tcPr>
            <w:tcW w:w="0" w:type="auto"/>
            <w:noWrap/>
            <w:hideMark/>
          </w:tcPr>
          <w:p w14:paraId="730BC2D4" w14:textId="77777777" w:rsidR="002C1E9D" w:rsidRDefault="002C1E9D" w:rsidP="00C265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r>
      <w:tr w:rsidR="002C1E9D" w14:paraId="77978B44"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E5FCC6F" w14:textId="77777777" w:rsidR="002C1E9D" w:rsidRDefault="002C1E9D" w:rsidP="00C26519">
            <w:pPr>
              <w:spacing w:after="0" w:line="240" w:lineRule="auto"/>
              <w:rPr>
                <w:rFonts w:eastAsiaTheme="minorHAnsi" w:cs="Calibri"/>
              </w:rPr>
            </w:pPr>
            <w:r>
              <w:t>Eutrophication threshold for Ref30</w:t>
            </w:r>
          </w:p>
        </w:tc>
        <w:tc>
          <w:tcPr>
            <w:tcW w:w="0" w:type="auto"/>
            <w:noWrap/>
            <w:hideMark/>
          </w:tcPr>
          <w:p w14:paraId="1C32A5E1"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E0AC8">
              <w:rPr>
                <w:rFonts w:asciiTheme="minorHAnsi" w:hAnsiTheme="minorHAnsi" w:cstheme="minorHAnsi"/>
                <w:sz w:val="20"/>
                <w:szCs w:val="20"/>
              </w:rPr>
              <w:t>0.34</w:t>
            </w:r>
          </w:p>
        </w:tc>
        <w:tc>
          <w:tcPr>
            <w:tcW w:w="0" w:type="auto"/>
            <w:noWrap/>
            <w:hideMark/>
          </w:tcPr>
          <w:p w14:paraId="5E125D43"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E0AC8">
              <w:rPr>
                <w:sz w:val="20"/>
                <w:szCs w:val="20"/>
              </w:rPr>
              <w:t>0.024</w:t>
            </w:r>
          </w:p>
        </w:tc>
        <w:tc>
          <w:tcPr>
            <w:tcW w:w="0" w:type="auto"/>
            <w:noWrap/>
            <w:hideMark/>
          </w:tcPr>
          <w:p w14:paraId="0190B9D9"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14</w:t>
            </w:r>
          </w:p>
        </w:tc>
        <w:tc>
          <w:tcPr>
            <w:tcW w:w="0" w:type="auto"/>
            <w:noWrap/>
            <w:hideMark/>
          </w:tcPr>
          <w:p w14:paraId="28365987"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12</w:t>
            </w:r>
          </w:p>
        </w:tc>
        <w:tc>
          <w:tcPr>
            <w:tcW w:w="0" w:type="auto"/>
            <w:noWrap/>
            <w:hideMark/>
          </w:tcPr>
          <w:p w14:paraId="48156384"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10</w:t>
            </w:r>
          </w:p>
        </w:tc>
      </w:tr>
      <w:tr w:rsidR="002C1E9D" w14:paraId="6B034E83"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BC69CCD" w14:textId="77777777" w:rsidR="002C1E9D" w:rsidRDefault="002C1E9D" w:rsidP="00C26519">
            <w:pPr>
              <w:spacing w:after="0" w:line="240" w:lineRule="auto"/>
              <w:rPr>
                <w:color w:val="FFFFFF"/>
              </w:rPr>
            </w:pPr>
            <w:r>
              <w:rPr>
                <w:color w:val="FFFFFF"/>
              </w:rPr>
              <w:t xml:space="preserve">Eutrophication threshold for </w:t>
            </w:r>
            <w:r>
              <w:t>Ref10</w:t>
            </w:r>
          </w:p>
        </w:tc>
        <w:tc>
          <w:tcPr>
            <w:tcW w:w="0" w:type="auto"/>
            <w:noWrap/>
            <w:hideMark/>
          </w:tcPr>
          <w:p w14:paraId="5D7A29EE"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E0AC8">
              <w:rPr>
                <w:rFonts w:asciiTheme="minorHAnsi" w:hAnsiTheme="minorHAnsi" w:cstheme="minorHAnsi"/>
                <w:sz w:val="20"/>
                <w:szCs w:val="20"/>
              </w:rPr>
              <w:t>0.59</w:t>
            </w:r>
          </w:p>
        </w:tc>
        <w:tc>
          <w:tcPr>
            <w:tcW w:w="0" w:type="auto"/>
            <w:noWrap/>
            <w:hideMark/>
          </w:tcPr>
          <w:p w14:paraId="32A777EA"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E0AC8">
              <w:rPr>
                <w:rFonts w:asciiTheme="minorHAnsi" w:hAnsiTheme="minorHAnsi" w:cstheme="minorHAnsi"/>
                <w:sz w:val="20"/>
                <w:szCs w:val="20"/>
              </w:rPr>
              <w:t>0.104</w:t>
            </w:r>
          </w:p>
        </w:tc>
        <w:tc>
          <w:tcPr>
            <w:tcW w:w="0" w:type="auto"/>
            <w:noWrap/>
            <w:hideMark/>
          </w:tcPr>
          <w:p w14:paraId="5DB0076D"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28</w:t>
            </w:r>
          </w:p>
        </w:tc>
        <w:tc>
          <w:tcPr>
            <w:tcW w:w="0" w:type="auto"/>
            <w:noWrap/>
            <w:hideMark/>
          </w:tcPr>
          <w:p w14:paraId="4519BC03"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20</w:t>
            </w:r>
          </w:p>
        </w:tc>
        <w:tc>
          <w:tcPr>
            <w:tcW w:w="0" w:type="auto"/>
            <w:noWrap/>
            <w:hideMark/>
          </w:tcPr>
          <w:p w14:paraId="074E89A6"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13</w:t>
            </w:r>
          </w:p>
        </w:tc>
      </w:tr>
      <w:tr w:rsidR="002C1E9D" w14:paraId="3C8C0DD3"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8E7F40B" w14:textId="77777777" w:rsidR="002C1E9D" w:rsidRDefault="002C1E9D" w:rsidP="00C26519">
            <w:pPr>
              <w:spacing w:after="0" w:line="240" w:lineRule="auto"/>
              <w:rPr>
                <w:color w:val="FFFFFF"/>
              </w:rPr>
            </w:pPr>
            <w:r>
              <w:rPr>
                <w:color w:val="FFFFFF"/>
              </w:rPr>
              <w:t xml:space="preserve">Eutrophication threshold for </w:t>
            </w:r>
            <w:r>
              <w:t>Ref01</w:t>
            </w:r>
          </w:p>
        </w:tc>
        <w:tc>
          <w:tcPr>
            <w:tcW w:w="0" w:type="auto"/>
            <w:noWrap/>
            <w:hideMark/>
          </w:tcPr>
          <w:p w14:paraId="758A3EF5"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E0AC8">
              <w:rPr>
                <w:rFonts w:asciiTheme="minorHAnsi" w:hAnsiTheme="minorHAnsi" w:cstheme="minorHAnsi"/>
                <w:sz w:val="20"/>
                <w:szCs w:val="20"/>
              </w:rPr>
              <w:t>1.95</w:t>
            </w:r>
          </w:p>
        </w:tc>
        <w:tc>
          <w:tcPr>
            <w:tcW w:w="0" w:type="auto"/>
            <w:noWrap/>
            <w:hideMark/>
          </w:tcPr>
          <w:p w14:paraId="539E2BAC"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2E0AC8">
              <w:rPr>
                <w:sz w:val="20"/>
                <w:szCs w:val="20"/>
              </w:rPr>
              <w:t>0.401</w:t>
            </w:r>
          </w:p>
        </w:tc>
        <w:tc>
          <w:tcPr>
            <w:tcW w:w="0" w:type="auto"/>
            <w:noWrap/>
            <w:hideMark/>
          </w:tcPr>
          <w:p w14:paraId="75FE4A43"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65</w:t>
            </w:r>
          </w:p>
        </w:tc>
        <w:tc>
          <w:tcPr>
            <w:tcW w:w="0" w:type="auto"/>
            <w:noWrap/>
            <w:hideMark/>
          </w:tcPr>
          <w:p w14:paraId="3773D1F2"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37</w:t>
            </w:r>
          </w:p>
        </w:tc>
        <w:tc>
          <w:tcPr>
            <w:tcW w:w="0" w:type="auto"/>
            <w:noWrap/>
            <w:hideMark/>
          </w:tcPr>
          <w:p w14:paraId="7149F013"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26</w:t>
            </w:r>
          </w:p>
        </w:tc>
      </w:tr>
      <w:tr w:rsidR="002C1E9D" w14:paraId="57C15015"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63FB3A7B" w14:textId="77777777" w:rsidR="002C1E9D" w:rsidRDefault="002C1E9D" w:rsidP="00C26519">
            <w:pPr>
              <w:spacing w:after="0" w:line="240" w:lineRule="auto"/>
              <w:rPr>
                <w:color w:val="FFFFFF"/>
              </w:rPr>
            </w:pPr>
            <w:r>
              <w:rPr>
                <w:i/>
                <w:iCs/>
              </w:rPr>
              <w:t>Derived thresholds- ASCI</w:t>
            </w:r>
          </w:p>
        </w:tc>
        <w:tc>
          <w:tcPr>
            <w:tcW w:w="0" w:type="auto"/>
            <w:noWrap/>
          </w:tcPr>
          <w:p w14:paraId="37FF70ED"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p>
        </w:tc>
        <w:tc>
          <w:tcPr>
            <w:tcW w:w="0" w:type="auto"/>
            <w:noWrap/>
          </w:tcPr>
          <w:p w14:paraId="5D9C11AE"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p>
        </w:tc>
        <w:tc>
          <w:tcPr>
            <w:tcW w:w="0" w:type="auto"/>
            <w:noWrap/>
          </w:tcPr>
          <w:p w14:paraId="475F3B65"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p>
        </w:tc>
        <w:tc>
          <w:tcPr>
            <w:tcW w:w="0" w:type="auto"/>
            <w:noWrap/>
          </w:tcPr>
          <w:p w14:paraId="2B765CD9"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p>
        </w:tc>
        <w:tc>
          <w:tcPr>
            <w:tcW w:w="0" w:type="auto"/>
            <w:noWrap/>
          </w:tcPr>
          <w:p w14:paraId="76D4AB6C"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p>
        </w:tc>
      </w:tr>
      <w:tr w:rsidR="002C1E9D" w14:paraId="4A6DC90E"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2E2A2D97" w14:textId="77777777" w:rsidR="002C1E9D" w:rsidRDefault="002C1E9D" w:rsidP="00C26519">
            <w:pPr>
              <w:spacing w:after="0" w:line="240" w:lineRule="auto"/>
              <w:rPr>
                <w:color w:val="FFFFFF"/>
              </w:rPr>
            </w:pPr>
            <w:r>
              <w:t>Eutrophication threshold for Ref30</w:t>
            </w:r>
          </w:p>
        </w:tc>
        <w:tc>
          <w:tcPr>
            <w:tcW w:w="0" w:type="auto"/>
            <w:noWrap/>
          </w:tcPr>
          <w:p w14:paraId="2323CC47"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0.13</w:t>
            </w:r>
          </w:p>
        </w:tc>
        <w:tc>
          <w:tcPr>
            <w:tcW w:w="0" w:type="auto"/>
            <w:noWrap/>
          </w:tcPr>
          <w:p w14:paraId="2F609224"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0.026</w:t>
            </w:r>
          </w:p>
        </w:tc>
        <w:tc>
          <w:tcPr>
            <w:tcW w:w="0" w:type="auto"/>
            <w:noWrap/>
          </w:tcPr>
          <w:p w14:paraId="26D33A75"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24</w:t>
            </w:r>
          </w:p>
        </w:tc>
        <w:tc>
          <w:tcPr>
            <w:tcW w:w="0" w:type="auto"/>
            <w:noWrap/>
          </w:tcPr>
          <w:p w14:paraId="10766A02"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17</w:t>
            </w:r>
          </w:p>
        </w:tc>
        <w:tc>
          <w:tcPr>
            <w:tcW w:w="0" w:type="auto"/>
            <w:noWrap/>
          </w:tcPr>
          <w:p w14:paraId="29CD777D"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18</w:t>
            </w:r>
          </w:p>
        </w:tc>
      </w:tr>
      <w:tr w:rsidR="002C1E9D" w14:paraId="18F6018F"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70C70556" w14:textId="77777777" w:rsidR="002C1E9D" w:rsidRDefault="002C1E9D" w:rsidP="00C26519">
            <w:pPr>
              <w:spacing w:after="0" w:line="240" w:lineRule="auto"/>
              <w:rPr>
                <w:color w:val="FFFFFF"/>
              </w:rPr>
            </w:pPr>
            <w:r>
              <w:rPr>
                <w:color w:val="FFFFFF"/>
              </w:rPr>
              <w:t xml:space="preserve">Eutrophication threshold for </w:t>
            </w:r>
            <w:r>
              <w:t>Ref10</w:t>
            </w:r>
          </w:p>
        </w:tc>
        <w:tc>
          <w:tcPr>
            <w:tcW w:w="0" w:type="auto"/>
            <w:noWrap/>
          </w:tcPr>
          <w:p w14:paraId="1E24999F"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0.32</w:t>
            </w:r>
          </w:p>
        </w:tc>
        <w:tc>
          <w:tcPr>
            <w:tcW w:w="0" w:type="auto"/>
            <w:noWrap/>
          </w:tcPr>
          <w:p w14:paraId="7D263975"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0.080</w:t>
            </w:r>
          </w:p>
        </w:tc>
        <w:tc>
          <w:tcPr>
            <w:tcW w:w="0" w:type="auto"/>
            <w:noWrap/>
          </w:tcPr>
          <w:p w14:paraId="3E772F65"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43</w:t>
            </w:r>
          </w:p>
        </w:tc>
        <w:tc>
          <w:tcPr>
            <w:tcW w:w="0" w:type="auto"/>
            <w:noWrap/>
          </w:tcPr>
          <w:p w14:paraId="7D621320"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30</w:t>
            </w:r>
          </w:p>
        </w:tc>
        <w:tc>
          <w:tcPr>
            <w:tcW w:w="0" w:type="auto"/>
            <w:noWrap/>
          </w:tcPr>
          <w:p w14:paraId="36849FDF"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2E0AC8">
              <w:t>20</w:t>
            </w:r>
          </w:p>
        </w:tc>
      </w:tr>
      <w:tr w:rsidR="002C1E9D" w14:paraId="279ED8F7"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0A692BB" w14:textId="77777777" w:rsidR="002C1E9D" w:rsidRDefault="002C1E9D" w:rsidP="00C26519">
            <w:pPr>
              <w:spacing w:after="0" w:line="240" w:lineRule="auto"/>
            </w:pPr>
            <w:r>
              <w:rPr>
                <w:color w:val="FFFFFF"/>
              </w:rPr>
              <w:t xml:space="preserve">Eutrophication threshold for </w:t>
            </w:r>
            <w:r>
              <w:t>Ref01</w:t>
            </w:r>
          </w:p>
        </w:tc>
        <w:tc>
          <w:tcPr>
            <w:tcW w:w="0" w:type="auto"/>
            <w:noWrap/>
            <w:hideMark/>
          </w:tcPr>
          <w:p w14:paraId="0157EA3A"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2E0AC8">
              <w:t>1.67</w:t>
            </w:r>
          </w:p>
        </w:tc>
        <w:tc>
          <w:tcPr>
            <w:tcW w:w="0" w:type="auto"/>
            <w:noWrap/>
            <w:hideMark/>
          </w:tcPr>
          <w:p w14:paraId="24C161D4"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2E0AC8">
              <w:t>0.394</w:t>
            </w:r>
          </w:p>
        </w:tc>
        <w:tc>
          <w:tcPr>
            <w:tcW w:w="0" w:type="auto"/>
            <w:noWrap/>
            <w:hideMark/>
          </w:tcPr>
          <w:p w14:paraId="29D2C2AE"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2E0AC8">
              <w:t>122</w:t>
            </w:r>
          </w:p>
        </w:tc>
        <w:tc>
          <w:tcPr>
            <w:tcW w:w="0" w:type="auto"/>
            <w:noWrap/>
            <w:hideMark/>
          </w:tcPr>
          <w:p w14:paraId="15836930"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2E0AC8">
              <w:t>80</w:t>
            </w:r>
          </w:p>
        </w:tc>
        <w:tc>
          <w:tcPr>
            <w:tcW w:w="0" w:type="auto"/>
            <w:noWrap/>
            <w:hideMark/>
          </w:tcPr>
          <w:p w14:paraId="6D671BB5" w14:textId="77777777" w:rsidR="002C1E9D" w:rsidRPr="002E0AC8"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2E0AC8">
              <w:t>33</w:t>
            </w:r>
          </w:p>
        </w:tc>
      </w:tr>
      <w:tr w:rsidR="002C1E9D" w14:paraId="4F9551DA"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3F654AC" w14:textId="77777777" w:rsidR="002C1E9D" w:rsidRDefault="002C1E9D" w:rsidP="00C26519">
            <w:pPr>
              <w:spacing w:after="0" w:line="240" w:lineRule="auto"/>
              <w:rPr>
                <w:rFonts w:eastAsiaTheme="minorHAnsi" w:cs="Calibri"/>
                <w:i/>
                <w:iCs/>
              </w:rPr>
            </w:pPr>
            <w:r>
              <w:rPr>
                <w:i/>
                <w:iCs/>
              </w:rPr>
              <w:t>Reference distributions</w:t>
            </w:r>
          </w:p>
        </w:tc>
        <w:tc>
          <w:tcPr>
            <w:tcW w:w="0" w:type="auto"/>
            <w:noWrap/>
            <w:hideMark/>
          </w:tcPr>
          <w:p w14:paraId="6C1B1543" w14:textId="77777777" w:rsidR="002C1E9D" w:rsidRDefault="002C1E9D" w:rsidP="00C26519">
            <w:pPr>
              <w:spacing w:after="0" w:line="240" w:lineRule="auto"/>
              <w:cnfStyle w:val="000000000000" w:firstRow="0" w:lastRow="0" w:firstColumn="0" w:lastColumn="0" w:oddVBand="0" w:evenVBand="0" w:oddHBand="0" w:evenHBand="0" w:firstRowFirstColumn="0" w:firstRowLastColumn="0" w:lastRowFirstColumn="0" w:lastRowLastColumn="0"/>
              <w:rPr>
                <w:i/>
                <w:iCs/>
              </w:rPr>
            </w:pPr>
          </w:p>
        </w:tc>
        <w:tc>
          <w:tcPr>
            <w:tcW w:w="0" w:type="auto"/>
            <w:noWrap/>
            <w:hideMark/>
          </w:tcPr>
          <w:p w14:paraId="660B8FD1" w14:textId="77777777" w:rsidR="002C1E9D" w:rsidRDefault="002C1E9D" w:rsidP="00C265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c>
          <w:tcPr>
            <w:tcW w:w="0" w:type="auto"/>
            <w:noWrap/>
            <w:hideMark/>
          </w:tcPr>
          <w:p w14:paraId="64993517" w14:textId="77777777" w:rsidR="002C1E9D" w:rsidRDefault="002C1E9D" w:rsidP="00C265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c>
          <w:tcPr>
            <w:tcW w:w="0" w:type="auto"/>
            <w:noWrap/>
            <w:hideMark/>
          </w:tcPr>
          <w:p w14:paraId="6496B055" w14:textId="77777777" w:rsidR="002C1E9D" w:rsidRDefault="002C1E9D" w:rsidP="00C265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c>
          <w:tcPr>
            <w:tcW w:w="0" w:type="auto"/>
            <w:noWrap/>
            <w:hideMark/>
          </w:tcPr>
          <w:p w14:paraId="03F7AC30" w14:textId="77777777" w:rsidR="002C1E9D" w:rsidRDefault="002C1E9D" w:rsidP="00C265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r>
      <w:tr w:rsidR="002C1E9D" w14:paraId="79CA9C8E"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E71FCAD" w14:textId="77777777" w:rsidR="002C1E9D" w:rsidRDefault="002C1E9D" w:rsidP="00C26519">
            <w:pPr>
              <w:spacing w:after="0" w:line="240" w:lineRule="auto"/>
              <w:rPr>
                <w:rFonts w:eastAsiaTheme="minorHAnsi" w:cs="Calibri"/>
              </w:rPr>
            </w:pPr>
            <w:r>
              <w:t>90th percentile - Statewide (n=524)</w:t>
            </w:r>
          </w:p>
        </w:tc>
        <w:tc>
          <w:tcPr>
            <w:tcW w:w="0" w:type="auto"/>
            <w:noWrap/>
            <w:hideMark/>
          </w:tcPr>
          <w:p w14:paraId="65F74293"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0.25</w:t>
            </w:r>
          </w:p>
        </w:tc>
        <w:tc>
          <w:tcPr>
            <w:tcW w:w="0" w:type="auto"/>
            <w:noWrap/>
            <w:hideMark/>
          </w:tcPr>
          <w:p w14:paraId="59C1F76A"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0.058</w:t>
            </w:r>
          </w:p>
        </w:tc>
        <w:tc>
          <w:tcPr>
            <w:tcW w:w="0" w:type="auto"/>
            <w:noWrap/>
            <w:hideMark/>
          </w:tcPr>
          <w:p w14:paraId="013D7A93"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31</w:t>
            </w:r>
          </w:p>
        </w:tc>
        <w:tc>
          <w:tcPr>
            <w:tcW w:w="0" w:type="auto"/>
            <w:noWrap/>
            <w:hideMark/>
          </w:tcPr>
          <w:p w14:paraId="2E93FD72"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27</w:t>
            </w:r>
          </w:p>
        </w:tc>
        <w:tc>
          <w:tcPr>
            <w:tcW w:w="0" w:type="auto"/>
            <w:noWrap/>
            <w:hideMark/>
          </w:tcPr>
          <w:p w14:paraId="7E6EC00D"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39</w:t>
            </w:r>
          </w:p>
        </w:tc>
      </w:tr>
      <w:tr w:rsidR="002C1E9D" w14:paraId="122716D0"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CE4F67C" w14:textId="77777777" w:rsidR="002C1E9D" w:rsidRPr="00A63378" w:rsidRDefault="002C1E9D" w:rsidP="00C26519">
            <w:pPr>
              <w:spacing w:after="0" w:line="240" w:lineRule="auto"/>
              <w:ind w:right="100"/>
            </w:pPr>
            <w:r w:rsidRPr="00A63378">
              <w:rPr>
                <w:color w:val="FFFFFF"/>
              </w:rPr>
              <w:t>90</w:t>
            </w:r>
            <w:r w:rsidRPr="00A63378">
              <w:t xml:space="preserve"> - Chaparral (n=76)</w:t>
            </w:r>
          </w:p>
        </w:tc>
        <w:tc>
          <w:tcPr>
            <w:tcW w:w="0" w:type="auto"/>
            <w:noWrap/>
            <w:hideMark/>
          </w:tcPr>
          <w:p w14:paraId="26D0D97A"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0.24</w:t>
            </w:r>
          </w:p>
        </w:tc>
        <w:tc>
          <w:tcPr>
            <w:tcW w:w="0" w:type="auto"/>
            <w:noWrap/>
            <w:hideMark/>
          </w:tcPr>
          <w:p w14:paraId="3533DC7C"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0.075</w:t>
            </w:r>
          </w:p>
        </w:tc>
        <w:tc>
          <w:tcPr>
            <w:tcW w:w="0" w:type="auto"/>
            <w:noWrap/>
            <w:hideMark/>
          </w:tcPr>
          <w:p w14:paraId="219E5F9C"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34</w:t>
            </w:r>
          </w:p>
        </w:tc>
        <w:tc>
          <w:tcPr>
            <w:tcW w:w="0" w:type="auto"/>
            <w:noWrap/>
            <w:hideMark/>
          </w:tcPr>
          <w:p w14:paraId="53C69FFD"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20</w:t>
            </w:r>
          </w:p>
        </w:tc>
        <w:tc>
          <w:tcPr>
            <w:tcW w:w="0" w:type="auto"/>
            <w:noWrap/>
            <w:hideMark/>
          </w:tcPr>
          <w:p w14:paraId="05F48F38"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42</w:t>
            </w:r>
          </w:p>
        </w:tc>
      </w:tr>
      <w:tr w:rsidR="002C1E9D" w14:paraId="61E07E45"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0A2D746" w14:textId="77777777" w:rsidR="002C1E9D" w:rsidRPr="00A63378" w:rsidRDefault="002C1E9D" w:rsidP="00C26519">
            <w:pPr>
              <w:spacing w:after="0" w:line="240" w:lineRule="auto"/>
              <w:ind w:right="100"/>
            </w:pPr>
            <w:r w:rsidRPr="00A63378">
              <w:rPr>
                <w:color w:val="FFFFFF"/>
              </w:rPr>
              <w:t>90t</w:t>
            </w:r>
            <w:r w:rsidRPr="00A63378">
              <w:t>- Central Valley (n=1)</w:t>
            </w:r>
          </w:p>
        </w:tc>
        <w:tc>
          <w:tcPr>
            <w:tcW w:w="0" w:type="auto"/>
            <w:noWrap/>
            <w:hideMark/>
          </w:tcPr>
          <w:p w14:paraId="02294444"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0.16</w:t>
            </w:r>
          </w:p>
        </w:tc>
        <w:tc>
          <w:tcPr>
            <w:tcW w:w="0" w:type="auto"/>
            <w:noWrap/>
            <w:hideMark/>
          </w:tcPr>
          <w:p w14:paraId="042CA226"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0.027</w:t>
            </w:r>
          </w:p>
        </w:tc>
        <w:tc>
          <w:tcPr>
            <w:tcW w:w="0" w:type="auto"/>
            <w:noWrap/>
            <w:hideMark/>
          </w:tcPr>
          <w:p w14:paraId="3F5548AF"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23</w:t>
            </w:r>
          </w:p>
        </w:tc>
        <w:tc>
          <w:tcPr>
            <w:tcW w:w="0" w:type="auto"/>
            <w:noWrap/>
            <w:hideMark/>
          </w:tcPr>
          <w:p w14:paraId="45D2279B"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13</w:t>
            </w:r>
          </w:p>
        </w:tc>
        <w:tc>
          <w:tcPr>
            <w:tcW w:w="0" w:type="auto"/>
            <w:noWrap/>
            <w:hideMark/>
          </w:tcPr>
          <w:p w14:paraId="2A46315D"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41</w:t>
            </w:r>
          </w:p>
        </w:tc>
      </w:tr>
      <w:tr w:rsidR="002C1E9D" w14:paraId="09C0CB89"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C5913D3" w14:textId="77777777" w:rsidR="002C1E9D" w:rsidRPr="00A63378" w:rsidRDefault="002C1E9D" w:rsidP="00C26519">
            <w:pPr>
              <w:spacing w:after="0" w:line="240" w:lineRule="auto"/>
              <w:ind w:right="100"/>
            </w:pPr>
            <w:r w:rsidRPr="00A63378">
              <w:rPr>
                <w:color w:val="FFFFFF"/>
              </w:rPr>
              <w:t>90t</w:t>
            </w:r>
            <w:r w:rsidRPr="00A63378">
              <w:t>- Deserts and Modoc (n=38)</w:t>
            </w:r>
          </w:p>
        </w:tc>
        <w:tc>
          <w:tcPr>
            <w:tcW w:w="0" w:type="auto"/>
            <w:noWrap/>
            <w:hideMark/>
          </w:tcPr>
          <w:p w14:paraId="005A820A"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0.51</w:t>
            </w:r>
          </w:p>
        </w:tc>
        <w:tc>
          <w:tcPr>
            <w:tcW w:w="0" w:type="auto"/>
            <w:noWrap/>
            <w:hideMark/>
          </w:tcPr>
          <w:p w14:paraId="2B3B5AD4"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0.104</w:t>
            </w:r>
          </w:p>
        </w:tc>
        <w:tc>
          <w:tcPr>
            <w:tcW w:w="0" w:type="auto"/>
            <w:noWrap/>
            <w:hideMark/>
          </w:tcPr>
          <w:p w14:paraId="1F183C67"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46</w:t>
            </w:r>
          </w:p>
        </w:tc>
        <w:tc>
          <w:tcPr>
            <w:tcW w:w="0" w:type="auto"/>
            <w:noWrap/>
            <w:hideMark/>
          </w:tcPr>
          <w:p w14:paraId="7FD204EB"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35</w:t>
            </w:r>
          </w:p>
        </w:tc>
        <w:tc>
          <w:tcPr>
            <w:tcW w:w="0" w:type="auto"/>
            <w:noWrap/>
            <w:hideMark/>
          </w:tcPr>
          <w:p w14:paraId="3713B2D8"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50</w:t>
            </w:r>
          </w:p>
        </w:tc>
      </w:tr>
      <w:tr w:rsidR="002C1E9D" w14:paraId="587BC656"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44CE9B0" w14:textId="77777777" w:rsidR="002C1E9D" w:rsidRPr="00A63378" w:rsidRDefault="002C1E9D" w:rsidP="00C26519">
            <w:pPr>
              <w:spacing w:after="0" w:line="240" w:lineRule="auto"/>
              <w:ind w:right="100"/>
            </w:pPr>
            <w:r w:rsidRPr="00A63378">
              <w:rPr>
                <w:color w:val="FFFFFF"/>
              </w:rPr>
              <w:t>90t</w:t>
            </w:r>
            <w:r w:rsidRPr="00A63378">
              <w:t>- North Coast (n=106)</w:t>
            </w:r>
          </w:p>
        </w:tc>
        <w:tc>
          <w:tcPr>
            <w:tcW w:w="0" w:type="auto"/>
            <w:noWrap/>
            <w:hideMark/>
          </w:tcPr>
          <w:p w14:paraId="55ADD123"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0.14</w:t>
            </w:r>
          </w:p>
        </w:tc>
        <w:tc>
          <w:tcPr>
            <w:tcW w:w="0" w:type="auto"/>
            <w:noWrap/>
            <w:hideMark/>
          </w:tcPr>
          <w:p w14:paraId="083D2181"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0.030</w:t>
            </w:r>
          </w:p>
        </w:tc>
        <w:tc>
          <w:tcPr>
            <w:tcW w:w="0" w:type="auto"/>
            <w:noWrap/>
            <w:hideMark/>
          </w:tcPr>
          <w:p w14:paraId="2C3B1A05"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22</w:t>
            </w:r>
          </w:p>
        </w:tc>
        <w:tc>
          <w:tcPr>
            <w:tcW w:w="0" w:type="auto"/>
            <w:noWrap/>
            <w:hideMark/>
          </w:tcPr>
          <w:p w14:paraId="72620895"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15</w:t>
            </w:r>
          </w:p>
        </w:tc>
        <w:tc>
          <w:tcPr>
            <w:tcW w:w="0" w:type="auto"/>
            <w:noWrap/>
            <w:hideMark/>
          </w:tcPr>
          <w:p w14:paraId="35F02302"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29</w:t>
            </w:r>
          </w:p>
        </w:tc>
      </w:tr>
      <w:tr w:rsidR="002C1E9D" w14:paraId="71FDB336"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F74BD71" w14:textId="77777777" w:rsidR="002C1E9D" w:rsidRPr="00A63378" w:rsidRDefault="002C1E9D" w:rsidP="00C26519">
            <w:pPr>
              <w:spacing w:after="0" w:line="240" w:lineRule="auto"/>
              <w:ind w:right="100"/>
            </w:pPr>
            <w:r w:rsidRPr="00A63378">
              <w:rPr>
                <w:color w:val="FFFFFF"/>
              </w:rPr>
              <w:t>90t</w:t>
            </w:r>
            <w:r w:rsidRPr="00A63378">
              <w:t>- South Coast (n=115)</w:t>
            </w:r>
          </w:p>
        </w:tc>
        <w:tc>
          <w:tcPr>
            <w:tcW w:w="0" w:type="auto"/>
            <w:noWrap/>
            <w:hideMark/>
          </w:tcPr>
          <w:p w14:paraId="5C94569D"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0.31</w:t>
            </w:r>
          </w:p>
        </w:tc>
        <w:tc>
          <w:tcPr>
            <w:tcW w:w="0" w:type="auto"/>
            <w:noWrap/>
            <w:hideMark/>
          </w:tcPr>
          <w:p w14:paraId="41CBB893"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0.039</w:t>
            </w:r>
          </w:p>
        </w:tc>
        <w:tc>
          <w:tcPr>
            <w:tcW w:w="0" w:type="auto"/>
            <w:noWrap/>
            <w:hideMark/>
          </w:tcPr>
          <w:p w14:paraId="3F74BCB0"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34</w:t>
            </w:r>
          </w:p>
        </w:tc>
        <w:tc>
          <w:tcPr>
            <w:tcW w:w="0" w:type="auto"/>
            <w:noWrap/>
            <w:hideMark/>
          </w:tcPr>
          <w:p w14:paraId="7C778B3E"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62</w:t>
            </w:r>
          </w:p>
        </w:tc>
        <w:tc>
          <w:tcPr>
            <w:tcW w:w="0" w:type="auto"/>
            <w:noWrap/>
            <w:hideMark/>
          </w:tcPr>
          <w:p w14:paraId="1125CB87"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43</w:t>
            </w:r>
          </w:p>
        </w:tc>
      </w:tr>
      <w:tr w:rsidR="002C1E9D" w14:paraId="5A1E661E"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CD10F29" w14:textId="77777777" w:rsidR="002C1E9D" w:rsidRPr="00A63378" w:rsidRDefault="002C1E9D" w:rsidP="00C26519">
            <w:pPr>
              <w:spacing w:after="0" w:line="240" w:lineRule="auto"/>
              <w:ind w:right="100"/>
            </w:pPr>
            <w:r w:rsidRPr="00A63378">
              <w:rPr>
                <w:color w:val="FFFFFF"/>
              </w:rPr>
              <w:t>90t</w:t>
            </w:r>
            <w:r w:rsidRPr="00A63378">
              <w:t>- Sierra Nevada (n=164)</w:t>
            </w:r>
          </w:p>
        </w:tc>
        <w:tc>
          <w:tcPr>
            <w:tcW w:w="0" w:type="auto"/>
            <w:noWrap/>
            <w:hideMark/>
          </w:tcPr>
          <w:p w14:paraId="6B3F6B23"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0.15</w:t>
            </w:r>
          </w:p>
        </w:tc>
        <w:tc>
          <w:tcPr>
            <w:tcW w:w="0" w:type="auto"/>
            <w:noWrap/>
            <w:hideMark/>
          </w:tcPr>
          <w:p w14:paraId="7AFE1659"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0.058</w:t>
            </w:r>
          </w:p>
        </w:tc>
        <w:tc>
          <w:tcPr>
            <w:tcW w:w="0" w:type="auto"/>
            <w:noWrap/>
            <w:hideMark/>
          </w:tcPr>
          <w:p w14:paraId="00AC3F42"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24</w:t>
            </w:r>
          </w:p>
        </w:tc>
        <w:tc>
          <w:tcPr>
            <w:tcW w:w="0" w:type="auto"/>
            <w:noWrap/>
            <w:hideMark/>
          </w:tcPr>
          <w:p w14:paraId="6B03823E"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17</w:t>
            </w:r>
          </w:p>
        </w:tc>
        <w:tc>
          <w:tcPr>
            <w:tcW w:w="0" w:type="auto"/>
            <w:noWrap/>
            <w:hideMark/>
          </w:tcPr>
          <w:p w14:paraId="00A8785E"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35</w:t>
            </w:r>
          </w:p>
        </w:tc>
      </w:tr>
      <w:tr w:rsidR="002C1E9D" w14:paraId="6B59139A"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B40810A" w14:textId="77777777" w:rsidR="002C1E9D" w:rsidRDefault="002C1E9D" w:rsidP="00C26519">
            <w:pPr>
              <w:spacing w:after="0" w:line="240" w:lineRule="auto"/>
              <w:rPr>
                <w:rFonts w:eastAsiaTheme="minorHAnsi" w:cs="Calibri"/>
                <w:i/>
                <w:iCs/>
              </w:rPr>
            </w:pPr>
            <w:r>
              <w:rPr>
                <w:i/>
                <w:iCs/>
              </w:rPr>
              <w:t>Taxon-specific changepoints</w:t>
            </w:r>
          </w:p>
        </w:tc>
        <w:tc>
          <w:tcPr>
            <w:tcW w:w="0" w:type="auto"/>
            <w:noWrap/>
            <w:hideMark/>
          </w:tcPr>
          <w:p w14:paraId="54A33067" w14:textId="77777777" w:rsidR="002C1E9D" w:rsidRDefault="002C1E9D" w:rsidP="00C26519">
            <w:pPr>
              <w:spacing w:after="0" w:line="240" w:lineRule="auto"/>
              <w:cnfStyle w:val="000000000000" w:firstRow="0" w:lastRow="0" w:firstColumn="0" w:lastColumn="0" w:oddVBand="0" w:evenVBand="0" w:oddHBand="0" w:evenHBand="0" w:firstRowFirstColumn="0" w:firstRowLastColumn="0" w:lastRowFirstColumn="0" w:lastRowLastColumn="0"/>
              <w:rPr>
                <w:i/>
                <w:iCs/>
              </w:rPr>
            </w:pPr>
          </w:p>
        </w:tc>
        <w:tc>
          <w:tcPr>
            <w:tcW w:w="0" w:type="auto"/>
            <w:noWrap/>
            <w:hideMark/>
          </w:tcPr>
          <w:p w14:paraId="1384BC1B" w14:textId="77777777" w:rsidR="002C1E9D" w:rsidRDefault="002C1E9D" w:rsidP="00C265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c>
          <w:tcPr>
            <w:tcW w:w="0" w:type="auto"/>
            <w:noWrap/>
            <w:hideMark/>
          </w:tcPr>
          <w:p w14:paraId="663125BB" w14:textId="77777777" w:rsidR="002C1E9D" w:rsidRDefault="002C1E9D" w:rsidP="00C265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c>
          <w:tcPr>
            <w:tcW w:w="0" w:type="auto"/>
            <w:noWrap/>
            <w:hideMark/>
          </w:tcPr>
          <w:p w14:paraId="0681738B" w14:textId="77777777" w:rsidR="002C1E9D" w:rsidRDefault="002C1E9D" w:rsidP="00C265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c>
          <w:tcPr>
            <w:tcW w:w="0" w:type="auto"/>
            <w:noWrap/>
            <w:hideMark/>
          </w:tcPr>
          <w:p w14:paraId="2F3A5198" w14:textId="77777777" w:rsidR="002C1E9D" w:rsidRDefault="002C1E9D" w:rsidP="00C265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r>
      <w:tr w:rsidR="002C1E9D" w14:paraId="449CF205"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351DD8D" w14:textId="77777777" w:rsidR="002C1E9D" w:rsidRDefault="002C1E9D" w:rsidP="00C26519">
            <w:pPr>
              <w:spacing w:after="0" w:line="240" w:lineRule="auto"/>
              <w:ind w:left="250"/>
              <w:rPr>
                <w:rFonts w:eastAsiaTheme="minorHAnsi" w:cs="Calibri"/>
              </w:rPr>
            </w:pPr>
            <w:r>
              <w:t>Diatom Increasers</w:t>
            </w:r>
          </w:p>
        </w:tc>
        <w:tc>
          <w:tcPr>
            <w:tcW w:w="0" w:type="auto"/>
            <w:noWrap/>
            <w:hideMark/>
          </w:tcPr>
          <w:p w14:paraId="06AD4590"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0.44</w:t>
            </w:r>
          </w:p>
        </w:tc>
        <w:tc>
          <w:tcPr>
            <w:tcW w:w="0" w:type="auto"/>
            <w:noWrap/>
            <w:hideMark/>
          </w:tcPr>
          <w:p w14:paraId="405268E6"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0.082</w:t>
            </w:r>
          </w:p>
        </w:tc>
        <w:tc>
          <w:tcPr>
            <w:tcW w:w="0" w:type="auto"/>
            <w:noWrap/>
            <w:hideMark/>
          </w:tcPr>
          <w:p w14:paraId="348F1340"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47</w:t>
            </w:r>
          </w:p>
        </w:tc>
        <w:tc>
          <w:tcPr>
            <w:tcW w:w="0" w:type="auto"/>
            <w:noWrap/>
            <w:hideMark/>
          </w:tcPr>
          <w:p w14:paraId="6FE253F7"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18</w:t>
            </w:r>
          </w:p>
        </w:tc>
        <w:tc>
          <w:tcPr>
            <w:tcW w:w="0" w:type="auto"/>
            <w:noWrap/>
            <w:hideMark/>
          </w:tcPr>
          <w:p w14:paraId="58BC2324"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17</w:t>
            </w:r>
          </w:p>
        </w:tc>
      </w:tr>
      <w:tr w:rsidR="002C1E9D" w14:paraId="4404BEAF"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3FD90C4" w14:textId="77777777" w:rsidR="002C1E9D" w:rsidRDefault="002C1E9D" w:rsidP="00C26519">
            <w:pPr>
              <w:spacing w:after="0" w:line="240" w:lineRule="auto"/>
              <w:ind w:left="250"/>
            </w:pPr>
            <w:r>
              <w:t>Diatom Decreasers</w:t>
            </w:r>
          </w:p>
        </w:tc>
        <w:tc>
          <w:tcPr>
            <w:tcW w:w="0" w:type="auto"/>
            <w:noWrap/>
            <w:hideMark/>
          </w:tcPr>
          <w:p w14:paraId="41A79F12"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0.38</w:t>
            </w:r>
          </w:p>
        </w:tc>
        <w:tc>
          <w:tcPr>
            <w:tcW w:w="0" w:type="auto"/>
            <w:noWrap/>
            <w:hideMark/>
          </w:tcPr>
          <w:p w14:paraId="568E56A5"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0.048</w:t>
            </w:r>
          </w:p>
        </w:tc>
        <w:tc>
          <w:tcPr>
            <w:tcW w:w="0" w:type="auto"/>
            <w:noWrap/>
            <w:hideMark/>
          </w:tcPr>
          <w:p w14:paraId="2D9EE15E"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11</w:t>
            </w:r>
          </w:p>
        </w:tc>
        <w:tc>
          <w:tcPr>
            <w:tcW w:w="0" w:type="auto"/>
            <w:noWrap/>
            <w:hideMark/>
          </w:tcPr>
          <w:p w14:paraId="43389C6E"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11</w:t>
            </w:r>
          </w:p>
        </w:tc>
        <w:tc>
          <w:tcPr>
            <w:tcW w:w="0" w:type="auto"/>
            <w:noWrap/>
            <w:hideMark/>
          </w:tcPr>
          <w:p w14:paraId="6DD5F429"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18</w:t>
            </w:r>
          </w:p>
        </w:tc>
      </w:tr>
      <w:tr w:rsidR="002C1E9D" w14:paraId="37ACCF59"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1407BC" w14:textId="77777777" w:rsidR="002C1E9D" w:rsidRDefault="002C1E9D" w:rsidP="00C26519">
            <w:pPr>
              <w:spacing w:after="0" w:line="240" w:lineRule="auto"/>
              <w:ind w:left="250"/>
            </w:pPr>
            <w:r>
              <w:t>SBA Increasers</w:t>
            </w:r>
          </w:p>
        </w:tc>
        <w:tc>
          <w:tcPr>
            <w:tcW w:w="0" w:type="auto"/>
            <w:noWrap/>
            <w:hideMark/>
          </w:tcPr>
          <w:p w14:paraId="6C7967B3"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0.58</w:t>
            </w:r>
          </w:p>
        </w:tc>
        <w:tc>
          <w:tcPr>
            <w:tcW w:w="0" w:type="auto"/>
            <w:noWrap/>
            <w:hideMark/>
          </w:tcPr>
          <w:p w14:paraId="088C24E8"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0.075</w:t>
            </w:r>
          </w:p>
        </w:tc>
        <w:tc>
          <w:tcPr>
            <w:tcW w:w="0" w:type="auto"/>
            <w:noWrap/>
            <w:hideMark/>
          </w:tcPr>
          <w:p w14:paraId="03709AE6"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26</w:t>
            </w:r>
          </w:p>
        </w:tc>
        <w:tc>
          <w:tcPr>
            <w:tcW w:w="0" w:type="auto"/>
            <w:noWrap/>
            <w:hideMark/>
          </w:tcPr>
          <w:p w14:paraId="11F30907"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19</w:t>
            </w:r>
          </w:p>
        </w:tc>
        <w:tc>
          <w:tcPr>
            <w:tcW w:w="0" w:type="auto"/>
            <w:noWrap/>
            <w:hideMark/>
          </w:tcPr>
          <w:p w14:paraId="33AE101C"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16</w:t>
            </w:r>
          </w:p>
        </w:tc>
      </w:tr>
      <w:tr w:rsidR="002C1E9D" w14:paraId="3229FEA6"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B9B669D" w14:textId="77777777" w:rsidR="002C1E9D" w:rsidRDefault="002C1E9D" w:rsidP="00C26519">
            <w:pPr>
              <w:spacing w:after="0" w:line="240" w:lineRule="auto"/>
              <w:ind w:left="250"/>
            </w:pPr>
            <w:r>
              <w:t>SBA Decreasers</w:t>
            </w:r>
          </w:p>
        </w:tc>
        <w:tc>
          <w:tcPr>
            <w:tcW w:w="0" w:type="auto"/>
            <w:noWrap/>
            <w:hideMark/>
          </w:tcPr>
          <w:p w14:paraId="13BC9AB6"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0.17</w:t>
            </w:r>
          </w:p>
        </w:tc>
        <w:tc>
          <w:tcPr>
            <w:tcW w:w="0" w:type="auto"/>
            <w:noWrap/>
            <w:hideMark/>
          </w:tcPr>
          <w:p w14:paraId="4587ED64"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0.034</w:t>
            </w:r>
          </w:p>
        </w:tc>
        <w:tc>
          <w:tcPr>
            <w:tcW w:w="0" w:type="auto"/>
            <w:noWrap/>
            <w:hideMark/>
          </w:tcPr>
          <w:p w14:paraId="0AAAF4CA"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36</w:t>
            </w:r>
          </w:p>
        </w:tc>
        <w:tc>
          <w:tcPr>
            <w:tcW w:w="0" w:type="auto"/>
            <w:noWrap/>
            <w:hideMark/>
          </w:tcPr>
          <w:p w14:paraId="5B7DAC98"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15</w:t>
            </w:r>
          </w:p>
        </w:tc>
        <w:tc>
          <w:tcPr>
            <w:tcW w:w="0" w:type="auto"/>
            <w:noWrap/>
            <w:hideMark/>
          </w:tcPr>
          <w:p w14:paraId="7F531A6F"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23</w:t>
            </w:r>
          </w:p>
        </w:tc>
      </w:tr>
      <w:tr w:rsidR="002C1E9D" w14:paraId="36B9584B" w14:textId="77777777" w:rsidTr="00C26519">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1AF68E" w14:textId="77777777" w:rsidR="002C1E9D" w:rsidRDefault="002C1E9D" w:rsidP="00C26519">
            <w:pPr>
              <w:spacing w:after="0" w:line="240" w:lineRule="auto"/>
              <w:ind w:left="250"/>
            </w:pPr>
            <w:r>
              <w:t>BMI Increasers</w:t>
            </w:r>
          </w:p>
        </w:tc>
        <w:tc>
          <w:tcPr>
            <w:tcW w:w="0" w:type="auto"/>
            <w:noWrap/>
            <w:hideMark/>
          </w:tcPr>
          <w:p w14:paraId="75716DAA"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0.65</w:t>
            </w:r>
          </w:p>
        </w:tc>
        <w:tc>
          <w:tcPr>
            <w:tcW w:w="0" w:type="auto"/>
            <w:noWrap/>
            <w:hideMark/>
          </w:tcPr>
          <w:p w14:paraId="1B8908EC"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0.091</w:t>
            </w:r>
          </w:p>
        </w:tc>
        <w:tc>
          <w:tcPr>
            <w:tcW w:w="0" w:type="auto"/>
            <w:noWrap/>
            <w:hideMark/>
          </w:tcPr>
          <w:p w14:paraId="73280A71"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71</w:t>
            </w:r>
          </w:p>
        </w:tc>
        <w:tc>
          <w:tcPr>
            <w:tcW w:w="0" w:type="auto"/>
            <w:noWrap/>
            <w:hideMark/>
          </w:tcPr>
          <w:p w14:paraId="6225808B"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31</w:t>
            </w:r>
          </w:p>
        </w:tc>
        <w:tc>
          <w:tcPr>
            <w:tcW w:w="0" w:type="auto"/>
            <w:noWrap/>
            <w:hideMark/>
          </w:tcPr>
          <w:p w14:paraId="53C13920"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68</w:t>
            </w:r>
          </w:p>
        </w:tc>
      </w:tr>
      <w:tr w:rsidR="002C1E9D" w14:paraId="455B757E" w14:textId="77777777" w:rsidTr="00C26519">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7F7CFCA6" w14:textId="77777777" w:rsidR="002C1E9D" w:rsidRDefault="002C1E9D" w:rsidP="00C26519">
            <w:pPr>
              <w:spacing w:after="0" w:line="240" w:lineRule="auto"/>
              <w:ind w:firstLine="250"/>
            </w:pPr>
            <w:r>
              <w:t>BMI Decreasers</w:t>
            </w:r>
          </w:p>
        </w:tc>
        <w:tc>
          <w:tcPr>
            <w:tcW w:w="0" w:type="auto"/>
            <w:noWrap/>
            <w:hideMark/>
          </w:tcPr>
          <w:p w14:paraId="78F5707A"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0.65</w:t>
            </w:r>
          </w:p>
        </w:tc>
        <w:tc>
          <w:tcPr>
            <w:tcW w:w="0" w:type="auto"/>
            <w:noWrap/>
            <w:hideMark/>
          </w:tcPr>
          <w:p w14:paraId="7AE8E20A"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0.080</w:t>
            </w:r>
          </w:p>
        </w:tc>
        <w:tc>
          <w:tcPr>
            <w:tcW w:w="0" w:type="auto"/>
            <w:noWrap/>
            <w:hideMark/>
          </w:tcPr>
          <w:p w14:paraId="5334A539"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31</w:t>
            </w:r>
          </w:p>
        </w:tc>
        <w:tc>
          <w:tcPr>
            <w:tcW w:w="0" w:type="auto"/>
            <w:noWrap/>
            <w:hideMark/>
          </w:tcPr>
          <w:p w14:paraId="25B364D5"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FF0000"/>
              </w:rPr>
            </w:pPr>
            <w:r>
              <w:rPr>
                <w:color w:val="FF0000"/>
              </w:rPr>
              <w:t>20</w:t>
            </w:r>
          </w:p>
        </w:tc>
        <w:tc>
          <w:tcPr>
            <w:tcW w:w="0" w:type="auto"/>
            <w:noWrap/>
            <w:hideMark/>
          </w:tcPr>
          <w:p w14:paraId="6E301325" w14:textId="77777777" w:rsidR="002C1E9D" w:rsidRDefault="002C1E9D" w:rsidP="00C26519">
            <w:pPr>
              <w:spacing w:after="0" w:line="240" w:lineRule="auto"/>
              <w:jc w:val="right"/>
              <w:cnfStyle w:val="000000000000" w:firstRow="0" w:lastRow="0" w:firstColumn="0" w:lastColumn="0" w:oddVBand="0" w:evenVBand="0" w:oddHBand="0" w:evenHBand="0" w:firstRowFirstColumn="0" w:firstRowLastColumn="0" w:lastRowFirstColumn="0" w:lastRowLastColumn="0"/>
            </w:pPr>
            <w:r>
              <w:t>28</w:t>
            </w:r>
          </w:p>
        </w:tc>
      </w:tr>
    </w:tbl>
    <w:p w14:paraId="60B730C6" w14:textId="77777777" w:rsidR="002C1E9D" w:rsidRDefault="002C1E9D" w:rsidP="002C1E9D">
      <w:pPr>
        <w:spacing w:line="23" w:lineRule="atLeast"/>
        <w:sectPr w:rsidR="002C1E9D" w:rsidSect="00C5540D">
          <w:pgSz w:w="12240" w:h="15840"/>
          <w:pgMar w:top="1440" w:right="1440" w:bottom="1440" w:left="1440" w:header="720" w:footer="720" w:gutter="0"/>
          <w:cols w:space="720"/>
          <w:docGrid w:linePitch="360"/>
        </w:sectPr>
      </w:pPr>
    </w:p>
    <w:p w14:paraId="4C51245E" w14:textId="7F675A0B" w:rsidR="00906C3D" w:rsidRDefault="00906C3D" w:rsidP="00906C3D">
      <w:pPr>
        <w:spacing w:line="23" w:lineRule="atLeast"/>
        <w:rPr>
          <w:rStyle w:val="TOFChar"/>
        </w:rPr>
        <w:sectPr w:rsidR="00906C3D" w:rsidSect="00C26519">
          <w:pgSz w:w="15840" w:h="12240" w:orient="landscape"/>
          <w:pgMar w:top="1440" w:right="1440" w:bottom="1440" w:left="1440" w:header="720" w:footer="720" w:gutter="0"/>
          <w:cols w:space="720"/>
          <w:docGrid w:linePitch="360"/>
        </w:sectPr>
      </w:pPr>
      <w:r w:rsidRPr="00035C20">
        <w:rPr>
          <w:rStyle w:val="TOFChar"/>
          <w:rFonts w:ascii="Calibri" w:hAnsi="Calibri"/>
          <w:b w:val="0"/>
          <w:i w:val="0"/>
        </w:rPr>
        <w:drawing>
          <wp:anchor distT="0" distB="0" distL="114300" distR="114300" simplePos="0" relativeHeight="251679744" behindDoc="0" locked="0" layoutInCell="1" allowOverlap="1" wp14:anchorId="4FC3733D" wp14:editId="61881DD7">
            <wp:simplePos x="0" y="0"/>
            <wp:positionH relativeFrom="margin">
              <wp:posOffset>4235450</wp:posOffset>
            </wp:positionH>
            <wp:positionV relativeFrom="paragraph">
              <wp:posOffset>194</wp:posOffset>
            </wp:positionV>
            <wp:extent cx="3759200" cy="4876606"/>
            <wp:effectExtent l="0" t="0" r="0" b="635"/>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4431"/>
                    <a:stretch/>
                  </pic:blipFill>
                  <pic:spPr bwMode="auto">
                    <a:xfrm>
                      <a:off x="0" y="0"/>
                      <a:ext cx="3761211" cy="4879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201B">
        <w:rPr>
          <w:rStyle w:val="TOFChar"/>
          <w:rFonts w:ascii="Calibri" w:hAnsi="Calibri"/>
          <w:b w:val="0"/>
          <w:i w:val="0"/>
        </w:rPr>
        <w:drawing>
          <wp:anchor distT="0" distB="0" distL="114300" distR="114300" simplePos="0" relativeHeight="251678720" behindDoc="0" locked="0" layoutInCell="1" allowOverlap="1" wp14:anchorId="6F8D5D7F" wp14:editId="4558A542">
            <wp:simplePos x="0" y="0"/>
            <wp:positionH relativeFrom="margin">
              <wp:posOffset>184150</wp:posOffset>
            </wp:positionH>
            <wp:positionV relativeFrom="paragraph">
              <wp:posOffset>0</wp:posOffset>
            </wp:positionV>
            <wp:extent cx="4122032" cy="4740910"/>
            <wp:effectExtent l="0" t="0" r="0" b="254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4794"/>
                    <a:stretch/>
                  </pic:blipFill>
                  <pic:spPr bwMode="auto">
                    <a:xfrm>
                      <a:off x="0" y="0"/>
                      <a:ext cx="4122032" cy="4740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76" w:name="_Toc526489959"/>
      <w:r w:rsidRPr="00053732">
        <w:rPr>
          <w:rStyle w:val="TOFChar"/>
          <w:b w:val="0"/>
        </w:rPr>
        <w:t>Figure 4.1 Ranges of literature derived TN (left panel) and TP (right panel) thresholds relative to adopted state criteria. Top panel represents threshold derived from CA wadeable stream bioassessment data (Mazor et al. in prep, Fetscher et al. 2014). In ASCI and CSCI REF30-01 bars, mean represents REF10. REF75th and 9</w:t>
      </w:r>
      <w:r>
        <w:rPr>
          <w:rStyle w:val="TOFChar"/>
          <w:b w:val="0"/>
        </w:rPr>
        <w:t>0</w:t>
      </w:r>
      <w:r w:rsidRPr="00053732">
        <w:rPr>
          <w:rStyle w:val="TOFChar"/>
          <w:b w:val="0"/>
        </w:rPr>
        <w:t>th are the ecoregional ranges, while the mean line represents the statewide mean. Middle panel represents published studies of change point analyses (nCPA) for other states</w:t>
      </w:r>
      <w:r>
        <w:rPr>
          <w:rStyle w:val="TOFChar"/>
          <w:b w:val="0"/>
        </w:rPr>
        <w:t>/territories</w:t>
      </w:r>
      <w:r w:rsidRPr="00053732">
        <w:rPr>
          <w:rStyle w:val="TOFChar"/>
          <w:b w:val="0"/>
        </w:rPr>
        <w:t xml:space="preserve"> and includes a variety of stream types including wadeable and nonwadeable streams. Bottom panel summarizes adopted criteria. Ranges in bar represents adopted criteria for different stream types or classes. NMAR = Northern Mariana, AS =American Samoa, PR= Puerto Rico</w:t>
      </w:r>
      <w:bookmarkEnd w:id="176"/>
    </w:p>
    <w:p w14:paraId="73342C8F" w14:textId="55F6A759" w:rsidR="005C5BCF" w:rsidRDefault="00906C3D" w:rsidP="00B80774">
      <w:pPr>
        <w:spacing w:line="23" w:lineRule="atLeast"/>
      </w:pPr>
      <w:r w:rsidRPr="00CD49A3">
        <w:rPr>
          <w:rStyle w:val="TOFChar"/>
          <w:b w:val="0"/>
          <w:sz w:val="20"/>
          <w:szCs w:val="20"/>
        </w:rPr>
        <w:t xml:space="preserve"> </w:t>
      </w:r>
      <w:r w:rsidR="005C5BCF">
        <w:t xml:space="preserve">The </w:t>
      </w:r>
      <w:r w:rsidR="00C32EC9">
        <w:t xml:space="preserve">benthic chl-a </w:t>
      </w:r>
      <w:r w:rsidR="005C5BCF">
        <w:t>90</w:t>
      </w:r>
      <w:r w:rsidR="005C5BCF" w:rsidRPr="005602F7">
        <w:rPr>
          <w:vertAlign w:val="superscript"/>
        </w:rPr>
        <w:t>th</w:t>
      </w:r>
      <w:r w:rsidR="005C5BCF">
        <w:t xml:space="preserve"> percentile of reference for some regions is above the REF10 CSCI and ASCI thresholds, but generally within the 95</w:t>
      </w:r>
      <w:r w:rsidR="005C5BCF" w:rsidRPr="005602F7">
        <w:rPr>
          <w:vertAlign w:val="superscript"/>
        </w:rPr>
        <w:t>th</w:t>
      </w:r>
      <w:r w:rsidR="005C5BCF">
        <w:t xml:space="preserve"> percent confidence levels for these thresholds (~</w:t>
      </w:r>
      <w:r w:rsidR="005C5BCF">
        <w:rPr>
          <w:rFonts w:cs="Calibri"/>
        </w:rPr>
        <w:t>± 10 mg/m2</w:t>
      </w:r>
      <w:r w:rsidR="00C32EC9">
        <w:rPr>
          <w:rFonts w:cs="Calibri"/>
        </w:rPr>
        <w:t>; Figure 4.2)</w:t>
      </w:r>
      <w:r w:rsidR="005C5BCF">
        <w:t xml:space="preserve">, pointing to the patchy nature of this </w:t>
      </w:r>
      <w:r w:rsidR="00C32EC9">
        <w:t>indicator</w:t>
      </w:r>
      <w:r w:rsidR="005C5BCF">
        <w:t xml:space="preserve">. </w:t>
      </w:r>
      <w:r w:rsidR="00C32EC9">
        <w:t xml:space="preserve">Other states use benthic chl-a to protect REC2 uses; comparison of CA benthic chl-a protective of comparable REC2 % cover categories points to obvious differences in benthic chl-a </w:t>
      </w:r>
      <w:r w:rsidR="00B80774">
        <w:t>protocols among states and therefore not informative to CA benthic chl-a targets. Macroalgal algal % cover thresholds, either from an aquatic life or REC2 use (&lt;20-25% cover), are problematic because of high % cover at reference sites (Table 4.1), which is likely an artifact of the measurement protocol; alternative protocols should be explored as % cover has strong linkage to REC2 uses.</w:t>
      </w:r>
    </w:p>
    <w:p w14:paraId="5FECFEF7" w14:textId="36F8B11A" w:rsidR="00906C3D" w:rsidRPr="005872DC" w:rsidRDefault="00C32EC9" w:rsidP="00906C3D">
      <w:pPr>
        <w:tabs>
          <w:tab w:val="left" w:pos="1000"/>
          <w:tab w:val="left" w:pos="6300"/>
        </w:tabs>
        <w:spacing w:line="23" w:lineRule="atLeast"/>
        <w:rPr>
          <w:sz w:val="20"/>
          <w:szCs w:val="20"/>
        </w:rPr>
      </w:pPr>
      <w:r w:rsidRPr="00CD49A3">
        <w:rPr>
          <w:rStyle w:val="TOFChar"/>
          <w:b w:val="0"/>
          <w:sz w:val="20"/>
          <w:szCs w:val="20"/>
        </w:rPr>
        <w:drawing>
          <wp:anchor distT="0" distB="0" distL="114300" distR="114300" simplePos="0" relativeHeight="251680768" behindDoc="1" locked="0" layoutInCell="1" allowOverlap="1" wp14:anchorId="0BCD9CCA" wp14:editId="12A48A17">
            <wp:simplePos x="0" y="0"/>
            <wp:positionH relativeFrom="margin">
              <wp:align>left</wp:align>
            </wp:positionH>
            <wp:positionV relativeFrom="paragraph">
              <wp:posOffset>10795</wp:posOffset>
            </wp:positionV>
            <wp:extent cx="3879850" cy="3130550"/>
            <wp:effectExtent l="0" t="0" r="6350" b="0"/>
            <wp:wrapTight wrapText="bothSides">
              <wp:wrapPolygon edited="0">
                <wp:start x="0" y="0"/>
                <wp:lineTo x="0" y="21425"/>
                <wp:lineTo x="21529" y="21425"/>
                <wp:lineTo x="21529"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8007" r="2245"/>
                    <a:stretch/>
                  </pic:blipFill>
                  <pic:spPr bwMode="auto">
                    <a:xfrm>
                      <a:off x="0" y="0"/>
                      <a:ext cx="3879850" cy="3130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77" w:name="_Toc526489960"/>
      <w:r w:rsidR="00906C3D" w:rsidRPr="005872DC">
        <w:rPr>
          <w:rStyle w:val="TOFChar"/>
          <w:b w:val="0"/>
          <w:sz w:val="20"/>
          <w:szCs w:val="20"/>
        </w:rPr>
        <w:t xml:space="preserve">Figure 4.2 Threshold benthic chl-a ranges for CA wadeable stream bioassessment data (top panel; Mazor et al. in prep and Fetscher et al. 2014), compared to other literature values protective of aquatic life (bottom panel). Mean of ASCI and CSCI REC30-01 bars represents REF10. REF75th and 90th show the </w:t>
      </w:r>
      <w:r>
        <w:rPr>
          <w:rStyle w:val="TOFChar"/>
          <w:b w:val="0"/>
          <w:sz w:val="20"/>
          <w:szCs w:val="20"/>
        </w:rPr>
        <w:t>ecoregional range and t</w:t>
      </w:r>
      <w:r w:rsidR="00906C3D" w:rsidRPr="005872DC">
        <w:rPr>
          <w:rStyle w:val="TOFChar"/>
          <w:b w:val="0"/>
          <w:sz w:val="20"/>
          <w:szCs w:val="20"/>
        </w:rPr>
        <w:t xml:space="preserve">he </w:t>
      </w:r>
      <w:r>
        <w:rPr>
          <w:rStyle w:val="TOFChar"/>
          <w:b w:val="0"/>
          <w:sz w:val="20"/>
          <w:szCs w:val="20"/>
        </w:rPr>
        <w:t xml:space="preserve">statewide </w:t>
      </w:r>
      <w:r w:rsidR="00906C3D" w:rsidRPr="005872DC">
        <w:rPr>
          <w:rStyle w:val="TOFChar"/>
          <w:b w:val="0"/>
          <w:sz w:val="20"/>
          <w:szCs w:val="20"/>
        </w:rPr>
        <w:t>mean line. Change point analyses =nCPA. Thresholds protective of BMI and trout in New Zealand (NZ) are mean values; IL thresholds are protective against &gt; 10% BGA. North American (N.A.) trophic state range represent boundaries of oligotrophic and eutrophic streams, while IN values represent min, mean and max change points for BMI, algae and fish</w:t>
      </w:r>
      <w:bookmarkEnd w:id="177"/>
      <w:r w:rsidR="00906C3D" w:rsidRPr="005872DC">
        <w:rPr>
          <w:sz w:val="20"/>
          <w:szCs w:val="20"/>
        </w:rPr>
        <w:t xml:space="preserve">.  </w:t>
      </w:r>
    </w:p>
    <w:p w14:paraId="21FE3B40" w14:textId="0FCE890E" w:rsidR="00906C3D" w:rsidRDefault="00B80774" w:rsidP="00906C3D">
      <w:pPr>
        <w:pStyle w:val="TOF"/>
      </w:pPr>
      <w:bookmarkStart w:id="178" w:name="_Toc526489961"/>
      <w:r w:rsidRPr="00CD49A3">
        <w:rPr>
          <w:rStyle w:val="TOFChar"/>
          <w:b w:val="0"/>
          <w:sz w:val="20"/>
          <w:szCs w:val="20"/>
        </w:rPr>
        <w:drawing>
          <wp:anchor distT="0" distB="0" distL="114300" distR="114300" simplePos="0" relativeHeight="251684864" behindDoc="1" locked="0" layoutInCell="1" allowOverlap="1" wp14:anchorId="016C91F1" wp14:editId="3D277257">
            <wp:simplePos x="0" y="0"/>
            <wp:positionH relativeFrom="margin">
              <wp:posOffset>0</wp:posOffset>
            </wp:positionH>
            <wp:positionV relativeFrom="paragraph">
              <wp:posOffset>129540</wp:posOffset>
            </wp:positionV>
            <wp:extent cx="3949700" cy="3081655"/>
            <wp:effectExtent l="0" t="0" r="0" b="4445"/>
            <wp:wrapTight wrapText="bothSides">
              <wp:wrapPolygon edited="0">
                <wp:start x="0" y="0"/>
                <wp:lineTo x="0" y="21498"/>
                <wp:lineTo x="21461" y="21498"/>
                <wp:lineTo x="21461"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9">
                      <a:extLst>
                        <a:ext uri="{28A0092B-C50C-407E-A947-70E740481C1C}">
                          <a14:useLocalDpi xmlns:a14="http://schemas.microsoft.com/office/drawing/2010/main" val="0"/>
                        </a:ext>
                      </a:extLst>
                    </a:blip>
                    <a:srcRect t="1571" r="9078"/>
                    <a:stretch/>
                  </pic:blipFill>
                  <pic:spPr bwMode="auto">
                    <a:xfrm>
                      <a:off x="0" y="0"/>
                      <a:ext cx="3949700" cy="3081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78"/>
    </w:p>
    <w:p w14:paraId="4776FD87" w14:textId="1C3AF130" w:rsidR="00906C3D" w:rsidRPr="00053732" w:rsidRDefault="00906C3D" w:rsidP="00906C3D">
      <w:pPr>
        <w:pStyle w:val="TOF"/>
      </w:pPr>
      <w:bookmarkStart w:id="179" w:name="_Toc526489962"/>
      <w:r w:rsidRPr="00CD49A3">
        <w:rPr>
          <w:szCs w:val="20"/>
        </w:rPr>
        <w:t>Figure 4.3 Ranges of biomass associated with achieving recreational use-related macroalgal cover targets, derived from CA bioassessment data (top panel) versus other state guidance/criteria protective of recreational use (bottom panel</w:t>
      </w:r>
      <w:r w:rsidRPr="00CD49A3">
        <w:rPr>
          <w:sz w:val="18"/>
          <w:szCs w:val="18"/>
        </w:rPr>
        <w:t>)</w:t>
      </w:r>
      <w:r>
        <w:t>.  Other state adopted criteria/guidance for macroalgal cover protective of REC2 have typicaly been in the range of &lt;20-25%; within CA, the Central Coast Water has used 50% cover to be protective of REC2.</w:t>
      </w:r>
      <w:bookmarkEnd w:id="179"/>
      <w:r>
        <w:t xml:space="preserve"> </w:t>
      </w:r>
    </w:p>
    <w:p w14:paraId="3AE8EF7F" w14:textId="2EE3CDBD" w:rsidR="00906C3D" w:rsidRDefault="00906C3D" w:rsidP="00906C3D">
      <w:pPr>
        <w:pStyle w:val="TOF"/>
      </w:pPr>
    </w:p>
    <w:p w14:paraId="1538B19B" w14:textId="37434CAA" w:rsidR="00906C3D" w:rsidRPr="00053732" w:rsidRDefault="00906C3D" w:rsidP="00906C3D">
      <w:pPr>
        <w:pStyle w:val="TOF"/>
      </w:pPr>
    </w:p>
    <w:p w14:paraId="3B025250" w14:textId="5A2688D1" w:rsidR="00906C3D" w:rsidRDefault="00906C3D" w:rsidP="00906C3D">
      <w:pPr>
        <w:pStyle w:val="TOF"/>
      </w:pPr>
    </w:p>
    <w:p w14:paraId="758D94F2" w14:textId="3D650C59" w:rsidR="00B80774" w:rsidRDefault="00B80774" w:rsidP="00B80774">
      <w:r>
        <w:t xml:space="preserve">AFDM is prone to false-positives at the low end of the disturbance gradient but represents a useful indicator </w:t>
      </w:r>
      <w:r w:rsidR="000D497D">
        <w:t>to diagnose</w:t>
      </w:r>
      <w:r>
        <w:t xml:space="preserve"> organic matter loading from legacy or upstream sources; we recommend that it be retained for use with careful consideration of multiple lines of evidence</w:t>
      </w:r>
      <w:r w:rsidR="000D497D">
        <w:t xml:space="preserve"> and applicable threshold</w:t>
      </w:r>
      <w:r>
        <w:t xml:space="preserve"> (Figure 4.4). </w:t>
      </w:r>
    </w:p>
    <w:p w14:paraId="69B555A8" w14:textId="646F1C2D" w:rsidR="00906C3D" w:rsidRDefault="00B80774" w:rsidP="00906C3D">
      <w:pPr>
        <w:pStyle w:val="TOF"/>
      </w:pPr>
      <w:bookmarkStart w:id="180" w:name="_Toc526489963"/>
      <w:r w:rsidRPr="00035C20">
        <w:drawing>
          <wp:anchor distT="0" distB="0" distL="114300" distR="114300" simplePos="0" relativeHeight="251682816" behindDoc="1" locked="0" layoutInCell="1" allowOverlap="1" wp14:anchorId="2B2732B3" wp14:editId="4D195DEC">
            <wp:simplePos x="0" y="0"/>
            <wp:positionH relativeFrom="margin">
              <wp:align>left</wp:align>
            </wp:positionH>
            <wp:positionV relativeFrom="margin">
              <wp:posOffset>762000</wp:posOffset>
            </wp:positionV>
            <wp:extent cx="4121150" cy="2019300"/>
            <wp:effectExtent l="0" t="0" r="0" b="0"/>
            <wp:wrapTight wrapText="bothSides">
              <wp:wrapPolygon edited="0">
                <wp:start x="0" y="0"/>
                <wp:lineTo x="0" y="21396"/>
                <wp:lineTo x="21467" y="21396"/>
                <wp:lineTo x="21467"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2127" r="2561"/>
                    <a:stretch/>
                  </pic:blipFill>
                  <pic:spPr bwMode="auto">
                    <a:xfrm>
                      <a:off x="0" y="0"/>
                      <a:ext cx="4137281" cy="20273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06C3D">
        <w:t xml:space="preserve">Figure 4.4 </w:t>
      </w:r>
      <w:r w:rsidR="00906C3D" w:rsidRPr="00053732">
        <w:t xml:space="preserve">Ranges of </w:t>
      </w:r>
      <w:r w:rsidR="00906C3D">
        <w:t>AFDM</w:t>
      </w:r>
      <w:r w:rsidR="00906C3D" w:rsidRPr="00053732">
        <w:t xml:space="preserve"> of aquatic life </w:t>
      </w:r>
      <w:r w:rsidR="00906C3D">
        <w:t xml:space="preserve">thresholds </w:t>
      </w:r>
      <w:r w:rsidR="00906C3D" w:rsidRPr="00053732">
        <w:t>derived from California wadeable stream bioassessment data (Mazor et al. in prep, Fetscher et al. 2014). In ASCI and CSCI REC30-01 bars, mean represents REF10. REF75th and 9</w:t>
      </w:r>
      <w:r w:rsidR="00906C3D">
        <w:t>0</w:t>
      </w:r>
      <w:r w:rsidR="00906C3D" w:rsidRPr="00053732">
        <w:t>th is the ecoregional range, while the mean line represents the statewide mean. Change point analyses are designated as nCPA.</w:t>
      </w:r>
      <w:bookmarkEnd w:id="180"/>
      <w:r w:rsidR="00906C3D" w:rsidRPr="00053732">
        <w:t xml:space="preserve"> </w:t>
      </w:r>
    </w:p>
    <w:p w14:paraId="6CA40DB5" w14:textId="77777777" w:rsidR="00906C3D" w:rsidRPr="00053732" w:rsidRDefault="00906C3D" w:rsidP="00906C3D">
      <w:pPr>
        <w:pStyle w:val="TOF"/>
      </w:pPr>
    </w:p>
    <w:p w14:paraId="0FF58C72" w14:textId="7E925FC9" w:rsidR="00B80774" w:rsidRDefault="003B7707" w:rsidP="00906C3D">
      <w:pPr>
        <w:spacing w:line="23" w:lineRule="atLeast"/>
      </w:pPr>
      <w:r>
        <w:t xml:space="preserve">Sestonic </w:t>
      </w:r>
      <w:r w:rsidR="00B84BA8">
        <w:t xml:space="preserve">or water column </w:t>
      </w:r>
      <w:r>
        <w:t>chl-a, though not routinely measured in SWAMP wadeable stream bioassessments, is a useful eutrophication indicator in turbid</w:t>
      </w:r>
      <w:r w:rsidR="00B84BA8">
        <w:t xml:space="preserve"> streams particularly found in ag- or timber-dominanted landscapes where light is prevented from reaching the bottom. Other literature sources, typically in the range of ~10-15 </w:t>
      </w:r>
      <w:r w:rsidR="00B84BA8">
        <w:rPr>
          <w:rFonts w:cs="Calibri"/>
        </w:rPr>
        <w:t>µ</w:t>
      </w:r>
      <w:r w:rsidR="000176DE">
        <w:rPr>
          <w:rFonts w:cs="Calibri"/>
        </w:rPr>
        <w:t xml:space="preserve">g/L, </w:t>
      </w:r>
      <w:r w:rsidR="00B84BA8">
        <w:t>including California Central Coast Regional Water Board biostimulatory objectives, can be used as the basis for numeric target decisions</w:t>
      </w:r>
      <w:r w:rsidR="000176DE">
        <w:t>.</w:t>
      </w:r>
      <w:r w:rsidR="00B84BA8">
        <w:t xml:space="preserve"> </w:t>
      </w:r>
    </w:p>
    <w:p w14:paraId="14E1114D" w14:textId="77777777" w:rsidR="00906C3D" w:rsidRDefault="00906C3D" w:rsidP="00906C3D">
      <w:pPr>
        <w:pStyle w:val="TOF"/>
      </w:pPr>
      <w:bookmarkStart w:id="181" w:name="_Toc526489964"/>
      <w:r w:rsidRPr="009F6E77">
        <w:drawing>
          <wp:inline distT="0" distB="0" distL="0" distR="0" wp14:anchorId="7B6B38D8" wp14:editId="5B70AD01">
            <wp:extent cx="5568950" cy="3159079"/>
            <wp:effectExtent l="0" t="0" r="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81490" cy="3166192"/>
                    </a:xfrm>
                    <a:prstGeom prst="rect">
                      <a:avLst/>
                    </a:prstGeom>
                    <a:noFill/>
                    <a:ln>
                      <a:noFill/>
                    </a:ln>
                  </pic:spPr>
                </pic:pic>
              </a:graphicData>
            </a:graphic>
          </wp:inline>
        </w:drawing>
      </w:r>
      <w:bookmarkEnd w:id="181"/>
    </w:p>
    <w:p w14:paraId="196177DD" w14:textId="58E82DF0" w:rsidR="00906C3D" w:rsidRDefault="00906C3D" w:rsidP="00906C3D">
      <w:pPr>
        <w:pStyle w:val="TOF"/>
      </w:pPr>
      <w:bookmarkStart w:id="182" w:name="_Toc526489965"/>
      <w:r w:rsidRPr="000E201B">
        <w:t>Figure 4.</w:t>
      </w:r>
      <w:r w:rsidR="000176DE">
        <w:t>5</w:t>
      </w:r>
      <w:r w:rsidRPr="000E201B">
        <w:t>. Ranges of literature derived Sestonic Chl-a thresholds  and adopted state criteria for wadeable versus nonwadeable streams. All threshold criteria sources above orange line are for wadeable streams and nearly all from peer-reviewed literature sources. The exception is the CA Central Coast Regional Water Board, which adopted 15 µg/L to interpret their biostimulatory objective, based on peer-reviewed literature sources. Below the line includes literature sources or adopted criteria for either non-wadeable streams or streams and rivers where the type is not specified (NS).</w:t>
      </w:r>
      <w:bookmarkEnd w:id="182"/>
      <w:r w:rsidRPr="000E201B">
        <w:t xml:space="preserve"> </w:t>
      </w:r>
    </w:p>
    <w:p w14:paraId="5E372CCC" w14:textId="153D4759" w:rsidR="000D497D" w:rsidRPr="000D497D" w:rsidRDefault="000D497D" w:rsidP="000D497D">
      <w:r w:rsidRPr="000D497D">
        <w:t>DO diel variability is an extreme</w:t>
      </w:r>
      <w:r w:rsidR="00C1286E">
        <w:t xml:space="preserve">ly useful indicator for watershed management discussions of appropriate targets because it can be readily modeled using steady state or dynamic approaches without the need to constrain all BOD or SOD that can ultimately limit use of DO objectives. Among available literature, the most relevant may be New Mexico, which ranged from </w:t>
      </w:r>
      <w:r w:rsidR="00C1286E">
        <w:rPr>
          <w:rFonts w:cs="Calibri"/>
        </w:rPr>
        <w:t>±</w:t>
      </w:r>
      <w:r w:rsidR="00C1286E">
        <w:t xml:space="preserve"> 0.9 mg/L DO for high gradient stream to </w:t>
      </w:r>
      <w:r w:rsidR="00C1286E">
        <w:rPr>
          <w:rFonts w:cs="Calibri"/>
        </w:rPr>
        <w:t>±</w:t>
      </w:r>
      <w:r w:rsidR="00C1286E">
        <w:t xml:space="preserve"> 2.5 mg/L DO in highly productive (volcanic) streams</w:t>
      </w:r>
      <w:r w:rsidR="00C26519">
        <w:t xml:space="preserve">, which brackets the Central Coast Water Board screening value of </w:t>
      </w:r>
      <w:r w:rsidR="00C26519">
        <w:rPr>
          <w:rFonts w:cs="Calibri"/>
        </w:rPr>
        <w:t>±</w:t>
      </w:r>
      <w:r w:rsidR="00C26519">
        <w:t xml:space="preserve"> 1.25 mg/L</w:t>
      </w:r>
      <w:r w:rsidR="00C1286E">
        <w:t xml:space="preserve"> TN and TP thresholds associated with the below DO diel variability ranges were within the same order of magnitude as those derived for CSCI and ASCI REF10 endpoints.   </w:t>
      </w:r>
    </w:p>
    <w:p w14:paraId="4B40184D" w14:textId="3B83A781" w:rsidR="00906C3D" w:rsidRDefault="000D497D" w:rsidP="00906C3D">
      <w:pPr>
        <w:pStyle w:val="TOF"/>
      </w:pPr>
      <w:bookmarkStart w:id="183" w:name="_Toc526489966"/>
      <w:r w:rsidRPr="000D497D">
        <w:drawing>
          <wp:inline distT="0" distB="0" distL="0" distR="0" wp14:anchorId="411E7C71" wp14:editId="1D657938">
            <wp:extent cx="4056835" cy="2155190"/>
            <wp:effectExtent l="0" t="0" r="127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9589"/>
                    <a:stretch/>
                  </pic:blipFill>
                  <pic:spPr bwMode="auto">
                    <a:xfrm>
                      <a:off x="0" y="0"/>
                      <a:ext cx="4063923" cy="2158956"/>
                    </a:xfrm>
                    <a:prstGeom prst="rect">
                      <a:avLst/>
                    </a:prstGeom>
                    <a:noFill/>
                    <a:ln>
                      <a:noFill/>
                    </a:ln>
                    <a:extLst>
                      <a:ext uri="{53640926-AAD7-44D8-BBD7-CCE9431645EC}">
                        <a14:shadowObscured xmlns:a14="http://schemas.microsoft.com/office/drawing/2010/main"/>
                      </a:ext>
                    </a:extLst>
                  </pic:spPr>
                </pic:pic>
              </a:graphicData>
            </a:graphic>
          </wp:inline>
        </w:drawing>
      </w:r>
      <w:bookmarkEnd w:id="183"/>
    </w:p>
    <w:p w14:paraId="228F5F05" w14:textId="3D7BC645" w:rsidR="00906C3D" w:rsidRDefault="00906C3D" w:rsidP="00906C3D">
      <w:pPr>
        <w:pStyle w:val="TOF"/>
      </w:pPr>
      <w:bookmarkStart w:id="184" w:name="_Toc526489967"/>
      <w:r>
        <w:t>Figure 4.</w:t>
      </w:r>
      <w:r w:rsidR="00C26519">
        <w:t>6</w:t>
      </w:r>
      <w:r>
        <w:t xml:space="preserve"> Ranges of literature derived diel variability thresholds (California versus other states) relative to adopted state criteria.</w:t>
      </w:r>
      <w:bookmarkEnd w:id="184"/>
      <w:r>
        <w:t xml:space="preserve"> </w:t>
      </w:r>
      <w:r w:rsidR="00C26519">
        <w:t xml:space="preserve">Ranges of NM, MN, and OH are from change point (nCPA) analyses. </w:t>
      </w:r>
    </w:p>
    <w:p w14:paraId="26995147" w14:textId="7B8F4CA0" w:rsidR="00C1286E" w:rsidRDefault="00C1286E" w:rsidP="00906C3D">
      <w:pPr>
        <w:spacing w:line="23" w:lineRule="atLeast"/>
      </w:pPr>
    </w:p>
    <w:p w14:paraId="437B8385" w14:textId="1DF839E4" w:rsidR="00C26519" w:rsidRDefault="00C26519" w:rsidP="00906C3D">
      <w:pPr>
        <w:spacing w:line="23" w:lineRule="atLeast"/>
      </w:pPr>
      <w:r>
        <w:t xml:space="preserve">A high false positive error rate occurs with application of any single lowest (CSCI or ASCI) REF10 -based thresholds to CA bioassessment to predict biointegrity; additional investigation on </w:t>
      </w:r>
      <w:r w:rsidR="00EB5DDA">
        <w:t>the reason</w:t>
      </w:r>
      <w:r>
        <w:t xml:space="preserve"> for these errors is warranted, as is discussion on relevant threshold and use as multiple lines, all of which will impact false positive (and false negative) error rates. </w:t>
      </w:r>
    </w:p>
    <w:p w14:paraId="004BF91E" w14:textId="753EE6E8" w:rsidR="00906C3D" w:rsidRDefault="00906C3D" w:rsidP="00906C3D">
      <w:pPr>
        <w:spacing w:line="23" w:lineRule="atLeast"/>
        <w:sectPr w:rsidR="00906C3D" w:rsidSect="00C5540D">
          <w:pgSz w:w="12240" w:h="15840"/>
          <w:pgMar w:top="1440" w:right="1440" w:bottom="1440" w:left="1440" w:header="720" w:footer="720" w:gutter="0"/>
          <w:cols w:space="720"/>
          <w:docGrid w:linePitch="360"/>
        </w:sectPr>
      </w:pPr>
      <w:r>
        <w:t>Use of these thresholds or other thresholds should be informed by guidance on duration, frequency and seasonal considerations (wet versus dry weather, winter versus summer) and use of the indicators as multiple lines of evidence. The scientific basis for this guidance can be added as policy options become clarified.</w:t>
      </w:r>
    </w:p>
    <w:p w14:paraId="3C6C9ABA" w14:textId="77777777" w:rsidR="00EF692F" w:rsidRDefault="00EF692F" w:rsidP="00EF692F">
      <w:pPr>
        <w:pStyle w:val="Heading1"/>
        <w:rPr>
          <w:lang w:val="en"/>
        </w:rPr>
      </w:pPr>
      <w:bookmarkStart w:id="185" w:name="_Toc526505143"/>
      <w:r>
        <w:rPr>
          <w:lang w:val="en"/>
        </w:rPr>
        <w:t>References</w:t>
      </w:r>
      <w:bookmarkEnd w:id="185"/>
    </w:p>
    <w:p w14:paraId="2D78A33E" w14:textId="77777777" w:rsidR="00EF692F" w:rsidRDefault="00EF692F" w:rsidP="00EF692F">
      <w:pPr>
        <w:rPr>
          <w:lang w:val="en"/>
        </w:rPr>
      </w:pPr>
      <w:r>
        <w:rPr>
          <w:lang w:val="en"/>
        </w:rPr>
        <w:t xml:space="preserve">Allan, J.D., 2004. Landscapes and Riverscapes: The Influence of Land Use on Stream Ecosystems. Annual Review of Ecology, Evolution, and Systematics 35, 257–284. </w:t>
      </w:r>
      <w:hyperlink r:id="rId73" w:history="1">
        <w:r>
          <w:rPr>
            <w:lang w:val="en"/>
          </w:rPr>
          <w:t>https://doi.org/10.1146/annurev.ecolsys.35.120202.110122</w:t>
        </w:r>
      </w:hyperlink>
    </w:p>
    <w:p w14:paraId="081B5AEB" w14:textId="77777777" w:rsidR="00EF692F" w:rsidRDefault="00EF692F" w:rsidP="00EF692F">
      <w:pPr>
        <w:rPr>
          <w:lang w:val="en"/>
        </w:rPr>
      </w:pPr>
      <w:r>
        <w:rPr>
          <w:lang w:val="en"/>
        </w:rPr>
        <w:t xml:space="preserve">Anderson, D.M., Glibert, P.M., Burkholder, J.M., 2002. Harmful algal blooms and eutrophication: Nutrient sources, composition, and consequences. Estuaries 25, 704–726. </w:t>
      </w:r>
      <w:hyperlink r:id="rId74" w:history="1">
        <w:r>
          <w:rPr>
            <w:lang w:val="en"/>
          </w:rPr>
          <w:t>https://doi.org/10.1007/BF02804901</w:t>
        </w:r>
      </w:hyperlink>
    </w:p>
    <w:p w14:paraId="1C7B913C" w14:textId="77777777" w:rsidR="00EF692F" w:rsidRDefault="00EF692F" w:rsidP="00EF692F">
      <w:pPr>
        <w:rPr>
          <w:lang w:val="en"/>
        </w:rPr>
      </w:pPr>
      <w:r>
        <w:rPr>
          <w:lang w:val="en"/>
        </w:rPr>
        <w:t xml:space="preserve">Baker, M.E., King, R.S., 2010. A new method for detecting and interpreting biodiversity and ecological community thresholds. Methods in Ecology and Evolution 1, 25–37. </w:t>
      </w:r>
      <w:hyperlink r:id="rId75" w:history="1">
        <w:r>
          <w:rPr>
            <w:lang w:val="en"/>
          </w:rPr>
          <w:t>https://doi.org/10.1111/j.2041-210X.2009.00007.x</w:t>
        </w:r>
      </w:hyperlink>
    </w:p>
    <w:p w14:paraId="4B7F768D" w14:textId="77777777" w:rsidR="00EF692F" w:rsidRDefault="00EF692F" w:rsidP="00EF692F">
      <w:pPr>
        <w:rPr>
          <w:lang w:val="en"/>
        </w:rPr>
      </w:pPr>
      <w:r>
        <w:rPr>
          <w:lang w:val="en"/>
        </w:rPr>
        <w:t>Bales, J.D., Nardi, M.R., 2007. Automated Routines for Calculating Whole-Stream Metabolism: Theoretical Background and User’s Guide (Techniques and Methods No. Techniques and Methods 4-C2). U.S. Geological Survey.</w:t>
      </w:r>
    </w:p>
    <w:p w14:paraId="73F3CB32" w14:textId="77777777" w:rsidR="00EF692F" w:rsidRDefault="00EF692F" w:rsidP="00EF692F">
      <w:pPr>
        <w:rPr>
          <w:lang w:val="en"/>
        </w:rPr>
      </w:pPr>
      <w:r>
        <w:rPr>
          <w:lang w:val="en"/>
        </w:rPr>
        <w:t>Barbour, M.T., Gerristen, J., Snyder, B.D., Stribling, J.B., 1999. Rapid Bioassessment Protocols for Use in Styreams and Wadeable Rivers: Periphyton, Benthic Macroinvertebrates, and Fish, Second Edition (No. EPA 841-B-99-002). U.S. Environmental Protection Agency; Office of Water, Washington, D.C.</w:t>
      </w:r>
    </w:p>
    <w:p w14:paraId="6AC74468" w14:textId="77777777" w:rsidR="00EF692F" w:rsidRDefault="00EF692F" w:rsidP="00EF692F">
      <w:pPr>
        <w:rPr>
          <w:lang w:val="en"/>
        </w:rPr>
      </w:pPr>
      <w:r>
        <w:rPr>
          <w:lang w:val="en"/>
        </w:rPr>
        <w:t xml:space="preserve">Bates, S.S., Bird, C.J., Freitas, A.S.W. de, Foxall, R., Gilgan, M., Hanic, L.A., Johnson, G.R., McCulloch, A.W., Odense, P., Pocklington, R., Quilliam, M.A., Sim, P.G., Smith, J.C., Rao, D.V.S., Todd, E.C.D., Walter, J.A., Wright, J.L.C., 1989. Pennate Diatom Nitzschia pungens as the Primary Source of Domoic Acid, a Toxin in Shellfish from Eastern Prince Edward Island, Canada. Can. J. Fish. Aquat. Sci. 46, 1203–1215. </w:t>
      </w:r>
      <w:hyperlink r:id="rId76" w:history="1">
        <w:r>
          <w:rPr>
            <w:lang w:val="en"/>
          </w:rPr>
          <w:t>https://doi.org/10.1139/f89-156</w:t>
        </w:r>
      </w:hyperlink>
    </w:p>
    <w:p w14:paraId="799844BC" w14:textId="77777777" w:rsidR="00EF692F" w:rsidRDefault="00EF692F" w:rsidP="00EF692F">
      <w:pPr>
        <w:rPr>
          <w:lang w:val="en"/>
        </w:rPr>
      </w:pPr>
      <w:r>
        <w:rPr>
          <w:lang w:val="en"/>
        </w:rPr>
        <w:t xml:space="preserve">Bates, S.S., Freitas, A.S.W. de, Milley, J.E., Pocklington, R., Quilliam, M.A., Smith, J.C., Worms, J., 1991. Controls on Domoic Acid Production by the Diatom Nitzschia pungens f. multiseries in Culture: Nutrients and Irradïance. Can. J. Fish. Aquat. Sci. 48, 1136–1144. </w:t>
      </w:r>
      <w:hyperlink r:id="rId77" w:history="1">
        <w:r>
          <w:rPr>
            <w:lang w:val="en"/>
          </w:rPr>
          <w:t>https://doi.org/10.1139/f91-137</w:t>
        </w:r>
      </w:hyperlink>
    </w:p>
    <w:p w14:paraId="6191E358" w14:textId="77777777" w:rsidR="00EF692F" w:rsidRDefault="00EF692F" w:rsidP="00EF692F">
      <w:pPr>
        <w:rPr>
          <w:lang w:val="en"/>
        </w:rPr>
      </w:pPr>
      <w:r>
        <w:rPr>
          <w:lang w:val="en"/>
        </w:rPr>
        <w:t>Berg, M., Sutula, M., 2015. Factors Affecting Growth of Cyanobacteria with Special Emphasis on the Sacramento-San Joaquin Delta (Technical Report No. 869). Southern California Coastal Water Research Project, Costa Mesa, CA.</w:t>
      </w:r>
    </w:p>
    <w:p w14:paraId="34CB9B55" w14:textId="77777777" w:rsidR="00EF692F" w:rsidRDefault="00EF692F" w:rsidP="00EF692F">
      <w:pPr>
        <w:rPr>
          <w:lang w:val="en"/>
        </w:rPr>
      </w:pPr>
      <w:r>
        <w:rPr>
          <w:lang w:val="en"/>
        </w:rPr>
        <w:t xml:space="preserve">Bernot, M.J., Sobota, D.J., Hall, R.O., Mulholland, P.J., Dodds, W.K., Webster, J.R., Tank, J.L., Ashkenas, L.R., Cooper, L.W., Dahm, C.N., Gregory, S.V., Grimm, N.B., Hamilton, S.K., Johnson, S.L., Mcdowell, W.H., Meyer, J.L., Peterson, B., Poole, G.C., Valett, H.M., Arango, C., Beaulieu, J.J., Burgin, A.J., Crenshaw, C., Helton, A.M., Johnson, L., Merriam, J., Niederlehner, B.R., O’brien, J.M., Potter, J.D., Sheibley, R.W., Thomas, S.M., Wilson, K., 2010. Inter-regional comparison of land-use effects on stream metabolism. Freshwater Biology 55, 1874–1890. </w:t>
      </w:r>
      <w:hyperlink r:id="rId78" w:history="1">
        <w:r>
          <w:rPr>
            <w:lang w:val="en"/>
          </w:rPr>
          <w:t>https://doi.org/10.1111/j.1365-2427.2010.02422.x</w:t>
        </w:r>
      </w:hyperlink>
    </w:p>
    <w:p w14:paraId="0212E918" w14:textId="77777777" w:rsidR="00EF692F" w:rsidRDefault="00EF692F" w:rsidP="00EF692F">
      <w:pPr>
        <w:rPr>
          <w:lang w:val="en"/>
        </w:rPr>
      </w:pPr>
      <w:r>
        <w:rPr>
          <w:lang w:val="en"/>
        </w:rPr>
        <w:t>Biggs, B.J.F., 2000. New Zealand Periphyton Guideline: Detecting, Monitoring and Managing the Enrichment of Streams. Ministry for the Environment Publication, Wellington, NZ.</w:t>
      </w:r>
    </w:p>
    <w:p w14:paraId="2A84EFB3" w14:textId="77777777" w:rsidR="00EF692F" w:rsidRDefault="00EF692F" w:rsidP="00EF692F">
      <w:pPr>
        <w:rPr>
          <w:lang w:val="en"/>
        </w:rPr>
      </w:pPr>
      <w:r>
        <w:rPr>
          <w:lang w:val="en"/>
        </w:rPr>
        <w:t xml:space="preserve">Black, R.W., Moran, P.W., Frankforter, J.D., 2011. Response of algal metrics to nutrients and physical factors and identification of nutrient thresholds in agricultural streams. Environ Monit Assess 175, 397–417. </w:t>
      </w:r>
      <w:hyperlink r:id="rId79" w:history="1">
        <w:r>
          <w:rPr>
            <w:lang w:val="en"/>
          </w:rPr>
          <w:t>https://doi.org/10.1007/s10661-010-1539-8</w:t>
        </w:r>
      </w:hyperlink>
    </w:p>
    <w:p w14:paraId="48EC5F6D" w14:textId="77777777" w:rsidR="00EF692F" w:rsidRDefault="00EF692F" w:rsidP="00EF692F">
      <w:pPr>
        <w:rPr>
          <w:lang w:val="en"/>
        </w:rPr>
      </w:pPr>
      <w:r>
        <w:rPr>
          <w:lang w:val="en"/>
        </w:rPr>
        <w:t xml:space="preserve">Bosakowski, T., Wagner, E.J., 1994. A Survey of Trout Fin Erosion, Water Quality, and Rearing Conditions at State Fish Hatcheries in Utah. Journal of the World Aquaculture Society 25, 308–316. </w:t>
      </w:r>
      <w:hyperlink r:id="rId80" w:history="1">
        <w:r>
          <w:rPr>
            <w:lang w:val="en"/>
          </w:rPr>
          <w:t>https://doi.org/10.1111/j.1749-7345.1994.tb00196.x</w:t>
        </w:r>
      </w:hyperlink>
    </w:p>
    <w:p w14:paraId="2F15A853" w14:textId="77777777" w:rsidR="00EF692F" w:rsidRDefault="00EF692F" w:rsidP="00EF692F">
      <w:pPr>
        <w:rPr>
          <w:lang w:val="en"/>
        </w:rPr>
      </w:pPr>
      <w:r>
        <w:rPr>
          <w:lang w:val="en"/>
        </w:rPr>
        <w:t>Boyer, K., Sutula, M., 2015. Factors Controlling Submersed and Floating Macrophytes in the Sacramento-San Joaquin Delta (Technical Report No. 870). Southern California Coastal Water Research Project, Costa Mesa, CA.</w:t>
      </w:r>
    </w:p>
    <w:p w14:paraId="6CE735D1" w14:textId="77777777" w:rsidR="00EF692F" w:rsidRDefault="00EF692F" w:rsidP="00EF692F">
      <w:pPr>
        <w:rPr>
          <w:lang w:val="en"/>
        </w:rPr>
      </w:pPr>
      <w:r>
        <w:rPr>
          <w:lang w:val="en"/>
        </w:rPr>
        <w:t xml:space="preserve">Butterwick, C., Heaney, S.I., Talling, J.F., 2005. Diversity in the influence of temperature on the growth rates of freshwater algae, and its ecological relevance. Freshwater Biology 50, 291–300. </w:t>
      </w:r>
      <w:hyperlink r:id="rId81" w:history="1">
        <w:r>
          <w:rPr>
            <w:lang w:val="en"/>
          </w:rPr>
          <w:t>https://doi.org/10.1111/j.1365-2427.2004.01317.x</w:t>
        </w:r>
      </w:hyperlink>
    </w:p>
    <w:p w14:paraId="7D087F92" w14:textId="77777777" w:rsidR="00EF692F" w:rsidRDefault="00EF692F" w:rsidP="00EF692F">
      <w:pPr>
        <w:rPr>
          <w:lang w:val="en"/>
        </w:rPr>
      </w:pPr>
      <w:r>
        <w:rPr>
          <w:lang w:val="en"/>
        </w:rPr>
        <w:t xml:space="preserve">Camargo, J.A., Alonso, Á., 2006. Ecological and toxicological effects of inorganic nitrogen pollution in aquatic ecosystems: A global assessment. Environment International 32, 831–849. </w:t>
      </w:r>
      <w:hyperlink r:id="rId82" w:history="1">
        <w:r>
          <w:rPr>
            <w:lang w:val="en"/>
          </w:rPr>
          <w:t>https://doi.org/10.1016/j.envint.2006.05.002</w:t>
        </w:r>
      </w:hyperlink>
    </w:p>
    <w:p w14:paraId="4A12EC90" w14:textId="77777777" w:rsidR="00EF692F" w:rsidRDefault="00EF692F" w:rsidP="00EF692F">
      <w:pPr>
        <w:rPr>
          <w:lang w:val="en"/>
        </w:rPr>
      </w:pPr>
      <w:r>
        <w:rPr>
          <w:lang w:val="en"/>
        </w:rPr>
        <w:t xml:space="preserve">Carey, C.C., Ibelings, B.W., Hoffmann, E.P., Hamilton, D.P., Brookes, J.D., 2012. Eco-physiological adaptations that favour freshwater cyanobacteria in a changing climate. Water Research, Cyanobacteria: Impacts of climate change on occurrence, toxicity and water quality management 46, 1394–1407. </w:t>
      </w:r>
      <w:hyperlink r:id="rId83" w:history="1">
        <w:r>
          <w:rPr>
            <w:lang w:val="en"/>
          </w:rPr>
          <w:t>https://doi.org/10.1016/j.watres.2011.12.016</w:t>
        </w:r>
      </w:hyperlink>
    </w:p>
    <w:p w14:paraId="530A3923" w14:textId="77777777" w:rsidR="00EF692F" w:rsidRDefault="00EF692F" w:rsidP="00EF692F">
      <w:pPr>
        <w:rPr>
          <w:lang w:val="en"/>
        </w:rPr>
      </w:pPr>
      <w:r>
        <w:rPr>
          <w:lang w:val="en"/>
        </w:rPr>
        <w:t xml:space="preserve">Carleton, J.N., Park, R.A., Clough, J.S., 2009. Ecosystem Modeling Applied to Nutrient Criteria Development in Rivers. Environmental Management 44, 485–492. </w:t>
      </w:r>
      <w:hyperlink r:id="rId84" w:history="1">
        <w:r>
          <w:rPr>
            <w:lang w:val="en"/>
          </w:rPr>
          <w:t>https://doi.org/10.1007/s00267-009-9344-2</w:t>
        </w:r>
      </w:hyperlink>
    </w:p>
    <w:p w14:paraId="4A3ED1F9" w14:textId="77777777" w:rsidR="00EF692F" w:rsidRDefault="00EF692F" w:rsidP="00EF692F">
      <w:pPr>
        <w:rPr>
          <w:lang w:val="en"/>
        </w:rPr>
      </w:pPr>
      <w:r>
        <w:rPr>
          <w:lang w:val="en"/>
        </w:rPr>
        <w:t>Caskey, B.J., Bunch, A.R., Shoda, M.E., Frey, J.W., Selvaratnam, S., Miltner, R.J., 2013. Identifying Nutrient Reference Sites in Nutrient-Enriched Regions: Using Algal, Invertebrate, and Fish-Community Measures to Identify Stressor-Breakpoint Thresholds in Indiana Rivers and Streams, 2005-9 (No. Geological Survey Scientific Investigations Report 2012–5243).</w:t>
      </w:r>
    </w:p>
    <w:p w14:paraId="670A2AA0" w14:textId="77777777" w:rsidR="00EF692F" w:rsidRDefault="00EF692F" w:rsidP="00EF692F">
      <w:pPr>
        <w:rPr>
          <w:lang w:val="en"/>
        </w:rPr>
      </w:pPr>
      <w:r>
        <w:rPr>
          <w:lang w:val="en"/>
        </w:rPr>
        <w:t xml:space="preserve">Chambers, P.A., Meissner, R., Wrona, F.J., Rupp, H., Guhr, H., Seeger, J., Culp, J.M., Brua, R.B., 2006. Changes in Nutrient Loading in an Agricultural Watershed and Its Effects on Water Quality and Stream Biota. Hydrobiologia 556, 399–415. </w:t>
      </w:r>
      <w:hyperlink r:id="rId85" w:history="1">
        <w:r>
          <w:rPr>
            <w:lang w:val="en"/>
          </w:rPr>
          <w:t>https://doi.org/10.1007/s10750-005-1202-5</w:t>
        </w:r>
      </w:hyperlink>
    </w:p>
    <w:p w14:paraId="0C122EEB" w14:textId="77777777" w:rsidR="00EF692F" w:rsidRDefault="00EF692F" w:rsidP="00EF692F">
      <w:pPr>
        <w:rPr>
          <w:lang w:val="en"/>
        </w:rPr>
      </w:pPr>
      <w:r>
        <w:rPr>
          <w:lang w:val="en"/>
        </w:rPr>
        <w:t xml:space="preserve">Chen, W., Song, L., Ou, D., Gan, N., 2005. Chronic toxicity and responses of several important enzymes in Daphnia magna on exposure to sublethal microcystin-LR. Environmental Toxicology 20, 323–330. </w:t>
      </w:r>
      <w:hyperlink r:id="rId86" w:history="1">
        <w:r>
          <w:rPr>
            <w:lang w:val="en"/>
          </w:rPr>
          <w:t>https://doi.org/10.1002/tox.20108</w:t>
        </w:r>
      </w:hyperlink>
    </w:p>
    <w:p w14:paraId="309EAB57" w14:textId="77777777" w:rsidR="00EF692F" w:rsidRDefault="00EF692F" w:rsidP="00EF692F">
      <w:pPr>
        <w:rPr>
          <w:lang w:val="en"/>
        </w:rPr>
      </w:pPr>
      <w:r>
        <w:rPr>
          <w:lang w:val="en"/>
        </w:rPr>
        <w:t xml:space="preserve">Chessman, B.C., Hutton, P.E., Burch, J.M., 1992. Limiting nutrients for periphyton growth in sub-alpine, forest, agricultural and urban streams. Freshwater Biology 28, 349–361. </w:t>
      </w:r>
      <w:hyperlink r:id="rId87" w:history="1">
        <w:r>
          <w:rPr>
            <w:lang w:val="en"/>
          </w:rPr>
          <w:t>https://doi.org/10.1111/j.1365-2427.1992.tb00593.x</w:t>
        </w:r>
      </w:hyperlink>
    </w:p>
    <w:p w14:paraId="521FE466" w14:textId="77777777" w:rsidR="00EF692F" w:rsidRDefault="00EF692F" w:rsidP="00EF692F">
      <w:pPr>
        <w:rPr>
          <w:lang w:val="en"/>
        </w:rPr>
      </w:pPr>
      <w:r>
        <w:rPr>
          <w:lang w:val="en"/>
        </w:rPr>
        <w:t>Chételat, J., Pick, F.R., Morin, A., Hamilton, P.B., 1999. Periphyton biomass and community composition in rivers of different nutrient status. Canadian Journal of Fisheries and Aquatic Sciences 56, 560–569.</w:t>
      </w:r>
    </w:p>
    <w:p w14:paraId="2C89F4F2" w14:textId="77777777" w:rsidR="00EF692F" w:rsidRDefault="00EF692F" w:rsidP="00EF692F">
      <w:pPr>
        <w:rPr>
          <w:lang w:val="en"/>
        </w:rPr>
      </w:pPr>
      <w:r>
        <w:rPr>
          <w:lang w:val="en"/>
        </w:rPr>
        <w:t xml:space="preserve">Cheung, M.Y., Liang, S., Lee, J., 2013. Toxin-producing cyanobacteria in freshwater: A review of the problems, impact on drinking water safety, and efforts for protecting public health. J Microbiol. 51, 1–10. </w:t>
      </w:r>
      <w:hyperlink r:id="rId88" w:history="1">
        <w:r>
          <w:rPr>
            <w:lang w:val="en"/>
          </w:rPr>
          <w:t>https://doi.org/10.1007/s12275-013-2549-3</w:t>
        </w:r>
      </w:hyperlink>
    </w:p>
    <w:p w14:paraId="4386C43A" w14:textId="77777777" w:rsidR="00EF692F" w:rsidRDefault="00EF692F" w:rsidP="00EF692F">
      <w:pPr>
        <w:rPr>
          <w:lang w:val="el-GR"/>
        </w:rPr>
      </w:pPr>
      <w:r>
        <w:rPr>
          <w:lang w:val="en"/>
        </w:rPr>
        <w:t xml:space="preserve">Chiu, A.S., Gehringer, M.M., Welch, J.H., Neilan, B.A., Chiu, A.S., Gehringer, M.M., Welch, J.H., Neilan, B.A., 2011. Does </w:t>
      </w:r>
      <w:r>
        <w:rPr>
          <w:lang w:val="el-GR"/>
        </w:rPr>
        <w:t xml:space="preserve">α-Amino-β-methylaminopropionic Acid (BMAA) Play a Role in Neurodegeneration? International Journal of Environmental Research and Public Health 8, 3728–3746. </w:t>
      </w:r>
      <w:hyperlink r:id="rId89" w:history="1">
        <w:r>
          <w:rPr>
            <w:lang w:val="el-GR"/>
          </w:rPr>
          <w:t>https://doi.org/10.3390/ijerph8093728</w:t>
        </w:r>
      </w:hyperlink>
    </w:p>
    <w:p w14:paraId="2422B685" w14:textId="77777777" w:rsidR="00EF692F" w:rsidRDefault="00EF692F" w:rsidP="00EF692F">
      <w:pPr>
        <w:rPr>
          <w:lang w:val="el-GR"/>
        </w:rPr>
      </w:pPr>
      <w:r>
        <w:rPr>
          <w:lang w:val="el-GR"/>
        </w:rPr>
        <w:t xml:space="preserve">Chorus, I., Bartram, J., 1999. Toxic Cyanobacteria in Water : A Guide to their Public Health Consequences, Monitoring and Management. CRC Press. </w:t>
      </w:r>
      <w:hyperlink r:id="rId90" w:history="1">
        <w:r>
          <w:rPr>
            <w:lang w:val="el-GR"/>
          </w:rPr>
          <w:t>https://doi.org/10.1201/9781482295061</w:t>
        </w:r>
      </w:hyperlink>
    </w:p>
    <w:p w14:paraId="62C0D0CD" w14:textId="77777777" w:rsidR="00EF692F" w:rsidRDefault="00EF692F" w:rsidP="00EF692F">
      <w:pPr>
        <w:rPr>
          <w:lang w:val="el-GR"/>
        </w:rPr>
      </w:pPr>
      <w:r>
        <w:rPr>
          <w:lang w:val="el-GR"/>
        </w:rPr>
        <w:t xml:space="preserve">Cloern, J., 2001. Our evolving conceptual model of the coastal eutrophication problem. Marine Ecology Progress Series 210, 223–253. </w:t>
      </w:r>
      <w:hyperlink r:id="rId91" w:history="1">
        <w:r>
          <w:rPr>
            <w:lang w:val="el-GR"/>
          </w:rPr>
          <w:t>https://doi.org/10.3354/meps210223</w:t>
        </w:r>
      </w:hyperlink>
    </w:p>
    <w:p w14:paraId="1A172310" w14:textId="77777777" w:rsidR="00EF692F" w:rsidRDefault="00EF692F" w:rsidP="00EF692F">
      <w:pPr>
        <w:rPr>
          <w:lang w:val="el-GR"/>
        </w:rPr>
      </w:pPr>
      <w:r>
        <w:rPr>
          <w:lang w:val="el-GR"/>
        </w:rPr>
        <w:t xml:space="preserve">Cox, P.A., Banack, S.A., Murch, S.J., Rasmussen, U., Tien, G., Bidigare, R.R., Metcalf, J.S., Morrison, L.F., Codd, G.A., Bergman, B., 2005. Diverse taxa of cyanobacteria produce beta-N-methylamino-L-alanine, a neurotoxic amino acid. Proc. Natl. Acad. Sci. U.S.A. 102, 5074–5078. </w:t>
      </w:r>
      <w:hyperlink r:id="rId92" w:history="1">
        <w:r>
          <w:rPr>
            <w:lang w:val="el-GR"/>
          </w:rPr>
          <w:t>https://doi.org/10.1073/pnas.0501526102</w:t>
        </w:r>
      </w:hyperlink>
    </w:p>
    <w:p w14:paraId="04A8E772" w14:textId="77777777" w:rsidR="00EF692F" w:rsidRDefault="00EF692F" w:rsidP="00EF692F">
      <w:pPr>
        <w:rPr>
          <w:lang w:val="el-GR"/>
        </w:rPr>
      </w:pPr>
      <w:r>
        <w:rPr>
          <w:lang w:val="el-GR"/>
        </w:rPr>
        <w:t xml:space="preserve">Cuffney, T.F., Brightbill, R.A., May, J.T., Waite, I.R., 2010. Responses of benthic macroinvertebrates to environmental changes associated with urbanization in nine metropolitan areas. Ecological Applications 20, 1384–1401. </w:t>
      </w:r>
      <w:hyperlink r:id="rId93" w:history="1">
        <w:r>
          <w:rPr>
            <w:lang w:val="el-GR"/>
          </w:rPr>
          <w:t>https://doi.org/10.1890/08-1311.1</w:t>
        </w:r>
      </w:hyperlink>
    </w:p>
    <w:p w14:paraId="5EC3B097" w14:textId="77777777" w:rsidR="00EF692F" w:rsidRDefault="00EF692F" w:rsidP="00EF692F">
      <w:pPr>
        <w:rPr>
          <w:lang w:val="el-GR"/>
        </w:rPr>
      </w:pPr>
      <w:r>
        <w:rPr>
          <w:lang w:val="el-GR"/>
        </w:rPr>
        <w:t>Cushing, C.E., Allan, J.D., 2001. Streams their ecology and life. San Diego Academic Press.</w:t>
      </w:r>
    </w:p>
    <w:p w14:paraId="145A8931" w14:textId="77777777" w:rsidR="00EF692F" w:rsidRDefault="00EF692F" w:rsidP="00EF692F">
      <w:pPr>
        <w:rPr>
          <w:lang w:val="el-GR"/>
        </w:rPr>
      </w:pPr>
      <w:r>
        <w:rPr>
          <w:lang w:val="el-GR"/>
        </w:rPr>
        <w:t xml:space="preserve">Davies, S.P., Jackson, S.K., 2006. THE BIOLOGICAL CONDITION GRADIENT: A DESCRIPTIVE MODEL FOR INTERPRETING CHANGE IN AQUATIC ECOSYSTEMS. Ecological Applications 16, 1251–1266. </w:t>
      </w:r>
      <w:hyperlink r:id="rId94" w:history="1">
        <w:r>
          <w:rPr>
            <w:lang w:val="el-GR"/>
          </w:rPr>
          <w:t>https://doi.org/10.1890/1051-0761(2006)016[1251:TBCGAD]2.0.CO;2</w:t>
        </w:r>
      </w:hyperlink>
    </w:p>
    <w:p w14:paraId="704DEBB3" w14:textId="77777777" w:rsidR="00EF692F" w:rsidRDefault="00EF692F" w:rsidP="00EF692F">
      <w:pPr>
        <w:rPr>
          <w:lang w:val="el-GR"/>
        </w:rPr>
      </w:pPr>
      <w:r>
        <w:rPr>
          <w:lang w:val="el-GR"/>
        </w:rPr>
        <w:t xml:space="preserve">Davis, J.M., Rosemond, A.D., Eggert, S.L., Cross, W.F., Wallace, J.B., 2010. Long-term nutrient enrichment decouples predator and prey production. Proceedings of the National Academy of Sciences 107, 121–126. </w:t>
      </w:r>
      <w:hyperlink r:id="rId95" w:history="1">
        <w:r>
          <w:rPr>
            <w:lang w:val="el-GR"/>
          </w:rPr>
          <w:t>https://doi.org/10.1073/pnas.0908497107</w:t>
        </w:r>
      </w:hyperlink>
    </w:p>
    <w:p w14:paraId="78581621" w14:textId="77777777" w:rsidR="00EF692F" w:rsidRDefault="00EF692F" w:rsidP="00EF692F">
      <w:pPr>
        <w:rPr>
          <w:lang w:val="el-GR"/>
        </w:rPr>
      </w:pPr>
      <w:r>
        <w:rPr>
          <w:lang w:val="el-GR"/>
        </w:rPr>
        <w:t>Davis, W.S., Simon, T.P., 1995. Biological Assessment and Criteria: Tools for Water Resource Planning and Decision Making. CRC Press.</w:t>
      </w:r>
    </w:p>
    <w:p w14:paraId="6655E39A" w14:textId="77777777" w:rsidR="00EF692F" w:rsidRDefault="00EF692F" w:rsidP="00EF692F">
      <w:pPr>
        <w:rPr>
          <w:lang w:val="el-GR"/>
        </w:rPr>
      </w:pPr>
      <w:r>
        <w:rPr>
          <w:lang w:val="el-GR"/>
        </w:rPr>
        <w:t xml:space="preserve">Delong, M.D., Brusven, M.A., 1992. PATTERNS OF PERIPHYTON CHLOROPHYLL α IN AN AGRICULTURAL NONPOINT SOURCE IMPACTED STREAM1. JAWRA Journal of the American Water Resources Association 28, 731–741. </w:t>
      </w:r>
      <w:hyperlink r:id="rId96" w:history="1">
        <w:r>
          <w:rPr>
            <w:lang w:val="el-GR"/>
          </w:rPr>
          <w:t>https://doi.org/10.1111/j.1752-1688.1992.tb01495.x</w:t>
        </w:r>
      </w:hyperlink>
    </w:p>
    <w:p w14:paraId="08096F47" w14:textId="77777777" w:rsidR="00EF692F" w:rsidRDefault="00EF692F" w:rsidP="00EF692F">
      <w:pPr>
        <w:rPr>
          <w:lang w:val="el-GR"/>
        </w:rPr>
      </w:pPr>
      <w:r>
        <w:rPr>
          <w:lang w:val="el-GR"/>
        </w:rPr>
        <w:t xml:space="preserve">Diaz, R.J., 2001. Overview of Hypoxia around the World. Journal of Environmental Quality 30, 275–281. </w:t>
      </w:r>
      <w:hyperlink r:id="rId97" w:history="1">
        <w:r>
          <w:rPr>
            <w:lang w:val="el-GR"/>
          </w:rPr>
          <w:t>https://doi.org/10.2134/jeq2001.302275x</w:t>
        </w:r>
      </w:hyperlink>
    </w:p>
    <w:p w14:paraId="6CFEB295" w14:textId="77777777" w:rsidR="00EF692F" w:rsidRDefault="00EF692F" w:rsidP="00EF692F">
      <w:pPr>
        <w:rPr>
          <w:lang w:val="el-GR"/>
        </w:rPr>
      </w:pPr>
      <w:r>
        <w:rPr>
          <w:lang w:val="el-GR"/>
        </w:rPr>
        <w:t xml:space="preserve">Dodds, W.K., 2007. Trophic state, eutrophication and nutrient criteria in streams. Trends in Ecology &amp; Evolution 22, 669–676. </w:t>
      </w:r>
      <w:hyperlink r:id="rId98" w:history="1">
        <w:r>
          <w:rPr>
            <w:lang w:val="el-GR"/>
          </w:rPr>
          <w:t>https://doi.org/10.1016/j.tree.2007.07.010</w:t>
        </w:r>
      </w:hyperlink>
    </w:p>
    <w:p w14:paraId="0215FC63" w14:textId="77777777" w:rsidR="00EF692F" w:rsidRDefault="00EF692F" w:rsidP="00EF692F">
      <w:pPr>
        <w:rPr>
          <w:lang w:val="el-GR"/>
        </w:rPr>
      </w:pPr>
      <w:r>
        <w:rPr>
          <w:lang w:val="el-GR"/>
        </w:rPr>
        <w:t xml:space="preserve">Dodds, W.K., Biggs, B.J.F., 2002. Water Velocity Attenuation by Stream Periphyton and Macrophytes in Relation to Growth Form and Architecture. Journal of the North American Benthological Society 21, 2–15. </w:t>
      </w:r>
      <w:hyperlink r:id="rId99" w:history="1">
        <w:r>
          <w:rPr>
            <w:lang w:val="el-GR"/>
          </w:rPr>
          <w:t>https://doi.org/10.2307/1468295</w:t>
        </w:r>
      </w:hyperlink>
    </w:p>
    <w:p w14:paraId="208017FE" w14:textId="77777777" w:rsidR="00EF692F" w:rsidRDefault="00EF692F" w:rsidP="00EF692F">
      <w:pPr>
        <w:rPr>
          <w:lang w:val="el-GR"/>
        </w:rPr>
      </w:pPr>
      <w:r>
        <w:rPr>
          <w:lang w:val="el-GR"/>
        </w:rPr>
        <w:t xml:space="preserve">Dodds, W.K., Gudder, D.A., 1992. The Ecology of Cladophora. Journal of Phycology 28, 415–427. </w:t>
      </w:r>
      <w:hyperlink r:id="rId100" w:history="1">
        <w:r>
          <w:rPr>
            <w:lang w:val="el-GR"/>
          </w:rPr>
          <w:t>https://doi.org/10.1111/j.0022-3646.1992.00415.x</w:t>
        </w:r>
      </w:hyperlink>
    </w:p>
    <w:p w14:paraId="6D251D53" w14:textId="77777777" w:rsidR="00EF692F" w:rsidRDefault="00EF692F" w:rsidP="00EF692F">
      <w:pPr>
        <w:rPr>
          <w:lang w:val="el-GR"/>
        </w:rPr>
      </w:pPr>
      <w:r>
        <w:rPr>
          <w:lang w:val="el-GR"/>
        </w:rPr>
        <w:t xml:space="preserve">Dodds, W.K., Jones, J.R., Welch, E.B., 1998. Suggested classification of stream trophic state: distributions of temperate stream types by chlorophyll, total nitrogen, and phosphorus. Water Research 32, 1455–1462. </w:t>
      </w:r>
      <w:hyperlink r:id="rId101" w:history="1">
        <w:r>
          <w:rPr>
            <w:lang w:val="el-GR"/>
          </w:rPr>
          <w:t>https://doi.org/10.1016/S0043-1354(97)00370-9</w:t>
        </w:r>
      </w:hyperlink>
    </w:p>
    <w:p w14:paraId="43E2F6E2" w14:textId="77777777" w:rsidR="00EF692F" w:rsidRDefault="00EF692F" w:rsidP="00EF692F">
      <w:pPr>
        <w:rPr>
          <w:lang w:val="el-GR"/>
        </w:rPr>
      </w:pPr>
      <w:r>
        <w:rPr>
          <w:lang w:val="el-GR"/>
        </w:rPr>
        <w:t xml:space="preserve">Dodds, W.K., Smith, V.H., Lohman, K., 2006. Erratum: Nitrogen and phosphorus relationships to benthic algal biomass in temperate streams. Canadian Journal of Fisheries and Aquatic Sciences 63, 1190–1191. </w:t>
      </w:r>
      <w:hyperlink r:id="rId102" w:history="1">
        <w:r>
          <w:rPr>
            <w:lang w:val="el-GR"/>
          </w:rPr>
          <w:t>https://doi.org/10.1139/f06-040</w:t>
        </w:r>
      </w:hyperlink>
    </w:p>
    <w:p w14:paraId="75260E25" w14:textId="77777777" w:rsidR="00EF692F" w:rsidRDefault="00EF692F" w:rsidP="00EF692F">
      <w:pPr>
        <w:rPr>
          <w:lang w:val="el-GR"/>
        </w:rPr>
      </w:pPr>
      <w:r>
        <w:rPr>
          <w:lang w:val="el-GR"/>
        </w:rPr>
        <w:t xml:space="preserve">Dodds, W.K., Smith, V.H., Lohman, K., 2002. Nitrogen and phosphorus relationships to benthic algal biomass in temperate streams. Can. J. Fish. Aquat. Sci. 59, 865–874. </w:t>
      </w:r>
      <w:hyperlink r:id="rId103" w:history="1">
        <w:r>
          <w:rPr>
            <w:lang w:val="el-GR"/>
          </w:rPr>
          <w:t>https://doi.org/10.1139/f02-063</w:t>
        </w:r>
      </w:hyperlink>
    </w:p>
    <w:p w14:paraId="4FF99DAC" w14:textId="77777777" w:rsidR="00EF692F" w:rsidRDefault="00EF692F" w:rsidP="00EF692F">
      <w:pPr>
        <w:rPr>
          <w:lang w:val="el-GR"/>
        </w:rPr>
      </w:pPr>
      <w:r>
        <w:rPr>
          <w:lang w:val="el-GR"/>
        </w:rPr>
        <w:t xml:space="preserve">Dodds, W.K.K., Welch, E.B., 2000. Establishing nutrient criteria in streams. Journal of the North American Benthological Society 19, 186–196. </w:t>
      </w:r>
      <w:hyperlink r:id="rId104" w:history="1">
        <w:r>
          <w:rPr>
            <w:lang w:val="el-GR"/>
          </w:rPr>
          <w:t>https://doi.org/10.2307/1468291</w:t>
        </w:r>
      </w:hyperlink>
    </w:p>
    <w:p w14:paraId="3622AF9E" w14:textId="77777777" w:rsidR="00EF692F" w:rsidRDefault="00EF692F" w:rsidP="00EF692F">
      <w:pPr>
        <w:rPr>
          <w:lang w:val="el-GR"/>
        </w:rPr>
      </w:pPr>
      <w:r>
        <w:rPr>
          <w:lang w:val="el-GR"/>
        </w:rPr>
        <w:t xml:space="preserve">Domagalski, J., Saleh, D., 2015. Sources and Transport of Phosphorus to Rivers in California and Adjacent States, U.S., as Determined by SPARROW Modeling. JAWRA Journal of the American Water Resources Association 51, 1463–1486. </w:t>
      </w:r>
      <w:hyperlink r:id="rId105" w:history="1">
        <w:r>
          <w:rPr>
            <w:lang w:val="el-GR"/>
          </w:rPr>
          <w:t>https://doi.org/10.1111/1752-1688.12326</w:t>
        </w:r>
      </w:hyperlink>
    </w:p>
    <w:p w14:paraId="6BB81BF5" w14:textId="77777777" w:rsidR="00EF692F" w:rsidRDefault="00EF692F" w:rsidP="00EF692F">
      <w:pPr>
        <w:rPr>
          <w:lang w:val="el-GR"/>
        </w:rPr>
      </w:pPr>
      <w:r>
        <w:rPr>
          <w:lang w:val="el-GR"/>
        </w:rPr>
        <w:t xml:space="preserve">Dunlop, R.A., Cox, P.A., Banack, S.A., Rodgers, K.J., 2013. The Non-Protein Amino Acid BMAA Is Misincorporated into Human Proteins in Place of l-Serine Causing Protein Misfolding and Aggregation. PLOS ONE 8, e75376. </w:t>
      </w:r>
      <w:hyperlink r:id="rId106" w:history="1">
        <w:r>
          <w:rPr>
            <w:lang w:val="el-GR"/>
          </w:rPr>
          <w:t>https://doi.org/10.1371/journal.pone.0075376</w:t>
        </w:r>
      </w:hyperlink>
    </w:p>
    <w:p w14:paraId="111584DC" w14:textId="77777777" w:rsidR="00EF692F" w:rsidRDefault="00EF692F" w:rsidP="00EF692F">
      <w:pPr>
        <w:rPr>
          <w:lang w:val="el-GR"/>
        </w:rPr>
      </w:pPr>
      <w:r>
        <w:rPr>
          <w:lang w:val="el-GR"/>
        </w:rPr>
        <w:t xml:space="preserve">Evans-White, M.A., Dodds, W.K., Huggins, D.G., Baker, D.S., 2009. Thresholds in macroinvertebrate biodiversity and stoichiometry across water-quality gradients in Central Plains (USA) streams. Journal of the North American Benthological Society 28, 855–868. </w:t>
      </w:r>
      <w:hyperlink r:id="rId107" w:history="1">
        <w:r>
          <w:rPr>
            <w:lang w:val="el-GR"/>
          </w:rPr>
          <w:t>https://doi.org/10.1899/08-113.1</w:t>
        </w:r>
      </w:hyperlink>
    </w:p>
    <w:p w14:paraId="0196B355" w14:textId="77777777" w:rsidR="00EF692F" w:rsidRDefault="00EF692F" w:rsidP="00EF692F">
      <w:pPr>
        <w:rPr>
          <w:lang w:val="el-GR"/>
        </w:rPr>
      </w:pPr>
      <w:r>
        <w:rPr>
          <w:lang w:val="el-GR"/>
        </w:rPr>
        <w:t xml:space="preserve">Evans-White, M.A., Haggard, B.E., Scott, J.T., 2013. A Review of Stream Nutrient Criteria Development in the United States. Journal of Environmental Quality 42, 1002–1014. </w:t>
      </w:r>
      <w:hyperlink r:id="rId108" w:history="1">
        <w:r>
          <w:rPr>
            <w:lang w:val="el-GR"/>
          </w:rPr>
          <w:t>https://doi.org/10.2134/jeq2012.0491</w:t>
        </w:r>
      </w:hyperlink>
    </w:p>
    <w:p w14:paraId="0D6A7B54" w14:textId="77777777" w:rsidR="00EF692F" w:rsidRDefault="00EF692F" w:rsidP="00EF692F">
      <w:pPr>
        <w:rPr>
          <w:lang w:val="el-GR"/>
        </w:rPr>
      </w:pPr>
      <w:r>
        <w:rPr>
          <w:lang w:val="el-GR"/>
        </w:rPr>
        <w:t xml:space="preserve">Eyre, B.D., Ferguson, A.J.P., 2002. Comparison of carbon production and decomposition, benthic nutrient fluxes and denitrification in seagrass, phytoplankton, benthic microalgae- and macroalgae-dominated warm-temperate Australian lagoons. Marine Ecology Progress Series 229, 43–59. </w:t>
      </w:r>
      <w:hyperlink r:id="rId109" w:history="1">
        <w:r>
          <w:rPr>
            <w:lang w:val="el-GR"/>
          </w:rPr>
          <w:t>https://doi.org/10.3354/meps229043</w:t>
        </w:r>
      </w:hyperlink>
    </w:p>
    <w:p w14:paraId="490A08E1" w14:textId="77777777" w:rsidR="00EF692F" w:rsidRDefault="00EF692F" w:rsidP="00EF692F">
      <w:pPr>
        <w:rPr>
          <w:lang w:val="el-GR"/>
        </w:rPr>
      </w:pPr>
      <w:r>
        <w:rPr>
          <w:lang w:val="el-GR"/>
        </w:rPr>
        <w:t xml:space="preserve">Fan, L., Brett, M.T., Jiang, W., Li, B., 2017. Dissolved organic nitrogen recalcitrance and bioavailable nitrogen quantification for effluents from advanced nitrogen removal wastewater treatment facilities. Environ. Pollut. 229, 255–263. </w:t>
      </w:r>
      <w:hyperlink r:id="rId110" w:history="1">
        <w:r>
          <w:rPr>
            <w:lang w:val="el-GR"/>
          </w:rPr>
          <w:t>https://doi.org/10.1016/j.envpol.2017.05.093</w:t>
        </w:r>
      </w:hyperlink>
    </w:p>
    <w:p w14:paraId="21036A08" w14:textId="77777777" w:rsidR="00EF692F" w:rsidRDefault="00EF692F" w:rsidP="00EF692F">
      <w:pPr>
        <w:rPr>
          <w:lang w:val="el-GR"/>
        </w:rPr>
      </w:pPr>
      <w:r>
        <w:rPr>
          <w:lang w:val="el-GR"/>
        </w:rPr>
        <w:t>Fetcho, K., 2007. Klamath River Blue-Green Algae Summary Report. Yurok Tribe: Klamath, CA, USA.</w:t>
      </w:r>
    </w:p>
    <w:p w14:paraId="1B077F3D" w14:textId="77777777" w:rsidR="00EF692F" w:rsidRDefault="00EF692F" w:rsidP="00EF692F">
      <w:pPr>
        <w:rPr>
          <w:lang w:val="el-GR"/>
        </w:rPr>
      </w:pPr>
      <w:r>
        <w:rPr>
          <w:lang w:val="el-GR"/>
        </w:rPr>
        <w:t>Fetscher, A.E., Busse, L., Ode, P., 2009. Standard Operating Procedures for Collecting Stream Algae Samples and Associated Physical Habitat and Chemical Data for Ambient Bioassessments in California (No. Bioassessment SOP 002). California State Water Resources Control Board Surface Water Ambient Monitoring Program (SWAMP).</w:t>
      </w:r>
    </w:p>
    <w:p w14:paraId="09A901D5" w14:textId="77777777" w:rsidR="00EF692F" w:rsidRDefault="00EF692F" w:rsidP="00EF692F">
      <w:pPr>
        <w:rPr>
          <w:lang w:val="el-GR"/>
        </w:rPr>
      </w:pPr>
      <w:r>
        <w:rPr>
          <w:lang w:val="el-GR"/>
        </w:rPr>
        <w:t xml:space="preserve">Fetscher, A.E., Howard, M.D.A., Stancheva, R., Kudela, R.M., Stein, E.D., Sutula, M.A., Busse, L.B., Sheath, R.G., 2015. Wadeable streams as widespread sources of benthic cyanotoxins in California, USA. Harmful Algae 49, 105–116. </w:t>
      </w:r>
      <w:hyperlink r:id="rId111" w:history="1">
        <w:r>
          <w:rPr>
            <w:lang w:val="el-GR"/>
          </w:rPr>
          <w:t>https://doi.org/10.1016/j.hal.2015.09.002</w:t>
        </w:r>
      </w:hyperlink>
    </w:p>
    <w:p w14:paraId="33B80479" w14:textId="77777777" w:rsidR="00EF692F" w:rsidRDefault="00EF692F" w:rsidP="00EF692F">
      <w:pPr>
        <w:rPr>
          <w:lang w:val="el-GR"/>
        </w:rPr>
      </w:pPr>
      <w:r>
        <w:rPr>
          <w:lang w:val="el-GR"/>
        </w:rPr>
        <w:t xml:space="preserve">Fetscher, A.E., Stancheva, R., Kociolek, J.P., Sheath, R.G., Stein, E.D., Mazor, R.D., Ode, P.R., Busse, L.B., 2014a. Development and comparison of stream indices of biotic integrity using diatoms vs. non-diatom algae vs. a combination. J Appl Phycol 26, 433–450. </w:t>
      </w:r>
      <w:hyperlink r:id="rId112" w:history="1">
        <w:r>
          <w:rPr>
            <w:lang w:val="el-GR"/>
          </w:rPr>
          <w:t>https://doi.org/10.1007/s10811-013-0088-2</w:t>
        </w:r>
      </w:hyperlink>
    </w:p>
    <w:p w14:paraId="3590635C" w14:textId="77777777" w:rsidR="00EF692F" w:rsidRDefault="00EF692F" w:rsidP="00EF692F">
      <w:pPr>
        <w:rPr>
          <w:lang w:val="el-GR"/>
        </w:rPr>
      </w:pPr>
      <w:r>
        <w:rPr>
          <w:lang w:val="el-GR"/>
        </w:rPr>
        <w:t>Fetscher, A.E., Sutula, M.A., Sengupta, A., 2014b. Linking Nutrients to Alterations in Aquatic Life in California Wadable Streams (Report for USEPA No. 0834). Southern California Coastal Water Research Project, Costa Mesa, CA.</w:t>
      </w:r>
    </w:p>
    <w:p w14:paraId="7F408C3F" w14:textId="77777777" w:rsidR="00EF692F" w:rsidRDefault="00EF692F" w:rsidP="00EF692F">
      <w:pPr>
        <w:rPr>
          <w:lang w:val="el-GR"/>
        </w:rPr>
      </w:pPr>
      <w:r>
        <w:rPr>
          <w:lang w:val="el-GR"/>
        </w:rPr>
        <w:t>Fevold, K.L., 1998. Sub-surface controls on the distribution of benthic algae in floodplain back channel habitats of the Queets Rive (Master’s thesis). University of Washington, Seattle.</w:t>
      </w:r>
    </w:p>
    <w:p w14:paraId="6A514632" w14:textId="77777777" w:rsidR="00EF692F" w:rsidRDefault="00EF692F" w:rsidP="00EF692F">
      <w:r>
        <w:rPr>
          <w:lang w:val="el-GR"/>
        </w:rPr>
        <w:t>Filho, F., Silva, A. da, 2009. Bioacumula</w:t>
      </w:r>
      <w:r>
        <w:t>ção de cianotoxinas e seus efeitos em organismos aquáticos. Bioaccumulation of cianotoxins and their effect on aquatic organisms.</w:t>
      </w:r>
    </w:p>
    <w:p w14:paraId="4AFEC900" w14:textId="77777777" w:rsidR="00EF692F" w:rsidRDefault="00EF692F" w:rsidP="00EF692F">
      <w:r>
        <w:t xml:space="preserve">Findlay, S., 2010. Stream microbial ecology. Journal of the North American Benthological Society 29, 170–181. </w:t>
      </w:r>
      <w:hyperlink r:id="rId113" w:history="1">
        <w:r>
          <w:t>https://doi.org/10.1899/09-023.1</w:t>
        </w:r>
      </w:hyperlink>
    </w:p>
    <w:p w14:paraId="2B71E0DD" w14:textId="77777777" w:rsidR="00EF692F" w:rsidRDefault="00EF692F" w:rsidP="00EF692F">
      <w:r>
        <w:t xml:space="preserve">Gérard, C., Brient, L., Rouzic, B.L., 2005. Variation in the response of juvenile and adult gastropods (Lymnaea stagnalis) to cyanobacterial toxin (microcystin-LR). Environmental Toxicology 20, 592–596. </w:t>
      </w:r>
      <w:hyperlink r:id="rId114" w:history="1">
        <w:r>
          <w:t>https://doi.org/10.1002/tox.20147</w:t>
        </w:r>
      </w:hyperlink>
    </w:p>
    <w:p w14:paraId="4ACC4C49" w14:textId="77777777" w:rsidR="00EF692F" w:rsidRDefault="00EF692F" w:rsidP="00EF692F">
      <w:r>
        <w:t xml:space="preserve">Gibble, C.M., Kudela, R.M., 2014. Detection of persistent microcystin toxins at the land–sea interface in Monterey Bay, California. Harmful Algae 39, 146–153. </w:t>
      </w:r>
      <w:hyperlink r:id="rId115" w:history="1">
        <w:r>
          <w:t>https://doi.org/10.1016/j.hal.2014.07.004</w:t>
        </w:r>
      </w:hyperlink>
    </w:p>
    <w:p w14:paraId="1A9769BC" w14:textId="77777777" w:rsidR="00EF692F" w:rsidRDefault="00EF692F" w:rsidP="00EF692F">
      <w:r>
        <w:t xml:space="preserve">Glibert, P.M., Harrison, J., Heil, C., Seitzinger, S., 2006. Escalating Worldwide use of Urea – A Global Change Contributing to Coastal Eutrophication. Biogeochemistry 77, 441–463. </w:t>
      </w:r>
      <w:hyperlink r:id="rId116" w:history="1">
        <w:r>
          <w:t>https://doi.org/10.1007/s10533-005-3070-5</w:t>
        </w:r>
      </w:hyperlink>
    </w:p>
    <w:p w14:paraId="3DC00346" w14:textId="77777777" w:rsidR="00EF692F" w:rsidRDefault="00EF692F" w:rsidP="00EF692F">
      <w:r>
        <w:t xml:space="preserve">Glibert, P.M., Magnien, R., Lomas, M.W., Alexander, J., Tan, C., Haramoto, E., Trice, M., Kana, T.M., 2001. Harmful algal blooms in the Chesapeake and Coastal Bays of Maryland, USA: Comparison of 1997, 1998, and 1999 events. Estuaries 24, 875–883. </w:t>
      </w:r>
      <w:hyperlink r:id="rId117" w:history="1">
        <w:r>
          <w:t>https://doi.org/10.2307/1353178</w:t>
        </w:r>
      </w:hyperlink>
    </w:p>
    <w:p w14:paraId="0A4A7431" w14:textId="77777777" w:rsidR="00EF692F" w:rsidRDefault="00EF692F" w:rsidP="00EF692F">
      <w:r>
        <w:t xml:space="preserve">Goldstein, T., Mazet, J. a. K., Zabka, T.S., Langlois, G., Colegrove, K.M., Silver, M., Bargu, S., Dolah, F.V., Leighfield, T., Conrad, P.A., Barakos, J., Williams, D.C., Dennison, S., Haulena, M., Gulland, F.M.D., 2008. Novel symptomatology and changing epidemiology of domoic acid toxicosis in California sea lions (Zalophus californianus): an increasing risk to marine mammal health. Proceedings of the Royal Society of London B: Biological Sciences 275, 267–276. </w:t>
      </w:r>
      <w:hyperlink r:id="rId118" w:history="1">
        <w:r>
          <w:t>https://doi.org/10.1098/rspb.2007.1221</w:t>
        </w:r>
      </w:hyperlink>
    </w:p>
    <w:p w14:paraId="65583485" w14:textId="77777777" w:rsidR="00EF692F" w:rsidRDefault="00EF692F" w:rsidP="00EF692F">
      <w:r>
        <w:t xml:space="preserve">Graham, N.J.D., Wardlaw, V.E., Perry, R., Jiang, J.-Q., 1998. The significance of algae as trihalomethane precursors. Water Science and Technology, Reservoir Management and Water Supply — An Integrated System 37, 83–89. </w:t>
      </w:r>
      <w:hyperlink r:id="rId119" w:history="1">
        <w:r>
          <w:t>https://doi.org/10.1016/S0273-1223(98)00013-4</w:t>
        </w:r>
      </w:hyperlink>
    </w:p>
    <w:p w14:paraId="03E3BF6A" w14:textId="77777777" w:rsidR="00EF692F" w:rsidRDefault="00EF692F" w:rsidP="00EF692F">
      <w:r>
        <w:t xml:space="preserve">Gray, J.S., Wu, R.S., Or, Y.Y., 2002. Effects of hypoxia and organic enrichment on the coastal marine environment. Marine Ecology Progress Series 238, 249–279. </w:t>
      </w:r>
      <w:hyperlink r:id="rId120" w:history="1">
        <w:r>
          <w:t>https://doi.org/10.3354/meps238249</w:t>
        </w:r>
      </w:hyperlink>
    </w:p>
    <w:p w14:paraId="53330AF7" w14:textId="77777777" w:rsidR="00EF692F" w:rsidRDefault="00EF692F" w:rsidP="00EF692F">
      <w:r>
        <w:t xml:space="preserve">Groffman, P.M., Baron, J.S., Blett, T., Gold, A.J., Goodman, I., Gunderson, L.H., Levinson, B.M., Palmer, M.A., Paerl, H.W., Peterson, G.D., Poff, N.L., Rejeski, D.W., Reynolds, J.F., Turner, M.G., Weathers, K.C., Wiens, J., 2006. Ecological Thresholds: The Key to Successful Environmental Management or an Important Concept with No Practical Application? Ecosystems 9, 1–13. </w:t>
      </w:r>
      <w:hyperlink r:id="rId121" w:history="1">
        <w:r>
          <w:t>https://doi.org/10.1007/s10021-003-0142-z</w:t>
        </w:r>
      </w:hyperlink>
    </w:p>
    <w:p w14:paraId="68388E2E" w14:textId="77777777" w:rsidR="00EF692F" w:rsidRDefault="00EF692F" w:rsidP="00EF692F">
      <w:r>
        <w:t xml:space="preserve">Haggard, B.E., Scott, J.T., Longing, S.D., 2013. Sestonic Chlorophyll- a Shows Hierarchical Structure and Thresholds with Nutrients across the Red River Basin, USA. Journal of Environmental Quality 42, 437–445. </w:t>
      </w:r>
      <w:hyperlink r:id="rId122" w:history="1">
        <w:r>
          <w:t>https://doi.org/10.2134/jeq2012.0181</w:t>
        </w:r>
      </w:hyperlink>
    </w:p>
    <w:p w14:paraId="5CB35C7E" w14:textId="77777777" w:rsidR="00EF692F" w:rsidRDefault="00EF692F" w:rsidP="00EF692F">
      <w:r>
        <w:t xml:space="preserve">Haney, J.F., Sasner, J.J., Ikawa, M., 1995. Effects of products released by Aphanizomenon flos-aquae and purified saxitoxin on the movements of Daphnia carinata feeding appendages. Limnology and Oceanography 40, 263–272. </w:t>
      </w:r>
      <w:hyperlink r:id="rId123" w:history="1">
        <w:r>
          <w:t>https://doi.org/10.4319/lo.1995.40.2.0263</w:t>
        </w:r>
      </w:hyperlink>
    </w:p>
    <w:p w14:paraId="67F0292F" w14:textId="77777777" w:rsidR="00EF692F" w:rsidRDefault="00EF692F" w:rsidP="00EF692F">
      <w:r>
        <w:t>Harper, D.M., 1992. Eutrophication of freshwaters. Chapman &amp; Hall, London.</w:t>
      </w:r>
    </w:p>
    <w:p w14:paraId="0368E0FF" w14:textId="77777777" w:rsidR="00EF692F" w:rsidRDefault="00EF692F" w:rsidP="00EF692F">
      <w:r>
        <w:t xml:space="preserve">Hawkins, C.P., Murphy, M.L., Anderson, N.H., 1982. Effects of Canopy, Substrate Composition, and Gradient on the Structure of Macroinvertebrate Communities in Cascade Range Streams of Oregon. Ecology 63, 1840–1856. </w:t>
      </w:r>
      <w:hyperlink r:id="rId124" w:history="1">
        <w:r>
          <w:t>https://doi.org/10.2307/1940125</w:t>
        </w:r>
      </w:hyperlink>
    </w:p>
    <w:p w14:paraId="698C3FD8" w14:textId="77777777" w:rsidR="00EF692F" w:rsidRDefault="00EF692F" w:rsidP="00EF692F">
      <w:r>
        <w:t xml:space="preserve">Heiskary, S., Markus, H., 2001. Establishing Relationships Among Nutrient Concentrations, Phytoplankton Abundance, and Biochemical Oxygen Demand in Minnesota, USA, Rivers. Lake and Reservoir Management 17, 251–262. </w:t>
      </w:r>
      <w:hyperlink r:id="rId125" w:history="1">
        <w:r>
          <w:t>https://doi.org/10.1080/07438140109354134</w:t>
        </w:r>
      </w:hyperlink>
    </w:p>
    <w:p w14:paraId="447A3DED" w14:textId="77777777" w:rsidR="00EF692F" w:rsidRDefault="00EF692F" w:rsidP="00EF692F">
      <w:r>
        <w:t xml:space="preserve">Heiskary, S.A., Bouchard, R.W., 2015. Development of eutrophication criteria for Minnesota streams and rivers using multiple lines of evidence. Freshwater Science 34, 574–592. </w:t>
      </w:r>
      <w:hyperlink r:id="rId126" w:history="1">
        <w:r>
          <w:t>https://doi.org/10.1086/680662</w:t>
        </w:r>
      </w:hyperlink>
    </w:p>
    <w:p w14:paraId="20A67BA0" w14:textId="77777777" w:rsidR="00EF692F" w:rsidRDefault="00EF692F" w:rsidP="00EF692F">
      <w:r>
        <w:t xml:space="preserve">Hiolski, E.M., Kendrick, P.S., Frame, E.R., Myers, M.S., Bammler, T.K., Beyer, R.P., Farin, F.M., Wilkerson, H.-W., Smith, D.R., Marcinek, D.J., Lefebvre, K.A., 2014. Chronic low-level domoic acid exposure alters gene transcription and impairs mitochondrial function in the CNS. Aquat. Toxicol. 155, 151–159. </w:t>
      </w:r>
      <w:hyperlink r:id="rId127" w:history="1">
        <w:r>
          <w:t>https://doi.org/10.1016/j.aquatox.2014.06.006</w:t>
        </w:r>
      </w:hyperlink>
    </w:p>
    <w:p w14:paraId="2DE16A64" w14:textId="77777777" w:rsidR="00EF692F" w:rsidRDefault="00EF692F" w:rsidP="00EF692F">
      <w:r>
        <w:t xml:space="preserve">Hynes, H.B.N., 1970. Eutrophication: Causes, Consequences, Correctives. National Academy of Sciences, Washington, D.C. </w:t>
      </w:r>
      <w:hyperlink r:id="rId128" w:history="1">
        <w:r>
          <w:t>https://doi.org/10.17226/20256</w:t>
        </w:r>
      </w:hyperlink>
    </w:p>
    <w:p w14:paraId="3BBB39D2" w14:textId="77777777" w:rsidR="00EF692F" w:rsidRDefault="00EF692F" w:rsidP="00EF692F">
      <w:r>
        <w:t xml:space="preserve">Ibelings, B.W., Bruning, K., de Jonge, J., Wolfstein, K., Pires, L.M.D., Postma, J., Burger, T., 2005. Distribution of Microcystins in a Lake Foodweb: No Evidence for Biomagnification. Microbial Ecology 49, 487–500. </w:t>
      </w:r>
      <w:hyperlink r:id="rId129" w:history="1">
        <w:r>
          <w:t>https://doi.org/10.1007/s00248-004-0014-x</w:t>
        </w:r>
      </w:hyperlink>
    </w:p>
    <w:p w14:paraId="18A60FAC" w14:textId="77777777" w:rsidR="00EF692F" w:rsidRDefault="00EF692F" w:rsidP="00EF692F">
      <w:r>
        <w:t>IPCS (International Programme on Chemical Safety), 1986. Environmental Health Criteria 54: Ammonia. United National Environment Programme, International Labour Organisation, World Health Organization.</w:t>
      </w:r>
    </w:p>
    <w:p w14:paraId="35B3FFEB" w14:textId="77777777" w:rsidR="00EF692F" w:rsidRDefault="00EF692F" w:rsidP="00EF692F">
      <w:r>
        <w:t xml:space="preserve">Jacoby, J.M., Kann, J., 2007. The occurrence and response to toxic cyanobacteria in the Pacific Northwest, North America. Lake and Reservoir Management 23, 123–143. </w:t>
      </w:r>
      <w:hyperlink r:id="rId130" w:history="1">
        <w:r>
          <w:t>https://doi.org/10.1080/07438140709353916</w:t>
        </w:r>
      </w:hyperlink>
    </w:p>
    <w:p w14:paraId="556DAA52" w14:textId="77777777" w:rsidR="00EF692F" w:rsidRDefault="00EF692F" w:rsidP="00EF692F">
      <w:r>
        <w:t xml:space="preserve">Jakus, P.M., Nelson, N., Ostermiller, J., 2017. Using Survey Data to Determine a Numeric Criterion for Nutrient Pollution. Water Resources Research 53, 10188–10200. </w:t>
      </w:r>
      <w:hyperlink r:id="rId131" w:history="1">
        <w:r>
          <w:t>https://doi.org/10.1002/2017WR021527</w:t>
        </w:r>
      </w:hyperlink>
    </w:p>
    <w:p w14:paraId="6B2BDE5C" w14:textId="77777777" w:rsidR="00EF692F" w:rsidRDefault="00EF692F" w:rsidP="00EF692F">
      <w:r>
        <w:t>Jassby, A., 2008. Phytoplankton in the Upper San Francisco Estuary: Recent Biomass Trends, Their Causes, and Their Trophic Significance. San Francisco Estuary and Watershed Science 6.</w:t>
      </w:r>
    </w:p>
    <w:p w14:paraId="0CFE4FB5" w14:textId="77777777" w:rsidR="00EF692F" w:rsidRDefault="00EF692F" w:rsidP="00EF692F">
      <w:r>
        <w:t>Jessup, B., 2015. New Mexico Nutrient Thresholds for Perennial Wadeable Streams (Final Report). Tetra Tech, New Mexico Environment Department and U.S. EPA Region 6 and the N-STEPS Program.</w:t>
      </w:r>
    </w:p>
    <w:p w14:paraId="134495F8" w14:textId="77777777" w:rsidR="00EF692F" w:rsidRDefault="00EF692F" w:rsidP="00EF692F">
      <w:r>
        <w:t xml:space="preserve">Juhel, G., Davenport, J., O’Halloran, J., Culloty, S.C., O’Riordan, R.M., James, K.F., Furey, A., Allis, O., 2006. Impacts of microcystins on the feeding behaviour and energy balance of zebra mussels, Dreissena polymorpha: a bioenergetics approach. Aquat. Toxicol. 79, 391–400. </w:t>
      </w:r>
      <w:hyperlink r:id="rId132" w:history="1">
        <w:r>
          <w:t>https://doi.org/10.1016/j.aquatox.2006.07.007</w:t>
        </w:r>
      </w:hyperlink>
    </w:p>
    <w:p w14:paraId="4939FBF2" w14:textId="77777777" w:rsidR="00EF692F" w:rsidRDefault="00EF692F" w:rsidP="00EF692F">
      <w:r>
        <w:t>Kann, J., 2008. Microcystin Bioaccumulation in Klamath River Fish and Freshwater Mussel Tissue: Preliminary 2007 Results (Technical Memorandum). Aquatic Ecosystem Sciences LLC.</w:t>
      </w:r>
    </w:p>
    <w:p w14:paraId="50835D3D" w14:textId="77777777" w:rsidR="00EF692F" w:rsidRDefault="00EF692F" w:rsidP="00EF692F">
      <w:r>
        <w:t>Kann, J., 2004. Copco Lake Analysis (To: Kier and Associates) (Memo). Aquatic Ecosystem Sciences LLC, Ashland, OR.</w:t>
      </w:r>
    </w:p>
    <w:p w14:paraId="5A9CBD55" w14:textId="77777777" w:rsidR="00EF692F" w:rsidRDefault="00EF692F" w:rsidP="00EF692F">
      <w:r>
        <w:t xml:space="preserve">Kisby, G.E., Spencer, P.S., Kisby, G.E., Spencer, P.S., 2011. Is Neurodegenerative Disease a Long-Latency Response to Early-Life Genotoxin Exposure? International Journal of Environmental Research and Public Health 8, 3889–3921. </w:t>
      </w:r>
      <w:hyperlink r:id="rId133" w:history="1">
        <w:r>
          <w:t>https://doi.org/10.3390/ijerph8103889</w:t>
        </w:r>
      </w:hyperlink>
    </w:p>
    <w:p w14:paraId="4A184D5B" w14:textId="77777777" w:rsidR="00EF692F" w:rsidRDefault="00EF692F" w:rsidP="00EF692F">
      <w:r>
        <w:t xml:space="preserve">Kudela, R.M., 2011. Characterization and deployment of Solid Phase Adsorption Toxin Tracking (SPATT) resin for monitoring of microcystins in fresh and saltwater. Harmful Algae 11, 117–125. </w:t>
      </w:r>
      <w:hyperlink r:id="rId134" w:history="1">
        <w:r>
          <w:t>https://doi.org/10.1016/j.hal.2011.08.006</w:t>
        </w:r>
      </w:hyperlink>
    </w:p>
    <w:p w14:paraId="215C6FFB" w14:textId="77777777" w:rsidR="00EF692F" w:rsidRDefault="00EF692F" w:rsidP="00EF692F">
      <w:r>
        <w:t xml:space="preserve">Kudela, R.M., Lane, J.Q., Cochlan, W.P., 2008. The potential role of anthropogenically derived nitrogen in the growth of harmful algae in California, USA. Harmful Algae, HABs and Eutrophication 8, 103–110. </w:t>
      </w:r>
      <w:hyperlink r:id="rId135" w:history="1">
        <w:r>
          <w:t>https://doi.org/10.1016/j.hal.2008.08.019</w:t>
        </w:r>
      </w:hyperlink>
    </w:p>
    <w:p w14:paraId="7240B471" w14:textId="77777777" w:rsidR="00EF692F" w:rsidRDefault="00EF692F" w:rsidP="00EF692F">
      <w:r>
        <w:t xml:space="preserve">Landsberg, J.H., 2002. The Effects of Harmful Algal Blooms on Aquatic Organisms. Reviews in Fisheries Science 10, 113–390. </w:t>
      </w:r>
      <w:hyperlink r:id="rId136" w:history="1">
        <w:r>
          <w:t>https://doi.org/10.1080/20026491051695</w:t>
        </w:r>
      </w:hyperlink>
    </w:p>
    <w:p w14:paraId="37573F19" w14:textId="77777777" w:rsidR="00EF692F" w:rsidRDefault="00EF692F" w:rsidP="00EF692F">
      <w:r>
        <w:t xml:space="preserve">Lane, J.Q., Roddam, C.M., Langlois, G.W., Kudela, R.M., 2010. Application of Solid Phase Adsorption Toxin Tracking (SPATT) for field detection of the hydrophilic phycotoxins domoic acid and saxitoxin in coastal California. Limnology and Oceanography: Methods 8, 645–660. </w:t>
      </w:r>
      <w:hyperlink r:id="rId137" w:history="1">
        <w:r>
          <w:t>https://doi.org/10.4319/lom.2010.8.0645</w:t>
        </w:r>
      </w:hyperlink>
    </w:p>
    <w:p w14:paraId="291C793A" w14:textId="77777777" w:rsidR="00EF692F" w:rsidRDefault="00EF692F" w:rsidP="00EF692F">
      <w:r>
        <w:t>Lang, T., Peters, G., Hoffmann, R., Meyer, E.I., 1987. Experimental investigations on the toxicity of ammonia: effects on ventilation frequency, growth, epidermal mucous cells, and gill structure of rainbow trout Salmo gairdneri. Diseases of Aquatic Organisms.</w:t>
      </w:r>
    </w:p>
    <w:p w14:paraId="44636310" w14:textId="77777777" w:rsidR="00EF692F" w:rsidRDefault="00EF692F" w:rsidP="00EF692F">
      <w:r>
        <w:t xml:space="preserve">Lease, H.M., Hansen, J.A., Bergman, H.L., Meyer, J.S., 2003. Structural changes in gills of Lost River suckers exposed to elevated pH and ammonia concentrations. Comparative Biochemistry and Physiology Part C: Toxicology &amp; Pharmacology 134, 491–500. </w:t>
      </w:r>
      <w:hyperlink r:id="rId138" w:history="1">
        <w:r>
          <w:t>https://doi.org/10.1016/S1532-0456(03)00044-9</w:t>
        </w:r>
      </w:hyperlink>
    </w:p>
    <w:p w14:paraId="33DC311C" w14:textId="77777777" w:rsidR="00EF692F" w:rsidRDefault="00EF692F" w:rsidP="00EF692F">
      <w:r>
        <w:t xml:space="preserve">Lehman, P.W., Boyer, G., Hall, C., Waller, S., Gehrts, K., 2005. Distribution and toxicity of a new colonial Microcystis aeruginosa bloom in the San Francisco Bay Estuary, California. Hydrobiologia 541, 87–99. </w:t>
      </w:r>
      <w:hyperlink r:id="rId139" w:history="1">
        <w:r>
          <w:t>https://doi.org/10.1007/s10750-004-4670-0</w:t>
        </w:r>
      </w:hyperlink>
    </w:p>
    <w:p w14:paraId="2154BFEA" w14:textId="77777777" w:rsidR="00EF692F" w:rsidRDefault="00EF692F" w:rsidP="00EF692F">
      <w:r>
        <w:t xml:space="preserve">Liu, Y., Song, L., Li, X., Liu, T., 2002. The toxic effects of microcystin-LR on embryo-larval and juvenile development of loach, Misguruns mizolepis Gunthe. Toxicon 40, 395–399. </w:t>
      </w:r>
      <w:hyperlink r:id="rId140" w:history="1">
        <w:r>
          <w:t>https://doi.org/10.1016/S0041-0101(01)00173-8</w:t>
        </w:r>
      </w:hyperlink>
    </w:p>
    <w:p w14:paraId="4B532516" w14:textId="77777777" w:rsidR="00EF692F" w:rsidRDefault="00EF692F" w:rsidP="00EF692F">
      <w:r>
        <w:t xml:space="preserve">MacKenzie, L., Beuzenberg, V., Holland, P., McNabb, P., Selwood, A., 2004. Solid phase adsorption toxin tracking (SPATT): a new monitoring tool that simulates the biotoxin contamination of filter feeding bivalves. Toxicon 44, 901–918. </w:t>
      </w:r>
      <w:hyperlink r:id="rId141" w:history="1">
        <w:r>
          <w:t>https://doi.org/10.1016/j.toxicon.2004.08.020</w:t>
        </w:r>
      </w:hyperlink>
    </w:p>
    <w:p w14:paraId="4FC295DB" w14:textId="77777777" w:rsidR="00EF692F" w:rsidRDefault="00EF692F" w:rsidP="00EF692F">
      <w:r>
        <w:t>Mainston, C.P., Parr, W., 2002. Phosphorus in rivers--ecology and management. Sci. Total Environ. 282–283, 25–47.</w:t>
      </w:r>
    </w:p>
    <w:p w14:paraId="76FBDCBB" w14:textId="77777777" w:rsidR="00EF692F" w:rsidRDefault="00EF692F" w:rsidP="00EF692F">
      <w:r>
        <w:t xml:space="preserve">Mallin, M.A., Johnson, V.L., Ensign, S.H., MacPherson, T.A., 2006. Factors contributing to hypoxia in rivers, lakes, and streams. Limnology and Oceanography 51, 690–701. </w:t>
      </w:r>
      <w:hyperlink r:id="rId142" w:history="1">
        <w:r>
          <w:t>https://doi.org/10.4319/lo.2006.51.1_part_2.0690</w:t>
        </w:r>
      </w:hyperlink>
    </w:p>
    <w:p w14:paraId="374FDA89" w14:textId="77777777" w:rsidR="00EF692F" w:rsidRDefault="00EF692F" w:rsidP="00EF692F">
      <w:r>
        <w:t xml:space="preserve">Malmqvist, B., 2002. Aquatic invertebrates in riverine landscapes. Freshwater Biology 47, 679–694. </w:t>
      </w:r>
      <w:hyperlink r:id="rId143" w:history="1">
        <w:r>
          <w:t>https://doi.org/10.1046/j.1365-2427.2002.00895.x</w:t>
        </w:r>
      </w:hyperlink>
    </w:p>
    <w:p w14:paraId="0D7F8321" w14:textId="77777777" w:rsidR="00EF692F" w:rsidRDefault="00EF692F" w:rsidP="00EF692F">
      <w:r>
        <w:t xml:space="preserve">Mazor, R.D., Rehn, A.C., Ode, P.R., Engeln, M., Schiff, K.C., Stein, E.D., Gillett, D.J., Herbst, D.B., Hawkins, C.P., 2016. Bioassessment in complex environments: designing an index for consistent meaning in different settings. Freshwater Science 35, 249–271. </w:t>
      </w:r>
      <w:hyperlink r:id="rId144" w:history="1">
        <w:r>
          <w:t>https://doi.org/10.1086/684130</w:t>
        </w:r>
      </w:hyperlink>
    </w:p>
    <w:p w14:paraId="6FD635CB" w14:textId="77777777" w:rsidR="00EF692F" w:rsidRDefault="00EF692F" w:rsidP="00EF692F">
      <w:r>
        <w:t>Mazor, R.D., Sutula, M.A., Theroux, S., Beck, M., Ode, P.R., In prep. Eutrophication indicator thresholds protective of biological integrity in California wadeable streams. For submittal to Freshwater Science.</w:t>
      </w:r>
    </w:p>
    <w:p w14:paraId="07DA9E6B" w14:textId="77777777" w:rsidR="00EF692F" w:rsidRDefault="00EF692F" w:rsidP="00EF692F">
      <w:r>
        <w:t xml:space="preserve">Meyer-Reil, L.-A., Köster, M., 2000. Eutrophication of Marine Waters: Effects on Benthic Microbial Communities. Marine Pollution Bulletin, Seas at the Millennium: an Environmental Evaluation 41, 255–263. </w:t>
      </w:r>
      <w:hyperlink r:id="rId145" w:history="1">
        <w:r>
          <w:t>https://doi.org/10.1016/S0025-326X(00)00114-4</w:t>
        </w:r>
      </w:hyperlink>
    </w:p>
    <w:p w14:paraId="68FC111C" w14:textId="77777777" w:rsidR="00EF692F" w:rsidRDefault="00EF692F" w:rsidP="00EF692F">
      <w:r>
        <w:t xml:space="preserve">Miller, M.A., Kudela, R.M., Mekebri, A., Crane, D., Oates, S.C., Tinker, M.T., Staedler, M., Miller, W.A., Toy-Choutka, S., Dominik, C., Hardin, D., Langlois, G., Murray, M., Ward, K., Jessup, D.A., 2010. Evidence for a Novel Marine Harmful Algal Bloom: Cyanotoxin (Microcystin) Transfer from Land to Sea Otters. PLOS ONE 5, e12576. </w:t>
      </w:r>
      <w:hyperlink r:id="rId146" w:history="1">
        <w:r>
          <w:t>https://doi.org/10.1371/journal.pone.0012576</w:t>
        </w:r>
      </w:hyperlink>
    </w:p>
    <w:p w14:paraId="29295FC0" w14:textId="77777777" w:rsidR="00EF692F" w:rsidRDefault="00EF692F" w:rsidP="00EF692F">
      <w:r>
        <w:t xml:space="preserve">Milne, I., Seager, J., Mallett, M., Sims, I., 2000. Effects of short-term pulsed ammonia exposure on fish. Environmental Toxicology and Chemistry 19, 2929–2936. </w:t>
      </w:r>
      <w:hyperlink r:id="rId147" w:history="1">
        <w:r>
          <w:t>https://doi.org/10.1002/etc.5620191213</w:t>
        </w:r>
      </w:hyperlink>
    </w:p>
    <w:p w14:paraId="334B16E7" w14:textId="77777777" w:rsidR="00EF692F" w:rsidRDefault="00EF692F" w:rsidP="00EF692F">
      <w:r>
        <w:t xml:space="preserve">Miltner, R.J., 2010. A Method and Rationale for Deriving Nutrient Criteria for Small Rivers and Streams in Ohio. Environmental Management 45, 842–855. </w:t>
      </w:r>
      <w:hyperlink r:id="rId148" w:history="1">
        <w:r>
          <w:t>https://doi.org/10.1007/s00267-010-9439-9</w:t>
        </w:r>
      </w:hyperlink>
    </w:p>
    <w:p w14:paraId="62BA60B3" w14:textId="77777777" w:rsidR="00EF692F" w:rsidRDefault="00EF692F" w:rsidP="00EF692F">
      <w:r>
        <w:t xml:space="preserve">Miltner, R.J., Rankin, A.E.T., 1998. Primary nutrients and the biotic integrity of rivers and streams. Freshwater Biology 40, 145–158. </w:t>
      </w:r>
      <w:hyperlink r:id="rId149" w:history="1">
        <w:r>
          <w:t>https://doi.org/10.1046/j.1365-2427.1998.00324.x</w:t>
        </w:r>
      </w:hyperlink>
    </w:p>
    <w:p w14:paraId="231CA97E" w14:textId="77777777" w:rsidR="00EF692F" w:rsidRDefault="00EF692F" w:rsidP="00EF692F">
      <w:r>
        <w:t xml:space="preserve">Moisander, P.H., Ochiai, M., Lincoff, A., 2009. Nutrient limitation of Microcystis aeruginosa in northern California Klamath River reservoirs. Harmful Algae 8, 889–897. </w:t>
      </w:r>
      <w:hyperlink r:id="rId150" w:history="1">
        <w:r>
          <w:t>https://doi.org/10.1016/j.hal.2009.04.005</w:t>
        </w:r>
      </w:hyperlink>
    </w:p>
    <w:p w14:paraId="1D9F00EC" w14:textId="77777777" w:rsidR="00EF692F" w:rsidRDefault="00EF692F" w:rsidP="00EF692F">
      <w:r>
        <w:t xml:space="preserve">Newton, T.J., Bartsch, M.R., 2007. Lethal and sublethal effects of ammonia to juvenile Lampsilis mussels (unionidae) in sediment and water-only exposures. Environmental Toxicology and Chemistry 26, 2057–2065. </w:t>
      </w:r>
      <w:hyperlink r:id="rId151" w:history="1">
        <w:r>
          <w:t>https://doi.org/10.1897/06-245R.1</w:t>
        </w:r>
      </w:hyperlink>
    </w:p>
    <w:p w14:paraId="77F30F69" w14:textId="77777777" w:rsidR="00EF692F" w:rsidRDefault="00EF692F" w:rsidP="00EF692F">
      <w:r>
        <w:t>Nijboer, R.C., Verdonscho, P.F.M., 2004. Variable selection for modelling effects of eutrophication on stream and river ecosystems. Ecological Modelling 177, 17–39.</w:t>
      </w:r>
    </w:p>
    <w:p w14:paraId="42A31965" w14:textId="77777777" w:rsidR="00EF692F" w:rsidRDefault="00EF692F" w:rsidP="00EF692F">
      <w:r>
        <w:t xml:space="preserve">Nixon, S.W., 1995. Coastal marine eutrophication: A definition, social causes, and future concerns. Ophelia 41, 199–219. </w:t>
      </w:r>
      <w:hyperlink r:id="rId152" w:history="1">
        <w:r>
          <w:t>https://doi.org/10.1080/00785236.1995.10422044</w:t>
        </w:r>
      </w:hyperlink>
    </w:p>
    <w:p w14:paraId="0612010D" w14:textId="77777777" w:rsidR="00EF692F" w:rsidRDefault="00EF692F" w:rsidP="00EF692F">
      <w:r>
        <w:t xml:space="preserve">Nogueira, I.C.G., Pereira, P., Dias, E., Pflugmacher, S., Wiegand, C., Franca, S., Vasconcelos, V.M., 2004. Accumulation of paralytic shellfish toxins (PST) from the cyanobacterium Aphanizomenon issatschenkoi by the cladoceran Daphnia magna. Toxicon 44, 773–780. </w:t>
      </w:r>
      <w:hyperlink r:id="rId153" w:history="1">
        <w:r>
          <w:t>https://doi.org/10.1016/j.toxicon.2004.08.006</w:t>
        </w:r>
      </w:hyperlink>
    </w:p>
    <w:p w14:paraId="7BBEFC87" w14:textId="77777777" w:rsidR="00EF692F" w:rsidRDefault="00EF692F" w:rsidP="00EF692F">
      <w:r>
        <w:t xml:space="preserve">Oberemm, A., Becker, J., Codd, G.A., Steinberg, C., 1999. Effects of cyanobacterial toxins and aqueous crude extracts of cyanobacteria on the development of fish and amphibians. Environmental Toxicology 14, 77–88. </w:t>
      </w:r>
      <w:hyperlink r:id="rId154" w:history="1">
        <w:r>
          <w:t>https://doi.org/10.1002/(SICI)1522-7278(199902)14:1&lt;77::AID-TOX11&gt;3.0.CO;2-F</w:t>
        </w:r>
      </w:hyperlink>
    </w:p>
    <w:p w14:paraId="68EAB8B5" w14:textId="77777777" w:rsidR="00EF692F" w:rsidRDefault="00EF692F" w:rsidP="00EF692F">
      <w:r>
        <w:t xml:space="preserve">Oberemm, A., Fastner, J., Steinberg, C., 1997. Effects of MC-LR and cyanobacterial crude extracts on embryo-larval development of zebrafish. Water Research 31, 2918–2921. </w:t>
      </w:r>
      <w:hyperlink r:id="rId155" w:history="1">
        <w:r>
          <w:t>https://doi.org/10.1016/S0043-1354(97)00120-6</w:t>
        </w:r>
      </w:hyperlink>
    </w:p>
    <w:p w14:paraId="0FBCE6BA" w14:textId="77777777" w:rsidR="00EF692F" w:rsidRDefault="00EF692F" w:rsidP="00EF692F">
      <w:r>
        <w:t>Ode, P.R., Fetscher, A.E., Busse, L.B., 2016a. Standard Operating Procedures for the Collection of Field Data for Bioassessments of California Wadeable Streams: Benthic Macroinvertebrates, Algae, and Physical Habitat (No. SWAMP-SOP-SB-2016-0001). California Water Resources Control Board, Sacramento, CA.</w:t>
      </w:r>
    </w:p>
    <w:p w14:paraId="5CEC216B" w14:textId="77777777" w:rsidR="00EF692F" w:rsidRDefault="00EF692F" w:rsidP="00EF692F">
      <w:r>
        <w:t xml:space="preserve">Ode, P.R., Rehn, A.C., Mazor, R.D., Schiff, K.C., Stein, E.D., May, J.T., Brown, L.R., Herbst, D.B., Gillett, D., Lunde, K., Hawkins, C.P., 2016b. Evaluating the adequacy of a reference-site pool for ecological assessments in environmentally complex regions. Freshwater Science 35, 237–248. </w:t>
      </w:r>
      <w:hyperlink r:id="rId156" w:history="1">
        <w:r>
          <w:t>https://doi.org/10.1086/684003</w:t>
        </w:r>
      </w:hyperlink>
    </w:p>
    <w:p w14:paraId="69CAFA62" w14:textId="77777777" w:rsidR="00EF692F" w:rsidRDefault="00EF692F" w:rsidP="00EF692F">
      <w:r>
        <w:t>OEHHA, 2012. Toxicological Summary and Suggested Action Levels to Reduce Potential Adverse Health Effects of Six Cyanotoxins (Final Report). Office of Enviromental Health Hazard Assessment, California Environmental Protection Agency, Sacramento, CA.</w:t>
      </w:r>
    </w:p>
    <w:p w14:paraId="2AF46CC0" w14:textId="77777777" w:rsidR="00EF692F" w:rsidRDefault="00EF692F" w:rsidP="00EF692F">
      <w:r>
        <w:t xml:space="preserve">Olapade, O.A., Leff, L.G., 2005. Seasonal Response of Stream Biofilm Communities to Dissolved Organic Matter and Nutrient Enrichments. Appl. Environ. Microbiol. 71, 2278–2287. </w:t>
      </w:r>
      <w:hyperlink r:id="rId157" w:history="1">
        <w:r>
          <w:t>https://doi.org/10.1128/AEM.71.5.2278-2287.2005</w:t>
        </w:r>
      </w:hyperlink>
    </w:p>
    <w:p w14:paraId="7DFCD1D8" w14:textId="77777777" w:rsidR="00EF692F" w:rsidRDefault="00EF692F" w:rsidP="00EF692F">
      <w:r>
        <w:t xml:space="preserve">Paerl, H.W., Hall, N.S., Calandrino, E.S., 2011. Controlling harmful cyanobacterial blooms in a world experiencing anthropogenic and climatic-induced change. Science of The Total Environment 409, 1739–1745. </w:t>
      </w:r>
      <w:hyperlink r:id="rId158" w:history="1">
        <w:r>
          <w:t>https://doi.org/10.1016/j.scitotenv.2011.02.001</w:t>
        </w:r>
      </w:hyperlink>
    </w:p>
    <w:p w14:paraId="670B5256" w14:textId="77777777" w:rsidR="00EF692F" w:rsidRDefault="00EF692F" w:rsidP="00EF692F">
      <w:r>
        <w:t>Paerl, H.W., Huisman, J., 2008. Blooms like It Hot. Science 320, 57–58.</w:t>
      </w:r>
    </w:p>
    <w:p w14:paraId="3862ABA6" w14:textId="77777777" w:rsidR="00EF692F" w:rsidRDefault="00EF692F" w:rsidP="00EF692F">
      <w:r>
        <w:t xml:space="preserve">Pan, Y., Stevenson, R.J., Hill, B.H., Herlihy, A.T., Collins, G.B., 1996. Using Diatoms as Indicators of Ecological Conditions in Lotic Systems: A Regional Assessment. Journal of the North American Benthological Society 15, 481–495. </w:t>
      </w:r>
      <w:hyperlink r:id="rId159" w:history="1">
        <w:r>
          <w:t>https://doi.org/10.2307/1467800</w:t>
        </w:r>
      </w:hyperlink>
    </w:p>
    <w:p w14:paraId="3C5FC331" w14:textId="77777777" w:rsidR="00EF692F" w:rsidRDefault="00EF692F" w:rsidP="00EF692F">
      <w:r>
        <w:t>Paul, M., Zheng, L., 2007. Development of Nutrient Endpoints for the Northern Piedmont Ecoregion of Pennsylvania: TMDL Application. Tetra Tech, Owing Mills, MD.</w:t>
      </w:r>
    </w:p>
    <w:p w14:paraId="40CFF802" w14:textId="77777777" w:rsidR="00EF692F" w:rsidRDefault="00EF692F" w:rsidP="00EF692F">
      <w:r>
        <w:t>Paul, M.J., Jessup, B., Brown, L., Carter, C., Cantonati, M., Charles, D.F., Gerritsen, J., Herbst, D., Howard, J., Isham, B., Lowe, R., Mazor, R., Mendez, P., O’Dowd, A., Olson, J., Pan, Y., Rehn, A., Spaulding, S., Sutula, M., Stancheva Hristova, R., Theroux, S., n.d. Development of a benthic macroinvertebrate and algal biological condition model for California streams. In prep for submission to Freshwater Sciences.</w:t>
      </w:r>
    </w:p>
    <w:p w14:paraId="056A29F7" w14:textId="77777777" w:rsidR="00EF692F" w:rsidRDefault="00EF692F" w:rsidP="00EF692F">
      <w:r>
        <w:t>Paul, M.J., Walsh, B., Oliver, J., Thomas, D., 2017. Algal Indicators in Streams: A review of their application in water quality management of nutrient pollution (No. 822B17002). U.S. Environmental Protection Agency, Office of Water, Office of Science and Technology.</w:t>
      </w:r>
    </w:p>
    <w:p w14:paraId="54D895E9" w14:textId="77777777" w:rsidR="00EF692F" w:rsidRDefault="00EF692F" w:rsidP="00EF692F">
      <w:r>
        <w:t xml:space="preserve">Peterson, H.G., Boutin, C., Freemark, K.E., Martin, P.A., 1997. Toxicity of hexazinone and diquat to green algae, diatoms, cyanobacteria and duckweed. Aquatic Toxicology 39, 111–134. </w:t>
      </w:r>
      <w:hyperlink r:id="rId160" w:history="1">
        <w:r>
          <w:t>https://doi.org/10.1016/S0166-445X(97)00022-2</w:t>
        </w:r>
      </w:hyperlink>
    </w:p>
    <w:p w14:paraId="13FBF9CB" w14:textId="77777777" w:rsidR="00EF692F" w:rsidRDefault="00EF692F" w:rsidP="00EF692F">
      <w:r>
        <w:t xml:space="preserve">Pflugmacher, S., 2002. Possible allelopathic effects of cyanotoxins, with reference to microcystin-LR, in aquatic ecosystems. Environ. Toxicol. 17, 407–413. </w:t>
      </w:r>
      <w:hyperlink r:id="rId161" w:history="1">
        <w:r>
          <w:t>https://doi.org/10.1002/tox.10071</w:t>
        </w:r>
      </w:hyperlink>
    </w:p>
    <w:p w14:paraId="44AA94AC" w14:textId="77777777" w:rsidR="00EF692F" w:rsidRDefault="00EF692F" w:rsidP="00EF692F">
      <w:r>
        <w:t xml:space="preserve">Plummer, J.D., Edzwald, J.K., 2001. Effect of Ozone on Algae as Precursors for Trihalomethane and Haloacetic Acid Production. Environmental Science &amp; Technology 35, 3661–3668. </w:t>
      </w:r>
      <w:hyperlink r:id="rId162" w:history="1">
        <w:r>
          <w:t>https://doi.org/10.1021/es0106570</w:t>
        </w:r>
      </w:hyperlink>
    </w:p>
    <w:p w14:paraId="5F165F9A" w14:textId="77777777" w:rsidR="00EF692F" w:rsidRDefault="00EF692F" w:rsidP="00EF692F">
      <w:r>
        <w:t xml:space="preserve">Poff, N.L., Richter, B.D., Arthington, A.H., Bunn, S.E., Naiman, R.J., Kendy, E., Acreman, M., Apse, C., Bledsoe, B.P., Freeman, M.C., Henriksen, J., Jacobson, R.B., Kennen, J.G., Merritt, D.M., O’keeffe, J.H., Olden, J.D., Rogers, K., Tharme, R.E., Warner, A., 2010. The ecological limits of hydrologic alteration (ELOHA): a new framework for developing regional environmental flow standards. Freshwater Biology 55, 147–170. </w:t>
      </w:r>
      <w:hyperlink r:id="rId163" w:history="1">
        <w:r>
          <w:t>https://doi.org/10.1111/j.1365-2427.2009.02204.x</w:t>
        </w:r>
      </w:hyperlink>
    </w:p>
    <w:p w14:paraId="785E7DF8" w14:textId="77777777" w:rsidR="00EF692F" w:rsidRDefault="00EF692F" w:rsidP="00EF692F">
      <w:r>
        <w:t xml:space="preserve">Qian, S.S., King, R.S., Richardson, C.J., 2003. Two statistical methods for the detection of environmental thresholds. Ecological Modelling 166, 87–97. </w:t>
      </w:r>
      <w:hyperlink r:id="rId164" w:history="1">
        <w:r>
          <w:t>https://doi.org/10.1016/S0304-3800(03)00097-8</w:t>
        </w:r>
      </w:hyperlink>
    </w:p>
    <w:p w14:paraId="5C1389EE" w14:textId="77777777" w:rsidR="00EF692F" w:rsidRDefault="00EF692F" w:rsidP="00EF692F">
      <w:r>
        <w:t xml:space="preserve">Quinn, J., Mcfarlane, P., 1989. Effects of slaughterhouse and dairy factory wastewaters on epilithon: A comparison in laboratory streams. Water Research 23, 1267–1273. </w:t>
      </w:r>
      <w:hyperlink r:id="rId165" w:history="1">
        <w:r>
          <w:t>https://doi.org/10.1016/0043-1354(89)90188-7</w:t>
        </w:r>
      </w:hyperlink>
    </w:p>
    <w:p w14:paraId="749F4C98" w14:textId="77777777" w:rsidR="00EF692F" w:rsidRDefault="00EF692F" w:rsidP="00EF692F">
      <w:r>
        <w:t>Rehn, A.C., Mazor, R.D., Ode, P.R., 2018. An Index to Measure the Quality of Physical Habitat in California Wadeable Streams (SWAMP Technical Memorandum No. SWAMP-TM-2018-0005).</w:t>
      </w:r>
    </w:p>
    <w:p w14:paraId="1E4A5AF5" w14:textId="77777777" w:rsidR="00EF692F" w:rsidRDefault="00EF692F" w:rsidP="00EF692F">
      <w:r>
        <w:t>Reisner, M., 1993. Cadillac Desert: The American West and Its Disappearing Water. Penguin.</w:t>
      </w:r>
    </w:p>
    <w:p w14:paraId="259026AC" w14:textId="77777777" w:rsidR="00EF692F" w:rsidRDefault="00EF692F" w:rsidP="00EF692F">
      <w:r>
        <w:t xml:space="preserve">Resilience Alliance and Santa Fe Institute, 2004. Thresholds and alternate states in ecological and social-ecological systems [WWW Document]. Resilience Alliance. URL </w:t>
      </w:r>
      <w:hyperlink r:id="rId166" w:history="1">
        <w:r>
          <w:t>http://www.resalliance.org/index</w:t>
        </w:r>
      </w:hyperlink>
      <w:r>
        <w:t>. php?id=183.</w:t>
      </w:r>
    </w:p>
    <w:p w14:paraId="26285AC5" w14:textId="77777777" w:rsidR="00EF692F" w:rsidRDefault="00EF692F" w:rsidP="00EF692F">
      <w:r>
        <w:t>Reynolds, C.S., 2006. The Ecology of Phytoplankton. Cambridge University Press.</w:t>
      </w:r>
    </w:p>
    <w:p w14:paraId="752EF993" w14:textId="77777777" w:rsidR="00EF692F" w:rsidRDefault="00EF692F" w:rsidP="00EF692F">
      <w:r>
        <w:t xml:space="preserve">Richardson, C.J., King, R.S., Qian, S.S., Vaithiyanathan, P., Qualls, R.G., Stow, C.A., 2007. Estimating Ecological Thresholds for Phosphorus in the Everglades. Environ. Sci. Technol. 41, 8084–8091. </w:t>
      </w:r>
      <w:hyperlink r:id="rId167" w:history="1">
        <w:r>
          <w:t>https://doi.org/10.1021/es062624w</w:t>
        </w:r>
      </w:hyperlink>
    </w:p>
    <w:p w14:paraId="26297D95" w14:textId="77777777" w:rsidR="00EF692F" w:rsidRDefault="00EF692F" w:rsidP="00EF692F">
      <w:r>
        <w:t xml:space="preserve">Robarts, R.D., Zohary, T., 1987. Temperature effects on photosynthetic capacity, respiration, and growth rates of bloom‐forming cyanobacteria. New Zealand Journal of Marine and Freshwater Research 21, 391–399. </w:t>
      </w:r>
      <w:hyperlink r:id="rId168" w:history="1">
        <w:r>
          <w:t>https://doi.org/10.1080/00288330.1987.9516235</w:t>
        </w:r>
      </w:hyperlink>
    </w:p>
    <w:p w14:paraId="20C3764D" w14:textId="77777777" w:rsidR="00EF692F" w:rsidRDefault="00EF692F" w:rsidP="00EF692F">
      <w:r>
        <w:t xml:space="preserve">Rohrlack, T., Christoffersen, K., Dittmann, E., Nogueira, I., Vasconcelos, V., Börner, T., 2005. Ingestion of microcystins by Daphnia: Intestinal uptake and toxic effects. Limnology and Oceanography 50, 440–448. </w:t>
      </w:r>
      <w:hyperlink r:id="rId169" w:history="1">
        <w:r>
          <w:t>https://doi.org/10.4319/lo.2005.50.2.0440</w:t>
        </w:r>
      </w:hyperlink>
    </w:p>
    <w:p w14:paraId="059E3228" w14:textId="77777777" w:rsidR="00EF692F" w:rsidRDefault="00EF692F" w:rsidP="00EF692F">
      <w:r>
        <w:t xml:space="preserve">Royer, T.V., David, M.B., Gentry, L.E., Mitchell, C.A., Starks, K.M., Heatherly, T., Whiles, M.R., 2008. Assessment of Chlorophyll- a as a Criterion for Establishing Nutrient Standards in the Streams and Rivers of Illinois. Journal of Environmental Quality 37, 437–447. </w:t>
      </w:r>
      <w:hyperlink r:id="rId170" w:history="1">
        <w:r>
          <w:t>https://doi.org/10.2134/jeq2007.0344</w:t>
        </w:r>
      </w:hyperlink>
    </w:p>
    <w:p w14:paraId="20F6D544" w14:textId="77777777" w:rsidR="00EF692F" w:rsidRDefault="00EF692F" w:rsidP="00EF692F">
      <w:pPr>
        <w:rPr>
          <w:lang w:val="el-GR"/>
        </w:rPr>
      </w:pPr>
      <w:r>
        <w:t xml:space="preserve">Ruttenberg, K.C., Goñi, M.A., 1997. Phosphorus distribution, C:N:P ratios, and </w:t>
      </w:r>
      <w:r>
        <w:rPr>
          <w:lang w:val="el-GR"/>
        </w:rPr>
        <w:t xml:space="preserve">δ13Coc in arctic, temperate, and tropical coastal sediments: tools for characterizing bulk sedimentary organic matter. Marine Geology 139, 123–145. </w:t>
      </w:r>
      <w:hyperlink r:id="rId171" w:history="1">
        <w:r>
          <w:rPr>
            <w:lang w:val="el-GR"/>
          </w:rPr>
          <w:t>https://doi.org/10.1016/S0025-3227(96)00107-7</w:t>
        </w:r>
      </w:hyperlink>
    </w:p>
    <w:p w14:paraId="3860560A" w14:textId="77777777" w:rsidR="00EF692F" w:rsidRDefault="00EF692F" w:rsidP="00EF692F">
      <w:pPr>
        <w:rPr>
          <w:lang w:val="el-GR"/>
        </w:rPr>
      </w:pPr>
      <w:r>
        <w:rPr>
          <w:lang w:val="el-GR"/>
        </w:rPr>
        <w:t xml:space="preserve">Saleh, D., Domagalski, J., 2015. SPARROW Modeling of Nitrogen Sources and Transport in Rivers and Streams of California and Adjacent States, U.S. JAWRA Journal of the American Water Resources Association 51, 1487–1507. </w:t>
      </w:r>
      <w:hyperlink r:id="rId172" w:history="1">
        <w:r>
          <w:rPr>
            <w:lang w:val="el-GR"/>
          </w:rPr>
          <w:t>https://doi.org/10.1111/1752-1688.12325</w:t>
        </w:r>
      </w:hyperlink>
    </w:p>
    <w:p w14:paraId="62D18A48" w14:textId="77777777" w:rsidR="00EF692F" w:rsidRDefault="00EF692F" w:rsidP="00EF692F">
      <w:pPr>
        <w:rPr>
          <w:lang w:val="el-GR"/>
        </w:rPr>
      </w:pPr>
      <w:r>
        <w:rPr>
          <w:lang w:val="el-GR"/>
        </w:rPr>
        <w:t xml:space="preserve">Sampaio, L.A., Wasielesky, W., Miranda-Filho, K.C., 2002. Effect of Salinity on Acute Toxicity of Ammonia and Nitrite to Juvenile Mugil platanus. Bulletin of Environmental Contamination and Toxicology 68, 668–674. </w:t>
      </w:r>
      <w:hyperlink r:id="rId173" w:history="1">
        <w:r>
          <w:rPr>
            <w:lang w:val="el-GR"/>
          </w:rPr>
          <w:t>https://doi.org/10.1007/s001280306</w:t>
        </w:r>
      </w:hyperlink>
    </w:p>
    <w:p w14:paraId="1BB2E565" w14:textId="77777777" w:rsidR="00EF692F" w:rsidRDefault="00EF692F" w:rsidP="00EF692F">
      <w:pPr>
        <w:rPr>
          <w:lang w:val="el-GR"/>
        </w:rPr>
      </w:pPr>
      <w:r>
        <w:rPr>
          <w:lang w:val="el-GR"/>
        </w:rPr>
        <w:t xml:space="preserve">Sand‐Jensen, K., Riis, T., Vestergaard, O., Larsen, S.E., 2000. Macrophyte decline in Danish lakes and streams over the past 100 years. Journal of Ecology 88, 1030–1040. </w:t>
      </w:r>
      <w:hyperlink r:id="rId174" w:history="1">
        <w:r>
          <w:rPr>
            <w:lang w:val="el-GR"/>
          </w:rPr>
          <w:t>https://doi.org/10.1046/j.1365-2745.2000.00519.x</w:t>
        </w:r>
      </w:hyperlink>
    </w:p>
    <w:p w14:paraId="3917031F" w14:textId="77777777" w:rsidR="00EF692F" w:rsidRDefault="00EF692F" w:rsidP="00EF692F">
      <w:pPr>
        <w:rPr>
          <w:lang w:val="el-GR"/>
        </w:rPr>
      </w:pPr>
      <w:r>
        <w:rPr>
          <w:lang w:val="el-GR"/>
        </w:rPr>
        <w:t xml:space="preserve">Sheath, R.G., Morison, M.O., Korch, J.E., Kaczmarczyk, D., Cole, K.M., 1986. Distribution of stream macroalgae in south-central Alaska. Hydrobiologia 135, 259–269. </w:t>
      </w:r>
      <w:hyperlink r:id="rId175" w:history="1">
        <w:r>
          <w:rPr>
            <w:lang w:val="el-GR"/>
          </w:rPr>
          <w:t>https://doi.org/10.1007/BF00006538</w:t>
        </w:r>
      </w:hyperlink>
    </w:p>
    <w:p w14:paraId="42DF9547" w14:textId="77777777" w:rsidR="00EF692F" w:rsidRDefault="00EF692F" w:rsidP="00EF692F">
      <w:pPr>
        <w:rPr>
          <w:lang w:val="el-GR"/>
        </w:rPr>
      </w:pPr>
      <w:r>
        <w:rPr>
          <w:lang w:val="el-GR"/>
        </w:rPr>
        <w:t xml:space="preserve">Singh, D.P., Tyagi, M.B., Kumar, Arvind, Thakur, J.K., Kumar, Ashok, 2001. Antialgal activity of a hepatotoxin-producing cyanobacterium, Microcystis aeruginosa. World Journal of Microbiology and Biotechnology 17, 15–22. </w:t>
      </w:r>
      <w:hyperlink r:id="rId176" w:history="1">
        <w:r>
          <w:rPr>
            <w:lang w:val="el-GR"/>
          </w:rPr>
          <w:t>https://doi.org/10.1023/A:1016622414140</w:t>
        </w:r>
      </w:hyperlink>
    </w:p>
    <w:p w14:paraId="166E968B" w14:textId="77777777" w:rsidR="00EF692F" w:rsidRDefault="00EF692F" w:rsidP="00EF692F">
      <w:r>
        <w:rPr>
          <w:lang w:val="el-GR"/>
        </w:rPr>
        <w:t>Siqueira, D.B., Oliveira-Filho, E.C., 2008. Cianobact</w:t>
      </w:r>
      <w:r>
        <w:t xml:space="preserve">érias de água doce e saúde pública: uma revisão. Univ. Ci. Saúde 3, 109–127. </w:t>
      </w:r>
      <w:hyperlink r:id="rId177" w:history="1">
        <w:r>
          <w:t>https://doi.org/10.5102/ucs.v3i1.549</w:t>
        </w:r>
      </w:hyperlink>
    </w:p>
    <w:p w14:paraId="2B920C7E" w14:textId="77777777" w:rsidR="00EF692F" w:rsidRDefault="00EF692F" w:rsidP="00EF692F">
      <w:r>
        <w:t>Sivonen, K., Borner, T., 2008. Bioactive compounds produced by cyanobacteria, in: Herrero, A., Flores, E. (Eds.), The Cyanobacteria: Molecular Biology, Genomics and Evolution. Caister Academic Press, Norfolk, UK, pp. 159–197.</w:t>
      </w:r>
    </w:p>
    <w:p w14:paraId="1CF607E1" w14:textId="77777777" w:rsidR="00EF692F" w:rsidRDefault="00EF692F" w:rsidP="00EF692F">
      <w:r>
        <w:t xml:space="preserve">Smith, A.J., Bode, R.W., Kleppel, G.S., 2007. A nutrient biotic index (NBI) for use with benthic macroinvertebrate communities. Ecological Indicators 7, 371–386. </w:t>
      </w:r>
      <w:hyperlink r:id="rId178" w:history="1">
        <w:r>
          <w:t>https://doi.org/10.1016/j.ecolind.2006.03.001</w:t>
        </w:r>
      </w:hyperlink>
    </w:p>
    <w:p w14:paraId="25990EDE" w14:textId="77777777" w:rsidR="00EF692F" w:rsidRDefault="00EF692F" w:rsidP="00EF692F">
      <w:r>
        <w:t xml:space="preserve">Smith, A.J., Tran, C.P., 2010. A weight-of-evidence approach to define nutrient criteria protective of aquatic life in large rivers. Journal of the North American Benthological Society 29, 875–891. </w:t>
      </w:r>
      <w:hyperlink r:id="rId179" w:history="1">
        <w:r>
          <w:t>https://doi.org/10.1899/09-076.1</w:t>
        </w:r>
      </w:hyperlink>
    </w:p>
    <w:p w14:paraId="7BDC231A" w14:textId="77777777" w:rsidR="00EF692F" w:rsidRDefault="00EF692F" w:rsidP="00EF692F">
      <w:r>
        <w:t>Smucker, N.J., Becker, M., Detenbeck, N.E., Morrison, A.., 2013. Using Algal Metrics and Biomass to Evaluate Multiple Ways of Defining Concentration-Based Nutrient Criteria in Streams and their Ecological Relevance. Ecological Indicators 32, 51–61.</w:t>
      </w:r>
    </w:p>
    <w:p w14:paraId="473B8F16" w14:textId="77777777" w:rsidR="00EF692F" w:rsidRDefault="00EF692F" w:rsidP="00EF692F">
      <w:r>
        <w:t>State Water Resources Control Board, Regional Water Quality Control Board, 1989. Central Coast Basin Water Quality Control Plan.</w:t>
      </w:r>
    </w:p>
    <w:p w14:paraId="52ED1589" w14:textId="77777777" w:rsidR="00EF692F" w:rsidRDefault="00EF692F" w:rsidP="00EF692F">
      <w:r>
        <w:t xml:space="preserve">Stein, E.D., Sengupta, A., Mazor, R.D., McCune, K., Bledsoe, B.P., Adams, S., 2017. Application of regional flow‐ecology relationships to inform watershed management decisions: Application of the ELOHA framework in the San Diego River watershed, California, USA. Ecohydrology 10. </w:t>
      </w:r>
      <w:hyperlink r:id="rId180" w:history="1">
        <w:r>
          <w:t>https://doi.org/10.1002/eco.1869</w:t>
        </w:r>
      </w:hyperlink>
    </w:p>
    <w:p w14:paraId="6C5FFABD" w14:textId="77777777" w:rsidR="00EF692F" w:rsidRDefault="00EF692F" w:rsidP="00EF692F">
      <w:r>
        <w:t xml:space="preserve">Stevenson, J., 2014. Ecological assessments with algae: a review and synthesis. Journal of Phycology 50, 437–461. </w:t>
      </w:r>
      <w:hyperlink r:id="rId181" w:history="1">
        <w:r>
          <w:t>https://doi.org/10.1111/jpy.12189</w:t>
        </w:r>
      </w:hyperlink>
    </w:p>
    <w:p w14:paraId="392319EC" w14:textId="77777777" w:rsidR="00EF692F" w:rsidRDefault="00EF692F" w:rsidP="00EF692F">
      <w:r>
        <w:t xml:space="preserve">Stevenson, R., Pan, Y., van Dam, H., 2010. Assessing environmental conditions in rivers and streams with diatoms, in: The Diatoms: Applications for the Environmental and Earth Sciences, 2nd Ed. Cambridge University Press, Cambridge, pp. 57–85. </w:t>
      </w:r>
      <w:hyperlink r:id="rId182" w:history="1">
        <w:r>
          <w:t>https://doi.org/10.1017/CBO9780511763175</w:t>
        </w:r>
      </w:hyperlink>
    </w:p>
    <w:p w14:paraId="12A656EB" w14:textId="77777777" w:rsidR="00EF692F" w:rsidRDefault="00EF692F" w:rsidP="00EF692F">
      <w:r>
        <w:t>Stevenson, R.J., 1996. An introduction to algal ecology in freshwater benthic habitats, in: Algal Ecology: Freshwater Benthic Ecosystem. Academic Press, San Diego, CA, pp. 3–30.</w:t>
      </w:r>
    </w:p>
    <w:p w14:paraId="1261233B" w14:textId="77777777" w:rsidR="00EF692F" w:rsidRDefault="00EF692F" w:rsidP="00EF692F">
      <w:r>
        <w:t xml:space="preserve">Stevenson, R.J., Hill, B.H., Herlihy, A.T., Yuan, L.L., Norton, S.B., 2008. Algae–P relationships, thresholds, and frequency distributions guide nutrient criterion development. Journal of the North American Benthological Society 27, 783–799. </w:t>
      </w:r>
      <w:hyperlink r:id="rId183" w:history="1">
        <w:r>
          <w:t>https://doi.org/10.1899/07-077.1</w:t>
        </w:r>
      </w:hyperlink>
    </w:p>
    <w:p w14:paraId="33914834" w14:textId="77777777" w:rsidR="00EF692F" w:rsidRDefault="00EF692F" w:rsidP="00EF692F">
      <w:r>
        <w:t>Stevenson, R.J., Smol, J.P., 2003. Use of Algae in Ecological Assessments, in: Freshwater Algae of North America: Ecology and Classification. Academic Press, San Diego, CA, pp. 921–952.</w:t>
      </w:r>
    </w:p>
    <w:p w14:paraId="678BCE73" w14:textId="77777777" w:rsidR="00EF692F" w:rsidRDefault="00EF692F" w:rsidP="00EF692F">
      <w:r>
        <w:t xml:space="preserve">Suberkropp, K., Gulis, V., Rosemond, A.D., Benstead, J.P., 2010. Ecosystem and physiological scales of microbial responses to nutrients in a detritus-based stream: Results of a 5-year continuous enrichment. Limnology and Oceanography 55, 149–160. </w:t>
      </w:r>
      <w:hyperlink r:id="rId184" w:history="1">
        <w:r>
          <w:t>https://doi.org/10.4319/lo.2010.55.1.0149</w:t>
        </w:r>
      </w:hyperlink>
    </w:p>
    <w:p w14:paraId="797C10A1" w14:textId="77777777" w:rsidR="00EF692F" w:rsidRDefault="00EF692F" w:rsidP="00EF692F">
      <w:r>
        <w:t xml:space="preserve">Suplee, M.W., Watson, V., Dodds, W.K., Shirley, C., 2012. Response of Algal Biomass to Large-Scale Nutrient Controls in the Clark Fork River, Montana, United States1. JAWRA Journal of the American Water Resources Association 48, 1008–1021. </w:t>
      </w:r>
      <w:hyperlink r:id="rId185" w:history="1">
        <w:r>
          <w:t>https://doi.org/10.1111/j.1752-1688.2012.00666.x</w:t>
        </w:r>
      </w:hyperlink>
    </w:p>
    <w:p w14:paraId="2796DE2F" w14:textId="77777777" w:rsidR="00EF692F" w:rsidRDefault="00EF692F" w:rsidP="00EF692F">
      <w:r>
        <w:t xml:space="preserve">Suplee, M.W., Watson, V., Teply, M., McKee, H., 2009. How Green is Too Green? Public Opinion of What Constitutes Undesirable Algae Levels in Streams1. JAWRA Journal of the American Water Resources Association 45, 123–140. </w:t>
      </w:r>
      <w:hyperlink r:id="rId186" w:history="1">
        <w:r>
          <w:t>https://doi.org/10.1111/j.1752-1688.2008.00265.x</w:t>
        </w:r>
      </w:hyperlink>
    </w:p>
    <w:p w14:paraId="61D687EA" w14:textId="77777777" w:rsidR="00EF692F" w:rsidRDefault="00EF692F" w:rsidP="00EF692F">
      <w:r>
        <w:t>Sutula, M.A., Senn, D., 2017. Scientific Basis to Assess the Effects of Nutrients on San Francisco Bay Beneficial Uses (Technical Report No. 864). Southern California Coastal Water Research Project, Costa Mesa, CA.</w:t>
      </w:r>
    </w:p>
    <w:p w14:paraId="7E2909D9" w14:textId="77777777" w:rsidR="00EF692F" w:rsidRDefault="00EF692F" w:rsidP="00EF692F">
      <w:r>
        <w:t>Sutula, M.A., Shultz, D., 2018. Status of eutrophication in the Upper (2016-2017) and Lower Main Stem (2015-2016) of the Santa Margarita River, San Diego County, California. Southern California Coastal Water Research Project, Costa Mesa, CA.</w:t>
      </w:r>
    </w:p>
    <w:p w14:paraId="076BD4FA" w14:textId="77777777" w:rsidR="00EF692F" w:rsidRDefault="00EF692F" w:rsidP="00EF692F">
      <w:r>
        <w:t>SWRCB, 2014. State Water Resources Control Board. Proposed Workplan for Development of a Nutrient Control Program.</w:t>
      </w:r>
    </w:p>
    <w:p w14:paraId="4ED63A22" w14:textId="77777777" w:rsidR="00EF692F" w:rsidRDefault="00EF692F" w:rsidP="00EF692F">
      <w:r>
        <w:t xml:space="preserve">Tencalla, F., Dietrich, D., Schlatter, C., 1994. Toxicity of Microcystis aeruginosa peptide toxin to yearling rainbow trout (Oncorhynchus mykiss). Aquatic Toxicology 30, 215–224. </w:t>
      </w:r>
      <w:hyperlink r:id="rId187" w:history="1">
        <w:r>
          <w:t>https://doi.org/10.1016/0166-445X(94)90059-0</w:t>
        </w:r>
      </w:hyperlink>
    </w:p>
    <w:p w14:paraId="0B8116DA" w14:textId="77777777" w:rsidR="00EF692F" w:rsidRDefault="00EF692F" w:rsidP="00EF692F">
      <w:r>
        <w:t>Tetra Tech, 2006. Technical approach to develop nutrients numeric endpoints for California (No. Contract No. 68-C-02-108-To-111). U.S. EPA Region IX.</w:t>
      </w:r>
    </w:p>
    <w:p w14:paraId="72565D45" w14:textId="77777777" w:rsidR="00EF692F" w:rsidRDefault="00EF692F" w:rsidP="00EF692F">
      <w:r>
        <w:t>Theroux, S., Mazor, R.D., Ode, P., Sutula, M.A., Stein, E.D., n.d. A statewide algal bioassessment index for statewide wadable streams. In prep for submission to Ecological Indicators. In prep for submission to Ecological Indicators.</w:t>
      </w:r>
    </w:p>
    <w:p w14:paraId="7645031E" w14:textId="77777777" w:rsidR="00EF692F" w:rsidRDefault="00EF692F" w:rsidP="00EF692F">
      <w:r>
        <w:t xml:space="preserve">Trainer, V.L., Hickey, B.M., Horner, R.A., 2002. Biological and physical dynamics of domoic acid production off the Washington coast. Limnology and Oceanography 47, 1438–1446. </w:t>
      </w:r>
      <w:hyperlink r:id="rId188" w:history="1">
        <w:r>
          <w:t>https://doi.org/10.4319/lo.2002.47.5.1438</w:t>
        </w:r>
      </w:hyperlink>
    </w:p>
    <w:p w14:paraId="50959B32" w14:textId="77777777" w:rsidR="00EF692F" w:rsidRDefault="00EF692F" w:rsidP="00EF692F">
      <w:r>
        <w:t>Twitchen, I., Eddy, F., 1994. Sublethal effects of ammonia to freshwater fish, in: Muller, R., Lloyd, R. (Eds.), Sublethal Effects of Ammonia to Freshwater Fish. FAO and Fishing News Books, Oxford, UK.</w:t>
      </w:r>
    </w:p>
    <w:p w14:paraId="166FAC67" w14:textId="77777777" w:rsidR="00EF692F" w:rsidRDefault="00EF692F" w:rsidP="00EF692F">
      <w:r>
        <w:t>USEPA, 2010. Using Stressor-response Relationships to Derive Numeric Nutrient Criteria (No. EPA-820-S-10-001). U.S. Environmental Protection Agency, Office of Water, Office of Science and Technology, Washington, DC.</w:t>
      </w:r>
    </w:p>
    <w:p w14:paraId="553599B9" w14:textId="77777777" w:rsidR="00EF692F" w:rsidRDefault="00EF692F" w:rsidP="00EF692F">
      <w:r>
        <w:t>USEPA, 2006. Wadeable Streams Assessment: A Collaborative Survey of the Nation’s Streams (No. EPA 841-B-06-002). U.S. Environmental Protection Agency, Office of Research and Development, Office of Water, Washington, D.C.</w:t>
      </w:r>
    </w:p>
    <w:p w14:paraId="045731CA" w14:textId="77777777" w:rsidR="00EF692F" w:rsidRDefault="00EF692F" w:rsidP="00EF692F">
      <w:r>
        <w:t>USEPA, 2002. Summary of Biological Assessment Programs and Biocriteria Development for States, Tribes, Territories, and Interstate Commissions: Streams and Wadeable Rivers (No. EPA-822-R-02-048). U.S. Environmental Protection Agency, Office of Water, Washington, D.C.</w:t>
      </w:r>
    </w:p>
    <w:p w14:paraId="201DD539" w14:textId="77777777" w:rsidR="00EF692F" w:rsidRDefault="00EF692F" w:rsidP="00EF692F">
      <w:r>
        <w:t>USEPA, 2001. Nutrient Criteria Technical Guidance Manual: Estuarine and Coastal Marine Waters (No. EPA-822-B-01-003). Washington, D.C.</w:t>
      </w:r>
    </w:p>
    <w:p w14:paraId="3389A015" w14:textId="77777777" w:rsidR="00EF692F" w:rsidRDefault="00EF692F" w:rsidP="00EF692F">
      <w:r>
        <w:t>USEPA, 2000. Nutrient Criteria Technical Guidance Manual: Rivers and Streams (No. EPA-822-B-00-002). U.S. Environmental Protection Agency, Office of Water, Office of Science and Technology, Washington, D.C.</w:t>
      </w:r>
    </w:p>
    <w:p w14:paraId="41CF1E32" w14:textId="77777777" w:rsidR="00EF692F" w:rsidRDefault="00EF692F" w:rsidP="00EF692F">
      <w:r>
        <w:t>Vieira, N.K.M., Poff, N.L., Carlisle, D.M., Ii, S.R.M., Koski, M.L., Kondratieff, B.C., n.d. A Database of Lotic Invertebrate Traits for North America 19.</w:t>
      </w:r>
    </w:p>
    <w:p w14:paraId="41C63277" w14:textId="77777777" w:rsidR="00EF692F" w:rsidRDefault="00EF692F" w:rsidP="00EF692F">
      <w:r>
        <w:t xml:space="preserve">Vitousek, P.M., Aber, J.D., Howarth, R.W., Likens, G.E., Matson, P.A., Schindler, D.W., Schlesinger, W.H., Tilman, D.G., 1997. Human Alteration of the Global Nitrogen Cycle: Sources and Consequences. Ecological Applications 7, 737–750. </w:t>
      </w:r>
      <w:hyperlink r:id="rId189" w:history="1">
        <w:r>
          <w:t>https://doi.org/10.1890/1051-0761(1997)007[0737:HAOTGN]2.0.CO;2</w:t>
        </w:r>
      </w:hyperlink>
    </w:p>
    <w:p w14:paraId="6B8AD1F3" w14:textId="77777777" w:rsidR="00EF692F" w:rsidRDefault="00EF692F" w:rsidP="00EF692F">
      <w:r>
        <w:t>Voshell, J.R., 2002. A guide to common freshwater invertebrates of North Americ, 1st Edition edition. ed. McDonald and Woodward Publishing Company, Blacksburg, Va.</w:t>
      </w:r>
    </w:p>
    <w:p w14:paraId="47A5457F" w14:textId="77777777" w:rsidR="00EF692F" w:rsidRDefault="00EF692F" w:rsidP="00EF692F">
      <w:r>
        <w:t xml:space="preserve">Wallace, J.B., Webster, J.R., 1996. The Role of Macroinvertebrates in Stream Ecosystem Function. Annual Review of Entomology 41, 115–139. </w:t>
      </w:r>
      <w:hyperlink r:id="rId190" w:history="1">
        <w:r>
          <w:t>https://doi.org/10.1146/annurev.en.41.010196.000555</w:t>
        </w:r>
      </w:hyperlink>
    </w:p>
    <w:p w14:paraId="2A67FA78" w14:textId="77777777" w:rsidR="00EF692F" w:rsidRDefault="00EF692F" w:rsidP="00EF692F">
      <w:r>
        <w:t xml:space="preserve">Wang, L., Robertson, D.M., Garrison, P.J., 2007. Linkages Between Nutrients and Assemblages of Macroinvertebrates and Fish in Wadeable Streams: Implication to Nutrient Criteria Development. Environmental Management 39, 194–212. </w:t>
      </w:r>
      <w:hyperlink r:id="rId191" w:history="1">
        <w:r>
          <w:t>https://doi.org/10.1007/s00267-006-0135-8</w:t>
        </w:r>
      </w:hyperlink>
    </w:p>
    <w:p w14:paraId="7200A58F" w14:textId="77777777" w:rsidR="00EF692F" w:rsidRDefault="00EF692F" w:rsidP="00EF692F">
      <w:r>
        <w:t>Wannamaker,  null, Rice,  null, 2000. Effects of hypoxia on movements and behavior of selected estuarine organisms from the southeastern United States. J. Exp. Mar. Biol. Ecol. 249, 145–163.</w:t>
      </w:r>
    </w:p>
    <w:p w14:paraId="1DDC423B" w14:textId="77777777" w:rsidR="00EF692F" w:rsidRDefault="00EF692F" w:rsidP="00EF692F">
      <w:r>
        <w:t xml:space="preserve">Wehr, J., Descy, J.-P., 1998. Use of phytoplankton in large river management. Journal of Phycology 34, 741–749. </w:t>
      </w:r>
      <w:hyperlink r:id="rId192" w:history="1">
        <w:r>
          <w:t>https://doi.org/10.1046/j.1529-8817.1998.340741.x</w:t>
        </w:r>
      </w:hyperlink>
    </w:p>
    <w:p w14:paraId="25E59ED6" w14:textId="77777777" w:rsidR="00EF692F" w:rsidRDefault="00EF692F" w:rsidP="00EF692F">
      <w:r>
        <w:t>Wehr, J.D., Sheath, R.G., 2003. Freshwater habitats of algae, in: Freshwater Algae of North America: Ecology and Classification. Academic Press, San Diego, CA, pp. 11–57.</w:t>
      </w:r>
    </w:p>
    <w:p w14:paraId="750B4391" w14:textId="77777777" w:rsidR="00EF692F" w:rsidRDefault="00EF692F" w:rsidP="00EF692F">
      <w:r>
        <w:t xml:space="preserve">Weigel, B.M., Robertson, D.M., 2007. Identifying Biotic Integrity and Water Chemistry Relations in Nonwadeable Rivers of Wisconsin: Toward the Development of Nutrient Criteria. Environmental Management 40, 691–708. </w:t>
      </w:r>
      <w:hyperlink r:id="rId193" w:history="1">
        <w:r>
          <w:t>https://doi.org/10.1007/s00267-006-0452-y</w:t>
        </w:r>
      </w:hyperlink>
    </w:p>
    <w:p w14:paraId="4C2C0AFC" w14:textId="77777777" w:rsidR="00EF692F" w:rsidRDefault="00EF692F" w:rsidP="00EF692F">
      <w:r>
        <w:t xml:space="preserve">Welch, E.B., Horner, R.R., Patmont, C.R., 1989. Prediction of nuisance periphytic biomass: A management approach. Water Research 23, 401–405. </w:t>
      </w:r>
      <w:hyperlink r:id="rId194" w:history="1">
        <w:r>
          <w:t>https://doi.org/10.1016/0043-1354(89)90130-9</w:t>
        </w:r>
      </w:hyperlink>
    </w:p>
    <w:p w14:paraId="50AE4262" w14:textId="77777777" w:rsidR="00EF692F" w:rsidRDefault="00EF692F" w:rsidP="00EF692F">
      <w:r>
        <w:t xml:space="preserve">Wiegand, C., Pflugmacher, S., 2005. Ecotoxicological effects of selected cyanobacterial secondary metabolites: a short review. Toxicol. Appl. Pharmacol. 203, 201–218. </w:t>
      </w:r>
      <w:hyperlink r:id="rId195" w:history="1">
        <w:r>
          <w:t>https://doi.org/10.1016/j.taap.2004.11.002</w:t>
        </w:r>
      </w:hyperlink>
    </w:p>
    <w:p w14:paraId="48358577" w14:textId="77777777" w:rsidR="00EF692F" w:rsidRDefault="00EF692F" w:rsidP="00EF692F">
      <w:r>
        <w:t xml:space="preserve">Wiegner, T.N., Kaplan, L.A., Newbold, J.D., Ostrom, P.H., 2005. Contribution of dissolved organic C to stream metabolism: a mesocosm study using 13C-enriched tree-tissue leachate. Journal of the North American Benthological Society 24, 48–67. </w:t>
      </w:r>
      <w:hyperlink r:id="rId196" w:history="1">
        <w:r>
          <w:t>https://doi.org/10.1899/0887-3593(2005)024&lt;0048:CODOCT&gt;2.0.CO;2</w:t>
        </w:r>
      </w:hyperlink>
    </w:p>
    <w:p w14:paraId="484DF43B" w14:textId="77777777" w:rsidR="00EF692F" w:rsidRDefault="00EF692F" w:rsidP="00EF692F">
      <w:r>
        <w:t>Worcester, K.R., Paradies, D.M., Adams, M., 2010. Interpreting Narrative Objectives for Biostimulatory Substances for California Central Coast Waters (Technical Report). Central Coast Ambient Monitoring Program, California Central Coast Water Board.</w:t>
      </w:r>
    </w:p>
    <w:p w14:paraId="719F58A4" w14:textId="77777777" w:rsidR="00EF692F" w:rsidRDefault="00EF692F" w:rsidP="00EF692F">
      <w:r>
        <w:t xml:space="preserve">Yoder, C.O., Barbour, M.T., 2009. Critical technical elements of state bioassessment programs: a process to evaluate program rigor and comparability. Environmental Monitoring and Assessment 150, 31–42. </w:t>
      </w:r>
      <w:hyperlink r:id="rId197" w:history="1">
        <w:r>
          <w:t>https://doi.org/10.1007/s10661-008-0671-1</w:t>
        </w:r>
      </w:hyperlink>
    </w:p>
    <w:p w14:paraId="713D17B5" w14:textId="0D7DCBFE" w:rsidR="00906C3D" w:rsidRDefault="00EF692F" w:rsidP="00EF692F">
      <w:pPr>
        <w:rPr>
          <w:b/>
          <w:bCs/>
          <w:color w:val="365F91"/>
          <w:sz w:val="28"/>
          <w:szCs w:val="28"/>
        </w:rPr>
      </w:pPr>
      <w:r>
        <w:t xml:space="preserve">Zanchett, G., Oliveira-Filho, E., Zanchett, G., Oliveira-Filho, E.C., 2013. Cyanobacteria and Cyanotoxins: From Impacts on Aquatic Ecosystems and Human Health to Anticarcinogenic Effects. Toxins 5, 1896–1917. </w:t>
      </w:r>
      <w:hyperlink r:id="rId198" w:history="1">
        <w:r>
          <w:t>https://doi.org/10.3390/toxins5101896</w:t>
        </w:r>
      </w:hyperlink>
      <w:r w:rsidR="00906C3D">
        <w:br w:type="page"/>
      </w:r>
    </w:p>
    <w:p w14:paraId="7B0839FF" w14:textId="73045C57" w:rsidR="00D71C80" w:rsidRDefault="00D71C80" w:rsidP="00906C3D">
      <w:pPr>
        <w:pStyle w:val="ListParagraph"/>
        <w:ind w:left="0"/>
        <w:jc w:val="both"/>
        <w:sectPr w:rsidR="00D71C80" w:rsidSect="00C5540D">
          <w:pgSz w:w="12240" w:h="15840"/>
          <w:pgMar w:top="1440" w:right="1440" w:bottom="1440" w:left="1440" w:header="720" w:footer="720" w:gutter="0"/>
          <w:cols w:space="720"/>
          <w:docGrid w:linePitch="360"/>
        </w:sectPr>
      </w:pPr>
    </w:p>
    <w:p w14:paraId="05A5D6B7" w14:textId="77777777" w:rsidR="00D71C80" w:rsidRDefault="00D71C80" w:rsidP="00D71C80">
      <w:pPr>
        <w:pStyle w:val="Heading1"/>
      </w:pPr>
      <w:bookmarkStart w:id="186" w:name="_Toc526505144"/>
      <w:r>
        <w:t>Appendix I</w:t>
      </w:r>
      <w:bookmarkEnd w:id="186"/>
    </w:p>
    <w:p w14:paraId="462ACD52" w14:textId="77777777" w:rsidR="00D876E6" w:rsidRDefault="00D876E6" w:rsidP="00D876E6">
      <w:pPr>
        <w:pStyle w:val="Heading1"/>
      </w:pPr>
    </w:p>
    <w:p w14:paraId="7313AE62" w14:textId="77777777" w:rsidR="00A76C60" w:rsidRPr="00791445" w:rsidRDefault="00A76C60" w:rsidP="00A76C60">
      <w:pPr>
        <w:pStyle w:val="Heading2"/>
      </w:pPr>
      <w:bookmarkStart w:id="187" w:name="_Toc526505145"/>
      <w:r w:rsidRPr="00791445">
        <w:t>Important Definitions</w:t>
      </w:r>
      <w:bookmarkEnd w:id="172"/>
      <w:bookmarkEnd w:id="173"/>
      <w:bookmarkEnd w:id="174"/>
      <w:bookmarkEnd w:id="187"/>
    </w:p>
    <w:p w14:paraId="5515DF82" w14:textId="77777777" w:rsidR="00A76C60" w:rsidRPr="00791445" w:rsidRDefault="00A76C60" w:rsidP="00A76C60">
      <w:pPr>
        <w:jc w:val="both"/>
        <w:rPr>
          <w:color w:val="000000"/>
        </w:rPr>
      </w:pPr>
      <w:r w:rsidRPr="00791445">
        <w:rPr>
          <w:color w:val="000000"/>
        </w:rPr>
        <w:t xml:space="preserve">For those outside the regulatory world, distinction between terms like “criteria,” “standards”, “objectives,” and “endpoints” can be confusing. The purpose of this section is to provide definitions of the terms that are linked closely to how the </w:t>
      </w:r>
      <w:r>
        <w:rPr>
          <w:color w:val="000000"/>
        </w:rPr>
        <w:t>eutrophication</w:t>
      </w:r>
      <w:r w:rsidRPr="00791445">
        <w:rPr>
          <w:color w:val="000000"/>
        </w:rPr>
        <w:t xml:space="preserve"> framework </w:t>
      </w:r>
      <w:r>
        <w:rPr>
          <w:color w:val="000000"/>
        </w:rPr>
        <w:t>can</w:t>
      </w:r>
      <w:r w:rsidRPr="00791445">
        <w:rPr>
          <w:color w:val="000000"/>
        </w:rPr>
        <w:t xml:space="preserve"> be implemented. </w:t>
      </w:r>
    </w:p>
    <w:p w14:paraId="432C6C72" w14:textId="77777777" w:rsidR="00A76C60" w:rsidRPr="00791445" w:rsidRDefault="00A76C60" w:rsidP="00A76C60">
      <w:pPr>
        <w:jc w:val="both"/>
      </w:pPr>
      <w:r w:rsidRPr="00791445">
        <w:rPr>
          <w:b/>
          <w:u w:val="single"/>
        </w:rPr>
        <w:t>Eutrophication</w:t>
      </w:r>
      <w:r w:rsidRPr="00791445">
        <w:rPr>
          <w:u w:val="single"/>
        </w:rPr>
        <w:t>:</w:t>
      </w:r>
      <w:r w:rsidRPr="00791445">
        <w:t xml:space="preserve"> Eutrophication is defined as the acceleration of the delivery, in situ production of organic matter, and accumulation of organic matter (Nixon 1995). One main cause of eutrophication in estuaries is nutrient over</w:t>
      </w:r>
      <w:r>
        <w:t xml:space="preserve"> </w:t>
      </w:r>
      <w:r w:rsidRPr="00791445">
        <w:t xml:space="preserve">enrichment (nitrogen, phosphorus and silica). However, other factors influence primary producer growth and the build-up of nutrient concentrations, and hence modify (or buffer) the response of a system to increased nutrient loads (hereto referred to as </w:t>
      </w:r>
      <w:r w:rsidRPr="00791445">
        <w:rPr>
          <w:b/>
          <w:u w:val="single"/>
        </w:rPr>
        <w:t>co-factors</w:t>
      </w:r>
      <w:r w:rsidRPr="00791445">
        <w:t xml:space="preserve">). These </w:t>
      </w:r>
      <w:r w:rsidRPr="00791445">
        <w:rPr>
          <w:u w:val="single"/>
        </w:rPr>
        <w:t>co-factors</w:t>
      </w:r>
      <w:r w:rsidRPr="00791445">
        <w:t xml:space="preserve"> include hydrologic residence times, mixing characteristics, water temperature, light climate, grazing pressure and, in some cases, coastal upwelling. </w:t>
      </w:r>
    </w:p>
    <w:p w14:paraId="1A4932AC" w14:textId="77777777" w:rsidR="0005596B" w:rsidRDefault="0005596B" w:rsidP="0005596B">
      <w:pPr>
        <w:jc w:val="both"/>
        <w:rPr>
          <w:rFonts w:asciiTheme="minorHAnsi" w:hAnsiTheme="minorHAnsi"/>
          <w:color w:val="000000"/>
          <w:lang w:bidi="ar-SA"/>
        </w:rPr>
      </w:pPr>
      <w:bookmarkStart w:id="188" w:name="_Hlk525820861"/>
      <w:r>
        <w:rPr>
          <w:b/>
          <w:i/>
          <w:color w:val="000000"/>
          <w:u w:val="single"/>
        </w:rPr>
        <w:t>Indicator</w:t>
      </w:r>
      <w:r>
        <w:rPr>
          <w:b/>
          <w:color w:val="000000"/>
          <w:u w:val="single"/>
        </w:rPr>
        <w:t>:</w:t>
      </w:r>
      <w:r>
        <w:rPr>
          <w:color w:val="000000"/>
        </w:rPr>
        <w:t xml:space="preserve"> A characteristic of an ecosystem that is related to, or derived from, a measure of biotic or abiotic variable, that can provide quantitative information on ecological condition, structure and/or function. With respect to the water quality objectives, indicators are the ecological parameters for which narrative or numeric objectives are developed. </w:t>
      </w:r>
    </w:p>
    <w:p w14:paraId="0529C17C" w14:textId="77777777" w:rsidR="0005596B" w:rsidRDefault="0005596B" w:rsidP="0005596B">
      <w:pPr>
        <w:jc w:val="both"/>
        <w:rPr>
          <w:color w:val="000000"/>
        </w:rPr>
      </w:pPr>
      <w:r>
        <w:rPr>
          <w:b/>
          <w:i/>
          <w:color w:val="000000"/>
          <w:u w:val="single"/>
        </w:rPr>
        <w:t>Measure or metric:</w:t>
      </w:r>
      <w:r>
        <w:rPr>
          <w:color w:val="000000"/>
        </w:rPr>
        <w:t xml:space="preserve"> The precise measure of an indicator, with a standard operating procedure, that represents the output of an observations. Examples of this is algal biomass (indicator), which can be measured by water column chlorophyll-a, in situ chlorophyll fluorescence, or remotely sensed chl-a, etc. all parameters. </w:t>
      </w:r>
    </w:p>
    <w:p w14:paraId="2DF07316" w14:textId="77777777" w:rsidR="0005596B" w:rsidRDefault="0005596B" w:rsidP="0005596B">
      <w:pPr>
        <w:jc w:val="both"/>
        <w:rPr>
          <w:color w:val="000000"/>
        </w:rPr>
      </w:pPr>
      <w:r>
        <w:rPr>
          <w:b/>
          <w:i/>
          <w:color w:val="000000"/>
          <w:u w:val="single"/>
        </w:rPr>
        <w:t>Water Quality Standard</w:t>
      </w:r>
      <w:r>
        <w:rPr>
          <w:color w:val="000000"/>
          <w:u w:val="single"/>
        </w:rPr>
        <w:t>s:</w:t>
      </w:r>
      <w:r>
        <w:rPr>
          <w:color w:val="000000"/>
        </w:rPr>
        <w:t xml:space="preserve"> Water quality standards are the foundation of the water quality-based control program mandated by the Clean Water Act. Water Quality Standards define the goals for a waterbody by designating its uses, setting criteria to protect those uses, and establishing provisions to protect water quality from pollutants. A water quality standard consists of three basic elements:</w:t>
      </w:r>
    </w:p>
    <w:p w14:paraId="7C7BDFF1" w14:textId="77777777" w:rsidR="0005596B" w:rsidRDefault="0005596B" w:rsidP="008E7E7F">
      <w:pPr>
        <w:numPr>
          <w:ilvl w:val="0"/>
          <w:numId w:val="10"/>
        </w:numPr>
        <w:jc w:val="both"/>
        <w:rPr>
          <w:color w:val="000000"/>
        </w:rPr>
      </w:pPr>
      <w:r>
        <w:rPr>
          <w:b/>
          <w:bCs/>
          <w:color w:val="000000"/>
        </w:rPr>
        <w:t>Designated uses</w:t>
      </w:r>
      <w:r>
        <w:rPr>
          <w:color w:val="000000"/>
        </w:rPr>
        <w:t xml:space="preserve"> of the water body (e.g., recreation, water supply, aquatic life, agriculture; Table 1.1), </w:t>
      </w:r>
    </w:p>
    <w:p w14:paraId="374B0F4C" w14:textId="77777777" w:rsidR="0005596B" w:rsidRDefault="0005596B" w:rsidP="008E7E7F">
      <w:pPr>
        <w:numPr>
          <w:ilvl w:val="0"/>
          <w:numId w:val="10"/>
        </w:numPr>
        <w:jc w:val="both"/>
        <w:rPr>
          <w:color w:val="000000"/>
        </w:rPr>
      </w:pPr>
      <w:r>
        <w:rPr>
          <w:b/>
          <w:bCs/>
          <w:color w:val="000000"/>
        </w:rPr>
        <w:t>Water quality criteria</w:t>
      </w:r>
      <w:r>
        <w:rPr>
          <w:color w:val="000000"/>
        </w:rPr>
        <w:t xml:space="preserve"> to protect designated uses (numeric pollutant concentrations and narrative requirements), and</w:t>
      </w:r>
    </w:p>
    <w:p w14:paraId="55969C11" w14:textId="77777777" w:rsidR="0005596B" w:rsidRDefault="0005596B" w:rsidP="008E7E7F">
      <w:pPr>
        <w:numPr>
          <w:ilvl w:val="0"/>
          <w:numId w:val="10"/>
        </w:numPr>
        <w:jc w:val="both"/>
        <w:rPr>
          <w:color w:val="000000"/>
        </w:rPr>
      </w:pPr>
      <w:r>
        <w:rPr>
          <w:b/>
          <w:color w:val="000000"/>
        </w:rPr>
        <w:t>A</w:t>
      </w:r>
      <w:r>
        <w:rPr>
          <w:b/>
          <w:bCs/>
          <w:color w:val="000000"/>
        </w:rPr>
        <w:t>ntidegradation policy</w:t>
      </w:r>
      <w:r>
        <w:rPr>
          <w:color w:val="000000"/>
        </w:rPr>
        <w:t xml:space="preserve"> to maintain and protect existing uses and high-quality waters. </w:t>
      </w:r>
    </w:p>
    <w:p w14:paraId="0DEE20A1" w14:textId="77777777" w:rsidR="0005596B" w:rsidRDefault="0005596B" w:rsidP="0005596B">
      <w:pPr>
        <w:jc w:val="both"/>
        <w:rPr>
          <w:color w:val="000000"/>
        </w:rPr>
      </w:pPr>
      <w:r>
        <w:rPr>
          <w:b/>
          <w:i/>
          <w:color w:val="000000"/>
          <w:u w:val="single"/>
        </w:rPr>
        <w:t>Water Quality Criteria:</w:t>
      </w:r>
      <w:r>
        <w:rPr>
          <w:color w:val="000000"/>
        </w:rPr>
        <w:t xml:space="preserve"> Section 303 of the Clean Water Act gives the States and authorized Tribes power to adopt water quality criteria with sufficient coverage of parameters and of adequate stringency to protect designated uses. In adopting criteria, States and Tribes may:</w:t>
      </w:r>
    </w:p>
    <w:p w14:paraId="03667BE9" w14:textId="77777777" w:rsidR="0005596B" w:rsidRDefault="0005596B" w:rsidP="008E7E7F">
      <w:pPr>
        <w:numPr>
          <w:ilvl w:val="0"/>
          <w:numId w:val="11"/>
        </w:numPr>
        <w:jc w:val="both"/>
        <w:rPr>
          <w:color w:val="000000"/>
        </w:rPr>
      </w:pPr>
      <w:r>
        <w:rPr>
          <w:color w:val="000000"/>
        </w:rPr>
        <w:t xml:space="preserve">Adopt the criteria that US EPA publishes under §304(a) of the Clean Water Act; </w:t>
      </w:r>
    </w:p>
    <w:p w14:paraId="0DAC4EB2" w14:textId="77777777" w:rsidR="0005596B" w:rsidRDefault="0005596B" w:rsidP="008E7E7F">
      <w:pPr>
        <w:numPr>
          <w:ilvl w:val="0"/>
          <w:numId w:val="11"/>
        </w:numPr>
        <w:jc w:val="both"/>
        <w:rPr>
          <w:color w:val="000000"/>
        </w:rPr>
      </w:pPr>
      <w:r>
        <w:rPr>
          <w:color w:val="000000"/>
        </w:rPr>
        <w:t xml:space="preserve">Modify the §304(a) criteria to reflect site-specific conditions; or </w:t>
      </w:r>
    </w:p>
    <w:p w14:paraId="2653CD38" w14:textId="77777777" w:rsidR="0005596B" w:rsidRDefault="0005596B" w:rsidP="008E7E7F">
      <w:pPr>
        <w:numPr>
          <w:ilvl w:val="0"/>
          <w:numId w:val="11"/>
        </w:numPr>
        <w:spacing w:after="120"/>
        <w:jc w:val="both"/>
        <w:rPr>
          <w:color w:val="000000"/>
        </w:rPr>
      </w:pPr>
      <w:r>
        <w:rPr>
          <w:color w:val="000000"/>
        </w:rPr>
        <w:t xml:space="preserve">Adopt criteria based on other scientifically-defensible methods. </w:t>
      </w:r>
    </w:p>
    <w:p w14:paraId="77F4ACEA" w14:textId="77777777" w:rsidR="0005596B" w:rsidRDefault="0005596B" w:rsidP="0005596B">
      <w:pPr>
        <w:pStyle w:val="space"/>
        <w:jc w:val="both"/>
      </w:pPr>
    </w:p>
    <w:p w14:paraId="009A8978" w14:textId="77777777" w:rsidR="0005596B" w:rsidRDefault="0005596B" w:rsidP="0005596B">
      <w:pPr>
        <w:jc w:val="both"/>
        <w:rPr>
          <w:color w:val="000000"/>
        </w:rPr>
      </w:pPr>
      <w:r>
        <w:rPr>
          <w:color w:val="000000"/>
        </w:rPr>
        <w:t xml:space="preserve">The State of </w:t>
      </w:r>
      <w:smartTag w:uri="urn:schemas-microsoft-com:office:smarttags" w:element="State">
        <w:smartTag w:uri="urn:schemas-microsoft-com:office:smarttags" w:element="place">
          <w:r>
            <w:rPr>
              <w:color w:val="000000"/>
            </w:rPr>
            <w:t>California</w:t>
          </w:r>
        </w:smartTag>
      </w:smartTag>
      <w:r>
        <w:rPr>
          <w:color w:val="000000"/>
        </w:rPr>
        <w:t>’s water criteria are implemented as “</w:t>
      </w:r>
      <w:r>
        <w:rPr>
          <w:b/>
          <w:color w:val="000000"/>
        </w:rPr>
        <w:t>water quality objectives</w:t>
      </w:r>
      <w:r>
        <w:rPr>
          <w:color w:val="000000"/>
        </w:rPr>
        <w:t xml:space="preserve">,” as defined in the Water Code (of the Porter Cologne Act; for further explanation, see below). </w:t>
      </w:r>
    </w:p>
    <w:p w14:paraId="439868D5" w14:textId="77777777" w:rsidR="0005596B" w:rsidRDefault="0005596B" w:rsidP="0005596B">
      <w:pPr>
        <w:jc w:val="both"/>
        <w:rPr>
          <w:color w:val="000000"/>
        </w:rPr>
      </w:pPr>
      <w:r>
        <w:rPr>
          <w:color w:val="000000"/>
        </w:rPr>
        <w:t xml:space="preserve">States and Tribes typically adopt both </w:t>
      </w:r>
      <w:r>
        <w:rPr>
          <w:b/>
          <w:color w:val="000000"/>
        </w:rPr>
        <w:t>numeric</w:t>
      </w:r>
      <w:r>
        <w:rPr>
          <w:color w:val="000000"/>
        </w:rPr>
        <w:t xml:space="preserve"> and </w:t>
      </w:r>
      <w:r>
        <w:rPr>
          <w:b/>
          <w:color w:val="000000"/>
        </w:rPr>
        <w:t>narrative</w:t>
      </w:r>
      <w:r>
        <w:rPr>
          <w:color w:val="000000"/>
        </w:rPr>
        <w:t xml:space="preserve"> criteria. </w:t>
      </w:r>
      <w:r>
        <w:rPr>
          <w:b/>
          <w:color w:val="000000"/>
        </w:rPr>
        <w:t>Numeric</w:t>
      </w:r>
      <w:r>
        <w:rPr>
          <w:color w:val="000000"/>
        </w:rPr>
        <w:t xml:space="preserve"> criteria are quantitative. </w:t>
      </w:r>
      <w:r>
        <w:rPr>
          <w:b/>
          <w:color w:val="000000"/>
        </w:rPr>
        <w:t>Narrative</w:t>
      </w:r>
      <w:r>
        <w:rPr>
          <w:color w:val="000000"/>
        </w:rPr>
        <w:t xml:space="preserve"> criteria lack specific numeric targets but define a targeted condition that must be achieved. </w:t>
      </w:r>
    </w:p>
    <w:p w14:paraId="48FA7B9C" w14:textId="468465EF" w:rsidR="0005596B" w:rsidRDefault="0005596B" w:rsidP="0005596B">
      <w:pPr>
        <w:jc w:val="both"/>
      </w:pPr>
      <w:r>
        <w:rPr>
          <w:b/>
          <w:i/>
          <w:color w:val="000000"/>
          <w:u w:val="single"/>
        </w:rPr>
        <w:t xml:space="preserve">Water Quality Objectives: </w:t>
      </w:r>
      <w:r>
        <w:rPr>
          <w:color w:val="000000"/>
        </w:rPr>
        <w:t xml:space="preserve">The Water Code (Porter-Cologne Act) provides that each Regional Water Quality Control Board shall establish water quality objectives for the waters of the state i.e., (ground and surface waters) which, in the Regional Board's judgment, are necessary for the reasonable protection of beneficial uses and for the prevention of nuisance. Note that the Water Board terms “beneficial uses” are essentially equivalent to the federal term “designated uses.” The State of </w:t>
      </w:r>
      <w:smartTag w:uri="urn:schemas-microsoft-com:office:smarttags" w:element="place">
        <w:smartTag w:uri="urn:schemas-microsoft-com:office:smarttags" w:element="State">
          <w:r>
            <w:rPr>
              <w:color w:val="000000"/>
            </w:rPr>
            <w:t>California</w:t>
          </w:r>
        </w:smartTag>
      </w:smartTag>
      <w:r>
        <w:rPr>
          <w:color w:val="000000"/>
        </w:rPr>
        <w:t xml:space="preserve"> typically adopts both </w:t>
      </w:r>
      <w:r>
        <w:rPr>
          <w:b/>
          <w:color w:val="000000"/>
        </w:rPr>
        <w:t>numeric</w:t>
      </w:r>
      <w:r>
        <w:rPr>
          <w:color w:val="000000"/>
        </w:rPr>
        <w:t xml:space="preserve"> and </w:t>
      </w:r>
      <w:r>
        <w:rPr>
          <w:b/>
          <w:color w:val="000000"/>
        </w:rPr>
        <w:t>narrative</w:t>
      </w:r>
      <w:r>
        <w:rPr>
          <w:color w:val="000000"/>
        </w:rPr>
        <w:t xml:space="preserve"> objectives</w:t>
      </w:r>
      <w:r>
        <w:t xml:space="preserve">, </w:t>
      </w:r>
      <w:r w:rsidR="00F01CB8">
        <w:t>which</w:t>
      </w:r>
      <w:r>
        <w:t xml:space="preserve"> are promulgated through a public process and incorporated into basin plans</w:t>
      </w:r>
      <w:r>
        <w:rPr>
          <w:color w:val="000000"/>
        </w:rPr>
        <w:t xml:space="preserve">. </w:t>
      </w:r>
      <w:r>
        <w:rPr>
          <w:b/>
          <w:color w:val="000000"/>
        </w:rPr>
        <w:t>Numeric</w:t>
      </w:r>
      <w:r>
        <w:rPr>
          <w:color w:val="000000"/>
        </w:rPr>
        <w:t xml:space="preserve"> objectives are quantitative. </w:t>
      </w:r>
      <w:r>
        <w:rPr>
          <w:b/>
          <w:color w:val="000000"/>
        </w:rPr>
        <w:t>Narrative</w:t>
      </w:r>
      <w:r>
        <w:rPr>
          <w:color w:val="000000"/>
        </w:rPr>
        <w:t xml:space="preserve"> objectives present general descriptions of water quality that must be attained through pollutant control measures. Narrative </w:t>
      </w:r>
      <w:r w:rsidR="00F01CB8">
        <w:rPr>
          <w:color w:val="000000"/>
        </w:rPr>
        <w:t>objectives</w:t>
      </w:r>
      <w:r>
        <w:rPr>
          <w:color w:val="000000"/>
        </w:rPr>
        <w:t xml:space="preserve"> can be accompanied by a numeric translator, which could consist of a suite of numeric assessment endpoints and targets (see definition below), along with guidance on their interpretation. </w:t>
      </w:r>
      <w:r>
        <w:t xml:space="preserve">Once a narrative objective is established, guidance can be updated over time with policy actions that are less arduous than establishment of objectives themselves.  </w:t>
      </w:r>
    </w:p>
    <w:p w14:paraId="4C64F8DF" w14:textId="0E70FF68" w:rsidR="0005596B" w:rsidRDefault="0005596B" w:rsidP="0005596B">
      <w:pPr>
        <w:jc w:val="both"/>
      </w:pPr>
      <w:r>
        <w:rPr>
          <w:b/>
          <w:i/>
          <w:u w:val="single"/>
        </w:rPr>
        <w:t xml:space="preserve">Numeric Assessment Endpoint: </w:t>
      </w:r>
      <w:r>
        <w:t xml:space="preserve">Numeric endpoints are policy decisions, or </w:t>
      </w:r>
      <w:r w:rsidR="00F01CB8">
        <w:t>public ally</w:t>
      </w:r>
      <w:r>
        <w:t xml:space="preserve"> accepted guidance, on the numeric values that define the management protection goal, either for human ecosystem services and beneficial uses (e.g. COMM, AQUA, SHELL, etc.) or that of aquatic life (e.g. MAR, EST, SPWN) or terrestrial </w:t>
      </w:r>
      <w:r w:rsidR="00F01CB8">
        <w:t>wildlife</w:t>
      </w:r>
      <w:r>
        <w:t xml:space="preserve"> (MIGR, RARE), typically represented by an indicator or biological response or human use (e.g. percent individuals affected by carapace dissolution, toxin concentration in Dungeness crab). The represent the “response” of the ecosystem to a causal (anthropogenic) driver. </w:t>
      </w:r>
    </w:p>
    <w:p w14:paraId="58AC5DC0" w14:textId="77777777" w:rsidR="0005596B" w:rsidRDefault="0005596B" w:rsidP="0005596B">
      <w:pPr>
        <w:jc w:val="both"/>
      </w:pPr>
      <w:r>
        <w:rPr>
          <w:b/>
          <w:i/>
          <w:u w:val="single"/>
        </w:rPr>
        <w:t>Numeric Targets:</w:t>
      </w:r>
      <w:r>
        <w:t xml:space="preserve"> Numeric targets are policy decisions that are the output of translation of numeric assessment endpoints (management goals) into desired levels of chemical or physical (causal) drivers. </w:t>
      </w:r>
    </w:p>
    <w:p w14:paraId="67956750" w14:textId="77777777" w:rsidR="0005596B" w:rsidRDefault="0005596B" w:rsidP="0005596B">
      <w:pPr>
        <w:jc w:val="both"/>
        <w:rPr>
          <w:color w:val="000000"/>
        </w:rPr>
      </w:pPr>
      <w:r>
        <w:rPr>
          <w:b/>
          <w:i/>
          <w:color w:val="000000"/>
          <w:u w:val="single"/>
        </w:rPr>
        <w:t>Threshold</w:t>
      </w:r>
      <w:r>
        <w:rPr>
          <w:color w:val="000000"/>
        </w:rPr>
        <w:t xml:space="preserve">: </w:t>
      </w:r>
      <w:r>
        <w:rPr>
          <w:i/>
          <w:color w:val="000000"/>
        </w:rPr>
        <w:t>“Endpoints” and “targets”</w:t>
      </w:r>
      <w:r>
        <w:rPr>
          <w:color w:val="000000"/>
        </w:rPr>
        <w:t xml:space="preserve"> to refer to policy decisions, while “thresholds” refer to the output of scientific analyses that are intended to inform conversations among the Water Board and its advisory groups on targets. Generally, we define thresholds as “the point at which there is an abrupt change in an ecosystem property or where small changes in an environmental driver produce large responses in the ecosystem” (Grossman et al. 2006).  Thresholds have also been associated with the concept of resilience and a transition between alternate stable states (Resilience Alliance and Sante Fe Institute 2004).  These state changes may be associated with either abrupt changes in one or more response variable as a key driver crosses a threshold value. Cuffney et al. (2010) further distinguish between resistance thresholds (e.g., a sharp decline in ecosystem condition following an initial no effect zone) and exhaustion thresholds (a sharp transition to zero slope at the end of a stressor gradient at which point the response variable reaches a natural limit). Another category of thresholds is “benchmarks,” used to refer to specifically to experimental treatment levels in which “no observed effect; NOE” or “lowest observed effect; LOE,” can derived.</w:t>
      </w:r>
    </w:p>
    <w:bookmarkEnd w:id="188"/>
    <w:p w14:paraId="69A95CB9" w14:textId="5235ECD6" w:rsidR="00170017" w:rsidRPr="00C94B8D" w:rsidRDefault="00170017" w:rsidP="006D7F0F">
      <w:pPr>
        <w:pStyle w:val="Heading1"/>
      </w:pPr>
    </w:p>
    <w:sectPr w:rsidR="00170017" w:rsidRPr="00C94B8D" w:rsidSect="00C5540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D378CE" w14:textId="77777777" w:rsidR="00CF6066" w:rsidRDefault="00CF6066" w:rsidP="00644D68">
      <w:r>
        <w:separator/>
      </w:r>
    </w:p>
  </w:endnote>
  <w:endnote w:type="continuationSeparator" w:id="0">
    <w:p w14:paraId="23B16F4D" w14:textId="77777777" w:rsidR="00CF6066" w:rsidRDefault="00CF6066" w:rsidP="00644D68">
      <w:r>
        <w:continuationSeparator/>
      </w:r>
    </w:p>
  </w:endnote>
  <w:endnote w:type="continuationNotice" w:id="1">
    <w:p w14:paraId="633D31F0" w14:textId="77777777" w:rsidR="00CF6066" w:rsidRDefault="00CF606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1)">
    <w:altName w:val="Arial"/>
    <w:charset w:val="00"/>
    <w:family w:val="swiss"/>
    <w:pitch w:val="variable"/>
    <w:sig w:usb0="E0002A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w Cen MT">
    <w:panose1 w:val="020B0602020104020603"/>
    <w:charset w:val="00"/>
    <w:family w:val="swiss"/>
    <w:pitch w:val="variable"/>
    <w:sig w:usb0="00000007" w:usb1="00000000" w:usb2="00000000" w:usb3="00000000" w:csb0="00000003" w:csb1="00000000"/>
  </w:font>
  <w:font w:name="Tw Cen MT,Calibri">
    <w:altName w:val="Times New Roman"/>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DengXian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AB2453" w14:textId="77777777" w:rsidR="00096251" w:rsidRDefault="0009625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2E1611" w14:textId="77777777" w:rsidR="00C26519" w:rsidRDefault="00C2651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7F32B5" w14:textId="77777777" w:rsidR="00096251" w:rsidRDefault="0009625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E11513" w14:textId="77777777" w:rsidR="00C26519" w:rsidRDefault="00C26519">
    <w:pPr>
      <w:pStyle w:val="Footer"/>
      <w:jc w:val="center"/>
    </w:pPr>
    <w:r>
      <w:fldChar w:fldCharType="begin"/>
    </w:r>
    <w:r>
      <w:instrText xml:space="preserve"> PAGE   \* MERGEFORMAT </w:instrText>
    </w:r>
    <w:r>
      <w:fldChar w:fldCharType="separate"/>
    </w:r>
    <w:r>
      <w:rPr>
        <w:noProof/>
      </w:rPr>
      <w:t>9</w:t>
    </w:r>
    <w:r>
      <w:rPr>
        <w:noProof/>
      </w:rPr>
      <w:fldChar w:fldCharType="end"/>
    </w:r>
  </w:p>
  <w:p w14:paraId="2AF26AAC" w14:textId="77777777" w:rsidR="00C26519" w:rsidRDefault="00C2651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9818D9" w14:textId="77777777" w:rsidR="00C26519" w:rsidRDefault="00C26519">
    <w:pPr>
      <w:pStyle w:val="Footer"/>
      <w:jc w:val="center"/>
    </w:pPr>
    <w:r>
      <w:fldChar w:fldCharType="begin"/>
    </w:r>
    <w:r>
      <w:instrText xml:space="preserve"> PAGE   \* MERGEFORMAT </w:instrText>
    </w:r>
    <w:r>
      <w:fldChar w:fldCharType="separate"/>
    </w:r>
    <w:r>
      <w:rPr>
        <w:noProof/>
      </w:rPr>
      <w:t>11</w:t>
    </w:r>
    <w:r>
      <w:rPr>
        <w:noProof/>
      </w:rPr>
      <w:fldChar w:fldCharType="end"/>
    </w:r>
  </w:p>
  <w:p w14:paraId="33FE00DE" w14:textId="77777777" w:rsidR="00C26519" w:rsidRPr="00C94B8D" w:rsidRDefault="00C26519" w:rsidP="00C94B8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2050111"/>
      <w:docPartObj>
        <w:docPartGallery w:val="Page Numbers (Bottom of Page)"/>
        <w:docPartUnique/>
      </w:docPartObj>
    </w:sdtPr>
    <w:sdtEndPr/>
    <w:sdtContent>
      <w:p w14:paraId="082AEF6F" w14:textId="77777777" w:rsidR="00C26519" w:rsidRDefault="00C26519">
        <w:pPr>
          <w:pStyle w:val="Footer"/>
          <w:jc w:val="center"/>
        </w:pPr>
        <w:r>
          <w:fldChar w:fldCharType="begin"/>
        </w:r>
        <w:r>
          <w:instrText xml:space="preserve"> PAGE   \* MERGEFORMAT </w:instrText>
        </w:r>
        <w:r>
          <w:fldChar w:fldCharType="separate"/>
        </w:r>
        <w:r>
          <w:rPr>
            <w:noProof/>
          </w:rPr>
          <w:t>25</w:t>
        </w:r>
        <w:r>
          <w:rPr>
            <w:noProof/>
          </w:rPr>
          <w:fldChar w:fldCharType="end"/>
        </w:r>
      </w:p>
    </w:sdtContent>
  </w:sdt>
  <w:p w14:paraId="72301850" w14:textId="77777777" w:rsidR="00C26519" w:rsidRDefault="00C2651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FFB430" w14:textId="77777777" w:rsidR="00CF6066" w:rsidRDefault="00CF6066" w:rsidP="00644D68">
      <w:r>
        <w:separator/>
      </w:r>
    </w:p>
  </w:footnote>
  <w:footnote w:type="continuationSeparator" w:id="0">
    <w:p w14:paraId="0452DE62" w14:textId="77777777" w:rsidR="00CF6066" w:rsidRDefault="00CF6066" w:rsidP="00644D68">
      <w:r>
        <w:continuationSeparator/>
      </w:r>
    </w:p>
  </w:footnote>
  <w:footnote w:type="continuationNotice" w:id="1">
    <w:p w14:paraId="3A8B4BDA" w14:textId="77777777" w:rsidR="00CF6066" w:rsidRDefault="00CF6066">
      <w:pPr>
        <w:spacing w:after="0" w:line="240" w:lineRule="auto"/>
      </w:pPr>
    </w:p>
  </w:footnote>
  <w:footnote w:id="2">
    <w:p w14:paraId="6653E908" w14:textId="77777777" w:rsidR="00C26519" w:rsidRDefault="00C26519" w:rsidP="009C2AA5">
      <w:pPr>
        <w:pStyle w:val="FootnoteText"/>
      </w:pPr>
      <w:r>
        <w:rPr>
          <w:rStyle w:val="FootnoteReference"/>
        </w:rPr>
        <w:footnoteRef/>
      </w:r>
      <w:r>
        <w:t xml:space="preserve"> Physical habitat, as used here, typically includes aquatic macrophytes, riparian vegetation, and</w:t>
      </w:r>
    </w:p>
    <w:p w14:paraId="3C1FD4E3" w14:textId="77777777" w:rsidR="00C26519" w:rsidRDefault="00C26519" w:rsidP="009C2AA5">
      <w:pPr>
        <w:pStyle w:val="FootnoteText"/>
      </w:pPr>
      <w:r>
        <w:t>woody debris measures because of their role in modifying habitat structure, light input, and providing nutrient input by way of organic material, even though they are biological measures.</w:t>
      </w:r>
    </w:p>
  </w:footnote>
  <w:footnote w:id="3">
    <w:p w14:paraId="2C36E168" w14:textId="77777777" w:rsidR="00C26519" w:rsidRPr="009A4F36" w:rsidRDefault="00C26519" w:rsidP="009A4F36">
      <w:pPr>
        <w:spacing w:after="0" w:line="240" w:lineRule="auto"/>
        <w:ind w:left="45"/>
        <w:contextualSpacing/>
        <w:rPr>
          <w:sz w:val="20"/>
          <w:szCs w:val="20"/>
        </w:rPr>
      </w:pPr>
      <w:r w:rsidRPr="009A4F36">
        <w:rPr>
          <w:rStyle w:val="FootnoteReference"/>
          <w:sz w:val="20"/>
          <w:szCs w:val="20"/>
        </w:rPr>
        <w:footnoteRef/>
      </w:r>
      <w:r w:rsidRPr="009A4F36">
        <w:rPr>
          <w:sz w:val="20"/>
          <w:szCs w:val="20"/>
        </w:rPr>
        <w:t xml:space="preserve"> Metric is part of the Index of Physical </w:t>
      </w:r>
      <w:r>
        <w:rPr>
          <w:sz w:val="20"/>
          <w:szCs w:val="20"/>
        </w:rPr>
        <w:t>H</w:t>
      </w:r>
      <w:r w:rsidRPr="009A4F36">
        <w:rPr>
          <w:sz w:val="20"/>
          <w:szCs w:val="20"/>
        </w:rPr>
        <w:t>abitat Integrity (IPI)</w:t>
      </w:r>
    </w:p>
  </w:footnote>
  <w:footnote w:id="4">
    <w:p w14:paraId="50721D8F" w14:textId="77777777" w:rsidR="00C26519" w:rsidRPr="009A4F36" w:rsidRDefault="00C26519" w:rsidP="009A4F36">
      <w:pPr>
        <w:spacing w:after="0" w:line="240" w:lineRule="auto"/>
        <w:ind w:left="45"/>
        <w:contextualSpacing/>
        <w:rPr>
          <w:sz w:val="20"/>
          <w:szCs w:val="20"/>
        </w:rPr>
      </w:pPr>
      <w:r w:rsidRPr="009A4F36">
        <w:rPr>
          <w:rStyle w:val="FootnoteReference"/>
          <w:sz w:val="20"/>
          <w:szCs w:val="20"/>
        </w:rPr>
        <w:footnoteRef/>
      </w:r>
      <w:r w:rsidRPr="009A4F36">
        <w:rPr>
          <w:sz w:val="20"/>
          <w:szCs w:val="20"/>
        </w:rPr>
        <w:t xml:space="preserve"> Metric has been modeled to account for natural variability</w:t>
      </w:r>
    </w:p>
  </w:footnote>
  <w:footnote w:id="5">
    <w:p w14:paraId="44E4DB6E" w14:textId="77777777" w:rsidR="00C26519" w:rsidRPr="009A4F36" w:rsidRDefault="00C26519" w:rsidP="009A4F36">
      <w:pPr>
        <w:pStyle w:val="FootnoteText"/>
        <w:contextualSpacing/>
      </w:pPr>
      <w:r w:rsidRPr="009A4F36">
        <w:rPr>
          <w:rStyle w:val="FootnoteReference"/>
        </w:rPr>
        <w:footnoteRef/>
      </w:r>
      <w:r w:rsidRPr="009A4F36">
        <w:t xml:space="preserve"> Metric has been demonstrated to be suitability for statewide assessment without modeling to account for natural variability</w:t>
      </w:r>
    </w:p>
  </w:footnote>
  <w:footnote w:id="6">
    <w:p w14:paraId="28526BE8" w14:textId="12C11E26" w:rsidR="000B0EE3" w:rsidRDefault="000B0EE3">
      <w:pPr>
        <w:pStyle w:val="FootnoteText"/>
      </w:pPr>
      <w:r>
        <w:rPr>
          <w:rStyle w:val="FootnoteReference"/>
        </w:rPr>
        <w:footnoteRef/>
      </w:r>
      <w:r>
        <w:t xml:space="preserve"> For definition, see appendix I. </w:t>
      </w:r>
    </w:p>
  </w:footnote>
  <w:footnote w:id="7">
    <w:p w14:paraId="1AC2D4B1" w14:textId="2D78D744" w:rsidR="00C26519" w:rsidRDefault="00C26519" w:rsidP="0079057A">
      <w:pPr>
        <w:pStyle w:val="FootnoteText"/>
      </w:pPr>
      <w:r>
        <w:rPr>
          <w:rStyle w:val="FootnoteReference"/>
        </w:rPr>
        <w:footnoteRef/>
      </w:r>
      <w:r>
        <w:t xml:space="preserve"> Worcester et al (2010) note re: rationale for 1 mg/L screening. No sites from the Coldwater data reference set and only one site from the warm water reference data set had nitrate-N concentrations that exceeded 1.0 mg/L NO3-N as an average (Figures 3 and 4). The single site that exceeded this value was located below a dam and was well oxygenated as a result.” We believe that the status of this site as well oxygenated below a dam would bias towards selection of a high NO3 screening level value, because oxygen deficit would be depressed from atmospheric reaeration.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E4BA8C" w14:textId="0F25B566" w:rsidR="00C26519" w:rsidRDefault="00C2651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33EF09" w14:textId="77777777" w:rsidR="00C26519" w:rsidRDefault="00C2651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4B7254" w14:textId="34ACC2ED" w:rsidR="00C26519" w:rsidRDefault="00C26519">
    <w:pPr>
      <w:pStyle w:val="Header"/>
    </w:pPr>
  </w:p>
  <w:p w14:paraId="286DD45D" w14:textId="77777777" w:rsidR="00C26519" w:rsidRDefault="00C26519">
    <w:pPr>
      <w:pStyle w:val="Header"/>
    </w:pPr>
    <w:r>
      <w:rPr>
        <w:noProof/>
        <w:lang w:eastAsia="zh-CN" w:bidi="ar-SA"/>
      </w:rPr>
      <mc:AlternateContent>
        <mc:Choice Requires="wps">
          <w:drawing>
            <wp:anchor distT="0" distB="0" distL="114300" distR="114300" simplePos="0" relativeHeight="251656192" behindDoc="1" locked="0" layoutInCell="0" allowOverlap="1" wp14:anchorId="5F4EB3F3" wp14:editId="695A6A22">
              <wp:simplePos x="0" y="0"/>
              <wp:positionH relativeFrom="margin">
                <wp:align>center</wp:align>
              </wp:positionH>
              <wp:positionV relativeFrom="margin">
                <wp:align>center</wp:align>
              </wp:positionV>
              <wp:extent cx="5237480" cy="106680"/>
              <wp:effectExtent l="0" t="0" r="0" b="0"/>
              <wp:wrapNone/>
              <wp:docPr id="2" name="WordArt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1066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1DDFAC1" w14:textId="77777777" w:rsidR="00C26519" w:rsidRDefault="00C26519" w:rsidP="002501CE">
                          <w:pPr>
                            <w:pStyle w:val="NormalWeb"/>
                            <w:spacing w:before="0" w:beforeAutospacing="0" w:after="0" w:afterAutospacing="0"/>
                            <w:jc w:val="center"/>
                          </w:pPr>
                          <w:r w:rsidRPr="003D3640">
                            <w:rPr>
                              <w:rFonts w:ascii="Calibri" w:hAnsi="Calibri" w:cs="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F4EB3F3" id="_x0000_t202" coordsize="21600,21600" o:spt="202" path="m,l,21600r21600,l21600,xe">
              <v:stroke joinstyle="miter"/>
              <v:path gradientshapeok="t" o:connecttype="rect"/>
            </v:shapetype>
            <v:shape id="WordArt 37" o:spid="_x0000_s1028" type="#_x0000_t202" style="position:absolute;margin-left:0;margin-top:0;width:412.4pt;height:8.4pt;rotation:-45;z-index:-2516602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" o:allowincell="f" filled="f" stroked="f">
              <v:stroke joinstyle="round"/>
              <o:lock v:ext="edit" shapetype="t"/>
              <v:textbox style="mso-fit-shape-to-text:t">
                <w:txbxContent>
                  <w:p w14:paraId="61DDFAC1" w14:textId="77777777" w:rsidR="00C26519" w:rsidRDefault="00C26519" w:rsidP="002501CE">
                    <w:pPr>
                      <w:pStyle w:val="NormalWeb"/>
                      <w:spacing w:before="0" w:beforeAutospacing="0" w:after="0" w:afterAutospacing="0"/>
                      <w:jc w:val="center"/>
                    </w:pPr>
                    <w:r w:rsidRPr="003D3640">
                      <w:rPr>
                        <w:rFonts w:ascii="Calibri" w:hAnsi="Calibri" w:cs="Calibri"/>
                        <w:color w:val="C0C0C0"/>
                        <w:sz w:val="2"/>
                        <w:szCs w:val="2"/>
                      </w:rPr>
                      <w:t>DRAFT</w:t>
                    </w:r>
                  </w:p>
                </w:txbxContent>
              </v:textbox>
              <w10:wrap anchorx="margin"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7AE279" w14:textId="6FC90DDC" w:rsidR="00C26519" w:rsidRDefault="00C2651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C23EC6" w14:textId="64A3FEBF" w:rsidR="00C26519" w:rsidRDefault="00CF6066">
    <w:pPr>
      <w:pStyle w:val="Header"/>
    </w:pPr>
    <w:sdt>
      <w:sdtPr>
        <w:id w:val="81885488"/>
        <w:docPartObj>
          <w:docPartGallery w:val="Watermarks"/>
          <w:docPartUnique/>
        </w:docPartObj>
      </w:sdtPr>
      <w:sdtEndPr/>
      <w:sdtContent>
        <w:r>
          <w:rPr>
            <w:noProof/>
          </w:rPr>
          <w:pict w14:anchorId="4018EC3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100"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C26519">
      <w:rPr>
        <w:noProof/>
        <w:lang w:eastAsia="zh-CN" w:bidi="ar-SA"/>
      </w:rPr>
      <mc:AlternateContent>
        <mc:Choice Requires="wps">
          <w:drawing>
            <wp:anchor distT="0" distB="0" distL="114300" distR="114300" simplePos="0" relativeHeight="251658240" behindDoc="1" locked="0" layoutInCell="0" allowOverlap="1" wp14:anchorId="2E6FEC2A" wp14:editId="16C3D722">
              <wp:simplePos x="0" y="0"/>
              <wp:positionH relativeFrom="margin">
                <wp:align>center</wp:align>
              </wp:positionH>
              <wp:positionV relativeFrom="margin">
                <wp:align>center</wp:align>
              </wp:positionV>
              <wp:extent cx="5237480" cy="3142615"/>
              <wp:effectExtent l="0" t="1143000" r="0" b="657860"/>
              <wp:wrapNone/>
              <wp:docPr id="1" name="WordArt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D1AEA6E" w14:textId="77777777" w:rsidR="00C26519" w:rsidRDefault="00C26519" w:rsidP="00681C9D">
                          <w:pPr>
                            <w:pStyle w:val="NormalWeb"/>
                            <w:spacing w:before="0" w:beforeAutospacing="0" w:after="0" w:afterAutospacing="0"/>
                            <w:jc w:val="center"/>
                          </w:pPr>
                          <w:r>
                            <w:rPr>
                              <w:rFonts w:ascii="Calibri" w:hAnsi="Calibri" w:cs="Calibri"/>
                              <w:color w:val="BFBFBF"/>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E6FEC2A" id="_x0000_t202" coordsize="21600,21600" o:spt="202" path="m,l,21600r21600,l21600,xe">
              <v:stroke joinstyle="miter"/>
              <v:path gradientshapeok="t" o:connecttype="rect"/>
            </v:shapetype>
            <v:shape id="WordArt 53" o:spid="_x0000_s1029" type="#_x0000_t202" style="position:absolute;margin-left:0;margin-top:0;width:412.4pt;height:247.4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" o:allowincell="f" filled="f" stroked="f">
              <v:stroke joinstyle="round"/>
              <o:lock v:ext="edit" shapetype="t"/>
              <v:textbox style="mso-fit-shape-to-text:t">
                <w:txbxContent>
                  <w:p w14:paraId="6D1AEA6E" w14:textId="77777777" w:rsidR="00C26519" w:rsidRDefault="00C26519" w:rsidP="00681C9D">
                    <w:pPr>
                      <w:pStyle w:val="NormalWeb"/>
                      <w:spacing w:before="0" w:beforeAutospacing="0" w:after="0" w:afterAutospacing="0"/>
                      <w:jc w:val="center"/>
                    </w:pPr>
                    <w:r>
                      <w:rPr>
                        <w:rFonts w:ascii="Calibri" w:hAnsi="Calibri" w:cs="Calibri"/>
                        <w:color w:val="BFBFBF"/>
                        <w:sz w:val="2"/>
                        <w:szCs w:val="2"/>
                      </w:rPr>
                      <w:t>DRAFT</w:t>
                    </w:r>
                  </w:p>
                </w:txbxContent>
              </v:textbox>
              <w10:wrap anchorx="margin" anchory="margin"/>
            </v:shape>
          </w:pict>
        </mc:Fallback>
      </mc:AlternateContent>
    </w:r>
  </w:p>
  <w:p w14:paraId="5CEF2205" w14:textId="77777777" w:rsidR="00C26519" w:rsidRDefault="00C26519">
    <w:pPr>
      <w:pStyle w:val="Header"/>
    </w:pPr>
    <w:r>
      <w:rPr>
        <w:noProof/>
        <w:lang w:eastAsia="zh-CN" w:bidi="ar-SA"/>
      </w:rPr>
      <mc:AlternateContent>
        <mc:Choice Requires="wps">
          <w:drawing>
            <wp:anchor distT="0" distB="0" distL="114300" distR="114300" simplePos="0" relativeHeight="251657216" behindDoc="1" locked="0" layoutInCell="0" allowOverlap="1" wp14:anchorId="7220FEF4" wp14:editId="76E1BB0B">
              <wp:simplePos x="0" y="0"/>
              <wp:positionH relativeFrom="margin">
                <wp:align>center</wp:align>
              </wp:positionH>
              <wp:positionV relativeFrom="margin">
                <wp:align>center</wp:align>
              </wp:positionV>
              <wp:extent cx="5237480" cy="106680"/>
              <wp:effectExtent l="0" t="0" r="0" b="0"/>
              <wp:wrapNone/>
              <wp:docPr id="4" name="WordArt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1066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015910B" w14:textId="77777777" w:rsidR="00C26519" w:rsidRDefault="00C26519" w:rsidP="002501CE">
                          <w:pPr>
                            <w:pStyle w:val="NormalWeb"/>
                            <w:spacing w:before="0" w:beforeAutospacing="0" w:after="0" w:afterAutospacing="0"/>
                            <w:jc w:val="center"/>
                          </w:pPr>
                          <w:r w:rsidRPr="003D3640">
                            <w:rPr>
                              <w:rFonts w:ascii="Calibri" w:hAnsi="Calibri" w:cs="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220FEF4" id="_x0000_s1030" type="#_x0000_t202" style="position:absolute;margin-left:0;margin-top:0;width:412.4pt;height:8.4pt;rotation:-45;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" o:allowincell="f" filled="f" stroked="f">
              <v:stroke joinstyle="round"/>
              <o:lock v:ext="edit" shapetype="t"/>
              <v:textbox style="mso-fit-shape-to-text:t">
                <w:txbxContent>
                  <w:p w14:paraId="7015910B" w14:textId="77777777" w:rsidR="00C26519" w:rsidRDefault="00C26519" w:rsidP="002501CE">
                    <w:pPr>
                      <w:pStyle w:val="NormalWeb"/>
                      <w:spacing w:before="0" w:beforeAutospacing="0" w:after="0" w:afterAutospacing="0"/>
                      <w:jc w:val="center"/>
                    </w:pPr>
                    <w:r w:rsidRPr="003D3640">
                      <w:rPr>
                        <w:rFonts w:ascii="Calibri" w:hAnsi="Calibri" w:cs="Calibri"/>
                        <w:color w:val="C0C0C0"/>
                        <w:sz w:val="2"/>
                        <w:szCs w:val="2"/>
                      </w:rPr>
                      <w:t>DRAFT</w:t>
                    </w:r>
                  </w:p>
                </w:txbxContent>
              </v:textbox>
              <w10:wrap anchorx="margin"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D82598" w14:textId="4DA88CC8" w:rsidR="00C26519" w:rsidRDefault="00C2651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DD8DE1" w14:textId="562DBDDB" w:rsidR="00C26519" w:rsidRDefault="00C2651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5AF7BD" w14:textId="62BED2C4" w:rsidR="00C26519" w:rsidRDefault="00C26519">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8F34BF" w14:textId="77777777" w:rsidR="00C26519" w:rsidRDefault="00C26519">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D49219" w14:textId="77777777" w:rsidR="00C26519" w:rsidRPr="0021149A" w:rsidRDefault="00C26519" w:rsidP="004E309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in;height:3in" o:bullet="t"/>
    </w:pict>
  </w:numPicBullet>
  <w:abstractNum w:abstractNumId="0" w15:restartNumberingAfterBreak="0">
    <w:nsid w:val="0E1150D3"/>
    <w:multiLevelType w:val="hybridMultilevel"/>
    <w:tmpl w:val="09C40AC6"/>
    <w:lvl w:ilvl="0" w:tplc="0409000F">
      <w:start w:val="1"/>
      <w:numFmt w:val="decimal"/>
      <w:lvlText w:val="%1."/>
      <w:lvlJc w:val="left"/>
      <w:pPr>
        <w:ind w:left="1260" w:hanging="360"/>
      </w:pPr>
    </w:lvl>
    <w:lvl w:ilvl="1" w:tplc="A7C226F4">
      <w:start w:val="1"/>
      <w:numFmt w:val="decimal"/>
      <w:lvlText w:val="%2)"/>
      <w:lvlJc w:val="left"/>
      <w:pPr>
        <w:ind w:left="1440" w:hanging="360"/>
      </w:pPr>
      <w:rPr>
        <w:rFonts w:ascii="Calibri" w:hAnsi="Calibr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543957"/>
    <w:multiLevelType w:val="multilevel"/>
    <w:tmpl w:val="4CC81A66"/>
    <w:lvl w:ilvl="0">
      <w:start w:val="1"/>
      <w:numFmt w:val="decimal"/>
      <w:lvlText w:val="%1."/>
      <w:lvlJc w:val="left"/>
      <w:pPr>
        <w:ind w:left="720" w:hanging="360"/>
      </w:pPr>
      <w:rPr>
        <w:rFonts w:hint="default"/>
      </w:rPr>
    </w:lvl>
    <w:lvl w:ilvl="1">
      <w:start w:val="2"/>
      <w:numFmt w:val="decimal"/>
      <w:isLgl/>
      <w:lvlText w:val="%1.%2"/>
      <w:lvlJc w:val="left"/>
      <w:pPr>
        <w:ind w:left="863" w:hanging="503"/>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 w15:restartNumberingAfterBreak="0">
    <w:nsid w:val="10E670A1"/>
    <w:multiLevelType w:val="hybridMultilevel"/>
    <w:tmpl w:val="3680471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12CF4BA7"/>
    <w:multiLevelType w:val="multilevel"/>
    <w:tmpl w:val="792C337A"/>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40"/>
      <w:numFmt w:val="bullet"/>
      <w:lvlText w:val=""/>
      <w:lvlJc w:val="left"/>
      <w:pPr>
        <w:ind w:left="2160" w:hanging="360"/>
      </w:pPr>
      <w:rPr>
        <w:rFonts w:ascii="Wingdings" w:eastAsia="Times New Roman" w:hAnsi="Wingdings" w:cs="Times New Roman"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849656F"/>
    <w:multiLevelType w:val="hybridMultilevel"/>
    <w:tmpl w:val="2F82D56A"/>
    <w:lvl w:ilvl="0" w:tplc="DA1E5DEA">
      <w:start w:val="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24A1736"/>
    <w:multiLevelType w:val="hybridMultilevel"/>
    <w:tmpl w:val="38D479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29A3565"/>
    <w:multiLevelType w:val="multilevel"/>
    <w:tmpl w:val="11401E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PicBulletId w:val="0"/>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E872704"/>
    <w:multiLevelType w:val="hybridMultilevel"/>
    <w:tmpl w:val="F9EC96F8"/>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3332354E"/>
    <w:multiLevelType w:val="hybridMultilevel"/>
    <w:tmpl w:val="84AE8C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37FF61B7"/>
    <w:multiLevelType w:val="hybridMultilevel"/>
    <w:tmpl w:val="CE8EC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955229F"/>
    <w:multiLevelType w:val="hybridMultilevel"/>
    <w:tmpl w:val="2FAE98DE"/>
    <w:lvl w:ilvl="0" w:tplc="1278C9FA">
      <w:start w:val="2"/>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A784EB7"/>
    <w:multiLevelType w:val="hybridMultilevel"/>
    <w:tmpl w:val="5D30571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44581EE6"/>
    <w:multiLevelType w:val="hybridMultilevel"/>
    <w:tmpl w:val="2038448C"/>
    <w:lvl w:ilvl="0" w:tplc="04090001">
      <w:start w:val="1"/>
      <w:numFmt w:val="bullet"/>
      <w:lvlText w:val=""/>
      <w:lvlJc w:val="left"/>
      <w:pPr>
        <w:ind w:left="756" w:hanging="360"/>
      </w:pPr>
      <w:rPr>
        <w:rFonts w:ascii="Symbol" w:hAnsi="Symbol" w:hint="default"/>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13" w15:restartNumberingAfterBreak="0">
    <w:nsid w:val="446F26AE"/>
    <w:multiLevelType w:val="hybridMultilevel"/>
    <w:tmpl w:val="435EFB36"/>
    <w:lvl w:ilvl="0" w:tplc="35184652">
      <w:start w:val="21"/>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C8A05D5"/>
    <w:multiLevelType w:val="hybridMultilevel"/>
    <w:tmpl w:val="530EB680"/>
    <w:lvl w:ilvl="0" w:tplc="49EC649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DA02C87"/>
    <w:multiLevelType w:val="hybridMultilevel"/>
    <w:tmpl w:val="D8CA7F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63F57F7D"/>
    <w:multiLevelType w:val="hybridMultilevel"/>
    <w:tmpl w:val="C86202AA"/>
    <w:lvl w:ilvl="0" w:tplc="3D8ED4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CB82F63"/>
    <w:multiLevelType w:val="multilevel"/>
    <w:tmpl w:val="91C24AA4"/>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12"/>
  </w:num>
  <w:num w:numId="2">
    <w:abstractNumId w:val="15"/>
  </w:num>
  <w:num w:numId="3">
    <w:abstractNumId w:val="8"/>
  </w:num>
  <w:num w:numId="4">
    <w:abstractNumId w:val="1"/>
  </w:num>
  <w:num w:numId="5">
    <w:abstractNumId w:val="0"/>
  </w:num>
  <w:num w:numId="6">
    <w:abstractNumId w:val="7"/>
  </w:num>
  <w:num w:numId="7">
    <w:abstractNumId w:val="16"/>
  </w:num>
  <w:num w:numId="8">
    <w:abstractNumId w:val="17"/>
  </w:num>
  <w:num w:numId="9">
    <w:abstractNumId w:val="11"/>
  </w:num>
  <w:num w:numId="10">
    <w:abstractNumId w:val="3"/>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num>
  <w:num w:numId="12">
    <w:abstractNumId w:val="5"/>
  </w:num>
  <w:num w:numId="13">
    <w:abstractNumId w:val="9"/>
  </w:num>
  <w:num w:numId="14">
    <w:abstractNumId w:val="2"/>
  </w:num>
  <w:num w:numId="15">
    <w:abstractNumId w:val="4"/>
  </w:num>
  <w:num w:numId="16">
    <w:abstractNumId w:val="10"/>
  </w:num>
  <w:num w:numId="17">
    <w:abstractNumId w:val="14"/>
  </w:num>
  <w:num w:numId="18">
    <w:abstractNumId w:val="1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101"/>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T"/>
    <w:docVar w:name="EN.Libraries" w:val="&lt;Libraries&gt;&lt;/Libraries&gt;"/>
  </w:docVars>
  <w:rsids>
    <w:rsidRoot w:val="00552FAC"/>
    <w:rsid w:val="000009E9"/>
    <w:rsid w:val="00000A18"/>
    <w:rsid w:val="00000FDF"/>
    <w:rsid w:val="00002F8A"/>
    <w:rsid w:val="00003239"/>
    <w:rsid w:val="000036FB"/>
    <w:rsid w:val="00003C03"/>
    <w:rsid w:val="00005EEF"/>
    <w:rsid w:val="00010343"/>
    <w:rsid w:val="00010758"/>
    <w:rsid w:val="000124C2"/>
    <w:rsid w:val="00012D9B"/>
    <w:rsid w:val="00013603"/>
    <w:rsid w:val="000139A5"/>
    <w:rsid w:val="00013F10"/>
    <w:rsid w:val="000144D1"/>
    <w:rsid w:val="000144E7"/>
    <w:rsid w:val="00014610"/>
    <w:rsid w:val="00014B1E"/>
    <w:rsid w:val="00014E7A"/>
    <w:rsid w:val="00015258"/>
    <w:rsid w:val="00015A14"/>
    <w:rsid w:val="00016FBD"/>
    <w:rsid w:val="000176DE"/>
    <w:rsid w:val="000178E3"/>
    <w:rsid w:val="00020441"/>
    <w:rsid w:val="0002092A"/>
    <w:rsid w:val="00020F32"/>
    <w:rsid w:val="000214A7"/>
    <w:rsid w:val="00021559"/>
    <w:rsid w:val="00022044"/>
    <w:rsid w:val="00022358"/>
    <w:rsid w:val="0002257F"/>
    <w:rsid w:val="00022C71"/>
    <w:rsid w:val="000272C7"/>
    <w:rsid w:val="0003026E"/>
    <w:rsid w:val="000318A9"/>
    <w:rsid w:val="0003348D"/>
    <w:rsid w:val="000336CE"/>
    <w:rsid w:val="00034501"/>
    <w:rsid w:val="00035235"/>
    <w:rsid w:val="00035860"/>
    <w:rsid w:val="00035BBA"/>
    <w:rsid w:val="000360CA"/>
    <w:rsid w:val="00036AA8"/>
    <w:rsid w:val="00037A0D"/>
    <w:rsid w:val="0004046F"/>
    <w:rsid w:val="000405CB"/>
    <w:rsid w:val="0004144F"/>
    <w:rsid w:val="000419E6"/>
    <w:rsid w:val="00041BDC"/>
    <w:rsid w:val="00043135"/>
    <w:rsid w:val="000434B3"/>
    <w:rsid w:val="0004372E"/>
    <w:rsid w:val="00043CC3"/>
    <w:rsid w:val="00044385"/>
    <w:rsid w:val="00044F5B"/>
    <w:rsid w:val="00046126"/>
    <w:rsid w:val="00050269"/>
    <w:rsid w:val="000502C8"/>
    <w:rsid w:val="0005172D"/>
    <w:rsid w:val="0005172F"/>
    <w:rsid w:val="00051DF2"/>
    <w:rsid w:val="00052144"/>
    <w:rsid w:val="00052615"/>
    <w:rsid w:val="00053F0C"/>
    <w:rsid w:val="00053FD9"/>
    <w:rsid w:val="0005596B"/>
    <w:rsid w:val="000562FA"/>
    <w:rsid w:val="000563DB"/>
    <w:rsid w:val="00057314"/>
    <w:rsid w:val="0006058B"/>
    <w:rsid w:val="00061182"/>
    <w:rsid w:val="00061277"/>
    <w:rsid w:val="00062911"/>
    <w:rsid w:val="00062914"/>
    <w:rsid w:val="00063AF0"/>
    <w:rsid w:val="00066FBF"/>
    <w:rsid w:val="00067073"/>
    <w:rsid w:val="00067C8E"/>
    <w:rsid w:val="00070310"/>
    <w:rsid w:val="00070CEB"/>
    <w:rsid w:val="0007283F"/>
    <w:rsid w:val="00072A5A"/>
    <w:rsid w:val="00074726"/>
    <w:rsid w:val="00074DB4"/>
    <w:rsid w:val="00077794"/>
    <w:rsid w:val="00080680"/>
    <w:rsid w:val="00081334"/>
    <w:rsid w:val="00081A8D"/>
    <w:rsid w:val="00082AB9"/>
    <w:rsid w:val="00082B0F"/>
    <w:rsid w:val="000837CF"/>
    <w:rsid w:val="00084319"/>
    <w:rsid w:val="00084711"/>
    <w:rsid w:val="00085743"/>
    <w:rsid w:val="00086247"/>
    <w:rsid w:val="0008739C"/>
    <w:rsid w:val="0008772D"/>
    <w:rsid w:val="00087AFF"/>
    <w:rsid w:val="00090B84"/>
    <w:rsid w:val="00091481"/>
    <w:rsid w:val="00091C01"/>
    <w:rsid w:val="00091DE5"/>
    <w:rsid w:val="00091FCF"/>
    <w:rsid w:val="00092B47"/>
    <w:rsid w:val="000931E4"/>
    <w:rsid w:val="00093419"/>
    <w:rsid w:val="000940A7"/>
    <w:rsid w:val="000958B7"/>
    <w:rsid w:val="000961E2"/>
    <w:rsid w:val="00096251"/>
    <w:rsid w:val="00096997"/>
    <w:rsid w:val="00096C9C"/>
    <w:rsid w:val="0009760B"/>
    <w:rsid w:val="000A0D65"/>
    <w:rsid w:val="000A1AF9"/>
    <w:rsid w:val="000A1C49"/>
    <w:rsid w:val="000A2E36"/>
    <w:rsid w:val="000A30DE"/>
    <w:rsid w:val="000A3833"/>
    <w:rsid w:val="000A44E9"/>
    <w:rsid w:val="000A486C"/>
    <w:rsid w:val="000A50DF"/>
    <w:rsid w:val="000A5EDD"/>
    <w:rsid w:val="000A68CB"/>
    <w:rsid w:val="000A6960"/>
    <w:rsid w:val="000A705B"/>
    <w:rsid w:val="000B0EE3"/>
    <w:rsid w:val="000B1F7D"/>
    <w:rsid w:val="000B2675"/>
    <w:rsid w:val="000B26C6"/>
    <w:rsid w:val="000B2BF6"/>
    <w:rsid w:val="000B3842"/>
    <w:rsid w:val="000B6414"/>
    <w:rsid w:val="000B64B5"/>
    <w:rsid w:val="000B7966"/>
    <w:rsid w:val="000C0CA5"/>
    <w:rsid w:val="000C1017"/>
    <w:rsid w:val="000C1233"/>
    <w:rsid w:val="000C312A"/>
    <w:rsid w:val="000C36C7"/>
    <w:rsid w:val="000C3765"/>
    <w:rsid w:val="000C40B1"/>
    <w:rsid w:val="000C41A7"/>
    <w:rsid w:val="000C471A"/>
    <w:rsid w:val="000C47CE"/>
    <w:rsid w:val="000C5B02"/>
    <w:rsid w:val="000C78F7"/>
    <w:rsid w:val="000C7A5A"/>
    <w:rsid w:val="000D146B"/>
    <w:rsid w:val="000D1AA1"/>
    <w:rsid w:val="000D286C"/>
    <w:rsid w:val="000D29EC"/>
    <w:rsid w:val="000D33FA"/>
    <w:rsid w:val="000D34A7"/>
    <w:rsid w:val="000D3579"/>
    <w:rsid w:val="000D497D"/>
    <w:rsid w:val="000D547E"/>
    <w:rsid w:val="000D57BB"/>
    <w:rsid w:val="000D6316"/>
    <w:rsid w:val="000D760E"/>
    <w:rsid w:val="000E007A"/>
    <w:rsid w:val="000E127E"/>
    <w:rsid w:val="000E5087"/>
    <w:rsid w:val="000E5CD2"/>
    <w:rsid w:val="000E6482"/>
    <w:rsid w:val="000F14DF"/>
    <w:rsid w:val="000F1543"/>
    <w:rsid w:val="000F2DF5"/>
    <w:rsid w:val="000F35C9"/>
    <w:rsid w:val="000F5937"/>
    <w:rsid w:val="000F5994"/>
    <w:rsid w:val="000F6939"/>
    <w:rsid w:val="000F6BF9"/>
    <w:rsid w:val="00100402"/>
    <w:rsid w:val="00100867"/>
    <w:rsid w:val="00100DB5"/>
    <w:rsid w:val="00100ECA"/>
    <w:rsid w:val="001017C4"/>
    <w:rsid w:val="00101D4A"/>
    <w:rsid w:val="00101EF2"/>
    <w:rsid w:val="001023A2"/>
    <w:rsid w:val="0010353D"/>
    <w:rsid w:val="00103AD6"/>
    <w:rsid w:val="00103ADF"/>
    <w:rsid w:val="00103CA8"/>
    <w:rsid w:val="001040C7"/>
    <w:rsid w:val="0010414F"/>
    <w:rsid w:val="0010512F"/>
    <w:rsid w:val="00105F95"/>
    <w:rsid w:val="0010747D"/>
    <w:rsid w:val="00110347"/>
    <w:rsid w:val="00110424"/>
    <w:rsid w:val="00110C2A"/>
    <w:rsid w:val="001111BF"/>
    <w:rsid w:val="00111862"/>
    <w:rsid w:val="00112584"/>
    <w:rsid w:val="001128DF"/>
    <w:rsid w:val="00113158"/>
    <w:rsid w:val="0011398A"/>
    <w:rsid w:val="001140EE"/>
    <w:rsid w:val="0011418D"/>
    <w:rsid w:val="00114716"/>
    <w:rsid w:val="00114C04"/>
    <w:rsid w:val="001158DD"/>
    <w:rsid w:val="00116E3A"/>
    <w:rsid w:val="0011717A"/>
    <w:rsid w:val="00117515"/>
    <w:rsid w:val="0011780D"/>
    <w:rsid w:val="001202B0"/>
    <w:rsid w:val="001225EF"/>
    <w:rsid w:val="0012415F"/>
    <w:rsid w:val="001259EE"/>
    <w:rsid w:val="00125B89"/>
    <w:rsid w:val="00125CAE"/>
    <w:rsid w:val="00126132"/>
    <w:rsid w:val="0012624E"/>
    <w:rsid w:val="00126A2D"/>
    <w:rsid w:val="001278D6"/>
    <w:rsid w:val="00127CDA"/>
    <w:rsid w:val="00127D64"/>
    <w:rsid w:val="0013020A"/>
    <w:rsid w:val="0013070F"/>
    <w:rsid w:val="00131FAD"/>
    <w:rsid w:val="00134F2C"/>
    <w:rsid w:val="001363BC"/>
    <w:rsid w:val="00136790"/>
    <w:rsid w:val="00136E7F"/>
    <w:rsid w:val="0013791B"/>
    <w:rsid w:val="00137962"/>
    <w:rsid w:val="00137ADE"/>
    <w:rsid w:val="0014064D"/>
    <w:rsid w:val="00140775"/>
    <w:rsid w:val="00141F66"/>
    <w:rsid w:val="00143273"/>
    <w:rsid w:val="00143CC2"/>
    <w:rsid w:val="00145C14"/>
    <w:rsid w:val="00145DA4"/>
    <w:rsid w:val="0014749D"/>
    <w:rsid w:val="0014763A"/>
    <w:rsid w:val="00147840"/>
    <w:rsid w:val="0015037C"/>
    <w:rsid w:val="001512E7"/>
    <w:rsid w:val="0015164F"/>
    <w:rsid w:val="0015193B"/>
    <w:rsid w:val="00153507"/>
    <w:rsid w:val="0015351C"/>
    <w:rsid w:val="00153E7C"/>
    <w:rsid w:val="00155762"/>
    <w:rsid w:val="00155A8F"/>
    <w:rsid w:val="00155B9A"/>
    <w:rsid w:val="00156227"/>
    <w:rsid w:val="00156779"/>
    <w:rsid w:val="001572AD"/>
    <w:rsid w:val="00157527"/>
    <w:rsid w:val="00157F61"/>
    <w:rsid w:val="00157F94"/>
    <w:rsid w:val="001605A0"/>
    <w:rsid w:val="0016061F"/>
    <w:rsid w:val="00160925"/>
    <w:rsid w:val="00162003"/>
    <w:rsid w:val="00162103"/>
    <w:rsid w:val="00162AA7"/>
    <w:rsid w:val="00163B90"/>
    <w:rsid w:val="00163C03"/>
    <w:rsid w:val="00163F70"/>
    <w:rsid w:val="00163FC6"/>
    <w:rsid w:val="00164305"/>
    <w:rsid w:val="001643D8"/>
    <w:rsid w:val="001646DE"/>
    <w:rsid w:val="00166448"/>
    <w:rsid w:val="00166CE3"/>
    <w:rsid w:val="00167288"/>
    <w:rsid w:val="00167511"/>
    <w:rsid w:val="00170017"/>
    <w:rsid w:val="001701FE"/>
    <w:rsid w:val="00170EE7"/>
    <w:rsid w:val="001727E8"/>
    <w:rsid w:val="00173538"/>
    <w:rsid w:val="00173C81"/>
    <w:rsid w:val="00174556"/>
    <w:rsid w:val="001754A9"/>
    <w:rsid w:val="00176B02"/>
    <w:rsid w:val="00177384"/>
    <w:rsid w:val="00180178"/>
    <w:rsid w:val="00180292"/>
    <w:rsid w:val="0018118D"/>
    <w:rsid w:val="00181AA3"/>
    <w:rsid w:val="00181CAA"/>
    <w:rsid w:val="001823F6"/>
    <w:rsid w:val="00183D1F"/>
    <w:rsid w:val="00184012"/>
    <w:rsid w:val="001842E2"/>
    <w:rsid w:val="00184690"/>
    <w:rsid w:val="00185002"/>
    <w:rsid w:val="00185D16"/>
    <w:rsid w:val="00186B87"/>
    <w:rsid w:val="00186B89"/>
    <w:rsid w:val="00186E1C"/>
    <w:rsid w:val="00187085"/>
    <w:rsid w:val="001871DD"/>
    <w:rsid w:val="00187B40"/>
    <w:rsid w:val="00190339"/>
    <w:rsid w:val="00190801"/>
    <w:rsid w:val="00190F17"/>
    <w:rsid w:val="00191016"/>
    <w:rsid w:val="001913DE"/>
    <w:rsid w:val="001913E1"/>
    <w:rsid w:val="001933EB"/>
    <w:rsid w:val="00195844"/>
    <w:rsid w:val="00195CFC"/>
    <w:rsid w:val="00196B2E"/>
    <w:rsid w:val="0019722F"/>
    <w:rsid w:val="0019730E"/>
    <w:rsid w:val="00197653"/>
    <w:rsid w:val="00197A56"/>
    <w:rsid w:val="001A0017"/>
    <w:rsid w:val="001A064A"/>
    <w:rsid w:val="001A102C"/>
    <w:rsid w:val="001A270E"/>
    <w:rsid w:val="001A37A6"/>
    <w:rsid w:val="001A4E5C"/>
    <w:rsid w:val="001A5770"/>
    <w:rsid w:val="001A6DC5"/>
    <w:rsid w:val="001A705D"/>
    <w:rsid w:val="001B0000"/>
    <w:rsid w:val="001B0BC4"/>
    <w:rsid w:val="001B1FAA"/>
    <w:rsid w:val="001B2F75"/>
    <w:rsid w:val="001B3D07"/>
    <w:rsid w:val="001B4115"/>
    <w:rsid w:val="001B4CDE"/>
    <w:rsid w:val="001B4E02"/>
    <w:rsid w:val="001B51C0"/>
    <w:rsid w:val="001B533E"/>
    <w:rsid w:val="001B58A5"/>
    <w:rsid w:val="001B630F"/>
    <w:rsid w:val="001C1399"/>
    <w:rsid w:val="001C185F"/>
    <w:rsid w:val="001C1C24"/>
    <w:rsid w:val="001C1DC5"/>
    <w:rsid w:val="001C234B"/>
    <w:rsid w:val="001C23A0"/>
    <w:rsid w:val="001C284D"/>
    <w:rsid w:val="001C300D"/>
    <w:rsid w:val="001C346A"/>
    <w:rsid w:val="001C3A3C"/>
    <w:rsid w:val="001C40F8"/>
    <w:rsid w:val="001C4484"/>
    <w:rsid w:val="001C49D4"/>
    <w:rsid w:val="001C6483"/>
    <w:rsid w:val="001C7767"/>
    <w:rsid w:val="001D0720"/>
    <w:rsid w:val="001D11C0"/>
    <w:rsid w:val="001D11E2"/>
    <w:rsid w:val="001D248D"/>
    <w:rsid w:val="001D3794"/>
    <w:rsid w:val="001D3F5F"/>
    <w:rsid w:val="001D3F86"/>
    <w:rsid w:val="001D4414"/>
    <w:rsid w:val="001D4474"/>
    <w:rsid w:val="001D44D8"/>
    <w:rsid w:val="001D5A7A"/>
    <w:rsid w:val="001D5F28"/>
    <w:rsid w:val="001D74A7"/>
    <w:rsid w:val="001D767F"/>
    <w:rsid w:val="001D77E8"/>
    <w:rsid w:val="001E06F9"/>
    <w:rsid w:val="001E259B"/>
    <w:rsid w:val="001E2659"/>
    <w:rsid w:val="001E2930"/>
    <w:rsid w:val="001E2CC8"/>
    <w:rsid w:val="001E2F94"/>
    <w:rsid w:val="001E33EE"/>
    <w:rsid w:val="001E3BC2"/>
    <w:rsid w:val="001E5384"/>
    <w:rsid w:val="001E5736"/>
    <w:rsid w:val="001E5BEB"/>
    <w:rsid w:val="001E693C"/>
    <w:rsid w:val="001E6ABC"/>
    <w:rsid w:val="001E6C45"/>
    <w:rsid w:val="001E74B9"/>
    <w:rsid w:val="001F0512"/>
    <w:rsid w:val="001F07F5"/>
    <w:rsid w:val="001F0C0B"/>
    <w:rsid w:val="001F107A"/>
    <w:rsid w:val="001F1CFC"/>
    <w:rsid w:val="001F2199"/>
    <w:rsid w:val="001F3584"/>
    <w:rsid w:val="001F4EF4"/>
    <w:rsid w:val="001F5323"/>
    <w:rsid w:val="001F55AC"/>
    <w:rsid w:val="001F56B9"/>
    <w:rsid w:val="001F6449"/>
    <w:rsid w:val="001F7093"/>
    <w:rsid w:val="001F746A"/>
    <w:rsid w:val="001F7564"/>
    <w:rsid w:val="001F7927"/>
    <w:rsid w:val="002006F1"/>
    <w:rsid w:val="00200AEF"/>
    <w:rsid w:val="0020110E"/>
    <w:rsid w:val="00204F2C"/>
    <w:rsid w:val="002051BD"/>
    <w:rsid w:val="002074CF"/>
    <w:rsid w:val="00207767"/>
    <w:rsid w:val="00207C05"/>
    <w:rsid w:val="0021149A"/>
    <w:rsid w:val="00211AE0"/>
    <w:rsid w:val="0021278A"/>
    <w:rsid w:val="002155A9"/>
    <w:rsid w:val="002162CF"/>
    <w:rsid w:val="00217014"/>
    <w:rsid w:val="0021711B"/>
    <w:rsid w:val="0022122D"/>
    <w:rsid w:val="002217A9"/>
    <w:rsid w:val="0022204D"/>
    <w:rsid w:val="0022468B"/>
    <w:rsid w:val="0022486D"/>
    <w:rsid w:val="0022488F"/>
    <w:rsid w:val="00224CD1"/>
    <w:rsid w:val="00224D7D"/>
    <w:rsid w:val="00225638"/>
    <w:rsid w:val="00226A53"/>
    <w:rsid w:val="00226D29"/>
    <w:rsid w:val="002279B0"/>
    <w:rsid w:val="002306E4"/>
    <w:rsid w:val="002312AE"/>
    <w:rsid w:val="002316AF"/>
    <w:rsid w:val="00231E8D"/>
    <w:rsid w:val="002329DF"/>
    <w:rsid w:val="00232CC8"/>
    <w:rsid w:val="002336A3"/>
    <w:rsid w:val="00235002"/>
    <w:rsid w:val="0023608E"/>
    <w:rsid w:val="00236356"/>
    <w:rsid w:val="002367AB"/>
    <w:rsid w:val="00236CB8"/>
    <w:rsid w:val="00236EBE"/>
    <w:rsid w:val="00237B4D"/>
    <w:rsid w:val="00237BFF"/>
    <w:rsid w:val="002412C4"/>
    <w:rsid w:val="00241762"/>
    <w:rsid w:val="00241D19"/>
    <w:rsid w:val="0024331A"/>
    <w:rsid w:val="00243BC8"/>
    <w:rsid w:val="00243EFE"/>
    <w:rsid w:val="00244372"/>
    <w:rsid w:val="0024448A"/>
    <w:rsid w:val="002477AC"/>
    <w:rsid w:val="002501CE"/>
    <w:rsid w:val="002538CD"/>
    <w:rsid w:val="00253DAF"/>
    <w:rsid w:val="00253F8A"/>
    <w:rsid w:val="002547E1"/>
    <w:rsid w:val="00254FEB"/>
    <w:rsid w:val="00255706"/>
    <w:rsid w:val="002557AD"/>
    <w:rsid w:val="00256768"/>
    <w:rsid w:val="00257208"/>
    <w:rsid w:val="002576DD"/>
    <w:rsid w:val="00257BB5"/>
    <w:rsid w:val="00261376"/>
    <w:rsid w:val="002627A7"/>
    <w:rsid w:val="00263475"/>
    <w:rsid w:val="00265564"/>
    <w:rsid w:val="002661DF"/>
    <w:rsid w:val="0026661A"/>
    <w:rsid w:val="00267FDB"/>
    <w:rsid w:val="0027131F"/>
    <w:rsid w:val="002719A1"/>
    <w:rsid w:val="0027219C"/>
    <w:rsid w:val="002723FB"/>
    <w:rsid w:val="00273469"/>
    <w:rsid w:val="002746E8"/>
    <w:rsid w:val="00274801"/>
    <w:rsid w:val="0027547F"/>
    <w:rsid w:val="00275D7D"/>
    <w:rsid w:val="002769F2"/>
    <w:rsid w:val="002771C3"/>
    <w:rsid w:val="00280087"/>
    <w:rsid w:val="002807F0"/>
    <w:rsid w:val="00280A2A"/>
    <w:rsid w:val="00282BDE"/>
    <w:rsid w:val="00282FE3"/>
    <w:rsid w:val="002840ED"/>
    <w:rsid w:val="00284F60"/>
    <w:rsid w:val="00285412"/>
    <w:rsid w:val="00286EE8"/>
    <w:rsid w:val="00287299"/>
    <w:rsid w:val="00290C59"/>
    <w:rsid w:val="002917E0"/>
    <w:rsid w:val="002928DE"/>
    <w:rsid w:val="00293824"/>
    <w:rsid w:val="0029447B"/>
    <w:rsid w:val="002944D0"/>
    <w:rsid w:val="00294F4A"/>
    <w:rsid w:val="00296013"/>
    <w:rsid w:val="00297CC8"/>
    <w:rsid w:val="002A2C6B"/>
    <w:rsid w:val="002A34E1"/>
    <w:rsid w:val="002A4C2C"/>
    <w:rsid w:val="002A50BA"/>
    <w:rsid w:val="002A5532"/>
    <w:rsid w:val="002A62CA"/>
    <w:rsid w:val="002A6B01"/>
    <w:rsid w:val="002A6BD2"/>
    <w:rsid w:val="002A710F"/>
    <w:rsid w:val="002A7192"/>
    <w:rsid w:val="002A7330"/>
    <w:rsid w:val="002B1E85"/>
    <w:rsid w:val="002B226B"/>
    <w:rsid w:val="002B243E"/>
    <w:rsid w:val="002B2E1E"/>
    <w:rsid w:val="002B2E3A"/>
    <w:rsid w:val="002B2EBB"/>
    <w:rsid w:val="002B3230"/>
    <w:rsid w:val="002B35C4"/>
    <w:rsid w:val="002B3A52"/>
    <w:rsid w:val="002B47BF"/>
    <w:rsid w:val="002B6222"/>
    <w:rsid w:val="002B6B80"/>
    <w:rsid w:val="002B6D8B"/>
    <w:rsid w:val="002B7DA6"/>
    <w:rsid w:val="002B7E70"/>
    <w:rsid w:val="002C0075"/>
    <w:rsid w:val="002C0513"/>
    <w:rsid w:val="002C1E9D"/>
    <w:rsid w:val="002C21C5"/>
    <w:rsid w:val="002C2D09"/>
    <w:rsid w:val="002C3E72"/>
    <w:rsid w:val="002C4E79"/>
    <w:rsid w:val="002C58D1"/>
    <w:rsid w:val="002C734C"/>
    <w:rsid w:val="002D0152"/>
    <w:rsid w:val="002D1520"/>
    <w:rsid w:val="002D1742"/>
    <w:rsid w:val="002D174E"/>
    <w:rsid w:val="002D17EA"/>
    <w:rsid w:val="002D1A8C"/>
    <w:rsid w:val="002D2272"/>
    <w:rsid w:val="002D313D"/>
    <w:rsid w:val="002D3C6F"/>
    <w:rsid w:val="002D4478"/>
    <w:rsid w:val="002D4701"/>
    <w:rsid w:val="002D5254"/>
    <w:rsid w:val="002D5F25"/>
    <w:rsid w:val="002D5FD9"/>
    <w:rsid w:val="002D7307"/>
    <w:rsid w:val="002D73FA"/>
    <w:rsid w:val="002D79E6"/>
    <w:rsid w:val="002D7FF6"/>
    <w:rsid w:val="002E08F5"/>
    <w:rsid w:val="002E08FB"/>
    <w:rsid w:val="002E09DF"/>
    <w:rsid w:val="002E112A"/>
    <w:rsid w:val="002E19AA"/>
    <w:rsid w:val="002E2171"/>
    <w:rsid w:val="002E25A4"/>
    <w:rsid w:val="002E2742"/>
    <w:rsid w:val="002E33CD"/>
    <w:rsid w:val="002E36BA"/>
    <w:rsid w:val="002E3995"/>
    <w:rsid w:val="002E4053"/>
    <w:rsid w:val="002E4372"/>
    <w:rsid w:val="002E4553"/>
    <w:rsid w:val="002E56CE"/>
    <w:rsid w:val="002E6395"/>
    <w:rsid w:val="002E6531"/>
    <w:rsid w:val="002E6830"/>
    <w:rsid w:val="002E7E9F"/>
    <w:rsid w:val="002F0112"/>
    <w:rsid w:val="002F0EB3"/>
    <w:rsid w:val="002F27A1"/>
    <w:rsid w:val="002F2923"/>
    <w:rsid w:val="002F3367"/>
    <w:rsid w:val="002F4519"/>
    <w:rsid w:val="002F59DD"/>
    <w:rsid w:val="002F6144"/>
    <w:rsid w:val="002F73A0"/>
    <w:rsid w:val="002F7518"/>
    <w:rsid w:val="00300C46"/>
    <w:rsid w:val="00301037"/>
    <w:rsid w:val="00301219"/>
    <w:rsid w:val="00301701"/>
    <w:rsid w:val="00301E84"/>
    <w:rsid w:val="0030243F"/>
    <w:rsid w:val="00302A8D"/>
    <w:rsid w:val="003035D9"/>
    <w:rsid w:val="00304087"/>
    <w:rsid w:val="00305503"/>
    <w:rsid w:val="00305F1F"/>
    <w:rsid w:val="003063B3"/>
    <w:rsid w:val="00307D62"/>
    <w:rsid w:val="003117A2"/>
    <w:rsid w:val="00311DAE"/>
    <w:rsid w:val="00311DC2"/>
    <w:rsid w:val="0031218C"/>
    <w:rsid w:val="003121FE"/>
    <w:rsid w:val="00312982"/>
    <w:rsid w:val="00312CE7"/>
    <w:rsid w:val="00313135"/>
    <w:rsid w:val="003135A7"/>
    <w:rsid w:val="00313ACF"/>
    <w:rsid w:val="00313AD7"/>
    <w:rsid w:val="003141FC"/>
    <w:rsid w:val="003146B1"/>
    <w:rsid w:val="0031555D"/>
    <w:rsid w:val="003169D2"/>
    <w:rsid w:val="003170BB"/>
    <w:rsid w:val="00317832"/>
    <w:rsid w:val="00320F1A"/>
    <w:rsid w:val="003247C6"/>
    <w:rsid w:val="003262BF"/>
    <w:rsid w:val="003263F7"/>
    <w:rsid w:val="00326617"/>
    <w:rsid w:val="00326659"/>
    <w:rsid w:val="00330622"/>
    <w:rsid w:val="00330A10"/>
    <w:rsid w:val="00330B3C"/>
    <w:rsid w:val="0033154B"/>
    <w:rsid w:val="0033196D"/>
    <w:rsid w:val="00331C11"/>
    <w:rsid w:val="00331D30"/>
    <w:rsid w:val="0033239A"/>
    <w:rsid w:val="003333E4"/>
    <w:rsid w:val="00333460"/>
    <w:rsid w:val="003343DC"/>
    <w:rsid w:val="0033492E"/>
    <w:rsid w:val="00334F59"/>
    <w:rsid w:val="00340554"/>
    <w:rsid w:val="00341144"/>
    <w:rsid w:val="0034258E"/>
    <w:rsid w:val="00342D7A"/>
    <w:rsid w:val="00343125"/>
    <w:rsid w:val="0034338A"/>
    <w:rsid w:val="00344AD0"/>
    <w:rsid w:val="00344FAB"/>
    <w:rsid w:val="00345FC9"/>
    <w:rsid w:val="003460EC"/>
    <w:rsid w:val="00346503"/>
    <w:rsid w:val="00346F2D"/>
    <w:rsid w:val="003476A7"/>
    <w:rsid w:val="00350565"/>
    <w:rsid w:val="00350567"/>
    <w:rsid w:val="003517DD"/>
    <w:rsid w:val="00351967"/>
    <w:rsid w:val="00351A0D"/>
    <w:rsid w:val="00351A20"/>
    <w:rsid w:val="00351D7B"/>
    <w:rsid w:val="00352FE7"/>
    <w:rsid w:val="00353164"/>
    <w:rsid w:val="003534B8"/>
    <w:rsid w:val="003535E1"/>
    <w:rsid w:val="00353735"/>
    <w:rsid w:val="00354B0A"/>
    <w:rsid w:val="00354B28"/>
    <w:rsid w:val="0035545A"/>
    <w:rsid w:val="00355D77"/>
    <w:rsid w:val="00356B71"/>
    <w:rsid w:val="00356D54"/>
    <w:rsid w:val="00357658"/>
    <w:rsid w:val="00357709"/>
    <w:rsid w:val="003604E5"/>
    <w:rsid w:val="00361826"/>
    <w:rsid w:val="00362B76"/>
    <w:rsid w:val="00364337"/>
    <w:rsid w:val="0036512C"/>
    <w:rsid w:val="00365BF7"/>
    <w:rsid w:val="00365F7F"/>
    <w:rsid w:val="003666C1"/>
    <w:rsid w:val="00367B70"/>
    <w:rsid w:val="00367C27"/>
    <w:rsid w:val="00370B65"/>
    <w:rsid w:val="00371401"/>
    <w:rsid w:val="003714A9"/>
    <w:rsid w:val="00372335"/>
    <w:rsid w:val="00373504"/>
    <w:rsid w:val="00373666"/>
    <w:rsid w:val="00373707"/>
    <w:rsid w:val="00373D69"/>
    <w:rsid w:val="003748A3"/>
    <w:rsid w:val="00376220"/>
    <w:rsid w:val="0037697F"/>
    <w:rsid w:val="003773FE"/>
    <w:rsid w:val="003777BF"/>
    <w:rsid w:val="00380F91"/>
    <w:rsid w:val="00380FC8"/>
    <w:rsid w:val="00381BC3"/>
    <w:rsid w:val="00382805"/>
    <w:rsid w:val="00382D40"/>
    <w:rsid w:val="0038385C"/>
    <w:rsid w:val="003845A5"/>
    <w:rsid w:val="003849C7"/>
    <w:rsid w:val="00384CE2"/>
    <w:rsid w:val="00386A73"/>
    <w:rsid w:val="0038711B"/>
    <w:rsid w:val="003875C9"/>
    <w:rsid w:val="003879F7"/>
    <w:rsid w:val="00387D20"/>
    <w:rsid w:val="003909C6"/>
    <w:rsid w:val="00390ADF"/>
    <w:rsid w:val="00391FEE"/>
    <w:rsid w:val="00393944"/>
    <w:rsid w:val="00393EC7"/>
    <w:rsid w:val="003942B6"/>
    <w:rsid w:val="003945E2"/>
    <w:rsid w:val="00394729"/>
    <w:rsid w:val="00395A2C"/>
    <w:rsid w:val="00395D74"/>
    <w:rsid w:val="003A1F4C"/>
    <w:rsid w:val="003A2042"/>
    <w:rsid w:val="003A2893"/>
    <w:rsid w:val="003A31C2"/>
    <w:rsid w:val="003A32D9"/>
    <w:rsid w:val="003A3C97"/>
    <w:rsid w:val="003A55B6"/>
    <w:rsid w:val="003A7DB9"/>
    <w:rsid w:val="003A7E9F"/>
    <w:rsid w:val="003B0FB4"/>
    <w:rsid w:val="003B24C5"/>
    <w:rsid w:val="003B2775"/>
    <w:rsid w:val="003B29BB"/>
    <w:rsid w:val="003B2A82"/>
    <w:rsid w:val="003B471D"/>
    <w:rsid w:val="003B473A"/>
    <w:rsid w:val="003B5D7F"/>
    <w:rsid w:val="003B605E"/>
    <w:rsid w:val="003B638A"/>
    <w:rsid w:val="003B7347"/>
    <w:rsid w:val="003B7707"/>
    <w:rsid w:val="003C004B"/>
    <w:rsid w:val="003C04B8"/>
    <w:rsid w:val="003C0D92"/>
    <w:rsid w:val="003C16AF"/>
    <w:rsid w:val="003C19D9"/>
    <w:rsid w:val="003C222C"/>
    <w:rsid w:val="003C2B23"/>
    <w:rsid w:val="003C31B6"/>
    <w:rsid w:val="003C31D8"/>
    <w:rsid w:val="003C57CC"/>
    <w:rsid w:val="003C6083"/>
    <w:rsid w:val="003C617C"/>
    <w:rsid w:val="003C62AE"/>
    <w:rsid w:val="003C67CA"/>
    <w:rsid w:val="003C6A2B"/>
    <w:rsid w:val="003C72B8"/>
    <w:rsid w:val="003D2814"/>
    <w:rsid w:val="003D2A48"/>
    <w:rsid w:val="003D2E04"/>
    <w:rsid w:val="003D32E5"/>
    <w:rsid w:val="003D3640"/>
    <w:rsid w:val="003D545D"/>
    <w:rsid w:val="003D5504"/>
    <w:rsid w:val="003D5AA8"/>
    <w:rsid w:val="003D613C"/>
    <w:rsid w:val="003D61FB"/>
    <w:rsid w:val="003E006F"/>
    <w:rsid w:val="003E0133"/>
    <w:rsid w:val="003E01E6"/>
    <w:rsid w:val="003E0D7D"/>
    <w:rsid w:val="003E0F9D"/>
    <w:rsid w:val="003E0FA8"/>
    <w:rsid w:val="003E2BA9"/>
    <w:rsid w:val="003E2E0B"/>
    <w:rsid w:val="003E405E"/>
    <w:rsid w:val="003E41DF"/>
    <w:rsid w:val="003E4F0C"/>
    <w:rsid w:val="003E56E2"/>
    <w:rsid w:val="003E6AA6"/>
    <w:rsid w:val="003E7084"/>
    <w:rsid w:val="003E7EBB"/>
    <w:rsid w:val="003E7FD2"/>
    <w:rsid w:val="003F12A6"/>
    <w:rsid w:val="003F20BC"/>
    <w:rsid w:val="003F3141"/>
    <w:rsid w:val="003F3469"/>
    <w:rsid w:val="003F3D16"/>
    <w:rsid w:val="003F7237"/>
    <w:rsid w:val="003F72A0"/>
    <w:rsid w:val="003F7721"/>
    <w:rsid w:val="003F7EC6"/>
    <w:rsid w:val="0040053C"/>
    <w:rsid w:val="00401483"/>
    <w:rsid w:val="004038ED"/>
    <w:rsid w:val="00404683"/>
    <w:rsid w:val="0040535F"/>
    <w:rsid w:val="0040549D"/>
    <w:rsid w:val="004059C4"/>
    <w:rsid w:val="00407A5D"/>
    <w:rsid w:val="00407B0E"/>
    <w:rsid w:val="004106A7"/>
    <w:rsid w:val="004108A1"/>
    <w:rsid w:val="00410964"/>
    <w:rsid w:val="00410F21"/>
    <w:rsid w:val="00410FAB"/>
    <w:rsid w:val="00411256"/>
    <w:rsid w:val="0041190F"/>
    <w:rsid w:val="00411EA9"/>
    <w:rsid w:val="00411FE8"/>
    <w:rsid w:val="00412C52"/>
    <w:rsid w:val="00412EBA"/>
    <w:rsid w:val="00413840"/>
    <w:rsid w:val="00414374"/>
    <w:rsid w:val="00414440"/>
    <w:rsid w:val="00414CBC"/>
    <w:rsid w:val="004151B7"/>
    <w:rsid w:val="00416123"/>
    <w:rsid w:val="00416293"/>
    <w:rsid w:val="00417DF2"/>
    <w:rsid w:val="004211B4"/>
    <w:rsid w:val="0042139F"/>
    <w:rsid w:val="00421AA0"/>
    <w:rsid w:val="00421C67"/>
    <w:rsid w:val="00422524"/>
    <w:rsid w:val="004226B5"/>
    <w:rsid w:val="00422723"/>
    <w:rsid w:val="00424219"/>
    <w:rsid w:val="00424BCE"/>
    <w:rsid w:val="00426B86"/>
    <w:rsid w:val="00426BB4"/>
    <w:rsid w:val="00426DE9"/>
    <w:rsid w:val="00426F11"/>
    <w:rsid w:val="00427597"/>
    <w:rsid w:val="00427923"/>
    <w:rsid w:val="00430CEC"/>
    <w:rsid w:val="004310D5"/>
    <w:rsid w:val="00433504"/>
    <w:rsid w:val="004338FE"/>
    <w:rsid w:val="00433C73"/>
    <w:rsid w:val="00433E7F"/>
    <w:rsid w:val="00434D4F"/>
    <w:rsid w:val="004350AD"/>
    <w:rsid w:val="004360DC"/>
    <w:rsid w:val="004365AC"/>
    <w:rsid w:val="00437E19"/>
    <w:rsid w:val="0044003B"/>
    <w:rsid w:val="0044104D"/>
    <w:rsid w:val="00441A78"/>
    <w:rsid w:val="004429A1"/>
    <w:rsid w:val="00443087"/>
    <w:rsid w:val="00443CBA"/>
    <w:rsid w:val="00443EA7"/>
    <w:rsid w:val="00444527"/>
    <w:rsid w:val="00444B69"/>
    <w:rsid w:val="00445066"/>
    <w:rsid w:val="00445CC8"/>
    <w:rsid w:val="00446562"/>
    <w:rsid w:val="0044686C"/>
    <w:rsid w:val="00446970"/>
    <w:rsid w:val="00447D9C"/>
    <w:rsid w:val="00452A3F"/>
    <w:rsid w:val="00452BF7"/>
    <w:rsid w:val="00453B39"/>
    <w:rsid w:val="004546DA"/>
    <w:rsid w:val="00454999"/>
    <w:rsid w:val="004550A8"/>
    <w:rsid w:val="0045527A"/>
    <w:rsid w:val="0045630D"/>
    <w:rsid w:val="004563C9"/>
    <w:rsid w:val="00456EC3"/>
    <w:rsid w:val="004572D7"/>
    <w:rsid w:val="004577D5"/>
    <w:rsid w:val="00457BCB"/>
    <w:rsid w:val="00457E36"/>
    <w:rsid w:val="00457E4D"/>
    <w:rsid w:val="0046009D"/>
    <w:rsid w:val="004607DD"/>
    <w:rsid w:val="00460E6F"/>
    <w:rsid w:val="004611BE"/>
    <w:rsid w:val="004618D8"/>
    <w:rsid w:val="00463E7E"/>
    <w:rsid w:val="00465EE8"/>
    <w:rsid w:val="00470ACD"/>
    <w:rsid w:val="004713E1"/>
    <w:rsid w:val="00471E57"/>
    <w:rsid w:val="00472E0E"/>
    <w:rsid w:val="004738AD"/>
    <w:rsid w:val="004759A5"/>
    <w:rsid w:val="0047719D"/>
    <w:rsid w:val="00477483"/>
    <w:rsid w:val="00480797"/>
    <w:rsid w:val="00480E76"/>
    <w:rsid w:val="00481434"/>
    <w:rsid w:val="004818B0"/>
    <w:rsid w:val="00481DAC"/>
    <w:rsid w:val="00482BF9"/>
    <w:rsid w:val="00483971"/>
    <w:rsid w:val="00483BE4"/>
    <w:rsid w:val="00484E1D"/>
    <w:rsid w:val="00484E4D"/>
    <w:rsid w:val="0048558A"/>
    <w:rsid w:val="00487F18"/>
    <w:rsid w:val="004904CA"/>
    <w:rsid w:val="0049144E"/>
    <w:rsid w:val="004922AE"/>
    <w:rsid w:val="00492DA4"/>
    <w:rsid w:val="00492EC3"/>
    <w:rsid w:val="00494B8C"/>
    <w:rsid w:val="00494C40"/>
    <w:rsid w:val="00495AD8"/>
    <w:rsid w:val="00495B7A"/>
    <w:rsid w:val="00495D66"/>
    <w:rsid w:val="004966C6"/>
    <w:rsid w:val="00496B7E"/>
    <w:rsid w:val="00496D02"/>
    <w:rsid w:val="004972C5"/>
    <w:rsid w:val="004A07B8"/>
    <w:rsid w:val="004A0F1B"/>
    <w:rsid w:val="004A2723"/>
    <w:rsid w:val="004A34D9"/>
    <w:rsid w:val="004A3952"/>
    <w:rsid w:val="004A4347"/>
    <w:rsid w:val="004A44D5"/>
    <w:rsid w:val="004A4A99"/>
    <w:rsid w:val="004A4C19"/>
    <w:rsid w:val="004A4D38"/>
    <w:rsid w:val="004A547F"/>
    <w:rsid w:val="004A5CD1"/>
    <w:rsid w:val="004A78F5"/>
    <w:rsid w:val="004A7FEC"/>
    <w:rsid w:val="004B0086"/>
    <w:rsid w:val="004B0BA7"/>
    <w:rsid w:val="004B1BBF"/>
    <w:rsid w:val="004B1F2B"/>
    <w:rsid w:val="004B280E"/>
    <w:rsid w:val="004B2CFE"/>
    <w:rsid w:val="004B2E79"/>
    <w:rsid w:val="004B348C"/>
    <w:rsid w:val="004B34B2"/>
    <w:rsid w:val="004B7DD6"/>
    <w:rsid w:val="004C05B8"/>
    <w:rsid w:val="004C1226"/>
    <w:rsid w:val="004C2355"/>
    <w:rsid w:val="004C2509"/>
    <w:rsid w:val="004C2E25"/>
    <w:rsid w:val="004C3098"/>
    <w:rsid w:val="004C3598"/>
    <w:rsid w:val="004C468A"/>
    <w:rsid w:val="004C4986"/>
    <w:rsid w:val="004C5BFA"/>
    <w:rsid w:val="004C5EC0"/>
    <w:rsid w:val="004C6222"/>
    <w:rsid w:val="004C7E26"/>
    <w:rsid w:val="004D1013"/>
    <w:rsid w:val="004D1390"/>
    <w:rsid w:val="004D17B3"/>
    <w:rsid w:val="004D1DA5"/>
    <w:rsid w:val="004D2D67"/>
    <w:rsid w:val="004D314D"/>
    <w:rsid w:val="004D345C"/>
    <w:rsid w:val="004D40C9"/>
    <w:rsid w:val="004D694D"/>
    <w:rsid w:val="004D7029"/>
    <w:rsid w:val="004D7388"/>
    <w:rsid w:val="004E056D"/>
    <w:rsid w:val="004E14D6"/>
    <w:rsid w:val="004E29D4"/>
    <w:rsid w:val="004E3095"/>
    <w:rsid w:val="004E309B"/>
    <w:rsid w:val="004E30F4"/>
    <w:rsid w:val="004E36E2"/>
    <w:rsid w:val="004E44EB"/>
    <w:rsid w:val="004E4DB4"/>
    <w:rsid w:val="004E4FBE"/>
    <w:rsid w:val="004E5738"/>
    <w:rsid w:val="004E5B5C"/>
    <w:rsid w:val="004E6D9B"/>
    <w:rsid w:val="004E710A"/>
    <w:rsid w:val="004E76E9"/>
    <w:rsid w:val="004E7AE4"/>
    <w:rsid w:val="004F0B02"/>
    <w:rsid w:val="004F0B35"/>
    <w:rsid w:val="004F1DC7"/>
    <w:rsid w:val="004F2C1A"/>
    <w:rsid w:val="004F46CB"/>
    <w:rsid w:val="004F4A3D"/>
    <w:rsid w:val="004F5284"/>
    <w:rsid w:val="004F5415"/>
    <w:rsid w:val="004F599F"/>
    <w:rsid w:val="004F59EF"/>
    <w:rsid w:val="004F6DA8"/>
    <w:rsid w:val="004F6E61"/>
    <w:rsid w:val="004F75AA"/>
    <w:rsid w:val="005001B0"/>
    <w:rsid w:val="0050052D"/>
    <w:rsid w:val="00500645"/>
    <w:rsid w:val="0050097F"/>
    <w:rsid w:val="005009BE"/>
    <w:rsid w:val="005011E3"/>
    <w:rsid w:val="00501C69"/>
    <w:rsid w:val="005023FC"/>
    <w:rsid w:val="00502BCA"/>
    <w:rsid w:val="005032B3"/>
    <w:rsid w:val="00503BD4"/>
    <w:rsid w:val="005041FE"/>
    <w:rsid w:val="00505686"/>
    <w:rsid w:val="00506891"/>
    <w:rsid w:val="00506A11"/>
    <w:rsid w:val="005071D0"/>
    <w:rsid w:val="00510338"/>
    <w:rsid w:val="005106F4"/>
    <w:rsid w:val="005112A7"/>
    <w:rsid w:val="00511700"/>
    <w:rsid w:val="005123FB"/>
    <w:rsid w:val="005125B6"/>
    <w:rsid w:val="0051290E"/>
    <w:rsid w:val="00512F83"/>
    <w:rsid w:val="005132DF"/>
    <w:rsid w:val="00513E0A"/>
    <w:rsid w:val="00515DED"/>
    <w:rsid w:val="00516C00"/>
    <w:rsid w:val="00517859"/>
    <w:rsid w:val="00520F6C"/>
    <w:rsid w:val="00521C2C"/>
    <w:rsid w:val="00522FCE"/>
    <w:rsid w:val="00523861"/>
    <w:rsid w:val="005243E6"/>
    <w:rsid w:val="005248DF"/>
    <w:rsid w:val="005248EA"/>
    <w:rsid w:val="0052513B"/>
    <w:rsid w:val="00525729"/>
    <w:rsid w:val="00525875"/>
    <w:rsid w:val="00525DEC"/>
    <w:rsid w:val="0052704A"/>
    <w:rsid w:val="005272F3"/>
    <w:rsid w:val="005278A8"/>
    <w:rsid w:val="005278E2"/>
    <w:rsid w:val="00530571"/>
    <w:rsid w:val="005307B3"/>
    <w:rsid w:val="00530FF3"/>
    <w:rsid w:val="00533F6D"/>
    <w:rsid w:val="00535153"/>
    <w:rsid w:val="0053594C"/>
    <w:rsid w:val="005359EE"/>
    <w:rsid w:val="00540859"/>
    <w:rsid w:val="0054125F"/>
    <w:rsid w:val="00543879"/>
    <w:rsid w:val="00544CD0"/>
    <w:rsid w:val="0054504D"/>
    <w:rsid w:val="00546596"/>
    <w:rsid w:val="00546669"/>
    <w:rsid w:val="00546C3A"/>
    <w:rsid w:val="00547E99"/>
    <w:rsid w:val="00547EC6"/>
    <w:rsid w:val="0055010E"/>
    <w:rsid w:val="00551308"/>
    <w:rsid w:val="00552FAC"/>
    <w:rsid w:val="00553C75"/>
    <w:rsid w:val="00553FDB"/>
    <w:rsid w:val="00554EB0"/>
    <w:rsid w:val="005554C6"/>
    <w:rsid w:val="005556A5"/>
    <w:rsid w:val="0055571C"/>
    <w:rsid w:val="005557F9"/>
    <w:rsid w:val="00557D3A"/>
    <w:rsid w:val="00557D47"/>
    <w:rsid w:val="005602F7"/>
    <w:rsid w:val="0056078A"/>
    <w:rsid w:val="005613AD"/>
    <w:rsid w:val="00563CD7"/>
    <w:rsid w:val="00564F07"/>
    <w:rsid w:val="00565716"/>
    <w:rsid w:val="005675C9"/>
    <w:rsid w:val="00567D63"/>
    <w:rsid w:val="00567E32"/>
    <w:rsid w:val="00571C7F"/>
    <w:rsid w:val="00571D27"/>
    <w:rsid w:val="00571E05"/>
    <w:rsid w:val="005744C5"/>
    <w:rsid w:val="00574B25"/>
    <w:rsid w:val="00574BA2"/>
    <w:rsid w:val="00576F5E"/>
    <w:rsid w:val="005773DE"/>
    <w:rsid w:val="005808C0"/>
    <w:rsid w:val="00581A2A"/>
    <w:rsid w:val="005826AF"/>
    <w:rsid w:val="00582B2E"/>
    <w:rsid w:val="00582D02"/>
    <w:rsid w:val="00582E44"/>
    <w:rsid w:val="00584300"/>
    <w:rsid w:val="00584E13"/>
    <w:rsid w:val="00585367"/>
    <w:rsid w:val="0058546A"/>
    <w:rsid w:val="005854BD"/>
    <w:rsid w:val="00586464"/>
    <w:rsid w:val="00586A6B"/>
    <w:rsid w:val="00590DBF"/>
    <w:rsid w:val="0059131C"/>
    <w:rsid w:val="005915F1"/>
    <w:rsid w:val="00591E78"/>
    <w:rsid w:val="005922C2"/>
    <w:rsid w:val="00593B02"/>
    <w:rsid w:val="005949DD"/>
    <w:rsid w:val="00594C17"/>
    <w:rsid w:val="005952EE"/>
    <w:rsid w:val="00595AC2"/>
    <w:rsid w:val="00596C05"/>
    <w:rsid w:val="005A0D80"/>
    <w:rsid w:val="005A1C07"/>
    <w:rsid w:val="005A268C"/>
    <w:rsid w:val="005A2728"/>
    <w:rsid w:val="005A2D2E"/>
    <w:rsid w:val="005A5C6A"/>
    <w:rsid w:val="005A7B56"/>
    <w:rsid w:val="005B01E8"/>
    <w:rsid w:val="005B0390"/>
    <w:rsid w:val="005B1864"/>
    <w:rsid w:val="005B247B"/>
    <w:rsid w:val="005B268E"/>
    <w:rsid w:val="005B45B3"/>
    <w:rsid w:val="005B502E"/>
    <w:rsid w:val="005B516E"/>
    <w:rsid w:val="005B5344"/>
    <w:rsid w:val="005B54BF"/>
    <w:rsid w:val="005B5F53"/>
    <w:rsid w:val="005B5F76"/>
    <w:rsid w:val="005B5FB9"/>
    <w:rsid w:val="005B6E8F"/>
    <w:rsid w:val="005B75D9"/>
    <w:rsid w:val="005B7A49"/>
    <w:rsid w:val="005C057A"/>
    <w:rsid w:val="005C1705"/>
    <w:rsid w:val="005C27E9"/>
    <w:rsid w:val="005C2B24"/>
    <w:rsid w:val="005C384A"/>
    <w:rsid w:val="005C3A87"/>
    <w:rsid w:val="005C5BCF"/>
    <w:rsid w:val="005C5E29"/>
    <w:rsid w:val="005C61BF"/>
    <w:rsid w:val="005C67CC"/>
    <w:rsid w:val="005C725F"/>
    <w:rsid w:val="005C76B8"/>
    <w:rsid w:val="005C78C9"/>
    <w:rsid w:val="005C7C4A"/>
    <w:rsid w:val="005D01B7"/>
    <w:rsid w:val="005D10DA"/>
    <w:rsid w:val="005D2436"/>
    <w:rsid w:val="005D37D5"/>
    <w:rsid w:val="005D38BD"/>
    <w:rsid w:val="005D3E20"/>
    <w:rsid w:val="005D5DFE"/>
    <w:rsid w:val="005D68BD"/>
    <w:rsid w:val="005D7E40"/>
    <w:rsid w:val="005E0143"/>
    <w:rsid w:val="005E1AD8"/>
    <w:rsid w:val="005E1D75"/>
    <w:rsid w:val="005E2119"/>
    <w:rsid w:val="005E413D"/>
    <w:rsid w:val="005E5278"/>
    <w:rsid w:val="005E562A"/>
    <w:rsid w:val="005E5FEA"/>
    <w:rsid w:val="005E728B"/>
    <w:rsid w:val="005E7EF8"/>
    <w:rsid w:val="005F03E1"/>
    <w:rsid w:val="005F0BEE"/>
    <w:rsid w:val="005F1779"/>
    <w:rsid w:val="005F1C80"/>
    <w:rsid w:val="005F2A7F"/>
    <w:rsid w:val="005F2E63"/>
    <w:rsid w:val="005F327F"/>
    <w:rsid w:val="005F32CB"/>
    <w:rsid w:val="005F3482"/>
    <w:rsid w:val="005F45C3"/>
    <w:rsid w:val="005F65FE"/>
    <w:rsid w:val="005F691E"/>
    <w:rsid w:val="005F7117"/>
    <w:rsid w:val="00600263"/>
    <w:rsid w:val="006007AA"/>
    <w:rsid w:val="00601007"/>
    <w:rsid w:val="00601C99"/>
    <w:rsid w:val="00601F95"/>
    <w:rsid w:val="00604099"/>
    <w:rsid w:val="006049EF"/>
    <w:rsid w:val="00605483"/>
    <w:rsid w:val="0060601B"/>
    <w:rsid w:val="00607117"/>
    <w:rsid w:val="00607926"/>
    <w:rsid w:val="00610827"/>
    <w:rsid w:val="00610D5E"/>
    <w:rsid w:val="00611555"/>
    <w:rsid w:val="006130AE"/>
    <w:rsid w:val="006135F4"/>
    <w:rsid w:val="00616A8B"/>
    <w:rsid w:val="00620A60"/>
    <w:rsid w:val="00622154"/>
    <w:rsid w:val="00622EAE"/>
    <w:rsid w:val="00624398"/>
    <w:rsid w:val="00624591"/>
    <w:rsid w:val="00625153"/>
    <w:rsid w:val="006252AA"/>
    <w:rsid w:val="00625669"/>
    <w:rsid w:val="00625A98"/>
    <w:rsid w:val="00626038"/>
    <w:rsid w:val="00626488"/>
    <w:rsid w:val="00626DCF"/>
    <w:rsid w:val="0062714E"/>
    <w:rsid w:val="00627FA0"/>
    <w:rsid w:val="00631043"/>
    <w:rsid w:val="00632A44"/>
    <w:rsid w:val="00633F3A"/>
    <w:rsid w:val="00634A5A"/>
    <w:rsid w:val="00636CDE"/>
    <w:rsid w:val="00637112"/>
    <w:rsid w:val="00637278"/>
    <w:rsid w:val="00637540"/>
    <w:rsid w:val="00644D68"/>
    <w:rsid w:val="00645969"/>
    <w:rsid w:val="00646813"/>
    <w:rsid w:val="00646B9D"/>
    <w:rsid w:val="00650DFB"/>
    <w:rsid w:val="00650F93"/>
    <w:rsid w:val="00651596"/>
    <w:rsid w:val="00652031"/>
    <w:rsid w:val="006524E0"/>
    <w:rsid w:val="0065277F"/>
    <w:rsid w:val="00653B46"/>
    <w:rsid w:val="00653E49"/>
    <w:rsid w:val="00654DFB"/>
    <w:rsid w:val="00655A08"/>
    <w:rsid w:val="00656239"/>
    <w:rsid w:val="00657402"/>
    <w:rsid w:val="006577D5"/>
    <w:rsid w:val="006601A7"/>
    <w:rsid w:val="006605B0"/>
    <w:rsid w:val="006606AE"/>
    <w:rsid w:val="00661EB8"/>
    <w:rsid w:val="00662E7F"/>
    <w:rsid w:val="00662E98"/>
    <w:rsid w:val="00664830"/>
    <w:rsid w:val="00664F55"/>
    <w:rsid w:val="00665F58"/>
    <w:rsid w:val="00665FC3"/>
    <w:rsid w:val="0066666B"/>
    <w:rsid w:val="00666969"/>
    <w:rsid w:val="006670D1"/>
    <w:rsid w:val="00667BBB"/>
    <w:rsid w:val="006708E6"/>
    <w:rsid w:val="00671E8F"/>
    <w:rsid w:val="00672891"/>
    <w:rsid w:val="00672DEE"/>
    <w:rsid w:val="0067353C"/>
    <w:rsid w:val="006746D9"/>
    <w:rsid w:val="0067603B"/>
    <w:rsid w:val="00676ED8"/>
    <w:rsid w:val="006773AB"/>
    <w:rsid w:val="006777D2"/>
    <w:rsid w:val="006800B4"/>
    <w:rsid w:val="006804A7"/>
    <w:rsid w:val="00681014"/>
    <w:rsid w:val="00681C9D"/>
    <w:rsid w:val="006859DF"/>
    <w:rsid w:val="0068611E"/>
    <w:rsid w:val="00686F2C"/>
    <w:rsid w:val="00687563"/>
    <w:rsid w:val="006879AD"/>
    <w:rsid w:val="006879B4"/>
    <w:rsid w:val="0069037A"/>
    <w:rsid w:val="0069082E"/>
    <w:rsid w:val="00691069"/>
    <w:rsid w:val="0069138A"/>
    <w:rsid w:val="00692334"/>
    <w:rsid w:val="00692A4B"/>
    <w:rsid w:val="006940CC"/>
    <w:rsid w:val="00695082"/>
    <w:rsid w:val="0069689D"/>
    <w:rsid w:val="0069698F"/>
    <w:rsid w:val="006969D9"/>
    <w:rsid w:val="006A0C6A"/>
    <w:rsid w:val="006A0F4C"/>
    <w:rsid w:val="006A1050"/>
    <w:rsid w:val="006A1B53"/>
    <w:rsid w:val="006A2170"/>
    <w:rsid w:val="006A2839"/>
    <w:rsid w:val="006A41CD"/>
    <w:rsid w:val="006A4673"/>
    <w:rsid w:val="006A4984"/>
    <w:rsid w:val="006A6539"/>
    <w:rsid w:val="006A6E1E"/>
    <w:rsid w:val="006A6F83"/>
    <w:rsid w:val="006A7B1D"/>
    <w:rsid w:val="006B030F"/>
    <w:rsid w:val="006B03E4"/>
    <w:rsid w:val="006B07CD"/>
    <w:rsid w:val="006B0FFF"/>
    <w:rsid w:val="006B10C4"/>
    <w:rsid w:val="006B1399"/>
    <w:rsid w:val="006B19E0"/>
    <w:rsid w:val="006B2F35"/>
    <w:rsid w:val="006B2FAB"/>
    <w:rsid w:val="006B343F"/>
    <w:rsid w:val="006B348F"/>
    <w:rsid w:val="006B42CB"/>
    <w:rsid w:val="006B5292"/>
    <w:rsid w:val="006B53AB"/>
    <w:rsid w:val="006C161E"/>
    <w:rsid w:val="006C1FB8"/>
    <w:rsid w:val="006C2769"/>
    <w:rsid w:val="006C2B7D"/>
    <w:rsid w:val="006C328D"/>
    <w:rsid w:val="006C48D5"/>
    <w:rsid w:val="006C502C"/>
    <w:rsid w:val="006C66D4"/>
    <w:rsid w:val="006D099B"/>
    <w:rsid w:val="006D119E"/>
    <w:rsid w:val="006D1226"/>
    <w:rsid w:val="006D1435"/>
    <w:rsid w:val="006D245E"/>
    <w:rsid w:val="006D3183"/>
    <w:rsid w:val="006D6019"/>
    <w:rsid w:val="006D6072"/>
    <w:rsid w:val="006D7F0F"/>
    <w:rsid w:val="006E11B5"/>
    <w:rsid w:val="006E2FE6"/>
    <w:rsid w:val="006E4534"/>
    <w:rsid w:val="006E5971"/>
    <w:rsid w:val="006E7717"/>
    <w:rsid w:val="006E7BFA"/>
    <w:rsid w:val="006F14F8"/>
    <w:rsid w:val="006F1BA3"/>
    <w:rsid w:val="006F1FA9"/>
    <w:rsid w:val="006F228F"/>
    <w:rsid w:val="006F26AD"/>
    <w:rsid w:val="006F2DC6"/>
    <w:rsid w:val="006F38FA"/>
    <w:rsid w:val="006F3D09"/>
    <w:rsid w:val="006F3F20"/>
    <w:rsid w:val="006F5EDC"/>
    <w:rsid w:val="006F6EC6"/>
    <w:rsid w:val="0070050E"/>
    <w:rsid w:val="00700D5A"/>
    <w:rsid w:val="00701F7F"/>
    <w:rsid w:val="00702E95"/>
    <w:rsid w:val="007040DC"/>
    <w:rsid w:val="00705173"/>
    <w:rsid w:val="007053A8"/>
    <w:rsid w:val="007057E2"/>
    <w:rsid w:val="007058E3"/>
    <w:rsid w:val="00705B41"/>
    <w:rsid w:val="0071008F"/>
    <w:rsid w:val="007106FA"/>
    <w:rsid w:val="007113F9"/>
    <w:rsid w:val="00711C8C"/>
    <w:rsid w:val="0071273F"/>
    <w:rsid w:val="00712CAF"/>
    <w:rsid w:val="00713310"/>
    <w:rsid w:val="007134D1"/>
    <w:rsid w:val="00713DEE"/>
    <w:rsid w:val="007141A8"/>
    <w:rsid w:val="0071449D"/>
    <w:rsid w:val="00714790"/>
    <w:rsid w:val="00716EA6"/>
    <w:rsid w:val="007175F8"/>
    <w:rsid w:val="00717D32"/>
    <w:rsid w:val="00720D26"/>
    <w:rsid w:val="00721504"/>
    <w:rsid w:val="0072157C"/>
    <w:rsid w:val="00721784"/>
    <w:rsid w:val="00721A69"/>
    <w:rsid w:val="00722172"/>
    <w:rsid w:val="007238F3"/>
    <w:rsid w:val="00724992"/>
    <w:rsid w:val="00725532"/>
    <w:rsid w:val="00725CA3"/>
    <w:rsid w:val="00726337"/>
    <w:rsid w:val="00726404"/>
    <w:rsid w:val="007268E3"/>
    <w:rsid w:val="00726BD6"/>
    <w:rsid w:val="00727169"/>
    <w:rsid w:val="007279F2"/>
    <w:rsid w:val="00727B4E"/>
    <w:rsid w:val="00730E34"/>
    <w:rsid w:val="00731AB1"/>
    <w:rsid w:val="0073211A"/>
    <w:rsid w:val="007321D9"/>
    <w:rsid w:val="0073250B"/>
    <w:rsid w:val="0073330E"/>
    <w:rsid w:val="0073362F"/>
    <w:rsid w:val="007336F7"/>
    <w:rsid w:val="007342FB"/>
    <w:rsid w:val="00735867"/>
    <w:rsid w:val="00735EDF"/>
    <w:rsid w:val="007363DA"/>
    <w:rsid w:val="0073758C"/>
    <w:rsid w:val="00737688"/>
    <w:rsid w:val="00737899"/>
    <w:rsid w:val="00741963"/>
    <w:rsid w:val="007423A5"/>
    <w:rsid w:val="007432B2"/>
    <w:rsid w:val="007437B0"/>
    <w:rsid w:val="00743B43"/>
    <w:rsid w:val="0074443A"/>
    <w:rsid w:val="00744708"/>
    <w:rsid w:val="00745484"/>
    <w:rsid w:val="00745518"/>
    <w:rsid w:val="007459BA"/>
    <w:rsid w:val="00745FE8"/>
    <w:rsid w:val="00746103"/>
    <w:rsid w:val="0074699D"/>
    <w:rsid w:val="00746AE4"/>
    <w:rsid w:val="00746AE5"/>
    <w:rsid w:val="007505FB"/>
    <w:rsid w:val="00750933"/>
    <w:rsid w:val="00750DE2"/>
    <w:rsid w:val="00752C80"/>
    <w:rsid w:val="0075443B"/>
    <w:rsid w:val="00754A76"/>
    <w:rsid w:val="007555CF"/>
    <w:rsid w:val="007558F3"/>
    <w:rsid w:val="00760982"/>
    <w:rsid w:val="00761761"/>
    <w:rsid w:val="00761F56"/>
    <w:rsid w:val="00762B41"/>
    <w:rsid w:val="0076421F"/>
    <w:rsid w:val="00765342"/>
    <w:rsid w:val="00765795"/>
    <w:rsid w:val="00766082"/>
    <w:rsid w:val="007662AB"/>
    <w:rsid w:val="00766FC4"/>
    <w:rsid w:val="007674BF"/>
    <w:rsid w:val="007675BF"/>
    <w:rsid w:val="00767624"/>
    <w:rsid w:val="007679F6"/>
    <w:rsid w:val="00770B97"/>
    <w:rsid w:val="00771C55"/>
    <w:rsid w:val="00772150"/>
    <w:rsid w:val="0077298C"/>
    <w:rsid w:val="00772F7E"/>
    <w:rsid w:val="00773ECB"/>
    <w:rsid w:val="007748FE"/>
    <w:rsid w:val="00775796"/>
    <w:rsid w:val="00776E26"/>
    <w:rsid w:val="00777319"/>
    <w:rsid w:val="00777ED5"/>
    <w:rsid w:val="0078007D"/>
    <w:rsid w:val="007826E8"/>
    <w:rsid w:val="00782876"/>
    <w:rsid w:val="007832D0"/>
    <w:rsid w:val="00783CF9"/>
    <w:rsid w:val="00783F47"/>
    <w:rsid w:val="0078434E"/>
    <w:rsid w:val="00784390"/>
    <w:rsid w:val="007845EB"/>
    <w:rsid w:val="007847F4"/>
    <w:rsid w:val="00784B3F"/>
    <w:rsid w:val="00786600"/>
    <w:rsid w:val="00786DFD"/>
    <w:rsid w:val="0079057A"/>
    <w:rsid w:val="007908EC"/>
    <w:rsid w:val="00790D6A"/>
    <w:rsid w:val="00791250"/>
    <w:rsid w:val="00792BD7"/>
    <w:rsid w:val="00793352"/>
    <w:rsid w:val="0079378A"/>
    <w:rsid w:val="00793C35"/>
    <w:rsid w:val="00794A74"/>
    <w:rsid w:val="0079505E"/>
    <w:rsid w:val="007961A6"/>
    <w:rsid w:val="007967AD"/>
    <w:rsid w:val="0079785D"/>
    <w:rsid w:val="00797A9B"/>
    <w:rsid w:val="00797B99"/>
    <w:rsid w:val="007A0893"/>
    <w:rsid w:val="007A09F1"/>
    <w:rsid w:val="007A11A3"/>
    <w:rsid w:val="007A12AB"/>
    <w:rsid w:val="007A2556"/>
    <w:rsid w:val="007A2685"/>
    <w:rsid w:val="007A33D6"/>
    <w:rsid w:val="007A4015"/>
    <w:rsid w:val="007A47A4"/>
    <w:rsid w:val="007A5DCE"/>
    <w:rsid w:val="007A70FA"/>
    <w:rsid w:val="007B05FC"/>
    <w:rsid w:val="007B153C"/>
    <w:rsid w:val="007B1607"/>
    <w:rsid w:val="007B19D1"/>
    <w:rsid w:val="007B3001"/>
    <w:rsid w:val="007B3991"/>
    <w:rsid w:val="007B4793"/>
    <w:rsid w:val="007B4CFF"/>
    <w:rsid w:val="007B4EAB"/>
    <w:rsid w:val="007B5687"/>
    <w:rsid w:val="007B79FE"/>
    <w:rsid w:val="007C0F01"/>
    <w:rsid w:val="007C195C"/>
    <w:rsid w:val="007C63B8"/>
    <w:rsid w:val="007C6726"/>
    <w:rsid w:val="007C6960"/>
    <w:rsid w:val="007C6FBF"/>
    <w:rsid w:val="007C7170"/>
    <w:rsid w:val="007C7582"/>
    <w:rsid w:val="007C7A35"/>
    <w:rsid w:val="007C7E09"/>
    <w:rsid w:val="007D09ED"/>
    <w:rsid w:val="007D134C"/>
    <w:rsid w:val="007D203E"/>
    <w:rsid w:val="007D2201"/>
    <w:rsid w:val="007D264A"/>
    <w:rsid w:val="007D2AB2"/>
    <w:rsid w:val="007D4099"/>
    <w:rsid w:val="007D57F9"/>
    <w:rsid w:val="007D584A"/>
    <w:rsid w:val="007D600D"/>
    <w:rsid w:val="007D6220"/>
    <w:rsid w:val="007E0B1E"/>
    <w:rsid w:val="007E344F"/>
    <w:rsid w:val="007E3703"/>
    <w:rsid w:val="007E3D18"/>
    <w:rsid w:val="007E3FBE"/>
    <w:rsid w:val="007E4679"/>
    <w:rsid w:val="007E4681"/>
    <w:rsid w:val="007E4D72"/>
    <w:rsid w:val="007E4E76"/>
    <w:rsid w:val="007E7022"/>
    <w:rsid w:val="007E73A3"/>
    <w:rsid w:val="007F0525"/>
    <w:rsid w:val="007F0759"/>
    <w:rsid w:val="007F07AF"/>
    <w:rsid w:val="007F15E6"/>
    <w:rsid w:val="007F2921"/>
    <w:rsid w:val="007F2F21"/>
    <w:rsid w:val="007F3A8B"/>
    <w:rsid w:val="007F4E27"/>
    <w:rsid w:val="007F532D"/>
    <w:rsid w:val="007F5A40"/>
    <w:rsid w:val="007F5A9F"/>
    <w:rsid w:val="007F6350"/>
    <w:rsid w:val="007F676A"/>
    <w:rsid w:val="007F7D5E"/>
    <w:rsid w:val="007F7E7A"/>
    <w:rsid w:val="00800D0C"/>
    <w:rsid w:val="00800F88"/>
    <w:rsid w:val="008015F0"/>
    <w:rsid w:val="00801756"/>
    <w:rsid w:val="00801963"/>
    <w:rsid w:val="00802534"/>
    <w:rsid w:val="008032A5"/>
    <w:rsid w:val="00804497"/>
    <w:rsid w:val="0080480E"/>
    <w:rsid w:val="00804FE0"/>
    <w:rsid w:val="00806894"/>
    <w:rsid w:val="00806993"/>
    <w:rsid w:val="00806BAD"/>
    <w:rsid w:val="00806E7F"/>
    <w:rsid w:val="0080784C"/>
    <w:rsid w:val="008102ED"/>
    <w:rsid w:val="008103A0"/>
    <w:rsid w:val="0081141D"/>
    <w:rsid w:val="00811498"/>
    <w:rsid w:val="00812192"/>
    <w:rsid w:val="008129CB"/>
    <w:rsid w:val="00812A9E"/>
    <w:rsid w:val="00812D5D"/>
    <w:rsid w:val="00812FB5"/>
    <w:rsid w:val="008130B8"/>
    <w:rsid w:val="00814C5B"/>
    <w:rsid w:val="00814E56"/>
    <w:rsid w:val="00815081"/>
    <w:rsid w:val="00817C8B"/>
    <w:rsid w:val="00820021"/>
    <w:rsid w:val="00820C3C"/>
    <w:rsid w:val="00820D3A"/>
    <w:rsid w:val="00822C41"/>
    <w:rsid w:val="00823269"/>
    <w:rsid w:val="00823451"/>
    <w:rsid w:val="0082467F"/>
    <w:rsid w:val="00824856"/>
    <w:rsid w:val="008251A3"/>
    <w:rsid w:val="0082588C"/>
    <w:rsid w:val="00825947"/>
    <w:rsid w:val="00825B26"/>
    <w:rsid w:val="00825C8A"/>
    <w:rsid w:val="00827362"/>
    <w:rsid w:val="00827C3D"/>
    <w:rsid w:val="00827C63"/>
    <w:rsid w:val="00830115"/>
    <w:rsid w:val="00830445"/>
    <w:rsid w:val="00830C63"/>
    <w:rsid w:val="00830DF3"/>
    <w:rsid w:val="00830FFF"/>
    <w:rsid w:val="008321AE"/>
    <w:rsid w:val="008328E4"/>
    <w:rsid w:val="0083330D"/>
    <w:rsid w:val="00835076"/>
    <w:rsid w:val="00835E2F"/>
    <w:rsid w:val="00836288"/>
    <w:rsid w:val="00840FC7"/>
    <w:rsid w:val="008424D9"/>
    <w:rsid w:val="00842D90"/>
    <w:rsid w:val="0084377F"/>
    <w:rsid w:val="00844979"/>
    <w:rsid w:val="0084555A"/>
    <w:rsid w:val="00845AAE"/>
    <w:rsid w:val="00846377"/>
    <w:rsid w:val="00847F55"/>
    <w:rsid w:val="00847FE9"/>
    <w:rsid w:val="0085089E"/>
    <w:rsid w:val="008508D0"/>
    <w:rsid w:val="0085216D"/>
    <w:rsid w:val="008521B6"/>
    <w:rsid w:val="0085247D"/>
    <w:rsid w:val="00852764"/>
    <w:rsid w:val="00852BC2"/>
    <w:rsid w:val="008539D5"/>
    <w:rsid w:val="00854903"/>
    <w:rsid w:val="00854982"/>
    <w:rsid w:val="008552A1"/>
    <w:rsid w:val="00856D64"/>
    <w:rsid w:val="00856F16"/>
    <w:rsid w:val="00857217"/>
    <w:rsid w:val="00860A63"/>
    <w:rsid w:val="008622BF"/>
    <w:rsid w:val="00863F07"/>
    <w:rsid w:val="00864214"/>
    <w:rsid w:val="008665DB"/>
    <w:rsid w:val="008666C6"/>
    <w:rsid w:val="00866764"/>
    <w:rsid w:val="00867376"/>
    <w:rsid w:val="008678CD"/>
    <w:rsid w:val="00870331"/>
    <w:rsid w:val="0087068D"/>
    <w:rsid w:val="00870DCF"/>
    <w:rsid w:val="00870E04"/>
    <w:rsid w:val="008717FC"/>
    <w:rsid w:val="00872158"/>
    <w:rsid w:val="00872D78"/>
    <w:rsid w:val="008735C5"/>
    <w:rsid w:val="0087415A"/>
    <w:rsid w:val="00874561"/>
    <w:rsid w:val="00876168"/>
    <w:rsid w:val="00877467"/>
    <w:rsid w:val="008800C8"/>
    <w:rsid w:val="00882DFD"/>
    <w:rsid w:val="00884400"/>
    <w:rsid w:val="00884D99"/>
    <w:rsid w:val="00885AA1"/>
    <w:rsid w:val="00885BB0"/>
    <w:rsid w:val="0088664D"/>
    <w:rsid w:val="00886945"/>
    <w:rsid w:val="008875EB"/>
    <w:rsid w:val="008878E9"/>
    <w:rsid w:val="00890777"/>
    <w:rsid w:val="008908E6"/>
    <w:rsid w:val="0089134C"/>
    <w:rsid w:val="00891C5E"/>
    <w:rsid w:val="00892059"/>
    <w:rsid w:val="008926D9"/>
    <w:rsid w:val="00893E5C"/>
    <w:rsid w:val="008954FF"/>
    <w:rsid w:val="008959E9"/>
    <w:rsid w:val="00895F22"/>
    <w:rsid w:val="00897717"/>
    <w:rsid w:val="008A0924"/>
    <w:rsid w:val="008A116A"/>
    <w:rsid w:val="008A4C56"/>
    <w:rsid w:val="008A5529"/>
    <w:rsid w:val="008A6F5F"/>
    <w:rsid w:val="008A7251"/>
    <w:rsid w:val="008A7CFE"/>
    <w:rsid w:val="008A7EBD"/>
    <w:rsid w:val="008A7F9A"/>
    <w:rsid w:val="008B1F50"/>
    <w:rsid w:val="008B26FA"/>
    <w:rsid w:val="008B33EC"/>
    <w:rsid w:val="008B35F3"/>
    <w:rsid w:val="008B38D1"/>
    <w:rsid w:val="008B425F"/>
    <w:rsid w:val="008B4BA2"/>
    <w:rsid w:val="008B6260"/>
    <w:rsid w:val="008C0786"/>
    <w:rsid w:val="008C0B01"/>
    <w:rsid w:val="008C12C1"/>
    <w:rsid w:val="008C321A"/>
    <w:rsid w:val="008C3BA5"/>
    <w:rsid w:val="008C3D98"/>
    <w:rsid w:val="008C56A7"/>
    <w:rsid w:val="008C620D"/>
    <w:rsid w:val="008C63E1"/>
    <w:rsid w:val="008C6A7D"/>
    <w:rsid w:val="008D06A4"/>
    <w:rsid w:val="008D11F5"/>
    <w:rsid w:val="008D222C"/>
    <w:rsid w:val="008D3892"/>
    <w:rsid w:val="008D417F"/>
    <w:rsid w:val="008D530D"/>
    <w:rsid w:val="008D5ACE"/>
    <w:rsid w:val="008D6607"/>
    <w:rsid w:val="008D7626"/>
    <w:rsid w:val="008D7775"/>
    <w:rsid w:val="008D7CE4"/>
    <w:rsid w:val="008E018A"/>
    <w:rsid w:val="008E059C"/>
    <w:rsid w:val="008E0D94"/>
    <w:rsid w:val="008E15BA"/>
    <w:rsid w:val="008E2F0A"/>
    <w:rsid w:val="008E38E9"/>
    <w:rsid w:val="008E4A8C"/>
    <w:rsid w:val="008E4A8E"/>
    <w:rsid w:val="008E6372"/>
    <w:rsid w:val="008E6715"/>
    <w:rsid w:val="008E6AEA"/>
    <w:rsid w:val="008E6E94"/>
    <w:rsid w:val="008E6EAD"/>
    <w:rsid w:val="008E73A9"/>
    <w:rsid w:val="008E7E7F"/>
    <w:rsid w:val="008F0720"/>
    <w:rsid w:val="008F13F7"/>
    <w:rsid w:val="008F1AE4"/>
    <w:rsid w:val="008F1F6E"/>
    <w:rsid w:val="008F48B2"/>
    <w:rsid w:val="008F56C8"/>
    <w:rsid w:val="008F79C0"/>
    <w:rsid w:val="008F7DF2"/>
    <w:rsid w:val="00900402"/>
    <w:rsid w:val="009006B4"/>
    <w:rsid w:val="00901EC7"/>
    <w:rsid w:val="00902CAE"/>
    <w:rsid w:val="009037BC"/>
    <w:rsid w:val="00904231"/>
    <w:rsid w:val="0090604E"/>
    <w:rsid w:val="00906C3D"/>
    <w:rsid w:val="00907965"/>
    <w:rsid w:val="009101BD"/>
    <w:rsid w:val="00911623"/>
    <w:rsid w:val="00911CA5"/>
    <w:rsid w:val="00911D42"/>
    <w:rsid w:val="00913FB7"/>
    <w:rsid w:val="00914A05"/>
    <w:rsid w:val="00914C12"/>
    <w:rsid w:val="00916301"/>
    <w:rsid w:val="009164E9"/>
    <w:rsid w:val="009165FA"/>
    <w:rsid w:val="00917CBC"/>
    <w:rsid w:val="00920205"/>
    <w:rsid w:val="009202FC"/>
    <w:rsid w:val="00920960"/>
    <w:rsid w:val="00921608"/>
    <w:rsid w:val="00922D49"/>
    <w:rsid w:val="00923857"/>
    <w:rsid w:val="00923A9D"/>
    <w:rsid w:val="00923C35"/>
    <w:rsid w:val="00923F6E"/>
    <w:rsid w:val="0092462C"/>
    <w:rsid w:val="009261DB"/>
    <w:rsid w:val="00926C02"/>
    <w:rsid w:val="00927311"/>
    <w:rsid w:val="00930847"/>
    <w:rsid w:val="00930C49"/>
    <w:rsid w:val="00931550"/>
    <w:rsid w:val="00932DAC"/>
    <w:rsid w:val="00933278"/>
    <w:rsid w:val="0093354B"/>
    <w:rsid w:val="00934BD0"/>
    <w:rsid w:val="00936AEF"/>
    <w:rsid w:val="00940224"/>
    <w:rsid w:val="00940D63"/>
    <w:rsid w:val="00941919"/>
    <w:rsid w:val="00941FD8"/>
    <w:rsid w:val="0094287B"/>
    <w:rsid w:val="00942973"/>
    <w:rsid w:val="009440EF"/>
    <w:rsid w:val="00944F13"/>
    <w:rsid w:val="00946AEB"/>
    <w:rsid w:val="009473B7"/>
    <w:rsid w:val="009503C1"/>
    <w:rsid w:val="009505D8"/>
    <w:rsid w:val="00951188"/>
    <w:rsid w:val="0095135D"/>
    <w:rsid w:val="00951AA9"/>
    <w:rsid w:val="00953B6D"/>
    <w:rsid w:val="00953CEE"/>
    <w:rsid w:val="00953E41"/>
    <w:rsid w:val="0095559B"/>
    <w:rsid w:val="009561BD"/>
    <w:rsid w:val="009564D5"/>
    <w:rsid w:val="009566CD"/>
    <w:rsid w:val="009569CB"/>
    <w:rsid w:val="00956ED1"/>
    <w:rsid w:val="00956F21"/>
    <w:rsid w:val="009572DF"/>
    <w:rsid w:val="00957892"/>
    <w:rsid w:val="00960AC1"/>
    <w:rsid w:val="00961463"/>
    <w:rsid w:val="009626D7"/>
    <w:rsid w:val="0096296E"/>
    <w:rsid w:val="009634A7"/>
    <w:rsid w:val="00963F84"/>
    <w:rsid w:val="00965730"/>
    <w:rsid w:val="009667A9"/>
    <w:rsid w:val="0096682B"/>
    <w:rsid w:val="00967CD1"/>
    <w:rsid w:val="00970525"/>
    <w:rsid w:val="00970C0C"/>
    <w:rsid w:val="00971D00"/>
    <w:rsid w:val="0097355D"/>
    <w:rsid w:val="00974EF5"/>
    <w:rsid w:val="00975005"/>
    <w:rsid w:val="009755E6"/>
    <w:rsid w:val="009767DB"/>
    <w:rsid w:val="00977B35"/>
    <w:rsid w:val="00977E8A"/>
    <w:rsid w:val="009811D6"/>
    <w:rsid w:val="009811DA"/>
    <w:rsid w:val="00981726"/>
    <w:rsid w:val="00981A5D"/>
    <w:rsid w:val="00981AC8"/>
    <w:rsid w:val="00981FE6"/>
    <w:rsid w:val="00983614"/>
    <w:rsid w:val="00983A0A"/>
    <w:rsid w:val="0098402B"/>
    <w:rsid w:val="00984CA7"/>
    <w:rsid w:val="00985787"/>
    <w:rsid w:val="00986C68"/>
    <w:rsid w:val="00986F5C"/>
    <w:rsid w:val="00987024"/>
    <w:rsid w:val="00987ECC"/>
    <w:rsid w:val="00990497"/>
    <w:rsid w:val="00990D56"/>
    <w:rsid w:val="009920BF"/>
    <w:rsid w:val="00992C84"/>
    <w:rsid w:val="00992D31"/>
    <w:rsid w:val="00993066"/>
    <w:rsid w:val="00993589"/>
    <w:rsid w:val="009939CE"/>
    <w:rsid w:val="00993B43"/>
    <w:rsid w:val="00993B96"/>
    <w:rsid w:val="00994892"/>
    <w:rsid w:val="00996FF1"/>
    <w:rsid w:val="009A1C6F"/>
    <w:rsid w:val="009A287B"/>
    <w:rsid w:val="009A2A1B"/>
    <w:rsid w:val="009A2CF8"/>
    <w:rsid w:val="009A43D4"/>
    <w:rsid w:val="009A4F36"/>
    <w:rsid w:val="009A590B"/>
    <w:rsid w:val="009A6118"/>
    <w:rsid w:val="009B0CCF"/>
    <w:rsid w:val="009B17C2"/>
    <w:rsid w:val="009B1AA9"/>
    <w:rsid w:val="009B3327"/>
    <w:rsid w:val="009B3395"/>
    <w:rsid w:val="009B4E15"/>
    <w:rsid w:val="009B5351"/>
    <w:rsid w:val="009B57BC"/>
    <w:rsid w:val="009B58FF"/>
    <w:rsid w:val="009B5A83"/>
    <w:rsid w:val="009B6705"/>
    <w:rsid w:val="009B6DD6"/>
    <w:rsid w:val="009B7640"/>
    <w:rsid w:val="009B77E9"/>
    <w:rsid w:val="009C0478"/>
    <w:rsid w:val="009C224B"/>
    <w:rsid w:val="009C2AA5"/>
    <w:rsid w:val="009C37F0"/>
    <w:rsid w:val="009C3846"/>
    <w:rsid w:val="009C3E50"/>
    <w:rsid w:val="009C4277"/>
    <w:rsid w:val="009C4780"/>
    <w:rsid w:val="009C5687"/>
    <w:rsid w:val="009C62AB"/>
    <w:rsid w:val="009D0D10"/>
    <w:rsid w:val="009D41AB"/>
    <w:rsid w:val="009D41CB"/>
    <w:rsid w:val="009D5423"/>
    <w:rsid w:val="009D5A4D"/>
    <w:rsid w:val="009D608A"/>
    <w:rsid w:val="009D6DFB"/>
    <w:rsid w:val="009E0810"/>
    <w:rsid w:val="009E12FC"/>
    <w:rsid w:val="009E2D99"/>
    <w:rsid w:val="009E3116"/>
    <w:rsid w:val="009E3AC7"/>
    <w:rsid w:val="009E44E1"/>
    <w:rsid w:val="009E4EAE"/>
    <w:rsid w:val="009E5FF7"/>
    <w:rsid w:val="009E6358"/>
    <w:rsid w:val="009E7282"/>
    <w:rsid w:val="009E7A02"/>
    <w:rsid w:val="009F37A5"/>
    <w:rsid w:val="009F3B82"/>
    <w:rsid w:val="009F40F9"/>
    <w:rsid w:val="009F4F93"/>
    <w:rsid w:val="009F7056"/>
    <w:rsid w:val="009F746C"/>
    <w:rsid w:val="00A000BF"/>
    <w:rsid w:val="00A0182C"/>
    <w:rsid w:val="00A01AF9"/>
    <w:rsid w:val="00A02EF6"/>
    <w:rsid w:val="00A032DA"/>
    <w:rsid w:val="00A036CE"/>
    <w:rsid w:val="00A03AD4"/>
    <w:rsid w:val="00A04DF1"/>
    <w:rsid w:val="00A05105"/>
    <w:rsid w:val="00A052C5"/>
    <w:rsid w:val="00A05934"/>
    <w:rsid w:val="00A072D6"/>
    <w:rsid w:val="00A07728"/>
    <w:rsid w:val="00A10EFE"/>
    <w:rsid w:val="00A1102A"/>
    <w:rsid w:val="00A110EE"/>
    <w:rsid w:val="00A1289A"/>
    <w:rsid w:val="00A13D38"/>
    <w:rsid w:val="00A13E4E"/>
    <w:rsid w:val="00A1440A"/>
    <w:rsid w:val="00A15BC4"/>
    <w:rsid w:val="00A15D03"/>
    <w:rsid w:val="00A161EC"/>
    <w:rsid w:val="00A166B0"/>
    <w:rsid w:val="00A173FF"/>
    <w:rsid w:val="00A22715"/>
    <w:rsid w:val="00A22E29"/>
    <w:rsid w:val="00A23A3A"/>
    <w:rsid w:val="00A23E87"/>
    <w:rsid w:val="00A24027"/>
    <w:rsid w:val="00A26383"/>
    <w:rsid w:val="00A274CA"/>
    <w:rsid w:val="00A306F7"/>
    <w:rsid w:val="00A30B29"/>
    <w:rsid w:val="00A324F1"/>
    <w:rsid w:val="00A32C4F"/>
    <w:rsid w:val="00A347F6"/>
    <w:rsid w:val="00A34FAE"/>
    <w:rsid w:val="00A352FF"/>
    <w:rsid w:val="00A35530"/>
    <w:rsid w:val="00A3622A"/>
    <w:rsid w:val="00A36591"/>
    <w:rsid w:val="00A36C09"/>
    <w:rsid w:val="00A36C89"/>
    <w:rsid w:val="00A3733D"/>
    <w:rsid w:val="00A37345"/>
    <w:rsid w:val="00A404B0"/>
    <w:rsid w:val="00A4292E"/>
    <w:rsid w:val="00A42983"/>
    <w:rsid w:val="00A42ED4"/>
    <w:rsid w:val="00A43159"/>
    <w:rsid w:val="00A439FE"/>
    <w:rsid w:val="00A44BAD"/>
    <w:rsid w:val="00A46311"/>
    <w:rsid w:val="00A46352"/>
    <w:rsid w:val="00A464C0"/>
    <w:rsid w:val="00A50A34"/>
    <w:rsid w:val="00A50AFD"/>
    <w:rsid w:val="00A5226E"/>
    <w:rsid w:val="00A52347"/>
    <w:rsid w:val="00A53395"/>
    <w:rsid w:val="00A53E9F"/>
    <w:rsid w:val="00A548D9"/>
    <w:rsid w:val="00A56362"/>
    <w:rsid w:val="00A56626"/>
    <w:rsid w:val="00A56D1F"/>
    <w:rsid w:val="00A57F63"/>
    <w:rsid w:val="00A60890"/>
    <w:rsid w:val="00A60E72"/>
    <w:rsid w:val="00A610D3"/>
    <w:rsid w:val="00A614C3"/>
    <w:rsid w:val="00A61CCB"/>
    <w:rsid w:val="00A61F31"/>
    <w:rsid w:val="00A624A0"/>
    <w:rsid w:val="00A634C5"/>
    <w:rsid w:val="00A637B0"/>
    <w:rsid w:val="00A63C40"/>
    <w:rsid w:val="00A64DB9"/>
    <w:rsid w:val="00A6560D"/>
    <w:rsid w:val="00A660E1"/>
    <w:rsid w:val="00A66673"/>
    <w:rsid w:val="00A668C5"/>
    <w:rsid w:val="00A669C0"/>
    <w:rsid w:val="00A66DDD"/>
    <w:rsid w:val="00A67618"/>
    <w:rsid w:val="00A679B4"/>
    <w:rsid w:val="00A707A9"/>
    <w:rsid w:val="00A70B3B"/>
    <w:rsid w:val="00A717F6"/>
    <w:rsid w:val="00A73355"/>
    <w:rsid w:val="00A7407C"/>
    <w:rsid w:val="00A746F0"/>
    <w:rsid w:val="00A7471C"/>
    <w:rsid w:val="00A755BF"/>
    <w:rsid w:val="00A76006"/>
    <w:rsid w:val="00A76C60"/>
    <w:rsid w:val="00A770BB"/>
    <w:rsid w:val="00A777DD"/>
    <w:rsid w:val="00A8037A"/>
    <w:rsid w:val="00A805EE"/>
    <w:rsid w:val="00A80F66"/>
    <w:rsid w:val="00A81119"/>
    <w:rsid w:val="00A82CA3"/>
    <w:rsid w:val="00A830CB"/>
    <w:rsid w:val="00A83DF1"/>
    <w:rsid w:val="00A83E76"/>
    <w:rsid w:val="00A85272"/>
    <w:rsid w:val="00A86336"/>
    <w:rsid w:val="00A87487"/>
    <w:rsid w:val="00A87AAF"/>
    <w:rsid w:val="00A909B1"/>
    <w:rsid w:val="00A915D9"/>
    <w:rsid w:val="00A91EBA"/>
    <w:rsid w:val="00A92A40"/>
    <w:rsid w:val="00A92ED1"/>
    <w:rsid w:val="00A93140"/>
    <w:rsid w:val="00A94501"/>
    <w:rsid w:val="00A94851"/>
    <w:rsid w:val="00A94E89"/>
    <w:rsid w:val="00A958A0"/>
    <w:rsid w:val="00A95A2A"/>
    <w:rsid w:val="00A96340"/>
    <w:rsid w:val="00A969E3"/>
    <w:rsid w:val="00A96A7B"/>
    <w:rsid w:val="00AA08A2"/>
    <w:rsid w:val="00AA198B"/>
    <w:rsid w:val="00AA19CE"/>
    <w:rsid w:val="00AA1B47"/>
    <w:rsid w:val="00AA2499"/>
    <w:rsid w:val="00AA24A1"/>
    <w:rsid w:val="00AA271D"/>
    <w:rsid w:val="00AA2F16"/>
    <w:rsid w:val="00AA35AA"/>
    <w:rsid w:val="00AA35CD"/>
    <w:rsid w:val="00AA3B51"/>
    <w:rsid w:val="00AA40A7"/>
    <w:rsid w:val="00AA5DDA"/>
    <w:rsid w:val="00AA6758"/>
    <w:rsid w:val="00AA6A2A"/>
    <w:rsid w:val="00AA6FEA"/>
    <w:rsid w:val="00AA774A"/>
    <w:rsid w:val="00AB06E5"/>
    <w:rsid w:val="00AB09EA"/>
    <w:rsid w:val="00AB2E0D"/>
    <w:rsid w:val="00AB2E34"/>
    <w:rsid w:val="00AB2FC8"/>
    <w:rsid w:val="00AB3669"/>
    <w:rsid w:val="00AB53AB"/>
    <w:rsid w:val="00AB5975"/>
    <w:rsid w:val="00AB62A0"/>
    <w:rsid w:val="00AB645E"/>
    <w:rsid w:val="00AB7619"/>
    <w:rsid w:val="00AC07C9"/>
    <w:rsid w:val="00AC0B0E"/>
    <w:rsid w:val="00AC1029"/>
    <w:rsid w:val="00AC178A"/>
    <w:rsid w:val="00AC1F61"/>
    <w:rsid w:val="00AC1F99"/>
    <w:rsid w:val="00AC2697"/>
    <w:rsid w:val="00AC2B7E"/>
    <w:rsid w:val="00AC2F75"/>
    <w:rsid w:val="00AC36F0"/>
    <w:rsid w:val="00AC5B36"/>
    <w:rsid w:val="00AC713A"/>
    <w:rsid w:val="00AC74BD"/>
    <w:rsid w:val="00AC7892"/>
    <w:rsid w:val="00AD02B9"/>
    <w:rsid w:val="00AD19FC"/>
    <w:rsid w:val="00AD2D2F"/>
    <w:rsid w:val="00AD32A9"/>
    <w:rsid w:val="00AD34E5"/>
    <w:rsid w:val="00AD4AA2"/>
    <w:rsid w:val="00AD54E8"/>
    <w:rsid w:val="00AD6108"/>
    <w:rsid w:val="00AD6D2F"/>
    <w:rsid w:val="00AD710B"/>
    <w:rsid w:val="00AD7187"/>
    <w:rsid w:val="00AD7481"/>
    <w:rsid w:val="00AD78FB"/>
    <w:rsid w:val="00AE1BE4"/>
    <w:rsid w:val="00AE1D54"/>
    <w:rsid w:val="00AE22BB"/>
    <w:rsid w:val="00AE2E96"/>
    <w:rsid w:val="00AE3567"/>
    <w:rsid w:val="00AE382E"/>
    <w:rsid w:val="00AE4E09"/>
    <w:rsid w:val="00AE5986"/>
    <w:rsid w:val="00AE680C"/>
    <w:rsid w:val="00AE6891"/>
    <w:rsid w:val="00AE6FEE"/>
    <w:rsid w:val="00AE73BE"/>
    <w:rsid w:val="00AF05DC"/>
    <w:rsid w:val="00AF17FC"/>
    <w:rsid w:val="00AF221F"/>
    <w:rsid w:val="00AF2A3E"/>
    <w:rsid w:val="00AF3E58"/>
    <w:rsid w:val="00AF4014"/>
    <w:rsid w:val="00AF51B8"/>
    <w:rsid w:val="00AF619E"/>
    <w:rsid w:val="00AF66A9"/>
    <w:rsid w:val="00AF6776"/>
    <w:rsid w:val="00AF67B9"/>
    <w:rsid w:val="00AF7047"/>
    <w:rsid w:val="00AF75D0"/>
    <w:rsid w:val="00B01394"/>
    <w:rsid w:val="00B015D8"/>
    <w:rsid w:val="00B01869"/>
    <w:rsid w:val="00B01E0F"/>
    <w:rsid w:val="00B02C72"/>
    <w:rsid w:val="00B03647"/>
    <w:rsid w:val="00B03BE3"/>
    <w:rsid w:val="00B04FAE"/>
    <w:rsid w:val="00B07B15"/>
    <w:rsid w:val="00B07E59"/>
    <w:rsid w:val="00B07E6F"/>
    <w:rsid w:val="00B109E3"/>
    <w:rsid w:val="00B10A6B"/>
    <w:rsid w:val="00B12067"/>
    <w:rsid w:val="00B120E4"/>
    <w:rsid w:val="00B12442"/>
    <w:rsid w:val="00B12979"/>
    <w:rsid w:val="00B1395A"/>
    <w:rsid w:val="00B13D90"/>
    <w:rsid w:val="00B14853"/>
    <w:rsid w:val="00B1497D"/>
    <w:rsid w:val="00B14ACB"/>
    <w:rsid w:val="00B14E1C"/>
    <w:rsid w:val="00B16112"/>
    <w:rsid w:val="00B16585"/>
    <w:rsid w:val="00B16E53"/>
    <w:rsid w:val="00B17B6B"/>
    <w:rsid w:val="00B17BF2"/>
    <w:rsid w:val="00B17FE1"/>
    <w:rsid w:val="00B20F60"/>
    <w:rsid w:val="00B217C8"/>
    <w:rsid w:val="00B21A03"/>
    <w:rsid w:val="00B21BFD"/>
    <w:rsid w:val="00B23490"/>
    <w:rsid w:val="00B238FC"/>
    <w:rsid w:val="00B24623"/>
    <w:rsid w:val="00B24799"/>
    <w:rsid w:val="00B24DBD"/>
    <w:rsid w:val="00B24F60"/>
    <w:rsid w:val="00B260B2"/>
    <w:rsid w:val="00B262CE"/>
    <w:rsid w:val="00B266E7"/>
    <w:rsid w:val="00B27A34"/>
    <w:rsid w:val="00B30AE8"/>
    <w:rsid w:val="00B321D4"/>
    <w:rsid w:val="00B32641"/>
    <w:rsid w:val="00B32ADB"/>
    <w:rsid w:val="00B32E8C"/>
    <w:rsid w:val="00B333A1"/>
    <w:rsid w:val="00B334C7"/>
    <w:rsid w:val="00B33852"/>
    <w:rsid w:val="00B34EFD"/>
    <w:rsid w:val="00B35254"/>
    <w:rsid w:val="00B3580E"/>
    <w:rsid w:val="00B3596E"/>
    <w:rsid w:val="00B36283"/>
    <w:rsid w:val="00B364E9"/>
    <w:rsid w:val="00B36B28"/>
    <w:rsid w:val="00B41C3D"/>
    <w:rsid w:val="00B42226"/>
    <w:rsid w:val="00B4479A"/>
    <w:rsid w:val="00B45389"/>
    <w:rsid w:val="00B45B36"/>
    <w:rsid w:val="00B473BA"/>
    <w:rsid w:val="00B4757D"/>
    <w:rsid w:val="00B504A9"/>
    <w:rsid w:val="00B5091B"/>
    <w:rsid w:val="00B50D8E"/>
    <w:rsid w:val="00B52F04"/>
    <w:rsid w:val="00B531BB"/>
    <w:rsid w:val="00B53B66"/>
    <w:rsid w:val="00B5410B"/>
    <w:rsid w:val="00B541BF"/>
    <w:rsid w:val="00B5432F"/>
    <w:rsid w:val="00B545A6"/>
    <w:rsid w:val="00B551C7"/>
    <w:rsid w:val="00B55AB2"/>
    <w:rsid w:val="00B55F8A"/>
    <w:rsid w:val="00B571F5"/>
    <w:rsid w:val="00B57245"/>
    <w:rsid w:val="00B574A2"/>
    <w:rsid w:val="00B57558"/>
    <w:rsid w:val="00B60FDB"/>
    <w:rsid w:val="00B61BBF"/>
    <w:rsid w:val="00B61DD0"/>
    <w:rsid w:val="00B6201A"/>
    <w:rsid w:val="00B623A5"/>
    <w:rsid w:val="00B629F7"/>
    <w:rsid w:val="00B62B85"/>
    <w:rsid w:val="00B64712"/>
    <w:rsid w:val="00B64FD5"/>
    <w:rsid w:val="00B6535E"/>
    <w:rsid w:val="00B66194"/>
    <w:rsid w:val="00B67392"/>
    <w:rsid w:val="00B67661"/>
    <w:rsid w:val="00B7016B"/>
    <w:rsid w:val="00B70705"/>
    <w:rsid w:val="00B70DAF"/>
    <w:rsid w:val="00B711BC"/>
    <w:rsid w:val="00B71A90"/>
    <w:rsid w:val="00B737B9"/>
    <w:rsid w:val="00B73888"/>
    <w:rsid w:val="00B7398D"/>
    <w:rsid w:val="00B739F9"/>
    <w:rsid w:val="00B76ACB"/>
    <w:rsid w:val="00B76BB3"/>
    <w:rsid w:val="00B80774"/>
    <w:rsid w:val="00B80F2C"/>
    <w:rsid w:val="00B81294"/>
    <w:rsid w:val="00B81E73"/>
    <w:rsid w:val="00B81F8D"/>
    <w:rsid w:val="00B821A1"/>
    <w:rsid w:val="00B83656"/>
    <w:rsid w:val="00B84288"/>
    <w:rsid w:val="00B84B85"/>
    <w:rsid w:val="00B84BA8"/>
    <w:rsid w:val="00B84EDF"/>
    <w:rsid w:val="00B85D1E"/>
    <w:rsid w:val="00B86515"/>
    <w:rsid w:val="00B86B2B"/>
    <w:rsid w:val="00B872AF"/>
    <w:rsid w:val="00B87574"/>
    <w:rsid w:val="00B87AC9"/>
    <w:rsid w:val="00B87B03"/>
    <w:rsid w:val="00B90A4F"/>
    <w:rsid w:val="00B92BF5"/>
    <w:rsid w:val="00B9427A"/>
    <w:rsid w:val="00B9470C"/>
    <w:rsid w:val="00B94EC5"/>
    <w:rsid w:val="00B951D1"/>
    <w:rsid w:val="00B95DF0"/>
    <w:rsid w:val="00BA016F"/>
    <w:rsid w:val="00BA170C"/>
    <w:rsid w:val="00BA2768"/>
    <w:rsid w:val="00BA4FC2"/>
    <w:rsid w:val="00BA65C3"/>
    <w:rsid w:val="00BA6EAA"/>
    <w:rsid w:val="00BA6F7E"/>
    <w:rsid w:val="00BA724A"/>
    <w:rsid w:val="00BB0359"/>
    <w:rsid w:val="00BB1453"/>
    <w:rsid w:val="00BB1A7B"/>
    <w:rsid w:val="00BB4B2F"/>
    <w:rsid w:val="00BB5243"/>
    <w:rsid w:val="00BC13D9"/>
    <w:rsid w:val="00BC1C3C"/>
    <w:rsid w:val="00BC1FBA"/>
    <w:rsid w:val="00BC249B"/>
    <w:rsid w:val="00BC3553"/>
    <w:rsid w:val="00BC3861"/>
    <w:rsid w:val="00BC5990"/>
    <w:rsid w:val="00BC5D9F"/>
    <w:rsid w:val="00BC5DF9"/>
    <w:rsid w:val="00BC7D20"/>
    <w:rsid w:val="00BD003D"/>
    <w:rsid w:val="00BD0B21"/>
    <w:rsid w:val="00BD0EE7"/>
    <w:rsid w:val="00BD3939"/>
    <w:rsid w:val="00BD470B"/>
    <w:rsid w:val="00BD4EB5"/>
    <w:rsid w:val="00BD6D8B"/>
    <w:rsid w:val="00BD6E8E"/>
    <w:rsid w:val="00BD6EFD"/>
    <w:rsid w:val="00BD7328"/>
    <w:rsid w:val="00BD7EB2"/>
    <w:rsid w:val="00BE086B"/>
    <w:rsid w:val="00BE0C60"/>
    <w:rsid w:val="00BE0EEC"/>
    <w:rsid w:val="00BE11C3"/>
    <w:rsid w:val="00BE126A"/>
    <w:rsid w:val="00BE1433"/>
    <w:rsid w:val="00BE23F9"/>
    <w:rsid w:val="00BE243B"/>
    <w:rsid w:val="00BE2D0B"/>
    <w:rsid w:val="00BE35BD"/>
    <w:rsid w:val="00BE3F0A"/>
    <w:rsid w:val="00BE479E"/>
    <w:rsid w:val="00BE7110"/>
    <w:rsid w:val="00BE733D"/>
    <w:rsid w:val="00BF13A1"/>
    <w:rsid w:val="00BF147C"/>
    <w:rsid w:val="00BF1CFB"/>
    <w:rsid w:val="00BF1EEF"/>
    <w:rsid w:val="00BF2CDC"/>
    <w:rsid w:val="00BF2E25"/>
    <w:rsid w:val="00BF321F"/>
    <w:rsid w:val="00BF40E6"/>
    <w:rsid w:val="00BF4127"/>
    <w:rsid w:val="00BF41F0"/>
    <w:rsid w:val="00BF4AD8"/>
    <w:rsid w:val="00BF78B5"/>
    <w:rsid w:val="00BF7FD0"/>
    <w:rsid w:val="00C013D2"/>
    <w:rsid w:val="00C01995"/>
    <w:rsid w:val="00C01FB1"/>
    <w:rsid w:val="00C0355E"/>
    <w:rsid w:val="00C0395D"/>
    <w:rsid w:val="00C04658"/>
    <w:rsid w:val="00C049B5"/>
    <w:rsid w:val="00C06EB3"/>
    <w:rsid w:val="00C06EC9"/>
    <w:rsid w:val="00C0718B"/>
    <w:rsid w:val="00C07C27"/>
    <w:rsid w:val="00C10A57"/>
    <w:rsid w:val="00C1114E"/>
    <w:rsid w:val="00C123EF"/>
    <w:rsid w:val="00C1286E"/>
    <w:rsid w:val="00C12C13"/>
    <w:rsid w:val="00C12D95"/>
    <w:rsid w:val="00C13858"/>
    <w:rsid w:val="00C159AF"/>
    <w:rsid w:val="00C1664A"/>
    <w:rsid w:val="00C16ADF"/>
    <w:rsid w:val="00C16ECB"/>
    <w:rsid w:val="00C17962"/>
    <w:rsid w:val="00C17CE5"/>
    <w:rsid w:val="00C230C7"/>
    <w:rsid w:val="00C23324"/>
    <w:rsid w:val="00C23AC7"/>
    <w:rsid w:val="00C23B41"/>
    <w:rsid w:val="00C241E5"/>
    <w:rsid w:val="00C2439F"/>
    <w:rsid w:val="00C256D6"/>
    <w:rsid w:val="00C26519"/>
    <w:rsid w:val="00C274D2"/>
    <w:rsid w:val="00C30011"/>
    <w:rsid w:val="00C3083E"/>
    <w:rsid w:val="00C3173C"/>
    <w:rsid w:val="00C31815"/>
    <w:rsid w:val="00C318F8"/>
    <w:rsid w:val="00C31D56"/>
    <w:rsid w:val="00C32716"/>
    <w:rsid w:val="00C32EC9"/>
    <w:rsid w:val="00C332E8"/>
    <w:rsid w:val="00C33676"/>
    <w:rsid w:val="00C35CA6"/>
    <w:rsid w:val="00C35D48"/>
    <w:rsid w:val="00C35D76"/>
    <w:rsid w:val="00C363F4"/>
    <w:rsid w:val="00C366FB"/>
    <w:rsid w:val="00C37AF5"/>
    <w:rsid w:val="00C42758"/>
    <w:rsid w:val="00C428BE"/>
    <w:rsid w:val="00C43B92"/>
    <w:rsid w:val="00C4416B"/>
    <w:rsid w:val="00C47E7B"/>
    <w:rsid w:val="00C47EEF"/>
    <w:rsid w:val="00C501C2"/>
    <w:rsid w:val="00C525A8"/>
    <w:rsid w:val="00C52ECA"/>
    <w:rsid w:val="00C53618"/>
    <w:rsid w:val="00C54E0E"/>
    <w:rsid w:val="00C5540D"/>
    <w:rsid w:val="00C55B71"/>
    <w:rsid w:val="00C56790"/>
    <w:rsid w:val="00C57569"/>
    <w:rsid w:val="00C579FD"/>
    <w:rsid w:val="00C6022F"/>
    <w:rsid w:val="00C60AB5"/>
    <w:rsid w:val="00C6106A"/>
    <w:rsid w:val="00C61583"/>
    <w:rsid w:val="00C62DC9"/>
    <w:rsid w:val="00C63EB7"/>
    <w:rsid w:val="00C64DDE"/>
    <w:rsid w:val="00C66B55"/>
    <w:rsid w:val="00C67442"/>
    <w:rsid w:val="00C67812"/>
    <w:rsid w:val="00C71302"/>
    <w:rsid w:val="00C72DC3"/>
    <w:rsid w:val="00C72E65"/>
    <w:rsid w:val="00C733CF"/>
    <w:rsid w:val="00C73629"/>
    <w:rsid w:val="00C73906"/>
    <w:rsid w:val="00C748C5"/>
    <w:rsid w:val="00C74DE1"/>
    <w:rsid w:val="00C7561A"/>
    <w:rsid w:val="00C761C1"/>
    <w:rsid w:val="00C766E8"/>
    <w:rsid w:val="00C76B0A"/>
    <w:rsid w:val="00C82B59"/>
    <w:rsid w:val="00C82FE9"/>
    <w:rsid w:val="00C8358D"/>
    <w:rsid w:val="00C83C03"/>
    <w:rsid w:val="00C85D6B"/>
    <w:rsid w:val="00C86CEF"/>
    <w:rsid w:val="00C86F86"/>
    <w:rsid w:val="00C87D3A"/>
    <w:rsid w:val="00C910EF"/>
    <w:rsid w:val="00C911CA"/>
    <w:rsid w:val="00C912FA"/>
    <w:rsid w:val="00C91BD1"/>
    <w:rsid w:val="00C91FC3"/>
    <w:rsid w:val="00C92051"/>
    <w:rsid w:val="00C938E6"/>
    <w:rsid w:val="00C93BA1"/>
    <w:rsid w:val="00C93E8E"/>
    <w:rsid w:val="00C94356"/>
    <w:rsid w:val="00C94B8D"/>
    <w:rsid w:val="00C952F1"/>
    <w:rsid w:val="00C95CA9"/>
    <w:rsid w:val="00C95CE2"/>
    <w:rsid w:val="00C96259"/>
    <w:rsid w:val="00C96B39"/>
    <w:rsid w:val="00C9713A"/>
    <w:rsid w:val="00C971FF"/>
    <w:rsid w:val="00C97F56"/>
    <w:rsid w:val="00CA1016"/>
    <w:rsid w:val="00CA1851"/>
    <w:rsid w:val="00CA2205"/>
    <w:rsid w:val="00CA2592"/>
    <w:rsid w:val="00CA2E37"/>
    <w:rsid w:val="00CA3743"/>
    <w:rsid w:val="00CA4E77"/>
    <w:rsid w:val="00CA58EF"/>
    <w:rsid w:val="00CA654E"/>
    <w:rsid w:val="00CA670A"/>
    <w:rsid w:val="00CB0109"/>
    <w:rsid w:val="00CB05EC"/>
    <w:rsid w:val="00CB1CD5"/>
    <w:rsid w:val="00CB21D1"/>
    <w:rsid w:val="00CB24F0"/>
    <w:rsid w:val="00CB3BCC"/>
    <w:rsid w:val="00CB3F11"/>
    <w:rsid w:val="00CB493A"/>
    <w:rsid w:val="00CB54D7"/>
    <w:rsid w:val="00CB5681"/>
    <w:rsid w:val="00CB5E52"/>
    <w:rsid w:val="00CB66E9"/>
    <w:rsid w:val="00CB68C7"/>
    <w:rsid w:val="00CB7261"/>
    <w:rsid w:val="00CB76B0"/>
    <w:rsid w:val="00CB7AE4"/>
    <w:rsid w:val="00CB7B41"/>
    <w:rsid w:val="00CC0DCC"/>
    <w:rsid w:val="00CC1923"/>
    <w:rsid w:val="00CC3552"/>
    <w:rsid w:val="00CC3B56"/>
    <w:rsid w:val="00CC4D3F"/>
    <w:rsid w:val="00CC51C4"/>
    <w:rsid w:val="00CC57A9"/>
    <w:rsid w:val="00CC58B1"/>
    <w:rsid w:val="00CC5ECE"/>
    <w:rsid w:val="00CC6328"/>
    <w:rsid w:val="00CC64C7"/>
    <w:rsid w:val="00CC68D8"/>
    <w:rsid w:val="00CC789B"/>
    <w:rsid w:val="00CC7A86"/>
    <w:rsid w:val="00CD1B9B"/>
    <w:rsid w:val="00CD3281"/>
    <w:rsid w:val="00CD3DE6"/>
    <w:rsid w:val="00CD3F7D"/>
    <w:rsid w:val="00CD6C2E"/>
    <w:rsid w:val="00CD7548"/>
    <w:rsid w:val="00CE1599"/>
    <w:rsid w:val="00CE1BD4"/>
    <w:rsid w:val="00CE259E"/>
    <w:rsid w:val="00CE2F1C"/>
    <w:rsid w:val="00CE3024"/>
    <w:rsid w:val="00CE4A04"/>
    <w:rsid w:val="00CE4C7B"/>
    <w:rsid w:val="00CE5C80"/>
    <w:rsid w:val="00CE683F"/>
    <w:rsid w:val="00CE6FEF"/>
    <w:rsid w:val="00CE72C3"/>
    <w:rsid w:val="00CE7358"/>
    <w:rsid w:val="00CE760E"/>
    <w:rsid w:val="00CF0FC5"/>
    <w:rsid w:val="00CF117E"/>
    <w:rsid w:val="00CF14FF"/>
    <w:rsid w:val="00CF244C"/>
    <w:rsid w:val="00CF26B4"/>
    <w:rsid w:val="00CF363C"/>
    <w:rsid w:val="00CF373D"/>
    <w:rsid w:val="00CF381A"/>
    <w:rsid w:val="00CF3970"/>
    <w:rsid w:val="00CF46F1"/>
    <w:rsid w:val="00CF47D8"/>
    <w:rsid w:val="00CF6066"/>
    <w:rsid w:val="00CF6BE0"/>
    <w:rsid w:val="00CF6DDC"/>
    <w:rsid w:val="00CF6E6F"/>
    <w:rsid w:val="00CF7A14"/>
    <w:rsid w:val="00D00117"/>
    <w:rsid w:val="00D00B5A"/>
    <w:rsid w:val="00D00E69"/>
    <w:rsid w:val="00D014FD"/>
    <w:rsid w:val="00D01574"/>
    <w:rsid w:val="00D015D1"/>
    <w:rsid w:val="00D0250F"/>
    <w:rsid w:val="00D02565"/>
    <w:rsid w:val="00D03332"/>
    <w:rsid w:val="00D035AB"/>
    <w:rsid w:val="00D04F1C"/>
    <w:rsid w:val="00D06D68"/>
    <w:rsid w:val="00D07476"/>
    <w:rsid w:val="00D11C80"/>
    <w:rsid w:val="00D11E9E"/>
    <w:rsid w:val="00D12B8D"/>
    <w:rsid w:val="00D14D96"/>
    <w:rsid w:val="00D162E1"/>
    <w:rsid w:val="00D16945"/>
    <w:rsid w:val="00D16961"/>
    <w:rsid w:val="00D2121A"/>
    <w:rsid w:val="00D22AD1"/>
    <w:rsid w:val="00D22B9F"/>
    <w:rsid w:val="00D22F8D"/>
    <w:rsid w:val="00D2305D"/>
    <w:rsid w:val="00D2365D"/>
    <w:rsid w:val="00D23E0B"/>
    <w:rsid w:val="00D24184"/>
    <w:rsid w:val="00D2459A"/>
    <w:rsid w:val="00D261EA"/>
    <w:rsid w:val="00D26213"/>
    <w:rsid w:val="00D2643F"/>
    <w:rsid w:val="00D269B4"/>
    <w:rsid w:val="00D26F8E"/>
    <w:rsid w:val="00D27E52"/>
    <w:rsid w:val="00D304B7"/>
    <w:rsid w:val="00D31051"/>
    <w:rsid w:val="00D326B4"/>
    <w:rsid w:val="00D33B82"/>
    <w:rsid w:val="00D34069"/>
    <w:rsid w:val="00D37601"/>
    <w:rsid w:val="00D41A63"/>
    <w:rsid w:val="00D41AF8"/>
    <w:rsid w:val="00D44616"/>
    <w:rsid w:val="00D44D47"/>
    <w:rsid w:val="00D45114"/>
    <w:rsid w:val="00D45C66"/>
    <w:rsid w:val="00D46F8D"/>
    <w:rsid w:val="00D504F6"/>
    <w:rsid w:val="00D523CC"/>
    <w:rsid w:val="00D524C3"/>
    <w:rsid w:val="00D53736"/>
    <w:rsid w:val="00D53860"/>
    <w:rsid w:val="00D53B9F"/>
    <w:rsid w:val="00D540E6"/>
    <w:rsid w:val="00D54993"/>
    <w:rsid w:val="00D56C41"/>
    <w:rsid w:val="00D56CE3"/>
    <w:rsid w:val="00D57A54"/>
    <w:rsid w:val="00D57EBD"/>
    <w:rsid w:val="00D60615"/>
    <w:rsid w:val="00D6264C"/>
    <w:rsid w:val="00D62750"/>
    <w:rsid w:val="00D62B1B"/>
    <w:rsid w:val="00D63A84"/>
    <w:rsid w:val="00D6511B"/>
    <w:rsid w:val="00D653A9"/>
    <w:rsid w:val="00D65512"/>
    <w:rsid w:val="00D66A9A"/>
    <w:rsid w:val="00D66C87"/>
    <w:rsid w:val="00D6700C"/>
    <w:rsid w:val="00D677F4"/>
    <w:rsid w:val="00D67944"/>
    <w:rsid w:val="00D67A9E"/>
    <w:rsid w:val="00D70195"/>
    <w:rsid w:val="00D7033D"/>
    <w:rsid w:val="00D70DD5"/>
    <w:rsid w:val="00D719FF"/>
    <w:rsid w:val="00D71C80"/>
    <w:rsid w:val="00D72201"/>
    <w:rsid w:val="00D73132"/>
    <w:rsid w:val="00D73AE0"/>
    <w:rsid w:val="00D75D5C"/>
    <w:rsid w:val="00D75F5B"/>
    <w:rsid w:val="00D767E1"/>
    <w:rsid w:val="00D76F39"/>
    <w:rsid w:val="00D808A5"/>
    <w:rsid w:val="00D808EF"/>
    <w:rsid w:val="00D80F71"/>
    <w:rsid w:val="00D81DD4"/>
    <w:rsid w:val="00D83D6E"/>
    <w:rsid w:val="00D840A2"/>
    <w:rsid w:val="00D84A37"/>
    <w:rsid w:val="00D84D4E"/>
    <w:rsid w:val="00D85378"/>
    <w:rsid w:val="00D866CB"/>
    <w:rsid w:val="00D86961"/>
    <w:rsid w:val="00D86968"/>
    <w:rsid w:val="00D871E2"/>
    <w:rsid w:val="00D876E6"/>
    <w:rsid w:val="00D87D89"/>
    <w:rsid w:val="00D90858"/>
    <w:rsid w:val="00D93D26"/>
    <w:rsid w:val="00D9491F"/>
    <w:rsid w:val="00D95A3E"/>
    <w:rsid w:val="00D95D4E"/>
    <w:rsid w:val="00D95D92"/>
    <w:rsid w:val="00D9606F"/>
    <w:rsid w:val="00D96D9B"/>
    <w:rsid w:val="00DA0A10"/>
    <w:rsid w:val="00DA1D66"/>
    <w:rsid w:val="00DA22FC"/>
    <w:rsid w:val="00DA329D"/>
    <w:rsid w:val="00DA5AA0"/>
    <w:rsid w:val="00DA6824"/>
    <w:rsid w:val="00DA7E0D"/>
    <w:rsid w:val="00DB06B1"/>
    <w:rsid w:val="00DB0835"/>
    <w:rsid w:val="00DB0C22"/>
    <w:rsid w:val="00DB0D31"/>
    <w:rsid w:val="00DB0E0A"/>
    <w:rsid w:val="00DB2B65"/>
    <w:rsid w:val="00DB4271"/>
    <w:rsid w:val="00DB42DC"/>
    <w:rsid w:val="00DB42E5"/>
    <w:rsid w:val="00DB4841"/>
    <w:rsid w:val="00DB5C3C"/>
    <w:rsid w:val="00DB619F"/>
    <w:rsid w:val="00DB6637"/>
    <w:rsid w:val="00DB7517"/>
    <w:rsid w:val="00DC053D"/>
    <w:rsid w:val="00DC1318"/>
    <w:rsid w:val="00DC1880"/>
    <w:rsid w:val="00DC19BE"/>
    <w:rsid w:val="00DC1B2C"/>
    <w:rsid w:val="00DC1EBF"/>
    <w:rsid w:val="00DC33F3"/>
    <w:rsid w:val="00DC39B0"/>
    <w:rsid w:val="00DC4F2C"/>
    <w:rsid w:val="00DC5669"/>
    <w:rsid w:val="00DC57F9"/>
    <w:rsid w:val="00DC58A3"/>
    <w:rsid w:val="00DC5A39"/>
    <w:rsid w:val="00DC5F16"/>
    <w:rsid w:val="00DC6F10"/>
    <w:rsid w:val="00DC71D5"/>
    <w:rsid w:val="00DC7242"/>
    <w:rsid w:val="00DD00FF"/>
    <w:rsid w:val="00DD02A0"/>
    <w:rsid w:val="00DD1E03"/>
    <w:rsid w:val="00DD3151"/>
    <w:rsid w:val="00DD3676"/>
    <w:rsid w:val="00DD424A"/>
    <w:rsid w:val="00DD43DF"/>
    <w:rsid w:val="00DD46B3"/>
    <w:rsid w:val="00DD4FC9"/>
    <w:rsid w:val="00DD5C08"/>
    <w:rsid w:val="00DD725E"/>
    <w:rsid w:val="00DE0473"/>
    <w:rsid w:val="00DE0E5B"/>
    <w:rsid w:val="00DE1486"/>
    <w:rsid w:val="00DE154D"/>
    <w:rsid w:val="00DE34F6"/>
    <w:rsid w:val="00DE351D"/>
    <w:rsid w:val="00DE41FD"/>
    <w:rsid w:val="00DE5161"/>
    <w:rsid w:val="00DE579C"/>
    <w:rsid w:val="00DE5DA4"/>
    <w:rsid w:val="00DE6757"/>
    <w:rsid w:val="00DE70D1"/>
    <w:rsid w:val="00DF05F8"/>
    <w:rsid w:val="00DF0B5E"/>
    <w:rsid w:val="00DF0EEA"/>
    <w:rsid w:val="00DF15C3"/>
    <w:rsid w:val="00DF15E2"/>
    <w:rsid w:val="00DF1C45"/>
    <w:rsid w:val="00DF2AA3"/>
    <w:rsid w:val="00DF31A2"/>
    <w:rsid w:val="00DF3296"/>
    <w:rsid w:val="00DF5FC5"/>
    <w:rsid w:val="00DF6827"/>
    <w:rsid w:val="00DF6B3C"/>
    <w:rsid w:val="00DF7497"/>
    <w:rsid w:val="00DF77E3"/>
    <w:rsid w:val="00DF7C94"/>
    <w:rsid w:val="00DF7CA8"/>
    <w:rsid w:val="00DF7EAF"/>
    <w:rsid w:val="00E01226"/>
    <w:rsid w:val="00E02482"/>
    <w:rsid w:val="00E03311"/>
    <w:rsid w:val="00E03692"/>
    <w:rsid w:val="00E03752"/>
    <w:rsid w:val="00E043C4"/>
    <w:rsid w:val="00E063F1"/>
    <w:rsid w:val="00E06735"/>
    <w:rsid w:val="00E06CEC"/>
    <w:rsid w:val="00E078E1"/>
    <w:rsid w:val="00E11325"/>
    <w:rsid w:val="00E11F88"/>
    <w:rsid w:val="00E13828"/>
    <w:rsid w:val="00E148E1"/>
    <w:rsid w:val="00E16030"/>
    <w:rsid w:val="00E16FEF"/>
    <w:rsid w:val="00E172B0"/>
    <w:rsid w:val="00E17D89"/>
    <w:rsid w:val="00E21693"/>
    <w:rsid w:val="00E21983"/>
    <w:rsid w:val="00E21C67"/>
    <w:rsid w:val="00E21ECE"/>
    <w:rsid w:val="00E22DF1"/>
    <w:rsid w:val="00E2304C"/>
    <w:rsid w:val="00E23AD4"/>
    <w:rsid w:val="00E240E7"/>
    <w:rsid w:val="00E24455"/>
    <w:rsid w:val="00E255E3"/>
    <w:rsid w:val="00E25685"/>
    <w:rsid w:val="00E267E9"/>
    <w:rsid w:val="00E26C7A"/>
    <w:rsid w:val="00E26CC9"/>
    <w:rsid w:val="00E27AE4"/>
    <w:rsid w:val="00E27C91"/>
    <w:rsid w:val="00E31DC1"/>
    <w:rsid w:val="00E33380"/>
    <w:rsid w:val="00E33716"/>
    <w:rsid w:val="00E337B2"/>
    <w:rsid w:val="00E34047"/>
    <w:rsid w:val="00E34985"/>
    <w:rsid w:val="00E3513D"/>
    <w:rsid w:val="00E3525F"/>
    <w:rsid w:val="00E3590E"/>
    <w:rsid w:val="00E37674"/>
    <w:rsid w:val="00E376C3"/>
    <w:rsid w:val="00E37D01"/>
    <w:rsid w:val="00E40A44"/>
    <w:rsid w:val="00E40FB7"/>
    <w:rsid w:val="00E42351"/>
    <w:rsid w:val="00E446F4"/>
    <w:rsid w:val="00E44A4C"/>
    <w:rsid w:val="00E453CB"/>
    <w:rsid w:val="00E45BFC"/>
    <w:rsid w:val="00E4756E"/>
    <w:rsid w:val="00E50332"/>
    <w:rsid w:val="00E50EB0"/>
    <w:rsid w:val="00E51002"/>
    <w:rsid w:val="00E5116D"/>
    <w:rsid w:val="00E53837"/>
    <w:rsid w:val="00E54BC1"/>
    <w:rsid w:val="00E550C0"/>
    <w:rsid w:val="00E5537C"/>
    <w:rsid w:val="00E55418"/>
    <w:rsid w:val="00E568BA"/>
    <w:rsid w:val="00E5793D"/>
    <w:rsid w:val="00E60404"/>
    <w:rsid w:val="00E611D3"/>
    <w:rsid w:val="00E6122F"/>
    <w:rsid w:val="00E61B63"/>
    <w:rsid w:val="00E61C70"/>
    <w:rsid w:val="00E623D9"/>
    <w:rsid w:val="00E624CE"/>
    <w:rsid w:val="00E62839"/>
    <w:rsid w:val="00E6310D"/>
    <w:rsid w:val="00E631C2"/>
    <w:rsid w:val="00E66AC5"/>
    <w:rsid w:val="00E66FCF"/>
    <w:rsid w:val="00E71363"/>
    <w:rsid w:val="00E71C72"/>
    <w:rsid w:val="00E71DC6"/>
    <w:rsid w:val="00E7249A"/>
    <w:rsid w:val="00E726CC"/>
    <w:rsid w:val="00E72865"/>
    <w:rsid w:val="00E72FC9"/>
    <w:rsid w:val="00E73154"/>
    <w:rsid w:val="00E73F7C"/>
    <w:rsid w:val="00E75982"/>
    <w:rsid w:val="00E77012"/>
    <w:rsid w:val="00E77766"/>
    <w:rsid w:val="00E779F9"/>
    <w:rsid w:val="00E80040"/>
    <w:rsid w:val="00E80913"/>
    <w:rsid w:val="00E80A9C"/>
    <w:rsid w:val="00E81393"/>
    <w:rsid w:val="00E8311F"/>
    <w:rsid w:val="00E8471B"/>
    <w:rsid w:val="00E84F73"/>
    <w:rsid w:val="00E85D73"/>
    <w:rsid w:val="00E86387"/>
    <w:rsid w:val="00E86E53"/>
    <w:rsid w:val="00E8702A"/>
    <w:rsid w:val="00E8792F"/>
    <w:rsid w:val="00E90A7B"/>
    <w:rsid w:val="00E90CE5"/>
    <w:rsid w:val="00E91029"/>
    <w:rsid w:val="00E91DBD"/>
    <w:rsid w:val="00E92229"/>
    <w:rsid w:val="00E9358A"/>
    <w:rsid w:val="00E93C58"/>
    <w:rsid w:val="00E952BF"/>
    <w:rsid w:val="00E96081"/>
    <w:rsid w:val="00E9623D"/>
    <w:rsid w:val="00E963CC"/>
    <w:rsid w:val="00EA0103"/>
    <w:rsid w:val="00EA0287"/>
    <w:rsid w:val="00EA1994"/>
    <w:rsid w:val="00EA3320"/>
    <w:rsid w:val="00EA35F2"/>
    <w:rsid w:val="00EA3CC2"/>
    <w:rsid w:val="00EA3F3E"/>
    <w:rsid w:val="00EA5232"/>
    <w:rsid w:val="00EA5987"/>
    <w:rsid w:val="00EA6591"/>
    <w:rsid w:val="00EA65A5"/>
    <w:rsid w:val="00EA6740"/>
    <w:rsid w:val="00EA67EB"/>
    <w:rsid w:val="00EA7206"/>
    <w:rsid w:val="00EB1B4F"/>
    <w:rsid w:val="00EB23D0"/>
    <w:rsid w:val="00EB2F34"/>
    <w:rsid w:val="00EB591A"/>
    <w:rsid w:val="00EB5DDA"/>
    <w:rsid w:val="00EB5E21"/>
    <w:rsid w:val="00EB5F79"/>
    <w:rsid w:val="00EB7353"/>
    <w:rsid w:val="00EC2A3D"/>
    <w:rsid w:val="00EC3229"/>
    <w:rsid w:val="00EC3250"/>
    <w:rsid w:val="00EC39EB"/>
    <w:rsid w:val="00EC3D2A"/>
    <w:rsid w:val="00EC3D53"/>
    <w:rsid w:val="00EC3EAA"/>
    <w:rsid w:val="00EC3F79"/>
    <w:rsid w:val="00EC5CB6"/>
    <w:rsid w:val="00EC63BF"/>
    <w:rsid w:val="00EC64E2"/>
    <w:rsid w:val="00EC7347"/>
    <w:rsid w:val="00ED1394"/>
    <w:rsid w:val="00ED1BBF"/>
    <w:rsid w:val="00ED2A9F"/>
    <w:rsid w:val="00ED3CB6"/>
    <w:rsid w:val="00ED466A"/>
    <w:rsid w:val="00ED625B"/>
    <w:rsid w:val="00ED6714"/>
    <w:rsid w:val="00ED680B"/>
    <w:rsid w:val="00ED7426"/>
    <w:rsid w:val="00EE0BD2"/>
    <w:rsid w:val="00EE0FFF"/>
    <w:rsid w:val="00EE1C40"/>
    <w:rsid w:val="00EE29CF"/>
    <w:rsid w:val="00EE330B"/>
    <w:rsid w:val="00EE39C6"/>
    <w:rsid w:val="00EE3B38"/>
    <w:rsid w:val="00EE49F3"/>
    <w:rsid w:val="00EE5D4F"/>
    <w:rsid w:val="00EE65D5"/>
    <w:rsid w:val="00EF219A"/>
    <w:rsid w:val="00EF2971"/>
    <w:rsid w:val="00EF31B4"/>
    <w:rsid w:val="00EF35A7"/>
    <w:rsid w:val="00EF4B18"/>
    <w:rsid w:val="00EF53B9"/>
    <w:rsid w:val="00EF5E00"/>
    <w:rsid w:val="00EF5FC9"/>
    <w:rsid w:val="00EF692F"/>
    <w:rsid w:val="00EF7B6D"/>
    <w:rsid w:val="00F016F7"/>
    <w:rsid w:val="00F01CB8"/>
    <w:rsid w:val="00F02D9C"/>
    <w:rsid w:val="00F036C1"/>
    <w:rsid w:val="00F03CDF"/>
    <w:rsid w:val="00F0449D"/>
    <w:rsid w:val="00F0661F"/>
    <w:rsid w:val="00F07280"/>
    <w:rsid w:val="00F072B6"/>
    <w:rsid w:val="00F07A15"/>
    <w:rsid w:val="00F110D0"/>
    <w:rsid w:val="00F11BD1"/>
    <w:rsid w:val="00F11F3F"/>
    <w:rsid w:val="00F12244"/>
    <w:rsid w:val="00F1290F"/>
    <w:rsid w:val="00F131DA"/>
    <w:rsid w:val="00F13605"/>
    <w:rsid w:val="00F13E54"/>
    <w:rsid w:val="00F13F09"/>
    <w:rsid w:val="00F14914"/>
    <w:rsid w:val="00F14979"/>
    <w:rsid w:val="00F14FA6"/>
    <w:rsid w:val="00F156AF"/>
    <w:rsid w:val="00F15AAB"/>
    <w:rsid w:val="00F1774E"/>
    <w:rsid w:val="00F21369"/>
    <w:rsid w:val="00F22BB8"/>
    <w:rsid w:val="00F230B0"/>
    <w:rsid w:val="00F23559"/>
    <w:rsid w:val="00F24FAC"/>
    <w:rsid w:val="00F25131"/>
    <w:rsid w:val="00F25BA4"/>
    <w:rsid w:val="00F25DE5"/>
    <w:rsid w:val="00F25E23"/>
    <w:rsid w:val="00F26554"/>
    <w:rsid w:val="00F26C76"/>
    <w:rsid w:val="00F26E24"/>
    <w:rsid w:val="00F30ECD"/>
    <w:rsid w:val="00F32336"/>
    <w:rsid w:val="00F324AD"/>
    <w:rsid w:val="00F32CBD"/>
    <w:rsid w:val="00F330C7"/>
    <w:rsid w:val="00F340ED"/>
    <w:rsid w:val="00F3423A"/>
    <w:rsid w:val="00F3453E"/>
    <w:rsid w:val="00F3463C"/>
    <w:rsid w:val="00F34A8C"/>
    <w:rsid w:val="00F358DF"/>
    <w:rsid w:val="00F432CB"/>
    <w:rsid w:val="00F457E2"/>
    <w:rsid w:val="00F45C7D"/>
    <w:rsid w:val="00F45DB6"/>
    <w:rsid w:val="00F473BD"/>
    <w:rsid w:val="00F47A3D"/>
    <w:rsid w:val="00F47AC3"/>
    <w:rsid w:val="00F502D9"/>
    <w:rsid w:val="00F50D08"/>
    <w:rsid w:val="00F513E2"/>
    <w:rsid w:val="00F526CE"/>
    <w:rsid w:val="00F52E0F"/>
    <w:rsid w:val="00F53AE1"/>
    <w:rsid w:val="00F54C44"/>
    <w:rsid w:val="00F5504E"/>
    <w:rsid w:val="00F552B3"/>
    <w:rsid w:val="00F55EB6"/>
    <w:rsid w:val="00F56D0F"/>
    <w:rsid w:val="00F56DD7"/>
    <w:rsid w:val="00F57C06"/>
    <w:rsid w:val="00F60BB6"/>
    <w:rsid w:val="00F63047"/>
    <w:rsid w:val="00F6328C"/>
    <w:rsid w:val="00F63797"/>
    <w:rsid w:val="00F6386D"/>
    <w:rsid w:val="00F64399"/>
    <w:rsid w:val="00F673C1"/>
    <w:rsid w:val="00F6776E"/>
    <w:rsid w:val="00F6781E"/>
    <w:rsid w:val="00F70944"/>
    <w:rsid w:val="00F71567"/>
    <w:rsid w:val="00F71A94"/>
    <w:rsid w:val="00F71B58"/>
    <w:rsid w:val="00F71DAD"/>
    <w:rsid w:val="00F727C6"/>
    <w:rsid w:val="00F7283F"/>
    <w:rsid w:val="00F72998"/>
    <w:rsid w:val="00F72C15"/>
    <w:rsid w:val="00F7346D"/>
    <w:rsid w:val="00F74C76"/>
    <w:rsid w:val="00F7762D"/>
    <w:rsid w:val="00F77703"/>
    <w:rsid w:val="00F77A7F"/>
    <w:rsid w:val="00F81CA7"/>
    <w:rsid w:val="00F81F4D"/>
    <w:rsid w:val="00F82504"/>
    <w:rsid w:val="00F82B1F"/>
    <w:rsid w:val="00F8349B"/>
    <w:rsid w:val="00F849EB"/>
    <w:rsid w:val="00F84B8A"/>
    <w:rsid w:val="00F85C57"/>
    <w:rsid w:val="00F87591"/>
    <w:rsid w:val="00F87FB5"/>
    <w:rsid w:val="00F90990"/>
    <w:rsid w:val="00F90F3C"/>
    <w:rsid w:val="00F944E2"/>
    <w:rsid w:val="00F94628"/>
    <w:rsid w:val="00F94E4E"/>
    <w:rsid w:val="00F94EA6"/>
    <w:rsid w:val="00F956B3"/>
    <w:rsid w:val="00F9758D"/>
    <w:rsid w:val="00F97A01"/>
    <w:rsid w:val="00FA0300"/>
    <w:rsid w:val="00FA058B"/>
    <w:rsid w:val="00FA0738"/>
    <w:rsid w:val="00FA142C"/>
    <w:rsid w:val="00FA1F5D"/>
    <w:rsid w:val="00FA3403"/>
    <w:rsid w:val="00FA4657"/>
    <w:rsid w:val="00FA4D46"/>
    <w:rsid w:val="00FA582A"/>
    <w:rsid w:val="00FA6301"/>
    <w:rsid w:val="00FB0576"/>
    <w:rsid w:val="00FB13AB"/>
    <w:rsid w:val="00FB13C6"/>
    <w:rsid w:val="00FB1570"/>
    <w:rsid w:val="00FB1678"/>
    <w:rsid w:val="00FB1E79"/>
    <w:rsid w:val="00FB2346"/>
    <w:rsid w:val="00FB2741"/>
    <w:rsid w:val="00FB2C72"/>
    <w:rsid w:val="00FB301B"/>
    <w:rsid w:val="00FB3416"/>
    <w:rsid w:val="00FB3EB4"/>
    <w:rsid w:val="00FB401A"/>
    <w:rsid w:val="00FB401C"/>
    <w:rsid w:val="00FB4A6B"/>
    <w:rsid w:val="00FB50A1"/>
    <w:rsid w:val="00FB630F"/>
    <w:rsid w:val="00FB7438"/>
    <w:rsid w:val="00FB7ABC"/>
    <w:rsid w:val="00FC05CE"/>
    <w:rsid w:val="00FC0837"/>
    <w:rsid w:val="00FC0B6B"/>
    <w:rsid w:val="00FC2458"/>
    <w:rsid w:val="00FC3247"/>
    <w:rsid w:val="00FC38C7"/>
    <w:rsid w:val="00FC42F1"/>
    <w:rsid w:val="00FC43B5"/>
    <w:rsid w:val="00FC5321"/>
    <w:rsid w:val="00FC5418"/>
    <w:rsid w:val="00FC6335"/>
    <w:rsid w:val="00FC6A58"/>
    <w:rsid w:val="00FC6EDE"/>
    <w:rsid w:val="00FD211F"/>
    <w:rsid w:val="00FD22BD"/>
    <w:rsid w:val="00FD2A7B"/>
    <w:rsid w:val="00FD4D8F"/>
    <w:rsid w:val="00FD58B8"/>
    <w:rsid w:val="00FD5DF2"/>
    <w:rsid w:val="00FD64DA"/>
    <w:rsid w:val="00FD6E9B"/>
    <w:rsid w:val="00FD7095"/>
    <w:rsid w:val="00FD7100"/>
    <w:rsid w:val="00FE19AF"/>
    <w:rsid w:val="00FE2521"/>
    <w:rsid w:val="00FE3573"/>
    <w:rsid w:val="00FE3C47"/>
    <w:rsid w:val="00FE4B49"/>
    <w:rsid w:val="00FE4C84"/>
    <w:rsid w:val="00FE66CC"/>
    <w:rsid w:val="00FF1435"/>
    <w:rsid w:val="00FF2A73"/>
    <w:rsid w:val="00FF52B9"/>
    <w:rsid w:val="00FF59E5"/>
    <w:rsid w:val="00FF793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hapeDefaults>
    <o:shapedefaults v:ext="edit" spidmax="2101"/>
    <o:shapelayout v:ext="edit">
      <o:idmap v:ext="edit" data="1"/>
    </o:shapelayout>
  </w:shapeDefaults>
  <w:decimalSymbol w:val="."/>
  <w:listSeparator w:val=","/>
  <w14:docId w14:val="7A1C3A57"/>
  <w15:docId w15:val="{83BC8B85-F313-4210-9835-C3EC51D29C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Times New Roman" w:hAnsi="Cambria"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29"/>
    <w:lsdException w:name="Light Shading Accent 2" w:uiPriority="3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64"/>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162CF"/>
    <w:pPr>
      <w:spacing w:after="200" w:line="276" w:lineRule="auto"/>
    </w:pPr>
    <w:rPr>
      <w:rFonts w:ascii="Calibri" w:hAnsi="Calibri"/>
      <w:sz w:val="22"/>
      <w:szCs w:val="22"/>
      <w:lang w:bidi="en-US"/>
    </w:rPr>
  </w:style>
  <w:style w:type="paragraph" w:styleId="Heading1">
    <w:name w:val="heading 1"/>
    <w:basedOn w:val="Normal"/>
    <w:next w:val="Normal"/>
    <w:link w:val="Heading1Char"/>
    <w:uiPriority w:val="9"/>
    <w:qFormat/>
    <w:rsid w:val="003A7DB9"/>
    <w:pPr>
      <w:keepNext/>
      <w:keepLines/>
      <w:tabs>
        <w:tab w:val="left" w:pos="360"/>
      </w:tabs>
      <w:spacing w:after="240"/>
      <w:ind w:left="360" w:hanging="360"/>
      <w:outlineLvl w:val="0"/>
    </w:pPr>
    <w:rPr>
      <w:b/>
      <w:bCs/>
      <w:color w:val="365F91"/>
      <w:sz w:val="28"/>
      <w:szCs w:val="28"/>
    </w:rPr>
  </w:style>
  <w:style w:type="paragraph" w:styleId="Heading2">
    <w:name w:val="heading 2"/>
    <w:basedOn w:val="NormalIndent"/>
    <w:next w:val="Normal"/>
    <w:link w:val="Heading2Char"/>
    <w:uiPriority w:val="9"/>
    <w:unhideWhenUsed/>
    <w:qFormat/>
    <w:rsid w:val="00766082"/>
    <w:pPr>
      <w:keepNext/>
      <w:keepLines/>
      <w:tabs>
        <w:tab w:val="left" w:pos="504"/>
      </w:tabs>
      <w:spacing w:before="320" w:after="120" w:line="240" w:lineRule="auto"/>
      <w:ind w:left="504" w:hanging="504"/>
      <w:outlineLvl w:val="1"/>
    </w:pPr>
    <w:rPr>
      <w:b/>
      <w:bCs/>
      <w:color w:val="4F81BD"/>
      <w:sz w:val="24"/>
      <w:szCs w:val="26"/>
    </w:rPr>
  </w:style>
  <w:style w:type="paragraph" w:styleId="Heading3">
    <w:name w:val="heading 3"/>
    <w:basedOn w:val="Normal"/>
    <w:next w:val="Normal"/>
    <w:link w:val="Heading3Char"/>
    <w:uiPriority w:val="9"/>
    <w:unhideWhenUsed/>
    <w:qFormat/>
    <w:rsid w:val="00F07280"/>
    <w:pPr>
      <w:keepNext/>
      <w:keepLines/>
      <w:tabs>
        <w:tab w:val="left" w:pos="720"/>
      </w:tabs>
      <w:spacing w:before="320" w:after="120" w:line="240" w:lineRule="auto"/>
      <w:ind w:left="720" w:hanging="720"/>
      <w:outlineLvl w:val="2"/>
    </w:pPr>
    <w:rPr>
      <w:bCs/>
      <w:i/>
      <w:color w:val="4F81BD"/>
      <w:sz w:val="24"/>
    </w:rPr>
  </w:style>
  <w:style w:type="paragraph" w:styleId="Heading4">
    <w:name w:val="heading 4"/>
    <w:basedOn w:val="Normal"/>
    <w:next w:val="Normal"/>
    <w:link w:val="Heading4Char"/>
    <w:uiPriority w:val="9"/>
    <w:unhideWhenUsed/>
    <w:qFormat/>
    <w:rsid w:val="00941919"/>
    <w:pPr>
      <w:keepNext/>
      <w:keepLines/>
      <w:spacing w:before="320" w:after="120"/>
      <w:outlineLvl w:val="3"/>
    </w:pPr>
    <w:rPr>
      <w:bCs/>
      <w:iCs/>
      <w:color w:val="4F81BD"/>
      <w:u w:val="single"/>
    </w:rPr>
  </w:style>
  <w:style w:type="paragraph" w:styleId="Heading5">
    <w:name w:val="heading 5"/>
    <w:basedOn w:val="Normal"/>
    <w:next w:val="Normal"/>
    <w:link w:val="Heading5Char"/>
    <w:uiPriority w:val="9"/>
    <w:unhideWhenUsed/>
    <w:qFormat/>
    <w:rsid w:val="005307B3"/>
    <w:pPr>
      <w:keepNext/>
      <w:keepLines/>
      <w:spacing w:before="200" w:after="0"/>
      <w:outlineLvl w:val="4"/>
    </w:pPr>
    <w:rPr>
      <w:color w:val="243F60"/>
    </w:rPr>
  </w:style>
  <w:style w:type="paragraph" w:styleId="Heading6">
    <w:name w:val="heading 6"/>
    <w:basedOn w:val="Normal"/>
    <w:next w:val="Normal"/>
    <w:link w:val="Heading6Char"/>
    <w:uiPriority w:val="9"/>
    <w:unhideWhenUsed/>
    <w:qFormat/>
    <w:rsid w:val="005307B3"/>
    <w:pPr>
      <w:keepNext/>
      <w:keepLines/>
      <w:spacing w:before="200" w:after="0"/>
      <w:outlineLvl w:val="5"/>
    </w:pPr>
    <w:rPr>
      <w:i/>
      <w:iCs/>
      <w:color w:val="243F60"/>
    </w:rPr>
  </w:style>
  <w:style w:type="paragraph" w:styleId="Heading7">
    <w:name w:val="heading 7"/>
    <w:basedOn w:val="Normal"/>
    <w:next w:val="Normal"/>
    <w:link w:val="Heading7Char"/>
    <w:uiPriority w:val="9"/>
    <w:unhideWhenUsed/>
    <w:qFormat/>
    <w:rsid w:val="005307B3"/>
    <w:pPr>
      <w:keepNext/>
      <w:keepLines/>
      <w:spacing w:before="200" w:after="0"/>
      <w:outlineLvl w:val="6"/>
    </w:pPr>
    <w:rPr>
      <w:i/>
      <w:iCs/>
      <w:color w:val="404040"/>
    </w:rPr>
  </w:style>
  <w:style w:type="paragraph" w:styleId="Heading8">
    <w:name w:val="heading 8"/>
    <w:basedOn w:val="Normal"/>
    <w:next w:val="Normal"/>
    <w:link w:val="Heading8Char"/>
    <w:uiPriority w:val="9"/>
    <w:unhideWhenUsed/>
    <w:qFormat/>
    <w:rsid w:val="005307B3"/>
    <w:pPr>
      <w:keepNext/>
      <w:keepLines/>
      <w:spacing w:before="200" w:after="0"/>
      <w:outlineLvl w:val="7"/>
    </w:pPr>
    <w:rPr>
      <w:color w:val="4F81BD"/>
      <w:sz w:val="20"/>
      <w:szCs w:val="20"/>
    </w:rPr>
  </w:style>
  <w:style w:type="paragraph" w:styleId="Heading9">
    <w:name w:val="heading 9"/>
    <w:basedOn w:val="Normal"/>
    <w:next w:val="Normal"/>
    <w:link w:val="Heading9Char"/>
    <w:uiPriority w:val="9"/>
    <w:unhideWhenUsed/>
    <w:qFormat/>
    <w:rsid w:val="005307B3"/>
    <w:pPr>
      <w:keepNext/>
      <w:keepLines/>
      <w:spacing w:before="200" w:after="0"/>
      <w:outlineLvl w:val="8"/>
    </w:pPr>
    <w:rPr>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3A7DB9"/>
    <w:rPr>
      <w:rFonts w:ascii="Calibri" w:hAnsi="Calibri"/>
      <w:b/>
      <w:bCs/>
      <w:color w:val="365F91"/>
      <w:sz w:val="28"/>
      <w:szCs w:val="28"/>
      <w:lang w:bidi="en-US"/>
    </w:rPr>
  </w:style>
  <w:style w:type="paragraph" w:styleId="NormalIndent">
    <w:name w:val="Normal Indent"/>
    <w:basedOn w:val="Normal"/>
    <w:uiPriority w:val="99"/>
    <w:semiHidden/>
    <w:unhideWhenUsed/>
    <w:rsid w:val="009B1AA9"/>
    <w:pPr>
      <w:ind w:left="720"/>
    </w:pPr>
  </w:style>
  <w:style w:type="character" w:customStyle="1" w:styleId="Heading2Char">
    <w:name w:val="Heading 2 Char"/>
    <w:link w:val="Heading2"/>
    <w:uiPriority w:val="9"/>
    <w:rsid w:val="00766082"/>
    <w:rPr>
      <w:rFonts w:ascii="Calibri" w:hAnsi="Calibri"/>
      <w:b/>
      <w:bCs/>
      <w:color w:val="4F81BD"/>
      <w:sz w:val="24"/>
      <w:szCs w:val="26"/>
      <w:lang w:bidi="en-US"/>
    </w:rPr>
  </w:style>
  <w:style w:type="character" w:customStyle="1" w:styleId="Heading3Char">
    <w:name w:val="Heading 3 Char"/>
    <w:link w:val="Heading3"/>
    <w:uiPriority w:val="9"/>
    <w:rsid w:val="00F07280"/>
    <w:rPr>
      <w:rFonts w:ascii="Calibri" w:hAnsi="Calibri"/>
      <w:bCs/>
      <w:i/>
      <w:color w:val="4F81BD"/>
      <w:sz w:val="24"/>
      <w:szCs w:val="22"/>
      <w:lang w:bidi="en-US"/>
    </w:rPr>
  </w:style>
  <w:style w:type="character" w:customStyle="1" w:styleId="Heading4Char">
    <w:name w:val="Heading 4 Char"/>
    <w:link w:val="Heading4"/>
    <w:uiPriority w:val="9"/>
    <w:rsid w:val="00941919"/>
    <w:rPr>
      <w:rFonts w:ascii="Calibri" w:hAnsi="Calibri"/>
      <w:bCs/>
      <w:iCs/>
      <w:color w:val="4F81BD"/>
      <w:sz w:val="22"/>
      <w:szCs w:val="22"/>
      <w:u w:val="single"/>
      <w:lang w:bidi="en-US"/>
    </w:rPr>
  </w:style>
  <w:style w:type="character" w:customStyle="1" w:styleId="Heading5Char">
    <w:name w:val="Heading 5 Char"/>
    <w:link w:val="Heading5"/>
    <w:uiPriority w:val="9"/>
    <w:rsid w:val="005307B3"/>
    <w:rPr>
      <w:rFonts w:ascii="Calibri" w:eastAsia="Times New Roman" w:hAnsi="Calibri" w:cs="Times New Roman"/>
      <w:color w:val="243F60"/>
    </w:rPr>
  </w:style>
  <w:style w:type="character" w:customStyle="1" w:styleId="Heading6Char">
    <w:name w:val="Heading 6 Char"/>
    <w:link w:val="Heading6"/>
    <w:uiPriority w:val="9"/>
    <w:rsid w:val="005307B3"/>
    <w:rPr>
      <w:rFonts w:ascii="Calibri" w:eastAsia="Times New Roman" w:hAnsi="Calibri" w:cs="Times New Roman"/>
      <w:i/>
      <w:iCs/>
      <w:color w:val="243F60"/>
    </w:rPr>
  </w:style>
  <w:style w:type="character" w:customStyle="1" w:styleId="Heading7Char">
    <w:name w:val="Heading 7 Char"/>
    <w:link w:val="Heading7"/>
    <w:uiPriority w:val="9"/>
    <w:rsid w:val="005307B3"/>
    <w:rPr>
      <w:rFonts w:ascii="Calibri" w:eastAsia="Times New Roman" w:hAnsi="Calibri" w:cs="Times New Roman"/>
      <w:i/>
      <w:iCs/>
      <w:color w:val="404040"/>
    </w:rPr>
  </w:style>
  <w:style w:type="character" w:customStyle="1" w:styleId="Heading8Char">
    <w:name w:val="Heading 8 Char"/>
    <w:link w:val="Heading8"/>
    <w:uiPriority w:val="9"/>
    <w:rsid w:val="005307B3"/>
    <w:rPr>
      <w:rFonts w:ascii="Calibri" w:eastAsia="Times New Roman" w:hAnsi="Calibri" w:cs="Times New Roman"/>
      <w:color w:val="4F81BD"/>
      <w:sz w:val="20"/>
      <w:szCs w:val="20"/>
    </w:rPr>
  </w:style>
  <w:style w:type="character" w:customStyle="1" w:styleId="Heading9Char">
    <w:name w:val="Heading 9 Char"/>
    <w:link w:val="Heading9"/>
    <w:uiPriority w:val="9"/>
    <w:rsid w:val="005307B3"/>
    <w:rPr>
      <w:rFonts w:ascii="Calibri" w:eastAsia="Times New Roman" w:hAnsi="Calibri" w:cs="Times New Roman"/>
      <w:i/>
      <w:iCs/>
      <w:color w:val="404040"/>
      <w:sz w:val="20"/>
      <w:szCs w:val="20"/>
    </w:rPr>
  </w:style>
  <w:style w:type="paragraph" w:styleId="List2">
    <w:name w:val="List 2"/>
    <w:basedOn w:val="Normal"/>
    <w:uiPriority w:val="99"/>
    <w:semiHidden/>
    <w:unhideWhenUsed/>
    <w:rsid w:val="005307B3"/>
    <w:pPr>
      <w:ind w:left="720" w:hanging="360"/>
      <w:contextualSpacing/>
    </w:pPr>
  </w:style>
  <w:style w:type="paragraph" w:styleId="ListParagraph">
    <w:name w:val="List Paragraph"/>
    <w:basedOn w:val="Normal"/>
    <w:uiPriority w:val="34"/>
    <w:qFormat/>
    <w:rsid w:val="005307B3"/>
    <w:pPr>
      <w:ind w:left="720"/>
      <w:contextualSpacing/>
    </w:pPr>
  </w:style>
  <w:style w:type="paragraph" w:styleId="TOCHeading">
    <w:name w:val="TOC Heading"/>
    <w:basedOn w:val="Heading1"/>
    <w:next w:val="Normal"/>
    <w:uiPriority w:val="39"/>
    <w:unhideWhenUsed/>
    <w:qFormat/>
    <w:rsid w:val="005307B3"/>
    <w:pPr>
      <w:outlineLvl w:val="9"/>
    </w:pPr>
  </w:style>
  <w:style w:type="paragraph" w:styleId="TOC2">
    <w:name w:val="toc 2"/>
    <w:basedOn w:val="Normal"/>
    <w:next w:val="Normal"/>
    <w:link w:val="TOC2Char"/>
    <w:autoRedefine/>
    <w:uiPriority w:val="39"/>
    <w:unhideWhenUsed/>
    <w:qFormat/>
    <w:rsid w:val="00186E1C"/>
    <w:pPr>
      <w:tabs>
        <w:tab w:val="right" w:leader="dot" w:pos="9350"/>
      </w:tabs>
      <w:spacing w:after="100"/>
      <w:ind w:left="720" w:hanging="360"/>
    </w:pPr>
    <w:rPr>
      <w:i/>
      <w:noProof/>
    </w:rPr>
  </w:style>
  <w:style w:type="character" w:customStyle="1" w:styleId="TOC2Char">
    <w:name w:val="TOC 2 Char"/>
    <w:link w:val="TOC2"/>
    <w:uiPriority w:val="39"/>
    <w:rsid w:val="00186E1C"/>
    <w:rPr>
      <w:rFonts w:ascii="Calibri" w:hAnsi="Calibri"/>
      <w:i/>
      <w:noProof/>
      <w:sz w:val="22"/>
      <w:szCs w:val="22"/>
      <w:lang w:bidi="en-US"/>
    </w:rPr>
  </w:style>
  <w:style w:type="paragraph" w:styleId="TOC1">
    <w:name w:val="toc 1"/>
    <w:basedOn w:val="Normal"/>
    <w:next w:val="Normal"/>
    <w:link w:val="TOC1Char"/>
    <w:autoRedefine/>
    <w:uiPriority w:val="39"/>
    <w:unhideWhenUsed/>
    <w:qFormat/>
    <w:rsid w:val="0059131C"/>
    <w:pPr>
      <w:tabs>
        <w:tab w:val="left" w:pos="450"/>
        <w:tab w:val="right" w:leader="dot" w:pos="9350"/>
      </w:tabs>
      <w:spacing w:after="100"/>
      <w:ind w:left="450" w:hanging="270"/>
    </w:pPr>
    <w:rPr>
      <w:b/>
    </w:rPr>
  </w:style>
  <w:style w:type="character" w:customStyle="1" w:styleId="TOC1Char">
    <w:name w:val="TOC 1 Char"/>
    <w:link w:val="TOC1"/>
    <w:uiPriority w:val="39"/>
    <w:rsid w:val="0059131C"/>
    <w:rPr>
      <w:b/>
      <w:sz w:val="22"/>
      <w:szCs w:val="22"/>
      <w:lang w:bidi="en-US"/>
    </w:rPr>
  </w:style>
  <w:style w:type="paragraph" w:styleId="TOC3">
    <w:name w:val="toc 3"/>
    <w:basedOn w:val="Normal"/>
    <w:next w:val="Normal"/>
    <w:autoRedefine/>
    <w:uiPriority w:val="39"/>
    <w:unhideWhenUsed/>
    <w:qFormat/>
    <w:rsid w:val="00E50EB0"/>
    <w:pPr>
      <w:tabs>
        <w:tab w:val="right" w:leader="dot" w:pos="9350"/>
      </w:tabs>
      <w:spacing w:after="100"/>
      <w:ind w:left="1440" w:hanging="720"/>
    </w:pPr>
  </w:style>
  <w:style w:type="paragraph" w:styleId="BalloonText">
    <w:name w:val="Balloon Text"/>
    <w:basedOn w:val="Normal"/>
    <w:link w:val="BalloonTextChar"/>
    <w:uiPriority w:val="99"/>
    <w:semiHidden/>
    <w:unhideWhenUsed/>
    <w:rsid w:val="005B54B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5B54BF"/>
    <w:rPr>
      <w:rFonts w:ascii="Tahoma" w:hAnsi="Tahoma" w:cs="Tahoma"/>
      <w:sz w:val="16"/>
      <w:szCs w:val="16"/>
    </w:rPr>
  </w:style>
  <w:style w:type="character" w:styleId="Hyperlink">
    <w:name w:val="Hyperlink"/>
    <w:uiPriority w:val="99"/>
    <w:unhideWhenUsed/>
    <w:rsid w:val="005B54BF"/>
    <w:rPr>
      <w:color w:val="0000FF"/>
      <w:u w:val="single"/>
    </w:rPr>
  </w:style>
  <w:style w:type="paragraph" w:styleId="Header">
    <w:name w:val="header"/>
    <w:basedOn w:val="Normal"/>
    <w:link w:val="HeaderChar"/>
    <w:uiPriority w:val="99"/>
    <w:unhideWhenUsed/>
    <w:rsid w:val="005B54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5B54BF"/>
  </w:style>
  <w:style w:type="paragraph" w:styleId="Footer">
    <w:name w:val="footer"/>
    <w:basedOn w:val="Normal"/>
    <w:link w:val="FooterChar"/>
    <w:uiPriority w:val="99"/>
    <w:unhideWhenUsed/>
    <w:rsid w:val="00407B0E"/>
    <w:pPr>
      <w:tabs>
        <w:tab w:val="center" w:pos="4680"/>
        <w:tab w:val="right" w:pos="9360"/>
      </w:tabs>
      <w:spacing w:after="0" w:line="240" w:lineRule="auto"/>
    </w:pPr>
  </w:style>
  <w:style w:type="character" w:customStyle="1" w:styleId="FooterChar">
    <w:name w:val="Footer Char"/>
    <w:link w:val="Footer"/>
    <w:uiPriority w:val="99"/>
    <w:rsid w:val="00407B0E"/>
    <w:rPr>
      <w:sz w:val="22"/>
      <w:szCs w:val="22"/>
      <w:lang w:bidi="en-US"/>
    </w:rPr>
  </w:style>
  <w:style w:type="paragraph" w:styleId="BodyText3">
    <w:name w:val="Body Text 3"/>
    <w:basedOn w:val="Normal"/>
    <w:link w:val="BodyText3Char"/>
    <w:semiHidden/>
    <w:rsid w:val="00D53860"/>
    <w:pPr>
      <w:spacing w:after="0" w:line="240" w:lineRule="auto"/>
    </w:pPr>
    <w:rPr>
      <w:rFonts w:ascii="Times New Roman" w:hAnsi="Times New Roman"/>
      <w:i/>
      <w:color w:val="FF0000"/>
      <w:sz w:val="20"/>
      <w:szCs w:val="20"/>
    </w:rPr>
  </w:style>
  <w:style w:type="character" w:customStyle="1" w:styleId="BodyText3Char">
    <w:name w:val="Body Text 3 Char"/>
    <w:link w:val="BodyText3"/>
    <w:semiHidden/>
    <w:rsid w:val="00D53860"/>
    <w:rPr>
      <w:rFonts w:ascii="Times New Roman" w:eastAsia="Times New Roman" w:hAnsi="Times New Roman" w:cs="Times New Roman"/>
      <w:i/>
      <w:color w:val="FF0000"/>
      <w:sz w:val="20"/>
      <w:szCs w:val="20"/>
    </w:rPr>
  </w:style>
  <w:style w:type="table" w:styleId="TableGrid">
    <w:name w:val="Table Grid"/>
    <w:basedOn w:val="TableNormal"/>
    <w:uiPriority w:val="59"/>
    <w:rsid w:val="002D1A8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2D1A8C"/>
    <w:pPr>
      <w:spacing w:before="100" w:beforeAutospacing="1" w:after="100" w:afterAutospacing="1" w:line="240" w:lineRule="auto"/>
    </w:pPr>
    <w:rPr>
      <w:rFonts w:ascii="Times New Roman" w:hAnsi="Times New Roman"/>
      <w:sz w:val="24"/>
      <w:szCs w:val="24"/>
    </w:rPr>
  </w:style>
  <w:style w:type="paragraph" w:customStyle="1" w:styleId="TOT">
    <w:name w:val="TOT"/>
    <w:basedOn w:val="TOC1"/>
    <w:link w:val="TOTChar"/>
    <w:qFormat/>
    <w:rsid w:val="00140775"/>
    <w:pPr>
      <w:spacing w:after="120" w:line="240" w:lineRule="auto"/>
      <w:ind w:left="0" w:firstLine="0"/>
    </w:pPr>
    <w:rPr>
      <w:rFonts w:ascii="Arial" w:hAnsi="Arial"/>
      <w:sz w:val="20"/>
    </w:rPr>
  </w:style>
  <w:style w:type="character" w:customStyle="1" w:styleId="TOTChar">
    <w:name w:val="TOT Char"/>
    <w:link w:val="TOT"/>
    <w:rsid w:val="00140775"/>
    <w:rPr>
      <w:rFonts w:ascii="Arial" w:hAnsi="Arial"/>
      <w:b/>
      <w:sz w:val="22"/>
      <w:szCs w:val="22"/>
      <w:lang w:bidi="en-US"/>
    </w:rPr>
  </w:style>
  <w:style w:type="paragraph" w:styleId="TableofFigures">
    <w:name w:val="table of figures"/>
    <w:basedOn w:val="Normal"/>
    <w:next w:val="Normal"/>
    <w:uiPriority w:val="99"/>
    <w:unhideWhenUsed/>
    <w:rsid w:val="00876168"/>
    <w:pPr>
      <w:spacing w:after="0"/>
    </w:pPr>
  </w:style>
  <w:style w:type="paragraph" w:customStyle="1" w:styleId="TOF">
    <w:name w:val="TOF"/>
    <w:basedOn w:val="TOC2"/>
    <w:link w:val="TOFChar"/>
    <w:qFormat/>
    <w:rsid w:val="00140775"/>
    <w:pPr>
      <w:spacing w:line="240" w:lineRule="auto"/>
      <w:ind w:left="0" w:firstLine="0"/>
    </w:pPr>
    <w:rPr>
      <w:rFonts w:ascii="Arial" w:hAnsi="Arial"/>
      <w:sz w:val="20"/>
    </w:rPr>
  </w:style>
  <w:style w:type="character" w:customStyle="1" w:styleId="TOFChar">
    <w:name w:val="TOF Char"/>
    <w:link w:val="TOF"/>
    <w:rsid w:val="00140775"/>
    <w:rPr>
      <w:rFonts w:ascii="Arial" w:hAnsi="Arial"/>
      <w:b/>
      <w:i/>
      <w:noProof/>
      <w:sz w:val="22"/>
      <w:szCs w:val="22"/>
      <w:lang w:bidi="en-US"/>
    </w:rPr>
  </w:style>
  <w:style w:type="paragraph" w:customStyle="1" w:styleId="GMX-bullet">
    <w:name w:val="GMX-bullet"/>
    <w:basedOn w:val="Normal"/>
    <w:rsid w:val="002C734C"/>
    <w:pPr>
      <w:tabs>
        <w:tab w:val="num" w:pos="720"/>
      </w:tabs>
      <w:spacing w:after="240" w:line="240" w:lineRule="auto"/>
      <w:ind w:left="720" w:hanging="360"/>
    </w:pPr>
    <w:rPr>
      <w:rFonts w:ascii="Times New Roman" w:hAnsi="Times New Roman"/>
      <w:sz w:val="24"/>
      <w:szCs w:val="24"/>
    </w:rPr>
  </w:style>
  <w:style w:type="paragraph" w:customStyle="1" w:styleId="GMX-listintro">
    <w:name w:val="GMX-list intro"/>
    <w:basedOn w:val="Normal"/>
    <w:next w:val="GMX-bullet"/>
    <w:rsid w:val="002C734C"/>
    <w:pPr>
      <w:spacing w:line="312" w:lineRule="auto"/>
    </w:pPr>
    <w:rPr>
      <w:rFonts w:ascii="Times New Roman" w:hAnsi="Times New Roman"/>
      <w:sz w:val="24"/>
      <w:szCs w:val="20"/>
    </w:rPr>
  </w:style>
  <w:style w:type="paragraph" w:customStyle="1" w:styleId="TableofTables">
    <w:name w:val="Table of Tables"/>
    <w:basedOn w:val="TableofFigures"/>
    <w:next w:val="TableofFigures"/>
    <w:rsid w:val="002C734C"/>
    <w:pPr>
      <w:spacing w:line="240" w:lineRule="auto"/>
    </w:pPr>
    <w:rPr>
      <w:rFonts w:ascii="Arial" w:hAnsi="Arial" w:cs="Arial"/>
      <w:sz w:val="24"/>
      <w:szCs w:val="24"/>
    </w:rPr>
  </w:style>
  <w:style w:type="table" w:customStyle="1" w:styleId="LightList1">
    <w:name w:val="Light List1"/>
    <w:basedOn w:val="TableNormal"/>
    <w:uiPriority w:val="61"/>
    <w:rsid w:val="003D2A48"/>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italtext">
    <w:name w:val="italtext"/>
    <w:basedOn w:val="DefaultParagraphFont"/>
    <w:rsid w:val="007E3FBE"/>
  </w:style>
  <w:style w:type="character" w:customStyle="1" w:styleId="bodytext">
    <w:name w:val="bodytext"/>
    <w:basedOn w:val="DefaultParagraphFont"/>
    <w:rsid w:val="007E3FBE"/>
  </w:style>
  <w:style w:type="paragraph" w:customStyle="1" w:styleId="FigureTitle">
    <w:name w:val="Figure Title"/>
    <w:basedOn w:val="Normal"/>
    <w:autoRedefine/>
    <w:rsid w:val="006D1226"/>
    <w:pPr>
      <w:spacing w:after="0" w:line="240" w:lineRule="auto"/>
      <w:ind w:left="252" w:hanging="252"/>
    </w:pPr>
    <w:rPr>
      <w:rFonts w:ascii="Times New Roman" w:hAnsi="Times New Roman"/>
      <w:sz w:val="20"/>
      <w:szCs w:val="24"/>
    </w:rPr>
  </w:style>
  <w:style w:type="character" w:styleId="PlaceholderText">
    <w:name w:val="Placeholder Text"/>
    <w:uiPriority w:val="99"/>
    <w:semiHidden/>
    <w:rsid w:val="006C161E"/>
    <w:rPr>
      <w:color w:val="808080"/>
    </w:rPr>
  </w:style>
  <w:style w:type="character" w:styleId="CommentReference">
    <w:name w:val="annotation reference"/>
    <w:uiPriority w:val="99"/>
    <w:unhideWhenUsed/>
    <w:rsid w:val="00791250"/>
    <w:rPr>
      <w:sz w:val="16"/>
      <w:szCs w:val="16"/>
    </w:rPr>
  </w:style>
  <w:style w:type="paragraph" w:styleId="CommentText">
    <w:name w:val="annotation text"/>
    <w:basedOn w:val="Normal"/>
    <w:link w:val="CommentTextChar"/>
    <w:uiPriority w:val="99"/>
    <w:unhideWhenUsed/>
    <w:rsid w:val="00791250"/>
    <w:pPr>
      <w:spacing w:line="240" w:lineRule="auto"/>
    </w:pPr>
    <w:rPr>
      <w:sz w:val="20"/>
      <w:szCs w:val="20"/>
    </w:rPr>
  </w:style>
  <w:style w:type="character" w:customStyle="1" w:styleId="CommentTextChar">
    <w:name w:val="Comment Text Char"/>
    <w:link w:val="CommentText"/>
    <w:uiPriority w:val="99"/>
    <w:rsid w:val="00791250"/>
    <w:rPr>
      <w:sz w:val="20"/>
      <w:szCs w:val="20"/>
    </w:rPr>
  </w:style>
  <w:style w:type="paragraph" w:styleId="CommentSubject">
    <w:name w:val="annotation subject"/>
    <w:basedOn w:val="CommentText"/>
    <w:next w:val="CommentText"/>
    <w:link w:val="CommentSubjectChar"/>
    <w:uiPriority w:val="99"/>
    <w:semiHidden/>
    <w:unhideWhenUsed/>
    <w:rsid w:val="00791250"/>
    <w:rPr>
      <w:b/>
      <w:bCs/>
    </w:rPr>
  </w:style>
  <w:style w:type="character" w:customStyle="1" w:styleId="CommentSubjectChar">
    <w:name w:val="Comment Subject Char"/>
    <w:link w:val="CommentSubject"/>
    <w:uiPriority w:val="99"/>
    <w:semiHidden/>
    <w:rsid w:val="00791250"/>
    <w:rPr>
      <w:b/>
      <w:bCs/>
      <w:sz w:val="20"/>
      <w:szCs w:val="20"/>
    </w:rPr>
  </w:style>
  <w:style w:type="paragraph" w:styleId="Revision">
    <w:name w:val="Revision"/>
    <w:hidden/>
    <w:uiPriority w:val="99"/>
    <w:semiHidden/>
    <w:rsid w:val="00BB4B2F"/>
    <w:rPr>
      <w:sz w:val="22"/>
      <w:szCs w:val="22"/>
      <w:lang w:bidi="en-US"/>
    </w:rPr>
  </w:style>
  <w:style w:type="paragraph" w:styleId="FootnoteText">
    <w:name w:val="footnote text"/>
    <w:basedOn w:val="Normal"/>
    <w:link w:val="FootnoteTextChar"/>
    <w:uiPriority w:val="99"/>
    <w:unhideWhenUsed/>
    <w:rsid w:val="00EF53B9"/>
    <w:pPr>
      <w:spacing w:after="0" w:line="240" w:lineRule="auto"/>
    </w:pPr>
    <w:rPr>
      <w:sz w:val="20"/>
      <w:szCs w:val="20"/>
    </w:rPr>
  </w:style>
  <w:style w:type="character" w:customStyle="1" w:styleId="FootnoteTextChar">
    <w:name w:val="Footnote Text Char"/>
    <w:link w:val="FootnoteText"/>
    <w:uiPriority w:val="99"/>
    <w:rsid w:val="00EF53B9"/>
    <w:rPr>
      <w:sz w:val="20"/>
      <w:szCs w:val="20"/>
    </w:rPr>
  </w:style>
  <w:style w:type="character" w:styleId="FootnoteReference">
    <w:name w:val="footnote reference"/>
    <w:uiPriority w:val="99"/>
    <w:unhideWhenUsed/>
    <w:rsid w:val="00EF53B9"/>
    <w:rPr>
      <w:vertAlign w:val="superscript"/>
    </w:rPr>
  </w:style>
  <w:style w:type="character" w:styleId="FollowedHyperlink">
    <w:name w:val="FollowedHyperlink"/>
    <w:uiPriority w:val="99"/>
    <w:semiHidden/>
    <w:unhideWhenUsed/>
    <w:rsid w:val="00C76B0A"/>
    <w:rPr>
      <w:color w:val="800080"/>
      <w:u w:val="single"/>
    </w:rPr>
  </w:style>
  <w:style w:type="paragraph" w:styleId="Caption">
    <w:name w:val="caption"/>
    <w:basedOn w:val="Normal"/>
    <w:next w:val="Normal"/>
    <w:uiPriority w:val="35"/>
    <w:unhideWhenUsed/>
    <w:qFormat/>
    <w:rsid w:val="005307B3"/>
    <w:pPr>
      <w:spacing w:line="240" w:lineRule="auto"/>
    </w:pPr>
    <w:rPr>
      <w:b/>
      <w:bCs/>
      <w:color w:val="4F81BD"/>
      <w:sz w:val="18"/>
      <w:szCs w:val="18"/>
    </w:rPr>
  </w:style>
  <w:style w:type="paragraph" w:styleId="Title">
    <w:name w:val="Title"/>
    <w:basedOn w:val="Normal"/>
    <w:next w:val="Normal"/>
    <w:link w:val="TitleChar"/>
    <w:uiPriority w:val="10"/>
    <w:qFormat/>
    <w:rsid w:val="005307B3"/>
    <w:pPr>
      <w:pBdr>
        <w:bottom w:val="single" w:sz="8" w:space="4" w:color="4F81BD"/>
      </w:pBdr>
      <w:spacing w:after="300" w:line="240" w:lineRule="auto"/>
      <w:contextualSpacing/>
    </w:pPr>
    <w:rPr>
      <w:color w:val="17365D"/>
      <w:spacing w:val="5"/>
      <w:kern w:val="28"/>
      <w:sz w:val="52"/>
      <w:szCs w:val="52"/>
    </w:rPr>
  </w:style>
  <w:style w:type="character" w:customStyle="1" w:styleId="TitleChar">
    <w:name w:val="Title Char"/>
    <w:link w:val="Title"/>
    <w:uiPriority w:val="10"/>
    <w:rsid w:val="005307B3"/>
    <w:rPr>
      <w:rFonts w:ascii="Calibri" w:eastAsia="Times New Roman" w:hAnsi="Calibri" w:cs="Times New Roman"/>
      <w:color w:val="17365D"/>
      <w:spacing w:val="5"/>
      <w:kern w:val="28"/>
      <w:sz w:val="52"/>
      <w:szCs w:val="52"/>
    </w:rPr>
  </w:style>
  <w:style w:type="paragraph" w:styleId="Subtitle">
    <w:name w:val="Subtitle"/>
    <w:basedOn w:val="Normal"/>
    <w:next w:val="Normal"/>
    <w:link w:val="SubtitleChar"/>
    <w:uiPriority w:val="11"/>
    <w:qFormat/>
    <w:rsid w:val="005307B3"/>
    <w:pPr>
      <w:numPr>
        <w:ilvl w:val="1"/>
      </w:numPr>
    </w:pPr>
    <w:rPr>
      <w:i/>
      <w:iCs/>
      <w:color w:val="4F81BD"/>
      <w:spacing w:val="15"/>
      <w:sz w:val="24"/>
      <w:szCs w:val="24"/>
    </w:rPr>
  </w:style>
  <w:style w:type="character" w:customStyle="1" w:styleId="SubtitleChar">
    <w:name w:val="Subtitle Char"/>
    <w:link w:val="Subtitle"/>
    <w:uiPriority w:val="11"/>
    <w:rsid w:val="005307B3"/>
    <w:rPr>
      <w:rFonts w:ascii="Calibri" w:eastAsia="Times New Roman" w:hAnsi="Calibri" w:cs="Times New Roman"/>
      <w:i/>
      <w:iCs/>
      <w:color w:val="4F81BD"/>
      <w:spacing w:val="15"/>
      <w:sz w:val="24"/>
      <w:szCs w:val="24"/>
    </w:rPr>
  </w:style>
  <w:style w:type="character" w:styleId="Strong">
    <w:name w:val="Strong"/>
    <w:uiPriority w:val="22"/>
    <w:qFormat/>
    <w:rsid w:val="005307B3"/>
    <w:rPr>
      <w:b/>
      <w:bCs/>
    </w:rPr>
  </w:style>
  <w:style w:type="character" w:styleId="Emphasis">
    <w:name w:val="Emphasis"/>
    <w:uiPriority w:val="20"/>
    <w:qFormat/>
    <w:rsid w:val="005307B3"/>
    <w:rPr>
      <w:i/>
      <w:iCs/>
    </w:rPr>
  </w:style>
  <w:style w:type="paragraph" w:styleId="NoSpacing">
    <w:name w:val="No Spacing"/>
    <w:link w:val="NoSpacingChar"/>
    <w:uiPriority w:val="1"/>
    <w:qFormat/>
    <w:rsid w:val="005307B3"/>
    <w:rPr>
      <w:sz w:val="22"/>
      <w:szCs w:val="22"/>
      <w:lang w:bidi="en-US"/>
    </w:rPr>
  </w:style>
  <w:style w:type="character" w:customStyle="1" w:styleId="NoSpacingChar">
    <w:name w:val="No Spacing Char"/>
    <w:link w:val="NoSpacing"/>
    <w:uiPriority w:val="1"/>
    <w:rsid w:val="005307B3"/>
    <w:rPr>
      <w:sz w:val="22"/>
      <w:szCs w:val="22"/>
      <w:lang w:val="en-US" w:eastAsia="en-US" w:bidi="en-US"/>
    </w:rPr>
  </w:style>
  <w:style w:type="paragraph" w:styleId="Quote">
    <w:name w:val="Quote"/>
    <w:basedOn w:val="Normal"/>
    <w:next w:val="Normal"/>
    <w:link w:val="QuoteChar"/>
    <w:uiPriority w:val="29"/>
    <w:qFormat/>
    <w:rsid w:val="005307B3"/>
    <w:rPr>
      <w:i/>
      <w:iCs/>
      <w:color w:val="000000"/>
    </w:rPr>
  </w:style>
  <w:style w:type="character" w:customStyle="1" w:styleId="QuoteChar">
    <w:name w:val="Quote Char"/>
    <w:link w:val="Quote"/>
    <w:uiPriority w:val="29"/>
    <w:rsid w:val="005307B3"/>
    <w:rPr>
      <w:i/>
      <w:iCs/>
      <w:color w:val="000000"/>
    </w:rPr>
  </w:style>
  <w:style w:type="paragraph" w:styleId="IntenseQuote">
    <w:name w:val="Intense Quote"/>
    <w:basedOn w:val="Normal"/>
    <w:next w:val="Normal"/>
    <w:link w:val="IntenseQuoteChar"/>
    <w:uiPriority w:val="30"/>
    <w:qFormat/>
    <w:rsid w:val="005307B3"/>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5307B3"/>
    <w:rPr>
      <w:b/>
      <w:bCs/>
      <w:i/>
      <w:iCs/>
      <w:color w:val="4F81BD"/>
    </w:rPr>
  </w:style>
  <w:style w:type="character" w:styleId="SubtleEmphasis">
    <w:name w:val="Subtle Emphasis"/>
    <w:uiPriority w:val="19"/>
    <w:qFormat/>
    <w:rsid w:val="005307B3"/>
    <w:rPr>
      <w:i/>
      <w:iCs/>
      <w:color w:val="808080"/>
    </w:rPr>
  </w:style>
  <w:style w:type="character" w:styleId="IntenseEmphasis">
    <w:name w:val="Intense Emphasis"/>
    <w:uiPriority w:val="21"/>
    <w:qFormat/>
    <w:rsid w:val="005307B3"/>
    <w:rPr>
      <w:b/>
      <w:bCs/>
      <w:i/>
      <w:iCs/>
      <w:color w:val="4F81BD"/>
    </w:rPr>
  </w:style>
  <w:style w:type="character" w:styleId="SubtleReference">
    <w:name w:val="Subtle Reference"/>
    <w:uiPriority w:val="31"/>
    <w:qFormat/>
    <w:rsid w:val="005307B3"/>
    <w:rPr>
      <w:smallCaps/>
      <w:color w:val="C0504D"/>
      <w:u w:val="single"/>
    </w:rPr>
  </w:style>
  <w:style w:type="character" w:styleId="IntenseReference">
    <w:name w:val="Intense Reference"/>
    <w:uiPriority w:val="32"/>
    <w:qFormat/>
    <w:rsid w:val="005307B3"/>
    <w:rPr>
      <w:b/>
      <w:bCs/>
      <w:smallCaps/>
      <w:color w:val="C0504D"/>
      <w:spacing w:val="5"/>
      <w:u w:val="single"/>
    </w:rPr>
  </w:style>
  <w:style w:type="character" w:styleId="BookTitle">
    <w:name w:val="Book Title"/>
    <w:uiPriority w:val="33"/>
    <w:qFormat/>
    <w:rsid w:val="005307B3"/>
    <w:rPr>
      <w:b/>
      <w:bCs/>
      <w:smallCaps/>
      <w:spacing w:val="5"/>
    </w:rPr>
  </w:style>
  <w:style w:type="paragraph" w:customStyle="1" w:styleId="Table">
    <w:name w:val="Table"/>
    <w:basedOn w:val="TableofFigures"/>
    <w:link w:val="TableChar"/>
    <w:rsid w:val="005307B3"/>
    <w:pPr>
      <w:spacing w:after="200"/>
    </w:pPr>
    <w:rPr>
      <w:rFonts w:ascii="Arial" w:hAnsi="Arial" w:cs="Arial"/>
    </w:rPr>
  </w:style>
  <w:style w:type="character" w:customStyle="1" w:styleId="TableChar">
    <w:name w:val="Table Char"/>
    <w:link w:val="Table"/>
    <w:rsid w:val="005307B3"/>
    <w:rPr>
      <w:rFonts w:ascii="Arial" w:hAnsi="Arial" w:cs="Arial"/>
      <w:lang w:bidi="en-US"/>
    </w:rPr>
  </w:style>
  <w:style w:type="table" w:customStyle="1" w:styleId="MediumShading21">
    <w:name w:val="Medium Shading 21"/>
    <w:basedOn w:val="TableNormal"/>
    <w:uiPriority w:val="64"/>
    <w:rsid w:val="00D6264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1">
    <w:name w:val="Light Shading1"/>
    <w:basedOn w:val="TableNormal"/>
    <w:uiPriority w:val="60"/>
    <w:rsid w:val="00D6264C"/>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ColorfulShading1">
    <w:name w:val="Colorful Shading1"/>
    <w:basedOn w:val="TableNormal"/>
    <w:uiPriority w:val="71"/>
    <w:rsid w:val="00D6264C"/>
    <w:rPr>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MediumGrid31">
    <w:name w:val="Medium Grid 31"/>
    <w:basedOn w:val="TableNormal"/>
    <w:uiPriority w:val="69"/>
    <w:rsid w:val="00460E6F"/>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paragraph" w:customStyle="1" w:styleId="tabletext">
    <w:name w:val="table text"/>
    <w:basedOn w:val="Normal"/>
    <w:rsid w:val="00637278"/>
    <w:pPr>
      <w:spacing w:before="40" w:after="80" w:line="240" w:lineRule="auto"/>
      <w:jc w:val="both"/>
    </w:pPr>
    <w:rPr>
      <w:rFonts w:ascii="Arial (W1)" w:hAnsi="Arial (W1)" w:cs="Arial"/>
      <w:bCs/>
      <w:sz w:val="18"/>
      <w:szCs w:val="24"/>
      <w:lang w:bidi="ar-SA"/>
    </w:rPr>
  </w:style>
  <w:style w:type="table" w:customStyle="1" w:styleId="LightList2">
    <w:name w:val="Light List2"/>
    <w:basedOn w:val="TableNormal"/>
    <w:uiPriority w:val="61"/>
    <w:rsid w:val="000139A5"/>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styleId="LineNumber">
    <w:name w:val="line number"/>
    <w:basedOn w:val="DefaultParagraphFont"/>
    <w:rsid w:val="00BA6F7E"/>
  </w:style>
  <w:style w:type="character" w:styleId="PageNumber">
    <w:name w:val="page number"/>
    <w:basedOn w:val="DefaultParagraphFont"/>
    <w:rsid w:val="00BA6F7E"/>
  </w:style>
  <w:style w:type="paragraph" w:styleId="EndnoteText">
    <w:name w:val="endnote text"/>
    <w:basedOn w:val="Normal"/>
    <w:link w:val="EndnoteTextChar"/>
    <w:uiPriority w:val="99"/>
    <w:unhideWhenUsed/>
    <w:rsid w:val="006C328D"/>
    <w:pPr>
      <w:spacing w:after="0" w:line="240" w:lineRule="auto"/>
    </w:pPr>
    <w:rPr>
      <w:rFonts w:ascii="Times New Roman" w:hAnsi="Times New Roman"/>
      <w:sz w:val="20"/>
      <w:szCs w:val="20"/>
      <w:lang w:bidi="ar-SA"/>
    </w:rPr>
  </w:style>
  <w:style w:type="character" w:customStyle="1" w:styleId="EndnoteTextChar">
    <w:name w:val="Endnote Text Char"/>
    <w:link w:val="EndnoteText"/>
    <w:uiPriority w:val="99"/>
    <w:rsid w:val="006C328D"/>
    <w:rPr>
      <w:rFonts w:ascii="Times New Roman" w:hAnsi="Times New Roman"/>
    </w:rPr>
  </w:style>
  <w:style w:type="paragraph" w:styleId="BodyText0">
    <w:name w:val="Body Text"/>
    <w:basedOn w:val="Normal"/>
    <w:link w:val="BodyTextChar"/>
    <w:unhideWhenUsed/>
    <w:rsid w:val="00112584"/>
    <w:pPr>
      <w:spacing w:after="120"/>
    </w:pPr>
  </w:style>
  <w:style w:type="character" w:customStyle="1" w:styleId="BodyTextChar">
    <w:name w:val="Body Text Char"/>
    <w:link w:val="BodyText0"/>
    <w:rsid w:val="00112584"/>
    <w:rPr>
      <w:sz w:val="22"/>
      <w:szCs w:val="22"/>
      <w:lang w:bidi="en-US"/>
    </w:rPr>
  </w:style>
  <w:style w:type="table" w:styleId="MediumGrid3-Accent3">
    <w:name w:val="Medium Grid 3 Accent 3"/>
    <w:basedOn w:val="TableNormal"/>
    <w:uiPriority w:val="69"/>
    <w:rsid w:val="009566CD"/>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Shading1-Accent3">
    <w:name w:val="Medium Shading 1 Accent 3"/>
    <w:basedOn w:val="TableNormal"/>
    <w:uiPriority w:val="63"/>
    <w:rsid w:val="005A2D2E"/>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5A2D2E"/>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Pa7">
    <w:name w:val="Pa7"/>
    <w:basedOn w:val="Normal"/>
    <w:next w:val="Normal"/>
    <w:uiPriority w:val="99"/>
    <w:rsid w:val="0024331A"/>
    <w:pPr>
      <w:autoSpaceDE w:val="0"/>
      <w:autoSpaceDN w:val="0"/>
      <w:adjustRightInd w:val="0"/>
      <w:spacing w:after="0" w:line="161" w:lineRule="atLeast"/>
    </w:pPr>
    <w:rPr>
      <w:rFonts w:ascii="Times New Roman" w:hAnsi="Times New Roman"/>
      <w:sz w:val="24"/>
      <w:szCs w:val="24"/>
      <w:lang w:bidi="ar-SA"/>
    </w:rPr>
  </w:style>
  <w:style w:type="character" w:customStyle="1" w:styleId="A2">
    <w:name w:val="A2"/>
    <w:uiPriority w:val="99"/>
    <w:rsid w:val="0024331A"/>
    <w:rPr>
      <w:color w:val="221E1F"/>
      <w:sz w:val="20"/>
      <w:szCs w:val="20"/>
    </w:rPr>
  </w:style>
  <w:style w:type="paragraph" w:customStyle="1" w:styleId="Pa13">
    <w:name w:val="Pa13"/>
    <w:basedOn w:val="Normal"/>
    <w:next w:val="Normal"/>
    <w:uiPriority w:val="99"/>
    <w:rsid w:val="0024331A"/>
    <w:pPr>
      <w:autoSpaceDE w:val="0"/>
      <w:autoSpaceDN w:val="0"/>
      <w:adjustRightInd w:val="0"/>
      <w:spacing w:after="0" w:line="221" w:lineRule="atLeast"/>
    </w:pPr>
    <w:rPr>
      <w:rFonts w:ascii="Times New Roman" w:hAnsi="Times New Roman"/>
      <w:sz w:val="24"/>
      <w:szCs w:val="24"/>
      <w:lang w:bidi="ar-SA"/>
    </w:rPr>
  </w:style>
  <w:style w:type="character" w:customStyle="1" w:styleId="A14">
    <w:name w:val="A14"/>
    <w:uiPriority w:val="99"/>
    <w:rsid w:val="0024331A"/>
    <w:rPr>
      <w:color w:val="221E1F"/>
      <w:sz w:val="16"/>
      <w:szCs w:val="16"/>
    </w:rPr>
  </w:style>
  <w:style w:type="character" w:customStyle="1" w:styleId="A3">
    <w:name w:val="A3"/>
    <w:uiPriority w:val="99"/>
    <w:rsid w:val="0024331A"/>
    <w:rPr>
      <w:color w:val="221E1F"/>
      <w:sz w:val="11"/>
      <w:szCs w:val="11"/>
    </w:rPr>
  </w:style>
  <w:style w:type="character" w:customStyle="1" w:styleId="A21">
    <w:name w:val="A2+1"/>
    <w:uiPriority w:val="99"/>
    <w:rsid w:val="0024331A"/>
    <w:rPr>
      <w:color w:val="221E1F"/>
      <w:sz w:val="20"/>
      <w:szCs w:val="20"/>
    </w:rPr>
  </w:style>
  <w:style w:type="paragraph" w:customStyle="1" w:styleId="Pa61">
    <w:name w:val="Pa6+1"/>
    <w:basedOn w:val="Normal"/>
    <w:next w:val="Normal"/>
    <w:uiPriority w:val="99"/>
    <w:rsid w:val="0024331A"/>
    <w:pPr>
      <w:autoSpaceDE w:val="0"/>
      <w:autoSpaceDN w:val="0"/>
      <w:adjustRightInd w:val="0"/>
      <w:spacing w:after="0" w:line="241" w:lineRule="atLeast"/>
    </w:pPr>
    <w:rPr>
      <w:rFonts w:ascii="Times New Roman" w:hAnsi="Times New Roman"/>
      <w:sz w:val="24"/>
      <w:szCs w:val="24"/>
      <w:lang w:bidi="ar-SA"/>
    </w:rPr>
  </w:style>
  <w:style w:type="paragraph" w:customStyle="1" w:styleId="Pa101">
    <w:name w:val="Pa10+1"/>
    <w:basedOn w:val="Normal"/>
    <w:next w:val="Normal"/>
    <w:uiPriority w:val="99"/>
    <w:rsid w:val="0024331A"/>
    <w:pPr>
      <w:autoSpaceDE w:val="0"/>
      <w:autoSpaceDN w:val="0"/>
      <w:adjustRightInd w:val="0"/>
      <w:spacing w:after="0" w:line="241" w:lineRule="atLeast"/>
    </w:pPr>
    <w:rPr>
      <w:rFonts w:ascii="Times New Roman" w:hAnsi="Times New Roman"/>
      <w:sz w:val="24"/>
      <w:szCs w:val="24"/>
      <w:lang w:bidi="ar-SA"/>
    </w:rPr>
  </w:style>
  <w:style w:type="paragraph" w:customStyle="1" w:styleId="Pa131">
    <w:name w:val="Pa13+1"/>
    <w:basedOn w:val="Normal"/>
    <w:next w:val="Normal"/>
    <w:uiPriority w:val="99"/>
    <w:rsid w:val="0024331A"/>
    <w:pPr>
      <w:autoSpaceDE w:val="0"/>
      <w:autoSpaceDN w:val="0"/>
      <w:adjustRightInd w:val="0"/>
      <w:spacing w:after="0" w:line="221" w:lineRule="atLeast"/>
    </w:pPr>
    <w:rPr>
      <w:rFonts w:ascii="Times New Roman" w:hAnsi="Times New Roman"/>
      <w:sz w:val="24"/>
      <w:szCs w:val="24"/>
      <w:lang w:bidi="ar-SA"/>
    </w:rPr>
  </w:style>
  <w:style w:type="character" w:customStyle="1" w:styleId="A161">
    <w:name w:val="A16+1"/>
    <w:uiPriority w:val="99"/>
    <w:rsid w:val="0024331A"/>
    <w:rPr>
      <w:color w:val="221E1F"/>
      <w:sz w:val="11"/>
      <w:szCs w:val="11"/>
    </w:rPr>
  </w:style>
  <w:style w:type="character" w:customStyle="1" w:styleId="A31">
    <w:name w:val="A3+1"/>
    <w:uiPriority w:val="99"/>
    <w:rsid w:val="0024331A"/>
    <w:rPr>
      <w:color w:val="221E1F"/>
      <w:sz w:val="11"/>
      <w:szCs w:val="11"/>
    </w:rPr>
  </w:style>
  <w:style w:type="paragraph" w:customStyle="1" w:styleId="space">
    <w:name w:val="space"/>
    <w:basedOn w:val="Table"/>
    <w:qFormat/>
    <w:rsid w:val="0024331A"/>
    <w:pPr>
      <w:spacing w:after="0" w:line="240" w:lineRule="auto"/>
    </w:pPr>
    <w:rPr>
      <w:sz w:val="12"/>
    </w:rPr>
  </w:style>
  <w:style w:type="paragraph" w:styleId="PlainText">
    <w:name w:val="Plain Text"/>
    <w:basedOn w:val="Normal"/>
    <w:link w:val="PlainTextChar"/>
    <w:uiPriority w:val="99"/>
    <w:unhideWhenUsed/>
    <w:rsid w:val="00745518"/>
    <w:pPr>
      <w:spacing w:after="0" w:line="240" w:lineRule="auto"/>
    </w:pPr>
    <w:rPr>
      <w:rFonts w:ascii="Consolas" w:eastAsia="Calibri" w:hAnsi="Consolas"/>
      <w:sz w:val="21"/>
      <w:szCs w:val="21"/>
      <w:lang w:bidi="ar-SA"/>
    </w:rPr>
  </w:style>
  <w:style w:type="character" w:customStyle="1" w:styleId="PlainTextChar">
    <w:name w:val="Plain Text Char"/>
    <w:link w:val="PlainText"/>
    <w:uiPriority w:val="99"/>
    <w:rsid w:val="00745518"/>
    <w:rPr>
      <w:rFonts w:ascii="Consolas" w:eastAsia="Calibri" w:hAnsi="Consolas" w:cs="Times New Roman"/>
      <w:sz w:val="21"/>
      <w:szCs w:val="21"/>
    </w:rPr>
  </w:style>
  <w:style w:type="character" w:customStyle="1" w:styleId="ColorfulGrid-Accent1Char">
    <w:name w:val="Colorful Grid - Accent 1 Char"/>
    <w:link w:val="ColorfulGrid-Accent1"/>
    <w:uiPriority w:val="29"/>
    <w:rsid w:val="004E309B"/>
    <w:rPr>
      <w:i/>
      <w:iCs/>
      <w:color w:val="000000"/>
    </w:rPr>
  </w:style>
  <w:style w:type="table" w:styleId="ColorfulGrid-Accent1">
    <w:name w:val="Colorful Grid Accent 1"/>
    <w:basedOn w:val="TableNormal"/>
    <w:link w:val="ColorfulGrid-Accent1Char"/>
    <w:uiPriority w:val="29"/>
    <w:rsid w:val="004E309B"/>
    <w:rPr>
      <w:i/>
      <w:iCs/>
      <w:color w:val="000000"/>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character" w:customStyle="1" w:styleId="LightShading-Accent2Char">
    <w:name w:val="Light Shading - Accent 2 Char"/>
    <w:link w:val="LightShading-Accent2"/>
    <w:uiPriority w:val="30"/>
    <w:rsid w:val="004E309B"/>
    <w:rPr>
      <w:b/>
      <w:bCs/>
      <w:i/>
      <w:iCs/>
      <w:color w:val="4F81BD"/>
    </w:rPr>
  </w:style>
  <w:style w:type="table" w:styleId="LightShading-Accent2">
    <w:name w:val="Light Shading Accent 2"/>
    <w:basedOn w:val="TableNormal"/>
    <w:link w:val="LightShading-Accent2Char"/>
    <w:uiPriority w:val="30"/>
    <w:rsid w:val="004E309B"/>
    <w:rPr>
      <w:b/>
      <w:bCs/>
      <w:i/>
      <w:iCs/>
      <w:color w:val="4F81BD"/>
    </w:rPr>
    <w:tblPr>
      <w:tblStyleRowBandSize w:val="1"/>
      <w:tblStyleColBandSize w:val="1"/>
      <w:tblBorders>
        <w:top w:val="single" w:sz="8" w:space="0" w:color="C0504D"/>
        <w:bottom w:val="single" w:sz="8" w:space="0" w:color="C0504D"/>
      </w:tblBorders>
    </w:tblPr>
    <w:tblStylePr w:type="fir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citation">
    <w:name w:val="citation"/>
    <w:rsid w:val="004E309B"/>
    <w:rPr>
      <w:i w:val="0"/>
      <w:iCs w:val="0"/>
    </w:rPr>
  </w:style>
  <w:style w:type="table" w:styleId="ColorfulGrid-Accent3">
    <w:name w:val="Colorful Grid Accent 3"/>
    <w:basedOn w:val="TableNormal"/>
    <w:uiPriority w:val="64"/>
    <w:rsid w:val="004E309B"/>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NormalBodyText">
    <w:name w:val="Normal Body Text"/>
    <w:basedOn w:val="Normal"/>
    <w:rsid w:val="00236356"/>
    <w:pPr>
      <w:spacing w:after="120" w:line="240" w:lineRule="auto"/>
      <w:ind w:firstLine="720"/>
    </w:pPr>
    <w:rPr>
      <w:rFonts w:ascii="Times New Roman" w:hAnsi="Times New Roman"/>
      <w:sz w:val="24"/>
      <w:szCs w:val="20"/>
      <w:lang w:bidi="ar-SA"/>
    </w:rPr>
  </w:style>
  <w:style w:type="paragraph" w:customStyle="1" w:styleId="Default">
    <w:name w:val="Default"/>
    <w:rsid w:val="000837CF"/>
    <w:pPr>
      <w:autoSpaceDE w:val="0"/>
      <w:autoSpaceDN w:val="0"/>
      <w:adjustRightInd w:val="0"/>
    </w:pPr>
    <w:rPr>
      <w:rFonts w:ascii="Calibri" w:eastAsia="Calibri" w:hAnsi="Calibri" w:cs="Calibri"/>
      <w:color w:val="000000"/>
      <w:sz w:val="24"/>
      <w:szCs w:val="24"/>
    </w:rPr>
  </w:style>
  <w:style w:type="paragraph" w:customStyle="1" w:styleId="first">
    <w:name w:val="first"/>
    <w:basedOn w:val="Normal"/>
    <w:rsid w:val="000837CF"/>
    <w:pPr>
      <w:spacing w:before="100" w:beforeAutospacing="1" w:after="100" w:afterAutospacing="1" w:line="240" w:lineRule="auto"/>
    </w:pPr>
    <w:rPr>
      <w:rFonts w:ascii="Times New Roman" w:hAnsi="Times New Roman"/>
      <w:sz w:val="24"/>
      <w:szCs w:val="24"/>
      <w:lang w:bidi="ar-SA"/>
    </w:rPr>
  </w:style>
  <w:style w:type="paragraph" w:styleId="TOC4">
    <w:name w:val="toc 4"/>
    <w:basedOn w:val="Normal"/>
    <w:next w:val="Normal"/>
    <w:autoRedefine/>
    <w:uiPriority w:val="39"/>
    <w:unhideWhenUsed/>
    <w:rsid w:val="00070310"/>
    <w:pPr>
      <w:spacing w:after="100"/>
      <w:ind w:left="660"/>
    </w:pPr>
    <w:rPr>
      <w:lang w:bidi="ar-SA"/>
    </w:rPr>
  </w:style>
  <w:style w:type="paragraph" w:styleId="TOC5">
    <w:name w:val="toc 5"/>
    <w:basedOn w:val="Normal"/>
    <w:next w:val="Normal"/>
    <w:autoRedefine/>
    <w:uiPriority w:val="39"/>
    <w:unhideWhenUsed/>
    <w:rsid w:val="00070310"/>
    <w:pPr>
      <w:spacing w:after="100"/>
      <w:ind w:left="880"/>
    </w:pPr>
    <w:rPr>
      <w:lang w:bidi="ar-SA"/>
    </w:rPr>
  </w:style>
  <w:style w:type="paragraph" w:styleId="TOC6">
    <w:name w:val="toc 6"/>
    <w:basedOn w:val="Normal"/>
    <w:next w:val="Normal"/>
    <w:autoRedefine/>
    <w:uiPriority w:val="39"/>
    <w:unhideWhenUsed/>
    <w:rsid w:val="00070310"/>
    <w:pPr>
      <w:spacing w:after="100"/>
      <w:ind w:left="1100"/>
    </w:pPr>
    <w:rPr>
      <w:lang w:bidi="ar-SA"/>
    </w:rPr>
  </w:style>
  <w:style w:type="paragraph" w:styleId="TOC7">
    <w:name w:val="toc 7"/>
    <w:basedOn w:val="Normal"/>
    <w:next w:val="Normal"/>
    <w:autoRedefine/>
    <w:uiPriority w:val="39"/>
    <w:unhideWhenUsed/>
    <w:rsid w:val="00070310"/>
    <w:pPr>
      <w:spacing w:after="100"/>
      <w:ind w:left="1320"/>
    </w:pPr>
    <w:rPr>
      <w:lang w:bidi="ar-SA"/>
    </w:rPr>
  </w:style>
  <w:style w:type="paragraph" w:styleId="TOC8">
    <w:name w:val="toc 8"/>
    <w:basedOn w:val="Normal"/>
    <w:next w:val="Normal"/>
    <w:autoRedefine/>
    <w:uiPriority w:val="39"/>
    <w:unhideWhenUsed/>
    <w:rsid w:val="00070310"/>
    <w:pPr>
      <w:spacing w:after="100"/>
      <w:ind w:left="1540"/>
    </w:pPr>
    <w:rPr>
      <w:lang w:bidi="ar-SA"/>
    </w:rPr>
  </w:style>
  <w:style w:type="paragraph" w:styleId="TOC9">
    <w:name w:val="toc 9"/>
    <w:basedOn w:val="Normal"/>
    <w:next w:val="Normal"/>
    <w:autoRedefine/>
    <w:uiPriority w:val="39"/>
    <w:unhideWhenUsed/>
    <w:rsid w:val="00070310"/>
    <w:pPr>
      <w:spacing w:after="100"/>
      <w:ind w:left="1760"/>
    </w:pPr>
    <w:rPr>
      <w:lang w:bidi="ar-SA"/>
    </w:rPr>
  </w:style>
  <w:style w:type="paragraph" w:customStyle="1" w:styleId="TableBody">
    <w:name w:val="Table Body"/>
    <w:basedOn w:val="Normal"/>
    <w:rsid w:val="00827362"/>
    <w:pPr>
      <w:spacing w:before="60" w:after="60" w:line="240" w:lineRule="auto"/>
    </w:pPr>
    <w:rPr>
      <w:rFonts w:ascii="Arial" w:hAnsi="Arial"/>
      <w:sz w:val="18"/>
      <w:szCs w:val="20"/>
      <w:lang w:bidi="ar-SA"/>
    </w:rPr>
  </w:style>
  <w:style w:type="paragraph" w:customStyle="1" w:styleId="TableHeading">
    <w:name w:val="Table Heading"/>
    <w:basedOn w:val="BodyText0"/>
    <w:rsid w:val="00827362"/>
    <w:pPr>
      <w:spacing w:before="60" w:after="60" w:line="240" w:lineRule="auto"/>
      <w:jc w:val="center"/>
    </w:pPr>
    <w:rPr>
      <w:rFonts w:ascii="Arial" w:hAnsi="Arial"/>
      <w:b/>
      <w:sz w:val="18"/>
      <w:szCs w:val="24"/>
      <w:lang w:bidi="ar-SA"/>
    </w:rPr>
  </w:style>
  <w:style w:type="paragraph" w:customStyle="1" w:styleId="TableNotes">
    <w:name w:val="Table Notes"/>
    <w:basedOn w:val="TableBody"/>
    <w:rsid w:val="00827362"/>
    <w:pPr>
      <w:spacing w:after="0"/>
    </w:pPr>
  </w:style>
  <w:style w:type="paragraph" w:customStyle="1" w:styleId="TableTitle">
    <w:name w:val="Table Title"/>
    <w:basedOn w:val="BodyText0"/>
    <w:next w:val="BodyText0"/>
    <w:rsid w:val="00827362"/>
    <w:pPr>
      <w:keepNext/>
      <w:spacing w:before="240" w:line="240" w:lineRule="auto"/>
      <w:jc w:val="center"/>
    </w:pPr>
    <w:rPr>
      <w:rFonts w:ascii="Arial" w:hAnsi="Arial"/>
      <w:b/>
      <w:sz w:val="20"/>
      <w:szCs w:val="24"/>
      <w:lang w:bidi="ar-SA"/>
    </w:rPr>
  </w:style>
  <w:style w:type="paragraph" w:customStyle="1" w:styleId="TableText0">
    <w:name w:val="Table Text"/>
    <w:basedOn w:val="BodyText0"/>
    <w:rsid w:val="00D01574"/>
    <w:pPr>
      <w:spacing w:before="120" w:line="240" w:lineRule="auto"/>
    </w:pPr>
    <w:rPr>
      <w:rFonts w:ascii="Arial" w:hAnsi="Arial"/>
      <w:sz w:val="18"/>
      <w:szCs w:val="24"/>
      <w:lang w:bidi="ar-SA"/>
    </w:rPr>
  </w:style>
  <w:style w:type="character" w:customStyle="1" w:styleId="italic">
    <w:name w:val="italic"/>
    <w:basedOn w:val="DefaultParagraphFont"/>
    <w:rsid w:val="00B67392"/>
    <w:rPr>
      <w:rFonts w:ascii="Times New Roman" w:hAnsi="Times New Roman"/>
      <w:i/>
      <w:sz w:val="22"/>
    </w:rPr>
  </w:style>
  <w:style w:type="paragraph" w:customStyle="1" w:styleId="FigureCaption">
    <w:name w:val="FigureCaption"/>
    <w:basedOn w:val="Normal"/>
    <w:next w:val="Normal"/>
    <w:qFormat/>
    <w:rsid w:val="00554EB0"/>
    <w:pPr>
      <w:tabs>
        <w:tab w:val="left" w:pos="450"/>
        <w:tab w:val="right" w:leader="dot" w:pos="9350"/>
      </w:tabs>
      <w:spacing w:before="200" w:after="0" w:line="240" w:lineRule="auto"/>
    </w:pPr>
    <w:rPr>
      <w:rFonts w:ascii="Arial" w:hAnsi="Arial"/>
      <w:b/>
      <w:bCs/>
      <w:sz w:val="20"/>
    </w:rPr>
  </w:style>
  <w:style w:type="table" w:customStyle="1" w:styleId="GridTable4-Accent11">
    <w:name w:val="Grid Table 4 - Accent 11"/>
    <w:basedOn w:val="TableNormal"/>
    <w:uiPriority w:val="49"/>
    <w:rsid w:val="009A4F36"/>
    <w:rPr>
      <w:rFonts w:asciiTheme="minorHAnsi" w:eastAsiaTheme="minorHAnsi" w:hAnsiTheme="minorHAnsi" w:cstheme="minorBidi"/>
      <w:sz w:val="22"/>
      <w:szCs w:val="22"/>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UnresolvedMention1">
    <w:name w:val="Unresolved Mention1"/>
    <w:basedOn w:val="DefaultParagraphFont"/>
    <w:uiPriority w:val="99"/>
    <w:semiHidden/>
    <w:unhideWhenUsed/>
    <w:rsid w:val="00E55418"/>
    <w:rPr>
      <w:color w:val="808080"/>
      <w:shd w:val="clear" w:color="auto" w:fill="E6E6E6"/>
    </w:rPr>
  </w:style>
  <w:style w:type="table" w:styleId="LightList-Accent1">
    <w:name w:val="Light List Accent 1"/>
    <w:basedOn w:val="TableNormal"/>
    <w:uiPriority w:val="61"/>
    <w:rsid w:val="00D719FF"/>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paragraph" w:customStyle="1" w:styleId="TableCaption">
    <w:name w:val="TableCaption"/>
    <w:basedOn w:val="Normal"/>
    <w:next w:val="Normal"/>
    <w:qFormat/>
    <w:rsid w:val="00D719FF"/>
    <w:pPr>
      <w:tabs>
        <w:tab w:val="left" w:pos="450"/>
        <w:tab w:val="right" w:leader="dot" w:pos="9350"/>
      </w:tabs>
      <w:spacing w:line="240" w:lineRule="auto"/>
    </w:pPr>
    <w:rPr>
      <w:rFonts w:ascii="Arial" w:hAnsi="Arial"/>
      <w:b/>
      <w:sz w:val="20"/>
    </w:rPr>
  </w:style>
  <w:style w:type="character" w:styleId="EndnoteReference">
    <w:name w:val="endnote reference"/>
    <w:basedOn w:val="DefaultParagraphFont"/>
    <w:uiPriority w:val="99"/>
    <w:semiHidden/>
    <w:unhideWhenUsed/>
    <w:rsid w:val="001F4EF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89624">
      <w:bodyDiv w:val="1"/>
      <w:marLeft w:val="0"/>
      <w:marRight w:val="0"/>
      <w:marTop w:val="0"/>
      <w:marBottom w:val="0"/>
      <w:divBdr>
        <w:top w:val="none" w:sz="0" w:space="0" w:color="auto"/>
        <w:left w:val="none" w:sz="0" w:space="0" w:color="auto"/>
        <w:bottom w:val="none" w:sz="0" w:space="0" w:color="auto"/>
        <w:right w:val="none" w:sz="0" w:space="0" w:color="auto"/>
      </w:divBdr>
      <w:divsChild>
        <w:div w:id="430201611">
          <w:marLeft w:val="1166"/>
          <w:marRight w:val="0"/>
          <w:marTop w:val="125"/>
          <w:marBottom w:val="0"/>
          <w:divBdr>
            <w:top w:val="none" w:sz="0" w:space="0" w:color="auto"/>
            <w:left w:val="none" w:sz="0" w:space="0" w:color="auto"/>
            <w:bottom w:val="none" w:sz="0" w:space="0" w:color="auto"/>
            <w:right w:val="none" w:sz="0" w:space="0" w:color="auto"/>
          </w:divBdr>
        </w:div>
        <w:div w:id="451361804">
          <w:marLeft w:val="547"/>
          <w:marRight w:val="0"/>
          <w:marTop w:val="144"/>
          <w:marBottom w:val="0"/>
          <w:divBdr>
            <w:top w:val="none" w:sz="0" w:space="0" w:color="auto"/>
            <w:left w:val="none" w:sz="0" w:space="0" w:color="auto"/>
            <w:bottom w:val="none" w:sz="0" w:space="0" w:color="auto"/>
            <w:right w:val="none" w:sz="0" w:space="0" w:color="auto"/>
          </w:divBdr>
        </w:div>
        <w:div w:id="685787382">
          <w:marLeft w:val="1166"/>
          <w:marRight w:val="0"/>
          <w:marTop w:val="125"/>
          <w:marBottom w:val="0"/>
          <w:divBdr>
            <w:top w:val="none" w:sz="0" w:space="0" w:color="auto"/>
            <w:left w:val="none" w:sz="0" w:space="0" w:color="auto"/>
            <w:bottom w:val="none" w:sz="0" w:space="0" w:color="auto"/>
            <w:right w:val="none" w:sz="0" w:space="0" w:color="auto"/>
          </w:divBdr>
        </w:div>
        <w:div w:id="860508734">
          <w:marLeft w:val="547"/>
          <w:marRight w:val="0"/>
          <w:marTop w:val="144"/>
          <w:marBottom w:val="0"/>
          <w:divBdr>
            <w:top w:val="none" w:sz="0" w:space="0" w:color="auto"/>
            <w:left w:val="none" w:sz="0" w:space="0" w:color="auto"/>
            <w:bottom w:val="none" w:sz="0" w:space="0" w:color="auto"/>
            <w:right w:val="none" w:sz="0" w:space="0" w:color="auto"/>
          </w:divBdr>
        </w:div>
        <w:div w:id="1090857035">
          <w:marLeft w:val="1166"/>
          <w:marRight w:val="0"/>
          <w:marTop w:val="125"/>
          <w:marBottom w:val="0"/>
          <w:divBdr>
            <w:top w:val="none" w:sz="0" w:space="0" w:color="auto"/>
            <w:left w:val="none" w:sz="0" w:space="0" w:color="auto"/>
            <w:bottom w:val="none" w:sz="0" w:space="0" w:color="auto"/>
            <w:right w:val="none" w:sz="0" w:space="0" w:color="auto"/>
          </w:divBdr>
        </w:div>
        <w:div w:id="1127160604">
          <w:marLeft w:val="1166"/>
          <w:marRight w:val="0"/>
          <w:marTop w:val="125"/>
          <w:marBottom w:val="0"/>
          <w:divBdr>
            <w:top w:val="none" w:sz="0" w:space="0" w:color="auto"/>
            <w:left w:val="none" w:sz="0" w:space="0" w:color="auto"/>
            <w:bottom w:val="none" w:sz="0" w:space="0" w:color="auto"/>
            <w:right w:val="none" w:sz="0" w:space="0" w:color="auto"/>
          </w:divBdr>
        </w:div>
        <w:div w:id="1154182279">
          <w:marLeft w:val="1166"/>
          <w:marRight w:val="0"/>
          <w:marTop w:val="125"/>
          <w:marBottom w:val="0"/>
          <w:divBdr>
            <w:top w:val="none" w:sz="0" w:space="0" w:color="auto"/>
            <w:left w:val="none" w:sz="0" w:space="0" w:color="auto"/>
            <w:bottom w:val="none" w:sz="0" w:space="0" w:color="auto"/>
            <w:right w:val="none" w:sz="0" w:space="0" w:color="auto"/>
          </w:divBdr>
        </w:div>
        <w:div w:id="1157185088">
          <w:marLeft w:val="1166"/>
          <w:marRight w:val="0"/>
          <w:marTop w:val="125"/>
          <w:marBottom w:val="0"/>
          <w:divBdr>
            <w:top w:val="none" w:sz="0" w:space="0" w:color="auto"/>
            <w:left w:val="none" w:sz="0" w:space="0" w:color="auto"/>
            <w:bottom w:val="none" w:sz="0" w:space="0" w:color="auto"/>
            <w:right w:val="none" w:sz="0" w:space="0" w:color="auto"/>
          </w:divBdr>
        </w:div>
        <w:div w:id="1366324372">
          <w:marLeft w:val="547"/>
          <w:marRight w:val="0"/>
          <w:marTop w:val="144"/>
          <w:marBottom w:val="0"/>
          <w:divBdr>
            <w:top w:val="none" w:sz="0" w:space="0" w:color="auto"/>
            <w:left w:val="none" w:sz="0" w:space="0" w:color="auto"/>
            <w:bottom w:val="none" w:sz="0" w:space="0" w:color="auto"/>
            <w:right w:val="none" w:sz="0" w:space="0" w:color="auto"/>
          </w:divBdr>
        </w:div>
        <w:div w:id="1462769360">
          <w:marLeft w:val="1166"/>
          <w:marRight w:val="0"/>
          <w:marTop w:val="125"/>
          <w:marBottom w:val="0"/>
          <w:divBdr>
            <w:top w:val="none" w:sz="0" w:space="0" w:color="auto"/>
            <w:left w:val="none" w:sz="0" w:space="0" w:color="auto"/>
            <w:bottom w:val="none" w:sz="0" w:space="0" w:color="auto"/>
            <w:right w:val="none" w:sz="0" w:space="0" w:color="auto"/>
          </w:divBdr>
        </w:div>
        <w:div w:id="1935699357">
          <w:marLeft w:val="1166"/>
          <w:marRight w:val="0"/>
          <w:marTop w:val="125"/>
          <w:marBottom w:val="0"/>
          <w:divBdr>
            <w:top w:val="none" w:sz="0" w:space="0" w:color="auto"/>
            <w:left w:val="none" w:sz="0" w:space="0" w:color="auto"/>
            <w:bottom w:val="none" w:sz="0" w:space="0" w:color="auto"/>
            <w:right w:val="none" w:sz="0" w:space="0" w:color="auto"/>
          </w:divBdr>
        </w:div>
      </w:divsChild>
    </w:div>
    <w:div w:id="13848362">
      <w:bodyDiv w:val="1"/>
      <w:marLeft w:val="0"/>
      <w:marRight w:val="0"/>
      <w:marTop w:val="0"/>
      <w:marBottom w:val="0"/>
      <w:divBdr>
        <w:top w:val="none" w:sz="0" w:space="0" w:color="auto"/>
        <w:left w:val="none" w:sz="0" w:space="0" w:color="auto"/>
        <w:bottom w:val="none" w:sz="0" w:space="0" w:color="auto"/>
        <w:right w:val="none" w:sz="0" w:space="0" w:color="auto"/>
      </w:divBdr>
    </w:div>
    <w:div w:id="61610566">
      <w:bodyDiv w:val="1"/>
      <w:marLeft w:val="0"/>
      <w:marRight w:val="0"/>
      <w:marTop w:val="0"/>
      <w:marBottom w:val="0"/>
      <w:divBdr>
        <w:top w:val="none" w:sz="0" w:space="0" w:color="auto"/>
        <w:left w:val="none" w:sz="0" w:space="0" w:color="auto"/>
        <w:bottom w:val="none" w:sz="0" w:space="0" w:color="auto"/>
        <w:right w:val="none" w:sz="0" w:space="0" w:color="auto"/>
      </w:divBdr>
    </w:div>
    <w:div w:id="119538196">
      <w:bodyDiv w:val="1"/>
      <w:marLeft w:val="0"/>
      <w:marRight w:val="0"/>
      <w:marTop w:val="0"/>
      <w:marBottom w:val="0"/>
      <w:divBdr>
        <w:top w:val="none" w:sz="0" w:space="0" w:color="auto"/>
        <w:left w:val="none" w:sz="0" w:space="0" w:color="auto"/>
        <w:bottom w:val="none" w:sz="0" w:space="0" w:color="auto"/>
        <w:right w:val="none" w:sz="0" w:space="0" w:color="auto"/>
      </w:divBdr>
    </w:div>
    <w:div w:id="133108454">
      <w:bodyDiv w:val="1"/>
      <w:marLeft w:val="0"/>
      <w:marRight w:val="0"/>
      <w:marTop w:val="0"/>
      <w:marBottom w:val="0"/>
      <w:divBdr>
        <w:top w:val="none" w:sz="0" w:space="0" w:color="auto"/>
        <w:left w:val="none" w:sz="0" w:space="0" w:color="auto"/>
        <w:bottom w:val="none" w:sz="0" w:space="0" w:color="auto"/>
        <w:right w:val="none" w:sz="0" w:space="0" w:color="auto"/>
      </w:divBdr>
      <w:divsChild>
        <w:div w:id="2071078698">
          <w:marLeft w:val="-115"/>
          <w:marRight w:val="0"/>
          <w:marTop w:val="0"/>
          <w:marBottom w:val="0"/>
          <w:divBdr>
            <w:top w:val="none" w:sz="0" w:space="0" w:color="auto"/>
            <w:left w:val="none" w:sz="0" w:space="0" w:color="auto"/>
            <w:bottom w:val="none" w:sz="0" w:space="0" w:color="auto"/>
            <w:right w:val="none" w:sz="0" w:space="0" w:color="auto"/>
          </w:divBdr>
        </w:div>
      </w:divsChild>
    </w:div>
    <w:div w:id="157352055">
      <w:bodyDiv w:val="1"/>
      <w:marLeft w:val="0"/>
      <w:marRight w:val="0"/>
      <w:marTop w:val="0"/>
      <w:marBottom w:val="0"/>
      <w:divBdr>
        <w:top w:val="none" w:sz="0" w:space="0" w:color="auto"/>
        <w:left w:val="none" w:sz="0" w:space="0" w:color="auto"/>
        <w:bottom w:val="none" w:sz="0" w:space="0" w:color="auto"/>
        <w:right w:val="none" w:sz="0" w:space="0" w:color="auto"/>
      </w:divBdr>
    </w:div>
    <w:div w:id="211498279">
      <w:bodyDiv w:val="1"/>
      <w:marLeft w:val="0"/>
      <w:marRight w:val="0"/>
      <w:marTop w:val="0"/>
      <w:marBottom w:val="0"/>
      <w:divBdr>
        <w:top w:val="none" w:sz="0" w:space="0" w:color="auto"/>
        <w:left w:val="none" w:sz="0" w:space="0" w:color="auto"/>
        <w:bottom w:val="none" w:sz="0" w:space="0" w:color="auto"/>
        <w:right w:val="none" w:sz="0" w:space="0" w:color="auto"/>
      </w:divBdr>
    </w:div>
    <w:div w:id="230432879">
      <w:bodyDiv w:val="1"/>
      <w:marLeft w:val="0"/>
      <w:marRight w:val="0"/>
      <w:marTop w:val="0"/>
      <w:marBottom w:val="0"/>
      <w:divBdr>
        <w:top w:val="none" w:sz="0" w:space="0" w:color="auto"/>
        <w:left w:val="none" w:sz="0" w:space="0" w:color="auto"/>
        <w:bottom w:val="none" w:sz="0" w:space="0" w:color="auto"/>
        <w:right w:val="none" w:sz="0" w:space="0" w:color="auto"/>
      </w:divBdr>
    </w:div>
    <w:div w:id="250168531">
      <w:bodyDiv w:val="1"/>
      <w:marLeft w:val="0"/>
      <w:marRight w:val="0"/>
      <w:marTop w:val="0"/>
      <w:marBottom w:val="0"/>
      <w:divBdr>
        <w:top w:val="none" w:sz="0" w:space="0" w:color="auto"/>
        <w:left w:val="none" w:sz="0" w:space="0" w:color="auto"/>
        <w:bottom w:val="none" w:sz="0" w:space="0" w:color="auto"/>
        <w:right w:val="none" w:sz="0" w:space="0" w:color="auto"/>
      </w:divBdr>
      <w:divsChild>
        <w:div w:id="262421865">
          <w:marLeft w:val="360"/>
          <w:marRight w:val="0"/>
          <w:marTop w:val="200"/>
          <w:marBottom w:val="0"/>
          <w:divBdr>
            <w:top w:val="none" w:sz="0" w:space="0" w:color="auto"/>
            <w:left w:val="none" w:sz="0" w:space="0" w:color="auto"/>
            <w:bottom w:val="none" w:sz="0" w:space="0" w:color="auto"/>
            <w:right w:val="none" w:sz="0" w:space="0" w:color="auto"/>
          </w:divBdr>
        </w:div>
        <w:div w:id="320357847">
          <w:marLeft w:val="360"/>
          <w:marRight w:val="0"/>
          <w:marTop w:val="200"/>
          <w:marBottom w:val="0"/>
          <w:divBdr>
            <w:top w:val="none" w:sz="0" w:space="0" w:color="auto"/>
            <w:left w:val="none" w:sz="0" w:space="0" w:color="auto"/>
            <w:bottom w:val="none" w:sz="0" w:space="0" w:color="auto"/>
            <w:right w:val="none" w:sz="0" w:space="0" w:color="auto"/>
          </w:divBdr>
        </w:div>
        <w:div w:id="556284622">
          <w:marLeft w:val="360"/>
          <w:marRight w:val="0"/>
          <w:marTop w:val="200"/>
          <w:marBottom w:val="0"/>
          <w:divBdr>
            <w:top w:val="none" w:sz="0" w:space="0" w:color="auto"/>
            <w:left w:val="none" w:sz="0" w:space="0" w:color="auto"/>
            <w:bottom w:val="none" w:sz="0" w:space="0" w:color="auto"/>
            <w:right w:val="none" w:sz="0" w:space="0" w:color="auto"/>
          </w:divBdr>
        </w:div>
        <w:div w:id="750587110">
          <w:marLeft w:val="360"/>
          <w:marRight w:val="0"/>
          <w:marTop w:val="200"/>
          <w:marBottom w:val="0"/>
          <w:divBdr>
            <w:top w:val="none" w:sz="0" w:space="0" w:color="auto"/>
            <w:left w:val="none" w:sz="0" w:space="0" w:color="auto"/>
            <w:bottom w:val="none" w:sz="0" w:space="0" w:color="auto"/>
            <w:right w:val="none" w:sz="0" w:space="0" w:color="auto"/>
          </w:divBdr>
        </w:div>
        <w:div w:id="863056616">
          <w:marLeft w:val="360"/>
          <w:marRight w:val="0"/>
          <w:marTop w:val="200"/>
          <w:marBottom w:val="0"/>
          <w:divBdr>
            <w:top w:val="none" w:sz="0" w:space="0" w:color="auto"/>
            <w:left w:val="none" w:sz="0" w:space="0" w:color="auto"/>
            <w:bottom w:val="none" w:sz="0" w:space="0" w:color="auto"/>
            <w:right w:val="none" w:sz="0" w:space="0" w:color="auto"/>
          </w:divBdr>
        </w:div>
        <w:div w:id="1089733381">
          <w:marLeft w:val="360"/>
          <w:marRight w:val="0"/>
          <w:marTop w:val="200"/>
          <w:marBottom w:val="0"/>
          <w:divBdr>
            <w:top w:val="none" w:sz="0" w:space="0" w:color="auto"/>
            <w:left w:val="none" w:sz="0" w:space="0" w:color="auto"/>
            <w:bottom w:val="none" w:sz="0" w:space="0" w:color="auto"/>
            <w:right w:val="none" w:sz="0" w:space="0" w:color="auto"/>
          </w:divBdr>
        </w:div>
        <w:div w:id="1112631548">
          <w:marLeft w:val="360"/>
          <w:marRight w:val="0"/>
          <w:marTop w:val="200"/>
          <w:marBottom w:val="0"/>
          <w:divBdr>
            <w:top w:val="none" w:sz="0" w:space="0" w:color="auto"/>
            <w:left w:val="none" w:sz="0" w:space="0" w:color="auto"/>
            <w:bottom w:val="none" w:sz="0" w:space="0" w:color="auto"/>
            <w:right w:val="none" w:sz="0" w:space="0" w:color="auto"/>
          </w:divBdr>
        </w:div>
        <w:div w:id="1198739688">
          <w:marLeft w:val="360"/>
          <w:marRight w:val="0"/>
          <w:marTop w:val="200"/>
          <w:marBottom w:val="0"/>
          <w:divBdr>
            <w:top w:val="none" w:sz="0" w:space="0" w:color="auto"/>
            <w:left w:val="none" w:sz="0" w:space="0" w:color="auto"/>
            <w:bottom w:val="none" w:sz="0" w:space="0" w:color="auto"/>
            <w:right w:val="none" w:sz="0" w:space="0" w:color="auto"/>
          </w:divBdr>
        </w:div>
      </w:divsChild>
    </w:div>
    <w:div w:id="416486322">
      <w:bodyDiv w:val="1"/>
      <w:marLeft w:val="0"/>
      <w:marRight w:val="0"/>
      <w:marTop w:val="0"/>
      <w:marBottom w:val="0"/>
      <w:divBdr>
        <w:top w:val="none" w:sz="0" w:space="0" w:color="auto"/>
        <w:left w:val="none" w:sz="0" w:space="0" w:color="auto"/>
        <w:bottom w:val="none" w:sz="0" w:space="0" w:color="auto"/>
        <w:right w:val="none" w:sz="0" w:space="0" w:color="auto"/>
      </w:divBdr>
    </w:div>
    <w:div w:id="443161765">
      <w:bodyDiv w:val="1"/>
      <w:marLeft w:val="0"/>
      <w:marRight w:val="0"/>
      <w:marTop w:val="0"/>
      <w:marBottom w:val="0"/>
      <w:divBdr>
        <w:top w:val="none" w:sz="0" w:space="0" w:color="auto"/>
        <w:left w:val="none" w:sz="0" w:space="0" w:color="auto"/>
        <w:bottom w:val="none" w:sz="0" w:space="0" w:color="auto"/>
        <w:right w:val="none" w:sz="0" w:space="0" w:color="auto"/>
      </w:divBdr>
    </w:div>
    <w:div w:id="459878558">
      <w:bodyDiv w:val="1"/>
      <w:marLeft w:val="0"/>
      <w:marRight w:val="0"/>
      <w:marTop w:val="0"/>
      <w:marBottom w:val="0"/>
      <w:divBdr>
        <w:top w:val="none" w:sz="0" w:space="0" w:color="auto"/>
        <w:left w:val="none" w:sz="0" w:space="0" w:color="auto"/>
        <w:bottom w:val="none" w:sz="0" w:space="0" w:color="auto"/>
        <w:right w:val="none" w:sz="0" w:space="0" w:color="auto"/>
      </w:divBdr>
    </w:div>
    <w:div w:id="536309999">
      <w:bodyDiv w:val="1"/>
      <w:marLeft w:val="0"/>
      <w:marRight w:val="0"/>
      <w:marTop w:val="0"/>
      <w:marBottom w:val="0"/>
      <w:divBdr>
        <w:top w:val="none" w:sz="0" w:space="0" w:color="auto"/>
        <w:left w:val="none" w:sz="0" w:space="0" w:color="auto"/>
        <w:bottom w:val="none" w:sz="0" w:space="0" w:color="auto"/>
        <w:right w:val="none" w:sz="0" w:space="0" w:color="auto"/>
      </w:divBdr>
    </w:div>
    <w:div w:id="597836349">
      <w:bodyDiv w:val="1"/>
      <w:marLeft w:val="0"/>
      <w:marRight w:val="0"/>
      <w:marTop w:val="0"/>
      <w:marBottom w:val="0"/>
      <w:divBdr>
        <w:top w:val="none" w:sz="0" w:space="0" w:color="auto"/>
        <w:left w:val="none" w:sz="0" w:space="0" w:color="auto"/>
        <w:bottom w:val="none" w:sz="0" w:space="0" w:color="auto"/>
        <w:right w:val="none" w:sz="0" w:space="0" w:color="auto"/>
      </w:divBdr>
    </w:div>
    <w:div w:id="721365718">
      <w:bodyDiv w:val="1"/>
      <w:marLeft w:val="0"/>
      <w:marRight w:val="0"/>
      <w:marTop w:val="0"/>
      <w:marBottom w:val="0"/>
      <w:divBdr>
        <w:top w:val="none" w:sz="0" w:space="0" w:color="auto"/>
        <w:left w:val="none" w:sz="0" w:space="0" w:color="auto"/>
        <w:bottom w:val="none" w:sz="0" w:space="0" w:color="auto"/>
        <w:right w:val="none" w:sz="0" w:space="0" w:color="auto"/>
      </w:divBdr>
    </w:div>
    <w:div w:id="755319477">
      <w:bodyDiv w:val="1"/>
      <w:marLeft w:val="0"/>
      <w:marRight w:val="0"/>
      <w:marTop w:val="0"/>
      <w:marBottom w:val="0"/>
      <w:divBdr>
        <w:top w:val="none" w:sz="0" w:space="0" w:color="auto"/>
        <w:left w:val="none" w:sz="0" w:space="0" w:color="auto"/>
        <w:bottom w:val="none" w:sz="0" w:space="0" w:color="auto"/>
        <w:right w:val="none" w:sz="0" w:space="0" w:color="auto"/>
      </w:divBdr>
    </w:div>
    <w:div w:id="773793356">
      <w:bodyDiv w:val="1"/>
      <w:marLeft w:val="0"/>
      <w:marRight w:val="0"/>
      <w:marTop w:val="0"/>
      <w:marBottom w:val="0"/>
      <w:divBdr>
        <w:top w:val="none" w:sz="0" w:space="0" w:color="auto"/>
        <w:left w:val="none" w:sz="0" w:space="0" w:color="auto"/>
        <w:bottom w:val="none" w:sz="0" w:space="0" w:color="auto"/>
        <w:right w:val="none" w:sz="0" w:space="0" w:color="auto"/>
      </w:divBdr>
    </w:div>
    <w:div w:id="804784417">
      <w:bodyDiv w:val="1"/>
      <w:marLeft w:val="0"/>
      <w:marRight w:val="0"/>
      <w:marTop w:val="0"/>
      <w:marBottom w:val="0"/>
      <w:divBdr>
        <w:top w:val="none" w:sz="0" w:space="0" w:color="auto"/>
        <w:left w:val="none" w:sz="0" w:space="0" w:color="auto"/>
        <w:bottom w:val="none" w:sz="0" w:space="0" w:color="auto"/>
        <w:right w:val="none" w:sz="0" w:space="0" w:color="auto"/>
      </w:divBdr>
      <w:divsChild>
        <w:div w:id="240405894">
          <w:marLeft w:val="547"/>
          <w:marRight w:val="0"/>
          <w:marTop w:val="154"/>
          <w:marBottom w:val="0"/>
          <w:divBdr>
            <w:top w:val="none" w:sz="0" w:space="0" w:color="auto"/>
            <w:left w:val="none" w:sz="0" w:space="0" w:color="auto"/>
            <w:bottom w:val="none" w:sz="0" w:space="0" w:color="auto"/>
            <w:right w:val="none" w:sz="0" w:space="0" w:color="auto"/>
          </w:divBdr>
        </w:div>
        <w:div w:id="782069336">
          <w:marLeft w:val="547"/>
          <w:marRight w:val="0"/>
          <w:marTop w:val="154"/>
          <w:marBottom w:val="0"/>
          <w:divBdr>
            <w:top w:val="none" w:sz="0" w:space="0" w:color="auto"/>
            <w:left w:val="none" w:sz="0" w:space="0" w:color="auto"/>
            <w:bottom w:val="none" w:sz="0" w:space="0" w:color="auto"/>
            <w:right w:val="none" w:sz="0" w:space="0" w:color="auto"/>
          </w:divBdr>
        </w:div>
        <w:div w:id="1120219261">
          <w:marLeft w:val="1166"/>
          <w:marRight w:val="0"/>
          <w:marTop w:val="134"/>
          <w:marBottom w:val="0"/>
          <w:divBdr>
            <w:top w:val="none" w:sz="0" w:space="0" w:color="auto"/>
            <w:left w:val="none" w:sz="0" w:space="0" w:color="auto"/>
            <w:bottom w:val="none" w:sz="0" w:space="0" w:color="auto"/>
            <w:right w:val="none" w:sz="0" w:space="0" w:color="auto"/>
          </w:divBdr>
        </w:div>
        <w:div w:id="1581452451">
          <w:marLeft w:val="547"/>
          <w:marRight w:val="0"/>
          <w:marTop w:val="154"/>
          <w:marBottom w:val="0"/>
          <w:divBdr>
            <w:top w:val="none" w:sz="0" w:space="0" w:color="auto"/>
            <w:left w:val="none" w:sz="0" w:space="0" w:color="auto"/>
            <w:bottom w:val="none" w:sz="0" w:space="0" w:color="auto"/>
            <w:right w:val="none" w:sz="0" w:space="0" w:color="auto"/>
          </w:divBdr>
        </w:div>
      </w:divsChild>
    </w:div>
    <w:div w:id="970090357">
      <w:bodyDiv w:val="1"/>
      <w:marLeft w:val="0"/>
      <w:marRight w:val="0"/>
      <w:marTop w:val="0"/>
      <w:marBottom w:val="0"/>
      <w:divBdr>
        <w:top w:val="none" w:sz="0" w:space="0" w:color="auto"/>
        <w:left w:val="none" w:sz="0" w:space="0" w:color="auto"/>
        <w:bottom w:val="none" w:sz="0" w:space="0" w:color="auto"/>
        <w:right w:val="none" w:sz="0" w:space="0" w:color="auto"/>
      </w:divBdr>
    </w:div>
    <w:div w:id="993686229">
      <w:bodyDiv w:val="1"/>
      <w:marLeft w:val="0"/>
      <w:marRight w:val="0"/>
      <w:marTop w:val="0"/>
      <w:marBottom w:val="0"/>
      <w:divBdr>
        <w:top w:val="none" w:sz="0" w:space="0" w:color="auto"/>
        <w:left w:val="none" w:sz="0" w:space="0" w:color="auto"/>
        <w:bottom w:val="none" w:sz="0" w:space="0" w:color="auto"/>
        <w:right w:val="none" w:sz="0" w:space="0" w:color="auto"/>
      </w:divBdr>
    </w:div>
    <w:div w:id="1004477085">
      <w:bodyDiv w:val="1"/>
      <w:marLeft w:val="0"/>
      <w:marRight w:val="0"/>
      <w:marTop w:val="0"/>
      <w:marBottom w:val="0"/>
      <w:divBdr>
        <w:top w:val="none" w:sz="0" w:space="0" w:color="auto"/>
        <w:left w:val="none" w:sz="0" w:space="0" w:color="auto"/>
        <w:bottom w:val="none" w:sz="0" w:space="0" w:color="auto"/>
        <w:right w:val="none" w:sz="0" w:space="0" w:color="auto"/>
      </w:divBdr>
    </w:div>
    <w:div w:id="1025867164">
      <w:bodyDiv w:val="1"/>
      <w:marLeft w:val="0"/>
      <w:marRight w:val="0"/>
      <w:marTop w:val="0"/>
      <w:marBottom w:val="0"/>
      <w:divBdr>
        <w:top w:val="none" w:sz="0" w:space="0" w:color="auto"/>
        <w:left w:val="none" w:sz="0" w:space="0" w:color="auto"/>
        <w:bottom w:val="none" w:sz="0" w:space="0" w:color="auto"/>
        <w:right w:val="none" w:sz="0" w:space="0" w:color="auto"/>
      </w:divBdr>
    </w:div>
    <w:div w:id="1098258363">
      <w:bodyDiv w:val="1"/>
      <w:marLeft w:val="0"/>
      <w:marRight w:val="0"/>
      <w:marTop w:val="0"/>
      <w:marBottom w:val="0"/>
      <w:divBdr>
        <w:top w:val="none" w:sz="0" w:space="0" w:color="auto"/>
        <w:left w:val="none" w:sz="0" w:space="0" w:color="auto"/>
        <w:bottom w:val="none" w:sz="0" w:space="0" w:color="auto"/>
        <w:right w:val="none" w:sz="0" w:space="0" w:color="auto"/>
      </w:divBdr>
    </w:div>
    <w:div w:id="1143624318">
      <w:bodyDiv w:val="1"/>
      <w:marLeft w:val="0"/>
      <w:marRight w:val="0"/>
      <w:marTop w:val="0"/>
      <w:marBottom w:val="0"/>
      <w:divBdr>
        <w:top w:val="none" w:sz="0" w:space="0" w:color="auto"/>
        <w:left w:val="none" w:sz="0" w:space="0" w:color="auto"/>
        <w:bottom w:val="none" w:sz="0" w:space="0" w:color="auto"/>
        <w:right w:val="none" w:sz="0" w:space="0" w:color="auto"/>
      </w:divBdr>
    </w:div>
    <w:div w:id="1191530711">
      <w:bodyDiv w:val="1"/>
      <w:marLeft w:val="0"/>
      <w:marRight w:val="0"/>
      <w:marTop w:val="0"/>
      <w:marBottom w:val="0"/>
      <w:divBdr>
        <w:top w:val="none" w:sz="0" w:space="0" w:color="auto"/>
        <w:left w:val="none" w:sz="0" w:space="0" w:color="auto"/>
        <w:bottom w:val="none" w:sz="0" w:space="0" w:color="auto"/>
        <w:right w:val="none" w:sz="0" w:space="0" w:color="auto"/>
      </w:divBdr>
    </w:div>
    <w:div w:id="1227915152">
      <w:bodyDiv w:val="1"/>
      <w:marLeft w:val="0"/>
      <w:marRight w:val="0"/>
      <w:marTop w:val="0"/>
      <w:marBottom w:val="0"/>
      <w:divBdr>
        <w:top w:val="none" w:sz="0" w:space="0" w:color="auto"/>
        <w:left w:val="none" w:sz="0" w:space="0" w:color="auto"/>
        <w:bottom w:val="none" w:sz="0" w:space="0" w:color="auto"/>
        <w:right w:val="none" w:sz="0" w:space="0" w:color="auto"/>
      </w:divBdr>
    </w:div>
    <w:div w:id="1231773599">
      <w:bodyDiv w:val="1"/>
      <w:marLeft w:val="0"/>
      <w:marRight w:val="0"/>
      <w:marTop w:val="0"/>
      <w:marBottom w:val="0"/>
      <w:divBdr>
        <w:top w:val="none" w:sz="0" w:space="0" w:color="auto"/>
        <w:left w:val="none" w:sz="0" w:space="0" w:color="auto"/>
        <w:bottom w:val="none" w:sz="0" w:space="0" w:color="auto"/>
        <w:right w:val="none" w:sz="0" w:space="0" w:color="auto"/>
      </w:divBdr>
    </w:div>
    <w:div w:id="1250118624">
      <w:bodyDiv w:val="1"/>
      <w:marLeft w:val="0"/>
      <w:marRight w:val="0"/>
      <w:marTop w:val="0"/>
      <w:marBottom w:val="0"/>
      <w:divBdr>
        <w:top w:val="none" w:sz="0" w:space="0" w:color="auto"/>
        <w:left w:val="none" w:sz="0" w:space="0" w:color="auto"/>
        <w:bottom w:val="none" w:sz="0" w:space="0" w:color="auto"/>
        <w:right w:val="none" w:sz="0" w:space="0" w:color="auto"/>
      </w:divBdr>
    </w:div>
    <w:div w:id="1301570060">
      <w:bodyDiv w:val="1"/>
      <w:marLeft w:val="0"/>
      <w:marRight w:val="0"/>
      <w:marTop w:val="0"/>
      <w:marBottom w:val="0"/>
      <w:divBdr>
        <w:top w:val="none" w:sz="0" w:space="0" w:color="auto"/>
        <w:left w:val="none" w:sz="0" w:space="0" w:color="auto"/>
        <w:bottom w:val="none" w:sz="0" w:space="0" w:color="auto"/>
        <w:right w:val="none" w:sz="0" w:space="0" w:color="auto"/>
      </w:divBdr>
    </w:div>
    <w:div w:id="1309751287">
      <w:bodyDiv w:val="1"/>
      <w:marLeft w:val="0"/>
      <w:marRight w:val="0"/>
      <w:marTop w:val="0"/>
      <w:marBottom w:val="0"/>
      <w:divBdr>
        <w:top w:val="none" w:sz="0" w:space="0" w:color="auto"/>
        <w:left w:val="none" w:sz="0" w:space="0" w:color="auto"/>
        <w:bottom w:val="none" w:sz="0" w:space="0" w:color="auto"/>
        <w:right w:val="none" w:sz="0" w:space="0" w:color="auto"/>
      </w:divBdr>
    </w:div>
    <w:div w:id="1394235591">
      <w:bodyDiv w:val="1"/>
      <w:marLeft w:val="0"/>
      <w:marRight w:val="0"/>
      <w:marTop w:val="0"/>
      <w:marBottom w:val="0"/>
      <w:divBdr>
        <w:top w:val="none" w:sz="0" w:space="0" w:color="auto"/>
        <w:left w:val="none" w:sz="0" w:space="0" w:color="auto"/>
        <w:bottom w:val="none" w:sz="0" w:space="0" w:color="auto"/>
        <w:right w:val="none" w:sz="0" w:space="0" w:color="auto"/>
      </w:divBdr>
    </w:div>
    <w:div w:id="1436294079">
      <w:bodyDiv w:val="1"/>
      <w:marLeft w:val="0"/>
      <w:marRight w:val="0"/>
      <w:marTop w:val="0"/>
      <w:marBottom w:val="0"/>
      <w:divBdr>
        <w:top w:val="none" w:sz="0" w:space="0" w:color="auto"/>
        <w:left w:val="none" w:sz="0" w:space="0" w:color="auto"/>
        <w:bottom w:val="none" w:sz="0" w:space="0" w:color="auto"/>
        <w:right w:val="none" w:sz="0" w:space="0" w:color="auto"/>
      </w:divBdr>
      <w:divsChild>
        <w:div w:id="761223577">
          <w:marLeft w:val="547"/>
          <w:marRight w:val="0"/>
          <w:marTop w:val="134"/>
          <w:marBottom w:val="0"/>
          <w:divBdr>
            <w:top w:val="none" w:sz="0" w:space="0" w:color="auto"/>
            <w:left w:val="none" w:sz="0" w:space="0" w:color="auto"/>
            <w:bottom w:val="none" w:sz="0" w:space="0" w:color="auto"/>
            <w:right w:val="none" w:sz="0" w:space="0" w:color="auto"/>
          </w:divBdr>
        </w:div>
        <w:div w:id="965811520">
          <w:marLeft w:val="547"/>
          <w:marRight w:val="0"/>
          <w:marTop w:val="134"/>
          <w:marBottom w:val="0"/>
          <w:divBdr>
            <w:top w:val="none" w:sz="0" w:space="0" w:color="auto"/>
            <w:left w:val="none" w:sz="0" w:space="0" w:color="auto"/>
            <w:bottom w:val="none" w:sz="0" w:space="0" w:color="auto"/>
            <w:right w:val="none" w:sz="0" w:space="0" w:color="auto"/>
          </w:divBdr>
        </w:div>
        <w:div w:id="1372682603">
          <w:marLeft w:val="547"/>
          <w:marRight w:val="0"/>
          <w:marTop w:val="134"/>
          <w:marBottom w:val="0"/>
          <w:divBdr>
            <w:top w:val="none" w:sz="0" w:space="0" w:color="auto"/>
            <w:left w:val="none" w:sz="0" w:space="0" w:color="auto"/>
            <w:bottom w:val="none" w:sz="0" w:space="0" w:color="auto"/>
            <w:right w:val="none" w:sz="0" w:space="0" w:color="auto"/>
          </w:divBdr>
        </w:div>
      </w:divsChild>
    </w:div>
    <w:div w:id="1443265748">
      <w:bodyDiv w:val="1"/>
      <w:marLeft w:val="0"/>
      <w:marRight w:val="0"/>
      <w:marTop w:val="0"/>
      <w:marBottom w:val="0"/>
      <w:divBdr>
        <w:top w:val="none" w:sz="0" w:space="0" w:color="auto"/>
        <w:left w:val="none" w:sz="0" w:space="0" w:color="auto"/>
        <w:bottom w:val="none" w:sz="0" w:space="0" w:color="auto"/>
        <w:right w:val="none" w:sz="0" w:space="0" w:color="auto"/>
      </w:divBdr>
    </w:div>
    <w:div w:id="1451703367">
      <w:bodyDiv w:val="1"/>
      <w:marLeft w:val="0"/>
      <w:marRight w:val="0"/>
      <w:marTop w:val="0"/>
      <w:marBottom w:val="0"/>
      <w:divBdr>
        <w:top w:val="none" w:sz="0" w:space="0" w:color="auto"/>
        <w:left w:val="none" w:sz="0" w:space="0" w:color="auto"/>
        <w:bottom w:val="none" w:sz="0" w:space="0" w:color="auto"/>
        <w:right w:val="none" w:sz="0" w:space="0" w:color="auto"/>
      </w:divBdr>
    </w:div>
    <w:div w:id="1488474232">
      <w:bodyDiv w:val="1"/>
      <w:marLeft w:val="0"/>
      <w:marRight w:val="0"/>
      <w:marTop w:val="0"/>
      <w:marBottom w:val="0"/>
      <w:divBdr>
        <w:top w:val="none" w:sz="0" w:space="0" w:color="auto"/>
        <w:left w:val="none" w:sz="0" w:space="0" w:color="auto"/>
        <w:bottom w:val="none" w:sz="0" w:space="0" w:color="auto"/>
        <w:right w:val="none" w:sz="0" w:space="0" w:color="auto"/>
      </w:divBdr>
    </w:div>
    <w:div w:id="1494490127">
      <w:bodyDiv w:val="1"/>
      <w:marLeft w:val="0"/>
      <w:marRight w:val="0"/>
      <w:marTop w:val="0"/>
      <w:marBottom w:val="0"/>
      <w:divBdr>
        <w:top w:val="none" w:sz="0" w:space="0" w:color="auto"/>
        <w:left w:val="none" w:sz="0" w:space="0" w:color="auto"/>
        <w:bottom w:val="none" w:sz="0" w:space="0" w:color="auto"/>
        <w:right w:val="none" w:sz="0" w:space="0" w:color="auto"/>
      </w:divBdr>
      <w:divsChild>
        <w:div w:id="1164861635">
          <w:marLeft w:val="547"/>
          <w:marRight w:val="0"/>
          <w:marTop w:val="144"/>
          <w:marBottom w:val="0"/>
          <w:divBdr>
            <w:top w:val="none" w:sz="0" w:space="0" w:color="auto"/>
            <w:left w:val="none" w:sz="0" w:space="0" w:color="auto"/>
            <w:bottom w:val="none" w:sz="0" w:space="0" w:color="auto"/>
            <w:right w:val="none" w:sz="0" w:space="0" w:color="auto"/>
          </w:divBdr>
        </w:div>
        <w:div w:id="1332760534">
          <w:marLeft w:val="547"/>
          <w:marRight w:val="0"/>
          <w:marTop w:val="144"/>
          <w:marBottom w:val="0"/>
          <w:divBdr>
            <w:top w:val="none" w:sz="0" w:space="0" w:color="auto"/>
            <w:left w:val="none" w:sz="0" w:space="0" w:color="auto"/>
            <w:bottom w:val="none" w:sz="0" w:space="0" w:color="auto"/>
            <w:right w:val="none" w:sz="0" w:space="0" w:color="auto"/>
          </w:divBdr>
        </w:div>
      </w:divsChild>
    </w:div>
    <w:div w:id="1537430609">
      <w:bodyDiv w:val="1"/>
      <w:marLeft w:val="0"/>
      <w:marRight w:val="0"/>
      <w:marTop w:val="0"/>
      <w:marBottom w:val="0"/>
      <w:divBdr>
        <w:top w:val="none" w:sz="0" w:space="0" w:color="auto"/>
        <w:left w:val="none" w:sz="0" w:space="0" w:color="auto"/>
        <w:bottom w:val="none" w:sz="0" w:space="0" w:color="auto"/>
        <w:right w:val="none" w:sz="0" w:space="0" w:color="auto"/>
      </w:divBdr>
    </w:div>
    <w:div w:id="1578518264">
      <w:bodyDiv w:val="1"/>
      <w:marLeft w:val="0"/>
      <w:marRight w:val="0"/>
      <w:marTop w:val="0"/>
      <w:marBottom w:val="0"/>
      <w:divBdr>
        <w:top w:val="none" w:sz="0" w:space="0" w:color="auto"/>
        <w:left w:val="none" w:sz="0" w:space="0" w:color="auto"/>
        <w:bottom w:val="none" w:sz="0" w:space="0" w:color="auto"/>
        <w:right w:val="none" w:sz="0" w:space="0" w:color="auto"/>
      </w:divBdr>
    </w:div>
    <w:div w:id="1587038627">
      <w:bodyDiv w:val="1"/>
      <w:marLeft w:val="0"/>
      <w:marRight w:val="0"/>
      <w:marTop w:val="0"/>
      <w:marBottom w:val="0"/>
      <w:divBdr>
        <w:top w:val="none" w:sz="0" w:space="0" w:color="auto"/>
        <w:left w:val="none" w:sz="0" w:space="0" w:color="auto"/>
        <w:bottom w:val="none" w:sz="0" w:space="0" w:color="auto"/>
        <w:right w:val="none" w:sz="0" w:space="0" w:color="auto"/>
      </w:divBdr>
      <w:divsChild>
        <w:div w:id="186986631">
          <w:marLeft w:val="936"/>
          <w:marRight w:val="0"/>
          <w:marTop w:val="154"/>
          <w:marBottom w:val="0"/>
          <w:divBdr>
            <w:top w:val="none" w:sz="0" w:space="0" w:color="auto"/>
            <w:left w:val="none" w:sz="0" w:space="0" w:color="auto"/>
            <w:bottom w:val="none" w:sz="0" w:space="0" w:color="auto"/>
            <w:right w:val="none" w:sz="0" w:space="0" w:color="auto"/>
          </w:divBdr>
        </w:div>
        <w:div w:id="437528159">
          <w:marLeft w:val="936"/>
          <w:marRight w:val="0"/>
          <w:marTop w:val="154"/>
          <w:marBottom w:val="0"/>
          <w:divBdr>
            <w:top w:val="none" w:sz="0" w:space="0" w:color="auto"/>
            <w:left w:val="none" w:sz="0" w:space="0" w:color="auto"/>
            <w:bottom w:val="none" w:sz="0" w:space="0" w:color="auto"/>
            <w:right w:val="none" w:sz="0" w:space="0" w:color="auto"/>
          </w:divBdr>
        </w:div>
        <w:div w:id="572088504">
          <w:marLeft w:val="936"/>
          <w:marRight w:val="0"/>
          <w:marTop w:val="154"/>
          <w:marBottom w:val="0"/>
          <w:divBdr>
            <w:top w:val="none" w:sz="0" w:space="0" w:color="auto"/>
            <w:left w:val="none" w:sz="0" w:space="0" w:color="auto"/>
            <w:bottom w:val="none" w:sz="0" w:space="0" w:color="auto"/>
            <w:right w:val="none" w:sz="0" w:space="0" w:color="auto"/>
          </w:divBdr>
        </w:div>
        <w:div w:id="1190532820">
          <w:marLeft w:val="936"/>
          <w:marRight w:val="0"/>
          <w:marTop w:val="154"/>
          <w:marBottom w:val="0"/>
          <w:divBdr>
            <w:top w:val="none" w:sz="0" w:space="0" w:color="auto"/>
            <w:left w:val="none" w:sz="0" w:space="0" w:color="auto"/>
            <w:bottom w:val="none" w:sz="0" w:space="0" w:color="auto"/>
            <w:right w:val="none" w:sz="0" w:space="0" w:color="auto"/>
          </w:divBdr>
        </w:div>
        <w:div w:id="1700666437">
          <w:marLeft w:val="936"/>
          <w:marRight w:val="0"/>
          <w:marTop w:val="154"/>
          <w:marBottom w:val="0"/>
          <w:divBdr>
            <w:top w:val="none" w:sz="0" w:space="0" w:color="auto"/>
            <w:left w:val="none" w:sz="0" w:space="0" w:color="auto"/>
            <w:bottom w:val="none" w:sz="0" w:space="0" w:color="auto"/>
            <w:right w:val="none" w:sz="0" w:space="0" w:color="auto"/>
          </w:divBdr>
        </w:div>
      </w:divsChild>
    </w:div>
    <w:div w:id="1817915558">
      <w:bodyDiv w:val="1"/>
      <w:marLeft w:val="0"/>
      <w:marRight w:val="0"/>
      <w:marTop w:val="0"/>
      <w:marBottom w:val="0"/>
      <w:divBdr>
        <w:top w:val="none" w:sz="0" w:space="0" w:color="auto"/>
        <w:left w:val="none" w:sz="0" w:space="0" w:color="auto"/>
        <w:bottom w:val="none" w:sz="0" w:space="0" w:color="auto"/>
        <w:right w:val="none" w:sz="0" w:space="0" w:color="auto"/>
      </w:divBdr>
    </w:div>
    <w:div w:id="1847330011">
      <w:bodyDiv w:val="1"/>
      <w:marLeft w:val="0"/>
      <w:marRight w:val="0"/>
      <w:marTop w:val="0"/>
      <w:marBottom w:val="0"/>
      <w:divBdr>
        <w:top w:val="none" w:sz="0" w:space="0" w:color="auto"/>
        <w:left w:val="none" w:sz="0" w:space="0" w:color="auto"/>
        <w:bottom w:val="none" w:sz="0" w:space="0" w:color="auto"/>
        <w:right w:val="none" w:sz="0" w:space="0" w:color="auto"/>
      </w:divBdr>
    </w:div>
    <w:div w:id="1919749004">
      <w:bodyDiv w:val="1"/>
      <w:marLeft w:val="0"/>
      <w:marRight w:val="0"/>
      <w:marTop w:val="0"/>
      <w:marBottom w:val="0"/>
      <w:divBdr>
        <w:top w:val="none" w:sz="0" w:space="0" w:color="auto"/>
        <w:left w:val="none" w:sz="0" w:space="0" w:color="auto"/>
        <w:bottom w:val="none" w:sz="0" w:space="0" w:color="auto"/>
        <w:right w:val="none" w:sz="0" w:space="0" w:color="auto"/>
      </w:divBdr>
    </w:div>
    <w:div w:id="1974825481">
      <w:bodyDiv w:val="1"/>
      <w:marLeft w:val="0"/>
      <w:marRight w:val="0"/>
      <w:marTop w:val="0"/>
      <w:marBottom w:val="0"/>
      <w:divBdr>
        <w:top w:val="none" w:sz="0" w:space="0" w:color="auto"/>
        <w:left w:val="none" w:sz="0" w:space="0" w:color="auto"/>
        <w:bottom w:val="none" w:sz="0" w:space="0" w:color="auto"/>
        <w:right w:val="none" w:sz="0" w:space="0" w:color="auto"/>
      </w:divBdr>
    </w:div>
    <w:div w:id="2029091654">
      <w:bodyDiv w:val="1"/>
      <w:marLeft w:val="0"/>
      <w:marRight w:val="0"/>
      <w:marTop w:val="0"/>
      <w:marBottom w:val="0"/>
      <w:divBdr>
        <w:top w:val="none" w:sz="0" w:space="0" w:color="auto"/>
        <w:left w:val="none" w:sz="0" w:space="0" w:color="auto"/>
        <w:bottom w:val="none" w:sz="0" w:space="0" w:color="auto"/>
        <w:right w:val="none" w:sz="0" w:space="0" w:color="auto"/>
      </w:divBdr>
    </w:div>
    <w:div w:id="2040423292">
      <w:bodyDiv w:val="1"/>
      <w:marLeft w:val="0"/>
      <w:marRight w:val="0"/>
      <w:marTop w:val="0"/>
      <w:marBottom w:val="0"/>
      <w:divBdr>
        <w:top w:val="none" w:sz="0" w:space="0" w:color="auto"/>
        <w:left w:val="none" w:sz="0" w:space="0" w:color="auto"/>
        <w:bottom w:val="none" w:sz="0" w:space="0" w:color="auto"/>
        <w:right w:val="none" w:sz="0" w:space="0" w:color="auto"/>
      </w:divBdr>
    </w:div>
    <w:div w:id="2040734963">
      <w:bodyDiv w:val="1"/>
      <w:marLeft w:val="0"/>
      <w:marRight w:val="0"/>
      <w:marTop w:val="0"/>
      <w:marBottom w:val="0"/>
      <w:divBdr>
        <w:top w:val="none" w:sz="0" w:space="0" w:color="auto"/>
        <w:left w:val="none" w:sz="0" w:space="0" w:color="auto"/>
        <w:bottom w:val="none" w:sz="0" w:space="0" w:color="auto"/>
        <w:right w:val="none" w:sz="0" w:space="0" w:color="auto"/>
      </w:divBdr>
    </w:div>
    <w:div w:id="2054769001">
      <w:bodyDiv w:val="1"/>
      <w:marLeft w:val="0"/>
      <w:marRight w:val="0"/>
      <w:marTop w:val="0"/>
      <w:marBottom w:val="0"/>
      <w:divBdr>
        <w:top w:val="none" w:sz="0" w:space="0" w:color="auto"/>
        <w:left w:val="none" w:sz="0" w:space="0" w:color="auto"/>
        <w:bottom w:val="none" w:sz="0" w:space="0" w:color="auto"/>
        <w:right w:val="none" w:sz="0" w:space="0" w:color="auto"/>
      </w:divBdr>
      <w:divsChild>
        <w:div w:id="507646260">
          <w:marLeft w:val="-115"/>
          <w:marRight w:val="0"/>
          <w:marTop w:val="0"/>
          <w:marBottom w:val="0"/>
          <w:divBdr>
            <w:top w:val="none" w:sz="0" w:space="0" w:color="auto"/>
            <w:left w:val="none" w:sz="0" w:space="0" w:color="auto"/>
            <w:bottom w:val="none" w:sz="0" w:space="0" w:color="auto"/>
            <w:right w:val="none" w:sz="0" w:space="0" w:color="auto"/>
          </w:divBdr>
        </w:div>
      </w:divsChild>
    </w:div>
    <w:div w:id="2129471973">
      <w:bodyDiv w:val="1"/>
      <w:marLeft w:val="0"/>
      <w:marRight w:val="0"/>
      <w:marTop w:val="0"/>
      <w:marBottom w:val="0"/>
      <w:divBdr>
        <w:top w:val="none" w:sz="0" w:space="0" w:color="auto"/>
        <w:left w:val="none" w:sz="0" w:space="0" w:color="auto"/>
        <w:bottom w:val="none" w:sz="0" w:space="0" w:color="auto"/>
        <w:right w:val="none" w:sz="0" w:space="0" w:color="auto"/>
      </w:divBdr>
    </w:div>
    <w:div w:id="2136943830">
      <w:bodyDiv w:val="1"/>
      <w:marLeft w:val="0"/>
      <w:marRight w:val="0"/>
      <w:marTop w:val="0"/>
      <w:marBottom w:val="0"/>
      <w:divBdr>
        <w:top w:val="none" w:sz="0" w:space="0" w:color="auto"/>
        <w:left w:val="none" w:sz="0" w:space="0" w:color="auto"/>
        <w:bottom w:val="none" w:sz="0" w:space="0" w:color="auto"/>
        <w:right w:val="none" w:sz="0" w:space="0" w:color="auto"/>
      </w:divBdr>
      <w:divsChild>
        <w:div w:id="17434808">
          <w:marLeft w:val="360"/>
          <w:marRight w:val="0"/>
          <w:marTop w:val="0"/>
          <w:marBottom w:val="0"/>
          <w:divBdr>
            <w:top w:val="none" w:sz="0" w:space="0" w:color="auto"/>
            <w:left w:val="none" w:sz="0" w:space="0" w:color="auto"/>
            <w:bottom w:val="none" w:sz="0" w:space="0" w:color="auto"/>
            <w:right w:val="none" w:sz="0" w:space="0" w:color="auto"/>
          </w:divBdr>
        </w:div>
        <w:div w:id="691763428">
          <w:marLeft w:val="36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2307/1353178" TargetMode="External"/><Relationship Id="rId21" Type="http://schemas.openxmlformats.org/officeDocument/2006/relationships/header" Target="header7.xml"/><Relationship Id="rId42" Type="http://schemas.openxmlformats.org/officeDocument/2006/relationships/image" Target="media/image19.jpeg"/><Relationship Id="rId63" Type="http://schemas.openxmlformats.org/officeDocument/2006/relationships/image" Target="media/image39.emf"/><Relationship Id="rId84" Type="http://schemas.openxmlformats.org/officeDocument/2006/relationships/hyperlink" Target="https://doi.org/10.1007/s00267-009-9344-2" TargetMode="External"/><Relationship Id="rId138" Type="http://schemas.openxmlformats.org/officeDocument/2006/relationships/hyperlink" Target="https://doi.org/10.1016/S1532-0456(03)00044-9" TargetMode="External"/><Relationship Id="rId159" Type="http://schemas.openxmlformats.org/officeDocument/2006/relationships/hyperlink" Target="https://doi.org/10.2307/1467800" TargetMode="External"/><Relationship Id="rId170" Type="http://schemas.openxmlformats.org/officeDocument/2006/relationships/hyperlink" Target="https://doi.org/10.2134/jeq2007.0344" TargetMode="External"/><Relationship Id="rId191" Type="http://schemas.openxmlformats.org/officeDocument/2006/relationships/hyperlink" Target="https://doi.org/10.1007/s00267-006-0135-8" TargetMode="External"/><Relationship Id="rId196" Type="http://schemas.openxmlformats.org/officeDocument/2006/relationships/hyperlink" Target="https://doi.org/10.1899/0887-3593(2005)024%3c0048:CODOCT%3e2.0.CO;2" TargetMode="External"/><Relationship Id="rId200" Type="http://schemas.openxmlformats.org/officeDocument/2006/relationships/theme" Target="theme/theme1.xml"/><Relationship Id="rId16" Type="http://schemas.openxmlformats.org/officeDocument/2006/relationships/image" Target="media/image1.emf"/><Relationship Id="rId107" Type="http://schemas.openxmlformats.org/officeDocument/2006/relationships/hyperlink" Target="https://doi.org/10.1899/08-113.1" TargetMode="External"/><Relationship Id="rId11" Type="http://schemas.openxmlformats.org/officeDocument/2006/relationships/footer" Target="footer2.xml"/><Relationship Id="rId32" Type="http://schemas.openxmlformats.org/officeDocument/2006/relationships/image" Target="media/image9.emf"/><Relationship Id="rId37" Type="http://schemas.openxmlformats.org/officeDocument/2006/relationships/image" Target="media/image14.png"/><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hyperlink" Target="https://doi.org/10.1007/BF02804901" TargetMode="External"/><Relationship Id="rId79" Type="http://schemas.openxmlformats.org/officeDocument/2006/relationships/hyperlink" Target="https://doi.org/10.1007/s10661-010-1539-8" TargetMode="External"/><Relationship Id="rId102" Type="http://schemas.openxmlformats.org/officeDocument/2006/relationships/hyperlink" Target="https://doi.org/10.1139/f06-040" TargetMode="External"/><Relationship Id="rId123" Type="http://schemas.openxmlformats.org/officeDocument/2006/relationships/hyperlink" Target="https://doi.org/10.4319/lo.1995.40.2.0263" TargetMode="External"/><Relationship Id="rId128" Type="http://schemas.openxmlformats.org/officeDocument/2006/relationships/hyperlink" Target="https://doi.org/10.17226/20256" TargetMode="External"/><Relationship Id="rId144" Type="http://schemas.openxmlformats.org/officeDocument/2006/relationships/hyperlink" Target="https://doi.org/10.1086/684130" TargetMode="External"/><Relationship Id="rId149" Type="http://schemas.openxmlformats.org/officeDocument/2006/relationships/hyperlink" Target="https://doi.org/10.1046/j.1365-2427.1998.00324.x" TargetMode="External"/><Relationship Id="rId5" Type="http://schemas.openxmlformats.org/officeDocument/2006/relationships/webSettings" Target="webSettings.xml"/><Relationship Id="rId90" Type="http://schemas.openxmlformats.org/officeDocument/2006/relationships/hyperlink" Target="https://doi.org/10.1201/9781482295061" TargetMode="External"/><Relationship Id="rId95" Type="http://schemas.openxmlformats.org/officeDocument/2006/relationships/hyperlink" Target="https://doi.org/10.1073/pnas.0908497107" TargetMode="External"/><Relationship Id="rId160" Type="http://schemas.openxmlformats.org/officeDocument/2006/relationships/hyperlink" Target="https://doi.org/10.1016/S0166-445X(97)00022-2" TargetMode="External"/><Relationship Id="rId165" Type="http://schemas.openxmlformats.org/officeDocument/2006/relationships/hyperlink" Target="https://doi.org/10.1016/0043-1354(89)90188-7" TargetMode="External"/><Relationship Id="rId181" Type="http://schemas.openxmlformats.org/officeDocument/2006/relationships/hyperlink" Target="https://doi.org/10.1111/jpy.12189" TargetMode="External"/><Relationship Id="rId186" Type="http://schemas.openxmlformats.org/officeDocument/2006/relationships/hyperlink" Target="https://doi.org/10.1111/j.1752-1688.2008.00265.x" TargetMode="External"/><Relationship Id="rId22" Type="http://schemas.openxmlformats.org/officeDocument/2006/relationships/image" Target="media/image3.png"/><Relationship Id="rId27" Type="http://schemas.openxmlformats.org/officeDocument/2006/relationships/footer" Target="footer6.xml"/><Relationship Id="rId43" Type="http://schemas.openxmlformats.org/officeDocument/2006/relationships/image" Target="media/image20.jpeg"/><Relationship Id="rId48" Type="http://schemas.openxmlformats.org/officeDocument/2006/relationships/image" Target="media/image25.jpeg"/><Relationship Id="rId64" Type="http://schemas.openxmlformats.org/officeDocument/2006/relationships/image" Target="media/image40.emf"/><Relationship Id="rId69" Type="http://schemas.openxmlformats.org/officeDocument/2006/relationships/image" Target="media/image44.emf"/><Relationship Id="rId113" Type="http://schemas.openxmlformats.org/officeDocument/2006/relationships/hyperlink" Target="https://doi.org/10.1899/09-023.1" TargetMode="External"/><Relationship Id="rId118" Type="http://schemas.openxmlformats.org/officeDocument/2006/relationships/hyperlink" Target="https://doi.org/10.1098/rspb.2007.1221" TargetMode="External"/><Relationship Id="rId134" Type="http://schemas.openxmlformats.org/officeDocument/2006/relationships/hyperlink" Target="https://doi.org/10.1016/j.hal.2011.08.006" TargetMode="External"/><Relationship Id="rId139" Type="http://schemas.openxmlformats.org/officeDocument/2006/relationships/hyperlink" Target="https://doi.org/10.1007/s10750-004-4670-0" TargetMode="External"/><Relationship Id="rId80" Type="http://schemas.openxmlformats.org/officeDocument/2006/relationships/hyperlink" Target="https://doi.org/10.1111/j.1749-7345.1994.tb00196.x" TargetMode="External"/><Relationship Id="rId85" Type="http://schemas.openxmlformats.org/officeDocument/2006/relationships/hyperlink" Target="https://doi.org/10.1007/s10750-005-1202-5" TargetMode="External"/><Relationship Id="rId150" Type="http://schemas.openxmlformats.org/officeDocument/2006/relationships/hyperlink" Target="https://doi.org/10.1016/j.hal.2009.04.005" TargetMode="External"/><Relationship Id="rId155" Type="http://schemas.openxmlformats.org/officeDocument/2006/relationships/hyperlink" Target="https://doi.org/10.1016/S0043-1354(97)00120-6" TargetMode="External"/><Relationship Id="rId171" Type="http://schemas.openxmlformats.org/officeDocument/2006/relationships/hyperlink" Target="https://doi.org/10.1016/S0025-3227(96)00107-7" TargetMode="External"/><Relationship Id="rId176" Type="http://schemas.openxmlformats.org/officeDocument/2006/relationships/hyperlink" Target="https://doi.org/10.1023/A:1016622414140" TargetMode="External"/><Relationship Id="rId192" Type="http://schemas.openxmlformats.org/officeDocument/2006/relationships/hyperlink" Target="https://doi.org/10.1046/j.1529-8817.1998.340741.x" TargetMode="External"/><Relationship Id="rId197" Type="http://schemas.openxmlformats.org/officeDocument/2006/relationships/hyperlink" Target="https://doi.org/10.1007/s10661-008-0671-1" TargetMode="External"/><Relationship Id="rId12" Type="http://schemas.openxmlformats.org/officeDocument/2006/relationships/header" Target="header3.xml"/><Relationship Id="rId17" Type="http://schemas.openxmlformats.org/officeDocument/2006/relationships/image" Target="media/image2.png"/><Relationship Id="rId33" Type="http://schemas.openxmlformats.org/officeDocument/2006/relationships/image" Target="media/image10.png"/><Relationship Id="rId38" Type="http://schemas.openxmlformats.org/officeDocument/2006/relationships/image" Target="media/image15.jpeg"/><Relationship Id="rId59" Type="http://schemas.openxmlformats.org/officeDocument/2006/relationships/image" Target="media/image35.png"/><Relationship Id="rId103" Type="http://schemas.openxmlformats.org/officeDocument/2006/relationships/hyperlink" Target="https://doi.org/10.1139/f02-063" TargetMode="External"/><Relationship Id="rId108" Type="http://schemas.openxmlformats.org/officeDocument/2006/relationships/hyperlink" Target="https://doi.org/10.2134/jeq2012.0491" TargetMode="External"/><Relationship Id="rId124" Type="http://schemas.openxmlformats.org/officeDocument/2006/relationships/hyperlink" Target="https://doi.org/10.2307/1940125" TargetMode="External"/><Relationship Id="rId129" Type="http://schemas.openxmlformats.org/officeDocument/2006/relationships/hyperlink" Target="https://doi.org/10.1007/s00248-004-0014-x" TargetMode="External"/><Relationship Id="rId54" Type="http://schemas.openxmlformats.org/officeDocument/2006/relationships/image" Target="media/image30.jpeg"/><Relationship Id="rId70" Type="http://schemas.openxmlformats.org/officeDocument/2006/relationships/image" Target="media/image45.emf"/><Relationship Id="rId75" Type="http://schemas.openxmlformats.org/officeDocument/2006/relationships/hyperlink" Target="https://doi.org/10.1111/j.2041-210X.2009.00007.x" TargetMode="External"/><Relationship Id="rId91" Type="http://schemas.openxmlformats.org/officeDocument/2006/relationships/hyperlink" Target="https://doi.org/10.3354/meps210223" TargetMode="External"/><Relationship Id="rId96" Type="http://schemas.openxmlformats.org/officeDocument/2006/relationships/hyperlink" Target="https://doi.org/10.1111/j.1752-1688.1992.tb01495.x" TargetMode="External"/><Relationship Id="rId140" Type="http://schemas.openxmlformats.org/officeDocument/2006/relationships/hyperlink" Target="https://doi.org/10.1016/S0041-0101(01)00173-8" TargetMode="External"/><Relationship Id="rId145" Type="http://schemas.openxmlformats.org/officeDocument/2006/relationships/hyperlink" Target="https://doi.org/10.1016/S0025-326X(00)00114-4" TargetMode="External"/><Relationship Id="rId161" Type="http://schemas.openxmlformats.org/officeDocument/2006/relationships/hyperlink" Target="https://doi.org/10.1002/tox.10071" TargetMode="External"/><Relationship Id="rId166" Type="http://schemas.openxmlformats.org/officeDocument/2006/relationships/hyperlink" Target="http://www.resalliance.org/index" TargetMode="External"/><Relationship Id="rId182" Type="http://schemas.openxmlformats.org/officeDocument/2006/relationships/hyperlink" Target="https://doi.org/10.1017/CBO9780511763175" TargetMode="External"/><Relationship Id="rId187" Type="http://schemas.openxmlformats.org/officeDocument/2006/relationships/hyperlink" Target="https://doi.org/10.1016/0166-445X(94)90059-0"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4.png"/><Relationship Id="rId28" Type="http://schemas.openxmlformats.org/officeDocument/2006/relationships/header" Target="header10.xml"/><Relationship Id="rId49" Type="http://schemas.openxmlformats.org/officeDocument/2006/relationships/image" Target="media/image26.jpg"/><Relationship Id="rId114" Type="http://schemas.openxmlformats.org/officeDocument/2006/relationships/hyperlink" Target="https://doi.org/10.1002/tox.20147" TargetMode="External"/><Relationship Id="rId119" Type="http://schemas.openxmlformats.org/officeDocument/2006/relationships/hyperlink" Target="https://doi.org/10.1016/S0273-1223(98)00013-4" TargetMode="External"/><Relationship Id="rId44" Type="http://schemas.openxmlformats.org/officeDocument/2006/relationships/image" Target="media/image21.jpeg"/><Relationship Id="rId60" Type="http://schemas.openxmlformats.org/officeDocument/2006/relationships/image" Target="media/image36.png"/><Relationship Id="rId65" Type="http://schemas.openxmlformats.org/officeDocument/2006/relationships/hyperlink" Target="http://www.epa.gov/dwreginfo/stage-1-and-stage-2-disinfectants-and-disinfection-byproducts-rules" TargetMode="External"/><Relationship Id="rId81" Type="http://schemas.openxmlformats.org/officeDocument/2006/relationships/hyperlink" Target="https://doi.org/10.1111/j.1365-2427.2004.01317.x" TargetMode="External"/><Relationship Id="rId86" Type="http://schemas.openxmlformats.org/officeDocument/2006/relationships/hyperlink" Target="https://doi.org/10.1002/tox.20108" TargetMode="External"/><Relationship Id="rId130" Type="http://schemas.openxmlformats.org/officeDocument/2006/relationships/hyperlink" Target="https://doi.org/10.1080/07438140709353916" TargetMode="External"/><Relationship Id="rId135" Type="http://schemas.openxmlformats.org/officeDocument/2006/relationships/hyperlink" Target="https://doi.org/10.1016/j.hal.2008.08.019" TargetMode="External"/><Relationship Id="rId151" Type="http://schemas.openxmlformats.org/officeDocument/2006/relationships/hyperlink" Target="https://doi.org/10.1897/06-245R.1" TargetMode="External"/><Relationship Id="rId156" Type="http://schemas.openxmlformats.org/officeDocument/2006/relationships/hyperlink" Target="https://doi.org/10.1086/684003" TargetMode="External"/><Relationship Id="rId177" Type="http://schemas.openxmlformats.org/officeDocument/2006/relationships/hyperlink" Target="https://doi.org/10.5102/ucs.v3i1.549" TargetMode="External"/><Relationship Id="rId198" Type="http://schemas.openxmlformats.org/officeDocument/2006/relationships/hyperlink" Target="https://doi.org/10.3390/toxins5101896" TargetMode="External"/><Relationship Id="rId172" Type="http://schemas.openxmlformats.org/officeDocument/2006/relationships/hyperlink" Target="https://doi.org/10.1111/1752-1688.12325" TargetMode="External"/><Relationship Id="rId193" Type="http://schemas.openxmlformats.org/officeDocument/2006/relationships/hyperlink" Target="https://doi.org/10.1007/s00267-006-0452-y" TargetMode="External"/><Relationship Id="rId13" Type="http://schemas.openxmlformats.org/officeDocument/2006/relationships/footer" Target="footer3.xml"/><Relationship Id="rId18" Type="http://schemas.openxmlformats.org/officeDocument/2006/relationships/header" Target="header5.xml"/><Relationship Id="rId39" Type="http://schemas.openxmlformats.org/officeDocument/2006/relationships/image" Target="media/image16.emf"/><Relationship Id="rId109" Type="http://schemas.openxmlformats.org/officeDocument/2006/relationships/hyperlink" Target="https://doi.org/10.3354/meps229043" TargetMode="External"/><Relationship Id="rId34" Type="http://schemas.openxmlformats.org/officeDocument/2006/relationships/image" Target="media/image11.emf"/><Relationship Id="rId50" Type="http://schemas.openxmlformats.org/officeDocument/2006/relationships/image" Target="media/image27.png"/><Relationship Id="rId55" Type="http://schemas.openxmlformats.org/officeDocument/2006/relationships/image" Target="media/image31.png"/><Relationship Id="rId76" Type="http://schemas.openxmlformats.org/officeDocument/2006/relationships/hyperlink" Target="https://doi.org/10.1139/f89-156" TargetMode="External"/><Relationship Id="rId97" Type="http://schemas.openxmlformats.org/officeDocument/2006/relationships/hyperlink" Target="https://doi.org/10.2134/jeq2001.302275x" TargetMode="External"/><Relationship Id="rId104" Type="http://schemas.openxmlformats.org/officeDocument/2006/relationships/hyperlink" Target="https://doi.org/10.2307/1468291" TargetMode="External"/><Relationship Id="rId120" Type="http://schemas.openxmlformats.org/officeDocument/2006/relationships/hyperlink" Target="https://doi.org/10.3354/meps238249" TargetMode="External"/><Relationship Id="rId125" Type="http://schemas.openxmlformats.org/officeDocument/2006/relationships/hyperlink" Target="https://doi.org/10.1080/07438140109354134" TargetMode="External"/><Relationship Id="rId141" Type="http://schemas.openxmlformats.org/officeDocument/2006/relationships/hyperlink" Target="https://doi.org/10.1016/j.toxicon.2004.08.020" TargetMode="External"/><Relationship Id="rId146" Type="http://schemas.openxmlformats.org/officeDocument/2006/relationships/hyperlink" Target="https://doi.org/10.1371/journal.pone.0012576" TargetMode="External"/><Relationship Id="rId167" Type="http://schemas.openxmlformats.org/officeDocument/2006/relationships/hyperlink" Target="https://doi.org/10.1021/es062624w" TargetMode="External"/><Relationship Id="rId188" Type="http://schemas.openxmlformats.org/officeDocument/2006/relationships/hyperlink" Target="https://doi.org/10.4319/lo.2002.47.5.1438" TargetMode="External"/><Relationship Id="rId7" Type="http://schemas.openxmlformats.org/officeDocument/2006/relationships/endnotes" Target="endnotes.xml"/><Relationship Id="rId71" Type="http://schemas.openxmlformats.org/officeDocument/2006/relationships/image" Target="media/image46.emf"/><Relationship Id="rId92" Type="http://schemas.openxmlformats.org/officeDocument/2006/relationships/hyperlink" Target="https://doi.org/10.1073/pnas.0501526102" TargetMode="External"/><Relationship Id="rId162" Type="http://schemas.openxmlformats.org/officeDocument/2006/relationships/hyperlink" Target="https://doi.org/10.1021/es0106570" TargetMode="External"/><Relationship Id="rId183" Type="http://schemas.openxmlformats.org/officeDocument/2006/relationships/hyperlink" Target="https://doi.org/10.1899/07-077.1" TargetMode="External"/><Relationship Id="rId2" Type="http://schemas.openxmlformats.org/officeDocument/2006/relationships/numbering" Target="numbering.xml"/><Relationship Id="rId29" Type="http://schemas.openxmlformats.org/officeDocument/2006/relationships/image" Target="media/image6.emf"/><Relationship Id="rId24" Type="http://schemas.openxmlformats.org/officeDocument/2006/relationships/image" Target="media/image5.png"/><Relationship Id="rId40" Type="http://schemas.openxmlformats.org/officeDocument/2006/relationships/image" Target="media/image17.emf"/><Relationship Id="rId45" Type="http://schemas.openxmlformats.org/officeDocument/2006/relationships/image" Target="media/image22.png"/><Relationship Id="rId66" Type="http://schemas.openxmlformats.org/officeDocument/2006/relationships/image" Target="media/image41.emf"/><Relationship Id="rId87" Type="http://schemas.openxmlformats.org/officeDocument/2006/relationships/hyperlink" Target="https://doi.org/10.1111/j.1365-2427.1992.tb00593.x" TargetMode="External"/><Relationship Id="rId110" Type="http://schemas.openxmlformats.org/officeDocument/2006/relationships/hyperlink" Target="https://doi.org/10.1016/j.envpol.2017.05.093" TargetMode="External"/><Relationship Id="rId115" Type="http://schemas.openxmlformats.org/officeDocument/2006/relationships/hyperlink" Target="https://doi.org/10.1016/j.hal.2014.07.004" TargetMode="External"/><Relationship Id="rId131" Type="http://schemas.openxmlformats.org/officeDocument/2006/relationships/hyperlink" Target="https://doi.org/10.1002/2017WR021527" TargetMode="External"/><Relationship Id="rId136" Type="http://schemas.openxmlformats.org/officeDocument/2006/relationships/hyperlink" Target="https://doi.org/10.1080/20026491051695" TargetMode="External"/><Relationship Id="rId157" Type="http://schemas.openxmlformats.org/officeDocument/2006/relationships/hyperlink" Target="https://doi.org/10.1128/AEM.71.5.2278-2287.2005" TargetMode="External"/><Relationship Id="rId178" Type="http://schemas.openxmlformats.org/officeDocument/2006/relationships/hyperlink" Target="https://doi.org/10.1016/j.ecolind.2006.03.001" TargetMode="External"/><Relationship Id="rId61" Type="http://schemas.openxmlformats.org/officeDocument/2006/relationships/image" Target="media/image37.png"/><Relationship Id="rId82" Type="http://schemas.openxmlformats.org/officeDocument/2006/relationships/hyperlink" Target="https://doi.org/10.1016/j.envint.2006.05.002" TargetMode="External"/><Relationship Id="rId152" Type="http://schemas.openxmlformats.org/officeDocument/2006/relationships/hyperlink" Target="https://doi.org/10.1080/00785236.1995.10422044" TargetMode="External"/><Relationship Id="rId173" Type="http://schemas.openxmlformats.org/officeDocument/2006/relationships/hyperlink" Target="https://doi.org/10.1007/s001280306" TargetMode="External"/><Relationship Id="rId194" Type="http://schemas.openxmlformats.org/officeDocument/2006/relationships/hyperlink" Target="https://doi.org/10.1016/0043-1354(89)90130-9" TargetMode="External"/><Relationship Id="rId199" Type="http://schemas.openxmlformats.org/officeDocument/2006/relationships/fontTable" Target="fontTable.xml"/><Relationship Id="rId19" Type="http://schemas.openxmlformats.org/officeDocument/2006/relationships/header" Target="header6.xml"/><Relationship Id="rId14" Type="http://schemas.openxmlformats.org/officeDocument/2006/relationships/header" Target="header4.xml"/><Relationship Id="rId30" Type="http://schemas.openxmlformats.org/officeDocument/2006/relationships/image" Target="media/image7.emf"/><Relationship Id="rId35" Type="http://schemas.openxmlformats.org/officeDocument/2006/relationships/image" Target="media/image12.emf"/><Relationship Id="rId56" Type="http://schemas.openxmlformats.org/officeDocument/2006/relationships/image" Target="media/image32.emf"/><Relationship Id="rId77" Type="http://schemas.openxmlformats.org/officeDocument/2006/relationships/hyperlink" Target="https://doi.org/10.1139/f91-137" TargetMode="External"/><Relationship Id="rId100" Type="http://schemas.openxmlformats.org/officeDocument/2006/relationships/hyperlink" Target="https://doi.org/10.1111/j.0022-3646.1992.00415.x" TargetMode="External"/><Relationship Id="rId105" Type="http://schemas.openxmlformats.org/officeDocument/2006/relationships/hyperlink" Target="https://doi.org/10.1111/1752-1688.12326" TargetMode="External"/><Relationship Id="rId126" Type="http://schemas.openxmlformats.org/officeDocument/2006/relationships/hyperlink" Target="https://doi.org/10.1086/680662" TargetMode="External"/><Relationship Id="rId147" Type="http://schemas.openxmlformats.org/officeDocument/2006/relationships/hyperlink" Target="https://doi.org/10.1002/etc.5620191213" TargetMode="External"/><Relationship Id="rId168" Type="http://schemas.openxmlformats.org/officeDocument/2006/relationships/hyperlink" Target="https://doi.org/10.1080/00288330.1987.9516235" TargetMode="External"/><Relationship Id="rId8" Type="http://schemas.openxmlformats.org/officeDocument/2006/relationships/header" Target="header1.xml"/><Relationship Id="rId51" Type="http://schemas.openxmlformats.org/officeDocument/2006/relationships/image" Target="media/image28.png"/><Relationship Id="rId72" Type="http://schemas.openxmlformats.org/officeDocument/2006/relationships/image" Target="media/image47.emf"/><Relationship Id="rId93" Type="http://schemas.openxmlformats.org/officeDocument/2006/relationships/hyperlink" Target="https://doi.org/10.1890/08-1311.1" TargetMode="External"/><Relationship Id="rId98" Type="http://schemas.openxmlformats.org/officeDocument/2006/relationships/hyperlink" Target="https://doi.org/10.1016/j.tree.2007.07.010" TargetMode="External"/><Relationship Id="rId121" Type="http://schemas.openxmlformats.org/officeDocument/2006/relationships/hyperlink" Target="https://doi.org/10.1007/s10021-003-0142-z" TargetMode="External"/><Relationship Id="rId142" Type="http://schemas.openxmlformats.org/officeDocument/2006/relationships/hyperlink" Target="https://doi.org/10.4319/lo.2006.51.1_part_2.0690" TargetMode="External"/><Relationship Id="rId163" Type="http://schemas.openxmlformats.org/officeDocument/2006/relationships/hyperlink" Target="https://doi.org/10.1111/j.1365-2427.2009.02204.x" TargetMode="External"/><Relationship Id="rId184" Type="http://schemas.openxmlformats.org/officeDocument/2006/relationships/hyperlink" Target="https://doi.org/10.4319/lo.2010.55.1.0149" TargetMode="External"/><Relationship Id="rId189" Type="http://schemas.openxmlformats.org/officeDocument/2006/relationships/hyperlink" Target="https://doi.org/10.1890/1051-0761(1997)007%5b0737:HAOTGN%5d2.0.CO;2" TargetMode="External"/><Relationship Id="rId3" Type="http://schemas.openxmlformats.org/officeDocument/2006/relationships/styles" Target="styles.xml"/><Relationship Id="rId25" Type="http://schemas.openxmlformats.org/officeDocument/2006/relationships/header" Target="header8.xml"/><Relationship Id="rId46" Type="http://schemas.openxmlformats.org/officeDocument/2006/relationships/image" Target="media/image23.jpeg"/><Relationship Id="rId67" Type="http://schemas.openxmlformats.org/officeDocument/2006/relationships/image" Target="media/image42.emf"/><Relationship Id="rId116" Type="http://schemas.openxmlformats.org/officeDocument/2006/relationships/hyperlink" Target="https://doi.org/10.1007/s10533-005-3070-5" TargetMode="External"/><Relationship Id="rId137" Type="http://schemas.openxmlformats.org/officeDocument/2006/relationships/hyperlink" Target="https://doi.org/10.4319/lom.2010.8.0645" TargetMode="External"/><Relationship Id="rId158" Type="http://schemas.openxmlformats.org/officeDocument/2006/relationships/hyperlink" Target="https://doi.org/10.1016/j.scitotenv.2011.02.001" TargetMode="External"/><Relationship Id="rId20" Type="http://schemas.openxmlformats.org/officeDocument/2006/relationships/footer" Target="footer5.xml"/><Relationship Id="rId41" Type="http://schemas.openxmlformats.org/officeDocument/2006/relationships/image" Target="media/image18.jpg"/><Relationship Id="rId62" Type="http://schemas.openxmlformats.org/officeDocument/2006/relationships/image" Target="media/image38.png"/><Relationship Id="rId83" Type="http://schemas.openxmlformats.org/officeDocument/2006/relationships/hyperlink" Target="https://doi.org/10.1016/j.watres.2011.12.016" TargetMode="External"/><Relationship Id="rId88" Type="http://schemas.openxmlformats.org/officeDocument/2006/relationships/hyperlink" Target="https://doi.org/10.1007/s12275-013-2549-3" TargetMode="External"/><Relationship Id="rId111" Type="http://schemas.openxmlformats.org/officeDocument/2006/relationships/hyperlink" Target="https://doi.org/10.1016/j.hal.2015.09.002" TargetMode="External"/><Relationship Id="rId132" Type="http://schemas.openxmlformats.org/officeDocument/2006/relationships/hyperlink" Target="https://doi.org/10.1016/j.aquatox.2006.07.007" TargetMode="External"/><Relationship Id="rId153" Type="http://schemas.openxmlformats.org/officeDocument/2006/relationships/hyperlink" Target="https://doi.org/10.1016/j.toxicon.2004.08.006" TargetMode="External"/><Relationship Id="rId174" Type="http://schemas.openxmlformats.org/officeDocument/2006/relationships/hyperlink" Target="https://doi.org/10.1046/j.1365-2745.2000.00519.x" TargetMode="External"/><Relationship Id="rId179" Type="http://schemas.openxmlformats.org/officeDocument/2006/relationships/hyperlink" Target="https://doi.org/10.1899/09-076.1" TargetMode="External"/><Relationship Id="rId195" Type="http://schemas.openxmlformats.org/officeDocument/2006/relationships/hyperlink" Target="https://doi.org/10.1016/j.taap.2004.11.002" TargetMode="External"/><Relationship Id="rId190" Type="http://schemas.openxmlformats.org/officeDocument/2006/relationships/hyperlink" Target="https://doi.org/10.1146/annurev.en.41.010196.000555" TargetMode="External"/><Relationship Id="rId15" Type="http://schemas.openxmlformats.org/officeDocument/2006/relationships/footer" Target="footer4.xml"/><Relationship Id="rId36" Type="http://schemas.openxmlformats.org/officeDocument/2006/relationships/image" Target="media/image13.png"/><Relationship Id="rId57" Type="http://schemas.openxmlformats.org/officeDocument/2006/relationships/image" Target="media/image33.png"/><Relationship Id="rId106" Type="http://schemas.openxmlformats.org/officeDocument/2006/relationships/hyperlink" Target="https://doi.org/10.1371/journal.pone.0075376" TargetMode="External"/><Relationship Id="rId127" Type="http://schemas.openxmlformats.org/officeDocument/2006/relationships/hyperlink" Target="https://doi.org/10.1016/j.aquatox.2014.06.006" TargetMode="External"/><Relationship Id="rId10" Type="http://schemas.openxmlformats.org/officeDocument/2006/relationships/footer" Target="footer1.xml"/><Relationship Id="rId31" Type="http://schemas.openxmlformats.org/officeDocument/2006/relationships/image" Target="media/image8.emf"/><Relationship Id="rId52" Type="http://schemas.openxmlformats.org/officeDocument/2006/relationships/hyperlink" Target="http://www.waterboards.ca.gov" TargetMode="External"/><Relationship Id="rId73" Type="http://schemas.openxmlformats.org/officeDocument/2006/relationships/hyperlink" Target="https://doi.org/10.1146/annurev.ecolsys.35.120202.110122" TargetMode="External"/><Relationship Id="rId78" Type="http://schemas.openxmlformats.org/officeDocument/2006/relationships/hyperlink" Target="https://doi.org/10.1111/j.1365-2427.2010.02422.x" TargetMode="External"/><Relationship Id="rId94" Type="http://schemas.openxmlformats.org/officeDocument/2006/relationships/hyperlink" Target="https://doi.org/10.1890/1051-0761(2006)016%5b1251:TBCGAD%5d2.0.CO;2" TargetMode="External"/><Relationship Id="rId99" Type="http://schemas.openxmlformats.org/officeDocument/2006/relationships/hyperlink" Target="https://doi.org/10.2307/1468295" TargetMode="External"/><Relationship Id="rId101" Type="http://schemas.openxmlformats.org/officeDocument/2006/relationships/hyperlink" Target="https://doi.org/10.1016/S0043-1354(97)00370-9" TargetMode="External"/><Relationship Id="rId122" Type="http://schemas.openxmlformats.org/officeDocument/2006/relationships/hyperlink" Target="https://doi.org/10.2134/jeq2012.0181" TargetMode="External"/><Relationship Id="rId143" Type="http://schemas.openxmlformats.org/officeDocument/2006/relationships/hyperlink" Target="https://doi.org/10.1046/j.1365-2427.2002.00895.x" TargetMode="External"/><Relationship Id="rId148" Type="http://schemas.openxmlformats.org/officeDocument/2006/relationships/hyperlink" Target="https://doi.org/10.1007/s00267-010-9439-9" TargetMode="External"/><Relationship Id="rId164" Type="http://schemas.openxmlformats.org/officeDocument/2006/relationships/hyperlink" Target="https://doi.org/10.1016/S0304-3800(03)00097-8" TargetMode="External"/><Relationship Id="rId169" Type="http://schemas.openxmlformats.org/officeDocument/2006/relationships/hyperlink" Target="https://doi.org/10.4319/lo.2005.50.2.0440" TargetMode="External"/><Relationship Id="rId185" Type="http://schemas.openxmlformats.org/officeDocument/2006/relationships/hyperlink" Target="https://doi.org/10.1111/j.1752-1688.2012.00666.x" TargetMode="Externa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yperlink" Target="https://doi.org/10.1002/eco.1869" TargetMode="External"/><Relationship Id="rId26" Type="http://schemas.openxmlformats.org/officeDocument/2006/relationships/header" Target="header9.xml"/><Relationship Id="rId47" Type="http://schemas.openxmlformats.org/officeDocument/2006/relationships/image" Target="media/image24.jpg"/><Relationship Id="rId68" Type="http://schemas.openxmlformats.org/officeDocument/2006/relationships/image" Target="media/image43.emf"/><Relationship Id="rId89" Type="http://schemas.openxmlformats.org/officeDocument/2006/relationships/hyperlink" Target="https://doi.org/10.3390/ijerph8093728" TargetMode="External"/><Relationship Id="rId112" Type="http://schemas.openxmlformats.org/officeDocument/2006/relationships/hyperlink" Target="https://doi.org/10.1007/s10811-013-0088-2" TargetMode="External"/><Relationship Id="rId133" Type="http://schemas.openxmlformats.org/officeDocument/2006/relationships/hyperlink" Target="https://doi.org/10.3390/ijerph8103889" TargetMode="External"/><Relationship Id="rId154" Type="http://schemas.openxmlformats.org/officeDocument/2006/relationships/hyperlink" Target="https://doi.org/10.1002/(SICI)1522-7278(199902)14:1%3c77::AID-TOX11%3e3.0.CO;2-F" TargetMode="External"/><Relationship Id="rId175" Type="http://schemas.openxmlformats.org/officeDocument/2006/relationships/hyperlink" Target="https://doi.org/10.1007/BF0000653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A15A7B-6E8C-4E5B-92A8-E2C1EFF2C7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43022</Words>
  <Characters>245226</Characters>
  <Application>Microsoft Office Word</Application>
  <DocSecurity>0</DocSecurity>
  <Lines>2043</Lines>
  <Paragraphs>575</Paragraphs>
  <ScaleCrop>false</ScaleCrop>
  <HeadingPairs>
    <vt:vector size="2" baseType="variant">
      <vt:variant>
        <vt:lpstr>Title</vt:lpstr>
      </vt:variant>
      <vt:variant>
        <vt:i4>1</vt:i4>
      </vt:variant>
    </vt:vector>
  </HeadingPairs>
  <TitlesOfParts>
    <vt:vector size="1" baseType="lpstr">
      <vt:lpstr/>
    </vt:vector>
  </TitlesOfParts>
  <Company>SCCWRP</Company>
  <LinksUpToDate>false</LinksUpToDate>
  <CharactersWithSpaces>287673</CharactersWithSpaces>
  <SharedDoc>false</SharedDoc>
  <HLinks>
    <vt:vector size="528" baseType="variant">
      <vt:variant>
        <vt:i4>1179702</vt:i4>
      </vt:variant>
      <vt:variant>
        <vt:i4>495</vt:i4>
      </vt:variant>
      <vt:variant>
        <vt:i4>0</vt:i4>
      </vt:variant>
      <vt:variant>
        <vt:i4>5</vt:i4>
      </vt:variant>
      <vt:variant>
        <vt:lpwstr/>
      </vt:variant>
      <vt:variant>
        <vt:lpwstr>_Toc254252507</vt:lpwstr>
      </vt:variant>
      <vt:variant>
        <vt:i4>4784139</vt:i4>
      </vt:variant>
      <vt:variant>
        <vt:i4>491</vt:i4>
      </vt:variant>
      <vt:variant>
        <vt:i4>0</vt:i4>
      </vt:variant>
      <vt:variant>
        <vt:i4>5</vt:i4>
      </vt:variant>
      <vt:variant>
        <vt:lpwstr/>
      </vt:variant>
      <vt:variant>
        <vt:lpwstr>_ENREF_8</vt:lpwstr>
      </vt:variant>
      <vt:variant>
        <vt:i4>4325387</vt:i4>
      </vt:variant>
      <vt:variant>
        <vt:i4>488</vt:i4>
      </vt:variant>
      <vt:variant>
        <vt:i4>0</vt:i4>
      </vt:variant>
      <vt:variant>
        <vt:i4>5</vt:i4>
      </vt:variant>
      <vt:variant>
        <vt:lpwstr/>
      </vt:variant>
      <vt:variant>
        <vt:lpwstr>_ENREF_39</vt:lpwstr>
      </vt:variant>
      <vt:variant>
        <vt:i4>4521995</vt:i4>
      </vt:variant>
      <vt:variant>
        <vt:i4>485</vt:i4>
      </vt:variant>
      <vt:variant>
        <vt:i4>0</vt:i4>
      </vt:variant>
      <vt:variant>
        <vt:i4>5</vt:i4>
      </vt:variant>
      <vt:variant>
        <vt:lpwstr/>
      </vt:variant>
      <vt:variant>
        <vt:lpwstr>_ENREF_4</vt:lpwstr>
      </vt:variant>
      <vt:variant>
        <vt:i4>4390923</vt:i4>
      </vt:variant>
      <vt:variant>
        <vt:i4>482</vt:i4>
      </vt:variant>
      <vt:variant>
        <vt:i4>0</vt:i4>
      </vt:variant>
      <vt:variant>
        <vt:i4>5</vt:i4>
      </vt:variant>
      <vt:variant>
        <vt:lpwstr/>
      </vt:variant>
      <vt:variant>
        <vt:lpwstr>_ENREF_22</vt:lpwstr>
      </vt:variant>
      <vt:variant>
        <vt:i4>4325387</vt:i4>
      </vt:variant>
      <vt:variant>
        <vt:i4>474</vt:i4>
      </vt:variant>
      <vt:variant>
        <vt:i4>0</vt:i4>
      </vt:variant>
      <vt:variant>
        <vt:i4>5</vt:i4>
      </vt:variant>
      <vt:variant>
        <vt:lpwstr/>
      </vt:variant>
      <vt:variant>
        <vt:lpwstr>_ENREF_38</vt:lpwstr>
      </vt:variant>
      <vt:variant>
        <vt:i4>4456459</vt:i4>
      </vt:variant>
      <vt:variant>
        <vt:i4>471</vt:i4>
      </vt:variant>
      <vt:variant>
        <vt:i4>0</vt:i4>
      </vt:variant>
      <vt:variant>
        <vt:i4>5</vt:i4>
      </vt:variant>
      <vt:variant>
        <vt:lpwstr/>
      </vt:variant>
      <vt:variant>
        <vt:lpwstr>_ENREF_53</vt:lpwstr>
      </vt:variant>
      <vt:variant>
        <vt:i4>4521995</vt:i4>
      </vt:variant>
      <vt:variant>
        <vt:i4>468</vt:i4>
      </vt:variant>
      <vt:variant>
        <vt:i4>0</vt:i4>
      </vt:variant>
      <vt:variant>
        <vt:i4>5</vt:i4>
      </vt:variant>
      <vt:variant>
        <vt:lpwstr/>
      </vt:variant>
      <vt:variant>
        <vt:lpwstr>_ENREF_43</vt:lpwstr>
      </vt:variant>
      <vt:variant>
        <vt:i4>4390923</vt:i4>
      </vt:variant>
      <vt:variant>
        <vt:i4>460</vt:i4>
      </vt:variant>
      <vt:variant>
        <vt:i4>0</vt:i4>
      </vt:variant>
      <vt:variant>
        <vt:i4>5</vt:i4>
      </vt:variant>
      <vt:variant>
        <vt:lpwstr/>
      </vt:variant>
      <vt:variant>
        <vt:lpwstr>_ENREF_24</vt:lpwstr>
      </vt:variant>
      <vt:variant>
        <vt:i4>4390923</vt:i4>
      </vt:variant>
      <vt:variant>
        <vt:i4>454</vt:i4>
      </vt:variant>
      <vt:variant>
        <vt:i4>0</vt:i4>
      </vt:variant>
      <vt:variant>
        <vt:i4>5</vt:i4>
      </vt:variant>
      <vt:variant>
        <vt:lpwstr/>
      </vt:variant>
      <vt:variant>
        <vt:lpwstr>_ENREF_28</vt:lpwstr>
      </vt:variant>
      <vt:variant>
        <vt:i4>4521995</vt:i4>
      </vt:variant>
      <vt:variant>
        <vt:i4>448</vt:i4>
      </vt:variant>
      <vt:variant>
        <vt:i4>0</vt:i4>
      </vt:variant>
      <vt:variant>
        <vt:i4>5</vt:i4>
      </vt:variant>
      <vt:variant>
        <vt:lpwstr/>
      </vt:variant>
      <vt:variant>
        <vt:lpwstr>_ENREF_41</vt:lpwstr>
      </vt:variant>
      <vt:variant>
        <vt:i4>4194315</vt:i4>
      </vt:variant>
      <vt:variant>
        <vt:i4>442</vt:i4>
      </vt:variant>
      <vt:variant>
        <vt:i4>0</vt:i4>
      </vt:variant>
      <vt:variant>
        <vt:i4>5</vt:i4>
      </vt:variant>
      <vt:variant>
        <vt:lpwstr/>
      </vt:variant>
      <vt:variant>
        <vt:lpwstr>_ENREF_11</vt:lpwstr>
      </vt:variant>
      <vt:variant>
        <vt:i4>4521995</vt:i4>
      </vt:variant>
      <vt:variant>
        <vt:i4>436</vt:i4>
      </vt:variant>
      <vt:variant>
        <vt:i4>0</vt:i4>
      </vt:variant>
      <vt:variant>
        <vt:i4>5</vt:i4>
      </vt:variant>
      <vt:variant>
        <vt:lpwstr/>
      </vt:variant>
      <vt:variant>
        <vt:lpwstr>_ENREF_43</vt:lpwstr>
      </vt:variant>
      <vt:variant>
        <vt:i4>4390923</vt:i4>
      </vt:variant>
      <vt:variant>
        <vt:i4>430</vt:i4>
      </vt:variant>
      <vt:variant>
        <vt:i4>0</vt:i4>
      </vt:variant>
      <vt:variant>
        <vt:i4>5</vt:i4>
      </vt:variant>
      <vt:variant>
        <vt:lpwstr/>
      </vt:variant>
      <vt:variant>
        <vt:lpwstr>_ENREF_23</vt:lpwstr>
      </vt:variant>
      <vt:variant>
        <vt:i4>4653067</vt:i4>
      </vt:variant>
      <vt:variant>
        <vt:i4>424</vt:i4>
      </vt:variant>
      <vt:variant>
        <vt:i4>0</vt:i4>
      </vt:variant>
      <vt:variant>
        <vt:i4>5</vt:i4>
      </vt:variant>
      <vt:variant>
        <vt:lpwstr/>
      </vt:variant>
      <vt:variant>
        <vt:lpwstr>_ENREF_62</vt:lpwstr>
      </vt:variant>
      <vt:variant>
        <vt:i4>4521995</vt:i4>
      </vt:variant>
      <vt:variant>
        <vt:i4>418</vt:i4>
      </vt:variant>
      <vt:variant>
        <vt:i4>0</vt:i4>
      </vt:variant>
      <vt:variant>
        <vt:i4>5</vt:i4>
      </vt:variant>
      <vt:variant>
        <vt:lpwstr/>
      </vt:variant>
      <vt:variant>
        <vt:lpwstr>_ENREF_41</vt:lpwstr>
      </vt:variant>
      <vt:variant>
        <vt:i4>4194315</vt:i4>
      </vt:variant>
      <vt:variant>
        <vt:i4>412</vt:i4>
      </vt:variant>
      <vt:variant>
        <vt:i4>0</vt:i4>
      </vt:variant>
      <vt:variant>
        <vt:i4>5</vt:i4>
      </vt:variant>
      <vt:variant>
        <vt:lpwstr/>
      </vt:variant>
      <vt:variant>
        <vt:lpwstr>_ENREF_15</vt:lpwstr>
      </vt:variant>
      <vt:variant>
        <vt:i4>4718603</vt:i4>
      </vt:variant>
      <vt:variant>
        <vt:i4>406</vt:i4>
      </vt:variant>
      <vt:variant>
        <vt:i4>0</vt:i4>
      </vt:variant>
      <vt:variant>
        <vt:i4>5</vt:i4>
      </vt:variant>
      <vt:variant>
        <vt:lpwstr/>
      </vt:variant>
      <vt:variant>
        <vt:lpwstr>_ENREF_9</vt:lpwstr>
      </vt:variant>
      <vt:variant>
        <vt:i4>4194315</vt:i4>
      </vt:variant>
      <vt:variant>
        <vt:i4>400</vt:i4>
      </vt:variant>
      <vt:variant>
        <vt:i4>0</vt:i4>
      </vt:variant>
      <vt:variant>
        <vt:i4>5</vt:i4>
      </vt:variant>
      <vt:variant>
        <vt:lpwstr/>
      </vt:variant>
      <vt:variant>
        <vt:lpwstr>_ENREF_19</vt:lpwstr>
      </vt:variant>
      <vt:variant>
        <vt:i4>4194315</vt:i4>
      </vt:variant>
      <vt:variant>
        <vt:i4>394</vt:i4>
      </vt:variant>
      <vt:variant>
        <vt:i4>0</vt:i4>
      </vt:variant>
      <vt:variant>
        <vt:i4>5</vt:i4>
      </vt:variant>
      <vt:variant>
        <vt:lpwstr/>
      </vt:variant>
      <vt:variant>
        <vt:lpwstr>_ENREF_13</vt:lpwstr>
      </vt:variant>
      <vt:variant>
        <vt:i4>4718603</vt:i4>
      </vt:variant>
      <vt:variant>
        <vt:i4>388</vt:i4>
      </vt:variant>
      <vt:variant>
        <vt:i4>0</vt:i4>
      </vt:variant>
      <vt:variant>
        <vt:i4>5</vt:i4>
      </vt:variant>
      <vt:variant>
        <vt:lpwstr/>
      </vt:variant>
      <vt:variant>
        <vt:lpwstr>_ENREF_9</vt:lpwstr>
      </vt:variant>
      <vt:variant>
        <vt:i4>4325387</vt:i4>
      </vt:variant>
      <vt:variant>
        <vt:i4>382</vt:i4>
      </vt:variant>
      <vt:variant>
        <vt:i4>0</vt:i4>
      </vt:variant>
      <vt:variant>
        <vt:i4>5</vt:i4>
      </vt:variant>
      <vt:variant>
        <vt:lpwstr/>
      </vt:variant>
      <vt:variant>
        <vt:lpwstr>_ENREF_31</vt:lpwstr>
      </vt:variant>
      <vt:variant>
        <vt:i4>4390923</vt:i4>
      </vt:variant>
      <vt:variant>
        <vt:i4>376</vt:i4>
      </vt:variant>
      <vt:variant>
        <vt:i4>0</vt:i4>
      </vt:variant>
      <vt:variant>
        <vt:i4>5</vt:i4>
      </vt:variant>
      <vt:variant>
        <vt:lpwstr/>
      </vt:variant>
      <vt:variant>
        <vt:lpwstr>_ENREF_20</vt:lpwstr>
      </vt:variant>
      <vt:variant>
        <vt:i4>4194315</vt:i4>
      </vt:variant>
      <vt:variant>
        <vt:i4>373</vt:i4>
      </vt:variant>
      <vt:variant>
        <vt:i4>0</vt:i4>
      </vt:variant>
      <vt:variant>
        <vt:i4>5</vt:i4>
      </vt:variant>
      <vt:variant>
        <vt:lpwstr/>
      </vt:variant>
      <vt:variant>
        <vt:lpwstr>_ENREF_14</vt:lpwstr>
      </vt:variant>
      <vt:variant>
        <vt:i4>4325387</vt:i4>
      </vt:variant>
      <vt:variant>
        <vt:i4>365</vt:i4>
      </vt:variant>
      <vt:variant>
        <vt:i4>0</vt:i4>
      </vt:variant>
      <vt:variant>
        <vt:i4>5</vt:i4>
      </vt:variant>
      <vt:variant>
        <vt:lpwstr/>
      </vt:variant>
      <vt:variant>
        <vt:lpwstr>_ENREF_30</vt:lpwstr>
      </vt:variant>
      <vt:variant>
        <vt:i4>4456459</vt:i4>
      </vt:variant>
      <vt:variant>
        <vt:i4>359</vt:i4>
      </vt:variant>
      <vt:variant>
        <vt:i4>0</vt:i4>
      </vt:variant>
      <vt:variant>
        <vt:i4>5</vt:i4>
      </vt:variant>
      <vt:variant>
        <vt:lpwstr/>
      </vt:variant>
      <vt:variant>
        <vt:lpwstr>_ENREF_58</vt:lpwstr>
      </vt:variant>
      <vt:variant>
        <vt:i4>4325387</vt:i4>
      </vt:variant>
      <vt:variant>
        <vt:i4>353</vt:i4>
      </vt:variant>
      <vt:variant>
        <vt:i4>0</vt:i4>
      </vt:variant>
      <vt:variant>
        <vt:i4>5</vt:i4>
      </vt:variant>
      <vt:variant>
        <vt:lpwstr/>
      </vt:variant>
      <vt:variant>
        <vt:lpwstr>_ENREF_38</vt:lpwstr>
      </vt:variant>
      <vt:variant>
        <vt:i4>4456459</vt:i4>
      </vt:variant>
      <vt:variant>
        <vt:i4>350</vt:i4>
      </vt:variant>
      <vt:variant>
        <vt:i4>0</vt:i4>
      </vt:variant>
      <vt:variant>
        <vt:i4>5</vt:i4>
      </vt:variant>
      <vt:variant>
        <vt:lpwstr/>
      </vt:variant>
      <vt:variant>
        <vt:lpwstr>_ENREF_53</vt:lpwstr>
      </vt:variant>
      <vt:variant>
        <vt:i4>4521995</vt:i4>
      </vt:variant>
      <vt:variant>
        <vt:i4>347</vt:i4>
      </vt:variant>
      <vt:variant>
        <vt:i4>0</vt:i4>
      </vt:variant>
      <vt:variant>
        <vt:i4>5</vt:i4>
      </vt:variant>
      <vt:variant>
        <vt:lpwstr/>
      </vt:variant>
      <vt:variant>
        <vt:lpwstr>_ENREF_43</vt:lpwstr>
      </vt:variant>
      <vt:variant>
        <vt:i4>4587531</vt:i4>
      </vt:variant>
      <vt:variant>
        <vt:i4>339</vt:i4>
      </vt:variant>
      <vt:variant>
        <vt:i4>0</vt:i4>
      </vt:variant>
      <vt:variant>
        <vt:i4>5</vt:i4>
      </vt:variant>
      <vt:variant>
        <vt:lpwstr/>
      </vt:variant>
      <vt:variant>
        <vt:lpwstr>_ENREF_7</vt:lpwstr>
      </vt:variant>
      <vt:variant>
        <vt:i4>4653067</vt:i4>
      </vt:variant>
      <vt:variant>
        <vt:i4>336</vt:i4>
      </vt:variant>
      <vt:variant>
        <vt:i4>0</vt:i4>
      </vt:variant>
      <vt:variant>
        <vt:i4>5</vt:i4>
      </vt:variant>
      <vt:variant>
        <vt:lpwstr/>
      </vt:variant>
      <vt:variant>
        <vt:lpwstr>_ENREF_62</vt:lpwstr>
      </vt:variant>
      <vt:variant>
        <vt:i4>4521995</vt:i4>
      </vt:variant>
      <vt:variant>
        <vt:i4>333</vt:i4>
      </vt:variant>
      <vt:variant>
        <vt:i4>0</vt:i4>
      </vt:variant>
      <vt:variant>
        <vt:i4>5</vt:i4>
      </vt:variant>
      <vt:variant>
        <vt:lpwstr/>
      </vt:variant>
      <vt:variant>
        <vt:lpwstr>_ENREF_44</vt:lpwstr>
      </vt:variant>
      <vt:variant>
        <vt:i4>4456459</vt:i4>
      </vt:variant>
      <vt:variant>
        <vt:i4>330</vt:i4>
      </vt:variant>
      <vt:variant>
        <vt:i4>0</vt:i4>
      </vt:variant>
      <vt:variant>
        <vt:i4>5</vt:i4>
      </vt:variant>
      <vt:variant>
        <vt:lpwstr/>
      </vt:variant>
      <vt:variant>
        <vt:lpwstr>_ENREF_55</vt:lpwstr>
      </vt:variant>
      <vt:variant>
        <vt:i4>1769527</vt:i4>
      </vt:variant>
      <vt:variant>
        <vt:i4>323</vt:i4>
      </vt:variant>
      <vt:variant>
        <vt:i4>0</vt:i4>
      </vt:variant>
      <vt:variant>
        <vt:i4>5</vt:i4>
      </vt:variant>
      <vt:variant>
        <vt:lpwstr/>
      </vt:variant>
      <vt:variant>
        <vt:lpwstr>_Toc254252499</vt:lpwstr>
      </vt:variant>
      <vt:variant>
        <vt:i4>4456459</vt:i4>
      </vt:variant>
      <vt:variant>
        <vt:i4>319</vt:i4>
      </vt:variant>
      <vt:variant>
        <vt:i4>0</vt:i4>
      </vt:variant>
      <vt:variant>
        <vt:i4>5</vt:i4>
      </vt:variant>
      <vt:variant>
        <vt:lpwstr/>
      </vt:variant>
      <vt:variant>
        <vt:lpwstr>_ENREF_56</vt:lpwstr>
      </vt:variant>
      <vt:variant>
        <vt:i4>4456459</vt:i4>
      </vt:variant>
      <vt:variant>
        <vt:i4>313</vt:i4>
      </vt:variant>
      <vt:variant>
        <vt:i4>0</vt:i4>
      </vt:variant>
      <vt:variant>
        <vt:i4>5</vt:i4>
      </vt:variant>
      <vt:variant>
        <vt:lpwstr/>
      </vt:variant>
      <vt:variant>
        <vt:lpwstr>_ENREF_54</vt:lpwstr>
      </vt:variant>
      <vt:variant>
        <vt:i4>4653067</vt:i4>
      </vt:variant>
      <vt:variant>
        <vt:i4>310</vt:i4>
      </vt:variant>
      <vt:variant>
        <vt:i4>0</vt:i4>
      </vt:variant>
      <vt:variant>
        <vt:i4>5</vt:i4>
      </vt:variant>
      <vt:variant>
        <vt:lpwstr/>
      </vt:variant>
      <vt:variant>
        <vt:lpwstr>_ENREF_6</vt:lpwstr>
      </vt:variant>
      <vt:variant>
        <vt:i4>4456459</vt:i4>
      </vt:variant>
      <vt:variant>
        <vt:i4>307</vt:i4>
      </vt:variant>
      <vt:variant>
        <vt:i4>0</vt:i4>
      </vt:variant>
      <vt:variant>
        <vt:i4>5</vt:i4>
      </vt:variant>
      <vt:variant>
        <vt:lpwstr/>
      </vt:variant>
      <vt:variant>
        <vt:lpwstr>_ENREF_5</vt:lpwstr>
      </vt:variant>
      <vt:variant>
        <vt:i4>4521995</vt:i4>
      </vt:variant>
      <vt:variant>
        <vt:i4>299</vt:i4>
      </vt:variant>
      <vt:variant>
        <vt:i4>0</vt:i4>
      </vt:variant>
      <vt:variant>
        <vt:i4>5</vt:i4>
      </vt:variant>
      <vt:variant>
        <vt:lpwstr/>
      </vt:variant>
      <vt:variant>
        <vt:lpwstr>_ENREF_42</vt:lpwstr>
      </vt:variant>
      <vt:variant>
        <vt:i4>4325387</vt:i4>
      </vt:variant>
      <vt:variant>
        <vt:i4>293</vt:i4>
      </vt:variant>
      <vt:variant>
        <vt:i4>0</vt:i4>
      </vt:variant>
      <vt:variant>
        <vt:i4>5</vt:i4>
      </vt:variant>
      <vt:variant>
        <vt:lpwstr/>
      </vt:variant>
      <vt:variant>
        <vt:lpwstr>_ENREF_34</vt:lpwstr>
      </vt:variant>
      <vt:variant>
        <vt:i4>4194315</vt:i4>
      </vt:variant>
      <vt:variant>
        <vt:i4>290</vt:i4>
      </vt:variant>
      <vt:variant>
        <vt:i4>0</vt:i4>
      </vt:variant>
      <vt:variant>
        <vt:i4>5</vt:i4>
      </vt:variant>
      <vt:variant>
        <vt:lpwstr/>
      </vt:variant>
      <vt:variant>
        <vt:lpwstr>_ENREF_10</vt:lpwstr>
      </vt:variant>
      <vt:variant>
        <vt:i4>4456459</vt:i4>
      </vt:variant>
      <vt:variant>
        <vt:i4>287</vt:i4>
      </vt:variant>
      <vt:variant>
        <vt:i4>0</vt:i4>
      </vt:variant>
      <vt:variant>
        <vt:i4>5</vt:i4>
      </vt:variant>
      <vt:variant>
        <vt:lpwstr/>
      </vt:variant>
      <vt:variant>
        <vt:lpwstr>_ENREF_57</vt:lpwstr>
      </vt:variant>
      <vt:variant>
        <vt:i4>4390923</vt:i4>
      </vt:variant>
      <vt:variant>
        <vt:i4>281</vt:i4>
      </vt:variant>
      <vt:variant>
        <vt:i4>0</vt:i4>
      </vt:variant>
      <vt:variant>
        <vt:i4>5</vt:i4>
      </vt:variant>
      <vt:variant>
        <vt:lpwstr/>
      </vt:variant>
      <vt:variant>
        <vt:lpwstr>_ENREF_27</vt:lpwstr>
      </vt:variant>
      <vt:variant>
        <vt:i4>4456459</vt:i4>
      </vt:variant>
      <vt:variant>
        <vt:i4>278</vt:i4>
      </vt:variant>
      <vt:variant>
        <vt:i4>0</vt:i4>
      </vt:variant>
      <vt:variant>
        <vt:i4>5</vt:i4>
      </vt:variant>
      <vt:variant>
        <vt:lpwstr/>
      </vt:variant>
      <vt:variant>
        <vt:lpwstr>_ENREF_59</vt:lpwstr>
      </vt:variant>
      <vt:variant>
        <vt:i4>1769533</vt:i4>
      </vt:variant>
      <vt:variant>
        <vt:i4>266</vt:i4>
      </vt:variant>
      <vt:variant>
        <vt:i4>0</vt:i4>
      </vt:variant>
      <vt:variant>
        <vt:i4>5</vt:i4>
      </vt:variant>
      <vt:variant>
        <vt:lpwstr/>
      </vt:variant>
      <vt:variant>
        <vt:lpwstr>_Toc384194315</vt:lpwstr>
      </vt:variant>
      <vt:variant>
        <vt:i4>1769533</vt:i4>
      </vt:variant>
      <vt:variant>
        <vt:i4>260</vt:i4>
      </vt:variant>
      <vt:variant>
        <vt:i4>0</vt:i4>
      </vt:variant>
      <vt:variant>
        <vt:i4>5</vt:i4>
      </vt:variant>
      <vt:variant>
        <vt:lpwstr/>
      </vt:variant>
      <vt:variant>
        <vt:lpwstr>_Toc384194314</vt:lpwstr>
      </vt:variant>
      <vt:variant>
        <vt:i4>1769533</vt:i4>
      </vt:variant>
      <vt:variant>
        <vt:i4>254</vt:i4>
      </vt:variant>
      <vt:variant>
        <vt:i4>0</vt:i4>
      </vt:variant>
      <vt:variant>
        <vt:i4>5</vt:i4>
      </vt:variant>
      <vt:variant>
        <vt:lpwstr/>
      </vt:variant>
      <vt:variant>
        <vt:lpwstr>_Toc384194313</vt:lpwstr>
      </vt:variant>
      <vt:variant>
        <vt:i4>1769533</vt:i4>
      </vt:variant>
      <vt:variant>
        <vt:i4>248</vt:i4>
      </vt:variant>
      <vt:variant>
        <vt:i4>0</vt:i4>
      </vt:variant>
      <vt:variant>
        <vt:i4>5</vt:i4>
      </vt:variant>
      <vt:variant>
        <vt:lpwstr/>
      </vt:variant>
      <vt:variant>
        <vt:lpwstr>_Toc384194312</vt:lpwstr>
      </vt:variant>
      <vt:variant>
        <vt:i4>1769533</vt:i4>
      </vt:variant>
      <vt:variant>
        <vt:i4>242</vt:i4>
      </vt:variant>
      <vt:variant>
        <vt:i4>0</vt:i4>
      </vt:variant>
      <vt:variant>
        <vt:i4>5</vt:i4>
      </vt:variant>
      <vt:variant>
        <vt:lpwstr/>
      </vt:variant>
      <vt:variant>
        <vt:lpwstr>_Toc384194311</vt:lpwstr>
      </vt:variant>
      <vt:variant>
        <vt:i4>1769533</vt:i4>
      </vt:variant>
      <vt:variant>
        <vt:i4>236</vt:i4>
      </vt:variant>
      <vt:variant>
        <vt:i4>0</vt:i4>
      </vt:variant>
      <vt:variant>
        <vt:i4>5</vt:i4>
      </vt:variant>
      <vt:variant>
        <vt:lpwstr/>
      </vt:variant>
      <vt:variant>
        <vt:lpwstr>_Toc384194310</vt:lpwstr>
      </vt:variant>
      <vt:variant>
        <vt:i4>1703997</vt:i4>
      </vt:variant>
      <vt:variant>
        <vt:i4>230</vt:i4>
      </vt:variant>
      <vt:variant>
        <vt:i4>0</vt:i4>
      </vt:variant>
      <vt:variant>
        <vt:i4>5</vt:i4>
      </vt:variant>
      <vt:variant>
        <vt:lpwstr/>
      </vt:variant>
      <vt:variant>
        <vt:lpwstr>_Toc384194309</vt:lpwstr>
      </vt:variant>
      <vt:variant>
        <vt:i4>1703997</vt:i4>
      </vt:variant>
      <vt:variant>
        <vt:i4>224</vt:i4>
      </vt:variant>
      <vt:variant>
        <vt:i4>0</vt:i4>
      </vt:variant>
      <vt:variant>
        <vt:i4>5</vt:i4>
      </vt:variant>
      <vt:variant>
        <vt:lpwstr/>
      </vt:variant>
      <vt:variant>
        <vt:lpwstr>_Toc384194308</vt:lpwstr>
      </vt:variant>
      <vt:variant>
        <vt:i4>1703997</vt:i4>
      </vt:variant>
      <vt:variant>
        <vt:i4>218</vt:i4>
      </vt:variant>
      <vt:variant>
        <vt:i4>0</vt:i4>
      </vt:variant>
      <vt:variant>
        <vt:i4>5</vt:i4>
      </vt:variant>
      <vt:variant>
        <vt:lpwstr/>
      </vt:variant>
      <vt:variant>
        <vt:lpwstr>_Toc384194307</vt:lpwstr>
      </vt:variant>
      <vt:variant>
        <vt:i4>1703997</vt:i4>
      </vt:variant>
      <vt:variant>
        <vt:i4>212</vt:i4>
      </vt:variant>
      <vt:variant>
        <vt:i4>0</vt:i4>
      </vt:variant>
      <vt:variant>
        <vt:i4>5</vt:i4>
      </vt:variant>
      <vt:variant>
        <vt:lpwstr/>
      </vt:variant>
      <vt:variant>
        <vt:lpwstr>_Toc384194306</vt:lpwstr>
      </vt:variant>
      <vt:variant>
        <vt:i4>1703997</vt:i4>
      </vt:variant>
      <vt:variant>
        <vt:i4>206</vt:i4>
      </vt:variant>
      <vt:variant>
        <vt:i4>0</vt:i4>
      </vt:variant>
      <vt:variant>
        <vt:i4>5</vt:i4>
      </vt:variant>
      <vt:variant>
        <vt:lpwstr/>
      </vt:variant>
      <vt:variant>
        <vt:lpwstr>_Toc384194305</vt:lpwstr>
      </vt:variant>
      <vt:variant>
        <vt:i4>1703997</vt:i4>
      </vt:variant>
      <vt:variant>
        <vt:i4>200</vt:i4>
      </vt:variant>
      <vt:variant>
        <vt:i4>0</vt:i4>
      </vt:variant>
      <vt:variant>
        <vt:i4>5</vt:i4>
      </vt:variant>
      <vt:variant>
        <vt:lpwstr/>
      </vt:variant>
      <vt:variant>
        <vt:lpwstr>_Toc384194304</vt:lpwstr>
      </vt:variant>
      <vt:variant>
        <vt:i4>1703997</vt:i4>
      </vt:variant>
      <vt:variant>
        <vt:i4>194</vt:i4>
      </vt:variant>
      <vt:variant>
        <vt:i4>0</vt:i4>
      </vt:variant>
      <vt:variant>
        <vt:i4>5</vt:i4>
      </vt:variant>
      <vt:variant>
        <vt:lpwstr/>
      </vt:variant>
      <vt:variant>
        <vt:lpwstr>_Toc384194303</vt:lpwstr>
      </vt:variant>
      <vt:variant>
        <vt:i4>1179708</vt:i4>
      </vt:variant>
      <vt:variant>
        <vt:i4>185</vt:i4>
      </vt:variant>
      <vt:variant>
        <vt:i4>0</vt:i4>
      </vt:variant>
      <vt:variant>
        <vt:i4>5</vt:i4>
      </vt:variant>
      <vt:variant>
        <vt:lpwstr/>
      </vt:variant>
      <vt:variant>
        <vt:lpwstr>_Toc384194289</vt:lpwstr>
      </vt:variant>
      <vt:variant>
        <vt:i4>1179708</vt:i4>
      </vt:variant>
      <vt:variant>
        <vt:i4>179</vt:i4>
      </vt:variant>
      <vt:variant>
        <vt:i4>0</vt:i4>
      </vt:variant>
      <vt:variant>
        <vt:i4>5</vt:i4>
      </vt:variant>
      <vt:variant>
        <vt:lpwstr/>
      </vt:variant>
      <vt:variant>
        <vt:lpwstr>_Toc384194288</vt:lpwstr>
      </vt:variant>
      <vt:variant>
        <vt:i4>1179708</vt:i4>
      </vt:variant>
      <vt:variant>
        <vt:i4>173</vt:i4>
      </vt:variant>
      <vt:variant>
        <vt:i4>0</vt:i4>
      </vt:variant>
      <vt:variant>
        <vt:i4>5</vt:i4>
      </vt:variant>
      <vt:variant>
        <vt:lpwstr/>
      </vt:variant>
      <vt:variant>
        <vt:lpwstr>_Toc384194287</vt:lpwstr>
      </vt:variant>
      <vt:variant>
        <vt:i4>1179708</vt:i4>
      </vt:variant>
      <vt:variant>
        <vt:i4>167</vt:i4>
      </vt:variant>
      <vt:variant>
        <vt:i4>0</vt:i4>
      </vt:variant>
      <vt:variant>
        <vt:i4>5</vt:i4>
      </vt:variant>
      <vt:variant>
        <vt:lpwstr/>
      </vt:variant>
      <vt:variant>
        <vt:lpwstr>_Toc384194286</vt:lpwstr>
      </vt:variant>
      <vt:variant>
        <vt:i4>1179708</vt:i4>
      </vt:variant>
      <vt:variant>
        <vt:i4>161</vt:i4>
      </vt:variant>
      <vt:variant>
        <vt:i4>0</vt:i4>
      </vt:variant>
      <vt:variant>
        <vt:i4>5</vt:i4>
      </vt:variant>
      <vt:variant>
        <vt:lpwstr/>
      </vt:variant>
      <vt:variant>
        <vt:lpwstr>_Toc384194285</vt:lpwstr>
      </vt:variant>
      <vt:variant>
        <vt:i4>1900604</vt:i4>
      </vt:variant>
      <vt:variant>
        <vt:i4>152</vt:i4>
      </vt:variant>
      <vt:variant>
        <vt:i4>0</vt:i4>
      </vt:variant>
      <vt:variant>
        <vt:i4>5</vt:i4>
      </vt:variant>
      <vt:variant>
        <vt:lpwstr/>
      </vt:variant>
      <vt:variant>
        <vt:lpwstr>_Toc384194279</vt:lpwstr>
      </vt:variant>
      <vt:variant>
        <vt:i4>1900604</vt:i4>
      </vt:variant>
      <vt:variant>
        <vt:i4>146</vt:i4>
      </vt:variant>
      <vt:variant>
        <vt:i4>0</vt:i4>
      </vt:variant>
      <vt:variant>
        <vt:i4>5</vt:i4>
      </vt:variant>
      <vt:variant>
        <vt:lpwstr/>
      </vt:variant>
      <vt:variant>
        <vt:lpwstr>_Toc384194278</vt:lpwstr>
      </vt:variant>
      <vt:variant>
        <vt:i4>1900604</vt:i4>
      </vt:variant>
      <vt:variant>
        <vt:i4>140</vt:i4>
      </vt:variant>
      <vt:variant>
        <vt:i4>0</vt:i4>
      </vt:variant>
      <vt:variant>
        <vt:i4>5</vt:i4>
      </vt:variant>
      <vt:variant>
        <vt:lpwstr/>
      </vt:variant>
      <vt:variant>
        <vt:lpwstr>_Toc384194277</vt:lpwstr>
      </vt:variant>
      <vt:variant>
        <vt:i4>1900604</vt:i4>
      </vt:variant>
      <vt:variant>
        <vt:i4>134</vt:i4>
      </vt:variant>
      <vt:variant>
        <vt:i4>0</vt:i4>
      </vt:variant>
      <vt:variant>
        <vt:i4>5</vt:i4>
      </vt:variant>
      <vt:variant>
        <vt:lpwstr/>
      </vt:variant>
      <vt:variant>
        <vt:lpwstr>_Toc384194276</vt:lpwstr>
      </vt:variant>
      <vt:variant>
        <vt:i4>1900604</vt:i4>
      </vt:variant>
      <vt:variant>
        <vt:i4>128</vt:i4>
      </vt:variant>
      <vt:variant>
        <vt:i4>0</vt:i4>
      </vt:variant>
      <vt:variant>
        <vt:i4>5</vt:i4>
      </vt:variant>
      <vt:variant>
        <vt:lpwstr/>
      </vt:variant>
      <vt:variant>
        <vt:lpwstr>_Toc384194275</vt:lpwstr>
      </vt:variant>
      <vt:variant>
        <vt:i4>1900604</vt:i4>
      </vt:variant>
      <vt:variant>
        <vt:i4>122</vt:i4>
      </vt:variant>
      <vt:variant>
        <vt:i4>0</vt:i4>
      </vt:variant>
      <vt:variant>
        <vt:i4>5</vt:i4>
      </vt:variant>
      <vt:variant>
        <vt:lpwstr/>
      </vt:variant>
      <vt:variant>
        <vt:lpwstr>_Toc384194274</vt:lpwstr>
      </vt:variant>
      <vt:variant>
        <vt:i4>1900604</vt:i4>
      </vt:variant>
      <vt:variant>
        <vt:i4>116</vt:i4>
      </vt:variant>
      <vt:variant>
        <vt:i4>0</vt:i4>
      </vt:variant>
      <vt:variant>
        <vt:i4>5</vt:i4>
      </vt:variant>
      <vt:variant>
        <vt:lpwstr/>
      </vt:variant>
      <vt:variant>
        <vt:lpwstr>_Toc384194273</vt:lpwstr>
      </vt:variant>
      <vt:variant>
        <vt:i4>1900604</vt:i4>
      </vt:variant>
      <vt:variant>
        <vt:i4>110</vt:i4>
      </vt:variant>
      <vt:variant>
        <vt:i4>0</vt:i4>
      </vt:variant>
      <vt:variant>
        <vt:i4>5</vt:i4>
      </vt:variant>
      <vt:variant>
        <vt:lpwstr/>
      </vt:variant>
      <vt:variant>
        <vt:lpwstr>_Toc384194272</vt:lpwstr>
      </vt:variant>
      <vt:variant>
        <vt:i4>1900604</vt:i4>
      </vt:variant>
      <vt:variant>
        <vt:i4>104</vt:i4>
      </vt:variant>
      <vt:variant>
        <vt:i4>0</vt:i4>
      </vt:variant>
      <vt:variant>
        <vt:i4>5</vt:i4>
      </vt:variant>
      <vt:variant>
        <vt:lpwstr/>
      </vt:variant>
      <vt:variant>
        <vt:lpwstr>_Toc384194271</vt:lpwstr>
      </vt:variant>
      <vt:variant>
        <vt:i4>1900604</vt:i4>
      </vt:variant>
      <vt:variant>
        <vt:i4>98</vt:i4>
      </vt:variant>
      <vt:variant>
        <vt:i4>0</vt:i4>
      </vt:variant>
      <vt:variant>
        <vt:i4>5</vt:i4>
      </vt:variant>
      <vt:variant>
        <vt:lpwstr/>
      </vt:variant>
      <vt:variant>
        <vt:lpwstr>_Toc384194270</vt:lpwstr>
      </vt:variant>
      <vt:variant>
        <vt:i4>1835068</vt:i4>
      </vt:variant>
      <vt:variant>
        <vt:i4>92</vt:i4>
      </vt:variant>
      <vt:variant>
        <vt:i4>0</vt:i4>
      </vt:variant>
      <vt:variant>
        <vt:i4>5</vt:i4>
      </vt:variant>
      <vt:variant>
        <vt:lpwstr/>
      </vt:variant>
      <vt:variant>
        <vt:lpwstr>_Toc384194269</vt:lpwstr>
      </vt:variant>
      <vt:variant>
        <vt:i4>1835068</vt:i4>
      </vt:variant>
      <vt:variant>
        <vt:i4>86</vt:i4>
      </vt:variant>
      <vt:variant>
        <vt:i4>0</vt:i4>
      </vt:variant>
      <vt:variant>
        <vt:i4>5</vt:i4>
      </vt:variant>
      <vt:variant>
        <vt:lpwstr/>
      </vt:variant>
      <vt:variant>
        <vt:lpwstr>_Toc384194268</vt:lpwstr>
      </vt:variant>
      <vt:variant>
        <vt:i4>1835068</vt:i4>
      </vt:variant>
      <vt:variant>
        <vt:i4>80</vt:i4>
      </vt:variant>
      <vt:variant>
        <vt:i4>0</vt:i4>
      </vt:variant>
      <vt:variant>
        <vt:i4>5</vt:i4>
      </vt:variant>
      <vt:variant>
        <vt:lpwstr/>
      </vt:variant>
      <vt:variant>
        <vt:lpwstr>_Toc384194267</vt:lpwstr>
      </vt:variant>
      <vt:variant>
        <vt:i4>1835068</vt:i4>
      </vt:variant>
      <vt:variant>
        <vt:i4>74</vt:i4>
      </vt:variant>
      <vt:variant>
        <vt:i4>0</vt:i4>
      </vt:variant>
      <vt:variant>
        <vt:i4>5</vt:i4>
      </vt:variant>
      <vt:variant>
        <vt:lpwstr/>
      </vt:variant>
      <vt:variant>
        <vt:lpwstr>_Toc384194266</vt:lpwstr>
      </vt:variant>
      <vt:variant>
        <vt:i4>1835068</vt:i4>
      </vt:variant>
      <vt:variant>
        <vt:i4>68</vt:i4>
      </vt:variant>
      <vt:variant>
        <vt:i4>0</vt:i4>
      </vt:variant>
      <vt:variant>
        <vt:i4>5</vt:i4>
      </vt:variant>
      <vt:variant>
        <vt:lpwstr/>
      </vt:variant>
      <vt:variant>
        <vt:lpwstr>_Toc384194265</vt:lpwstr>
      </vt:variant>
      <vt:variant>
        <vt:i4>1835068</vt:i4>
      </vt:variant>
      <vt:variant>
        <vt:i4>62</vt:i4>
      </vt:variant>
      <vt:variant>
        <vt:i4>0</vt:i4>
      </vt:variant>
      <vt:variant>
        <vt:i4>5</vt:i4>
      </vt:variant>
      <vt:variant>
        <vt:lpwstr/>
      </vt:variant>
      <vt:variant>
        <vt:lpwstr>_Toc384194264</vt:lpwstr>
      </vt:variant>
      <vt:variant>
        <vt:i4>1835068</vt:i4>
      </vt:variant>
      <vt:variant>
        <vt:i4>56</vt:i4>
      </vt:variant>
      <vt:variant>
        <vt:i4>0</vt:i4>
      </vt:variant>
      <vt:variant>
        <vt:i4>5</vt:i4>
      </vt:variant>
      <vt:variant>
        <vt:lpwstr/>
      </vt:variant>
      <vt:variant>
        <vt:lpwstr>_Toc384194263</vt:lpwstr>
      </vt:variant>
      <vt:variant>
        <vt:i4>1835068</vt:i4>
      </vt:variant>
      <vt:variant>
        <vt:i4>50</vt:i4>
      </vt:variant>
      <vt:variant>
        <vt:i4>0</vt:i4>
      </vt:variant>
      <vt:variant>
        <vt:i4>5</vt:i4>
      </vt:variant>
      <vt:variant>
        <vt:lpwstr/>
      </vt:variant>
      <vt:variant>
        <vt:lpwstr>_Toc384194262</vt:lpwstr>
      </vt:variant>
      <vt:variant>
        <vt:i4>1835068</vt:i4>
      </vt:variant>
      <vt:variant>
        <vt:i4>44</vt:i4>
      </vt:variant>
      <vt:variant>
        <vt:i4>0</vt:i4>
      </vt:variant>
      <vt:variant>
        <vt:i4>5</vt:i4>
      </vt:variant>
      <vt:variant>
        <vt:lpwstr/>
      </vt:variant>
      <vt:variant>
        <vt:lpwstr>_Toc384194261</vt:lpwstr>
      </vt:variant>
      <vt:variant>
        <vt:i4>1835068</vt:i4>
      </vt:variant>
      <vt:variant>
        <vt:i4>38</vt:i4>
      </vt:variant>
      <vt:variant>
        <vt:i4>0</vt:i4>
      </vt:variant>
      <vt:variant>
        <vt:i4>5</vt:i4>
      </vt:variant>
      <vt:variant>
        <vt:lpwstr/>
      </vt:variant>
      <vt:variant>
        <vt:lpwstr>_Toc384194260</vt:lpwstr>
      </vt:variant>
      <vt:variant>
        <vt:i4>2031676</vt:i4>
      </vt:variant>
      <vt:variant>
        <vt:i4>32</vt:i4>
      </vt:variant>
      <vt:variant>
        <vt:i4>0</vt:i4>
      </vt:variant>
      <vt:variant>
        <vt:i4>5</vt:i4>
      </vt:variant>
      <vt:variant>
        <vt:lpwstr/>
      </vt:variant>
      <vt:variant>
        <vt:lpwstr>_Toc384194259</vt:lpwstr>
      </vt:variant>
      <vt:variant>
        <vt:i4>2031676</vt:i4>
      </vt:variant>
      <vt:variant>
        <vt:i4>26</vt:i4>
      </vt:variant>
      <vt:variant>
        <vt:i4>0</vt:i4>
      </vt:variant>
      <vt:variant>
        <vt:i4>5</vt:i4>
      </vt:variant>
      <vt:variant>
        <vt:lpwstr/>
      </vt:variant>
      <vt:variant>
        <vt:lpwstr>_Toc384194258</vt:lpwstr>
      </vt:variant>
      <vt:variant>
        <vt:i4>2031676</vt:i4>
      </vt:variant>
      <vt:variant>
        <vt:i4>20</vt:i4>
      </vt:variant>
      <vt:variant>
        <vt:i4>0</vt:i4>
      </vt:variant>
      <vt:variant>
        <vt:i4>5</vt:i4>
      </vt:variant>
      <vt:variant>
        <vt:lpwstr/>
      </vt:variant>
      <vt:variant>
        <vt:lpwstr>_Toc384194257</vt:lpwstr>
      </vt:variant>
      <vt:variant>
        <vt:i4>2031676</vt:i4>
      </vt:variant>
      <vt:variant>
        <vt:i4>14</vt:i4>
      </vt:variant>
      <vt:variant>
        <vt:i4>0</vt:i4>
      </vt:variant>
      <vt:variant>
        <vt:i4>5</vt:i4>
      </vt:variant>
      <vt:variant>
        <vt:lpwstr/>
      </vt:variant>
      <vt:variant>
        <vt:lpwstr>_Toc384194256</vt:lpwstr>
      </vt:variant>
      <vt:variant>
        <vt:i4>2031676</vt:i4>
      </vt:variant>
      <vt:variant>
        <vt:i4>8</vt:i4>
      </vt:variant>
      <vt:variant>
        <vt:i4>0</vt:i4>
      </vt:variant>
      <vt:variant>
        <vt:i4>5</vt:i4>
      </vt:variant>
      <vt:variant>
        <vt:lpwstr/>
      </vt:variant>
      <vt:variant>
        <vt:lpwstr>_Toc384194255</vt:lpwstr>
      </vt:variant>
      <vt:variant>
        <vt:i4>2031676</vt:i4>
      </vt:variant>
      <vt:variant>
        <vt:i4>2</vt:i4>
      </vt:variant>
      <vt:variant>
        <vt:i4>0</vt:i4>
      </vt:variant>
      <vt:variant>
        <vt:i4>5</vt:i4>
      </vt:variant>
      <vt:variant>
        <vt:lpwstr/>
      </vt:variant>
      <vt:variant>
        <vt:lpwstr>_Toc384194254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Martha Sutula</dc:creator>
  <cp:keywords/>
  <dc:description/>
  <cp:lastModifiedBy>Maxfield, Jessie@Waterboards</cp:lastModifiedBy>
  <cp:revision>2</cp:revision>
  <cp:lastPrinted>2018-10-05T19:16:00Z</cp:lastPrinted>
  <dcterms:created xsi:type="dcterms:W3CDTF">2018-10-29T21:36:00Z</dcterms:created>
  <dcterms:modified xsi:type="dcterms:W3CDTF">2018-10-29T21:36:00Z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-1740616019</vt:i4>
  </property>
</Properties>
</file>