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0C39E" w14:textId="1E0D2FB8" w:rsidR="00071316" w:rsidRPr="008859B6" w:rsidRDefault="00575CC4" w:rsidP="00DC5D1C">
      <w:pPr>
        <w:jc w:val="center"/>
        <w:rPr>
          <w:rFonts w:ascii="Arial" w:hAnsi="Arial" w:cs="Arial"/>
          <w:b/>
          <w:bCs/>
          <w:sz w:val="72"/>
          <w:szCs w:val="72"/>
        </w:rPr>
      </w:pPr>
      <w:r>
        <w:rPr>
          <w:rFonts w:ascii="Arial" w:hAnsi="Arial" w:cs="Arial"/>
          <w:b/>
          <w:bCs/>
          <w:sz w:val="72"/>
          <w:szCs w:val="72"/>
        </w:rPr>
        <w:t xml:space="preserve"> </w:t>
      </w:r>
      <w:r w:rsidR="004F7145" w:rsidRPr="008859B6">
        <w:rPr>
          <w:rFonts w:ascii="Arial" w:hAnsi="Arial" w:cs="Arial"/>
          <w:b/>
          <w:bCs/>
          <w:sz w:val="72"/>
          <w:szCs w:val="72"/>
        </w:rPr>
        <w:t xml:space="preserve">Proposed changes </w:t>
      </w:r>
      <w:r w:rsidR="00071316" w:rsidRPr="008859B6">
        <w:rPr>
          <w:rFonts w:ascii="Arial" w:hAnsi="Arial" w:cs="Arial"/>
          <w:b/>
          <w:bCs/>
          <w:sz w:val="72"/>
          <w:szCs w:val="72"/>
        </w:rPr>
        <w:t>to the</w:t>
      </w:r>
    </w:p>
    <w:p w14:paraId="0940E2BB" w14:textId="6F3C5409" w:rsidR="00FA1898" w:rsidRPr="003C49FD" w:rsidRDefault="00DC5D1C" w:rsidP="00DC5D1C">
      <w:pPr>
        <w:jc w:val="center"/>
        <w:rPr>
          <w:rFonts w:ascii="Arial" w:hAnsi="Arial" w:cs="Arial"/>
          <w:sz w:val="40"/>
          <w:szCs w:val="40"/>
        </w:rPr>
      </w:pPr>
      <w:r w:rsidRPr="003C49FD">
        <w:rPr>
          <w:rFonts w:ascii="Arial" w:hAnsi="Arial" w:cs="Arial"/>
          <w:sz w:val="40"/>
          <w:szCs w:val="40"/>
        </w:rPr>
        <w:t>Cross-Connection Control Policy Handbook (CCCPH)</w:t>
      </w:r>
    </w:p>
    <w:p w14:paraId="54C1CDDF" w14:textId="40FE073F" w:rsidR="00642430" w:rsidRPr="003C49FD" w:rsidRDefault="004F7145" w:rsidP="00DC5D1C">
      <w:pPr>
        <w:jc w:val="center"/>
        <w:rPr>
          <w:rFonts w:ascii="Arial" w:hAnsi="Arial" w:cs="Arial"/>
          <w:sz w:val="32"/>
          <w:szCs w:val="32"/>
        </w:rPr>
      </w:pPr>
      <w:r>
        <w:rPr>
          <w:rFonts w:ascii="Arial" w:hAnsi="Arial" w:cs="Arial"/>
          <w:sz w:val="32"/>
          <w:szCs w:val="32"/>
        </w:rPr>
        <w:t xml:space="preserve">Last </w:t>
      </w:r>
      <w:r w:rsidR="00432849" w:rsidRPr="003C49FD">
        <w:rPr>
          <w:rFonts w:ascii="Arial" w:hAnsi="Arial" w:cs="Arial"/>
          <w:sz w:val="32"/>
          <w:szCs w:val="32"/>
        </w:rPr>
        <w:t xml:space="preserve">Updated: </w:t>
      </w:r>
      <w:r w:rsidR="008E525E">
        <w:rPr>
          <w:rFonts w:ascii="Arial" w:hAnsi="Arial" w:cs="Arial"/>
          <w:sz w:val="32"/>
          <w:szCs w:val="32"/>
        </w:rPr>
        <w:t>April</w:t>
      </w:r>
      <w:r>
        <w:rPr>
          <w:rFonts w:ascii="Arial" w:hAnsi="Arial" w:cs="Arial"/>
          <w:sz w:val="32"/>
          <w:szCs w:val="32"/>
        </w:rPr>
        <w:t xml:space="preserve"> </w:t>
      </w:r>
      <w:r w:rsidR="002E3DC9" w:rsidRPr="003C49FD">
        <w:rPr>
          <w:rFonts w:ascii="Arial" w:hAnsi="Arial" w:cs="Arial"/>
          <w:sz w:val="32"/>
          <w:szCs w:val="32"/>
        </w:rPr>
        <w:t>2025</w:t>
      </w:r>
    </w:p>
    <w:p w14:paraId="280E2050" w14:textId="77777777" w:rsidR="00642430" w:rsidRPr="003C49FD" w:rsidRDefault="00642430" w:rsidP="00071316">
      <w:pPr>
        <w:rPr>
          <w:rFonts w:ascii="Arial" w:hAnsi="Arial" w:cs="Arial"/>
          <w:i/>
          <w:iCs/>
        </w:rPr>
      </w:pPr>
    </w:p>
    <w:p w14:paraId="4F0EA9BC" w14:textId="7B6938D8" w:rsidR="00115598" w:rsidRPr="00A144D9" w:rsidRDefault="00071316" w:rsidP="00071316">
      <w:pPr>
        <w:rPr>
          <w:rFonts w:ascii="Arial" w:hAnsi="Arial" w:cs="Arial"/>
          <w:i/>
          <w:iCs/>
          <w:sz w:val="24"/>
          <w:szCs w:val="24"/>
        </w:rPr>
      </w:pPr>
      <w:r w:rsidRPr="00A144D9">
        <w:rPr>
          <w:rFonts w:ascii="Arial" w:hAnsi="Arial" w:cs="Arial"/>
          <w:i/>
          <w:iCs/>
          <w:sz w:val="24"/>
          <w:szCs w:val="24"/>
        </w:rPr>
        <w:t xml:space="preserve">This document </w:t>
      </w:r>
      <w:r w:rsidR="00F15B01" w:rsidRPr="00A144D9">
        <w:rPr>
          <w:rFonts w:ascii="Arial" w:hAnsi="Arial" w:cs="Arial"/>
          <w:i/>
          <w:iCs/>
          <w:sz w:val="24"/>
          <w:szCs w:val="24"/>
        </w:rPr>
        <w:t xml:space="preserve">will be updated to </w:t>
      </w:r>
      <w:r w:rsidR="0070196C" w:rsidRPr="00A144D9">
        <w:rPr>
          <w:rFonts w:ascii="Arial" w:hAnsi="Arial" w:cs="Arial"/>
          <w:i/>
          <w:iCs/>
          <w:sz w:val="24"/>
          <w:szCs w:val="24"/>
        </w:rPr>
        <w:t xml:space="preserve">document </w:t>
      </w:r>
      <w:r w:rsidR="007F75E5" w:rsidRPr="00A144D9">
        <w:rPr>
          <w:rFonts w:ascii="Arial" w:hAnsi="Arial" w:cs="Arial"/>
          <w:i/>
          <w:iCs/>
          <w:sz w:val="24"/>
          <w:szCs w:val="24"/>
        </w:rPr>
        <w:t xml:space="preserve">any changes made to the CCCPH.  </w:t>
      </w:r>
      <w:r w:rsidR="0070196C" w:rsidRPr="00A144D9">
        <w:rPr>
          <w:rFonts w:ascii="Arial" w:hAnsi="Arial" w:cs="Arial"/>
          <w:i/>
          <w:iCs/>
          <w:sz w:val="24"/>
          <w:szCs w:val="24"/>
        </w:rPr>
        <w:t xml:space="preserve">The CCCPH </w:t>
      </w:r>
      <w:r w:rsidR="006D5ED3" w:rsidRPr="00A144D9">
        <w:rPr>
          <w:rFonts w:ascii="Arial" w:hAnsi="Arial" w:cs="Arial"/>
          <w:i/>
          <w:iCs/>
          <w:sz w:val="24"/>
          <w:szCs w:val="24"/>
        </w:rPr>
        <w:t xml:space="preserve">(link to CCCPH) will not </w:t>
      </w:r>
      <w:r w:rsidR="00FF0E95" w:rsidRPr="00A144D9">
        <w:rPr>
          <w:rFonts w:ascii="Arial" w:hAnsi="Arial" w:cs="Arial"/>
          <w:i/>
          <w:iCs/>
          <w:sz w:val="24"/>
          <w:szCs w:val="24"/>
        </w:rPr>
        <w:t>include any change-tracking</w:t>
      </w:r>
      <w:r w:rsidR="00115598" w:rsidRPr="00A144D9">
        <w:rPr>
          <w:rFonts w:ascii="Arial" w:hAnsi="Arial" w:cs="Arial"/>
          <w:i/>
          <w:iCs/>
          <w:sz w:val="24"/>
          <w:szCs w:val="24"/>
        </w:rPr>
        <w:t xml:space="preserve">.  The </w:t>
      </w:r>
      <w:r w:rsidR="00A01282" w:rsidRPr="00A144D9">
        <w:rPr>
          <w:rFonts w:ascii="Arial" w:hAnsi="Arial" w:cs="Arial"/>
          <w:i/>
          <w:iCs/>
          <w:sz w:val="24"/>
          <w:szCs w:val="24"/>
        </w:rPr>
        <w:t xml:space="preserve">date of this document is the most recent version and includes all previous </w:t>
      </w:r>
      <w:r w:rsidR="00212CC0" w:rsidRPr="00A144D9">
        <w:rPr>
          <w:rFonts w:ascii="Arial" w:hAnsi="Arial" w:cs="Arial"/>
          <w:i/>
          <w:iCs/>
          <w:sz w:val="24"/>
          <w:szCs w:val="24"/>
        </w:rPr>
        <w:t>updates to the CCCPH.</w:t>
      </w:r>
      <w:r w:rsidR="00926141" w:rsidRPr="00A144D9">
        <w:rPr>
          <w:rFonts w:ascii="Arial" w:hAnsi="Arial" w:cs="Arial"/>
          <w:i/>
          <w:iCs/>
          <w:sz w:val="24"/>
          <w:szCs w:val="24"/>
        </w:rPr>
        <w:t xml:space="preserve">  All sections referred to in this document are in the CCCPH </w:t>
      </w:r>
      <w:r w:rsidR="000A0AB0" w:rsidRPr="00A144D9">
        <w:rPr>
          <w:rFonts w:ascii="Arial" w:hAnsi="Arial" w:cs="Arial"/>
          <w:i/>
          <w:iCs/>
          <w:sz w:val="24"/>
          <w:szCs w:val="24"/>
        </w:rPr>
        <w:t>– no other regulations or documents are changed in this document.</w:t>
      </w:r>
    </w:p>
    <w:p w14:paraId="202A92EF" w14:textId="77777777" w:rsidR="00212CC0" w:rsidRPr="00A144D9" w:rsidRDefault="00212CC0" w:rsidP="00071316">
      <w:pPr>
        <w:rPr>
          <w:rFonts w:ascii="Arial" w:hAnsi="Arial" w:cs="Arial"/>
          <w:sz w:val="24"/>
          <w:szCs w:val="24"/>
        </w:rPr>
      </w:pPr>
    </w:p>
    <w:p w14:paraId="5C2B1F9D" w14:textId="1F6638E9" w:rsidR="00FA1531" w:rsidRPr="00FA1531" w:rsidRDefault="00FA1531" w:rsidP="00FA1531">
      <w:pPr>
        <w:rPr>
          <w:rFonts w:ascii="Arial" w:hAnsi="Arial" w:cs="Arial"/>
          <w:b/>
          <w:bCs/>
          <w:sz w:val="40"/>
          <w:szCs w:val="40"/>
          <w:u w:val="single"/>
        </w:rPr>
      </w:pPr>
      <w:r>
        <w:rPr>
          <w:rFonts w:ascii="Arial" w:hAnsi="Arial" w:cs="Arial"/>
          <w:b/>
          <w:bCs/>
          <w:sz w:val="40"/>
          <w:szCs w:val="40"/>
          <w:u w:val="single"/>
        </w:rPr>
        <w:t xml:space="preserve">Proposed </w:t>
      </w:r>
      <w:r w:rsidRPr="00FA1531">
        <w:rPr>
          <w:rFonts w:ascii="Arial" w:hAnsi="Arial" w:cs="Arial"/>
          <w:b/>
          <w:bCs/>
          <w:sz w:val="40"/>
          <w:szCs w:val="40"/>
          <w:u w:val="single"/>
        </w:rPr>
        <w:t>Changes</w:t>
      </w:r>
      <w:r>
        <w:rPr>
          <w:rFonts w:ascii="Arial" w:hAnsi="Arial" w:cs="Arial"/>
          <w:b/>
          <w:bCs/>
          <w:sz w:val="40"/>
          <w:szCs w:val="40"/>
          <w:u w:val="single"/>
        </w:rPr>
        <w:t xml:space="preserve"> to the CCCPH</w:t>
      </w:r>
    </w:p>
    <w:p w14:paraId="0CF03157" w14:textId="0D5E0528" w:rsidR="008E525E" w:rsidRDefault="008E525E" w:rsidP="00071316">
      <w:pPr>
        <w:rPr>
          <w:rFonts w:ascii="Arial" w:hAnsi="Arial" w:cs="Arial"/>
          <w:sz w:val="24"/>
          <w:szCs w:val="24"/>
        </w:rPr>
      </w:pPr>
      <w:r>
        <w:rPr>
          <w:rFonts w:ascii="Arial" w:hAnsi="Arial" w:cs="Arial"/>
          <w:sz w:val="24"/>
          <w:szCs w:val="24"/>
          <w:u w:val="single"/>
        </w:rPr>
        <w:t>Revision</w:t>
      </w:r>
    </w:p>
    <w:p w14:paraId="5B2E30BE" w14:textId="5523C4C5" w:rsidR="008E525E" w:rsidRDefault="00375190" w:rsidP="00071316">
      <w:pPr>
        <w:rPr>
          <w:rFonts w:ascii="Arial" w:hAnsi="Arial" w:cs="Arial"/>
          <w:sz w:val="24"/>
          <w:szCs w:val="24"/>
        </w:rPr>
      </w:pPr>
      <w:r>
        <w:rPr>
          <w:rFonts w:ascii="Arial" w:hAnsi="Arial" w:cs="Arial"/>
          <w:sz w:val="24"/>
          <w:szCs w:val="24"/>
        </w:rPr>
        <w:t xml:space="preserve">Section 3.2.1(f): </w:t>
      </w:r>
      <w:r w:rsidR="001E6893" w:rsidRPr="001E6893">
        <w:rPr>
          <w:rFonts w:ascii="Arial" w:hAnsi="Arial" w:cs="Arial"/>
          <w:sz w:val="24"/>
          <w:szCs w:val="24"/>
        </w:rPr>
        <w:t xml:space="preserve">Noncommunity water systems must conduct an initial or follow-up hazard assessment within </w:t>
      </w:r>
      <w:r w:rsidR="001E6893" w:rsidRPr="00CA1038">
        <w:rPr>
          <w:rFonts w:ascii="Arial" w:hAnsi="Arial" w:cs="Arial"/>
          <w:strike/>
          <w:sz w:val="24"/>
          <w:szCs w:val="24"/>
        </w:rPr>
        <w:t>two</w:t>
      </w:r>
      <w:r w:rsidR="001E6893" w:rsidRPr="001E6893">
        <w:rPr>
          <w:rFonts w:ascii="Arial" w:hAnsi="Arial" w:cs="Arial"/>
          <w:sz w:val="24"/>
          <w:szCs w:val="24"/>
        </w:rPr>
        <w:t xml:space="preserve"> </w:t>
      </w:r>
      <w:r w:rsidR="001E6893" w:rsidRPr="00CA1038">
        <w:rPr>
          <w:rFonts w:ascii="Arial" w:hAnsi="Arial" w:cs="Arial"/>
          <w:sz w:val="24"/>
          <w:szCs w:val="24"/>
          <w:u w:val="single"/>
        </w:rPr>
        <w:t>three</w:t>
      </w:r>
      <w:r w:rsidR="001E6893" w:rsidRPr="001E6893">
        <w:rPr>
          <w:rFonts w:ascii="Arial" w:hAnsi="Arial" w:cs="Arial"/>
          <w:sz w:val="24"/>
          <w:szCs w:val="24"/>
        </w:rPr>
        <w:t xml:space="preserve"> years of the effective date of the CCCPH.</w:t>
      </w:r>
    </w:p>
    <w:p w14:paraId="517662F2" w14:textId="423C1AC7" w:rsidR="00CA1038" w:rsidRPr="00CA1038" w:rsidRDefault="00CA1038" w:rsidP="00CA1038">
      <w:pPr>
        <w:rPr>
          <w:rFonts w:ascii="Arial" w:hAnsi="Arial" w:cs="Arial"/>
          <w:sz w:val="24"/>
          <w:szCs w:val="24"/>
        </w:rPr>
      </w:pPr>
      <w:r>
        <w:rPr>
          <w:rFonts w:ascii="Arial" w:hAnsi="Arial" w:cs="Arial"/>
          <w:sz w:val="24"/>
          <w:szCs w:val="24"/>
        </w:rPr>
        <w:t xml:space="preserve">Section </w:t>
      </w:r>
      <w:r w:rsidRPr="00CA1038">
        <w:rPr>
          <w:rFonts w:ascii="Arial" w:hAnsi="Arial" w:cs="Arial"/>
          <w:sz w:val="24"/>
          <w:szCs w:val="24"/>
        </w:rPr>
        <w:t xml:space="preserve">3.4.1(g): This Article is effective July 1, </w:t>
      </w:r>
      <w:r w:rsidRPr="00CA1038">
        <w:rPr>
          <w:rFonts w:ascii="Arial" w:hAnsi="Arial" w:cs="Arial"/>
          <w:strike/>
          <w:sz w:val="24"/>
          <w:szCs w:val="24"/>
        </w:rPr>
        <w:t>2025</w:t>
      </w:r>
      <w:r w:rsidRPr="00CA1038">
        <w:rPr>
          <w:rFonts w:ascii="Arial" w:hAnsi="Arial" w:cs="Arial"/>
          <w:sz w:val="24"/>
          <w:szCs w:val="24"/>
        </w:rPr>
        <w:t xml:space="preserve"> </w:t>
      </w:r>
      <w:r w:rsidRPr="00CA1038">
        <w:rPr>
          <w:rFonts w:ascii="Arial" w:hAnsi="Arial" w:cs="Arial"/>
          <w:sz w:val="24"/>
          <w:szCs w:val="24"/>
          <w:u w:val="single"/>
        </w:rPr>
        <w:t>2026</w:t>
      </w:r>
      <w:r w:rsidRPr="00CA1038">
        <w:rPr>
          <w:rFonts w:ascii="Arial" w:hAnsi="Arial" w:cs="Arial"/>
          <w:sz w:val="24"/>
          <w:szCs w:val="24"/>
        </w:rPr>
        <w:t>.</w:t>
      </w:r>
    </w:p>
    <w:p w14:paraId="4496DE16" w14:textId="0D4DE02A" w:rsidR="001E6893" w:rsidRPr="008E525E" w:rsidRDefault="00CA1038" w:rsidP="00CA1038">
      <w:pPr>
        <w:rPr>
          <w:rFonts w:ascii="Arial" w:hAnsi="Arial" w:cs="Arial"/>
          <w:sz w:val="24"/>
          <w:szCs w:val="24"/>
        </w:rPr>
      </w:pPr>
      <w:r>
        <w:rPr>
          <w:rFonts w:ascii="Arial" w:hAnsi="Arial" w:cs="Arial"/>
          <w:sz w:val="24"/>
          <w:szCs w:val="24"/>
        </w:rPr>
        <w:t xml:space="preserve">Section </w:t>
      </w:r>
      <w:r w:rsidRPr="00CA1038">
        <w:rPr>
          <w:rFonts w:ascii="Arial" w:hAnsi="Arial" w:cs="Arial"/>
          <w:sz w:val="24"/>
          <w:szCs w:val="24"/>
        </w:rPr>
        <w:t xml:space="preserve">3.4.2(g): This Article is effective July 1, </w:t>
      </w:r>
      <w:r w:rsidRPr="00CA1038">
        <w:rPr>
          <w:rFonts w:ascii="Arial" w:hAnsi="Arial" w:cs="Arial"/>
          <w:strike/>
          <w:sz w:val="24"/>
          <w:szCs w:val="24"/>
        </w:rPr>
        <w:t>2025</w:t>
      </w:r>
      <w:r w:rsidRPr="00CA1038">
        <w:rPr>
          <w:rFonts w:ascii="Arial" w:hAnsi="Arial" w:cs="Arial"/>
          <w:sz w:val="24"/>
          <w:szCs w:val="24"/>
        </w:rPr>
        <w:t xml:space="preserve"> </w:t>
      </w:r>
      <w:r w:rsidRPr="00CA1038">
        <w:rPr>
          <w:rFonts w:ascii="Arial" w:hAnsi="Arial" w:cs="Arial"/>
          <w:sz w:val="24"/>
          <w:szCs w:val="24"/>
          <w:u w:val="single"/>
        </w:rPr>
        <w:t>2026</w:t>
      </w:r>
      <w:r w:rsidRPr="00CA1038">
        <w:rPr>
          <w:rFonts w:ascii="Arial" w:hAnsi="Arial" w:cs="Arial"/>
          <w:sz w:val="24"/>
          <w:szCs w:val="24"/>
        </w:rPr>
        <w:t>.</w:t>
      </w:r>
    </w:p>
    <w:p w14:paraId="51CF94E9" w14:textId="48B13660" w:rsidR="00CA1038" w:rsidRDefault="00CA1038" w:rsidP="00071316">
      <w:pPr>
        <w:rPr>
          <w:rFonts w:ascii="Arial" w:hAnsi="Arial" w:cs="Arial"/>
          <w:sz w:val="24"/>
          <w:szCs w:val="24"/>
          <w:u w:val="single"/>
        </w:rPr>
      </w:pPr>
      <w:r>
        <w:rPr>
          <w:rFonts w:ascii="Arial" w:hAnsi="Arial" w:cs="Arial"/>
          <w:sz w:val="24"/>
          <w:szCs w:val="24"/>
          <w:u w:val="single"/>
        </w:rPr>
        <w:t>Purpose and Reason</w:t>
      </w:r>
    </w:p>
    <w:p w14:paraId="6452CDED" w14:textId="16C8B0CA" w:rsidR="003A6A8F" w:rsidRDefault="00420E3F" w:rsidP="00071316">
      <w:pPr>
        <w:rPr>
          <w:rFonts w:ascii="Arial" w:hAnsi="Arial" w:cs="Arial"/>
          <w:sz w:val="24"/>
          <w:szCs w:val="24"/>
        </w:rPr>
      </w:pPr>
      <w:r w:rsidRPr="00420E3F">
        <w:rPr>
          <w:rFonts w:ascii="Arial" w:hAnsi="Arial" w:cs="Arial"/>
          <w:sz w:val="24"/>
          <w:szCs w:val="24"/>
        </w:rPr>
        <w:t>The CCCPH requires, beginning July 1, 2025, all public water systems (PWS) to use backflow assembly testers (Testers) and cross-connection control specialists (Specialists) that have received their certification from a certifying organization recognized by the State Water Board</w:t>
      </w:r>
      <w:r w:rsidR="00A60064">
        <w:rPr>
          <w:rFonts w:ascii="Arial" w:hAnsi="Arial" w:cs="Arial"/>
          <w:sz w:val="24"/>
          <w:szCs w:val="24"/>
        </w:rPr>
        <w:t xml:space="preserve">, and for all noncommunity water systems to conduct hazard assessments </w:t>
      </w:r>
      <w:r w:rsidR="00CC133C">
        <w:rPr>
          <w:rFonts w:ascii="Arial" w:hAnsi="Arial" w:cs="Arial"/>
          <w:sz w:val="24"/>
          <w:szCs w:val="24"/>
        </w:rPr>
        <w:t>by July 1, 2026</w:t>
      </w:r>
      <w:r w:rsidR="000A6D87">
        <w:rPr>
          <w:rFonts w:ascii="Arial" w:hAnsi="Arial" w:cs="Arial"/>
          <w:sz w:val="24"/>
          <w:szCs w:val="24"/>
        </w:rPr>
        <w:t xml:space="preserve">.  Certification requirements were previously </w:t>
      </w:r>
      <w:r w:rsidR="00151BC0">
        <w:rPr>
          <w:rFonts w:ascii="Arial" w:hAnsi="Arial" w:cs="Arial"/>
          <w:sz w:val="24"/>
          <w:szCs w:val="24"/>
        </w:rPr>
        <w:t xml:space="preserve">defined in California Code of Regulations, Title 17, but were repealed </w:t>
      </w:r>
      <w:r w:rsidR="00B11C38">
        <w:rPr>
          <w:rFonts w:ascii="Arial" w:hAnsi="Arial" w:cs="Arial"/>
          <w:sz w:val="24"/>
          <w:szCs w:val="24"/>
        </w:rPr>
        <w:t xml:space="preserve">in 2024 </w:t>
      </w:r>
      <w:r w:rsidR="00151BC0">
        <w:rPr>
          <w:rFonts w:ascii="Arial" w:hAnsi="Arial" w:cs="Arial"/>
          <w:sz w:val="24"/>
          <w:szCs w:val="24"/>
        </w:rPr>
        <w:t xml:space="preserve">following </w:t>
      </w:r>
      <w:r w:rsidR="00B11C38">
        <w:rPr>
          <w:rFonts w:ascii="Arial" w:hAnsi="Arial" w:cs="Arial"/>
          <w:sz w:val="24"/>
          <w:szCs w:val="24"/>
        </w:rPr>
        <w:t>the effective date of the CCCPH.</w:t>
      </w:r>
    </w:p>
    <w:p w14:paraId="08696FFB" w14:textId="326FD4D2" w:rsidR="00AB4B77" w:rsidRDefault="003A6A8F" w:rsidP="00071316">
      <w:pPr>
        <w:rPr>
          <w:rFonts w:ascii="Arial" w:hAnsi="Arial" w:cs="Arial"/>
          <w:sz w:val="24"/>
          <w:szCs w:val="24"/>
        </w:rPr>
      </w:pPr>
      <w:r>
        <w:rPr>
          <w:rFonts w:ascii="Arial" w:hAnsi="Arial" w:cs="Arial"/>
          <w:sz w:val="24"/>
          <w:szCs w:val="24"/>
        </w:rPr>
        <w:t xml:space="preserve">The State Water Board has </w:t>
      </w:r>
      <w:r w:rsidRPr="003A6A8F">
        <w:rPr>
          <w:rFonts w:ascii="Arial" w:hAnsi="Arial" w:cs="Arial"/>
          <w:sz w:val="24"/>
          <w:szCs w:val="24"/>
        </w:rPr>
        <w:t xml:space="preserve">received feedback from water system operators that </w:t>
      </w:r>
      <w:r w:rsidR="004643AF">
        <w:rPr>
          <w:rFonts w:ascii="Arial" w:hAnsi="Arial" w:cs="Arial"/>
          <w:sz w:val="24"/>
          <w:szCs w:val="24"/>
        </w:rPr>
        <w:t xml:space="preserve">PWS </w:t>
      </w:r>
      <w:r w:rsidRPr="003A6A8F">
        <w:rPr>
          <w:rFonts w:ascii="Arial" w:hAnsi="Arial" w:cs="Arial"/>
          <w:sz w:val="24"/>
          <w:szCs w:val="24"/>
        </w:rPr>
        <w:t>are experiencing difficulty in finding certified Specialists to review their hazard assessments, particularly in rural areas.  Additionally, multiple Tester certification programs that were run by counties or other local health agencies in Southern California have opted to not become recognized, and Testers will need to be recertified by other certifying organizations</w:t>
      </w:r>
      <w:r w:rsidR="00AB4B77">
        <w:rPr>
          <w:rFonts w:ascii="Arial" w:hAnsi="Arial" w:cs="Arial"/>
          <w:sz w:val="24"/>
          <w:szCs w:val="24"/>
        </w:rPr>
        <w:t>.</w:t>
      </w:r>
    </w:p>
    <w:p w14:paraId="4827C445" w14:textId="3458D24A" w:rsidR="00AB4B77" w:rsidRPr="00AB4B77" w:rsidRDefault="00AB4B77" w:rsidP="00AB4B77">
      <w:pPr>
        <w:rPr>
          <w:rFonts w:ascii="Arial" w:hAnsi="Arial" w:cs="Arial"/>
          <w:sz w:val="24"/>
          <w:szCs w:val="24"/>
        </w:rPr>
      </w:pPr>
      <w:r w:rsidRPr="00AB4B77">
        <w:rPr>
          <w:rFonts w:ascii="Arial" w:hAnsi="Arial" w:cs="Arial"/>
          <w:sz w:val="24"/>
          <w:szCs w:val="24"/>
        </w:rPr>
        <w:lastRenderedPageBreak/>
        <w:t xml:space="preserve">Unlike community </w:t>
      </w:r>
      <w:r w:rsidR="0041532A">
        <w:rPr>
          <w:rFonts w:ascii="Arial" w:hAnsi="Arial" w:cs="Arial"/>
          <w:sz w:val="24"/>
          <w:szCs w:val="24"/>
        </w:rPr>
        <w:t>PWS</w:t>
      </w:r>
      <w:r w:rsidRPr="00AB4B77">
        <w:rPr>
          <w:rFonts w:ascii="Arial" w:hAnsi="Arial" w:cs="Arial"/>
          <w:sz w:val="24"/>
          <w:szCs w:val="24"/>
        </w:rPr>
        <w:t xml:space="preserve">, noncommunity </w:t>
      </w:r>
      <w:r w:rsidR="0041532A">
        <w:rPr>
          <w:rFonts w:ascii="Arial" w:hAnsi="Arial" w:cs="Arial"/>
          <w:sz w:val="24"/>
          <w:szCs w:val="24"/>
        </w:rPr>
        <w:t xml:space="preserve">PWS </w:t>
      </w:r>
      <w:r w:rsidRPr="00AB4B77">
        <w:rPr>
          <w:rFonts w:ascii="Arial" w:hAnsi="Arial" w:cs="Arial"/>
          <w:sz w:val="24"/>
          <w:szCs w:val="24"/>
        </w:rPr>
        <w:t xml:space="preserve">have a </w:t>
      </w:r>
      <w:r>
        <w:rPr>
          <w:rFonts w:ascii="Arial" w:hAnsi="Arial" w:cs="Arial"/>
          <w:sz w:val="24"/>
          <w:szCs w:val="24"/>
        </w:rPr>
        <w:t xml:space="preserve">defined </w:t>
      </w:r>
      <w:r w:rsidRPr="00AB4B77">
        <w:rPr>
          <w:rFonts w:ascii="Arial" w:hAnsi="Arial" w:cs="Arial"/>
          <w:sz w:val="24"/>
          <w:szCs w:val="24"/>
        </w:rPr>
        <w:t xml:space="preserve">timeline to complete their initial hazard assessments, and challenges in finding a Specialist to review the hazard assessments may result in </w:t>
      </w:r>
      <w:r w:rsidR="0041532A">
        <w:rPr>
          <w:rFonts w:ascii="Arial" w:hAnsi="Arial" w:cs="Arial"/>
          <w:sz w:val="24"/>
          <w:szCs w:val="24"/>
        </w:rPr>
        <w:t xml:space="preserve">PWS </w:t>
      </w:r>
      <w:r w:rsidRPr="00AB4B77">
        <w:rPr>
          <w:rFonts w:ascii="Arial" w:hAnsi="Arial" w:cs="Arial"/>
          <w:sz w:val="24"/>
          <w:szCs w:val="24"/>
        </w:rPr>
        <w:t xml:space="preserve">becoming non-compliant without adequate recourse.  The change to section 3.2.1(f) will provide noncommunity </w:t>
      </w:r>
      <w:r w:rsidR="0041532A">
        <w:rPr>
          <w:rFonts w:ascii="Arial" w:hAnsi="Arial" w:cs="Arial"/>
          <w:sz w:val="24"/>
          <w:szCs w:val="24"/>
        </w:rPr>
        <w:t xml:space="preserve">PWS </w:t>
      </w:r>
      <w:r w:rsidRPr="00AB4B77">
        <w:rPr>
          <w:rFonts w:ascii="Arial" w:hAnsi="Arial" w:cs="Arial"/>
          <w:sz w:val="24"/>
          <w:szCs w:val="24"/>
        </w:rPr>
        <w:t>with an extra year to complete their hazard assessments and allow time for more certified Specialists to be available.</w:t>
      </w:r>
    </w:p>
    <w:p w14:paraId="38A16AE7" w14:textId="77777777" w:rsidR="00AB4B77" w:rsidRPr="00AB4B77" w:rsidRDefault="00AB4B77" w:rsidP="00AB4B77">
      <w:pPr>
        <w:rPr>
          <w:rFonts w:ascii="Arial" w:hAnsi="Arial" w:cs="Arial"/>
          <w:sz w:val="24"/>
          <w:szCs w:val="24"/>
        </w:rPr>
      </w:pPr>
      <w:r w:rsidRPr="00AB4B77">
        <w:rPr>
          <w:rFonts w:ascii="Arial" w:hAnsi="Arial" w:cs="Arial"/>
          <w:sz w:val="24"/>
          <w:szCs w:val="24"/>
        </w:rPr>
        <w:t xml:space="preserve">The changes to 3.4.1(g) and 3.4.2(g) will provide all PWS with an additional year before being required to only use Testers and Specialists who receive certification from State Water Board-recognized organizations.  The change to these sections will allow PWS to continue using Testers and Specialists that may have met the regulatory requirements of Title 17, but who do not yet meet the requirements of the CCCPH.  </w:t>
      </w:r>
    </w:p>
    <w:p w14:paraId="14968461" w14:textId="4444D196" w:rsidR="00420E3F" w:rsidRPr="00CA1038" w:rsidRDefault="00842955" w:rsidP="00AB4B77">
      <w:pPr>
        <w:rPr>
          <w:rFonts w:ascii="Arial" w:hAnsi="Arial" w:cs="Arial"/>
          <w:sz w:val="24"/>
          <w:szCs w:val="24"/>
        </w:rPr>
      </w:pPr>
      <w:r>
        <w:rPr>
          <w:rFonts w:ascii="Arial" w:hAnsi="Arial" w:cs="Arial"/>
          <w:sz w:val="24"/>
          <w:szCs w:val="24"/>
        </w:rPr>
        <w:t xml:space="preserve">The State Water Board </w:t>
      </w:r>
      <w:r w:rsidR="00AB4B77" w:rsidRPr="00AB4B77">
        <w:rPr>
          <w:rFonts w:ascii="Arial" w:hAnsi="Arial" w:cs="Arial"/>
          <w:sz w:val="24"/>
          <w:szCs w:val="24"/>
        </w:rPr>
        <w:t>recognizes that the proposed changes will result in an increased regulatory gap from the current CCCPH’s gap where PWS may be able to use Testers and Specialists that have not been certified in accordance with CCCPH requirements</w:t>
      </w:r>
      <w:r w:rsidR="00F42A1B">
        <w:rPr>
          <w:rFonts w:ascii="Arial" w:hAnsi="Arial" w:cs="Arial"/>
          <w:sz w:val="24"/>
          <w:szCs w:val="24"/>
        </w:rPr>
        <w:t xml:space="preserve"> and were not certified under Title 17</w:t>
      </w:r>
      <w:r w:rsidR="00AB4B77" w:rsidRPr="00AB4B77">
        <w:rPr>
          <w:rFonts w:ascii="Arial" w:hAnsi="Arial" w:cs="Arial"/>
          <w:sz w:val="24"/>
          <w:szCs w:val="24"/>
        </w:rPr>
        <w:t xml:space="preserve">. </w:t>
      </w:r>
      <w:r w:rsidR="00F42A1B">
        <w:rPr>
          <w:rFonts w:ascii="Arial" w:hAnsi="Arial" w:cs="Arial"/>
          <w:sz w:val="24"/>
          <w:szCs w:val="24"/>
        </w:rPr>
        <w:t xml:space="preserve">The State Water Board </w:t>
      </w:r>
      <w:r w:rsidR="00AB4B77" w:rsidRPr="00AB4B77">
        <w:rPr>
          <w:rFonts w:ascii="Arial" w:hAnsi="Arial" w:cs="Arial"/>
          <w:sz w:val="24"/>
          <w:szCs w:val="24"/>
        </w:rPr>
        <w:t>expected during development of the CCCPH that the potential for unacceptable Testers and Specialists to be used by PWS was very low, and does not expect that the proposed increase will increase the risk.</w:t>
      </w:r>
      <w:r w:rsidR="003A6A8F">
        <w:rPr>
          <w:rFonts w:ascii="Arial" w:hAnsi="Arial" w:cs="Arial"/>
          <w:sz w:val="24"/>
          <w:szCs w:val="24"/>
        </w:rPr>
        <w:br/>
      </w:r>
    </w:p>
    <w:p w14:paraId="6F25EE05" w14:textId="7F9D54EA" w:rsidR="004E3366" w:rsidRPr="00A144D9" w:rsidRDefault="004E3366" w:rsidP="00071316">
      <w:pPr>
        <w:rPr>
          <w:rFonts w:ascii="Arial" w:hAnsi="Arial" w:cs="Arial"/>
          <w:sz w:val="24"/>
          <w:szCs w:val="24"/>
          <w:u w:val="single"/>
        </w:rPr>
      </w:pPr>
      <w:r w:rsidRPr="00A144D9">
        <w:rPr>
          <w:rFonts w:ascii="Arial" w:hAnsi="Arial" w:cs="Arial"/>
          <w:sz w:val="24"/>
          <w:szCs w:val="24"/>
          <w:u w:val="single"/>
        </w:rPr>
        <w:t>Revision</w:t>
      </w:r>
    </w:p>
    <w:p w14:paraId="3EBCE9D3" w14:textId="64B45E07" w:rsidR="004E3366" w:rsidRPr="00A144D9" w:rsidRDefault="00F35D9B" w:rsidP="00071316">
      <w:pPr>
        <w:rPr>
          <w:rFonts w:ascii="Arial" w:hAnsi="Arial" w:cs="Arial"/>
          <w:sz w:val="24"/>
          <w:szCs w:val="24"/>
        </w:rPr>
      </w:pPr>
      <w:r w:rsidRPr="00A144D9">
        <w:rPr>
          <w:rFonts w:ascii="Arial" w:hAnsi="Arial" w:cs="Arial"/>
          <w:sz w:val="24"/>
          <w:szCs w:val="24"/>
        </w:rPr>
        <w:t>Section 3.2.1(e)</w:t>
      </w:r>
      <w:r w:rsidR="004B6E24" w:rsidRPr="00A144D9">
        <w:rPr>
          <w:rFonts w:ascii="Arial" w:hAnsi="Arial" w:cs="Arial"/>
          <w:sz w:val="24"/>
          <w:szCs w:val="24"/>
        </w:rPr>
        <w:t>(6)</w:t>
      </w:r>
      <w:r w:rsidR="00307F10" w:rsidRPr="00A144D9">
        <w:rPr>
          <w:rFonts w:ascii="Arial" w:hAnsi="Arial" w:cs="Arial"/>
          <w:sz w:val="24"/>
          <w:szCs w:val="24"/>
        </w:rPr>
        <w:t>:</w:t>
      </w:r>
      <w:r w:rsidR="00C85173" w:rsidRPr="00A144D9">
        <w:rPr>
          <w:rFonts w:ascii="Arial" w:hAnsi="Arial" w:cs="Arial"/>
          <w:sz w:val="24"/>
          <w:szCs w:val="24"/>
        </w:rPr>
        <w:t xml:space="preserve"> </w:t>
      </w:r>
      <w:r w:rsidR="00C85173" w:rsidRPr="00A144D9">
        <w:rPr>
          <w:rFonts w:ascii="Arial" w:eastAsia="Arial" w:hAnsi="Arial" w:cs="Arial"/>
          <w:sz w:val="24"/>
          <w:szCs w:val="24"/>
        </w:rPr>
        <w:t xml:space="preserve">if the State Water Board requests a hazard assessment of a user’s premises; </w:t>
      </w:r>
      <w:r w:rsidR="00C85173" w:rsidRPr="00A144D9">
        <w:rPr>
          <w:rFonts w:ascii="Arial" w:eastAsia="Arial" w:hAnsi="Arial" w:cs="Arial"/>
          <w:strike/>
          <w:sz w:val="24"/>
          <w:szCs w:val="24"/>
        </w:rPr>
        <w:t>and</w:t>
      </w:r>
      <w:r w:rsidR="00C85173" w:rsidRPr="00A144D9">
        <w:rPr>
          <w:rFonts w:ascii="Arial" w:eastAsia="Arial" w:hAnsi="Arial" w:cs="Arial"/>
          <w:sz w:val="24"/>
          <w:szCs w:val="24"/>
        </w:rPr>
        <w:t xml:space="preserve"> </w:t>
      </w:r>
      <w:r w:rsidR="00C85173" w:rsidRPr="00A144D9">
        <w:rPr>
          <w:rFonts w:ascii="Arial" w:eastAsia="Arial" w:hAnsi="Arial" w:cs="Arial"/>
          <w:sz w:val="24"/>
          <w:szCs w:val="24"/>
          <w:u w:val="single"/>
        </w:rPr>
        <w:t>or</w:t>
      </w:r>
    </w:p>
    <w:p w14:paraId="5945B621" w14:textId="3BD331FD" w:rsidR="004E3366" w:rsidRPr="00A144D9" w:rsidRDefault="00042FC9" w:rsidP="00071316">
      <w:pPr>
        <w:rPr>
          <w:rFonts w:ascii="Arial" w:hAnsi="Arial" w:cs="Arial"/>
          <w:sz w:val="24"/>
          <w:szCs w:val="24"/>
          <w:u w:val="single"/>
        </w:rPr>
      </w:pPr>
      <w:r w:rsidRPr="00A144D9">
        <w:rPr>
          <w:rFonts w:ascii="Arial" w:hAnsi="Arial" w:cs="Arial"/>
          <w:sz w:val="24"/>
          <w:szCs w:val="24"/>
          <w:u w:val="single"/>
        </w:rPr>
        <w:t>Purpose and reason</w:t>
      </w:r>
    </w:p>
    <w:p w14:paraId="7040A045" w14:textId="26ACD770" w:rsidR="004E3366" w:rsidRDefault="002B0FCB" w:rsidP="002B0FCB">
      <w:pPr>
        <w:rPr>
          <w:rFonts w:ascii="Arial" w:hAnsi="Arial" w:cs="Arial"/>
          <w:sz w:val="24"/>
          <w:szCs w:val="24"/>
        </w:rPr>
      </w:pPr>
      <w:r w:rsidRPr="673AA60C">
        <w:rPr>
          <w:rFonts w:ascii="Arial" w:hAnsi="Arial" w:cs="Arial"/>
          <w:sz w:val="24"/>
          <w:szCs w:val="24"/>
        </w:rPr>
        <w:t xml:space="preserve">The State Water Board has identified </w:t>
      </w:r>
      <w:r w:rsidR="00817AE5" w:rsidRPr="673AA60C">
        <w:rPr>
          <w:rFonts w:ascii="Arial" w:hAnsi="Arial" w:cs="Arial"/>
          <w:sz w:val="24"/>
          <w:szCs w:val="24"/>
        </w:rPr>
        <w:t>that the list in Section 3.2.1(e) con</w:t>
      </w:r>
      <w:r w:rsidR="00B82D85" w:rsidRPr="673AA60C">
        <w:rPr>
          <w:rFonts w:ascii="Arial" w:hAnsi="Arial" w:cs="Arial"/>
          <w:sz w:val="24"/>
          <w:szCs w:val="24"/>
        </w:rPr>
        <w:t xml:space="preserve">tains a set of </w:t>
      </w:r>
      <w:r w:rsidRPr="673AA60C">
        <w:rPr>
          <w:rFonts w:ascii="Arial" w:hAnsi="Arial" w:cs="Arial"/>
          <w:sz w:val="24"/>
          <w:szCs w:val="24"/>
        </w:rPr>
        <w:t xml:space="preserve">criteria </w:t>
      </w:r>
      <w:r w:rsidR="00B82D85" w:rsidRPr="673AA60C">
        <w:rPr>
          <w:rFonts w:ascii="Arial" w:hAnsi="Arial" w:cs="Arial"/>
          <w:sz w:val="24"/>
          <w:szCs w:val="24"/>
        </w:rPr>
        <w:t xml:space="preserve">that </w:t>
      </w:r>
      <w:r w:rsidRPr="673AA60C">
        <w:rPr>
          <w:rFonts w:ascii="Arial" w:hAnsi="Arial" w:cs="Arial"/>
          <w:sz w:val="24"/>
          <w:szCs w:val="24"/>
        </w:rPr>
        <w:t>should be governed by an “or” statement instead of an “and” statement</w:t>
      </w:r>
      <w:r w:rsidR="0049409A" w:rsidRPr="673AA60C">
        <w:rPr>
          <w:rFonts w:ascii="Arial" w:hAnsi="Arial" w:cs="Arial"/>
          <w:sz w:val="24"/>
          <w:szCs w:val="24"/>
        </w:rPr>
        <w:t xml:space="preserve">.  The list </w:t>
      </w:r>
      <w:r w:rsidRPr="673AA60C">
        <w:rPr>
          <w:rFonts w:ascii="Arial" w:hAnsi="Arial" w:cs="Arial"/>
          <w:sz w:val="24"/>
          <w:szCs w:val="24"/>
        </w:rPr>
        <w:t xml:space="preserve">contains seven conditions that may result in a new hazard assessment. As written, the list requires all seven conditions to occur before a new hazard assessment is necessary. </w:t>
      </w:r>
      <w:r w:rsidR="0049409A" w:rsidRPr="673AA60C">
        <w:rPr>
          <w:rFonts w:ascii="Arial" w:hAnsi="Arial" w:cs="Arial"/>
          <w:sz w:val="24"/>
          <w:szCs w:val="24"/>
        </w:rPr>
        <w:t xml:space="preserve">The State Water Board </w:t>
      </w:r>
      <w:r w:rsidRPr="673AA60C">
        <w:rPr>
          <w:rFonts w:ascii="Arial" w:hAnsi="Arial" w:cs="Arial"/>
          <w:sz w:val="24"/>
          <w:szCs w:val="24"/>
        </w:rPr>
        <w:t>intended for any of the conditions, when met, to result in a new hazard assessment.</w:t>
      </w:r>
      <w:r w:rsidR="002763C7" w:rsidRPr="673AA60C">
        <w:rPr>
          <w:rFonts w:ascii="Arial" w:hAnsi="Arial" w:cs="Arial"/>
          <w:sz w:val="24"/>
          <w:szCs w:val="24"/>
        </w:rPr>
        <w:t xml:space="preserve"> Requiring all seven conditions to occur </w:t>
      </w:r>
      <w:r w:rsidR="0062656B" w:rsidRPr="673AA60C">
        <w:rPr>
          <w:rFonts w:ascii="Arial" w:hAnsi="Arial" w:cs="Arial"/>
          <w:sz w:val="24"/>
          <w:szCs w:val="24"/>
        </w:rPr>
        <w:t xml:space="preserve">effectively renders the </w:t>
      </w:r>
      <w:r w:rsidR="775361FA" w:rsidRPr="673AA60C">
        <w:rPr>
          <w:rFonts w:ascii="Arial" w:hAnsi="Arial" w:cs="Arial"/>
          <w:sz w:val="24"/>
          <w:szCs w:val="24"/>
        </w:rPr>
        <w:t xml:space="preserve">subsequent </w:t>
      </w:r>
      <w:r w:rsidR="00392ED7" w:rsidRPr="673AA60C">
        <w:rPr>
          <w:rFonts w:ascii="Arial" w:hAnsi="Arial" w:cs="Arial"/>
          <w:sz w:val="24"/>
          <w:szCs w:val="24"/>
        </w:rPr>
        <w:t>hazard assessment requirement useless</w:t>
      </w:r>
      <w:r w:rsidR="00DA2310" w:rsidRPr="673AA60C">
        <w:rPr>
          <w:rFonts w:ascii="Arial" w:hAnsi="Arial" w:cs="Arial"/>
          <w:sz w:val="24"/>
          <w:szCs w:val="24"/>
        </w:rPr>
        <w:t>.</w:t>
      </w:r>
    </w:p>
    <w:p w14:paraId="119A15D5" w14:textId="531C8B12" w:rsidR="00DA2310" w:rsidRDefault="00DA2310" w:rsidP="002B0FCB">
      <w:pPr>
        <w:rPr>
          <w:rFonts w:ascii="Arial" w:hAnsi="Arial" w:cs="Arial"/>
          <w:sz w:val="24"/>
          <w:szCs w:val="24"/>
        </w:rPr>
      </w:pPr>
      <w:r>
        <w:rPr>
          <w:rFonts w:ascii="Arial" w:hAnsi="Arial" w:cs="Arial"/>
          <w:sz w:val="24"/>
          <w:szCs w:val="24"/>
          <w:u w:val="single"/>
        </w:rPr>
        <w:t>Revision</w:t>
      </w:r>
    </w:p>
    <w:p w14:paraId="468605F0" w14:textId="4AC17E01" w:rsidR="00DA2310" w:rsidRDefault="00DA2310" w:rsidP="002B0FCB">
      <w:pPr>
        <w:rPr>
          <w:rFonts w:ascii="Arial" w:hAnsi="Arial" w:cs="Arial"/>
          <w:sz w:val="24"/>
          <w:szCs w:val="24"/>
        </w:rPr>
      </w:pPr>
      <w:r>
        <w:rPr>
          <w:rFonts w:ascii="Arial" w:hAnsi="Arial" w:cs="Arial"/>
          <w:sz w:val="24"/>
          <w:szCs w:val="24"/>
        </w:rPr>
        <w:t xml:space="preserve">Section 3.4.1(d): </w:t>
      </w:r>
      <w:r w:rsidR="00CD0182" w:rsidRPr="00CD0182">
        <w:rPr>
          <w:rFonts w:ascii="Arial" w:hAnsi="Arial" w:cs="Arial"/>
          <w:strike/>
          <w:sz w:val="24"/>
          <w:szCs w:val="24"/>
        </w:rPr>
        <w:t>An American National Standards Institute (ANSI)-accredited certifying organization, accredited in accordance with subsection (b) and ISO/IEC 17024,</w:t>
      </w:r>
      <w:r w:rsidR="00CD0182" w:rsidRPr="00CD0182">
        <w:rPr>
          <w:rFonts w:ascii="Arial" w:hAnsi="Arial" w:cs="Arial"/>
          <w:sz w:val="24"/>
          <w:szCs w:val="24"/>
        </w:rPr>
        <w:t xml:space="preserve"> </w:t>
      </w:r>
      <w:r w:rsidR="00846015" w:rsidRPr="00CD0182">
        <w:rPr>
          <w:rFonts w:ascii="Arial" w:hAnsi="Arial" w:cs="Arial"/>
          <w:sz w:val="24"/>
          <w:szCs w:val="24"/>
          <w:u w:val="single"/>
        </w:rPr>
        <w:t>A certifying organization, accredited by the American National Standards Institute (ANSI) in accordance with ISO/IEC 17024, which complies with subsection (b),</w:t>
      </w:r>
      <w:r w:rsidR="00846015" w:rsidRPr="00846015">
        <w:rPr>
          <w:rFonts w:ascii="Arial" w:hAnsi="Arial" w:cs="Arial"/>
          <w:sz w:val="24"/>
          <w:szCs w:val="24"/>
        </w:rPr>
        <w:t xml:space="preserve"> will be considered to be a State Water Board-recognized certifying organization.</w:t>
      </w:r>
    </w:p>
    <w:p w14:paraId="6B3B3993" w14:textId="529BFFD2" w:rsidR="00286CA2" w:rsidRDefault="00286CA2" w:rsidP="002B0FCB">
      <w:pPr>
        <w:rPr>
          <w:rFonts w:ascii="Arial" w:hAnsi="Arial" w:cs="Arial"/>
          <w:sz w:val="24"/>
          <w:szCs w:val="24"/>
        </w:rPr>
      </w:pPr>
      <w:r>
        <w:rPr>
          <w:rFonts w:ascii="Arial" w:hAnsi="Arial" w:cs="Arial"/>
          <w:sz w:val="24"/>
          <w:szCs w:val="24"/>
          <w:u w:val="single"/>
        </w:rPr>
        <w:t xml:space="preserve">Purpose and </w:t>
      </w:r>
      <w:r w:rsidR="002C2E58">
        <w:rPr>
          <w:rFonts w:ascii="Arial" w:hAnsi="Arial" w:cs="Arial"/>
          <w:sz w:val="24"/>
          <w:szCs w:val="24"/>
          <w:u w:val="single"/>
        </w:rPr>
        <w:t>r</w:t>
      </w:r>
      <w:r>
        <w:rPr>
          <w:rFonts w:ascii="Arial" w:hAnsi="Arial" w:cs="Arial"/>
          <w:sz w:val="24"/>
          <w:szCs w:val="24"/>
          <w:u w:val="single"/>
        </w:rPr>
        <w:t>eason</w:t>
      </w:r>
    </w:p>
    <w:p w14:paraId="7D031FD9" w14:textId="5E34F5D3" w:rsidR="00286CA2" w:rsidRDefault="00286CA2" w:rsidP="002B0FCB">
      <w:pPr>
        <w:rPr>
          <w:rFonts w:ascii="Arial" w:hAnsi="Arial" w:cs="Arial"/>
          <w:sz w:val="24"/>
          <w:szCs w:val="24"/>
        </w:rPr>
      </w:pPr>
      <w:r w:rsidRPr="539156D3">
        <w:rPr>
          <w:rFonts w:ascii="Arial" w:hAnsi="Arial" w:cs="Arial"/>
          <w:sz w:val="24"/>
          <w:szCs w:val="24"/>
        </w:rPr>
        <w:lastRenderedPageBreak/>
        <w:t xml:space="preserve">The </w:t>
      </w:r>
      <w:r w:rsidR="00FB2693" w:rsidRPr="539156D3">
        <w:rPr>
          <w:rFonts w:ascii="Arial" w:hAnsi="Arial" w:cs="Arial"/>
          <w:sz w:val="24"/>
          <w:szCs w:val="24"/>
        </w:rPr>
        <w:t xml:space="preserve">Backflow </w:t>
      </w:r>
      <w:r w:rsidR="00A76A71" w:rsidRPr="539156D3">
        <w:rPr>
          <w:rFonts w:ascii="Arial" w:hAnsi="Arial" w:cs="Arial"/>
          <w:sz w:val="24"/>
          <w:szCs w:val="24"/>
        </w:rPr>
        <w:t xml:space="preserve">Prevention Assembly </w:t>
      </w:r>
      <w:r w:rsidR="00FB2693" w:rsidRPr="539156D3">
        <w:rPr>
          <w:rFonts w:ascii="Arial" w:hAnsi="Arial" w:cs="Arial"/>
          <w:sz w:val="24"/>
          <w:szCs w:val="24"/>
        </w:rPr>
        <w:t xml:space="preserve">Tester </w:t>
      </w:r>
      <w:r w:rsidR="00A76A71" w:rsidRPr="539156D3">
        <w:rPr>
          <w:rFonts w:ascii="Arial" w:hAnsi="Arial" w:cs="Arial"/>
          <w:sz w:val="24"/>
          <w:szCs w:val="24"/>
        </w:rPr>
        <w:t xml:space="preserve">Certification </w:t>
      </w:r>
      <w:r w:rsidRPr="539156D3">
        <w:rPr>
          <w:rFonts w:ascii="Arial" w:hAnsi="Arial" w:cs="Arial"/>
          <w:sz w:val="24"/>
          <w:szCs w:val="24"/>
        </w:rPr>
        <w:t xml:space="preserve">requirement in Section 3.4.1(d) is </w:t>
      </w:r>
      <w:r w:rsidR="00530631" w:rsidRPr="539156D3">
        <w:rPr>
          <w:rFonts w:ascii="Arial" w:hAnsi="Arial" w:cs="Arial"/>
          <w:sz w:val="24"/>
          <w:szCs w:val="24"/>
        </w:rPr>
        <w:t>effectively identical to the</w:t>
      </w:r>
      <w:r w:rsidR="00A76A71" w:rsidRPr="539156D3">
        <w:rPr>
          <w:rFonts w:ascii="Arial" w:hAnsi="Arial" w:cs="Arial"/>
          <w:sz w:val="24"/>
          <w:szCs w:val="24"/>
        </w:rPr>
        <w:t xml:space="preserve"> </w:t>
      </w:r>
      <w:r w:rsidR="00C00A09" w:rsidRPr="539156D3">
        <w:rPr>
          <w:rFonts w:ascii="Arial" w:hAnsi="Arial" w:cs="Arial"/>
          <w:sz w:val="24"/>
          <w:szCs w:val="24"/>
        </w:rPr>
        <w:t>Cross-Connection Control Specialist Certification requirement in Section 3.4.</w:t>
      </w:r>
      <w:r w:rsidR="49BD052E" w:rsidRPr="539156D3">
        <w:rPr>
          <w:rFonts w:ascii="Arial" w:hAnsi="Arial" w:cs="Arial"/>
          <w:sz w:val="24"/>
          <w:szCs w:val="24"/>
        </w:rPr>
        <w:t>2</w:t>
      </w:r>
      <w:r w:rsidR="00C00A09" w:rsidRPr="539156D3">
        <w:rPr>
          <w:rFonts w:ascii="Arial" w:hAnsi="Arial" w:cs="Arial"/>
          <w:sz w:val="24"/>
          <w:szCs w:val="24"/>
        </w:rPr>
        <w:t xml:space="preserve">(d), but the language between the two sections is </w:t>
      </w:r>
      <w:r w:rsidR="00621773" w:rsidRPr="539156D3">
        <w:rPr>
          <w:rFonts w:ascii="Arial" w:hAnsi="Arial" w:cs="Arial"/>
          <w:sz w:val="24"/>
          <w:szCs w:val="24"/>
        </w:rPr>
        <w:t>dissimilar enough such that unnecessary confusion may arise when comparing the two sections, and the change eliminates that dissimilarity.</w:t>
      </w:r>
    </w:p>
    <w:p w14:paraId="1C596033" w14:textId="40137BD9" w:rsidR="00621773" w:rsidRDefault="00621773" w:rsidP="002B0FCB">
      <w:pPr>
        <w:rPr>
          <w:rFonts w:ascii="Arial" w:hAnsi="Arial" w:cs="Arial"/>
          <w:sz w:val="24"/>
          <w:szCs w:val="24"/>
          <w:u w:val="single"/>
        </w:rPr>
      </w:pPr>
      <w:r>
        <w:rPr>
          <w:rFonts w:ascii="Arial" w:hAnsi="Arial" w:cs="Arial"/>
          <w:sz w:val="24"/>
          <w:szCs w:val="24"/>
          <w:u w:val="single"/>
        </w:rPr>
        <w:t>Revision</w:t>
      </w:r>
    </w:p>
    <w:p w14:paraId="2E232079" w14:textId="0B27BB84" w:rsidR="00621773" w:rsidRDefault="008B48D0" w:rsidP="002B0FCB">
      <w:pPr>
        <w:rPr>
          <w:rFonts w:ascii="Arial" w:hAnsi="Arial" w:cs="Arial"/>
          <w:sz w:val="24"/>
          <w:szCs w:val="24"/>
        </w:rPr>
      </w:pPr>
      <w:r>
        <w:rPr>
          <w:rFonts w:ascii="Arial" w:hAnsi="Arial" w:cs="Arial"/>
          <w:sz w:val="24"/>
          <w:szCs w:val="24"/>
        </w:rPr>
        <w:t>Section 3.1.1</w:t>
      </w:r>
      <w:r w:rsidR="00786C10">
        <w:rPr>
          <w:rFonts w:ascii="Arial" w:hAnsi="Arial" w:cs="Arial"/>
          <w:sz w:val="24"/>
          <w:szCs w:val="24"/>
        </w:rPr>
        <w:t xml:space="preserve">: </w:t>
      </w:r>
      <w:r w:rsidR="00786C10" w:rsidRPr="00786C10">
        <w:rPr>
          <w:rFonts w:ascii="Arial" w:hAnsi="Arial" w:cs="Arial"/>
          <w:sz w:val="24"/>
          <w:szCs w:val="24"/>
        </w:rPr>
        <w:t xml:space="preserve">“Air-gap separation” or “AG” means a physical vertical separation of at least two (2) times the effective </w:t>
      </w:r>
      <w:r w:rsidR="00786C10" w:rsidRPr="007261B7">
        <w:rPr>
          <w:rFonts w:ascii="Arial" w:hAnsi="Arial" w:cs="Arial"/>
          <w:strike/>
          <w:sz w:val="24"/>
          <w:szCs w:val="24"/>
        </w:rPr>
        <w:t>pipe diameter</w:t>
      </w:r>
      <w:r w:rsidR="00786C10" w:rsidRPr="00786C10">
        <w:rPr>
          <w:rFonts w:ascii="Arial" w:hAnsi="Arial" w:cs="Arial"/>
          <w:sz w:val="24"/>
          <w:szCs w:val="24"/>
        </w:rPr>
        <w:t xml:space="preserve"> </w:t>
      </w:r>
      <w:r w:rsidR="00786C10" w:rsidRPr="007261B7">
        <w:rPr>
          <w:rFonts w:ascii="Arial" w:hAnsi="Arial" w:cs="Arial"/>
          <w:sz w:val="24"/>
          <w:szCs w:val="24"/>
          <w:u w:val="single"/>
        </w:rPr>
        <w:t>opening, as defined in section 207.0 of the California Plumbing Code,</w:t>
      </w:r>
      <w:r w:rsidR="00786C10" w:rsidRPr="00786C10">
        <w:rPr>
          <w:rFonts w:ascii="Arial" w:hAnsi="Arial" w:cs="Arial"/>
          <w:sz w:val="24"/>
          <w:szCs w:val="24"/>
        </w:rPr>
        <w:t xml:space="preserve"> between the free-flowing discharge end of a potable water supply pipeline and the flood level of an open or non-pressurized receiving vessel, and in no case less than one (1) inch.</w:t>
      </w:r>
    </w:p>
    <w:p w14:paraId="08E65CF0" w14:textId="7A746053" w:rsidR="002C2E58" w:rsidRDefault="002C2E58" w:rsidP="002B0FCB">
      <w:pPr>
        <w:rPr>
          <w:rFonts w:ascii="Arial" w:hAnsi="Arial" w:cs="Arial"/>
          <w:sz w:val="24"/>
          <w:szCs w:val="24"/>
          <w:u w:val="single"/>
        </w:rPr>
      </w:pPr>
      <w:r>
        <w:rPr>
          <w:rFonts w:ascii="Arial" w:hAnsi="Arial" w:cs="Arial"/>
          <w:sz w:val="24"/>
          <w:szCs w:val="24"/>
          <w:u w:val="single"/>
        </w:rPr>
        <w:t>Purpose and reason</w:t>
      </w:r>
    </w:p>
    <w:p w14:paraId="783F45E9" w14:textId="70E4EB17" w:rsidR="00BF327B" w:rsidRDefault="003F4784" w:rsidP="00071316">
      <w:pPr>
        <w:rPr>
          <w:rFonts w:ascii="Arial" w:hAnsi="Arial" w:cs="Arial"/>
          <w:sz w:val="24"/>
          <w:szCs w:val="24"/>
        </w:rPr>
      </w:pPr>
      <w:r w:rsidRPr="003F4784">
        <w:rPr>
          <w:rFonts w:ascii="Arial" w:hAnsi="Arial" w:cs="Arial"/>
          <w:sz w:val="24"/>
          <w:szCs w:val="24"/>
        </w:rPr>
        <w:t xml:space="preserve">The definition of an air-gap separation in section 3.1.1 is inconsistent with the air-gap criteria in Appendix B; specifically, when describing the necessary vertical distance in an air-gap, the </w:t>
      </w:r>
      <w:r>
        <w:rPr>
          <w:rFonts w:ascii="Arial" w:hAnsi="Arial" w:cs="Arial"/>
          <w:sz w:val="24"/>
          <w:szCs w:val="24"/>
        </w:rPr>
        <w:t xml:space="preserve">definition </w:t>
      </w:r>
      <w:r w:rsidR="00BF327B">
        <w:rPr>
          <w:rFonts w:ascii="Arial" w:hAnsi="Arial" w:cs="Arial"/>
          <w:sz w:val="24"/>
          <w:szCs w:val="24"/>
        </w:rPr>
        <w:t xml:space="preserve">in </w:t>
      </w:r>
      <w:r w:rsidRPr="003F4784">
        <w:rPr>
          <w:rFonts w:ascii="Arial" w:hAnsi="Arial" w:cs="Arial"/>
          <w:sz w:val="24"/>
          <w:szCs w:val="24"/>
        </w:rPr>
        <w:t>3.1.1 refers to an “effective pipe diameter“ and Appendix B refers to an “effective opening.” The “effective pipe diameter” definition could be misconstrued to mean the outer pipe diameter and also not inclusive of air-gaps using multiple pipes</w:t>
      </w:r>
      <w:r w:rsidR="00BF327B">
        <w:rPr>
          <w:rFonts w:ascii="Arial" w:hAnsi="Arial" w:cs="Arial"/>
          <w:sz w:val="24"/>
          <w:szCs w:val="24"/>
        </w:rPr>
        <w:t xml:space="preserve">.  </w:t>
      </w:r>
      <w:r w:rsidR="00BF327B" w:rsidRPr="00BF327B">
        <w:rPr>
          <w:rFonts w:ascii="Arial" w:hAnsi="Arial" w:cs="Arial"/>
          <w:sz w:val="24"/>
          <w:szCs w:val="24"/>
        </w:rPr>
        <w:t>This change should prevent any air-gap installations being designed with inadequate gaps</w:t>
      </w:r>
      <w:r w:rsidR="00BF327B">
        <w:rPr>
          <w:rFonts w:ascii="Arial" w:hAnsi="Arial" w:cs="Arial"/>
          <w:sz w:val="24"/>
          <w:szCs w:val="24"/>
        </w:rPr>
        <w:t>.</w:t>
      </w:r>
      <w:r w:rsidRPr="003F4784">
        <w:rPr>
          <w:rFonts w:ascii="Arial" w:hAnsi="Arial" w:cs="Arial"/>
          <w:sz w:val="24"/>
          <w:szCs w:val="24"/>
        </w:rPr>
        <w:t xml:space="preserve"> </w:t>
      </w:r>
    </w:p>
    <w:p w14:paraId="315D17B0" w14:textId="73A771CC" w:rsidR="00BF327B" w:rsidRPr="00524058" w:rsidRDefault="00524058" w:rsidP="00071316">
      <w:pPr>
        <w:rPr>
          <w:rFonts w:ascii="Arial" w:hAnsi="Arial" w:cs="Arial"/>
          <w:sz w:val="24"/>
          <w:szCs w:val="24"/>
          <w:u w:val="single"/>
        </w:rPr>
      </w:pPr>
      <w:r w:rsidRPr="00524058">
        <w:rPr>
          <w:rFonts w:ascii="Arial" w:hAnsi="Arial" w:cs="Arial"/>
          <w:sz w:val="24"/>
          <w:szCs w:val="24"/>
          <w:u w:val="single"/>
        </w:rPr>
        <w:t>Revision</w:t>
      </w:r>
    </w:p>
    <w:p w14:paraId="6B663C57" w14:textId="79BFE04E" w:rsidR="00BF327B" w:rsidRDefault="00524058" w:rsidP="00071316">
      <w:pPr>
        <w:rPr>
          <w:rFonts w:ascii="Arial" w:hAnsi="Arial" w:cs="Arial"/>
          <w:sz w:val="24"/>
          <w:szCs w:val="24"/>
        </w:rPr>
      </w:pPr>
      <w:r>
        <w:rPr>
          <w:rFonts w:ascii="Arial" w:hAnsi="Arial" w:cs="Arial"/>
          <w:sz w:val="24"/>
          <w:szCs w:val="24"/>
        </w:rPr>
        <w:t>3.3.2(b)</w:t>
      </w:r>
      <w:r w:rsidR="002C77BC">
        <w:rPr>
          <w:rFonts w:ascii="Arial" w:hAnsi="Arial" w:cs="Arial"/>
          <w:sz w:val="24"/>
          <w:szCs w:val="24"/>
        </w:rPr>
        <w:t xml:space="preserve">: </w:t>
      </w:r>
      <w:r w:rsidR="000A0A97" w:rsidRPr="000A0A97">
        <w:rPr>
          <w:rFonts w:ascii="Arial" w:hAnsi="Arial" w:cs="Arial"/>
          <w:sz w:val="24"/>
          <w:szCs w:val="24"/>
        </w:rPr>
        <w:t>RPs must be installed such that the lowest point of an assembly is a minimum of twelve inches above grade, and</w:t>
      </w:r>
      <w:r w:rsidR="000A0A97" w:rsidRPr="00F227C5">
        <w:rPr>
          <w:rFonts w:ascii="Arial" w:hAnsi="Arial" w:cs="Arial"/>
          <w:sz w:val="24"/>
          <w:szCs w:val="24"/>
          <w:u w:val="single"/>
        </w:rPr>
        <w:t>, unless an alternative is approved by the PWS,</w:t>
      </w:r>
      <w:r w:rsidR="000A0A97" w:rsidRPr="000A0A97">
        <w:rPr>
          <w:rFonts w:ascii="Arial" w:hAnsi="Arial" w:cs="Arial"/>
          <w:sz w:val="24"/>
          <w:szCs w:val="24"/>
        </w:rPr>
        <w:t xml:space="preserve"> a maximum of thirty-six inches above the finished grade</w:t>
      </w:r>
      <w:r w:rsidR="000A0A97" w:rsidRPr="00EA7A53">
        <w:rPr>
          <w:rFonts w:ascii="Arial" w:hAnsi="Arial" w:cs="Arial"/>
          <w:strike/>
          <w:sz w:val="24"/>
          <w:szCs w:val="24"/>
        </w:rPr>
        <w:t>, unless an alternative is approved by the PWS</w:t>
      </w:r>
      <w:r w:rsidR="00F227C5" w:rsidRPr="00EA7A53">
        <w:rPr>
          <w:rFonts w:ascii="Arial" w:hAnsi="Arial" w:cs="Arial"/>
          <w:strike/>
          <w:sz w:val="24"/>
          <w:szCs w:val="24"/>
        </w:rPr>
        <w:t>,</w:t>
      </w:r>
      <w:r w:rsidR="000A0A97" w:rsidRPr="00F227C5">
        <w:rPr>
          <w:rFonts w:ascii="Arial" w:hAnsi="Arial" w:cs="Arial"/>
          <w:sz w:val="24"/>
          <w:szCs w:val="24"/>
          <w:u w:val="single"/>
        </w:rPr>
        <w:t>.</w:t>
      </w:r>
    </w:p>
    <w:p w14:paraId="51B5CAF5" w14:textId="3137A446" w:rsidR="00EA7A53" w:rsidRDefault="00EA7A53" w:rsidP="00071316">
      <w:pPr>
        <w:rPr>
          <w:rFonts w:ascii="Arial" w:hAnsi="Arial" w:cs="Arial"/>
          <w:sz w:val="24"/>
          <w:szCs w:val="24"/>
          <w:u w:val="single"/>
        </w:rPr>
      </w:pPr>
      <w:r>
        <w:rPr>
          <w:rFonts w:ascii="Arial" w:hAnsi="Arial" w:cs="Arial"/>
          <w:sz w:val="24"/>
          <w:szCs w:val="24"/>
          <w:u w:val="single"/>
        </w:rPr>
        <w:t>Purpose and reason</w:t>
      </w:r>
    </w:p>
    <w:p w14:paraId="7E5F2650" w14:textId="2E7510C3" w:rsidR="00EA7A53" w:rsidRDefault="00DF0B79" w:rsidP="00071316">
      <w:pPr>
        <w:rPr>
          <w:rFonts w:ascii="Arial" w:hAnsi="Arial" w:cs="Arial"/>
          <w:sz w:val="24"/>
          <w:szCs w:val="24"/>
        </w:rPr>
      </w:pPr>
      <w:r w:rsidRPr="00DF0B79">
        <w:rPr>
          <w:rFonts w:ascii="Arial" w:hAnsi="Arial" w:cs="Arial"/>
          <w:sz w:val="24"/>
          <w:szCs w:val="24"/>
        </w:rPr>
        <w:t>Section 3.3.2(b) states that the minimum installation height for an RP is 12 inches. Section 3.3.2(b</w:t>
      </w:r>
      <w:r>
        <w:rPr>
          <w:rFonts w:ascii="Arial" w:hAnsi="Arial" w:cs="Arial"/>
          <w:sz w:val="24"/>
          <w:szCs w:val="24"/>
        </w:rPr>
        <w:t>)</w:t>
      </w:r>
      <w:r w:rsidRPr="00DF0B79">
        <w:rPr>
          <w:rFonts w:ascii="Arial" w:hAnsi="Arial" w:cs="Arial"/>
          <w:sz w:val="24"/>
          <w:szCs w:val="24"/>
        </w:rPr>
        <w:t xml:space="preserve"> also states that the maximum installation height for RP devices is 36 inches unless an alternative is approved by the PWS, in which case the installation height may be more than 36 inches. The existing language in the CCCPH is written in a way that could be interpreted to allow for alternatives to </w:t>
      </w:r>
      <w:r w:rsidRPr="00DF0B79">
        <w:rPr>
          <w:rFonts w:ascii="Arial" w:hAnsi="Arial" w:cs="Arial"/>
          <w:i/>
          <w:iCs/>
          <w:sz w:val="24"/>
          <w:szCs w:val="24"/>
        </w:rPr>
        <w:t xml:space="preserve">both </w:t>
      </w:r>
      <w:r w:rsidRPr="00DF0B79">
        <w:rPr>
          <w:rFonts w:ascii="Arial" w:hAnsi="Arial" w:cs="Arial"/>
          <w:sz w:val="24"/>
          <w:szCs w:val="24"/>
        </w:rPr>
        <w:t>minimum and maximum height</w:t>
      </w:r>
      <w:r w:rsidR="00414FE8">
        <w:rPr>
          <w:rFonts w:ascii="Arial" w:hAnsi="Arial" w:cs="Arial"/>
          <w:sz w:val="24"/>
          <w:szCs w:val="24"/>
        </w:rPr>
        <w:t>.  This change clarifies that the alternative only applies to maximum height.</w:t>
      </w:r>
    </w:p>
    <w:p w14:paraId="607AD486" w14:textId="25516DF0" w:rsidR="00AF6E1A" w:rsidRDefault="00AF6E1A" w:rsidP="00071316">
      <w:pPr>
        <w:rPr>
          <w:rFonts w:ascii="Arial" w:hAnsi="Arial" w:cs="Arial"/>
          <w:sz w:val="24"/>
          <w:szCs w:val="24"/>
          <w:u w:val="single"/>
        </w:rPr>
      </w:pPr>
      <w:r w:rsidRPr="0072449C">
        <w:rPr>
          <w:rFonts w:ascii="Arial" w:hAnsi="Arial" w:cs="Arial"/>
          <w:sz w:val="24"/>
          <w:szCs w:val="24"/>
          <w:u w:val="single"/>
        </w:rPr>
        <w:t>Revision</w:t>
      </w:r>
    </w:p>
    <w:p w14:paraId="2D0FCFD6" w14:textId="6AFA7F6D" w:rsidR="0072449C" w:rsidRDefault="0072449C" w:rsidP="00071316">
      <w:pPr>
        <w:rPr>
          <w:rFonts w:ascii="Arial" w:hAnsi="Arial" w:cs="Arial"/>
          <w:sz w:val="24"/>
          <w:szCs w:val="24"/>
        </w:rPr>
      </w:pPr>
      <w:r>
        <w:rPr>
          <w:rFonts w:ascii="Arial" w:hAnsi="Arial" w:cs="Arial"/>
          <w:sz w:val="24"/>
          <w:szCs w:val="24"/>
        </w:rPr>
        <w:t xml:space="preserve">3.1.3(a)(2): </w:t>
      </w:r>
      <w:r w:rsidR="002548DD" w:rsidRPr="002548DD">
        <w:rPr>
          <w:rFonts w:ascii="Arial" w:hAnsi="Arial" w:cs="Arial"/>
          <w:sz w:val="24"/>
          <w:szCs w:val="24"/>
        </w:rPr>
        <w:t xml:space="preserve">Cross-Connection Control Program Coordinator – The PWS must designate at least one individual involved in the development of and be responsible for the reporting, tracking, and other administration duties of its cross-connection control program. For a PWS with </w:t>
      </w:r>
      <w:r w:rsidR="002548DD" w:rsidRPr="002548DD">
        <w:rPr>
          <w:rFonts w:ascii="Arial" w:hAnsi="Arial" w:cs="Arial"/>
          <w:strike/>
          <w:sz w:val="24"/>
          <w:szCs w:val="24"/>
        </w:rPr>
        <w:t>more than</w:t>
      </w:r>
      <w:r w:rsidR="002548DD" w:rsidRPr="002548DD">
        <w:rPr>
          <w:rFonts w:ascii="Arial" w:hAnsi="Arial" w:cs="Arial"/>
          <w:sz w:val="24"/>
          <w:szCs w:val="24"/>
        </w:rPr>
        <w:t xml:space="preserve"> 3,000 service connections </w:t>
      </w:r>
      <w:r w:rsidR="002548DD" w:rsidRPr="002548DD">
        <w:rPr>
          <w:rFonts w:ascii="Arial" w:hAnsi="Arial" w:cs="Arial"/>
          <w:sz w:val="24"/>
          <w:szCs w:val="24"/>
          <w:u w:val="single"/>
        </w:rPr>
        <w:t>or more</w:t>
      </w:r>
      <w:r w:rsidR="002548DD" w:rsidRPr="002548DD">
        <w:rPr>
          <w:rFonts w:ascii="Arial" w:hAnsi="Arial" w:cs="Arial"/>
          <w:sz w:val="24"/>
          <w:szCs w:val="24"/>
        </w:rPr>
        <w:t xml:space="preserve"> the Cross-Connection Control Program Coordinator must be a cross-connection control specialist</w:t>
      </w:r>
      <w:r w:rsidR="007B7B83">
        <w:rPr>
          <w:rFonts w:ascii="Arial" w:hAnsi="Arial" w:cs="Arial"/>
          <w:sz w:val="24"/>
          <w:szCs w:val="24"/>
        </w:rPr>
        <w:t>.</w:t>
      </w:r>
    </w:p>
    <w:p w14:paraId="7A1F590D" w14:textId="014718AF" w:rsidR="007B7B83" w:rsidRDefault="007B7B83" w:rsidP="00071316">
      <w:pPr>
        <w:rPr>
          <w:rFonts w:ascii="Arial" w:hAnsi="Arial" w:cs="Arial"/>
          <w:sz w:val="24"/>
          <w:szCs w:val="24"/>
        </w:rPr>
      </w:pPr>
      <w:r>
        <w:rPr>
          <w:rFonts w:ascii="Arial" w:hAnsi="Arial" w:cs="Arial"/>
          <w:sz w:val="24"/>
          <w:szCs w:val="24"/>
          <w:u w:val="single"/>
        </w:rPr>
        <w:lastRenderedPageBreak/>
        <w:t>Purpose and reason</w:t>
      </w:r>
    </w:p>
    <w:p w14:paraId="239D4466" w14:textId="24DF8B22" w:rsidR="007B7B83" w:rsidRPr="007B7B83" w:rsidRDefault="001A4F08" w:rsidP="00071316">
      <w:pPr>
        <w:rPr>
          <w:rFonts w:ascii="Arial" w:hAnsi="Arial" w:cs="Arial"/>
          <w:sz w:val="24"/>
          <w:szCs w:val="24"/>
        </w:rPr>
      </w:pPr>
      <w:r>
        <w:rPr>
          <w:rFonts w:ascii="Arial" w:hAnsi="Arial" w:cs="Arial"/>
          <w:sz w:val="24"/>
          <w:szCs w:val="24"/>
        </w:rPr>
        <w:t>This change will</w:t>
      </w:r>
      <w:r w:rsidR="001F1C19">
        <w:rPr>
          <w:rFonts w:ascii="Arial" w:hAnsi="Arial" w:cs="Arial"/>
          <w:sz w:val="24"/>
          <w:szCs w:val="24"/>
        </w:rPr>
        <w:t xml:space="preserve"> make the service connection threshold consistent throughout the CCCPH</w:t>
      </w:r>
      <w:r w:rsidR="00E740D9">
        <w:rPr>
          <w:rFonts w:ascii="Arial" w:hAnsi="Arial" w:cs="Arial"/>
          <w:sz w:val="24"/>
          <w:szCs w:val="24"/>
        </w:rPr>
        <w:t xml:space="preserve">.  The State Water Board reviewed </w:t>
      </w:r>
      <w:r w:rsidR="00241666">
        <w:rPr>
          <w:rFonts w:ascii="Arial" w:hAnsi="Arial" w:cs="Arial"/>
          <w:sz w:val="24"/>
          <w:szCs w:val="24"/>
        </w:rPr>
        <w:t xml:space="preserve">its drinking water inventory and found that no existing public water systems have exactly 3,000 service </w:t>
      </w:r>
      <w:r w:rsidR="001F1C19">
        <w:rPr>
          <w:rFonts w:ascii="Arial" w:hAnsi="Arial" w:cs="Arial"/>
          <w:sz w:val="24"/>
          <w:szCs w:val="24"/>
        </w:rPr>
        <w:t>connections, so there should be no effect from this change to public water systems</w:t>
      </w:r>
      <w:r w:rsidR="00384817">
        <w:rPr>
          <w:rFonts w:ascii="Arial" w:hAnsi="Arial" w:cs="Arial"/>
          <w:sz w:val="24"/>
          <w:szCs w:val="24"/>
        </w:rPr>
        <w:t>, other than a public water system that is approaching 3,000 service connections will cross the threshold one connection earlier than before.</w:t>
      </w:r>
      <w:r w:rsidR="0091378A">
        <w:rPr>
          <w:rFonts w:ascii="Arial" w:hAnsi="Arial" w:cs="Arial"/>
          <w:sz w:val="24"/>
          <w:szCs w:val="24"/>
        </w:rPr>
        <w:t xml:space="preserve"> </w:t>
      </w:r>
    </w:p>
    <w:p w14:paraId="6EB9C3B6" w14:textId="77777777" w:rsidR="00FA1531" w:rsidRDefault="00FA1531" w:rsidP="00071316">
      <w:pPr>
        <w:rPr>
          <w:rFonts w:ascii="Arial" w:hAnsi="Arial" w:cs="Arial"/>
          <w:b/>
          <w:bCs/>
          <w:sz w:val="40"/>
          <w:szCs w:val="40"/>
          <w:u w:val="single"/>
        </w:rPr>
      </w:pPr>
    </w:p>
    <w:p w14:paraId="2C8DD073" w14:textId="4E28181F" w:rsidR="002548DD" w:rsidRPr="00FA1531" w:rsidRDefault="00FA1531" w:rsidP="00071316">
      <w:pPr>
        <w:rPr>
          <w:rFonts w:ascii="Arial" w:hAnsi="Arial" w:cs="Arial"/>
          <w:b/>
          <w:bCs/>
          <w:sz w:val="40"/>
          <w:szCs w:val="40"/>
          <w:u w:val="single"/>
        </w:rPr>
      </w:pPr>
      <w:r w:rsidRPr="00FA1531">
        <w:rPr>
          <w:rFonts w:ascii="Arial" w:hAnsi="Arial" w:cs="Arial"/>
          <w:b/>
          <w:bCs/>
          <w:sz w:val="40"/>
          <w:szCs w:val="40"/>
          <w:u w:val="single"/>
        </w:rPr>
        <w:t>Previous Changes</w:t>
      </w:r>
      <w:r>
        <w:rPr>
          <w:rFonts w:ascii="Arial" w:hAnsi="Arial" w:cs="Arial"/>
          <w:b/>
          <w:bCs/>
          <w:sz w:val="40"/>
          <w:szCs w:val="40"/>
          <w:u w:val="single"/>
        </w:rPr>
        <w:t xml:space="preserve"> to the CCCPH</w:t>
      </w:r>
    </w:p>
    <w:p w14:paraId="519A3730" w14:textId="0C7A7A62" w:rsidR="00212CC0" w:rsidRPr="003C49FD" w:rsidRDefault="00BF5CF7" w:rsidP="00071316">
      <w:pPr>
        <w:rPr>
          <w:rFonts w:ascii="Arial" w:hAnsi="Arial" w:cs="Arial"/>
          <w:b/>
          <w:bCs/>
          <w:sz w:val="24"/>
          <w:szCs w:val="24"/>
          <w:u w:val="single"/>
        </w:rPr>
      </w:pPr>
      <w:r>
        <w:rPr>
          <w:rFonts w:ascii="Arial" w:hAnsi="Arial" w:cs="Arial"/>
          <w:b/>
          <w:bCs/>
          <w:sz w:val="24"/>
          <w:szCs w:val="24"/>
        </w:rPr>
        <w:t xml:space="preserve">March </w:t>
      </w:r>
      <w:r w:rsidR="0085144C" w:rsidRPr="003C49FD">
        <w:rPr>
          <w:rFonts w:ascii="Arial" w:hAnsi="Arial" w:cs="Arial"/>
          <w:b/>
          <w:bCs/>
          <w:sz w:val="24"/>
          <w:szCs w:val="24"/>
        </w:rPr>
        <w:t>2025</w:t>
      </w:r>
    </w:p>
    <w:p w14:paraId="7B8EE2FE" w14:textId="79319FEB" w:rsidR="003C4355" w:rsidRPr="003C49FD" w:rsidRDefault="003C4355" w:rsidP="00071316">
      <w:pPr>
        <w:rPr>
          <w:rFonts w:ascii="Arial" w:hAnsi="Arial" w:cs="Arial"/>
          <w:sz w:val="24"/>
          <w:szCs w:val="24"/>
        </w:rPr>
      </w:pPr>
      <w:r w:rsidRPr="003C49FD">
        <w:rPr>
          <w:rFonts w:ascii="Arial" w:hAnsi="Arial" w:cs="Arial"/>
          <w:sz w:val="24"/>
          <w:szCs w:val="24"/>
          <w:u w:val="single"/>
        </w:rPr>
        <w:t>Revision</w:t>
      </w:r>
    </w:p>
    <w:p w14:paraId="168174AC" w14:textId="45C6BCCC" w:rsidR="007774D3" w:rsidRPr="003C49FD" w:rsidRDefault="00926141" w:rsidP="007774D3">
      <w:pPr>
        <w:spacing w:after="240"/>
        <w:rPr>
          <w:rFonts w:ascii="Arial" w:hAnsi="Arial" w:cs="Arial"/>
          <w:sz w:val="24"/>
          <w:szCs w:val="24"/>
        </w:rPr>
      </w:pPr>
      <w:r w:rsidRPr="003C49FD">
        <w:rPr>
          <w:rFonts w:ascii="Arial" w:hAnsi="Arial" w:cs="Arial"/>
          <w:sz w:val="24"/>
          <w:szCs w:val="24"/>
        </w:rPr>
        <w:t xml:space="preserve">Section </w:t>
      </w:r>
      <w:r w:rsidR="00597153" w:rsidRPr="003C49FD">
        <w:rPr>
          <w:rFonts w:ascii="Arial" w:hAnsi="Arial" w:cs="Arial"/>
          <w:sz w:val="24"/>
          <w:szCs w:val="24"/>
        </w:rPr>
        <w:t>3.2.1(f)</w:t>
      </w:r>
      <w:r w:rsidR="003C4355" w:rsidRPr="003C49FD">
        <w:rPr>
          <w:rFonts w:ascii="Arial" w:hAnsi="Arial" w:cs="Arial"/>
          <w:sz w:val="24"/>
          <w:szCs w:val="24"/>
        </w:rPr>
        <w:t xml:space="preserve">: </w:t>
      </w:r>
      <w:r w:rsidR="007774D3" w:rsidRPr="003C49FD">
        <w:rPr>
          <w:rFonts w:ascii="Arial" w:hAnsi="Arial" w:cs="Arial"/>
          <w:sz w:val="24"/>
          <w:szCs w:val="24"/>
        </w:rPr>
        <w:t>Noncommunity water systems must conduct an initial or follow-up hazard assessment within two years of the</w:t>
      </w:r>
      <w:r w:rsidR="007774D3" w:rsidRPr="003C49FD">
        <w:rPr>
          <w:rFonts w:ascii="Arial" w:hAnsi="Arial" w:cs="Arial"/>
          <w:strike/>
          <w:sz w:val="24"/>
          <w:szCs w:val="24"/>
        </w:rPr>
        <w:t xml:space="preserve"> adoption</w:t>
      </w:r>
      <w:r w:rsidR="007774D3" w:rsidRPr="003C49FD">
        <w:rPr>
          <w:rFonts w:ascii="Arial" w:hAnsi="Arial" w:cs="Arial"/>
          <w:sz w:val="24"/>
          <w:szCs w:val="24"/>
        </w:rPr>
        <w:t xml:space="preserve"> </w:t>
      </w:r>
      <w:r w:rsidR="007774D3" w:rsidRPr="003C49FD">
        <w:rPr>
          <w:rFonts w:ascii="Arial" w:hAnsi="Arial" w:cs="Arial"/>
          <w:sz w:val="24"/>
          <w:szCs w:val="24"/>
          <w:u w:val="single"/>
        </w:rPr>
        <w:t>effective date</w:t>
      </w:r>
      <w:r w:rsidR="007774D3" w:rsidRPr="003C49FD">
        <w:rPr>
          <w:rFonts w:ascii="Arial" w:hAnsi="Arial" w:cs="Arial"/>
          <w:sz w:val="24"/>
          <w:szCs w:val="24"/>
        </w:rPr>
        <w:t xml:space="preserve"> of the CCCPH.</w:t>
      </w:r>
    </w:p>
    <w:p w14:paraId="7966418B" w14:textId="607DAEC5" w:rsidR="0071126C" w:rsidRPr="003C49FD" w:rsidRDefault="00B37A4F" w:rsidP="0071126C">
      <w:pPr>
        <w:spacing w:after="240"/>
        <w:rPr>
          <w:rFonts w:ascii="Arial" w:hAnsi="Arial" w:cs="Arial"/>
          <w:sz w:val="24"/>
          <w:szCs w:val="24"/>
        </w:rPr>
      </w:pPr>
      <w:r w:rsidRPr="003C49FD">
        <w:rPr>
          <w:rFonts w:ascii="Arial" w:hAnsi="Arial" w:cs="Arial"/>
          <w:sz w:val="24"/>
          <w:szCs w:val="24"/>
        </w:rPr>
        <w:t xml:space="preserve">Section </w:t>
      </w:r>
      <w:r w:rsidR="0071126C" w:rsidRPr="003C49FD">
        <w:rPr>
          <w:rFonts w:ascii="Arial" w:hAnsi="Arial" w:cs="Arial"/>
          <w:sz w:val="24"/>
          <w:szCs w:val="24"/>
        </w:rPr>
        <w:t xml:space="preserve">3.2.2(e): Except as noted below, a PWS must ensure its distribution system is protected with no less than DC protection for a user premises with a fire protection system within ten years of </w:t>
      </w:r>
      <w:r w:rsidR="0071126C" w:rsidRPr="003C49FD">
        <w:rPr>
          <w:rFonts w:ascii="Arial" w:hAnsi="Arial" w:cs="Arial"/>
          <w:strike/>
          <w:sz w:val="24"/>
          <w:szCs w:val="24"/>
        </w:rPr>
        <w:t>adoption</w:t>
      </w:r>
      <w:r w:rsidR="0071126C" w:rsidRPr="003C49FD">
        <w:rPr>
          <w:rFonts w:ascii="Arial" w:hAnsi="Arial" w:cs="Arial"/>
          <w:sz w:val="24"/>
          <w:szCs w:val="24"/>
        </w:rPr>
        <w:t xml:space="preserve"> </w:t>
      </w:r>
      <w:r w:rsidR="0071126C" w:rsidRPr="003C49FD">
        <w:rPr>
          <w:rFonts w:ascii="Arial" w:hAnsi="Arial" w:cs="Arial"/>
          <w:sz w:val="24"/>
          <w:szCs w:val="24"/>
          <w:u w:val="single"/>
        </w:rPr>
        <w:t>the effective date</w:t>
      </w:r>
      <w:r w:rsidR="0071126C" w:rsidRPr="003C49FD">
        <w:rPr>
          <w:rFonts w:ascii="Arial" w:hAnsi="Arial" w:cs="Arial"/>
          <w:sz w:val="24"/>
          <w:szCs w:val="24"/>
        </w:rPr>
        <w:t xml:space="preserve"> of the CCCPH.</w:t>
      </w:r>
    </w:p>
    <w:p w14:paraId="2AA7F1A1" w14:textId="14D3400D" w:rsidR="00820DC0" w:rsidRPr="003C49FD" w:rsidRDefault="00B37A4F" w:rsidP="00820DC0">
      <w:pPr>
        <w:spacing w:after="240"/>
        <w:rPr>
          <w:rFonts w:ascii="Arial" w:hAnsi="Arial" w:cs="Arial"/>
          <w:sz w:val="24"/>
          <w:szCs w:val="24"/>
        </w:rPr>
      </w:pPr>
      <w:r w:rsidRPr="003C49FD">
        <w:rPr>
          <w:rFonts w:ascii="Arial" w:hAnsi="Arial" w:cs="Arial"/>
          <w:sz w:val="24"/>
          <w:szCs w:val="24"/>
        </w:rPr>
        <w:t xml:space="preserve">Section </w:t>
      </w:r>
      <w:r w:rsidR="00820DC0" w:rsidRPr="003C49FD">
        <w:rPr>
          <w:rFonts w:ascii="Arial" w:hAnsi="Arial" w:cs="Arial"/>
          <w:sz w:val="24"/>
          <w:szCs w:val="24"/>
        </w:rPr>
        <w:t xml:space="preserve">3.2.2(e)(2): For existing fire protection systems that do not meet Section 3.2.2 (e)(3) or cannot install DC protection within ten years of </w:t>
      </w:r>
      <w:r w:rsidR="00820DC0" w:rsidRPr="003C49FD">
        <w:rPr>
          <w:rFonts w:ascii="Arial" w:hAnsi="Arial" w:cs="Arial"/>
          <w:strike/>
          <w:sz w:val="24"/>
          <w:szCs w:val="24"/>
        </w:rPr>
        <w:t>adoption</w:t>
      </w:r>
      <w:r w:rsidR="00820DC0" w:rsidRPr="003C49FD">
        <w:rPr>
          <w:rFonts w:ascii="Arial" w:hAnsi="Arial" w:cs="Arial"/>
          <w:sz w:val="24"/>
          <w:szCs w:val="24"/>
        </w:rPr>
        <w:t xml:space="preserve"> </w:t>
      </w:r>
      <w:r w:rsidR="00820DC0" w:rsidRPr="003C49FD">
        <w:rPr>
          <w:rFonts w:ascii="Arial" w:hAnsi="Arial" w:cs="Arial"/>
          <w:sz w:val="24"/>
          <w:szCs w:val="24"/>
          <w:u w:val="single"/>
        </w:rPr>
        <w:t>the effective date</w:t>
      </w:r>
      <w:r w:rsidR="00820DC0" w:rsidRPr="003C49FD">
        <w:rPr>
          <w:rFonts w:ascii="Arial" w:hAnsi="Arial" w:cs="Arial"/>
          <w:sz w:val="24"/>
          <w:szCs w:val="24"/>
        </w:rPr>
        <w:t xml:space="preserve"> of the CCCPH…</w:t>
      </w:r>
    </w:p>
    <w:p w14:paraId="3F8828BA" w14:textId="3FF8F268" w:rsidR="00F6039D" w:rsidRPr="004E3366" w:rsidRDefault="003C4355" w:rsidP="00071316">
      <w:pPr>
        <w:rPr>
          <w:rFonts w:ascii="Arial" w:hAnsi="Arial" w:cs="Arial"/>
          <w:sz w:val="24"/>
          <w:szCs w:val="24"/>
        </w:rPr>
      </w:pPr>
      <w:r w:rsidRPr="003C49FD">
        <w:rPr>
          <w:rFonts w:ascii="Arial" w:hAnsi="Arial" w:cs="Arial"/>
          <w:sz w:val="24"/>
          <w:szCs w:val="24"/>
          <w:u w:val="single"/>
        </w:rPr>
        <w:t>Purpose</w:t>
      </w:r>
      <w:r w:rsidR="002A3220" w:rsidRPr="003C49FD">
        <w:rPr>
          <w:rFonts w:ascii="Arial" w:hAnsi="Arial" w:cs="Arial"/>
          <w:sz w:val="24"/>
          <w:szCs w:val="24"/>
          <w:u w:val="single"/>
        </w:rPr>
        <w:t xml:space="preserve"> and reason</w:t>
      </w:r>
      <w:r w:rsidRPr="003C49FD">
        <w:rPr>
          <w:rFonts w:ascii="Arial" w:hAnsi="Arial" w:cs="Arial"/>
          <w:sz w:val="24"/>
          <w:szCs w:val="24"/>
        </w:rPr>
        <w:t>:</w:t>
      </w:r>
      <w:r w:rsidR="00B37A4F" w:rsidRPr="003C49FD">
        <w:rPr>
          <w:rFonts w:ascii="Arial" w:hAnsi="Arial" w:cs="Arial"/>
          <w:sz w:val="24"/>
          <w:szCs w:val="24"/>
        </w:rPr>
        <w:t xml:space="preserve"> </w:t>
      </w:r>
      <w:r w:rsidR="002A3220" w:rsidRPr="003C49FD">
        <w:rPr>
          <w:rFonts w:ascii="Arial" w:hAnsi="Arial" w:cs="Arial"/>
          <w:sz w:val="24"/>
          <w:szCs w:val="24"/>
        </w:rPr>
        <w:t xml:space="preserve">The State Water Board is changing the use of “Adoption Date” </w:t>
      </w:r>
      <w:r w:rsidR="00AE0D31" w:rsidRPr="003C49FD">
        <w:rPr>
          <w:rFonts w:ascii="Arial" w:hAnsi="Arial" w:cs="Arial"/>
          <w:sz w:val="24"/>
          <w:szCs w:val="24"/>
        </w:rPr>
        <w:t xml:space="preserve">in the CCCPH to “Effective Date”.  </w:t>
      </w:r>
      <w:r w:rsidR="00C73E38" w:rsidRPr="003C49FD">
        <w:rPr>
          <w:rFonts w:ascii="Arial" w:hAnsi="Arial" w:cs="Arial"/>
          <w:sz w:val="24"/>
          <w:szCs w:val="24"/>
        </w:rPr>
        <w:t xml:space="preserve">When the CCCPH was adopted the State Water Board included a </w:t>
      </w:r>
      <w:r w:rsidR="00ED6C6B" w:rsidRPr="003C49FD">
        <w:rPr>
          <w:rFonts w:ascii="Arial" w:hAnsi="Arial" w:cs="Arial"/>
          <w:sz w:val="24"/>
          <w:szCs w:val="24"/>
        </w:rPr>
        <w:t>six-month gap between the adoption date and the effective date</w:t>
      </w:r>
      <w:r w:rsidR="006D4CB4" w:rsidRPr="003C49FD">
        <w:rPr>
          <w:rFonts w:ascii="Arial" w:hAnsi="Arial" w:cs="Arial"/>
          <w:sz w:val="24"/>
          <w:szCs w:val="24"/>
        </w:rPr>
        <w:t xml:space="preserve">.  </w:t>
      </w:r>
      <w:r w:rsidR="00C1392D" w:rsidRPr="003C49FD">
        <w:rPr>
          <w:rFonts w:ascii="Arial" w:hAnsi="Arial" w:cs="Arial"/>
          <w:sz w:val="24"/>
          <w:szCs w:val="24"/>
        </w:rPr>
        <w:t xml:space="preserve">The State Water Board intended for all instances of </w:t>
      </w:r>
      <w:r w:rsidR="005C627C" w:rsidRPr="003C49FD">
        <w:rPr>
          <w:rFonts w:ascii="Arial" w:hAnsi="Arial" w:cs="Arial"/>
          <w:sz w:val="24"/>
          <w:szCs w:val="24"/>
        </w:rPr>
        <w:t xml:space="preserve">deadlines associated with </w:t>
      </w:r>
      <w:r w:rsidR="00C1392D" w:rsidRPr="003C49FD">
        <w:rPr>
          <w:rFonts w:ascii="Arial" w:hAnsi="Arial" w:cs="Arial"/>
          <w:sz w:val="24"/>
          <w:szCs w:val="24"/>
        </w:rPr>
        <w:t>“</w:t>
      </w:r>
      <w:r w:rsidR="00995E65" w:rsidRPr="003C49FD">
        <w:rPr>
          <w:rFonts w:ascii="Arial" w:hAnsi="Arial" w:cs="Arial"/>
          <w:sz w:val="24"/>
          <w:szCs w:val="24"/>
        </w:rPr>
        <w:t xml:space="preserve">Adoption Date” to be replaced with “Effective Date”, but not all instances were changed prior to </w:t>
      </w:r>
      <w:r w:rsidR="006B4BE2" w:rsidRPr="003C49FD">
        <w:rPr>
          <w:rFonts w:ascii="Arial" w:hAnsi="Arial" w:cs="Arial"/>
          <w:sz w:val="24"/>
          <w:szCs w:val="24"/>
        </w:rPr>
        <w:t>CCCPH adoption; this change to the CCCPH will correct those errors.</w:t>
      </w:r>
      <w:r w:rsidR="00995E65" w:rsidRPr="003C49FD">
        <w:rPr>
          <w:rFonts w:ascii="Arial" w:hAnsi="Arial" w:cs="Arial"/>
          <w:sz w:val="24"/>
          <w:szCs w:val="24"/>
        </w:rPr>
        <w:t xml:space="preserve"> </w:t>
      </w:r>
    </w:p>
    <w:p w14:paraId="418E44AF" w14:textId="77777777" w:rsidR="00F6039D" w:rsidRPr="003C49FD" w:rsidRDefault="00F6039D" w:rsidP="00071316">
      <w:pPr>
        <w:rPr>
          <w:rFonts w:ascii="Arial" w:hAnsi="Arial" w:cs="Arial"/>
          <w:sz w:val="24"/>
          <w:szCs w:val="24"/>
        </w:rPr>
      </w:pPr>
    </w:p>
    <w:sectPr w:rsidR="00F6039D" w:rsidRPr="003C4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0E"/>
    <w:rsid w:val="000033F0"/>
    <w:rsid w:val="00042FC9"/>
    <w:rsid w:val="00071316"/>
    <w:rsid w:val="00085AF2"/>
    <w:rsid w:val="000A0A97"/>
    <w:rsid w:val="000A0AB0"/>
    <w:rsid w:val="000A6D87"/>
    <w:rsid w:val="000D584B"/>
    <w:rsid w:val="000E7849"/>
    <w:rsid w:val="00115598"/>
    <w:rsid w:val="0012450B"/>
    <w:rsid w:val="00135DB6"/>
    <w:rsid w:val="00151BC0"/>
    <w:rsid w:val="001966B9"/>
    <w:rsid w:val="001A4F08"/>
    <w:rsid w:val="001E6893"/>
    <w:rsid w:val="001F1C19"/>
    <w:rsid w:val="001F3C1C"/>
    <w:rsid w:val="00212CC0"/>
    <w:rsid w:val="00236E10"/>
    <w:rsid w:val="00241666"/>
    <w:rsid w:val="002548DD"/>
    <w:rsid w:val="00254B7C"/>
    <w:rsid w:val="002763C7"/>
    <w:rsid w:val="00281B5A"/>
    <w:rsid w:val="00286CA2"/>
    <w:rsid w:val="002A3220"/>
    <w:rsid w:val="002B0FCB"/>
    <w:rsid w:val="002C2E58"/>
    <w:rsid w:val="002C77BC"/>
    <w:rsid w:val="002D0BE3"/>
    <w:rsid w:val="002E3DC9"/>
    <w:rsid w:val="00306227"/>
    <w:rsid w:val="00307F10"/>
    <w:rsid w:val="00375190"/>
    <w:rsid w:val="00384817"/>
    <w:rsid w:val="00392ED7"/>
    <w:rsid w:val="003A6A8F"/>
    <w:rsid w:val="003C4355"/>
    <w:rsid w:val="003C49FD"/>
    <w:rsid w:val="003F4784"/>
    <w:rsid w:val="00404192"/>
    <w:rsid w:val="00414FE8"/>
    <w:rsid w:val="0041532A"/>
    <w:rsid w:val="0041559C"/>
    <w:rsid w:val="00420E3F"/>
    <w:rsid w:val="00432849"/>
    <w:rsid w:val="00451CC8"/>
    <w:rsid w:val="004643AF"/>
    <w:rsid w:val="00464E0E"/>
    <w:rsid w:val="0049409A"/>
    <w:rsid w:val="004A487B"/>
    <w:rsid w:val="004A76EF"/>
    <w:rsid w:val="004B6E24"/>
    <w:rsid w:val="004C1927"/>
    <w:rsid w:val="004E3366"/>
    <w:rsid w:val="004F7145"/>
    <w:rsid w:val="00524058"/>
    <w:rsid w:val="00525E58"/>
    <w:rsid w:val="00530631"/>
    <w:rsid w:val="00575CC4"/>
    <w:rsid w:val="00583BCF"/>
    <w:rsid w:val="00597153"/>
    <w:rsid w:val="005C627C"/>
    <w:rsid w:val="00621773"/>
    <w:rsid w:val="0062656B"/>
    <w:rsid w:val="00627DF0"/>
    <w:rsid w:val="00642430"/>
    <w:rsid w:val="006B4BE2"/>
    <w:rsid w:val="006B706B"/>
    <w:rsid w:val="006D4CB4"/>
    <w:rsid w:val="006D5ED3"/>
    <w:rsid w:val="0070196C"/>
    <w:rsid w:val="0071126C"/>
    <w:rsid w:val="0072449C"/>
    <w:rsid w:val="007261B7"/>
    <w:rsid w:val="007774D3"/>
    <w:rsid w:val="00786C10"/>
    <w:rsid w:val="007B7B83"/>
    <w:rsid w:val="007F75E5"/>
    <w:rsid w:val="00817AE5"/>
    <w:rsid w:val="00820DC0"/>
    <w:rsid w:val="00842955"/>
    <w:rsid w:val="00846015"/>
    <w:rsid w:val="0085144C"/>
    <w:rsid w:val="0085441F"/>
    <w:rsid w:val="00854451"/>
    <w:rsid w:val="008859B6"/>
    <w:rsid w:val="008B48D0"/>
    <w:rsid w:val="008E525E"/>
    <w:rsid w:val="0091378A"/>
    <w:rsid w:val="00925BF2"/>
    <w:rsid w:val="00926141"/>
    <w:rsid w:val="0093619A"/>
    <w:rsid w:val="00995E65"/>
    <w:rsid w:val="009979CE"/>
    <w:rsid w:val="009C3CDB"/>
    <w:rsid w:val="009F07D6"/>
    <w:rsid w:val="00A01282"/>
    <w:rsid w:val="00A144D9"/>
    <w:rsid w:val="00A448AD"/>
    <w:rsid w:val="00A47BED"/>
    <w:rsid w:val="00A60064"/>
    <w:rsid w:val="00A76A71"/>
    <w:rsid w:val="00AB4B77"/>
    <w:rsid w:val="00AD71CB"/>
    <w:rsid w:val="00AE0D31"/>
    <w:rsid w:val="00AF26C4"/>
    <w:rsid w:val="00AF6E1A"/>
    <w:rsid w:val="00B11C38"/>
    <w:rsid w:val="00B21B1A"/>
    <w:rsid w:val="00B37A4F"/>
    <w:rsid w:val="00B82D85"/>
    <w:rsid w:val="00BF327B"/>
    <w:rsid w:val="00BF5CF7"/>
    <w:rsid w:val="00C00A09"/>
    <w:rsid w:val="00C1392D"/>
    <w:rsid w:val="00C1514B"/>
    <w:rsid w:val="00C169F3"/>
    <w:rsid w:val="00C73E38"/>
    <w:rsid w:val="00C85173"/>
    <w:rsid w:val="00CA1038"/>
    <w:rsid w:val="00CC133C"/>
    <w:rsid w:val="00CD0182"/>
    <w:rsid w:val="00CE374D"/>
    <w:rsid w:val="00D07EFE"/>
    <w:rsid w:val="00DA2310"/>
    <w:rsid w:val="00DB401B"/>
    <w:rsid w:val="00DB5ACC"/>
    <w:rsid w:val="00DC5D1C"/>
    <w:rsid w:val="00DF0B79"/>
    <w:rsid w:val="00DF1E2F"/>
    <w:rsid w:val="00E0362F"/>
    <w:rsid w:val="00E12975"/>
    <w:rsid w:val="00E740D9"/>
    <w:rsid w:val="00EA7A53"/>
    <w:rsid w:val="00EB0DB4"/>
    <w:rsid w:val="00ED3788"/>
    <w:rsid w:val="00ED6C6B"/>
    <w:rsid w:val="00EF4A3F"/>
    <w:rsid w:val="00F15B01"/>
    <w:rsid w:val="00F227C5"/>
    <w:rsid w:val="00F35D9B"/>
    <w:rsid w:val="00F42A1B"/>
    <w:rsid w:val="00F6039D"/>
    <w:rsid w:val="00F910B0"/>
    <w:rsid w:val="00FA1531"/>
    <w:rsid w:val="00FA1898"/>
    <w:rsid w:val="00FB2693"/>
    <w:rsid w:val="00FF0E95"/>
    <w:rsid w:val="49BD052E"/>
    <w:rsid w:val="539156D3"/>
    <w:rsid w:val="673AA60C"/>
    <w:rsid w:val="775361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973F1"/>
  <w15:chartTrackingRefBased/>
  <w15:docId w15:val="{EF0D1CB7-BC0A-499F-8360-AA8E072E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E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4E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4E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4E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4E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4E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E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E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E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E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4E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E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E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E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E0E"/>
    <w:rPr>
      <w:rFonts w:eastAsiaTheme="majorEastAsia" w:cstheme="majorBidi"/>
      <w:color w:val="272727" w:themeColor="text1" w:themeTint="D8"/>
    </w:rPr>
  </w:style>
  <w:style w:type="paragraph" w:styleId="Title">
    <w:name w:val="Title"/>
    <w:basedOn w:val="Normal"/>
    <w:next w:val="Normal"/>
    <w:link w:val="TitleChar"/>
    <w:uiPriority w:val="10"/>
    <w:qFormat/>
    <w:rsid w:val="00464E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E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E0E"/>
    <w:pPr>
      <w:spacing w:before="160"/>
      <w:jc w:val="center"/>
    </w:pPr>
    <w:rPr>
      <w:i/>
      <w:iCs/>
      <w:color w:val="404040" w:themeColor="text1" w:themeTint="BF"/>
    </w:rPr>
  </w:style>
  <w:style w:type="character" w:customStyle="1" w:styleId="QuoteChar">
    <w:name w:val="Quote Char"/>
    <w:basedOn w:val="DefaultParagraphFont"/>
    <w:link w:val="Quote"/>
    <w:uiPriority w:val="29"/>
    <w:rsid w:val="00464E0E"/>
    <w:rPr>
      <w:i/>
      <w:iCs/>
      <w:color w:val="404040" w:themeColor="text1" w:themeTint="BF"/>
    </w:rPr>
  </w:style>
  <w:style w:type="paragraph" w:styleId="ListParagraph">
    <w:name w:val="List Paragraph"/>
    <w:basedOn w:val="Normal"/>
    <w:uiPriority w:val="34"/>
    <w:qFormat/>
    <w:rsid w:val="00464E0E"/>
    <w:pPr>
      <w:ind w:left="720"/>
      <w:contextualSpacing/>
    </w:pPr>
  </w:style>
  <w:style w:type="character" w:styleId="IntenseEmphasis">
    <w:name w:val="Intense Emphasis"/>
    <w:basedOn w:val="DefaultParagraphFont"/>
    <w:uiPriority w:val="21"/>
    <w:qFormat/>
    <w:rsid w:val="00464E0E"/>
    <w:rPr>
      <w:i/>
      <w:iCs/>
      <w:color w:val="0F4761" w:themeColor="accent1" w:themeShade="BF"/>
    </w:rPr>
  </w:style>
  <w:style w:type="paragraph" w:styleId="IntenseQuote">
    <w:name w:val="Intense Quote"/>
    <w:basedOn w:val="Normal"/>
    <w:next w:val="Normal"/>
    <w:link w:val="IntenseQuoteChar"/>
    <w:uiPriority w:val="30"/>
    <w:qFormat/>
    <w:rsid w:val="00464E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E0E"/>
    <w:rPr>
      <w:i/>
      <w:iCs/>
      <w:color w:val="0F4761" w:themeColor="accent1" w:themeShade="BF"/>
    </w:rPr>
  </w:style>
  <w:style w:type="character" w:styleId="IntenseReference">
    <w:name w:val="Intense Reference"/>
    <w:basedOn w:val="DefaultParagraphFont"/>
    <w:uiPriority w:val="32"/>
    <w:qFormat/>
    <w:rsid w:val="00464E0E"/>
    <w:rPr>
      <w:b/>
      <w:bCs/>
      <w:smallCaps/>
      <w:color w:val="0F4761" w:themeColor="accent1" w:themeShade="BF"/>
      <w:spacing w:val="5"/>
    </w:rPr>
  </w:style>
  <w:style w:type="paragraph" w:styleId="Revision">
    <w:name w:val="Revision"/>
    <w:hidden/>
    <w:uiPriority w:val="99"/>
    <w:semiHidden/>
    <w:rsid w:val="00EF4A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AC49CD0FE52343A30666315C398AC0" ma:contentTypeVersion="16" ma:contentTypeDescription="Create a new document." ma:contentTypeScope="" ma:versionID="0892be15bfdb4e03c98254118eb862b9">
  <xsd:schema xmlns:xsd="http://www.w3.org/2001/XMLSchema" xmlns:xs="http://www.w3.org/2001/XMLSchema" xmlns:p="http://schemas.microsoft.com/office/2006/metadata/properties" xmlns:ns2="3d31e717-b997-493f-b80e-0912cf003a30" xmlns:ns3="b06e9872-2f42-499f-a08c-3d8217aaea34" targetNamespace="http://schemas.microsoft.com/office/2006/metadata/properties" ma:root="true" ma:fieldsID="018cb8a524a23e01febc3a0ff7803405" ns2:_="" ns3:_="">
    <xsd:import namespace="3d31e717-b997-493f-b80e-0912cf003a30"/>
    <xsd:import namespace="b06e9872-2f42-499f-a08c-3d8217aaea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1e717-b997-493f-b80e-0912cf003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6e9872-2f42-499f-a08c-3d8217aaea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1419b9a-795e-418c-8a28-52334d9708a2}" ma:internalName="TaxCatchAll" ma:showField="CatchAllData" ma:web="b06e9872-2f42-499f-a08c-3d8217aae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31e717-b997-493f-b80e-0912cf003a30">
      <Terms xmlns="http://schemas.microsoft.com/office/infopath/2007/PartnerControls"/>
    </lcf76f155ced4ddcb4097134ff3c332f>
    <TaxCatchAll xmlns="b06e9872-2f42-499f-a08c-3d8217aaea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D4FD7-4845-4150-9048-D1AD4210C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1e717-b997-493f-b80e-0912cf003a30"/>
    <ds:schemaRef ds:uri="b06e9872-2f42-499f-a08c-3d8217aae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C3C70-A6DF-4777-85DA-82F71ACDA2CB}">
  <ds:schemaRefs>
    <ds:schemaRef ds:uri="http://schemas.microsoft.com/office/2006/metadata/properties"/>
    <ds:schemaRef ds:uri="http://schemas.microsoft.com/office/infopath/2007/PartnerControls"/>
    <ds:schemaRef ds:uri="3d31e717-b997-493f-b80e-0912cf003a30"/>
    <ds:schemaRef ds:uri="b06e9872-2f42-499f-a08c-3d8217aaea34"/>
  </ds:schemaRefs>
</ds:datastoreItem>
</file>

<file path=customXml/itemProps3.xml><?xml version="1.0" encoding="utf-8"?>
<ds:datastoreItem xmlns:ds="http://schemas.openxmlformats.org/officeDocument/2006/customXml" ds:itemID="{D778BE6C-9967-46DF-81D8-F9AD1A14E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1297</Words>
  <Characters>7160</Characters>
  <Application>Microsoft Office Word</Application>
  <DocSecurity>0</DocSecurity>
  <Lines>130</Lines>
  <Paragraphs>42</Paragraphs>
  <ScaleCrop>false</ScaleCrop>
  <Company>SWRCB</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Rounds, Zachary@Waterboards</dc:creator>
  <cp:keywords/>
  <dc:description/>
  <cp:lastModifiedBy>Rounds, Zachary@Waterboards</cp:lastModifiedBy>
  <cp:revision>136</cp:revision>
  <dcterms:created xsi:type="dcterms:W3CDTF">2024-12-26T16:34:00Z</dcterms:created>
  <dcterms:modified xsi:type="dcterms:W3CDTF">2025-04-21T16:40:00Z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0x010100DFAC49CD0FE52343A30666315C398AC0</vt:lpwstr>
  </property>
  <property fmtid="{D5CDD505-2E9C-101B-9397-08002B2CF9AE}" pid="3" name="MediaServiceImageTags">
    <vt:lpwstr/>
  </property>
</Properties>
</file>