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1B09A" w14:textId="4D7D95AC" w:rsidR="003B6540" w:rsidRPr="00D16EBA" w:rsidRDefault="003B6540" w:rsidP="00722C27">
      <w:pPr>
        <w:pStyle w:val="Heading2"/>
        <w:jc w:val="left"/>
        <w:rPr>
          <w:bCs/>
          <w:color w:val="000000" w:themeColor="text1"/>
          <w:sz w:val="28"/>
        </w:rPr>
      </w:pPr>
      <w:r w:rsidRPr="00D16EBA">
        <w:rPr>
          <w:bCs/>
          <w:color w:val="000000" w:themeColor="text1"/>
          <w:sz w:val="28"/>
        </w:rPr>
        <w:t>Instructions for Tier 2 Stage 1 DBPR DBP Precursor Treatment Notice Template</w:t>
      </w:r>
    </w:p>
    <w:p w14:paraId="03D85238" w14:textId="094354C3" w:rsidR="001F153F" w:rsidRPr="00D16EBA" w:rsidRDefault="001F153F" w:rsidP="00722C27">
      <w:pPr>
        <w:pStyle w:val="Heading2"/>
        <w:jc w:val="left"/>
        <w:rPr>
          <w:bCs/>
          <w:color w:val="000000" w:themeColor="text1"/>
          <w:sz w:val="28"/>
        </w:rPr>
      </w:pPr>
      <w:r w:rsidRPr="00D16EBA">
        <w:rPr>
          <w:bCs/>
          <w:color w:val="000000" w:themeColor="text1"/>
          <w:sz w:val="28"/>
        </w:rPr>
        <w:t>Template Attached</w:t>
      </w:r>
    </w:p>
    <w:p w14:paraId="1CD6F321" w14:textId="5619F6C0" w:rsidR="001F153F" w:rsidRPr="00D16EBA" w:rsidRDefault="001F153F" w:rsidP="00722C27">
      <w:pPr>
        <w:spacing w:after="240"/>
        <w:rPr>
          <w:rFonts w:ascii="Arial" w:hAnsi="Arial" w:cs="Arial"/>
        </w:rPr>
      </w:pPr>
      <w:r w:rsidRPr="00D16EBA">
        <w:rPr>
          <w:rFonts w:ascii="Arial" w:hAnsi="Arial" w:cs="Arial"/>
        </w:rPr>
        <w:t>Since disinfection byproduct (DBP) precursor treatment technique violations are included in Tier 2, you must provide public notice to persons served as soon as practical but within 30 days after you learn of the violation [</w:t>
      </w:r>
      <w:r w:rsidR="00CD69D5" w:rsidRPr="00D16EBA">
        <w:rPr>
          <w:rFonts w:ascii="Arial" w:hAnsi="Arial" w:cs="Arial"/>
        </w:rPr>
        <w:t xml:space="preserve">per </w:t>
      </w:r>
      <w:r w:rsidRPr="00D16EBA">
        <w:rPr>
          <w:rFonts w:ascii="Arial" w:hAnsi="Arial" w:cs="Arial"/>
        </w:rPr>
        <w:t>California Code of Regulations, Title 22, Chapter 15, Section 64463.4(b)].  Some disinfection problems may be serious.</w:t>
      </w:r>
      <w:r w:rsidRPr="00D16EBA">
        <w:rPr>
          <w:rFonts w:ascii="Arial" w:hAnsi="Arial" w:cs="Arial"/>
          <w:b/>
          <w:bCs/>
        </w:rPr>
        <w:t xml:space="preserve">  Each water system required to give public notice must submit the notice to the </w:t>
      </w:r>
      <w:r w:rsidR="00E9409E" w:rsidRPr="00D16EBA">
        <w:rPr>
          <w:rFonts w:ascii="Arial" w:hAnsi="Arial" w:cs="Arial"/>
          <w:b/>
          <w:bCs/>
        </w:rPr>
        <w:t>State Water Resources Control Board, Division of Drinking Water (DDW)</w:t>
      </w:r>
      <w:r w:rsidRPr="00D16EBA">
        <w:rPr>
          <w:rFonts w:ascii="Arial" w:hAnsi="Arial" w:cs="Arial"/>
          <w:b/>
          <w:bCs/>
        </w:rPr>
        <w:t xml:space="preserve"> for approval prior to distribution or posting, unless otherwise directed by the </w:t>
      </w:r>
      <w:r w:rsidR="00E9409E" w:rsidRPr="00D16EBA">
        <w:rPr>
          <w:rFonts w:ascii="Arial" w:hAnsi="Arial" w:cs="Arial"/>
          <w:b/>
          <w:bCs/>
        </w:rPr>
        <w:t>DDW</w:t>
      </w:r>
      <w:r w:rsidRPr="00D16EBA">
        <w:rPr>
          <w:rFonts w:ascii="Arial" w:hAnsi="Arial" w:cs="Arial"/>
          <w:b/>
          <w:bCs/>
        </w:rPr>
        <w:t xml:space="preserve"> [</w:t>
      </w:r>
      <w:r w:rsidR="00CD69D5" w:rsidRPr="00D16EBA">
        <w:rPr>
          <w:rFonts w:ascii="Arial" w:hAnsi="Arial" w:cs="Arial"/>
          <w:b/>
          <w:bCs/>
        </w:rPr>
        <w:t xml:space="preserve">per California Code of Regulations, Title 22, Section </w:t>
      </w:r>
      <w:r w:rsidRPr="00D16EBA">
        <w:rPr>
          <w:rFonts w:ascii="Arial" w:hAnsi="Arial" w:cs="Arial"/>
          <w:b/>
          <w:bCs/>
        </w:rPr>
        <w:t>64463(b)].</w:t>
      </w:r>
    </w:p>
    <w:p w14:paraId="7D3A0915" w14:textId="77777777" w:rsidR="001F153F" w:rsidRPr="00D16EBA" w:rsidRDefault="001F153F" w:rsidP="00722C27">
      <w:pPr>
        <w:pStyle w:val="Heading3"/>
      </w:pPr>
      <w:r w:rsidRPr="00D16EBA">
        <w:t>Notification Methods</w:t>
      </w:r>
    </w:p>
    <w:p w14:paraId="367B7180" w14:textId="652EDBE0" w:rsidR="001F153F" w:rsidRPr="00D16EBA" w:rsidRDefault="001F153F" w:rsidP="00722C27">
      <w:pPr>
        <w:spacing w:after="240"/>
        <w:rPr>
          <w:rFonts w:ascii="Arial" w:hAnsi="Arial" w:cs="Arial"/>
          <w:color w:val="000000" w:themeColor="text1"/>
        </w:rPr>
      </w:pPr>
      <w:r w:rsidRPr="00D16EBA">
        <w:rPr>
          <w:rFonts w:ascii="Arial" w:hAnsi="Arial" w:cs="Arial"/>
          <w:color w:val="000000" w:themeColor="text1"/>
        </w:rPr>
        <w:t>You must use the methods summarized below to deliver the notice to consumers.  If you mail, post, or hand deliver, print your notice on letterhead, if available.</w:t>
      </w:r>
    </w:p>
    <w:p w14:paraId="29744BFF" w14:textId="539DF74E" w:rsidR="00393109" w:rsidRPr="00D16EBA" w:rsidRDefault="00393109" w:rsidP="00722C27">
      <w:pPr>
        <w:spacing w:after="240"/>
        <w:rPr>
          <w:rFonts w:ascii="Arial" w:hAnsi="Arial" w:cs="Arial"/>
          <w:color w:val="000000" w:themeColor="text1"/>
        </w:rPr>
      </w:pPr>
      <w:r w:rsidRPr="00D16EBA">
        <w:rPr>
          <w:rFonts w:ascii="Arial" w:hAnsi="Arial" w:cs="Arial"/>
          <w:b/>
          <w:bCs/>
        </w:rPr>
        <w:t>Community Water Systems</w:t>
      </w:r>
      <w:r w:rsidRPr="00D16EBA">
        <w:rPr>
          <w:rFonts w:ascii="Arial" w:hAnsi="Arial" w:cs="Arial"/>
        </w:rPr>
        <w:t xml:space="preserve"> must use the primary method below and one or more secondary methods to reach persons not likely to be reached by the primary method. </w:t>
      </w:r>
    </w:p>
    <w:p w14:paraId="6D9434E0" w14:textId="77777777" w:rsidR="00393109" w:rsidRPr="00D16EBA" w:rsidRDefault="00393109" w:rsidP="00722C27">
      <w:pPr>
        <w:pStyle w:val="Heading4"/>
        <w:rPr>
          <w:u w:val="none"/>
        </w:rPr>
      </w:pPr>
      <w:r w:rsidRPr="00D16EBA">
        <w:rPr>
          <w:u w:val="none"/>
        </w:rPr>
        <w:t>Primary Method</w:t>
      </w:r>
    </w:p>
    <w:p w14:paraId="4A990FDE" w14:textId="331EC46F" w:rsidR="00CD69D5" w:rsidRPr="00D16EBA" w:rsidRDefault="007B1373" w:rsidP="00722C27">
      <w:pPr>
        <w:pStyle w:val="ListParagraph"/>
        <w:numPr>
          <w:ilvl w:val="0"/>
          <w:numId w:val="15"/>
        </w:numPr>
        <w:spacing w:before="120" w:after="240"/>
        <w:rPr>
          <w:rFonts w:ascii="Arial" w:hAnsi="Arial" w:cs="Arial"/>
          <w:color w:val="000000" w:themeColor="text1"/>
        </w:rPr>
      </w:pPr>
      <w:r w:rsidRPr="00D16EBA">
        <w:rPr>
          <w:rFonts w:ascii="Arial" w:hAnsi="Arial" w:cs="Arial"/>
          <w:color w:val="000000" w:themeColor="text1"/>
        </w:rPr>
        <w:t>Mail or direct delivery. Notice must be distributed to each customer receiving a bill including those that provide their drinking water to others (for example schools or school systems, apartment building owners, or large private employers), and other service connections to which water is delivered by the water system.</w:t>
      </w:r>
    </w:p>
    <w:p w14:paraId="1FF5BCF2" w14:textId="77777777" w:rsidR="007B1373" w:rsidRPr="00D16EBA" w:rsidRDefault="007B1373" w:rsidP="00722C27">
      <w:pPr>
        <w:pStyle w:val="Heading4"/>
        <w:rPr>
          <w:u w:val="none"/>
        </w:rPr>
      </w:pPr>
      <w:r w:rsidRPr="00D16EBA">
        <w:rPr>
          <w:u w:val="none"/>
        </w:rPr>
        <w:t xml:space="preserve">Secondary Methods. </w:t>
      </w:r>
      <w:r w:rsidRPr="00D16EBA">
        <w:rPr>
          <w:color w:val="000000" w:themeColor="text1"/>
          <w:u w:val="none"/>
        </w:rPr>
        <w:t>(Use one or more of the following methods to reach persons not likely to be reached by the primary method)</w:t>
      </w:r>
    </w:p>
    <w:p w14:paraId="15D9627E" w14:textId="3AE8F09D" w:rsidR="00CD69D5" w:rsidRPr="00D16EBA" w:rsidRDefault="007B1373" w:rsidP="00722C27">
      <w:pPr>
        <w:pStyle w:val="ListParagraph"/>
        <w:numPr>
          <w:ilvl w:val="0"/>
          <w:numId w:val="16"/>
        </w:numPr>
        <w:spacing w:after="240"/>
        <w:rPr>
          <w:rFonts w:ascii="Arial" w:hAnsi="Arial" w:cs="Arial"/>
        </w:rPr>
      </w:pPr>
      <w:r w:rsidRPr="00D16EBA">
        <w:rPr>
          <w:rFonts w:ascii="Arial" w:hAnsi="Arial" w:cs="Arial"/>
        </w:rPr>
        <w:t>Publication in a local newspaper</w:t>
      </w:r>
      <w:r w:rsidR="006A1BD2" w:rsidRPr="00D16EBA">
        <w:rPr>
          <w:rFonts w:ascii="Arial" w:hAnsi="Arial" w:cs="Arial"/>
        </w:rPr>
        <w:t>.</w:t>
      </w:r>
    </w:p>
    <w:p w14:paraId="789286B0" w14:textId="1F47BD61" w:rsidR="007B1373" w:rsidRPr="00D16EBA" w:rsidRDefault="007B1373" w:rsidP="00722C27">
      <w:pPr>
        <w:pStyle w:val="ListParagraph"/>
        <w:numPr>
          <w:ilvl w:val="0"/>
          <w:numId w:val="16"/>
        </w:numPr>
        <w:spacing w:after="240"/>
        <w:rPr>
          <w:rFonts w:ascii="Arial" w:hAnsi="Arial" w:cs="Arial"/>
        </w:rPr>
      </w:pPr>
      <w:r w:rsidRPr="00D16EBA">
        <w:rPr>
          <w:rFonts w:ascii="Arial" w:hAnsi="Arial" w:cs="Arial"/>
        </w:rPr>
        <w:t>Posting</w:t>
      </w:r>
      <w:r w:rsidR="006A1BD2" w:rsidRPr="00D16EBA">
        <w:rPr>
          <w:rFonts w:ascii="Arial" w:hAnsi="Arial" w:cs="Arial"/>
        </w:rPr>
        <w:t xml:space="preserve"> </w:t>
      </w:r>
      <w:r w:rsidRPr="00D16EBA">
        <w:rPr>
          <w:rFonts w:ascii="Arial" w:hAnsi="Arial" w:cs="Arial"/>
        </w:rPr>
        <w:t>in conspicuous public places served by the water system or on the Internet. Notice must be posted in place for as long as the violation or occurrence continues, but in no case less than seven days.</w:t>
      </w:r>
    </w:p>
    <w:p w14:paraId="688D3DBB" w14:textId="3CFB34BD" w:rsidR="00CD69D5" w:rsidRPr="00D16EBA" w:rsidRDefault="007B1373" w:rsidP="00722C27">
      <w:pPr>
        <w:pStyle w:val="ListParagraph"/>
        <w:numPr>
          <w:ilvl w:val="0"/>
          <w:numId w:val="16"/>
        </w:numPr>
        <w:spacing w:after="240"/>
        <w:rPr>
          <w:rFonts w:ascii="Arial" w:hAnsi="Arial" w:cs="Arial"/>
        </w:rPr>
      </w:pPr>
      <w:r w:rsidRPr="00D16EBA">
        <w:rPr>
          <w:rFonts w:ascii="Arial" w:hAnsi="Arial" w:cs="Arial"/>
        </w:rPr>
        <w:t>Delivery to community organizations</w:t>
      </w:r>
      <w:r w:rsidR="006A1BD2" w:rsidRPr="00D16EBA">
        <w:rPr>
          <w:rFonts w:ascii="Arial" w:hAnsi="Arial" w:cs="Arial"/>
        </w:rPr>
        <w:t>.</w:t>
      </w:r>
    </w:p>
    <w:p w14:paraId="51688D5B" w14:textId="6DB30CD7" w:rsidR="006A1BD2" w:rsidRPr="00D16EBA" w:rsidRDefault="006A1BD2" w:rsidP="00722C27">
      <w:pPr>
        <w:spacing w:after="240"/>
        <w:rPr>
          <w:rFonts w:ascii="Arial" w:hAnsi="Arial" w:cs="Arial"/>
          <w:color w:val="000000" w:themeColor="text1"/>
        </w:rPr>
      </w:pPr>
      <w:r w:rsidRPr="00D16EBA">
        <w:rPr>
          <w:rFonts w:ascii="Arial" w:hAnsi="Arial" w:cs="Arial"/>
          <w:b/>
          <w:bCs/>
        </w:rPr>
        <w:t>Non-Community Water Systems</w:t>
      </w:r>
      <w:r w:rsidRPr="00D16EBA">
        <w:rPr>
          <w:rFonts w:ascii="Arial" w:hAnsi="Arial" w:cs="Arial"/>
        </w:rPr>
        <w:t xml:space="preserve"> must use the primary method below and one or more secondary methods to reach persons not likely to be reached by the primary method. </w:t>
      </w:r>
    </w:p>
    <w:p w14:paraId="13D8C981" w14:textId="77777777" w:rsidR="006A1BD2" w:rsidRPr="00D16EBA" w:rsidRDefault="006A1BD2" w:rsidP="00722C27">
      <w:pPr>
        <w:pStyle w:val="Heading4"/>
        <w:rPr>
          <w:u w:val="none"/>
        </w:rPr>
      </w:pPr>
      <w:r w:rsidRPr="00D16EBA">
        <w:rPr>
          <w:u w:val="none"/>
        </w:rPr>
        <w:t>Primary Method</w:t>
      </w:r>
    </w:p>
    <w:p w14:paraId="2EF61AC8" w14:textId="0E64D99D" w:rsidR="006A1BD2" w:rsidRPr="00D16EBA" w:rsidRDefault="006A1BD2" w:rsidP="00722C27">
      <w:pPr>
        <w:pStyle w:val="ListParagraph"/>
        <w:numPr>
          <w:ilvl w:val="0"/>
          <w:numId w:val="17"/>
        </w:numPr>
        <w:spacing w:after="240"/>
        <w:rPr>
          <w:rFonts w:ascii="Arial" w:hAnsi="Arial" w:cs="Arial"/>
        </w:rPr>
      </w:pPr>
      <w:r w:rsidRPr="00D16EBA">
        <w:rPr>
          <w:rFonts w:ascii="Arial" w:hAnsi="Arial" w:cs="Arial"/>
        </w:rPr>
        <w:t>Posting in conspicuous locations throughout the area served by the water system. Notice must be posted in place for as long as the violation or occurrence continues, but in no case less than seven days.</w:t>
      </w:r>
    </w:p>
    <w:p w14:paraId="6BF355AF" w14:textId="77777777" w:rsidR="006A1BD2" w:rsidRPr="00D16EBA" w:rsidRDefault="006A1BD2" w:rsidP="00722C27">
      <w:pPr>
        <w:pStyle w:val="Heading4"/>
        <w:rPr>
          <w:u w:val="none"/>
        </w:rPr>
      </w:pPr>
      <w:r w:rsidRPr="00D16EBA">
        <w:rPr>
          <w:u w:val="none"/>
        </w:rPr>
        <w:lastRenderedPageBreak/>
        <w:t xml:space="preserve">Secondary Methods. </w:t>
      </w:r>
      <w:r w:rsidRPr="00D16EBA">
        <w:rPr>
          <w:color w:val="000000" w:themeColor="text1"/>
          <w:u w:val="none"/>
        </w:rPr>
        <w:t>(Use one or more of the following methods to reach persons not likely to be reached by the primary method)</w:t>
      </w:r>
    </w:p>
    <w:p w14:paraId="49C55F23" w14:textId="56FB0B23" w:rsidR="006A1BD2" w:rsidRPr="00D16EBA" w:rsidRDefault="006A1BD2" w:rsidP="00722C27">
      <w:pPr>
        <w:pStyle w:val="ListParagraph"/>
        <w:numPr>
          <w:ilvl w:val="0"/>
          <w:numId w:val="18"/>
        </w:numPr>
        <w:spacing w:after="240"/>
        <w:rPr>
          <w:rFonts w:ascii="Arial" w:hAnsi="Arial" w:cs="Arial"/>
        </w:rPr>
      </w:pPr>
      <w:r w:rsidRPr="00D16EBA">
        <w:rPr>
          <w:rFonts w:ascii="Arial" w:hAnsi="Arial" w:cs="Arial"/>
        </w:rPr>
        <w:t>Publication in a local newspaper or newsletter distributed to customers</w:t>
      </w:r>
      <w:r w:rsidR="008F59E8" w:rsidRPr="00D16EBA">
        <w:rPr>
          <w:rFonts w:ascii="Arial" w:hAnsi="Arial" w:cs="Arial"/>
        </w:rPr>
        <w:t>.</w:t>
      </w:r>
    </w:p>
    <w:p w14:paraId="311265D0" w14:textId="7F75931E" w:rsidR="006A1BD2" w:rsidRPr="00D16EBA" w:rsidRDefault="006A1BD2" w:rsidP="00722C27">
      <w:pPr>
        <w:pStyle w:val="ListParagraph"/>
        <w:numPr>
          <w:ilvl w:val="0"/>
          <w:numId w:val="18"/>
        </w:numPr>
        <w:spacing w:after="240"/>
        <w:rPr>
          <w:rFonts w:ascii="Arial" w:hAnsi="Arial" w:cs="Arial"/>
        </w:rPr>
      </w:pPr>
      <w:r w:rsidRPr="00D16EBA">
        <w:rPr>
          <w:rFonts w:ascii="Arial" w:hAnsi="Arial" w:cs="Arial"/>
        </w:rPr>
        <w:t>Email message to employees or students</w:t>
      </w:r>
      <w:r w:rsidR="008F59E8" w:rsidRPr="00D16EBA">
        <w:rPr>
          <w:rFonts w:ascii="Arial" w:hAnsi="Arial" w:cs="Arial"/>
        </w:rPr>
        <w:t>.</w:t>
      </w:r>
    </w:p>
    <w:p w14:paraId="5859D758" w14:textId="4A5CA853" w:rsidR="006A1BD2" w:rsidRPr="00D16EBA" w:rsidRDefault="006A1BD2" w:rsidP="00722C27">
      <w:pPr>
        <w:pStyle w:val="ListParagraph"/>
        <w:numPr>
          <w:ilvl w:val="0"/>
          <w:numId w:val="18"/>
        </w:numPr>
        <w:spacing w:after="240"/>
        <w:rPr>
          <w:rFonts w:ascii="Arial" w:hAnsi="Arial" w:cs="Arial"/>
        </w:rPr>
      </w:pPr>
      <w:r w:rsidRPr="00D16EBA">
        <w:rPr>
          <w:rFonts w:ascii="Arial" w:hAnsi="Arial" w:cs="Arial"/>
        </w:rPr>
        <w:t>Posting</w:t>
      </w:r>
      <w:r w:rsidR="008F59E8" w:rsidRPr="00D16EBA">
        <w:rPr>
          <w:rFonts w:ascii="Arial" w:hAnsi="Arial" w:cs="Arial"/>
        </w:rPr>
        <w:t xml:space="preserve"> </w:t>
      </w:r>
      <w:r w:rsidRPr="00D16EBA">
        <w:rPr>
          <w:rFonts w:ascii="Arial" w:hAnsi="Arial" w:cs="Arial"/>
        </w:rPr>
        <w:t>on the Internet or intranet</w:t>
      </w:r>
      <w:r w:rsidR="008F59E8" w:rsidRPr="00D16EBA">
        <w:rPr>
          <w:rFonts w:ascii="Arial" w:hAnsi="Arial" w:cs="Arial"/>
        </w:rPr>
        <w:t>. Notice must be posted in place for as long as the violation or occurrence continues, but in no case less than seven days.</w:t>
      </w:r>
    </w:p>
    <w:p w14:paraId="01971F0A" w14:textId="77E5310B" w:rsidR="006A1BD2" w:rsidRPr="00D16EBA" w:rsidRDefault="006A1BD2" w:rsidP="00722C27">
      <w:pPr>
        <w:pStyle w:val="ListParagraph"/>
        <w:numPr>
          <w:ilvl w:val="0"/>
          <w:numId w:val="18"/>
        </w:numPr>
        <w:spacing w:after="240"/>
        <w:rPr>
          <w:rFonts w:ascii="Arial" w:hAnsi="Arial" w:cs="Arial"/>
        </w:rPr>
      </w:pPr>
      <w:r w:rsidRPr="00D16EBA">
        <w:rPr>
          <w:rFonts w:ascii="Arial" w:hAnsi="Arial" w:cs="Arial"/>
        </w:rPr>
        <w:t>Direct delivery to each customer</w:t>
      </w:r>
      <w:r w:rsidR="008F59E8" w:rsidRPr="00D16EBA">
        <w:rPr>
          <w:rFonts w:ascii="Arial" w:hAnsi="Arial" w:cs="Arial"/>
        </w:rPr>
        <w:t>.</w:t>
      </w:r>
    </w:p>
    <w:p w14:paraId="71384BB0" w14:textId="0A80CE26" w:rsidR="001F153F" w:rsidRPr="00D16EBA" w:rsidRDefault="001F153F" w:rsidP="00722C27">
      <w:pPr>
        <w:pStyle w:val="BodyTextIndent2"/>
        <w:ind w:left="0" w:firstLine="0"/>
        <w:jc w:val="left"/>
        <w:rPr>
          <w:color w:val="auto"/>
          <w:sz w:val="24"/>
        </w:rPr>
      </w:pPr>
      <w:r w:rsidRPr="00D16EBA">
        <w:rPr>
          <w:color w:val="auto"/>
          <w:sz w:val="24"/>
        </w:rPr>
        <w:t xml:space="preserve">The notice attached is appropriate for the methods described above. However, you may wish to modify it before using it for posting in public places served by the water system. If you do, you must still include all the required elements and leave </w:t>
      </w:r>
      <w:r w:rsidR="00CD5AFE" w:rsidRPr="00D16EBA">
        <w:rPr>
          <w:color w:val="auto"/>
          <w:sz w:val="24"/>
        </w:rPr>
        <w:t>following</w:t>
      </w:r>
      <w:r w:rsidRPr="00D16EBA">
        <w:rPr>
          <w:color w:val="auto"/>
          <w:sz w:val="24"/>
        </w:rPr>
        <w:t xml:space="preserve"> health effects and notification language </w:t>
      </w:r>
      <w:r w:rsidR="00CD5AFE" w:rsidRPr="00D16EBA">
        <w:rPr>
          <w:color w:val="auto"/>
          <w:sz w:val="24"/>
        </w:rPr>
        <w:t>(</w:t>
      </w:r>
      <w:r w:rsidRPr="00D16EBA">
        <w:rPr>
          <w:i/>
          <w:iCs/>
          <w:color w:val="auto"/>
          <w:sz w:val="24"/>
        </w:rPr>
        <w:t>in italics</w:t>
      </w:r>
      <w:r w:rsidR="00CD5AFE" w:rsidRPr="00D16EBA">
        <w:rPr>
          <w:i/>
          <w:iCs/>
          <w:color w:val="auto"/>
          <w:sz w:val="24"/>
        </w:rPr>
        <w:t>)</w:t>
      </w:r>
      <w:r w:rsidR="00CD5AFE" w:rsidRPr="00D16EBA">
        <w:rPr>
          <w:color w:val="auto"/>
          <w:sz w:val="24"/>
        </w:rPr>
        <w:t xml:space="preserve"> </w:t>
      </w:r>
      <w:r w:rsidRPr="00D16EBA">
        <w:rPr>
          <w:color w:val="auto"/>
          <w:sz w:val="24"/>
        </w:rPr>
        <w:t xml:space="preserve">unchanged.  This language is mandatory </w:t>
      </w:r>
      <w:r w:rsidR="00CD5AFE" w:rsidRPr="00D16EBA">
        <w:rPr>
          <w:color w:val="auto"/>
          <w:sz w:val="24"/>
        </w:rPr>
        <w:t xml:space="preserve">per California Code of Regulations, Title 22, Section </w:t>
      </w:r>
      <w:r w:rsidRPr="00D16EBA">
        <w:rPr>
          <w:color w:val="auto"/>
          <w:sz w:val="24"/>
        </w:rPr>
        <w:t>64465.</w:t>
      </w:r>
    </w:p>
    <w:p w14:paraId="0A713883" w14:textId="774663B8" w:rsidR="00CD5AFE" w:rsidRPr="00D16EBA" w:rsidRDefault="00CD5AFE" w:rsidP="00722C27">
      <w:pPr>
        <w:pStyle w:val="BodyText3"/>
        <w:jc w:val="left"/>
        <w:rPr>
          <w:i/>
          <w:iCs/>
          <w:color w:val="auto"/>
        </w:rPr>
      </w:pPr>
      <w:r w:rsidRPr="00D16EBA">
        <w:rPr>
          <w:color w:val="auto"/>
        </w:rPr>
        <w:t xml:space="preserve">Health effects and notification language: </w:t>
      </w:r>
      <w:r w:rsidRPr="00D16EBA">
        <w:rPr>
          <w:i/>
          <w:iCs/>
          <w:snapToGrid w:val="0"/>
          <w:color w:val="auto"/>
        </w:rPr>
        <w:t xml:space="preserve">Total organic carbon (TOC) has no health effects.  However, total organic carbon provides a medium for the formation of disinfection byproducts.  These byproducts include trihalomethanes (THMs) and </w:t>
      </w:r>
      <w:proofErr w:type="spellStart"/>
      <w:r w:rsidRPr="00D16EBA">
        <w:rPr>
          <w:i/>
          <w:iCs/>
          <w:snapToGrid w:val="0"/>
          <w:color w:val="auto"/>
        </w:rPr>
        <w:t>haloacetic</w:t>
      </w:r>
      <w:proofErr w:type="spellEnd"/>
      <w:r w:rsidRPr="00D16EBA">
        <w:rPr>
          <w:i/>
          <w:iCs/>
          <w:snapToGrid w:val="0"/>
          <w:color w:val="auto"/>
        </w:rPr>
        <w:t xml:space="preserve"> acids (HAAs).  Drinking water containing these byproducts </w:t>
      </w:r>
      <w:proofErr w:type="gramStart"/>
      <w:r w:rsidRPr="00D16EBA">
        <w:rPr>
          <w:i/>
          <w:iCs/>
          <w:snapToGrid w:val="0"/>
          <w:color w:val="auto"/>
        </w:rPr>
        <w:t>in excess of</w:t>
      </w:r>
      <w:proofErr w:type="gramEnd"/>
      <w:r w:rsidRPr="00D16EBA">
        <w:rPr>
          <w:i/>
          <w:iCs/>
          <w:snapToGrid w:val="0"/>
          <w:color w:val="auto"/>
        </w:rPr>
        <w:t xml:space="preserve"> the MCL may lead to adverse health effects, liver or kidney problems, or nervous system effects, and may lead to an increased risk of getting cancer.</w:t>
      </w:r>
    </w:p>
    <w:p w14:paraId="369A2336" w14:textId="4F0C7059" w:rsidR="001F153F" w:rsidRPr="00D16EBA" w:rsidRDefault="001F153F" w:rsidP="00722C27">
      <w:pPr>
        <w:pStyle w:val="Heading3"/>
      </w:pPr>
      <w:r w:rsidRPr="00D16EBA">
        <w:t>Multilingual Requirement</w:t>
      </w:r>
    </w:p>
    <w:p w14:paraId="524596FF" w14:textId="77777777" w:rsidR="00E9409E" w:rsidRPr="00D16EBA" w:rsidRDefault="00E9409E" w:rsidP="00722C27">
      <w:pPr>
        <w:spacing w:after="240"/>
        <w:rPr>
          <w:rFonts w:ascii="Arial" w:hAnsi="Arial" w:cs="Arial"/>
        </w:rPr>
      </w:pPr>
      <w:r w:rsidRPr="00D16EBA">
        <w:rPr>
          <w:rFonts w:ascii="Arial" w:hAnsi="Arial" w:cs="Arial"/>
        </w:rPr>
        <w:t>The notice must (1) be provided in English, Spanish, and the language spoken by any non-English-speaking group exceeding 10 percent of the persons served by the water system and (2) include a telephone number or address where such individuals may contact the water system for assistance.</w:t>
      </w:r>
    </w:p>
    <w:p w14:paraId="52BEA04F" w14:textId="77777777" w:rsidR="00E9409E" w:rsidRPr="00D16EBA" w:rsidRDefault="00E9409E" w:rsidP="00722C27">
      <w:pPr>
        <w:spacing w:after="240"/>
        <w:rPr>
          <w:rFonts w:ascii="Arial" w:hAnsi="Arial" w:cs="Arial"/>
        </w:rPr>
      </w:pPr>
      <w:r w:rsidRPr="00D16EBA">
        <w:rPr>
          <w:rFonts w:ascii="Arial" w:hAnsi="Arial" w:cs="Arial"/>
        </w:rPr>
        <w:t>If any non-English-speaking group exceeds 1,000 persons served by the water system, but does not exceed 10 percent served, the notice must (1) include information in the appropriate language(s) regarding the importance of the notice and (2) contain the telephone number or address where such individuals may contact the water system to obtain a translated copy of the notice from the water system or assistance in the appropriate language.</w:t>
      </w:r>
    </w:p>
    <w:p w14:paraId="7618D136" w14:textId="77777777" w:rsidR="001F153F" w:rsidRPr="00D16EBA" w:rsidRDefault="001F153F" w:rsidP="00722C27">
      <w:pPr>
        <w:pStyle w:val="Heading3"/>
        <w:keepNext w:val="0"/>
        <w:rPr>
          <w:color w:val="auto"/>
        </w:rPr>
      </w:pPr>
      <w:r w:rsidRPr="00D16EBA">
        <w:rPr>
          <w:color w:val="auto"/>
        </w:rPr>
        <w:t>Population Served</w:t>
      </w:r>
    </w:p>
    <w:p w14:paraId="311EEEA4" w14:textId="2836EF32" w:rsidR="001F153F" w:rsidRPr="00D16EBA" w:rsidRDefault="001F153F" w:rsidP="00722C27">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rPr>
      </w:pPr>
      <w:r w:rsidRPr="00D16EBA">
        <w:rPr>
          <w:rFonts w:ascii="Arial" w:hAnsi="Arial" w:cs="Arial"/>
        </w:rPr>
        <w:t>Make sure it is clear who is served by your water system</w:t>
      </w:r>
      <w:r w:rsidR="00CD5AFE" w:rsidRPr="00D16EBA">
        <w:rPr>
          <w:rFonts w:ascii="Arial" w:hAnsi="Arial" w:cs="Arial"/>
        </w:rPr>
        <w:t xml:space="preserve">, </w:t>
      </w:r>
      <w:r w:rsidRPr="00D16EBA">
        <w:rPr>
          <w:rFonts w:ascii="Arial" w:hAnsi="Arial" w:cs="Arial"/>
        </w:rPr>
        <w:t>you may need to list the areas you serve.</w:t>
      </w:r>
    </w:p>
    <w:p w14:paraId="0AB5E452" w14:textId="77777777" w:rsidR="001F153F" w:rsidRPr="00D16EBA" w:rsidRDefault="001F153F" w:rsidP="00722C27">
      <w:pPr>
        <w:pStyle w:val="Heading3"/>
        <w:rPr>
          <w:bCs w:val="0"/>
          <w:color w:val="auto"/>
        </w:rPr>
      </w:pPr>
      <w:r w:rsidRPr="00D16EBA">
        <w:rPr>
          <w:bCs w:val="0"/>
          <w:color w:val="auto"/>
        </w:rPr>
        <w:t>Description of the Violation</w:t>
      </w:r>
    </w:p>
    <w:p w14:paraId="7F04CFFD" w14:textId="77777777" w:rsidR="001F153F" w:rsidRPr="00D16EBA" w:rsidRDefault="001F153F" w:rsidP="00722C27">
      <w:pPr>
        <w:spacing w:after="240"/>
        <w:rPr>
          <w:rFonts w:ascii="Arial" w:hAnsi="Arial" w:cs="Arial"/>
        </w:rPr>
      </w:pPr>
      <w:r w:rsidRPr="00D16EBA">
        <w:rPr>
          <w:rFonts w:ascii="Arial" w:hAnsi="Arial" w:cs="Arial"/>
        </w:rPr>
        <w:t>Choose from the following descriptions of violations and modify to fit your situation.</w:t>
      </w:r>
    </w:p>
    <w:p w14:paraId="76AC1192" w14:textId="38D7C483" w:rsidR="001F153F" w:rsidRPr="00D16EBA" w:rsidRDefault="001F153F" w:rsidP="00722C27">
      <w:pPr>
        <w:numPr>
          <w:ilvl w:val="0"/>
          <w:numId w:val="2"/>
        </w:numPr>
        <w:spacing w:after="240"/>
        <w:rPr>
          <w:rFonts w:ascii="Arial" w:hAnsi="Arial" w:cs="Arial"/>
        </w:rPr>
      </w:pPr>
      <w:r w:rsidRPr="00D16EBA">
        <w:rPr>
          <w:rFonts w:ascii="Arial" w:hAnsi="Arial" w:cs="Arial"/>
          <w:i/>
          <w:u w:val="single"/>
        </w:rPr>
        <w:t>Step 1 (or Step 2) TOC Removal</w:t>
      </w:r>
      <w:r w:rsidRPr="00D16EBA">
        <w:rPr>
          <w:rFonts w:ascii="Arial" w:hAnsi="Arial" w:cs="Arial"/>
        </w:rPr>
        <w:t xml:space="preserve"> – “We routinely monitor for Total Organic Carbon (TOC) in our source and treated water and alkalinity in our source water.  This information tells us whether we are effectively removing disinfection </w:t>
      </w:r>
      <w:r w:rsidRPr="00D16EBA">
        <w:rPr>
          <w:rFonts w:ascii="Arial" w:hAnsi="Arial" w:cs="Arial"/>
        </w:rPr>
        <w:lastRenderedPageBreak/>
        <w:t xml:space="preserve">byproduct (DBP) precursors from the water supply.  During the past 12 months, we achieved </w:t>
      </w:r>
      <w:r w:rsidRPr="00D16EBA">
        <w:rPr>
          <w:rFonts w:ascii="Arial" w:hAnsi="Arial" w:cs="Arial"/>
          <w:color w:val="0000FF"/>
        </w:rPr>
        <w:t>[</w:t>
      </w:r>
      <w:r w:rsidR="00BC2EE2" w:rsidRPr="00D16EBA">
        <w:rPr>
          <w:rFonts w:ascii="Arial" w:hAnsi="Arial" w:cs="Arial"/>
          <w:color w:val="0000FF"/>
        </w:rPr>
        <w:t>insert a range</w:t>
      </w:r>
      <w:r w:rsidR="00D92CE3" w:rsidRPr="00D16EBA">
        <w:rPr>
          <w:rFonts w:ascii="Arial" w:hAnsi="Arial" w:cs="Arial"/>
          <w:color w:val="0000FF"/>
        </w:rPr>
        <w:t xml:space="preserve"> of TOC removal: low</w:t>
      </w:r>
      <w:r w:rsidR="00BC2EE2" w:rsidRPr="00D16EBA">
        <w:rPr>
          <w:rFonts w:ascii="Arial" w:hAnsi="Arial" w:cs="Arial"/>
          <w:color w:val="0000FF"/>
        </w:rPr>
        <w:t xml:space="preserve"> </w:t>
      </w:r>
      <w:r w:rsidRPr="00D16EBA">
        <w:rPr>
          <w:rFonts w:ascii="Arial" w:hAnsi="Arial" w:cs="Arial"/>
          <w:color w:val="0000FF"/>
        </w:rPr>
        <w:t xml:space="preserve">number – </w:t>
      </w:r>
      <w:r w:rsidR="00D92CE3" w:rsidRPr="00D16EBA">
        <w:rPr>
          <w:rFonts w:ascii="Arial" w:hAnsi="Arial" w:cs="Arial"/>
          <w:color w:val="0000FF"/>
        </w:rPr>
        <w:t xml:space="preserve">high </w:t>
      </w:r>
      <w:r w:rsidRPr="00D16EBA">
        <w:rPr>
          <w:rFonts w:ascii="Arial" w:hAnsi="Arial" w:cs="Arial"/>
          <w:color w:val="0000FF"/>
        </w:rPr>
        <w:t>number]</w:t>
      </w:r>
      <w:r w:rsidRPr="00D16EBA">
        <w:rPr>
          <w:rFonts w:ascii="Arial" w:hAnsi="Arial" w:cs="Arial"/>
        </w:rPr>
        <w:t xml:space="preserve">% removal of TOC and were required to achieve </w:t>
      </w:r>
      <w:r w:rsidRPr="00D16EBA">
        <w:rPr>
          <w:rFonts w:ascii="Arial" w:hAnsi="Arial" w:cs="Arial"/>
          <w:color w:val="0000FF"/>
        </w:rPr>
        <w:t>[</w:t>
      </w:r>
      <w:r w:rsidR="00D92CE3" w:rsidRPr="00D16EBA">
        <w:rPr>
          <w:rFonts w:ascii="Arial" w:hAnsi="Arial" w:cs="Arial"/>
          <w:color w:val="0000FF"/>
        </w:rPr>
        <w:t xml:space="preserve">insert a range of required TOC removal: </w:t>
      </w:r>
      <w:r w:rsidRPr="00D16EBA">
        <w:rPr>
          <w:rFonts w:ascii="Arial" w:hAnsi="Arial" w:cs="Arial"/>
          <w:color w:val="0000FF"/>
        </w:rPr>
        <w:t>number – number]</w:t>
      </w:r>
      <w:r w:rsidRPr="00D16EBA">
        <w:rPr>
          <w:rFonts w:ascii="Arial" w:hAnsi="Arial" w:cs="Arial"/>
        </w:rPr>
        <w:t>% removal of TOC.  As we did not achieve the required removal of TOC, as an average over the past 12 months, we did not demonstrate effective DBP precursor removal.”</w:t>
      </w:r>
    </w:p>
    <w:p w14:paraId="422B0733" w14:textId="41D14C56" w:rsidR="001F153F" w:rsidRPr="00D16EBA" w:rsidRDefault="001F153F" w:rsidP="00722C27">
      <w:pPr>
        <w:numPr>
          <w:ilvl w:val="0"/>
          <w:numId w:val="2"/>
        </w:numPr>
        <w:spacing w:after="240"/>
        <w:rPr>
          <w:rFonts w:ascii="Arial" w:hAnsi="Arial" w:cs="Arial"/>
          <w:i/>
          <w:u w:val="single"/>
        </w:rPr>
      </w:pPr>
      <w:r w:rsidRPr="00D16EBA">
        <w:rPr>
          <w:rFonts w:ascii="Arial" w:hAnsi="Arial" w:cs="Arial"/>
          <w:i/>
          <w:u w:val="single"/>
        </w:rPr>
        <w:t>Alternative Compliance Criteria</w:t>
      </w:r>
      <w:r w:rsidR="00722C27" w:rsidRPr="00D16EBA">
        <w:rPr>
          <w:rFonts w:ascii="Arial" w:hAnsi="Arial" w:cs="Arial"/>
        </w:rPr>
        <w:t xml:space="preserve"> (Suggested language for systems that practice softening is not provided as there are no systems in California that practice softening).</w:t>
      </w:r>
    </w:p>
    <w:p w14:paraId="07BFFE6E" w14:textId="7FC67500" w:rsidR="001F153F" w:rsidRPr="00D16EBA" w:rsidRDefault="001F153F" w:rsidP="00722C27">
      <w:pPr>
        <w:numPr>
          <w:ilvl w:val="0"/>
          <w:numId w:val="13"/>
        </w:numPr>
        <w:tabs>
          <w:tab w:val="clear" w:pos="720"/>
          <w:tab w:val="num" w:pos="1080"/>
        </w:tabs>
        <w:spacing w:after="240"/>
        <w:ind w:left="1080"/>
        <w:rPr>
          <w:rFonts w:ascii="Arial" w:hAnsi="Arial" w:cs="Arial"/>
        </w:rPr>
      </w:pPr>
      <w:r w:rsidRPr="00D16EBA">
        <w:rPr>
          <w:rFonts w:ascii="Arial" w:hAnsi="Arial" w:cs="Arial"/>
          <w:i/>
          <w:u w:val="single"/>
        </w:rPr>
        <w:t>Source Water TOC</w:t>
      </w:r>
      <w:r w:rsidRPr="00D16EBA">
        <w:rPr>
          <w:rFonts w:ascii="Arial" w:hAnsi="Arial" w:cs="Arial"/>
        </w:rPr>
        <w:t xml:space="preserve"> – “We routinely monitor for Total Organic Carbon (TOC) in our source water.  This measurement </w:t>
      </w:r>
      <w:proofErr w:type="gramStart"/>
      <w:r w:rsidRPr="00D16EBA">
        <w:rPr>
          <w:rFonts w:ascii="Arial" w:hAnsi="Arial" w:cs="Arial"/>
        </w:rPr>
        <w:t>tell</w:t>
      </w:r>
      <w:proofErr w:type="gramEnd"/>
      <w:r w:rsidRPr="00D16EBA">
        <w:rPr>
          <w:rFonts w:ascii="Arial" w:hAnsi="Arial" w:cs="Arial"/>
        </w:rPr>
        <w:t xml:space="preserve"> us whether the natural organic matter in our source water is low enough so that no further treatment is needed to remove disinfection byproduct (DBP) precursors from the water supply.  During the past 12 months, our source water TOC varied from </w:t>
      </w:r>
      <w:r w:rsidRPr="00D16EBA">
        <w:rPr>
          <w:rFonts w:ascii="Arial" w:hAnsi="Arial" w:cs="Arial"/>
          <w:color w:val="0000FF"/>
        </w:rPr>
        <w:t>[</w:t>
      </w:r>
      <w:r w:rsidR="00722C27" w:rsidRPr="00D16EBA">
        <w:rPr>
          <w:rFonts w:ascii="Arial" w:hAnsi="Arial" w:cs="Arial"/>
          <w:color w:val="0000FF"/>
        </w:rPr>
        <w:t xml:space="preserve">insert the lowest TOC </w:t>
      </w:r>
      <w:r w:rsidRPr="00D16EBA">
        <w:rPr>
          <w:rFonts w:ascii="Arial" w:hAnsi="Arial" w:cs="Arial"/>
          <w:color w:val="0000FF"/>
        </w:rPr>
        <w:t xml:space="preserve">number – </w:t>
      </w:r>
      <w:r w:rsidR="00722C27" w:rsidRPr="00D16EBA">
        <w:rPr>
          <w:rFonts w:ascii="Arial" w:hAnsi="Arial" w:cs="Arial"/>
          <w:color w:val="0000FF"/>
        </w:rPr>
        <w:t xml:space="preserve">highest TOC </w:t>
      </w:r>
      <w:r w:rsidRPr="00D16EBA">
        <w:rPr>
          <w:rFonts w:ascii="Arial" w:hAnsi="Arial" w:cs="Arial"/>
          <w:color w:val="0000FF"/>
        </w:rPr>
        <w:t>number</w:t>
      </w:r>
      <w:r w:rsidR="00722C27" w:rsidRPr="00D16EBA">
        <w:rPr>
          <w:rFonts w:ascii="Arial" w:hAnsi="Arial" w:cs="Arial"/>
          <w:color w:val="0000FF"/>
        </w:rPr>
        <w:t xml:space="preserve"> from the past 12 months</w:t>
      </w:r>
      <w:r w:rsidRPr="00D16EBA">
        <w:rPr>
          <w:rFonts w:ascii="Arial" w:hAnsi="Arial" w:cs="Arial"/>
          <w:color w:val="0000FF"/>
        </w:rPr>
        <w:t xml:space="preserve">] </w:t>
      </w:r>
      <w:r w:rsidRPr="00D16EBA">
        <w:rPr>
          <w:rFonts w:ascii="Arial" w:hAnsi="Arial" w:cs="Arial"/>
        </w:rPr>
        <w:t xml:space="preserve">mg/L and resulted in an annual average of </w:t>
      </w:r>
      <w:r w:rsidRPr="00D16EBA">
        <w:rPr>
          <w:rFonts w:ascii="Arial" w:hAnsi="Arial" w:cs="Arial"/>
          <w:color w:val="0000FF"/>
        </w:rPr>
        <w:t>[</w:t>
      </w:r>
      <w:r w:rsidR="00722C27" w:rsidRPr="00D16EBA">
        <w:rPr>
          <w:rFonts w:ascii="Arial" w:hAnsi="Arial" w:cs="Arial"/>
          <w:color w:val="0000FF"/>
        </w:rPr>
        <w:t xml:space="preserve">insert the TOC average </w:t>
      </w:r>
      <w:r w:rsidRPr="00D16EBA">
        <w:rPr>
          <w:rFonts w:ascii="Arial" w:hAnsi="Arial" w:cs="Arial"/>
          <w:color w:val="0000FF"/>
        </w:rPr>
        <w:t>number</w:t>
      </w:r>
      <w:r w:rsidR="00722C27" w:rsidRPr="00D16EBA">
        <w:rPr>
          <w:rFonts w:ascii="Arial" w:hAnsi="Arial" w:cs="Arial"/>
          <w:color w:val="0000FF"/>
        </w:rPr>
        <w:t xml:space="preserve"> from the past 12 months</w:t>
      </w:r>
      <w:r w:rsidRPr="00D16EBA">
        <w:rPr>
          <w:rFonts w:ascii="Arial" w:hAnsi="Arial" w:cs="Arial"/>
          <w:color w:val="0000FF"/>
        </w:rPr>
        <w:t xml:space="preserve">] </w:t>
      </w:r>
      <w:r w:rsidRPr="00D16EBA">
        <w:rPr>
          <w:rFonts w:ascii="Arial" w:hAnsi="Arial" w:cs="Arial"/>
        </w:rPr>
        <w:t>mg/L.  The standard is that the source water TOC level must be less than 2.0 mg/L.</w:t>
      </w:r>
      <w:r w:rsidR="00BF00D4" w:rsidRPr="00D16EBA">
        <w:rPr>
          <w:rFonts w:ascii="Arial" w:hAnsi="Arial" w:cs="Arial"/>
        </w:rPr>
        <w:t>”</w:t>
      </w:r>
    </w:p>
    <w:p w14:paraId="6B907FB3" w14:textId="71DD297F" w:rsidR="001F153F" w:rsidRPr="00D16EBA" w:rsidRDefault="001F153F" w:rsidP="00722C27">
      <w:pPr>
        <w:numPr>
          <w:ilvl w:val="0"/>
          <w:numId w:val="13"/>
        </w:numPr>
        <w:tabs>
          <w:tab w:val="clear" w:pos="720"/>
          <w:tab w:val="num" w:pos="1080"/>
        </w:tabs>
        <w:spacing w:after="240"/>
        <w:ind w:left="1080"/>
        <w:rPr>
          <w:rFonts w:ascii="Arial" w:hAnsi="Arial" w:cs="Arial"/>
        </w:rPr>
      </w:pPr>
      <w:r w:rsidRPr="00D16EBA">
        <w:rPr>
          <w:rFonts w:ascii="Arial" w:hAnsi="Arial" w:cs="Arial"/>
          <w:i/>
          <w:u w:val="single"/>
        </w:rPr>
        <w:t>Treated Water TOC</w:t>
      </w:r>
      <w:r w:rsidRPr="00D16EBA">
        <w:rPr>
          <w:rFonts w:ascii="Arial" w:hAnsi="Arial" w:cs="Arial"/>
        </w:rPr>
        <w:t xml:space="preserve"> – “We routinely monitor for Total Organic Carbon (TOC) in our treated water.  This measurement </w:t>
      </w:r>
      <w:proofErr w:type="gramStart"/>
      <w:r w:rsidRPr="00D16EBA">
        <w:rPr>
          <w:rFonts w:ascii="Arial" w:hAnsi="Arial" w:cs="Arial"/>
        </w:rPr>
        <w:t>tell</w:t>
      </w:r>
      <w:proofErr w:type="gramEnd"/>
      <w:r w:rsidRPr="00D16EBA">
        <w:rPr>
          <w:rFonts w:ascii="Arial" w:hAnsi="Arial" w:cs="Arial"/>
        </w:rPr>
        <w:t xml:space="preserve"> us whether we are effectively removing disinfection byproduct (DBP) precursors from the water supply.  During the past 12 months, our treated water TOC varied from </w:t>
      </w:r>
      <w:r w:rsidRPr="00D16EBA">
        <w:rPr>
          <w:rFonts w:ascii="Arial" w:hAnsi="Arial" w:cs="Arial"/>
          <w:color w:val="0000FF"/>
        </w:rPr>
        <w:t>[</w:t>
      </w:r>
      <w:r w:rsidR="00722C27" w:rsidRPr="00D16EBA">
        <w:rPr>
          <w:rFonts w:ascii="Arial" w:hAnsi="Arial" w:cs="Arial"/>
          <w:color w:val="0000FF"/>
        </w:rPr>
        <w:t xml:space="preserve">insert the lowest TOC </w:t>
      </w:r>
      <w:r w:rsidRPr="00D16EBA">
        <w:rPr>
          <w:rFonts w:ascii="Arial" w:hAnsi="Arial" w:cs="Arial"/>
          <w:color w:val="0000FF"/>
        </w:rPr>
        <w:t xml:space="preserve">number – </w:t>
      </w:r>
      <w:r w:rsidR="00722C27" w:rsidRPr="00D16EBA">
        <w:rPr>
          <w:rFonts w:ascii="Arial" w:hAnsi="Arial" w:cs="Arial"/>
          <w:color w:val="0000FF"/>
        </w:rPr>
        <w:t xml:space="preserve">highest TOC </w:t>
      </w:r>
      <w:r w:rsidRPr="00D16EBA">
        <w:rPr>
          <w:rFonts w:ascii="Arial" w:hAnsi="Arial" w:cs="Arial"/>
          <w:color w:val="0000FF"/>
        </w:rPr>
        <w:t>number</w:t>
      </w:r>
      <w:r w:rsidR="00722C27" w:rsidRPr="00D16EBA">
        <w:rPr>
          <w:rFonts w:ascii="Arial" w:hAnsi="Arial" w:cs="Arial"/>
          <w:color w:val="0000FF"/>
        </w:rPr>
        <w:t xml:space="preserve"> from the past 12 months</w:t>
      </w:r>
      <w:r w:rsidRPr="00D16EBA">
        <w:rPr>
          <w:rFonts w:ascii="Arial" w:hAnsi="Arial" w:cs="Arial"/>
          <w:color w:val="0000FF"/>
        </w:rPr>
        <w:t xml:space="preserve">] </w:t>
      </w:r>
      <w:r w:rsidRPr="00D16EBA">
        <w:rPr>
          <w:rFonts w:ascii="Arial" w:hAnsi="Arial" w:cs="Arial"/>
        </w:rPr>
        <w:t xml:space="preserve">mg/L and resulted in an annual average of </w:t>
      </w:r>
      <w:r w:rsidRPr="00D16EBA">
        <w:rPr>
          <w:rFonts w:ascii="Arial" w:hAnsi="Arial" w:cs="Arial"/>
          <w:color w:val="0000FF"/>
        </w:rPr>
        <w:t>[</w:t>
      </w:r>
      <w:r w:rsidR="00722C27" w:rsidRPr="00D16EBA">
        <w:rPr>
          <w:rFonts w:ascii="Arial" w:hAnsi="Arial" w:cs="Arial"/>
          <w:color w:val="0000FF"/>
        </w:rPr>
        <w:t xml:space="preserve">insert the TOC average </w:t>
      </w:r>
      <w:r w:rsidRPr="00D16EBA">
        <w:rPr>
          <w:rFonts w:ascii="Arial" w:hAnsi="Arial" w:cs="Arial"/>
          <w:color w:val="0000FF"/>
        </w:rPr>
        <w:t>number</w:t>
      </w:r>
      <w:r w:rsidR="00722C27" w:rsidRPr="00D16EBA">
        <w:rPr>
          <w:rFonts w:ascii="Arial" w:hAnsi="Arial" w:cs="Arial"/>
          <w:color w:val="0000FF"/>
        </w:rPr>
        <w:t xml:space="preserve"> from the past 12 months</w:t>
      </w:r>
      <w:r w:rsidRPr="00D16EBA">
        <w:rPr>
          <w:rFonts w:ascii="Arial" w:hAnsi="Arial" w:cs="Arial"/>
          <w:color w:val="0000FF"/>
        </w:rPr>
        <w:t xml:space="preserve">] </w:t>
      </w:r>
      <w:r w:rsidRPr="00D16EBA">
        <w:rPr>
          <w:rFonts w:ascii="Arial" w:hAnsi="Arial" w:cs="Arial"/>
        </w:rPr>
        <w:t>mg/L.  The standard is that the treated water TOC level must be less than 2.0 mg/L.</w:t>
      </w:r>
      <w:r w:rsidR="00BF00D4" w:rsidRPr="00D16EBA">
        <w:rPr>
          <w:rFonts w:ascii="Arial" w:hAnsi="Arial" w:cs="Arial"/>
        </w:rPr>
        <w:t>”</w:t>
      </w:r>
    </w:p>
    <w:p w14:paraId="21FB1B09" w14:textId="15C73730" w:rsidR="009F6889" w:rsidRPr="009F6889" w:rsidRDefault="001F153F" w:rsidP="009F6889">
      <w:pPr>
        <w:numPr>
          <w:ilvl w:val="0"/>
          <w:numId w:val="13"/>
        </w:numPr>
        <w:tabs>
          <w:tab w:val="clear" w:pos="720"/>
          <w:tab w:val="num" w:pos="1080"/>
        </w:tabs>
        <w:spacing w:after="240"/>
        <w:ind w:left="1080"/>
        <w:rPr>
          <w:rFonts w:ascii="Arial" w:hAnsi="Arial" w:cs="Arial"/>
        </w:rPr>
      </w:pPr>
      <w:r w:rsidRPr="00D16EBA">
        <w:rPr>
          <w:rFonts w:ascii="Arial" w:hAnsi="Arial" w:cs="Arial"/>
          <w:i/>
          <w:u w:val="single"/>
        </w:rPr>
        <w:t>Source Water TOC, Source Water Alkalinity, and Distribution System TTHM and HAA5</w:t>
      </w:r>
      <w:r w:rsidRPr="00D16EBA">
        <w:rPr>
          <w:rFonts w:ascii="Arial" w:hAnsi="Arial" w:cs="Arial"/>
        </w:rPr>
        <w:t xml:space="preserve"> – “We routinely monitor for Total Organic Carbon (TOC) and alkalinity in our source and total trihalomethanes (TTHM) and </w:t>
      </w:r>
      <w:proofErr w:type="spellStart"/>
      <w:r w:rsidRPr="00D16EBA">
        <w:rPr>
          <w:rFonts w:ascii="Arial" w:hAnsi="Arial" w:cs="Arial"/>
        </w:rPr>
        <w:t>haloacetic</w:t>
      </w:r>
      <w:proofErr w:type="spellEnd"/>
      <w:r w:rsidRPr="00D16EBA">
        <w:rPr>
          <w:rFonts w:ascii="Arial" w:hAnsi="Arial" w:cs="Arial"/>
        </w:rPr>
        <w:t xml:space="preserve"> acids (five) (HAA5) in our distribution system.  These measurements tell us </w:t>
      </w:r>
      <w:proofErr w:type="gramStart"/>
      <w:r w:rsidRPr="00D16EBA">
        <w:rPr>
          <w:rFonts w:ascii="Arial" w:hAnsi="Arial" w:cs="Arial"/>
        </w:rPr>
        <w:t>whether or not</w:t>
      </w:r>
      <w:proofErr w:type="gramEnd"/>
      <w:r w:rsidRPr="00D16EBA">
        <w:rPr>
          <w:rFonts w:ascii="Arial" w:hAnsi="Arial" w:cs="Arial"/>
        </w:rPr>
        <w:t xml:space="preserve"> further treatment is needed to remove disinfection byproduct (DBP) precursors from the water supply.  During the past 12 months, our source and distribution system monitoring had the results shown in the table below.  We met </w:t>
      </w:r>
      <w:r w:rsidRPr="00D16EBA">
        <w:rPr>
          <w:rFonts w:ascii="Arial" w:hAnsi="Arial" w:cs="Arial"/>
          <w:color w:val="0000FF"/>
        </w:rPr>
        <w:t>[</w:t>
      </w:r>
      <w:r w:rsidR="00376139" w:rsidRPr="00D16EBA">
        <w:rPr>
          <w:rFonts w:ascii="Arial" w:hAnsi="Arial" w:cs="Arial"/>
          <w:color w:val="0000FF"/>
        </w:rPr>
        <w:t xml:space="preserve">insert the </w:t>
      </w:r>
      <w:r w:rsidRPr="00D16EBA">
        <w:rPr>
          <w:rFonts w:ascii="Arial" w:hAnsi="Arial" w:cs="Arial"/>
          <w:color w:val="0000FF"/>
        </w:rPr>
        <w:t>number</w:t>
      </w:r>
      <w:r w:rsidR="00860410" w:rsidRPr="00D16EBA">
        <w:rPr>
          <w:rFonts w:ascii="Arial" w:hAnsi="Arial" w:cs="Arial"/>
          <w:color w:val="0000FF"/>
        </w:rPr>
        <w:t xml:space="preserve"> of the</w:t>
      </w:r>
      <w:r w:rsidR="00376139" w:rsidRPr="00D16EBA">
        <w:rPr>
          <w:rFonts w:ascii="Arial" w:hAnsi="Arial" w:cs="Arial"/>
          <w:color w:val="0000FF"/>
        </w:rPr>
        <w:t xml:space="preserve"> monitoring standards</w:t>
      </w:r>
      <w:r w:rsidR="00675ECA" w:rsidRPr="00D16EBA">
        <w:rPr>
          <w:rFonts w:ascii="Arial" w:hAnsi="Arial" w:cs="Arial"/>
          <w:color w:val="0000FF"/>
        </w:rPr>
        <w:t xml:space="preserve"> met,</w:t>
      </w:r>
      <w:r w:rsidR="00860410" w:rsidRPr="00D16EBA">
        <w:rPr>
          <w:rFonts w:ascii="Arial" w:hAnsi="Arial" w:cs="Arial"/>
          <w:color w:val="0000FF"/>
        </w:rPr>
        <w:t xml:space="preserve"> from 1 to 4</w:t>
      </w:r>
      <w:r w:rsidRPr="00D16EBA">
        <w:rPr>
          <w:rFonts w:ascii="Arial" w:hAnsi="Arial" w:cs="Arial"/>
          <w:color w:val="0000FF"/>
        </w:rPr>
        <w:t xml:space="preserve">] </w:t>
      </w:r>
      <w:r w:rsidRPr="00D16EBA">
        <w:rPr>
          <w:rFonts w:ascii="Arial" w:hAnsi="Arial" w:cs="Arial"/>
        </w:rPr>
        <w:t xml:space="preserve">of </w:t>
      </w:r>
      <w:r w:rsidRPr="00D16EBA">
        <w:rPr>
          <w:rFonts w:ascii="Arial" w:hAnsi="Arial" w:cs="Arial"/>
          <w:color w:val="0000FF"/>
        </w:rPr>
        <w:t>[</w:t>
      </w:r>
      <w:r w:rsidR="00860410" w:rsidRPr="00D16EBA">
        <w:rPr>
          <w:rFonts w:ascii="Arial" w:hAnsi="Arial" w:cs="Arial"/>
          <w:color w:val="0000FF"/>
        </w:rPr>
        <w:t xml:space="preserve">insert the </w:t>
      </w:r>
      <w:r w:rsidRPr="00D16EBA">
        <w:rPr>
          <w:rFonts w:ascii="Arial" w:hAnsi="Arial" w:cs="Arial"/>
          <w:color w:val="0000FF"/>
        </w:rPr>
        <w:t>number</w:t>
      </w:r>
      <w:r w:rsidR="00860410" w:rsidRPr="00D16EBA">
        <w:rPr>
          <w:rFonts w:ascii="Arial" w:hAnsi="Arial" w:cs="Arial"/>
          <w:color w:val="0000FF"/>
        </w:rPr>
        <w:t xml:space="preserve"> of standards required to be met</w:t>
      </w:r>
      <w:r w:rsidR="00675ECA" w:rsidRPr="00D16EBA">
        <w:rPr>
          <w:rFonts w:ascii="Arial" w:hAnsi="Arial" w:cs="Arial"/>
          <w:color w:val="0000FF"/>
        </w:rPr>
        <w:t>,</w:t>
      </w:r>
      <w:r w:rsidR="00860410" w:rsidRPr="00D16EBA">
        <w:rPr>
          <w:rFonts w:ascii="Arial" w:hAnsi="Arial" w:cs="Arial"/>
          <w:color w:val="0000FF"/>
        </w:rPr>
        <w:t xml:space="preserve"> from 1 t</w:t>
      </w:r>
      <w:r w:rsidR="00675ECA" w:rsidRPr="00D16EBA">
        <w:rPr>
          <w:rFonts w:ascii="Arial" w:hAnsi="Arial" w:cs="Arial"/>
          <w:color w:val="0000FF"/>
        </w:rPr>
        <w:t>o</w:t>
      </w:r>
      <w:r w:rsidR="00860410" w:rsidRPr="00D16EBA">
        <w:rPr>
          <w:rFonts w:ascii="Arial" w:hAnsi="Arial" w:cs="Arial"/>
          <w:color w:val="0000FF"/>
        </w:rPr>
        <w:t xml:space="preserve"> 4</w:t>
      </w:r>
      <w:r w:rsidRPr="00D16EBA">
        <w:rPr>
          <w:rFonts w:ascii="Arial" w:hAnsi="Arial" w:cs="Arial"/>
          <w:color w:val="0000FF"/>
        </w:rPr>
        <w:t xml:space="preserve">] </w:t>
      </w:r>
      <w:r w:rsidRPr="00D16EBA">
        <w:rPr>
          <w:rFonts w:ascii="Arial" w:hAnsi="Arial" w:cs="Arial"/>
        </w:rPr>
        <w:t>standards.  We are required to meet all the standards.</w:t>
      </w:r>
      <w:r w:rsidR="00BF00D4" w:rsidRPr="00D16EBA">
        <w:rPr>
          <w:rFonts w:ascii="Arial" w:hAnsi="Arial" w:cs="Arial"/>
        </w:rPr>
        <w:t>”</w:t>
      </w:r>
    </w:p>
    <w:tbl>
      <w:tblPr>
        <w:tblStyle w:val="TableGrid"/>
        <w:tblW w:w="0" w:type="auto"/>
        <w:tblLook w:val="01E0" w:firstRow="1" w:lastRow="1" w:firstColumn="1" w:lastColumn="1" w:noHBand="0" w:noVBand="0"/>
      </w:tblPr>
      <w:tblGrid>
        <w:gridCol w:w="1338"/>
        <w:gridCol w:w="2347"/>
        <w:gridCol w:w="2075"/>
        <w:gridCol w:w="2628"/>
      </w:tblGrid>
      <w:tr w:rsidR="009F6889" w:rsidRPr="00D16EBA" w14:paraId="04E2466C" w14:textId="77777777" w:rsidTr="009F6889">
        <w:tc>
          <w:tcPr>
            <w:tcW w:w="1338" w:type="dxa"/>
          </w:tcPr>
          <w:p w14:paraId="0C7D0C15" w14:textId="2A97A5BC" w:rsidR="009F6889" w:rsidRPr="00D16EBA" w:rsidRDefault="009F6889" w:rsidP="009F6889">
            <w:pPr>
              <w:rPr>
                <w:rFonts w:ascii="Arial" w:hAnsi="Arial" w:cs="Arial"/>
                <w:sz w:val="22"/>
                <w:szCs w:val="22"/>
              </w:rPr>
            </w:pPr>
            <w:bookmarkStart w:id="0" w:name="_Hlk43366984"/>
            <w:r w:rsidRPr="009F6889">
              <w:rPr>
                <w:rFonts w:ascii="Arial" w:hAnsi="Arial" w:cs="Arial"/>
                <w:sz w:val="22"/>
                <w:szCs w:val="22"/>
              </w:rPr>
              <w:t>Parameter</w:t>
            </w:r>
          </w:p>
        </w:tc>
        <w:tc>
          <w:tcPr>
            <w:tcW w:w="2347" w:type="dxa"/>
          </w:tcPr>
          <w:p w14:paraId="34452CB7" w14:textId="77777777" w:rsidR="009F6889" w:rsidRPr="00D16EBA" w:rsidRDefault="009F6889" w:rsidP="009F6889">
            <w:pPr>
              <w:rPr>
                <w:rFonts w:ascii="Arial" w:hAnsi="Arial" w:cs="Arial"/>
                <w:sz w:val="22"/>
                <w:szCs w:val="22"/>
              </w:rPr>
            </w:pPr>
            <w:r w:rsidRPr="00D16EBA">
              <w:rPr>
                <w:rFonts w:ascii="Arial" w:hAnsi="Arial" w:cs="Arial"/>
                <w:sz w:val="22"/>
                <w:szCs w:val="22"/>
              </w:rPr>
              <w:t>Range (mg/L)</w:t>
            </w:r>
          </w:p>
        </w:tc>
        <w:tc>
          <w:tcPr>
            <w:tcW w:w="2075" w:type="dxa"/>
          </w:tcPr>
          <w:p w14:paraId="5CD12CF7" w14:textId="77777777" w:rsidR="009F6889" w:rsidRPr="00D16EBA" w:rsidRDefault="009F6889" w:rsidP="009F6889">
            <w:pPr>
              <w:rPr>
                <w:rFonts w:ascii="Arial" w:hAnsi="Arial" w:cs="Arial"/>
                <w:sz w:val="22"/>
                <w:szCs w:val="22"/>
              </w:rPr>
            </w:pPr>
            <w:r w:rsidRPr="00D16EBA">
              <w:rPr>
                <w:rFonts w:ascii="Arial" w:hAnsi="Arial" w:cs="Arial"/>
                <w:sz w:val="22"/>
                <w:szCs w:val="22"/>
              </w:rPr>
              <w:t>Average (mg/L)</w:t>
            </w:r>
          </w:p>
        </w:tc>
        <w:tc>
          <w:tcPr>
            <w:tcW w:w="2628" w:type="dxa"/>
          </w:tcPr>
          <w:p w14:paraId="5FB6DA51" w14:textId="77777777" w:rsidR="009F6889" w:rsidRPr="00D16EBA" w:rsidRDefault="009F6889" w:rsidP="009F6889">
            <w:pPr>
              <w:rPr>
                <w:rFonts w:ascii="Arial" w:hAnsi="Arial" w:cs="Arial"/>
                <w:sz w:val="22"/>
                <w:szCs w:val="22"/>
              </w:rPr>
            </w:pPr>
            <w:r w:rsidRPr="00D16EBA">
              <w:rPr>
                <w:rFonts w:ascii="Arial" w:hAnsi="Arial" w:cs="Arial"/>
                <w:sz w:val="22"/>
                <w:szCs w:val="22"/>
              </w:rPr>
              <w:t>Standard (mg/L)</w:t>
            </w:r>
          </w:p>
        </w:tc>
      </w:tr>
      <w:tr w:rsidR="009F6889" w:rsidRPr="00D16EBA" w14:paraId="21AB3CD5" w14:textId="77777777" w:rsidTr="009F6889">
        <w:tc>
          <w:tcPr>
            <w:tcW w:w="1338" w:type="dxa"/>
          </w:tcPr>
          <w:p w14:paraId="77B44D69" w14:textId="7F726FD7" w:rsidR="009F6889" w:rsidRPr="00D16EBA" w:rsidRDefault="009F6889" w:rsidP="009F6889">
            <w:pPr>
              <w:rPr>
                <w:rFonts w:ascii="Arial" w:hAnsi="Arial" w:cs="Arial"/>
                <w:sz w:val="22"/>
                <w:szCs w:val="22"/>
              </w:rPr>
            </w:pPr>
            <w:r w:rsidRPr="009F6889">
              <w:rPr>
                <w:rFonts w:ascii="Arial" w:hAnsi="Arial" w:cs="Arial"/>
                <w:sz w:val="22"/>
                <w:szCs w:val="22"/>
              </w:rPr>
              <w:t>TOC</w:t>
            </w:r>
          </w:p>
        </w:tc>
        <w:tc>
          <w:tcPr>
            <w:tcW w:w="2347" w:type="dxa"/>
          </w:tcPr>
          <w:p w14:paraId="5B0AAD7A" w14:textId="77777777" w:rsidR="009F6889" w:rsidRPr="00D16EBA" w:rsidRDefault="009F6889" w:rsidP="009F6889">
            <w:pPr>
              <w:rPr>
                <w:rFonts w:ascii="Arial" w:hAnsi="Arial" w:cs="Arial"/>
                <w:color w:val="0000FF"/>
                <w:sz w:val="22"/>
                <w:szCs w:val="22"/>
              </w:rPr>
            </w:pPr>
            <w:r w:rsidRPr="00D16EBA">
              <w:rPr>
                <w:rFonts w:ascii="Arial" w:hAnsi="Arial" w:cs="Arial"/>
                <w:color w:val="0000FF"/>
                <w:sz w:val="22"/>
                <w:szCs w:val="22"/>
              </w:rPr>
              <w:t>[number – number]</w:t>
            </w:r>
          </w:p>
        </w:tc>
        <w:tc>
          <w:tcPr>
            <w:tcW w:w="2075" w:type="dxa"/>
          </w:tcPr>
          <w:p w14:paraId="43AE16BC" w14:textId="77777777" w:rsidR="009F6889" w:rsidRPr="00D16EBA" w:rsidRDefault="009F6889" w:rsidP="009F6889">
            <w:pPr>
              <w:rPr>
                <w:rFonts w:ascii="Arial" w:hAnsi="Arial" w:cs="Arial"/>
                <w:color w:val="0000FF"/>
                <w:sz w:val="22"/>
                <w:szCs w:val="22"/>
              </w:rPr>
            </w:pPr>
            <w:r w:rsidRPr="00D16EBA">
              <w:rPr>
                <w:rFonts w:ascii="Arial" w:hAnsi="Arial" w:cs="Arial"/>
                <w:color w:val="0000FF"/>
                <w:sz w:val="22"/>
                <w:szCs w:val="22"/>
              </w:rPr>
              <w:t>[number]</w:t>
            </w:r>
          </w:p>
        </w:tc>
        <w:tc>
          <w:tcPr>
            <w:tcW w:w="2628" w:type="dxa"/>
          </w:tcPr>
          <w:p w14:paraId="08AAF5FA" w14:textId="77777777" w:rsidR="009F6889" w:rsidRPr="00D16EBA" w:rsidRDefault="009F6889" w:rsidP="009F6889">
            <w:pPr>
              <w:rPr>
                <w:rFonts w:ascii="Arial" w:hAnsi="Arial" w:cs="Arial"/>
                <w:sz w:val="22"/>
                <w:szCs w:val="22"/>
              </w:rPr>
            </w:pPr>
            <w:r w:rsidRPr="00D16EBA">
              <w:rPr>
                <w:rFonts w:ascii="Arial" w:hAnsi="Arial" w:cs="Arial"/>
                <w:sz w:val="22"/>
                <w:szCs w:val="22"/>
              </w:rPr>
              <w:t>Less than 4.0</w:t>
            </w:r>
          </w:p>
        </w:tc>
      </w:tr>
      <w:tr w:rsidR="009F6889" w:rsidRPr="00D16EBA" w14:paraId="23C0028C" w14:textId="77777777" w:rsidTr="009F6889">
        <w:tc>
          <w:tcPr>
            <w:tcW w:w="1338" w:type="dxa"/>
          </w:tcPr>
          <w:p w14:paraId="41497605" w14:textId="2C904900" w:rsidR="009F6889" w:rsidRPr="00D16EBA" w:rsidRDefault="009F6889" w:rsidP="009F6889">
            <w:pPr>
              <w:rPr>
                <w:rFonts w:ascii="Arial" w:hAnsi="Arial" w:cs="Arial"/>
                <w:sz w:val="22"/>
                <w:szCs w:val="22"/>
              </w:rPr>
            </w:pPr>
            <w:r w:rsidRPr="00D16EBA">
              <w:rPr>
                <w:rFonts w:ascii="Arial" w:hAnsi="Arial" w:cs="Arial"/>
                <w:sz w:val="22"/>
                <w:szCs w:val="22"/>
              </w:rPr>
              <w:t>Alkalinity</w:t>
            </w:r>
          </w:p>
        </w:tc>
        <w:tc>
          <w:tcPr>
            <w:tcW w:w="2347" w:type="dxa"/>
          </w:tcPr>
          <w:p w14:paraId="3A4171F6" w14:textId="77777777" w:rsidR="009F6889" w:rsidRPr="00D16EBA" w:rsidRDefault="009F6889" w:rsidP="009F6889">
            <w:pPr>
              <w:rPr>
                <w:rFonts w:ascii="Arial" w:hAnsi="Arial" w:cs="Arial"/>
                <w:color w:val="0000FF"/>
                <w:sz w:val="22"/>
                <w:szCs w:val="22"/>
              </w:rPr>
            </w:pPr>
            <w:r w:rsidRPr="00D16EBA">
              <w:rPr>
                <w:rFonts w:ascii="Arial" w:hAnsi="Arial" w:cs="Arial"/>
                <w:color w:val="0000FF"/>
                <w:sz w:val="22"/>
                <w:szCs w:val="22"/>
              </w:rPr>
              <w:t>[number – number]</w:t>
            </w:r>
          </w:p>
        </w:tc>
        <w:tc>
          <w:tcPr>
            <w:tcW w:w="2075" w:type="dxa"/>
          </w:tcPr>
          <w:p w14:paraId="7BBDC387" w14:textId="77777777" w:rsidR="009F6889" w:rsidRPr="00D16EBA" w:rsidRDefault="009F6889" w:rsidP="009F6889">
            <w:pPr>
              <w:rPr>
                <w:rFonts w:ascii="Arial" w:hAnsi="Arial" w:cs="Arial"/>
                <w:color w:val="0000FF"/>
                <w:sz w:val="22"/>
                <w:szCs w:val="22"/>
              </w:rPr>
            </w:pPr>
            <w:r w:rsidRPr="00D16EBA">
              <w:rPr>
                <w:rFonts w:ascii="Arial" w:hAnsi="Arial" w:cs="Arial"/>
                <w:color w:val="0000FF"/>
                <w:sz w:val="22"/>
                <w:szCs w:val="22"/>
              </w:rPr>
              <w:t>[number]</w:t>
            </w:r>
          </w:p>
        </w:tc>
        <w:tc>
          <w:tcPr>
            <w:tcW w:w="2628" w:type="dxa"/>
          </w:tcPr>
          <w:p w14:paraId="3A031817" w14:textId="77777777" w:rsidR="009F6889" w:rsidRPr="00D16EBA" w:rsidRDefault="009F6889" w:rsidP="009F6889">
            <w:pPr>
              <w:rPr>
                <w:rFonts w:ascii="Arial" w:hAnsi="Arial" w:cs="Arial"/>
                <w:sz w:val="22"/>
                <w:szCs w:val="22"/>
              </w:rPr>
            </w:pPr>
            <w:r w:rsidRPr="00D16EBA">
              <w:rPr>
                <w:rFonts w:ascii="Arial" w:hAnsi="Arial" w:cs="Arial"/>
                <w:sz w:val="22"/>
                <w:szCs w:val="22"/>
              </w:rPr>
              <w:t>Greater than 60</w:t>
            </w:r>
          </w:p>
        </w:tc>
      </w:tr>
      <w:tr w:rsidR="001F153F" w:rsidRPr="00D16EBA" w14:paraId="4C66CF5A" w14:textId="77777777" w:rsidTr="009F6889">
        <w:tc>
          <w:tcPr>
            <w:tcW w:w="1338" w:type="dxa"/>
          </w:tcPr>
          <w:p w14:paraId="182E86AF" w14:textId="39323D8A" w:rsidR="001F153F" w:rsidRPr="00D16EBA" w:rsidRDefault="009F6889" w:rsidP="00722C27">
            <w:pPr>
              <w:rPr>
                <w:rFonts w:ascii="Arial" w:hAnsi="Arial" w:cs="Arial"/>
                <w:sz w:val="22"/>
                <w:szCs w:val="22"/>
              </w:rPr>
            </w:pPr>
            <w:r w:rsidRPr="00D16EBA">
              <w:rPr>
                <w:rFonts w:ascii="Arial" w:hAnsi="Arial" w:cs="Arial"/>
                <w:sz w:val="22"/>
                <w:szCs w:val="22"/>
              </w:rPr>
              <w:t>TTHM</w:t>
            </w:r>
          </w:p>
        </w:tc>
        <w:tc>
          <w:tcPr>
            <w:tcW w:w="2347" w:type="dxa"/>
          </w:tcPr>
          <w:p w14:paraId="4BF1A889" w14:textId="77777777" w:rsidR="001F153F" w:rsidRPr="00D16EBA" w:rsidRDefault="001F153F" w:rsidP="00722C27">
            <w:pPr>
              <w:rPr>
                <w:rFonts w:ascii="Arial" w:hAnsi="Arial" w:cs="Arial"/>
                <w:color w:val="0000FF"/>
                <w:sz w:val="22"/>
                <w:szCs w:val="22"/>
              </w:rPr>
            </w:pPr>
            <w:r w:rsidRPr="00D16EBA">
              <w:rPr>
                <w:rFonts w:ascii="Arial" w:hAnsi="Arial" w:cs="Arial"/>
                <w:color w:val="0000FF"/>
                <w:sz w:val="22"/>
                <w:szCs w:val="22"/>
              </w:rPr>
              <w:t>[number – number]</w:t>
            </w:r>
          </w:p>
        </w:tc>
        <w:tc>
          <w:tcPr>
            <w:tcW w:w="2075" w:type="dxa"/>
          </w:tcPr>
          <w:p w14:paraId="10DB7C1E" w14:textId="77777777" w:rsidR="001F153F" w:rsidRPr="00D16EBA" w:rsidRDefault="001F153F" w:rsidP="00722C27">
            <w:pPr>
              <w:rPr>
                <w:rFonts w:ascii="Arial" w:hAnsi="Arial" w:cs="Arial"/>
                <w:color w:val="0000FF"/>
                <w:sz w:val="22"/>
                <w:szCs w:val="22"/>
              </w:rPr>
            </w:pPr>
            <w:r w:rsidRPr="00D16EBA">
              <w:rPr>
                <w:rFonts w:ascii="Arial" w:hAnsi="Arial" w:cs="Arial"/>
                <w:color w:val="0000FF"/>
                <w:sz w:val="22"/>
                <w:szCs w:val="22"/>
              </w:rPr>
              <w:t>[number]</w:t>
            </w:r>
          </w:p>
        </w:tc>
        <w:tc>
          <w:tcPr>
            <w:tcW w:w="2628" w:type="dxa"/>
          </w:tcPr>
          <w:p w14:paraId="4F355766" w14:textId="77777777" w:rsidR="001F153F" w:rsidRPr="00D16EBA" w:rsidRDefault="001F153F" w:rsidP="00722C27">
            <w:pPr>
              <w:rPr>
                <w:rFonts w:ascii="Arial" w:hAnsi="Arial" w:cs="Arial"/>
                <w:sz w:val="22"/>
                <w:szCs w:val="22"/>
              </w:rPr>
            </w:pPr>
            <w:r w:rsidRPr="00D16EBA">
              <w:rPr>
                <w:rFonts w:ascii="Arial" w:hAnsi="Arial" w:cs="Arial"/>
                <w:sz w:val="22"/>
                <w:szCs w:val="22"/>
              </w:rPr>
              <w:t>No Greater Than 0.040</w:t>
            </w:r>
          </w:p>
        </w:tc>
      </w:tr>
      <w:tr w:rsidR="001F153F" w:rsidRPr="00D16EBA" w14:paraId="27A6D336" w14:textId="77777777" w:rsidTr="009F6889">
        <w:tc>
          <w:tcPr>
            <w:tcW w:w="1338" w:type="dxa"/>
          </w:tcPr>
          <w:p w14:paraId="1F2D8DBC" w14:textId="77777777" w:rsidR="001F153F" w:rsidRPr="00D16EBA" w:rsidRDefault="001F153F" w:rsidP="00722C27">
            <w:pPr>
              <w:rPr>
                <w:rFonts w:ascii="Arial" w:hAnsi="Arial" w:cs="Arial"/>
                <w:sz w:val="22"/>
                <w:szCs w:val="22"/>
              </w:rPr>
            </w:pPr>
            <w:r w:rsidRPr="00D16EBA">
              <w:rPr>
                <w:rFonts w:ascii="Arial" w:hAnsi="Arial" w:cs="Arial"/>
                <w:sz w:val="22"/>
                <w:szCs w:val="22"/>
              </w:rPr>
              <w:t>HAA5</w:t>
            </w:r>
          </w:p>
        </w:tc>
        <w:tc>
          <w:tcPr>
            <w:tcW w:w="2347" w:type="dxa"/>
          </w:tcPr>
          <w:p w14:paraId="31A31733" w14:textId="77777777" w:rsidR="001F153F" w:rsidRPr="00D16EBA" w:rsidRDefault="001F153F" w:rsidP="00722C27">
            <w:pPr>
              <w:rPr>
                <w:rFonts w:ascii="Arial" w:hAnsi="Arial" w:cs="Arial"/>
                <w:color w:val="0000FF"/>
                <w:sz w:val="22"/>
                <w:szCs w:val="22"/>
              </w:rPr>
            </w:pPr>
            <w:r w:rsidRPr="00D16EBA">
              <w:rPr>
                <w:rFonts w:ascii="Arial" w:hAnsi="Arial" w:cs="Arial"/>
                <w:color w:val="0000FF"/>
                <w:sz w:val="22"/>
                <w:szCs w:val="22"/>
              </w:rPr>
              <w:t>[number – number]</w:t>
            </w:r>
          </w:p>
        </w:tc>
        <w:tc>
          <w:tcPr>
            <w:tcW w:w="2075" w:type="dxa"/>
          </w:tcPr>
          <w:p w14:paraId="58BDD851" w14:textId="77777777" w:rsidR="001F153F" w:rsidRPr="00D16EBA" w:rsidRDefault="001F153F" w:rsidP="00722C27">
            <w:pPr>
              <w:rPr>
                <w:rFonts w:ascii="Arial" w:hAnsi="Arial" w:cs="Arial"/>
                <w:color w:val="0000FF"/>
                <w:sz w:val="22"/>
                <w:szCs w:val="22"/>
              </w:rPr>
            </w:pPr>
            <w:r w:rsidRPr="00D16EBA">
              <w:rPr>
                <w:rFonts w:ascii="Arial" w:hAnsi="Arial" w:cs="Arial"/>
                <w:color w:val="0000FF"/>
                <w:sz w:val="22"/>
                <w:szCs w:val="22"/>
              </w:rPr>
              <w:t>[number]</w:t>
            </w:r>
          </w:p>
        </w:tc>
        <w:tc>
          <w:tcPr>
            <w:tcW w:w="2628" w:type="dxa"/>
          </w:tcPr>
          <w:p w14:paraId="06207EA2" w14:textId="77777777" w:rsidR="001F153F" w:rsidRPr="00D16EBA" w:rsidRDefault="001F153F" w:rsidP="00722C27">
            <w:pPr>
              <w:rPr>
                <w:rFonts w:ascii="Arial" w:hAnsi="Arial" w:cs="Arial"/>
                <w:sz w:val="22"/>
                <w:szCs w:val="22"/>
              </w:rPr>
            </w:pPr>
            <w:r w:rsidRPr="00D16EBA">
              <w:rPr>
                <w:rFonts w:ascii="Arial" w:hAnsi="Arial" w:cs="Arial"/>
                <w:sz w:val="22"/>
                <w:szCs w:val="22"/>
              </w:rPr>
              <w:t>No Greater Than 0.030</w:t>
            </w:r>
          </w:p>
        </w:tc>
      </w:tr>
    </w:tbl>
    <w:bookmarkEnd w:id="0"/>
    <w:p w14:paraId="46018799" w14:textId="55CA91DD" w:rsidR="001F153F" w:rsidRPr="00D16EBA" w:rsidRDefault="001F153F" w:rsidP="00722C27">
      <w:pPr>
        <w:numPr>
          <w:ilvl w:val="0"/>
          <w:numId w:val="13"/>
        </w:numPr>
        <w:tabs>
          <w:tab w:val="clear" w:pos="720"/>
          <w:tab w:val="num" w:pos="1080"/>
        </w:tabs>
        <w:spacing w:before="240" w:after="240"/>
        <w:ind w:left="1080"/>
        <w:rPr>
          <w:rFonts w:ascii="Arial" w:hAnsi="Arial" w:cs="Arial"/>
        </w:rPr>
      </w:pPr>
      <w:r w:rsidRPr="00D16EBA">
        <w:rPr>
          <w:rFonts w:ascii="Arial" w:hAnsi="Arial" w:cs="Arial"/>
          <w:i/>
          <w:u w:val="single"/>
        </w:rPr>
        <w:lastRenderedPageBreak/>
        <w:t xml:space="preserve">Source Water </w:t>
      </w:r>
      <w:smartTag w:uri="urn:schemas-microsoft-com:office:smarttags" w:element="City">
        <w:smartTag w:uri="urn:schemas-microsoft-com:office:smarttags" w:element="place">
          <w:r w:rsidRPr="00D16EBA">
            <w:rPr>
              <w:rFonts w:ascii="Arial" w:hAnsi="Arial" w:cs="Arial"/>
              <w:i/>
              <w:u w:val="single"/>
            </w:rPr>
            <w:t>SUVA</w:t>
          </w:r>
        </w:smartTag>
      </w:smartTag>
      <w:r w:rsidRPr="00D16EBA">
        <w:rPr>
          <w:rFonts w:ascii="Arial" w:hAnsi="Arial" w:cs="Arial"/>
        </w:rPr>
        <w:t xml:space="preserve"> – “We routinely monitor for Specific Ultraviolet Absorbance (SUVA) in our source.  This measurement </w:t>
      </w:r>
      <w:proofErr w:type="gramStart"/>
      <w:r w:rsidRPr="00D16EBA">
        <w:rPr>
          <w:rFonts w:ascii="Arial" w:hAnsi="Arial" w:cs="Arial"/>
        </w:rPr>
        <w:t>tell</w:t>
      </w:r>
      <w:proofErr w:type="gramEnd"/>
      <w:r w:rsidRPr="00D16EBA">
        <w:rPr>
          <w:rFonts w:ascii="Arial" w:hAnsi="Arial" w:cs="Arial"/>
        </w:rPr>
        <w:t xml:space="preserve"> us whether the natural organic matter in our source water is low enough so that no further treatment is needed to remove disinfection byproduct (DBP) precursors from the water supply.  During the past 12 months, our source water SUVA varied from </w:t>
      </w:r>
      <w:r w:rsidRPr="00D16EBA">
        <w:rPr>
          <w:rFonts w:ascii="Arial" w:hAnsi="Arial" w:cs="Arial"/>
          <w:color w:val="0000FF"/>
        </w:rPr>
        <w:t>[</w:t>
      </w:r>
      <w:r w:rsidR="00675ECA" w:rsidRPr="00D16EBA">
        <w:rPr>
          <w:rFonts w:ascii="Arial" w:hAnsi="Arial" w:cs="Arial"/>
          <w:color w:val="0000FF"/>
        </w:rPr>
        <w:t xml:space="preserve">insert the </w:t>
      </w:r>
      <w:r w:rsidR="00995839" w:rsidRPr="00D16EBA">
        <w:rPr>
          <w:rFonts w:ascii="Arial" w:hAnsi="Arial" w:cs="Arial"/>
          <w:color w:val="0000FF"/>
        </w:rPr>
        <w:t>lowest SUVA</w:t>
      </w:r>
      <w:r w:rsidR="00675ECA" w:rsidRPr="00D16EBA">
        <w:rPr>
          <w:rFonts w:ascii="Arial" w:hAnsi="Arial" w:cs="Arial"/>
          <w:color w:val="0000FF"/>
        </w:rPr>
        <w:t xml:space="preserve"> </w:t>
      </w:r>
      <w:r w:rsidRPr="00D16EBA">
        <w:rPr>
          <w:rFonts w:ascii="Arial" w:hAnsi="Arial" w:cs="Arial"/>
          <w:color w:val="0000FF"/>
        </w:rPr>
        <w:t xml:space="preserve">number – </w:t>
      </w:r>
      <w:r w:rsidR="00995839" w:rsidRPr="00D16EBA">
        <w:rPr>
          <w:rFonts w:ascii="Arial" w:hAnsi="Arial" w:cs="Arial"/>
          <w:color w:val="0000FF"/>
        </w:rPr>
        <w:t xml:space="preserve">highest SUVA </w:t>
      </w:r>
      <w:r w:rsidRPr="00D16EBA">
        <w:rPr>
          <w:rFonts w:ascii="Arial" w:hAnsi="Arial" w:cs="Arial"/>
          <w:color w:val="0000FF"/>
        </w:rPr>
        <w:t>number</w:t>
      </w:r>
      <w:r w:rsidR="00995839" w:rsidRPr="00D16EBA">
        <w:rPr>
          <w:rFonts w:ascii="Arial" w:hAnsi="Arial" w:cs="Arial"/>
          <w:color w:val="0000FF"/>
        </w:rPr>
        <w:t xml:space="preserve"> from the past 12 months</w:t>
      </w:r>
      <w:r w:rsidRPr="00D16EBA">
        <w:rPr>
          <w:rFonts w:ascii="Arial" w:hAnsi="Arial" w:cs="Arial"/>
          <w:color w:val="0000FF"/>
        </w:rPr>
        <w:t xml:space="preserve">] </w:t>
      </w:r>
      <w:r w:rsidRPr="00D16EBA">
        <w:rPr>
          <w:rFonts w:ascii="Arial" w:hAnsi="Arial" w:cs="Arial"/>
        </w:rPr>
        <w:t xml:space="preserve">L/mg-m and resulted in an annual average of </w:t>
      </w:r>
      <w:r w:rsidRPr="00D16EBA">
        <w:rPr>
          <w:rFonts w:ascii="Arial" w:hAnsi="Arial" w:cs="Arial"/>
          <w:color w:val="0000FF"/>
        </w:rPr>
        <w:t>[</w:t>
      </w:r>
      <w:r w:rsidR="00770B9D">
        <w:rPr>
          <w:rFonts w:ascii="Arial" w:hAnsi="Arial" w:cs="Arial"/>
          <w:color w:val="0000FF"/>
        </w:rPr>
        <w:t xml:space="preserve">insert the annual average SUVA </w:t>
      </w:r>
      <w:r w:rsidRPr="00D16EBA">
        <w:rPr>
          <w:rFonts w:ascii="Arial" w:hAnsi="Arial" w:cs="Arial"/>
          <w:color w:val="0000FF"/>
        </w:rPr>
        <w:t xml:space="preserve">number] </w:t>
      </w:r>
      <w:r w:rsidRPr="00D16EBA">
        <w:rPr>
          <w:rFonts w:ascii="Arial" w:hAnsi="Arial" w:cs="Arial"/>
        </w:rPr>
        <w:t xml:space="preserve">L/mg-m.  The standard is that the source water </w:t>
      </w:r>
      <w:smartTag w:uri="urn:schemas-microsoft-com:office:smarttags" w:element="City">
        <w:smartTag w:uri="urn:schemas-microsoft-com:office:smarttags" w:element="place">
          <w:r w:rsidRPr="00D16EBA">
            <w:rPr>
              <w:rFonts w:ascii="Arial" w:hAnsi="Arial" w:cs="Arial"/>
            </w:rPr>
            <w:t>SUVA</w:t>
          </w:r>
        </w:smartTag>
      </w:smartTag>
      <w:r w:rsidRPr="00D16EBA">
        <w:rPr>
          <w:rFonts w:ascii="Arial" w:hAnsi="Arial" w:cs="Arial"/>
        </w:rPr>
        <w:t xml:space="preserve"> level must be less than or equal to 2.0 L/mg-m.</w:t>
      </w:r>
      <w:r w:rsidR="00BF00D4" w:rsidRPr="00D16EBA">
        <w:rPr>
          <w:rFonts w:ascii="Arial" w:hAnsi="Arial" w:cs="Arial"/>
        </w:rPr>
        <w:t>”</w:t>
      </w:r>
    </w:p>
    <w:p w14:paraId="43BBCF46" w14:textId="4036F254" w:rsidR="001F153F" w:rsidRPr="00D16EBA" w:rsidRDefault="001F153F" w:rsidP="00722C27">
      <w:pPr>
        <w:numPr>
          <w:ilvl w:val="0"/>
          <w:numId w:val="13"/>
        </w:numPr>
        <w:tabs>
          <w:tab w:val="clear" w:pos="720"/>
          <w:tab w:val="num" w:pos="1080"/>
        </w:tabs>
        <w:spacing w:after="240"/>
        <w:ind w:left="1080"/>
        <w:rPr>
          <w:rFonts w:ascii="Arial" w:hAnsi="Arial" w:cs="Arial"/>
        </w:rPr>
      </w:pPr>
      <w:r w:rsidRPr="00D16EBA">
        <w:rPr>
          <w:rFonts w:ascii="Arial" w:hAnsi="Arial" w:cs="Arial"/>
          <w:i/>
          <w:u w:val="single"/>
        </w:rPr>
        <w:t xml:space="preserve">Treated Water </w:t>
      </w:r>
      <w:smartTag w:uri="urn:schemas-microsoft-com:office:smarttags" w:element="place">
        <w:smartTag w:uri="urn:schemas-microsoft-com:office:smarttags" w:element="City">
          <w:r w:rsidRPr="00D16EBA">
            <w:rPr>
              <w:rFonts w:ascii="Arial" w:hAnsi="Arial" w:cs="Arial"/>
              <w:i/>
              <w:u w:val="single"/>
            </w:rPr>
            <w:t>SUVA</w:t>
          </w:r>
        </w:smartTag>
      </w:smartTag>
      <w:r w:rsidRPr="00D16EBA">
        <w:rPr>
          <w:rFonts w:ascii="Arial" w:hAnsi="Arial" w:cs="Arial"/>
        </w:rPr>
        <w:t xml:space="preserve"> – “We routinely monitor for Specific Ultraviolet Absorbance (SUVA) in our treated water.  This measurement tells us whether we are effectively removing disinfection byproduct (DBP) precursors from the water supply.  During the past 12 months, our treated water SUVA varied from </w:t>
      </w:r>
      <w:r w:rsidRPr="00D16EBA">
        <w:rPr>
          <w:rFonts w:ascii="Arial" w:hAnsi="Arial" w:cs="Arial"/>
          <w:color w:val="0000FF"/>
        </w:rPr>
        <w:t>[</w:t>
      </w:r>
      <w:r w:rsidR="00995839" w:rsidRPr="00D16EBA">
        <w:rPr>
          <w:rFonts w:ascii="Arial" w:hAnsi="Arial" w:cs="Arial"/>
          <w:color w:val="0000FF"/>
        </w:rPr>
        <w:t>[insert the lowest SUVA number – highest SUVA number from the past 12 months</w:t>
      </w:r>
      <w:r w:rsidRPr="00D16EBA">
        <w:rPr>
          <w:rFonts w:ascii="Arial" w:hAnsi="Arial" w:cs="Arial"/>
          <w:color w:val="0000FF"/>
        </w:rPr>
        <w:t xml:space="preserve">] </w:t>
      </w:r>
      <w:r w:rsidRPr="00D16EBA">
        <w:rPr>
          <w:rFonts w:ascii="Arial" w:hAnsi="Arial" w:cs="Arial"/>
        </w:rPr>
        <w:t xml:space="preserve">L/mg-m and resulted in an annual average of </w:t>
      </w:r>
      <w:r w:rsidRPr="00D16EBA">
        <w:rPr>
          <w:rFonts w:ascii="Arial" w:hAnsi="Arial" w:cs="Arial"/>
          <w:color w:val="0000FF"/>
        </w:rPr>
        <w:t>[</w:t>
      </w:r>
      <w:r w:rsidR="00995839" w:rsidRPr="00D16EBA">
        <w:rPr>
          <w:rFonts w:ascii="Arial" w:hAnsi="Arial" w:cs="Arial"/>
          <w:color w:val="0000FF"/>
        </w:rPr>
        <w:t xml:space="preserve">insert the annual average SUVA </w:t>
      </w:r>
      <w:r w:rsidRPr="00D16EBA">
        <w:rPr>
          <w:rFonts w:ascii="Arial" w:hAnsi="Arial" w:cs="Arial"/>
          <w:color w:val="0000FF"/>
        </w:rPr>
        <w:t xml:space="preserve">number] </w:t>
      </w:r>
      <w:r w:rsidRPr="00D16EBA">
        <w:rPr>
          <w:rFonts w:ascii="Arial" w:hAnsi="Arial" w:cs="Arial"/>
        </w:rPr>
        <w:t xml:space="preserve">L/mg-m.  The standard is that the treated water </w:t>
      </w:r>
      <w:smartTag w:uri="urn:schemas-microsoft-com:office:smarttags" w:element="City">
        <w:smartTag w:uri="urn:schemas-microsoft-com:office:smarttags" w:element="place">
          <w:r w:rsidRPr="00D16EBA">
            <w:rPr>
              <w:rFonts w:ascii="Arial" w:hAnsi="Arial" w:cs="Arial"/>
            </w:rPr>
            <w:t>SUVA</w:t>
          </w:r>
        </w:smartTag>
      </w:smartTag>
      <w:r w:rsidRPr="00D16EBA">
        <w:rPr>
          <w:rFonts w:ascii="Arial" w:hAnsi="Arial" w:cs="Arial"/>
        </w:rPr>
        <w:t xml:space="preserve"> level must be less than or equal to 2.0 L/mg-m.</w:t>
      </w:r>
      <w:r w:rsidR="00BF00D4" w:rsidRPr="00D16EBA">
        <w:rPr>
          <w:rFonts w:ascii="Arial" w:hAnsi="Arial" w:cs="Arial"/>
        </w:rPr>
        <w:t>”</w:t>
      </w:r>
    </w:p>
    <w:p w14:paraId="170B9057" w14:textId="77777777" w:rsidR="001F153F" w:rsidRPr="00D16EBA" w:rsidRDefault="001F153F" w:rsidP="00722C27">
      <w:pPr>
        <w:pStyle w:val="Heading3"/>
      </w:pPr>
      <w:r w:rsidRPr="00D16EBA">
        <w:t>Corrective Action</w:t>
      </w:r>
    </w:p>
    <w:p w14:paraId="31AD2044" w14:textId="77777777" w:rsidR="001F153F" w:rsidRPr="00D16EBA" w:rsidRDefault="001F153F" w:rsidP="00722C27">
      <w:pPr>
        <w:pStyle w:val="BodyText"/>
        <w:jc w:val="left"/>
        <w:rPr>
          <w:color w:val="auto"/>
          <w:sz w:val="24"/>
        </w:rPr>
      </w:pPr>
      <w:r w:rsidRPr="00D16EBA">
        <w:rPr>
          <w:color w:val="auto"/>
          <w:sz w:val="24"/>
        </w:rPr>
        <w:t>In your notice, describe corrective actions you are taking.  Listed below are some steps commonly taken by water systems with</w:t>
      </w:r>
      <w:r w:rsidRPr="00D16EBA">
        <w:rPr>
          <w:color w:val="FF0000"/>
          <w:sz w:val="24"/>
        </w:rPr>
        <w:t xml:space="preserve"> </w:t>
      </w:r>
      <w:r w:rsidRPr="00D16EBA">
        <w:rPr>
          <w:color w:val="auto"/>
          <w:sz w:val="24"/>
        </w:rPr>
        <w:t>DBP precursor treatment technique violations.</w:t>
      </w:r>
      <w:r w:rsidRPr="00D16EBA">
        <w:rPr>
          <w:color w:val="FF0000"/>
          <w:sz w:val="24"/>
        </w:rPr>
        <w:t xml:space="preserve">  </w:t>
      </w:r>
      <w:r w:rsidRPr="00D16EBA">
        <w:rPr>
          <w:color w:val="auto"/>
          <w:sz w:val="24"/>
        </w:rPr>
        <w:t>Use one or more of the following actions, if appropriate, or develop your own:</w:t>
      </w:r>
      <w:r w:rsidRPr="00D16EBA">
        <w:rPr>
          <w:color w:val="auto"/>
          <w:sz w:val="24"/>
        </w:rPr>
        <w:fldChar w:fldCharType="begin"/>
      </w:r>
      <w:r w:rsidRPr="00D16EBA">
        <w:rPr>
          <w:color w:val="auto"/>
          <w:sz w:val="24"/>
        </w:rPr>
        <w:instrText>ADVANCE \d3</w:instrText>
      </w:r>
      <w:r w:rsidRPr="00D16EBA">
        <w:rPr>
          <w:color w:val="auto"/>
          <w:sz w:val="24"/>
        </w:rPr>
        <w:fldChar w:fldCharType="end"/>
      </w:r>
    </w:p>
    <w:p w14:paraId="59BB8F31" w14:textId="77634F11" w:rsidR="001F153F" w:rsidRPr="00D16EBA" w:rsidRDefault="001F153F" w:rsidP="00722C27">
      <w:pPr>
        <w:pStyle w:val="a"/>
        <w:numPr>
          <w:ilvl w:val="0"/>
          <w:numId w:val="3"/>
        </w:numPr>
        <w:tabs>
          <w:tab w:val="left" w:pos="-1440"/>
        </w:tabs>
        <w:rPr>
          <w:rFonts w:cs="Arial"/>
        </w:rPr>
      </w:pPr>
      <w:r w:rsidRPr="00D16EBA">
        <w:rPr>
          <w:rFonts w:cs="Arial"/>
        </w:rPr>
        <w:t xml:space="preserve">“We added </w:t>
      </w:r>
      <w:r w:rsidRPr="00D16EBA">
        <w:rPr>
          <w:rFonts w:cs="Arial"/>
          <w:color w:val="0000FF"/>
        </w:rPr>
        <w:t>[</w:t>
      </w:r>
      <w:r w:rsidR="006E2D4A" w:rsidRPr="00D16EBA">
        <w:rPr>
          <w:rFonts w:cs="Arial"/>
          <w:color w:val="0000FF"/>
        </w:rPr>
        <w:t xml:space="preserve">insert name of </w:t>
      </w:r>
      <w:r w:rsidRPr="00D16EBA">
        <w:rPr>
          <w:rFonts w:cs="Arial"/>
          <w:color w:val="0000FF"/>
        </w:rPr>
        <w:t xml:space="preserve">chemicals or a new treatment process] </w:t>
      </w:r>
      <w:r w:rsidRPr="00D16EBA">
        <w:rPr>
          <w:rFonts w:cs="Arial"/>
        </w:rPr>
        <w:t>to improve DBP precursor removal</w:t>
      </w:r>
      <w:r w:rsidR="005909F3" w:rsidRPr="00D16EBA">
        <w:rPr>
          <w:rFonts w:cs="Arial"/>
        </w:rPr>
        <w:t>.</w:t>
      </w:r>
      <w:r w:rsidRPr="00D16EBA">
        <w:rPr>
          <w:rFonts w:cs="Arial"/>
        </w:rPr>
        <w:t>”</w:t>
      </w:r>
    </w:p>
    <w:p w14:paraId="0B713760" w14:textId="77777777" w:rsidR="001F153F" w:rsidRPr="00D16EBA" w:rsidRDefault="001F153F" w:rsidP="00722C27">
      <w:pPr>
        <w:pStyle w:val="a"/>
        <w:numPr>
          <w:ilvl w:val="0"/>
          <w:numId w:val="3"/>
        </w:numPr>
        <w:tabs>
          <w:tab w:val="left" w:pos="-1440"/>
        </w:tabs>
        <w:rPr>
          <w:rFonts w:cs="Arial"/>
        </w:rPr>
      </w:pPr>
      <w:r w:rsidRPr="00D16EBA">
        <w:rPr>
          <w:rFonts w:cs="Arial"/>
        </w:rPr>
        <w:t>“We changed our chemical dosing to improve DBP precursor removal</w:t>
      </w:r>
      <w:r w:rsidR="005909F3" w:rsidRPr="00D16EBA">
        <w:rPr>
          <w:rFonts w:cs="Arial"/>
        </w:rPr>
        <w:t>.</w:t>
      </w:r>
      <w:r w:rsidRPr="00D16EBA">
        <w:rPr>
          <w:rFonts w:cs="Arial"/>
        </w:rPr>
        <w:t>”</w:t>
      </w:r>
    </w:p>
    <w:p w14:paraId="116618EC" w14:textId="77777777" w:rsidR="001F153F" w:rsidRPr="00D16EBA" w:rsidRDefault="001F153F" w:rsidP="00722C27">
      <w:pPr>
        <w:pStyle w:val="a"/>
        <w:numPr>
          <w:ilvl w:val="0"/>
          <w:numId w:val="3"/>
        </w:numPr>
        <w:tabs>
          <w:tab w:val="left" w:pos="-1440"/>
        </w:tabs>
        <w:spacing w:after="240"/>
        <w:rPr>
          <w:rFonts w:cs="Arial"/>
        </w:rPr>
      </w:pPr>
      <w:r w:rsidRPr="00D16EBA">
        <w:rPr>
          <w:rFonts w:cs="Arial"/>
        </w:rPr>
        <w:t>“We removed the source from use</w:t>
      </w:r>
      <w:r w:rsidR="005909F3" w:rsidRPr="00D16EBA">
        <w:rPr>
          <w:rFonts w:cs="Arial"/>
        </w:rPr>
        <w:t>.</w:t>
      </w:r>
      <w:r w:rsidRPr="00D16EBA">
        <w:rPr>
          <w:rFonts w:cs="Arial"/>
        </w:rPr>
        <w:t>”</w:t>
      </w:r>
    </w:p>
    <w:p w14:paraId="14D6CE4F" w14:textId="77777777" w:rsidR="001F153F" w:rsidRPr="00D16EBA" w:rsidRDefault="001F153F" w:rsidP="00722C27">
      <w:pPr>
        <w:pStyle w:val="Heading3"/>
      </w:pPr>
      <w:r w:rsidRPr="00D16EBA">
        <w:t>After Issuing the Notice</w:t>
      </w:r>
    </w:p>
    <w:p w14:paraId="0FB56580" w14:textId="14FEB686" w:rsidR="001F153F" w:rsidRPr="00D16EBA" w:rsidRDefault="001F153F" w:rsidP="00722C27">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rPr>
      </w:pPr>
      <w:r w:rsidRPr="00D16EBA">
        <w:rPr>
          <w:rFonts w:ascii="Arial" w:hAnsi="Arial" w:cs="Arial"/>
        </w:rPr>
        <w:t xml:space="preserve">Send a copy of each type of notice and a certification that you have met all the public notice requirements to the </w:t>
      </w:r>
      <w:r w:rsidR="0054311E" w:rsidRPr="00D16EBA">
        <w:rPr>
          <w:rFonts w:ascii="Arial" w:hAnsi="Arial" w:cs="Arial"/>
        </w:rPr>
        <w:t>DDW</w:t>
      </w:r>
      <w:r w:rsidRPr="00D16EBA">
        <w:rPr>
          <w:rFonts w:ascii="Arial" w:hAnsi="Arial" w:cs="Arial"/>
        </w:rPr>
        <w:t xml:space="preserve"> within ten days after you issue the notice [</w:t>
      </w:r>
      <w:r w:rsidR="006E2D4A" w:rsidRPr="00D16EBA">
        <w:rPr>
          <w:rFonts w:ascii="Arial" w:hAnsi="Arial" w:cs="Arial"/>
        </w:rPr>
        <w:t xml:space="preserve">per California Code of Regulations, Title 22, Section </w:t>
      </w:r>
      <w:r w:rsidRPr="00D16EBA">
        <w:rPr>
          <w:rFonts w:ascii="Arial" w:hAnsi="Arial" w:cs="Arial"/>
        </w:rPr>
        <w:t>644</w:t>
      </w:r>
      <w:r w:rsidR="006259E4" w:rsidRPr="00D16EBA">
        <w:rPr>
          <w:rFonts w:ascii="Arial" w:hAnsi="Arial" w:cs="Arial"/>
        </w:rPr>
        <w:t>69</w:t>
      </w:r>
      <w:r w:rsidRPr="00D16EBA">
        <w:rPr>
          <w:rFonts w:ascii="Arial" w:hAnsi="Arial" w:cs="Arial"/>
        </w:rPr>
        <w:t xml:space="preserve">(d)]. You should also issue a follow-up notice in addition to meeting any repeat notice requirements the </w:t>
      </w:r>
      <w:r w:rsidR="0054311E" w:rsidRPr="00D16EBA">
        <w:rPr>
          <w:rFonts w:ascii="Arial" w:hAnsi="Arial" w:cs="Arial"/>
        </w:rPr>
        <w:t>DDW</w:t>
      </w:r>
      <w:r w:rsidRPr="00D16EBA">
        <w:rPr>
          <w:rFonts w:ascii="Arial" w:hAnsi="Arial" w:cs="Arial"/>
        </w:rPr>
        <w:t xml:space="preserve"> sets.</w:t>
      </w:r>
    </w:p>
    <w:p w14:paraId="3D0386D6" w14:textId="77777777" w:rsidR="001F153F" w:rsidRPr="00D16EBA" w:rsidRDefault="001F153F" w:rsidP="00722C27">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rPr>
      </w:pPr>
      <w:r w:rsidRPr="00D16EBA">
        <w:rPr>
          <w:rFonts w:ascii="Arial" w:hAnsi="Arial" w:cs="Arial"/>
        </w:rPr>
        <w:t xml:space="preserve">It is recommended that you notify health professionals </w:t>
      </w:r>
      <w:proofErr w:type="gramStart"/>
      <w:r w:rsidRPr="00D16EBA">
        <w:rPr>
          <w:rFonts w:ascii="Arial" w:hAnsi="Arial" w:cs="Arial"/>
        </w:rPr>
        <w:t>in the area of</w:t>
      </w:r>
      <w:proofErr w:type="gramEnd"/>
      <w:r w:rsidRPr="00D16EBA">
        <w:rPr>
          <w:rFonts w:ascii="Arial" w:hAnsi="Arial" w:cs="Arial"/>
        </w:rPr>
        <w:t xml:space="preserve"> the violation.  People may call their doctors with questions about how the violation may affect their health, and the doctors should have the information they need to respond appropriately.</w:t>
      </w:r>
    </w:p>
    <w:p w14:paraId="4B58A771" w14:textId="77777777" w:rsidR="001F153F" w:rsidRPr="00770B9D" w:rsidRDefault="001F153F" w:rsidP="00722C27">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sz w:val="20"/>
        </w:rPr>
      </w:pPr>
      <w:r w:rsidRPr="00770B9D">
        <w:rPr>
          <w:rFonts w:ascii="Arial" w:hAnsi="Arial" w:cs="Arial"/>
        </w:rPr>
        <w:t>It is a good idea to issue a “problem corrected” notice when the violation is resolved.</w:t>
      </w:r>
    </w:p>
    <w:p w14:paraId="231C82E1" w14:textId="6E206EB7" w:rsidR="00770B9D" w:rsidRPr="00770B9D" w:rsidRDefault="00770B9D" w:rsidP="00770B9D">
      <w:pPr>
        <w:pStyle w:val="Heading3"/>
        <w:spacing w:before="240"/>
        <w:sectPr w:rsidR="00770B9D" w:rsidRPr="00770B9D">
          <w:footerReference w:type="default" r:id="rId8"/>
          <w:pgSz w:w="12240" w:h="15840"/>
          <w:pgMar w:top="1440" w:right="1440" w:bottom="1440" w:left="1440" w:header="1440" w:footer="720" w:gutter="0"/>
          <w:cols w:space="720"/>
          <w:noEndnote/>
        </w:sectPr>
      </w:pPr>
      <w:r w:rsidRPr="00770B9D">
        <w:t xml:space="preserve">The template for the Tier 2 Stage 1 DBPR DBP Precursor Treatment Notice is next. </w:t>
      </w:r>
    </w:p>
    <w:p w14:paraId="1C5AC4E4" w14:textId="77777777" w:rsidR="00995839" w:rsidRPr="00D16EBA" w:rsidRDefault="00995839" w:rsidP="00995839">
      <w:pPr>
        <w:spacing w:after="120"/>
        <w:rPr>
          <w:rFonts w:ascii="Arial" w:hAnsi="Arial" w:cs="Arial"/>
          <w:b/>
          <w:bCs/>
          <w:color w:val="000000" w:themeColor="text1"/>
          <w:sz w:val="28"/>
          <w:szCs w:val="28"/>
        </w:rPr>
      </w:pPr>
      <w:r w:rsidRPr="00D16EBA">
        <w:rPr>
          <w:rFonts w:ascii="Arial" w:hAnsi="Arial" w:cs="Arial"/>
          <w:b/>
          <w:bCs/>
          <w:color w:val="000000" w:themeColor="text1"/>
          <w:sz w:val="28"/>
          <w:szCs w:val="28"/>
        </w:rPr>
        <w:lastRenderedPageBreak/>
        <w:t>IMPORTANT INFORMATION ABOUT YOUR DRINKING WATER</w:t>
      </w:r>
    </w:p>
    <w:p w14:paraId="6D52982B" w14:textId="0DDC9911" w:rsidR="00995839" w:rsidRPr="00D16EBA" w:rsidRDefault="007E591F" w:rsidP="007E591F">
      <w:pPr>
        <w:spacing w:after="120"/>
        <w:rPr>
          <w:rFonts w:ascii="Arial" w:hAnsi="Arial" w:cs="Arial"/>
          <w:bCs/>
          <w:color w:val="000000" w:themeColor="text1"/>
        </w:rPr>
      </w:pPr>
      <w:r w:rsidRPr="00D16EBA">
        <w:rPr>
          <w:rFonts w:ascii="Arial" w:hAnsi="Arial" w:cs="Arial"/>
          <w:bCs/>
          <w:color w:val="000000" w:themeColor="text1"/>
        </w:rPr>
        <w:t>(The following two sentences are in Spanish relaying information on the importance of this notice. Translated to English it would read as follows. [This report contains very important information about your drinking water. Translate it or talk to someone who understands it well.])</w:t>
      </w:r>
    </w:p>
    <w:p w14:paraId="7AD99905" w14:textId="5527A786" w:rsidR="001F153F" w:rsidRPr="00D16EBA" w:rsidRDefault="001F153F" w:rsidP="007E591F">
      <w:pPr>
        <w:rPr>
          <w:rFonts w:ascii="Arial" w:hAnsi="Arial" w:cs="Arial"/>
          <w:bCs/>
        </w:rPr>
      </w:pPr>
      <w:r w:rsidRPr="00D16EBA">
        <w:rPr>
          <w:rFonts w:ascii="Arial" w:hAnsi="Arial" w:cs="Arial"/>
          <w:bCs/>
        </w:rPr>
        <w:t xml:space="preserve">Este </w:t>
      </w:r>
      <w:proofErr w:type="spellStart"/>
      <w:r w:rsidRPr="00D16EBA">
        <w:rPr>
          <w:rFonts w:ascii="Arial" w:hAnsi="Arial" w:cs="Arial"/>
          <w:bCs/>
        </w:rPr>
        <w:t>informe</w:t>
      </w:r>
      <w:proofErr w:type="spellEnd"/>
      <w:r w:rsidRPr="00D16EBA">
        <w:rPr>
          <w:rFonts w:ascii="Arial" w:hAnsi="Arial" w:cs="Arial"/>
          <w:bCs/>
        </w:rPr>
        <w:t xml:space="preserve"> </w:t>
      </w:r>
      <w:proofErr w:type="spellStart"/>
      <w:r w:rsidRPr="00D16EBA">
        <w:rPr>
          <w:rFonts w:ascii="Arial" w:hAnsi="Arial" w:cs="Arial"/>
          <w:bCs/>
        </w:rPr>
        <w:t>contiene</w:t>
      </w:r>
      <w:proofErr w:type="spellEnd"/>
      <w:r w:rsidRPr="00D16EBA">
        <w:rPr>
          <w:rFonts w:ascii="Arial" w:hAnsi="Arial" w:cs="Arial"/>
          <w:bCs/>
        </w:rPr>
        <w:t xml:space="preserve"> </w:t>
      </w:r>
      <w:proofErr w:type="spellStart"/>
      <w:r w:rsidRPr="00D16EBA">
        <w:rPr>
          <w:rFonts w:ascii="Arial" w:hAnsi="Arial" w:cs="Arial"/>
          <w:bCs/>
        </w:rPr>
        <w:t>información</w:t>
      </w:r>
      <w:proofErr w:type="spellEnd"/>
      <w:r w:rsidRPr="00D16EBA">
        <w:rPr>
          <w:rFonts w:ascii="Arial" w:hAnsi="Arial" w:cs="Arial"/>
          <w:bCs/>
        </w:rPr>
        <w:t xml:space="preserve"> </w:t>
      </w:r>
      <w:proofErr w:type="spellStart"/>
      <w:r w:rsidRPr="00D16EBA">
        <w:rPr>
          <w:rFonts w:ascii="Arial" w:hAnsi="Arial" w:cs="Arial"/>
          <w:bCs/>
        </w:rPr>
        <w:t>muy</w:t>
      </w:r>
      <w:proofErr w:type="spellEnd"/>
      <w:r w:rsidRPr="00D16EBA">
        <w:rPr>
          <w:rFonts w:ascii="Arial" w:hAnsi="Arial" w:cs="Arial"/>
          <w:bCs/>
        </w:rPr>
        <w:t xml:space="preserve"> </w:t>
      </w:r>
      <w:proofErr w:type="spellStart"/>
      <w:r w:rsidRPr="00D16EBA">
        <w:rPr>
          <w:rFonts w:ascii="Arial" w:hAnsi="Arial" w:cs="Arial"/>
          <w:bCs/>
        </w:rPr>
        <w:t>importante</w:t>
      </w:r>
      <w:proofErr w:type="spellEnd"/>
      <w:r w:rsidRPr="00D16EBA">
        <w:rPr>
          <w:rFonts w:ascii="Arial" w:hAnsi="Arial" w:cs="Arial"/>
          <w:bCs/>
        </w:rPr>
        <w:t xml:space="preserve"> </w:t>
      </w:r>
      <w:proofErr w:type="spellStart"/>
      <w:r w:rsidRPr="00D16EBA">
        <w:rPr>
          <w:rFonts w:ascii="Arial" w:hAnsi="Arial" w:cs="Arial"/>
          <w:bCs/>
        </w:rPr>
        <w:t>sobre</w:t>
      </w:r>
      <w:proofErr w:type="spellEnd"/>
      <w:r w:rsidRPr="00D16EBA">
        <w:rPr>
          <w:rFonts w:ascii="Arial" w:hAnsi="Arial" w:cs="Arial"/>
          <w:bCs/>
        </w:rPr>
        <w:t xml:space="preserve"> </w:t>
      </w:r>
      <w:proofErr w:type="spellStart"/>
      <w:r w:rsidRPr="00D16EBA">
        <w:rPr>
          <w:rFonts w:ascii="Arial" w:hAnsi="Arial" w:cs="Arial"/>
          <w:bCs/>
        </w:rPr>
        <w:t>su</w:t>
      </w:r>
      <w:proofErr w:type="spellEnd"/>
      <w:r w:rsidRPr="00D16EBA">
        <w:rPr>
          <w:rFonts w:ascii="Arial" w:hAnsi="Arial" w:cs="Arial"/>
          <w:bCs/>
        </w:rPr>
        <w:t xml:space="preserve"> </w:t>
      </w:r>
      <w:proofErr w:type="spellStart"/>
      <w:r w:rsidRPr="00D16EBA">
        <w:rPr>
          <w:rFonts w:ascii="Arial" w:hAnsi="Arial" w:cs="Arial"/>
          <w:bCs/>
        </w:rPr>
        <w:t>agua</w:t>
      </w:r>
      <w:proofErr w:type="spellEnd"/>
      <w:r w:rsidRPr="00D16EBA">
        <w:rPr>
          <w:rFonts w:ascii="Arial" w:hAnsi="Arial" w:cs="Arial"/>
          <w:bCs/>
        </w:rPr>
        <w:t xml:space="preserve"> potable.</w:t>
      </w:r>
    </w:p>
    <w:p w14:paraId="3A481E6A" w14:textId="336B9295" w:rsidR="00B725C5" w:rsidRPr="00D16EBA" w:rsidRDefault="001F153F" w:rsidP="00B725C5">
      <w:pPr>
        <w:spacing w:after="240"/>
        <w:rPr>
          <w:rFonts w:ascii="Arial" w:hAnsi="Arial" w:cs="Arial"/>
          <w:bCs/>
        </w:rPr>
      </w:pPr>
      <w:proofErr w:type="spellStart"/>
      <w:r w:rsidRPr="00D16EBA">
        <w:rPr>
          <w:rFonts w:ascii="Arial" w:hAnsi="Arial" w:cs="Arial"/>
          <w:bCs/>
        </w:rPr>
        <w:t>Tradúzcalo</w:t>
      </w:r>
      <w:proofErr w:type="spellEnd"/>
      <w:r w:rsidRPr="00D16EBA">
        <w:rPr>
          <w:rFonts w:ascii="Arial" w:hAnsi="Arial" w:cs="Arial"/>
          <w:bCs/>
        </w:rPr>
        <w:t xml:space="preserve"> o </w:t>
      </w:r>
      <w:proofErr w:type="spellStart"/>
      <w:r w:rsidRPr="00D16EBA">
        <w:rPr>
          <w:rFonts w:ascii="Arial" w:hAnsi="Arial" w:cs="Arial"/>
          <w:bCs/>
        </w:rPr>
        <w:t>hable</w:t>
      </w:r>
      <w:proofErr w:type="spellEnd"/>
      <w:r w:rsidRPr="00D16EBA">
        <w:rPr>
          <w:rFonts w:ascii="Arial" w:hAnsi="Arial" w:cs="Arial"/>
          <w:bCs/>
        </w:rPr>
        <w:t xml:space="preserve"> con </w:t>
      </w:r>
      <w:proofErr w:type="spellStart"/>
      <w:r w:rsidRPr="00D16EBA">
        <w:rPr>
          <w:rFonts w:ascii="Arial" w:hAnsi="Arial" w:cs="Arial"/>
          <w:bCs/>
        </w:rPr>
        <w:t>alguien</w:t>
      </w:r>
      <w:proofErr w:type="spellEnd"/>
      <w:r w:rsidRPr="00D16EBA">
        <w:rPr>
          <w:rFonts w:ascii="Arial" w:hAnsi="Arial" w:cs="Arial"/>
          <w:bCs/>
        </w:rPr>
        <w:t xml:space="preserve"> que lo </w:t>
      </w:r>
      <w:proofErr w:type="spellStart"/>
      <w:r w:rsidRPr="00D16EBA">
        <w:rPr>
          <w:rFonts w:ascii="Arial" w:hAnsi="Arial" w:cs="Arial"/>
          <w:bCs/>
        </w:rPr>
        <w:t>entienda</w:t>
      </w:r>
      <w:proofErr w:type="spellEnd"/>
      <w:r w:rsidRPr="00D16EBA">
        <w:rPr>
          <w:rFonts w:ascii="Arial" w:hAnsi="Arial" w:cs="Arial"/>
          <w:bCs/>
        </w:rPr>
        <w:t xml:space="preserve"> bien.</w:t>
      </w:r>
    </w:p>
    <w:p w14:paraId="2EA96C82" w14:textId="2AC3F2D8" w:rsidR="00B725C5" w:rsidRPr="00D16EBA" w:rsidRDefault="00B725C5" w:rsidP="00B725C5">
      <w:pPr>
        <w:pStyle w:val="Heading2"/>
        <w:keepNext w:val="0"/>
        <w:jc w:val="left"/>
        <w:rPr>
          <w:color w:val="000000" w:themeColor="text1"/>
          <w:sz w:val="32"/>
        </w:rPr>
      </w:pPr>
      <w:r w:rsidRPr="00D16EBA">
        <w:rPr>
          <w:color w:val="0000FF"/>
          <w:sz w:val="32"/>
        </w:rPr>
        <w:t xml:space="preserve">[Insert Water System Name] </w:t>
      </w:r>
      <w:r w:rsidRPr="00D16EBA">
        <w:rPr>
          <w:color w:val="000000" w:themeColor="text1"/>
          <w:sz w:val="32"/>
        </w:rPr>
        <w:t>Did Not Meet Treatment Requirement (Disinfection Byproduct Precursors)</w:t>
      </w:r>
    </w:p>
    <w:p w14:paraId="73926E40" w14:textId="4486720A" w:rsidR="001F153F" w:rsidRPr="00D16EBA" w:rsidRDefault="001F153F" w:rsidP="00B725C5">
      <w:pPr>
        <w:pStyle w:val="BodyText2"/>
        <w:rPr>
          <w:color w:val="auto"/>
        </w:rPr>
      </w:pPr>
      <w:r w:rsidRPr="00D16EBA">
        <w:rPr>
          <w:color w:val="auto"/>
        </w:rPr>
        <w:t>Our water system recently violated a drinking water standard.  Although this is not an emergency, as our customers, you have a right to know what you should do, what happened, and what we are doing to correct this situation.</w:t>
      </w:r>
    </w:p>
    <w:p w14:paraId="539C73FA" w14:textId="77777777" w:rsidR="001F153F" w:rsidRPr="00D16EBA" w:rsidRDefault="001F153F" w:rsidP="00B725C5">
      <w:pPr>
        <w:spacing w:after="240"/>
        <w:rPr>
          <w:rFonts w:ascii="Arial" w:hAnsi="Arial" w:cs="Arial"/>
          <w:color w:val="0000FF"/>
        </w:rPr>
      </w:pPr>
      <w:r w:rsidRPr="00D16EBA">
        <w:rPr>
          <w:rFonts w:ascii="Arial" w:hAnsi="Arial" w:cs="Arial"/>
          <w:color w:val="0000FF"/>
        </w:rPr>
        <w:t>[Describe the violation - use descriptions from instructions].</w:t>
      </w:r>
    </w:p>
    <w:p w14:paraId="341A18DC" w14:textId="77777777" w:rsidR="001F153F" w:rsidRPr="00D16EBA" w:rsidRDefault="001F153F" w:rsidP="00B725C5">
      <w:pPr>
        <w:spacing w:after="240"/>
        <w:rPr>
          <w:rFonts w:ascii="Arial" w:hAnsi="Arial" w:cs="Arial"/>
        </w:rPr>
      </w:pPr>
      <w:r w:rsidRPr="00D16EBA">
        <w:rPr>
          <w:rFonts w:ascii="Arial" w:hAnsi="Arial" w:cs="Arial"/>
          <w:b/>
        </w:rPr>
        <w:t>What should I do?</w:t>
      </w:r>
    </w:p>
    <w:p w14:paraId="68387DFF" w14:textId="77777777" w:rsidR="001F153F" w:rsidRPr="00D16EBA" w:rsidRDefault="001F153F" w:rsidP="00B725C5">
      <w:pPr>
        <w:pStyle w:val="BodyText2"/>
        <w:numPr>
          <w:ilvl w:val="0"/>
          <w:numId w:val="5"/>
        </w:numPr>
        <w:rPr>
          <w:color w:val="auto"/>
        </w:rPr>
      </w:pPr>
      <w:r w:rsidRPr="00D16EBA">
        <w:rPr>
          <w:b/>
          <w:color w:val="auto"/>
        </w:rPr>
        <w:t>You do not need to boil your water or take other actions.</w:t>
      </w:r>
    </w:p>
    <w:p w14:paraId="5A4683D1" w14:textId="77777777" w:rsidR="001F153F" w:rsidRPr="00D16EBA" w:rsidRDefault="001F153F" w:rsidP="00B725C5">
      <w:pPr>
        <w:pStyle w:val="BodyText3"/>
        <w:numPr>
          <w:ilvl w:val="0"/>
          <w:numId w:val="5"/>
        </w:numPr>
        <w:jc w:val="left"/>
        <w:rPr>
          <w:color w:val="auto"/>
        </w:rPr>
      </w:pPr>
      <w:r w:rsidRPr="00D16EBA">
        <w:rPr>
          <w:color w:val="auto"/>
        </w:rPr>
        <w:t>This is not an emergency.  If it had been, you would have been notified immediately.</w:t>
      </w:r>
    </w:p>
    <w:p w14:paraId="5E3BBD25" w14:textId="77777777" w:rsidR="001F153F" w:rsidRPr="00D16EBA" w:rsidRDefault="001F153F" w:rsidP="00B725C5">
      <w:pPr>
        <w:pStyle w:val="BodyText3"/>
        <w:numPr>
          <w:ilvl w:val="0"/>
          <w:numId w:val="5"/>
        </w:numPr>
        <w:jc w:val="left"/>
        <w:rPr>
          <w:i/>
          <w:iCs/>
          <w:color w:val="auto"/>
        </w:rPr>
      </w:pPr>
      <w:r w:rsidRPr="00D16EBA">
        <w:rPr>
          <w:i/>
          <w:iCs/>
          <w:snapToGrid w:val="0"/>
          <w:color w:val="auto"/>
        </w:rPr>
        <w:t xml:space="preserve">Total organic carbon (TOC) has no health effects.  However, total organic carbon provides a medium for the formation of disinfection byproducts.  These byproducts include trihalomethanes (THMs) and </w:t>
      </w:r>
      <w:proofErr w:type="spellStart"/>
      <w:r w:rsidRPr="00D16EBA">
        <w:rPr>
          <w:i/>
          <w:iCs/>
          <w:snapToGrid w:val="0"/>
          <w:color w:val="auto"/>
        </w:rPr>
        <w:t>haloacetic</w:t>
      </w:r>
      <w:proofErr w:type="spellEnd"/>
      <w:r w:rsidRPr="00D16EBA">
        <w:rPr>
          <w:i/>
          <w:iCs/>
          <w:snapToGrid w:val="0"/>
          <w:color w:val="auto"/>
        </w:rPr>
        <w:t xml:space="preserve"> acids (HAAs).  Drinking water containing these byproducts </w:t>
      </w:r>
      <w:proofErr w:type="gramStart"/>
      <w:r w:rsidRPr="00D16EBA">
        <w:rPr>
          <w:i/>
          <w:iCs/>
          <w:snapToGrid w:val="0"/>
          <w:color w:val="auto"/>
        </w:rPr>
        <w:t>in excess of</w:t>
      </w:r>
      <w:proofErr w:type="gramEnd"/>
      <w:r w:rsidRPr="00D16EBA">
        <w:rPr>
          <w:i/>
          <w:iCs/>
          <w:snapToGrid w:val="0"/>
          <w:color w:val="auto"/>
        </w:rPr>
        <w:t xml:space="preserve"> the MCL may lead to adverse health effects, liver or kidney problems, or nervous system effects, and may lead to an increased risk of getting cancer.</w:t>
      </w:r>
    </w:p>
    <w:p w14:paraId="34D41493" w14:textId="3B1863E7" w:rsidR="001F153F" w:rsidRPr="00D16EBA" w:rsidRDefault="001F153F" w:rsidP="00B725C5">
      <w:pPr>
        <w:pStyle w:val="BodyText3"/>
        <w:numPr>
          <w:ilvl w:val="0"/>
          <w:numId w:val="5"/>
        </w:numPr>
        <w:jc w:val="left"/>
        <w:rPr>
          <w:color w:val="0000FF"/>
        </w:rPr>
      </w:pPr>
      <w:r w:rsidRPr="00D16EBA">
        <w:rPr>
          <w:snapToGrid w:val="0"/>
          <w:color w:val="0000FF"/>
        </w:rPr>
        <w:t>[Option for water systems:  Water systems may wish to include a statement describing their compliance with T</w:t>
      </w:r>
      <w:r w:rsidR="005B389A" w:rsidRPr="00D16EBA">
        <w:rPr>
          <w:snapToGrid w:val="0"/>
          <w:color w:val="0000FF"/>
        </w:rPr>
        <w:t>T</w:t>
      </w:r>
      <w:r w:rsidRPr="00D16EBA">
        <w:rPr>
          <w:snapToGrid w:val="0"/>
          <w:color w:val="0000FF"/>
        </w:rPr>
        <w:t>HM/HAA5 requirements, if applicable]</w:t>
      </w:r>
      <w:r w:rsidR="00E87B3E" w:rsidRPr="00D16EBA">
        <w:rPr>
          <w:snapToGrid w:val="0"/>
          <w:color w:val="0000FF"/>
        </w:rPr>
        <w:t>.</w:t>
      </w:r>
    </w:p>
    <w:p w14:paraId="472626F7" w14:textId="77777777" w:rsidR="001F153F" w:rsidRPr="00D16EBA" w:rsidRDefault="001F153F" w:rsidP="00B725C5">
      <w:pPr>
        <w:pStyle w:val="BodyText3"/>
        <w:numPr>
          <w:ilvl w:val="0"/>
          <w:numId w:val="5"/>
        </w:numPr>
        <w:jc w:val="left"/>
        <w:rPr>
          <w:color w:val="auto"/>
        </w:rPr>
      </w:pPr>
      <w:r w:rsidRPr="00D16EBA">
        <w:rPr>
          <w:color w:val="auto"/>
        </w:rPr>
        <w:t>If you have other health issues concerning the consumption of this water, you may wish to consult with your doctor.</w:t>
      </w:r>
    </w:p>
    <w:p w14:paraId="1DB1AA39" w14:textId="77777777" w:rsidR="001F153F" w:rsidRPr="00D16EBA" w:rsidRDefault="001F153F" w:rsidP="00B725C5">
      <w:pPr>
        <w:spacing w:after="240"/>
        <w:rPr>
          <w:rFonts w:ascii="Arial" w:hAnsi="Arial" w:cs="Arial"/>
        </w:rPr>
      </w:pPr>
      <w:r w:rsidRPr="00D16EBA">
        <w:rPr>
          <w:rFonts w:ascii="Arial" w:hAnsi="Arial" w:cs="Arial"/>
          <w:b/>
        </w:rPr>
        <w:t>What happened? What is being done?</w:t>
      </w:r>
    </w:p>
    <w:p w14:paraId="43DC140A" w14:textId="3F3C6884" w:rsidR="001F153F" w:rsidRPr="00D16EBA" w:rsidRDefault="001F153F" w:rsidP="00B725C5">
      <w:pPr>
        <w:pStyle w:val="BodyText3"/>
        <w:jc w:val="left"/>
        <w:rPr>
          <w:color w:val="auto"/>
        </w:rPr>
      </w:pPr>
      <w:r w:rsidRPr="00D16EBA">
        <w:rPr>
          <w:color w:val="0000FF"/>
        </w:rPr>
        <w:t>[</w:t>
      </w:r>
      <w:r w:rsidR="00990FA1" w:rsidRPr="00D16EBA">
        <w:rPr>
          <w:color w:val="0000FF"/>
        </w:rPr>
        <w:t xml:space="preserve">Insert the </w:t>
      </w:r>
      <w:r w:rsidRPr="00D16EBA">
        <w:rPr>
          <w:color w:val="0000FF"/>
        </w:rPr>
        <w:t>corrective action</w:t>
      </w:r>
      <w:r w:rsidR="00990FA1" w:rsidRPr="00D16EBA">
        <w:rPr>
          <w:color w:val="0000FF"/>
        </w:rPr>
        <w:t xml:space="preserve"> that was taken or will be taken</w:t>
      </w:r>
      <w:r w:rsidR="008C6793">
        <w:rPr>
          <w:color w:val="0000FF"/>
        </w:rPr>
        <w:t>. Examples are included in the instructions</w:t>
      </w:r>
      <w:r w:rsidRPr="00D16EBA">
        <w:rPr>
          <w:color w:val="0000FF"/>
        </w:rPr>
        <w:t>]</w:t>
      </w:r>
      <w:r w:rsidR="008D3496" w:rsidRPr="00D16EBA">
        <w:rPr>
          <w:color w:val="auto"/>
        </w:rPr>
        <w:t xml:space="preserve">. </w:t>
      </w:r>
    </w:p>
    <w:p w14:paraId="6CF99A79" w14:textId="0379A57A" w:rsidR="001F153F" w:rsidRPr="00D16EBA" w:rsidRDefault="001F153F" w:rsidP="00B725C5">
      <w:pPr>
        <w:pStyle w:val="BodyText3"/>
        <w:jc w:val="left"/>
        <w:rPr>
          <w:color w:val="auto"/>
        </w:rPr>
      </w:pPr>
      <w:r w:rsidRPr="00D16EBA">
        <w:rPr>
          <w:color w:val="auto"/>
        </w:rPr>
        <w:t xml:space="preserve">For more information, please contact </w:t>
      </w:r>
      <w:r w:rsidRPr="00D16EBA">
        <w:rPr>
          <w:color w:val="0000FF"/>
        </w:rPr>
        <w:t>[</w:t>
      </w:r>
      <w:r w:rsidR="00990FA1" w:rsidRPr="00D16EBA">
        <w:rPr>
          <w:color w:val="0000FF"/>
        </w:rPr>
        <w:t xml:space="preserve">Insert </w:t>
      </w:r>
      <w:r w:rsidRPr="00D16EBA">
        <w:rPr>
          <w:color w:val="0000FF"/>
        </w:rPr>
        <w:t>name of</w:t>
      </w:r>
      <w:r w:rsidR="00990FA1" w:rsidRPr="00D16EBA">
        <w:rPr>
          <w:color w:val="0000FF"/>
        </w:rPr>
        <w:t xml:space="preserve"> water system</w:t>
      </w:r>
      <w:r w:rsidRPr="00D16EBA">
        <w:rPr>
          <w:color w:val="0000FF"/>
        </w:rPr>
        <w:t xml:space="preserve"> contact] </w:t>
      </w:r>
      <w:r w:rsidRPr="00D16EBA">
        <w:rPr>
          <w:color w:val="auto"/>
        </w:rPr>
        <w:t xml:space="preserve">at </w:t>
      </w:r>
      <w:r w:rsidRPr="00D16EBA">
        <w:rPr>
          <w:color w:val="0000FF"/>
        </w:rPr>
        <w:t>[</w:t>
      </w:r>
      <w:r w:rsidR="00990FA1" w:rsidRPr="00D16EBA">
        <w:rPr>
          <w:color w:val="0000FF"/>
        </w:rPr>
        <w:t xml:space="preserve">Insert water system contact’s </w:t>
      </w:r>
      <w:r w:rsidRPr="00D16EBA">
        <w:rPr>
          <w:color w:val="0000FF"/>
        </w:rPr>
        <w:t xml:space="preserve">phone number] </w:t>
      </w:r>
      <w:r w:rsidRPr="00D16EBA">
        <w:rPr>
          <w:color w:val="auto"/>
        </w:rPr>
        <w:t xml:space="preserve">or </w:t>
      </w:r>
      <w:r w:rsidRPr="00D16EBA">
        <w:rPr>
          <w:color w:val="0000FF"/>
        </w:rPr>
        <w:t>[</w:t>
      </w:r>
      <w:r w:rsidR="00990FA1" w:rsidRPr="00D16EBA">
        <w:rPr>
          <w:color w:val="0000FF"/>
        </w:rPr>
        <w:t xml:space="preserve">Insert water system’s </w:t>
      </w:r>
      <w:r w:rsidRPr="00D16EBA">
        <w:rPr>
          <w:color w:val="0000FF"/>
        </w:rPr>
        <w:t>mailing address]</w:t>
      </w:r>
      <w:r w:rsidRPr="00D16EBA">
        <w:rPr>
          <w:color w:val="auto"/>
        </w:rPr>
        <w:t>.</w:t>
      </w:r>
    </w:p>
    <w:p w14:paraId="3EA801CD" w14:textId="77777777" w:rsidR="001F153F" w:rsidRPr="00D16EBA" w:rsidRDefault="001F153F" w:rsidP="00B725C5">
      <w:pPr>
        <w:keepLines/>
        <w:spacing w:after="240"/>
        <w:rPr>
          <w:rFonts w:ascii="Arial" w:hAnsi="Arial" w:cs="Arial"/>
          <w:iCs/>
        </w:rPr>
      </w:pPr>
      <w:r w:rsidRPr="00D16EBA">
        <w:rPr>
          <w:rFonts w:ascii="Arial" w:hAnsi="Arial" w:cs="Arial"/>
          <w:iCs/>
        </w:rPr>
        <w:lastRenderedPageBreak/>
        <w:t>Please share this information with all 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4E59FA67" w14:textId="77777777" w:rsidR="001F153F" w:rsidRPr="00D16EBA" w:rsidRDefault="001F153F" w:rsidP="00B725C5">
      <w:pPr>
        <w:pStyle w:val="BodyText2"/>
        <w:rPr>
          <w:color w:val="auto"/>
        </w:rPr>
      </w:pPr>
      <w:bookmarkStart w:id="1" w:name="OLE_LINK1"/>
      <w:r w:rsidRPr="00D16EBA">
        <w:rPr>
          <w:b/>
          <w:bCs/>
          <w:color w:val="auto"/>
        </w:rPr>
        <w:t xml:space="preserve">Secondary Notification Requirements </w:t>
      </w:r>
    </w:p>
    <w:p w14:paraId="6CE80E97" w14:textId="612E5EBB" w:rsidR="001F153F" w:rsidRPr="00D16EBA" w:rsidRDefault="001F153F" w:rsidP="00B725C5">
      <w:pPr>
        <w:pStyle w:val="BodyText2"/>
        <w:rPr>
          <w:color w:val="auto"/>
        </w:rPr>
      </w:pPr>
      <w:r w:rsidRPr="00D16EBA">
        <w:rPr>
          <w:color w:val="auto"/>
        </w:rPr>
        <w:t>Upon receipt of notification from a person operating a public water system, the following notification must be given within 10 days [</w:t>
      </w:r>
      <w:r w:rsidR="005B389A" w:rsidRPr="00D16EBA">
        <w:rPr>
          <w:color w:val="auto"/>
        </w:rPr>
        <w:t xml:space="preserve">per </w:t>
      </w:r>
      <w:r w:rsidRPr="00D16EBA">
        <w:rPr>
          <w:color w:val="auto"/>
        </w:rPr>
        <w:t>Health and Safety Code Section</w:t>
      </w:r>
      <w:r w:rsidR="005B389A" w:rsidRPr="00D16EBA">
        <w:rPr>
          <w:color w:val="auto"/>
        </w:rPr>
        <w:t xml:space="preserve"> </w:t>
      </w:r>
      <w:r w:rsidRPr="00D16EBA">
        <w:rPr>
          <w:color w:val="auto"/>
        </w:rPr>
        <w:t>116450(g)]:</w:t>
      </w:r>
    </w:p>
    <w:p w14:paraId="1D84BA82" w14:textId="77777777" w:rsidR="001F153F" w:rsidRPr="00D16EBA" w:rsidRDefault="001F153F" w:rsidP="00B725C5">
      <w:pPr>
        <w:pStyle w:val="BodyText2"/>
        <w:numPr>
          <w:ilvl w:val="0"/>
          <w:numId w:val="6"/>
        </w:numPr>
        <w:rPr>
          <w:color w:val="auto"/>
        </w:rPr>
      </w:pPr>
      <w:r w:rsidRPr="00D16EBA">
        <w:rPr>
          <w:color w:val="auto"/>
        </w:rPr>
        <w:t>SCHOOLS: Must notify school employees, students, and parents (if the students are minors).</w:t>
      </w:r>
    </w:p>
    <w:p w14:paraId="07F3C640" w14:textId="77777777" w:rsidR="001F153F" w:rsidRPr="00D16EBA" w:rsidRDefault="001F153F" w:rsidP="00B725C5">
      <w:pPr>
        <w:pStyle w:val="BodyText2"/>
        <w:numPr>
          <w:ilvl w:val="0"/>
          <w:numId w:val="6"/>
        </w:numPr>
        <w:rPr>
          <w:color w:val="auto"/>
        </w:rPr>
      </w:pPr>
      <w:r w:rsidRPr="00D16EBA">
        <w:rPr>
          <w:color w:val="auto"/>
        </w:rPr>
        <w:t>RESIDENTIAL RENTAL PROPERTY OWNERS OR MANAGERS (including nursing homes and care facilities):  Must notify tenants.</w:t>
      </w:r>
    </w:p>
    <w:p w14:paraId="2E09417E" w14:textId="77777777" w:rsidR="001F153F" w:rsidRPr="00D16EBA" w:rsidRDefault="001F153F" w:rsidP="00B725C5">
      <w:pPr>
        <w:pStyle w:val="BodyText2"/>
        <w:numPr>
          <w:ilvl w:val="0"/>
          <w:numId w:val="6"/>
        </w:numPr>
        <w:rPr>
          <w:color w:val="auto"/>
        </w:rPr>
      </w:pPr>
      <w:r w:rsidRPr="00D16EBA">
        <w:rPr>
          <w:color w:val="auto"/>
        </w:rPr>
        <w:t>BUSINESS PROPERTY OWNERS, MANAGERS, OR OPERATORS:  Must notify employees of businesses located on the property.</w:t>
      </w:r>
    </w:p>
    <w:p w14:paraId="34225A1D" w14:textId="412CC614" w:rsidR="001F153F" w:rsidRPr="00D16EBA" w:rsidRDefault="001F153F" w:rsidP="00B725C5">
      <w:pPr>
        <w:tabs>
          <w:tab w:val="left" w:pos="4140"/>
        </w:tabs>
        <w:spacing w:after="240"/>
        <w:rPr>
          <w:rFonts w:ascii="Arial" w:hAnsi="Arial" w:cs="Arial"/>
        </w:rPr>
      </w:pPr>
      <w:r w:rsidRPr="00D16EBA">
        <w:rPr>
          <w:rFonts w:ascii="Arial" w:hAnsi="Arial" w:cs="Arial"/>
        </w:rPr>
        <w:t xml:space="preserve">This notice is being sent to you by </w:t>
      </w:r>
      <w:r w:rsidRPr="00D16EBA">
        <w:rPr>
          <w:rFonts w:ascii="Arial" w:hAnsi="Arial" w:cs="Arial"/>
          <w:color w:val="0000FF"/>
        </w:rPr>
        <w:t>[</w:t>
      </w:r>
      <w:r w:rsidR="005B389A" w:rsidRPr="00D16EBA">
        <w:rPr>
          <w:rFonts w:ascii="Arial" w:hAnsi="Arial" w:cs="Arial"/>
          <w:color w:val="0000FF"/>
        </w:rPr>
        <w:t xml:space="preserve">Insert water </w:t>
      </w:r>
      <w:r w:rsidRPr="00D16EBA">
        <w:rPr>
          <w:rFonts w:ascii="Arial" w:hAnsi="Arial" w:cs="Arial"/>
          <w:color w:val="0000FF"/>
        </w:rPr>
        <w:t>system</w:t>
      </w:r>
      <w:r w:rsidR="005B389A" w:rsidRPr="00D16EBA">
        <w:rPr>
          <w:rFonts w:ascii="Arial" w:hAnsi="Arial" w:cs="Arial"/>
          <w:color w:val="0000FF"/>
        </w:rPr>
        <w:t xml:space="preserve"> name</w:t>
      </w:r>
      <w:r w:rsidRPr="00D16EBA">
        <w:rPr>
          <w:rFonts w:ascii="Arial" w:hAnsi="Arial" w:cs="Arial"/>
          <w:color w:val="0000FF"/>
        </w:rPr>
        <w:t>]</w:t>
      </w:r>
      <w:r w:rsidRPr="00D16EBA">
        <w:rPr>
          <w:rFonts w:ascii="Arial" w:hAnsi="Arial" w:cs="Arial"/>
        </w:rPr>
        <w:t>.</w:t>
      </w:r>
    </w:p>
    <w:p w14:paraId="3FEAD6A2" w14:textId="1F90CBCC" w:rsidR="005B389A" w:rsidRPr="00D16EBA" w:rsidRDefault="001F153F" w:rsidP="00B725C5">
      <w:pPr>
        <w:tabs>
          <w:tab w:val="left" w:pos="4140"/>
        </w:tabs>
        <w:spacing w:after="240"/>
        <w:rPr>
          <w:rFonts w:ascii="Arial" w:hAnsi="Arial" w:cs="Arial"/>
        </w:rPr>
      </w:pPr>
      <w:r w:rsidRPr="00D16EBA">
        <w:rPr>
          <w:rFonts w:ascii="Arial" w:hAnsi="Arial" w:cs="Arial"/>
        </w:rPr>
        <w:t>State Water</w:t>
      </w:r>
      <w:r w:rsidRPr="00D16EBA">
        <w:rPr>
          <w:rFonts w:ascii="Arial" w:hAnsi="Arial" w:cs="Arial"/>
          <w:color w:val="FF0000"/>
        </w:rPr>
        <w:t xml:space="preserve"> </w:t>
      </w:r>
      <w:r w:rsidRPr="00D16EBA">
        <w:rPr>
          <w:rFonts w:ascii="Arial" w:hAnsi="Arial" w:cs="Arial"/>
        </w:rPr>
        <w:t>System</w:t>
      </w:r>
      <w:r w:rsidR="005B389A" w:rsidRPr="00D16EBA">
        <w:rPr>
          <w:rFonts w:ascii="Arial" w:hAnsi="Arial" w:cs="Arial"/>
        </w:rPr>
        <w:t xml:space="preserve"> Number: </w:t>
      </w:r>
      <w:r w:rsidR="005B389A" w:rsidRPr="00D16EBA">
        <w:rPr>
          <w:rFonts w:ascii="Arial" w:hAnsi="Arial" w:cs="Arial"/>
          <w:color w:val="0000FF"/>
        </w:rPr>
        <w:t>[Insert water system number]</w:t>
      </w:r>
      <w:r w:rsidR="005B389A" w:rsidRPr="00D16EBA">
        <w:rPr>
          <w:rFonts w:ascii="Arial" w:hAnsi="Arial" w:cs="Arial"/>
        </w:rPr>
        <w:t>.</w:t>
      </w:r>
    </w:p>
    <w:p w14:paraId="24E7CE1F" w14:textId="14CE4130" w:rsidR="001F153F" w:rsidRPr="005B389A" w:rsidRDefault="001F153F" w:rsidP="00B725C5">
      <w:pPr>
        <w:tabs>
          <w:tab w:val="left" w:pos="4140"/>
        </w:tabs>
        <w:spacing w:after="240"/>
        <w:rPr>
          <w:rFonts w:ascii="Arial" w:hAnsi="Arial" w:cs="Arial"/>
        </w:rPr>
      </w:pPr>
      <w:r w:rsidRPr="00D16EBA">
        <w:rPr>
          <w:rFonts w:ascii="Arial" w:hAnsi="Arial" w:cs="Arial"/>
          <w:color w:val="000000"/>
        </w:rPr>
        <w:t xml:space="preserve">Date distributed: </w:t>
      </w:r>
      <w:bookmarkEnd w:id="1"/>
      <w:r w:rsidR="005B389A" w:rsidRPr="00D16EBA">
        <w:rPr>
          <w:rFonts w:ascii="Arial" w:hAnsi="Arial" w:cs="Arial"/>
          <w:color w:val="0000FF"/>
        </w:rPr>
        <w:t>[Insert date the notice is distributed]</w:t>
      </w:r>
      <w:r w:rsidR="005B389A" w:rsidRPr="00D16EBA">
        <w:rPr>
          <w:rFonts w:ascii="Arial" w:hAnsi="Arial" w:cs="Arial"/>
        </w:rPr>
        <w:t>.</w:t>
      </w:r>
    </w:p>
    <w:sectPr w:rsidR="001F153F" w:rsidRPr="005B389A">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43A8E" w14:textId="77777777" w:rsidR="000C45DB" w:rsidRDefault="000C45DB">
      <w:r>
        <w:separator/>
      </w:r>
    </w:p>
  </w:endnote>
  <w:endnote w:type="continuationSeparator" w:id="0">
    <w:p w14:paraId="7DFD3F73" w14:textId="77777777" w:rsidR="000C45DB" w:rsidRDefault="000C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9E81" w14:textId="1277ADD3" w:rsidR="00821E41" w:rsidRDefault="0054311E">
    <w:pPr>
      <w:pStyle w:val="Footer"/>
      <w:tabs>
        <w:tab w:val="clear" w:pos="4320"/>
        <w:tab w:val="clear" w:pos="8640"/>
        <w:tab w:val="right" w:pos="9360"/>
      </w:tabs>
      <w:rPr>
        <w:rFonts w:ascii="Arial" w:hAnsi="Arial" w:cs="Arial"/>
        <w:i/>
        <w:iCs/>
        <w:sz w:val="20"/>
      </w:rPr>
    </w:pPr>
    <w:r>
      <w:rPr>
        <w:rFonts w:ascii="Arial" w:hAnsi="Arial" w:cs="Arial"/>
        <w:i/>
        <w:iCs/>
        <w:sz w:val="20"/>
      </w:rPr>
      <w:t>State Water Resources Control Board</w:t>
    </w:r>
    <w:r w:rsidR="00821E41">
      <w:rPr>
        <w:rFonts w:ascii="Arial" w:hAnsi="Arial" w:cs="Arial"/>
        <w:i/>
        <w:iCs/>
        <w:sz w:val="20"/>
      </w:rPr>
      <w:tab/>
    </w:r>
    <w:r w:rsidR="006A1BD2">
      <w:rPr>
        <w:rFonts w:ascii="Arial" w:hAnsi="Arial" w:cs="Arial"/>
        <w:i/>
        <w:iCs/>
        <w:sz w:val="20"/>
      </w:rPr>
      <w:t>Updated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27B29" w14:textId="77777777" w:rsidR="000C45DB" w:rsidRDefault="000C45DB">
      <w:r>
        <w:separator/>
      </w:r>
    </w:p>
  </w:footnote>
  <w:footnote w:type="continuationSeparator" w:id="0">
    <w:p w14:paraId="67BE2F05" w14:textId="77777777" w:rsidR="000C45DB" w:rsidRDefault="000C4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61F"/>
    <w:multiLevelType w:val="hybridMultilevel"/>
    <w:tmpl w:val="6A2A3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B04FE"/>
    <w:multiLevelType w:val="hybridMultilevel"/>
    <w:tmpl w:val="676AA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E4720"/>
    <w:multiLevelType w:val="hybridMultilevel"/>
    <w:tmpl w:val="915E4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E4928"/>
    <w:multiLevelType w:val="hybridMultilevel"/>
    <w:tmpl w:val="81FABE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DC12D8"/>
    <w:multiLevelType w:val="multilevel"/>
    <w:tmpl w:val="6A2A3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277C9"/>
    <w:multiLevelType w:val="hybridMultilevel"/>
    <w:tmpl w:val="E1B0B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F71D4"/>
    <w:multiLevelType w:val="multilevel"/>
    <w:tmpl w:val="6A2A3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90E8E"/>
    <w:multiLevelType w:val="hybridMultilevel"/>
    <w:tmpl w:val="D24C5B6C"/>
    <w:lvl w:ilvl="0" w:tplc="DB2CA012">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B36B4"/>
    <w:multiLevelType w:val="hybridMultilevel"/>
    <w:tmpl w:val="B2782E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2A750D"/>
    <w:multiLevelType w:val="hybridMultilevel"/>
    <w:tmpl w:val="6BD2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4474B"/>
    <w:multiLevelType w:val="hybridMultilevel"/>
    <w:tmpl w:val="B05E9A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965AD"/>
    <w:multiLevelType w:val="multilevel"/>
    <w:tmpl w:val="6A2A3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FC1A4F"/>
    <w:multiLevelType w:val="multilevel"/>
    <w:tmpl w:val="B2782E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B6298"/>
    <w:multiLevelType w:val="hybridMultilevel"/>
    <w:tmpl w:val="0BD89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F1F4A"/>
    <w:multiLevelType w:val="hybridMultilevel"/>
    <w:tmpl w:val="15E69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314B7E"/>
    <w:multiLevelType w:val="hybridMultilevel"/>
    <w:tmpl w:val="F626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F4378"/>
    <w:multiLevelType w:val="multilevel"/>
    <w:tmpl w:val="B05E9A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5"/>
  </w:num>
  <w:num w:numId="5">
    <w:abstractNumId w:val="7"/>
  </w:num>
  <w:num w:numId="6">
    <w:abstractNumId w:val="8"/>
  </w:num>
  <w:num w:numId="7">
    <w:abstractNumId w:val="12"/>
  </w:num>
  <w:num w:numId="8">
    <w:abstractNumId w:val="11"/>
  </w:num>
  <w:num w:numId="9">
    <w:abstractNumId w:val="17"/>
  </w:num>
  <w:num w:numId="10">
    <w:abstractNumId w:val="3"/>
  </w:num>
  <w:num w:numId="11">
    <w:abstractNumId w:val="4"/>
  </w:num>
  <w:num w:numId="12">
    <w:abstractNumId w:val="6"/>
  </w:num>
  <w:num w:numId="13">
    <w:abstractNumId w:val="9"/>
  </w:num>
  <w:num w:numId="14">
    <w:abstractNumId w:val="13"/>
  </w:num>
  <w:num w:numId="15">
    <w:abstractNumId w:val="10"/>
  </w:num>
  <w:num w:numId="16">
    <w:abstractNumId w:val="14"/>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D4"/>
    <w:rsid w:val="000414A2"/>
    <w:rsid w:val="00062003"/>
    <w:rsid w:val="00094B1E"/>
    <w:rsid w:val="000C45DB"/>
    <w:rsid w:val="001030BE"/>
    <w:rsid w:val="001A1A8F"/>
    <w:rsid w:val="001F153F"/>
    <w:rsid w:val="00201948"/>
    <w:rsid w:val="002A17CB"/>
    <w:rsid w:val="002B1C3A"/>
    <w:rsid w:val="0031626E"/>
    <w:rsid w:val="00364A4E"/>
    <w:rsid w:val="00376139"/>
    <w:rsid w:val="00393109"/>
    <w:rsid w:val="003A7825"/>
    <w:rsid w:val="003B0AB7"/>
    <w:rsid w:val="003B4DED"/>
    <w:rsid w:val="003B6540"/>
    <w:rsid w:val="00411FAB"/>
    <w:rsid w:val="00416480"/>
    <w:rsid w:val="00420988"/>
    <w:rsid w:val="00443DDD"/>
    <w:rsid w:val="0054311E"/>
    <w:rsid w:val="005909F3"/>
    <w:rsid w:val="005B389A"/>
    <w:rsid w:val="006259E4"/>
    <w:rsid w:val="00675ECA"/>
    <w:rsid w:val="006A1BD2"/>
    <w:rsid w:val="006B0681"/>
    <w:rsid w:val="006C4506"/>
    <w:rsid w:val="006E2D4A"/>
    <w:rsid w:val="00722C27"/>
    <w:rsid w:val="0075355E"/>
    <w:rsid w:val="00770B9D"/>
    <w:rsid w:val="00791A94"/>
    <w:rsid w:val="007B1373"/>
    <w:rsid w:val="007C7D33"/>
    <w:rsid w:val="007E591F"/>
    <w:rsid w:val="00821E41"/>
    <w:rsid w:val="00860410"/>
    <w:rsid w:val="008C6793"/>
    <w:rsid w:val="008D3496"/>
    <w:rsid w:val="008F59E8"/>
    <w:rsid w:val="00954D5A"/>
    <w:rsid w:val="00990FA1"/>
    <w:rsid w:val="00995839"/>
    <w:rsid w:val="009F29CA"/>
    <w:rsid w:val="009F40D5"/>
    <w:rsid w:val="009F6889"/>
    <w:rsid w:val="00B725C5"/>
    <w:rsid w:val="00BB19CE"/>
    <w:rsid w:val="00BB2378"/>
    <w:rsid w:val="00BC2EE2"/>
    <w:rsid w:val="00BF00D4"/>
    <w:rsid w:val="00C114C0"/>
    <w:rsid w:val="00C655F7"/>
    <w:rsid w:val="00CB2DDE"/>
    <w:rsid w:val="00CC3589"/>
    <w:rsid w:val="00CD5AFE"/>
    <w:rsid w:val="00CD69D5"/>
    <w:rsid w:val="00CD7F3B"/>
    <w:rsid w:val="00D16EBA"/>
    <w:rsid w:val="00D9108B"/>
    <w:rsid w:val="00D92CE3"/>
    <w:rsid w:val="00DD7385"/>
    <w:rsid w:val="00E87B3E"/>
    <w:rsid w:val="00E9409E"/>
    <w:rsid w:val="00EC6BE0"/>
    <w:rsid w:val="00F045AA"/>
    <w:rsid w:val="00F95415"/>
    <w:rsid w:val="00FC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F83327B"/>
  <w15:chartTrackingRefBased/>
  <w15:docId w15:val="{940B3177-98C1-4A0A-AAA4-FFB634A1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after="240"/>
      <w:outlineLvl w:val="0"/>
    </w:pPr>
    <w:rPr>
      <w:rFonts w:ascii="Arial" w:hAnsi="Arial" w:cs="Arial"/>
      <w:b/>
      <w:color w:val="000000"/>
      <w:sz w:val="20"/>
    </w:rPr>
  </w:style>
  <w:style w:type="paragraph" w:styleId="Heading2">
    <w:name w:val="heading 2"/>
    <w:basedOn w:val="Normal"/>
    <w:next w:val="Normal"/>
    <w:qFormat/>
    <w:pPr>
      <w:keepNext/>
      <w:spacing w:before="120" w:after="120"/>
      <w:jc w:val="center"/>
      <w:outlineLvl w:val="1"/>
    </w:pPr>
    <w:rPr>
      <w:rFonts w:ascii="Arial" w:hAnsi="Arial" w:cs="Arial"/>
      <w:b/>
      <w:color w:val="FFFFFF"/>
    </w:rPr>
  </w:style>
  <w:style w:type="paragraph" w:styleId="Heading3">
    <w:name w:val="heading 3"/>
    <w:basedOn w:val="Normal"/>
    <w:next w:val="Normal"/>
    <w:qFormat/>
    <w:pPr>
      <w:keepNext/>
      <w:spacing w:after="240"/>
      <w:outlineLvl w:val="2"/>
    </w:pPr>
    <w:rPr>
      <w:rFonts w:ascii="Arial" w:hAnsi="Arial" w:cs="Arial"/>
      <w:b/>
      <w:bCs/>
      <w:color w:val="000000"/>
    </w:rPr>
  </w:style>
  <w:style w:type="paragraph" w:styleId="Heading4">
    <w:name w:val="heading 4"/>
    <w:basedOn w:val="Normal"/>
    <w:next w:val="Normal"/>
    <w:qFormat/>
    <w:pPr>
      <w:keepNext/>
      <w:spacing w:after="240"/>
      <w:outlineLvl w:val="3"/>
    </w:pPr>
    <w:rPr>
      <w:rFonts w:ascii="Arial" w:hAnsi="Arial" w:cs="Arial"/>
      <w:color w:val="000000"/>
      <w:u w:val="single"/>
    </w:rPr>
  </w:style>
  <w:style w:type="paragraph" w:styleId="Heading5">
    <w:name w:val="heading 5"/>
    <w:basedOn w:val="Normal"/>
    <w:next w:val="Normal"/>
    <w:qFormat/>
    <w:pPr>
      <w:keepNext/>
      <w:spacing w:before="20" w:after="20"/>
      <w:jc w:val="center"/>
      <w:outlineLvl w:val="4"/>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rFonts w:ascii="Arial" w:hAnsi="Arial"/>
      <w:snapToGrid w:val="0"/>
      <w:szCs w:val="20"/>
    </w:rPr>
  </w:style>
  <w:style w:type="paragraph" w:customStyle="1" w:styleId="Level1">
    <w:name w:val="Level 1"/>
    <w:basedOn w:val="Normal"/>
    <w:pPr>
      <w:widowControl w:val="0"/>
      <w:ind w:left="720" w:hanging="720"/>
    </w:pPr>
    <w:rPr>
      <w:rFonts w:ascii="Arial" w:hAnsi="Arial"/>
      <w:snapToGrid w:val="0"/>
      <w:szCs w:val="20"/>
    </w:rPr>
  </w:style>
  <w:style w:type="paragraph" w:styleId="BodyText">
    <w:name w:val="Body Text"/>
    <w:basedOn w:val="Normal"/>
    <w:pPr>
      <w:spacing w:after="240"/>
      <w:jc w:val="both"/>
    </w:pPr>
    <w:rPr>
      <w:rFonts w:ascii="Arial" w:hAnsi="Arial" w:cs="Arial"/>
      <w:color w:val="000000"/>
      <w:sz w:val="20"/>
    </w:rPr>
  </w:style>
  <w:style w:type="paragraph" w:styleId="BodyText2">
    <w:name w:val="Body Text 2"/>
    <w:basedOn w:val="Normal"/>
    <w:pPr>
      <w:spacing w:before="240" w:after="240"/>
    </w:pPr>
    <w:rPr>
      <w:rFonts w:ascii="Arial" w:hAnsi="Arial" w:cs="Arial"/>
      <w:color w:val="000000"/>
    </w:rPr>
  </w:style>
  <w:style w:type="paragraph" w:styleId="BodyText3">
    <w:name w:val="Body Text 3"/>
    <w:basedOn w:val="Normal"/>
    <w:pPr>
      <w:spacing w:after="240"/>
      <w:jc w:val="both"/>
    </w:pPr>
    <w:rPr>
      <w:rFonts w:ascii="Arial" w:hAnsi="Arial" w:cs="Arial"/>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360"/>
      </w:tabs>
      <w:spacing w:after="240"/>
      <w:ind w:left="360" w:hanging="360"/>
      <w:jc w:val="both"/>
    </w:pPr>
    <w:rPr>
      <w:rFonts w:ascii="Arial" w:hAnsi="Arial" w:cs="Arial"/>
      <w:color w:val="000000"/>
      <w:sz w:val="20"/>
    </w:rPr>
  </w:style>
  <w:style w:type="paragraph" w:styleId="BalloonText">
    <w:name w:val="Balloon Text"/>
    <w:basedOn w:val="Normal"/>
    <w:link w:val="BalloonTextChar"/>
    <w:rsid w:val="0031626E"/>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BalloonTextChar">
    <w:name w:val="Balloon Text Char"/>
    <w:link w:val="BalloonText"/>
    <w:rsid w:val="0031626E"/>
    <w:rPr>
      <w:rFonts w:ascii="Tahoma" w:hAnsi="Tahoma" w:cs="Tahoma"/>
      <w:sz w:val="16"/>
      <w:szCs w:val="16"/>
    </w:rPr>
  </w:style>
  <w:style w:type="paragraph" w:styleId="ListParagraph">
    <w:name w:val="List Paragraph"/>
    <w:basedOn w:val="Normal"/>
    <w:uiPriority w:val="34"/>
    <w:qFormat/>
    <w:rsid w:val="007B1373"/>
    <w:pPr>
      <w:ind w:left="720"/>
      <w:contextualSpacing/>
    </w:pPr>
  </w:style>
  <w:style w:type="table" w:styleId="TableGrid">
    <w:name w:val="Table Grid"/>
    <w:basedOn w:val="TableNormal"/>
    <w:rsid w:val="009F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60D3F-E36C-4C11-BDDE-5543C90E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6</Pages>
  <Words>2070</Words>
  <Characters>10877</Characters>
  <Application>Microsoft Office Word</Application>
  <DocSecurity>0</DocSecurity>
  <Lines>214</Lines>
  <Paragraphs>91</Paragraphs>
  <ScaleCrop>false</ScaleCrop>
  <HeadingPairs>
    <vt:vector size="2" baseType="variant">
      <vt:variant>
        <vt:lpstr>Title</vt:lpstr>
      </vt:variant>
      <vt:variant>
        <vt:i4>1</vt:i4>
      </vt:variant>
    </vt:vector>
  </HeadingPairs>
  <TitlesOfParts>
    <vt:vector size="1" baseType="lpstr">
      <vt:lpstr>Instructions for SWTR Disinfection Treatment Notices--Template 2 7</vt:lpstr>
    </vt:vector>
  </TitlesOfParts>
  <Company>SWRCB</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Tier 2 stage 1 DBPR DBP Precursor Treatment Notice Template</dc:title>
  <dc:subject>Instructions for Tier 2 stage 1 DBPR DBP Precursor Treatment Notice Template</dc:subject>
  <dc:creator>RDU - SMW</dc:creator>
  <cp:keywords>Instructions; Tier 2 stage 1 DBPR DBP Precursor Treatment; Notice </cp:keywords>
  <dc:description/>
  <cp:lastModifiedBy>Pimentel, David@Waterboards</cp:lastModifiedBy>
  <cp:revision>13</cp:revision>
  <cp:lastPrinted>2014-08-25T18:33:00Z</cp:lastPrinted>
  <dcterms:created xsi:type="dcterms:W3CDTF">2020-06-10T21:06:00Z</dcterms:created>
  <dcterms:modified xsi:type="dcterms:W3CDTF">2020-06-18T17:05:00Z</dcterms:modified>
</cp:coreProperties>
</file>