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EBF4B" w14:textId="4CBD255C" w:rsidR="00321612" w:rsidRPr="00E741EA" w:rsidRDefault="7A10DBF6" w:rsidP="3EC86186">
      <w:pPr>
        <w:rPr>
          <w:b/>
          <w:bCs/>
          <w:sz w:val="28"/>
          <w:szCs w:val="28"/>
        </w:rPr>
      </w:pPr>
      <w:r w:rsidRPr="3EC86186">
        <w:rPr>
          <w:b/>
          <w:bCs/>
          <w:sz w:val="28"/>
          <w:szCs w:val="28"/>
        </w:rPr>
        <w:t xml:space="preserve">Guidance on </w:t>
      </w:r>
      <w:r w:rsidR="03AD8666" w:rsidRPr="3EC86186">
        <w:rPr>
          <w:b/>
          <w:bCs/>
          <w:sz w:val="28"/>
          <w:szCs w:val="28"/>
        </w:rPr>
        <w:t>Anticipated Helium Supply Shortages and Analytical Method Adjustments</w:t>
      </w:r>
    </w:p>
    <w:p w14:paraId="4AAD5140" w14:textId="29BAFA91" w:rsidR="00321612" w:rsidRPr="00321612" w:rsidRDefault="00321612" w:rsidP="00321612">
      <w:r w:rsidRPr="00321612">
        <w:t>To the California Environmental Laboratory Community:</w:t>
      </w:r>
    </w:p>
    <w:p w14:paraId="7612D625" w14:textId="6B234ED8" w:rsidR="00321612" w:rsidRPr="00321612" w:rsidRDefault="00321612" w:rsidP="00321612">
      <w:pPr>
        <w:ind w:firstLine="720"/>
      </w:pPr>
      <w:r w:rsidRPr="00321612">
        <w:t xml:space="preserve">Recent geopolitical events in the Middle East are causing significant disruptions to the global helium supply chain. The escalating conflict has led to the shutdown of </w:t>
      </w:r>
      <w:r>
        <w:t>major</w:t>
      </w:r>
      <w:r w:rsidRPr="00321612">
        <w:t xml:space="preserve"> </w:t>
      </w:r>
      <w:r>
        <w:t>l</w:t>
      </w:r>
      <w:r w:rsidRPr="00321612">
        <w:t xml:space="preserve">iquefied </w:t>
      </w:r>
      <w:r>
        <w:t>n</w:t>
      </w:r>
      <w:r w:rsidRPr="00321612">
        <w:t xml:space="preserve">atural </w:t>
      </w:r>
      <w:r>
        <w:t>g</w:t>
      </w:r>
      <w:r w:rsidRPr="00321612">
        <w:t>as</w:t>
      </w:r>
      <w:r>
        <w:t xml:space="preserve"> (LNG)</w:t>
      </w:r>
      <w:r w:rsidRPr="00321612">
        <w:t xml:space="preserve"> facilities in Qatar. Because Qatar is one of the world's largest producers of helium—a byproduct of LNG extraction—this shutdown</w:t>
      </w:r>
      <w:r>
        <w:t xml:space="preserve"> will likely trigger </w:t>
      </w:r>
      <w:r w:rsidRPr="00321612">
        <w:t>rapid price increases and threaten domestic helium availability for environmental testing laboratories.</w:t>
      </w:r>
    </w:p>
    <w:p w14:paraId="4BAE37BC" w14:textId="5056B9C5" w:rsidR="00321612" w:rsidRPr="00E3361C" w:rsidRDefault="3DC670BA" w:rsidP="77A00A0D">
      <w:pPr>
        <w:ind w:firstLine="720"/>
        <w:rPr>
          <w:rFonts w:ascii="Segoe UI Light" w:eastAsia="Segoe UI Light" w:hAnsi="Segoe UI Light" w:cs="Segoe UI Light"/>
          <w:color w:val="auto"/>
          <w:szCs w:val="20"/>
        </w:rPr>
      </w:pPr>
      <w:r>
        <w:t xml:space="preserve">To mitigate the impact of this potential shortage, the EPA has outlined several helium conservation techniques and approved method </w:t>
      </w:r>
      <w:r w:rsidRPr="00E3361C">
        <w:rPr>
          <w:color w:val="auto"/>
        </w:rPr>
        <w:t xml:space="preserve">modifications. </w:t>
      </w:r>
      <w:r w:rsidR="7F8A042C" w:rsidRPr="00E3361C">
        <w:rPr>
          <w:rFonts w:ascii="Segoe UI Light" w:eastAsia="Segoe UI Light" w:hAnsi="Segoe UI Light" w:cs="Segoe UI Light"/>
          <w:color w:val="auto"/>
          <w:szCs w:val="20"/>
        </w:rPr>
        <w:t>The following information describes operational adjustments that laboratories may voluntarily consider based on their specific circumstances. ELAP is not directing laboratories to implement these changes as a condition of maintaining their accreditation; laboratories should be aware that some adjustments may carry additional costs, including training, supplies, proficiency testing, on-site assessments, and ELAP fees for new method accreditation.</w:t>
      </w:r>
    </w:p>
    <w:p w14:paraId="2388FA07" w14:textId="61E9CFF8" w:rsidR="00E741EA" w:rsidRDefault="00E741EA" w:rsidP="00E741EA">
      <w:r>
        <w:rPr>
          <w:b/>
          <w:bCs/>
        </w:rPr>
        <w:t>Helium conservation tips</w:t>
      </w:r>
    </w:p>
    <w:p w14:paraId="583C7FF5" w14:textId="38C0A937" w:rsidR="00321612" w:rsidRPr="00321612" w:rsidRDefault="00E741EA" w:rsidP="00E741EA">
      <w:pPr>
        <w:ind w:firstLine="720"/>
      </w:pPr>
      <w:r>
        <w:t>Helium</w:t>
      </w:r>
      <w:r w:rsidR="00321612">
        <w:t xml:space="preserve"> conservation techniques can and should be used in all laboratories utilizing helium as a carrier or purge gas. For example, labs should implement standby protocols where </w:t>
      </w:r>
      <w:r w:rsidR="00321612" w:rsidRPr="00321612">
        <w:t xml:space="preserve">helium flow </w:t>
      </w:r>
      <w:r w:rsidR="00321612">
        <w:t xml:space="preserve">is set </w:t>
      </w:r>
      <w:r w:rsidR="00321612" w:rsidRPr="00321612">
        <w:t>to a bare minimum when instruments are in standby</w:t>
      </w:r>
      <w:r>
        <w:t xml:space="preserve"> mode</w:t>
      </w:r>
      <w:r w:rsidR="00321612" w:rsidRPr="00321612">
        <w:t>, or a standby method that puts the inlet in split mode with the split set very low.</w:t>
      </w:r>
      <w:r w:rsidR="00321612">
        <w:t xml:space="preserve"> </w:t>
      </w:r>
      <w:r>
        <w:t>Alternatively, capable instruments</w:t>
      </w:r>
      <w:r w:rsidR="00321612">
        <w:t xml:space="preserve"> should switch to nitrogen </w:t>
      </w:r>
      <w:r>
        <w:t xml:space="preserve">when the instrument is idle and only use helium during active operation. Additionally, it is important to perform </w:t>
      </w:r>
      <w:r w:rsidRPr="00321612">
        <w:t xml:space="preserve">rigorous and routine leak checks on all </w:t>
      </w:r>
      <w:r>
        <w:t>helium</w:t>
      </w:r>
      <w:r w:rsidRPr="00321612">
        <w:t xml:space="preserve"> lines </w:t>
      </w:r>
      <w:r>
        <w:t xml:space="preserve">and connections </w:t>
      </w:r>
      <w:r w:rsidRPr="00321612">
        <w:t>to prevent unintentional gas loss</w:t>
      </w:r>
    </w:p>
    <w:p w14:paraId="2405ABE7" w14:textId="5B30DE18" w:rsidR="00321612" w:rsidRPr="00321612" w:rsidRDefault="00321612" w:rsidP="00321612">
      <w:r w:rsidRPr="00321612">
        <w:rPr>
          <w:b/>
          <w:bCs/>
        </w:rPr>
        <w:t xml:space="preserve">Adjustments for SW-846 </w:t>
      </w:r>
      <w:r w:rsidR="00E741EA">
        <w:rPr>
          <w:b/>
          <w:bCs/>
        </w:rPr>
        <w:t>m</w:t>
      </w:r>
      <w:r w:rsidRPr="00321612">
        <w:rPr>
          <w:b/>
          <w:bCs/>
        </w:rPr>
        <w:t>ethods</w:t>
      </w:r>
    </w:p>
    <w:p w14:paraId="08A084DA" w14:textId="660C7A12" w:rsidR="00321612" w:rsidRDefault="3DC670BA" w:rsidP="008C1C4D">
      <w:pPr>
        <w:ind w:firstLine="720"/>
        <w:rPr>
          <w:rFonts w:ascii="Segoe UI Light" w:eastAsia="Segoe UI Light" w:hAnsi="Segoe UI Light" w:cs="Segoe UI Light"/>
          <w:color w:val="65B4B4"/>
          <w:u w:val="single"/>
        </w:rPr>
      </w:pPr>
      <w:r>
        <w:t>For solid waste and wastewater methods</w:t>
      </w:r>
      <w:r w:rsidR="6E337397">
        <w:t xml:space="preserve"> under the SW-846 compendium</w:t>
      </w:r>
      <w:r>
        <w:t>, the Methods Innovation Rule (MIR) allows for</w:t>
      </w:r>
      <w:r w:rsidR="7A400C08">
        <w:t xml:space="preserve"> method</w:t>
      </w:r>
      <w:r>
        <w:t xml:space="preserve"> flexibility</w:t>
      </w:r>
      <w:r w:rsidR="7A400C08">
        <w:t xml:space="preserve"> in many SW-846 methods</w:t>
      </w:r>
      <w:r>
        <w:t xml:space="preserve">. </w:t>
      </w:r>
      <w:r w:rsidR="6E337397">
        <w:t xml:space="preserve">Under </w:t>
      </w:r>
      <w:proofErr w:type="gramStart"/>
      <w:r w:rsidR="6E337397">
        <w:t>the MIR</w:t>
      </w:r>
      <w:proofErr w:type="gramEnd"/>
      <w:r w:rsidR="6E337397">
        <w:t>, l</w:t>
      </w:r>
      <w:r>
        <w:t xml:space="preserve">aboratories may convert to nitrogen as </w:t>
      </w:r>
      <w:proofErr w:type="gramStart"/>
      <w:r>
        <w:t>a purge</w:t>
      </w:r>
      <w:proofErr w:type="gramEnd"/>
      <w:r>
        <w:t xml:space="preserve"> gas for purge-and-trap systems or transition </w:t>
      </w:r>
      <w:r w:rsidR="7A400C08">
        <w:t>G</w:t>
      </w:r>
      <w:r w:rsidR="007C22AD">
        <w:t xml:space="preserve">as </w:t>
      </w:r>
      <w:r w:rsidR="006C1F36">
        <w:t>Chromatographs</w:t>
      </w:r>
      <w:r w:rsidR="007C22AD">
        <w:t xml:space="preserve"> (GC</w:t>
      </w:r>
      <w:r w:rsidR="006C1F36">
        <w:t>s</w:t>
      </w:r>
      <w:r w:rsidR="007C22AD">
        <w:t>)</w:t>
      </w:r>
      <w:r w:rsidR="7A400C08">
        <w:t xml:space="preserve"> with compatible detectors </w:t>
      </w:r>
      <w:r>
        <w:t xml:space="preserve">to use hydrogen as the carrier gas. </w:t>
      </w:r>
      <w:r w:rsidR="7A400C08">
        <w:t xml:space="preserve">Any such modification </w:t>
      </w:r>
      <w:r w:rsidRPr="00E3361C">
        <w:rPr>
          <w:color w:val="auto"/>
        </w:rPr>
        <w:t>requires demonstrating that precision, accuracy, and quantitation limits meet or exceed existing method requirements.</w:t>
      </w:r>
      <w:r w:rsidR="07DB61AA" w:rsidRPr="00E3361C">
        <w:rPr>
          <w:color w:val="auto"/>
        </w:rPr>
        <w:t xml:space="preserve"> </w:t>
      </w:r>
      <w:r w:rsidR="07DB61AA" w:rsidRPr="00E3361C">
        <w:rPr>
          <w:rFonts w:ascii="Segoe UI Light" w:eastAsia="Segoe UI Light" w:hAnsi="Segoe UI Light" w:cs="Segoe UI Light"/>
          <w:color w:val="auto"/>
        </w:rPr>
        <w:t xml:space="preserve">Laboratories switching to nitrogen as </w:t>
      </w:r>
      <w:proofErr w:type="gramStart"/>
      <w:r w:rsidR="07DB61AA" w:rsidRPr="00E3361C">
        <w:rPr>
          <w:rFonts w:ascii="Segoe UI Light" w:eastAsia="Segoe UI Light" w:hAnsi="Segoe UI Light" w:cs="Segoe UI Light"/>
          <w:color w:val="auto"/>
        </w:rPr>
        <w:t>a purge</w:t>
      </w:r>
      <w:proofErr w:type="gramEnd"/>
      <w:r w:rsidR="07DB61AA" w:rsidRPr="00E3361C">
        <w:rPr>
          <w:rFonts w:ascii="Segoe UI Light" w:eastAsia="Segoe UI Light" w:hAnsi="Segoe UI Light" w:cs="Segoe UI Light"/>
          <w:color w:val="auto"/>
        </w:rPr>
        <w:t xml:space="preserve"> gas should also anticipate that nitrogen transfers more water vapor through the purge-and-trap system than helium; this can affect compound recovery, chromatographic performance, and detector response in MS-based methods, and trap management parameters should be evaluated accordingly.</w:t>
      </w:r>
      <w:r w:rsidR="008C1C4D">
        <w:rPr>
          <w:rFonts w:ascii="Segoe UI Light" w:eastAsia="Segoe UI Light" w:hAnsi="Segoe UI Light" w:cs="Segoe UI Light"/>
          <w:color w:val="auto"/>
        </w:rPr>
        <w:t xml:space="preserve"> </w:t>
      </w:r>
      <w:r w:rsidR="008C1C4D" w:rsidRPr="008C1C4D">
        <w:rPr>
          <w:rFonts w:ascii="Segoe UI Light" w:eastAsia="Segoe UI Light" w:hAnsi="Segoe UI Light" w:cs="Segoe UI Light"/>
          <w:color w:val="auto"/>
        </w:rPr>
        <w:t>ELAP recommends reviewing SW-846’s “Method 8000 D” and Appendix B in both EPA 8260 D and EPA 8270 E for precautions and guidance on utilizing hydrogen as the carrier gas in GC methods.</w:t>
      </w:r>
      <w:r w:rsidR="008C1C4D">
        <w:rPr>
          <w:rFonts w:ascii="Segoe UI Light" w:eastAsia="Segoe UI Light" w:hAnsi="Segoe UI Light" w:cs="Segoe UI Light"/>
          <w:color w:val="auto"/>
        </w:rPr>
        <w:t xml:space="preserve"> </w:t>
      </w:r>
      <w:r w:rsidR="008C1C4D" w:rsidRPr="008C1C4D">
        <w:rPr>
          <w:rFonts w:ascii="Segoe UI Light" w:eastAsia="Segoe UI Light" w:hAnsi="Segoe UI Light" w:cs="Segoe UI Light"/>
          <w:color w:val="auto"/>
        </w:rPr>
        <w:t xml:space="preserve">ELAP additionally recommends reviewing EPA’s FAQs: </w:t>
      </w:r>
      <w:hyperlink r:id="rId11" w:history="1">
        <w:r w:rsidR="008C1C4D" w:rsidRPr="00E3361C">
          <w:rPr>
            <w:rStyle w:val="Hyperlink"/>
            <w:rFonts w:ascii="Segoe UI Light" w:eastAsia="Segoe UI Light" w:hAnsi="Segoe UI Light" w:cs="Segoe UI Light"/>
            <w:color w:val="006487" w:themeColor="accent2" w:themeShade="BF"/>
          </w:rPr>
          <w:t>8000 Series: Chromatographic Separation Methods | US EPA</w:t>
        </w:r>
      </w:hyperlink>
      <w:r w:rsidR="008C1C4D" w:rsidRPr="008C1C4D">
        <w:rPr>
          <w:rFonts w:ascii="Segoe UI Light" w:eastAsia="Segoe UI Light" w:hAnsi="Segoe UI Light" w:cs="Segoe UI Light"/>
          <w:color w:val="auto"/>
        </w:rPr>
        <w:t>, specifically the question regarding</w:t>
      </w:r>
      <w:hyperlink r:id="rId12" w:anchor="question19" w:history="1">
        <w:r w:rsidR="008C1C4D" w:rsidRPr="00E3361C">
          <w:rPr>
            <w:rStyle w:val="Hyperlink"/>
            <w:rFonts w:ascii="Segoe UI Light" w:eastAsia="Segoe UI Light" w:hAnsi="Segoe UI Light" w:cs="Segoe UI Light"/>
            <w:color w:val="006487" w:themeColor="accent2" w:themeShade="BF"/>
          </w:rPr>
          <w:t xml:space="preserve"> helium conservation techniques</w:t>
        </w:r>
      </w:hyperlink>
      <w:r w:rsidR="008C1C4D" w:rsidRPr="008C1C4D">
        <w:rPr>
          <w:rFonts w:ascii="Segoe UI Light" w:eastAsia="Segoe UI Light" w:hAnsi="Segoe UI Light" w:cs="Segoe UI Light"/>
          <w:color w:val="auto"/>
        </w:rPr>
        <w:t>.</w:t>
      </w:r>
    </w:p>
    <w:p w14:paraId="58752BC1" w14:textId="31A22AA6" w:rsidR="00EA0184" w:rsidRPr="00321612" w:rsidRDefault="00EA0184" w:rsidP="00EA0184">
      <w:r w:rsidRPr="00321612">
        <w:rPr>
          <w:b/>
          <w:bCs/>
        </w:rPr>
        <w:t xml:space="preserve">Adjustments for </w:t>
      </w:r>
      <w:r>
        <w:rPr>
          <w:b/>
          <w:bCs/>
        </w:rPr>
        <w:t>Clean Water Act methods (</w:t>
      </w:r>
      <w:r w:rsidR="00F613D9">
        <w:rPr>
          <w:b/>
          <w:bCs/>
        </w:rPr>
        <w:t xml:space="preserve">40 CFR 136 / </w:t>
      </w:r>
      <w:r>
        <w:rPr>
          <w:b/>
          <w:bCs/>
        </w:rPr>
        <w:t xml:space="preserve">EPA 600 series) </w:t>
      </w:r>
    </w:p>
    <w:p w14:paraId="0284C0B9" w14:textId="25135B8D" w:rsidR="00EA0184" w:rsidRPr="00321612" w:rsidRDefault="6E337397" w:rsidP="77A00A0D">
      <w:pPr>
        <w:ind w:firstLine="720"/>
        <w:rPr>
          <w:rFonts w:ascii="Segoe UI Light" w:eastAsia="Segoe UI Light" w:hAnsi="Segoe UI Light" w:cs="Segoe UI Light"/>
          <w:color w:val="65B4B4"/>
          <w:szCs w:val="20"/>
          <w:u w:val="single"/>
        </w:rPr>
      </w:pPr>
      <w:r>
        <w:t xml:space="preserve">For wastewater compliance testing under the Clean Water Act, the updated 600 series methods provide explicit flexibility. Specifically, Methods 624.1 and 625.1 contain language directly authorizing the use of hydrogen as a carrier gas in place of helium, provided appropriate safety precautions are taken. Additionally, under the flexibility of 40 CFR Part 136.6, laboratories are permitted to change the carrier gas or the purge gas—such as utilizing nitrogen for the purge-and-trap step in Method 624.1—without needing to apply for an Alternate Test Procedure (ATP), so long as the underlying chemistry and determinative technique remain unchanged. Again, any such modification </w:t>
      </w:r>
      <w:r w:rsidRPr="00E3361C">
        <w:rPr>
          <w:color w:val="auto"/>
        </w:rPr>
        <w:t>requires demonstrating that precision, accuracy, and quantitation limits meet or exceed existing method and regulatory requirements.</w:t>
      </w:r>
      <w:r w:rsidR="7B9FC949" w:rsidRPr="00E3361C">
        <w:rPr>
          <w:color w:val="auto"/>
        </w:rPr>
        <w:t xml:space="preserve"> </w:t>
      </w:r>
      <w:r w:rsidR="7B9FC949" w:rsidRPr="00E3361C">
        <w:rPr>
          <w:rFonts w:ascii="Segoe UI Light" w:eastAsia="Segoe UI Light" w:hAnsi="Segoe UI Light" w:cs="Segoe UI Light"/>
          <w:color w:val="auto"/>
          <w:szCs w:val="20"/>
        </w:rPr>
        <w:t xml:space="preserve">Laboratories switching to nitrogen as </w:t>
      </w:r>
      <w:proofErr w:type="gramStart"/>
      <w:r w:rsidR="7B9FC949" w:rsidRPr="00E3361C">
        <w:rPr>
          <w:rFonts w:ascii="Segoe UI Light" w:eastAsia="Segoe UI Light" w:hAnsi="Segoe UI Light" w:cs="Segoe UI Light"/>
          <w:color w:val="auto"/>
          <w:szCs w:val="20"/>
        </w:rPr>
        <w:t>a purge</w:t>
      </w:r>
      <w:proofErr w:type="gramEnd"/>
      <w:r w:rsidR="7B9FC949" w:rsidRPr="00E3361C">
        <w:rPr>
          <w:rFonts w:ascii="Segoe UI Light" w:eastAsia="Segoe UI Light" w:hAnsi="Segoe UI Light" w:cs="Segoe UI Light"/>
          <w:color w:val="auto"/>
          <w:szCs w:val="20"/>
        </w:rPr>
        <w:t xml:space="preserve"> gas should also anticipate that nitrogen transfers more water vapor through the purge-and-trap system than helium; this can affect compound recovery, chromatographic performance, and detector response in MS-based methods, and trap management parameters should be evaluated accordingly.</w:t>
      </w:r>
    </w:p>
    <w:p w14:paraId="1115610F" w14:textId="57537DB6" w:rsidR="00321612" w:rsidRPr="00321612" w:rsidRDefault="00321612" w:rsidP="00321612">
      <w:r w:rsidRPr="00321612">
        <w:rPr>
          <w:b/>
          <w:bCs/>
        </w:rPr>
        <w:t xml:space="preserve">Adjustments for </w:t>
      </w:r>
      <w:r w:rsidR="00E741EA">
        <w:rPr>
          <w:b/>
          <w:bCs/>
        </w:rPr>
        <w:t>d</w:t>
      </w:r>
      <w:r w:rsidRPr="00321612">
        <w:rPr>
          <w:b/>
          <w:bCs/>
        </w:rPr>
        <w:t xml:space="preserve">rinking </w:t>
      </w:r>
      <w:r w:rsidR="00E741EA">
        <w:rPr>
          <w:b/>
          <w:bCs/>
        </w:rPr>
        <w:t>w</w:t>
      </w:r>
      <w:r w:rsidRPr="00321612">
        <w:rPr>
          <w:b/>
          <w:bCs/>
        </w:rPr>
        <w:t xml:space="preserve">ater </w:t>
      </w:r>
      <w:r w:rsidR="00E741EA">
        <w:rPr>
          <w:b/>
          <w:bCs/>
        </w:rPr>
        <w:t>m</w:t>
      </w:r>
      <w:r w:rsidRPr="00321612">
        <w:rPr>
          <w:b/>
          <w:bCs/>
        </w:rPr>
        <w:t>ethods (</w:t>
      </w:r>
      <w:r w:rsidR="00F613D9">
        <w:rPr>
          <w:b/>
          <w:bCs/>
        </w:rPr>
        <w:t xml:space="preserve">40- CFR 141 / </w:t>
      </w:r>
      <w:r w:rsidRPr="00321612">
        <w:rPr>
          <w:b/>
          <w:bCs/>
        </w:rPr>
        <w:t xml:space="preserve">EPA 500 </w:t>
      </w:r>
      <w:r w:rsidR="00E741EA">
        <w:rPr>
          <w:b/>
          <w:bCs/>
        </w:rPr>
        <w:t>s</w:t>
      </w:r>
      <w:r w:rsidRPr="00321612">
        <w:rPr>
          <w:b/>
          <w:bCs/>
        </w:rPr>
        <w:t>eries)</w:t>
      </w:r>
    </w:p>
    <w:p w14:paraId="519F8282" w14:textId="2BEBB082" w:rsidR="00EA0184" w:rsidRDefault="6E337397" w:rsidP="77A00A0D">
      <w:pPr>
        <w:ind w:firstLine="720"/>
      </w:pPr>
      <w:r>
        <w:t xml:space="preserve">The regulatory requirements for drinking water are </w:t>
      </w:r>
      <w:r w:rsidRPr="00E3361C">
        <w:rPr>
          <w:color w:val="auto"/>
        </w:rPr>
        <w:t xml:space="preserve">much stricter, so laboratories </w:t>
      </w:r>
      <w:r>
        <w:t xml:space="preserve">cannot simply swap gases under the MIR or 40 CFR Part 136.6. To drastically reduce helium consumption for volatile organic compound analysis, </w:t>
      </w:r>
      <w:proofErr w:type="gramStart"/>
      <w:r>
        <w:t xml:space="preserve">laboratories  </w:t>
      </w:r>
      <w:r w:rsidR="09D4A2B3">
        <w:t>may</w:t>
      </w:r>
      <w:proofErr w:type="gramEnd"/>
      <w:r w:rsidR="09D4A2B3">
        <w:t xml:space="preserve"> </w:t>
      </w:r>
      <w:r w:rsidR="09D4A2B3">
        <w:lastRenderedPageBreak/>
        <w:t xml:space="preserve">consider </w:t>
      </w:r>
      <w:r>
        <w:t xml:space="preserve">EPA Method 524.4, an approved alternative to Methods 524.2 and 524.3. Method 524.4 authorizes the use of high-purity nitrogen as </w:t>
      </w:r>
      <w:proofErr w:type="gramStart"/>
      <w:r>
        <w:t>the purge</w:t>
      </w:r>
      <w:proofErr w:type="gramEnd"/>
      <w:r>
        <w:t xml:space="preserve"> gas, reserving helium solely as the GC-MS carrier gas. Because nitrogen transfers more water vapor, this method also allows laboratories to optimize dry purge times, desorb times, </w:t>
      </w:r>
      <w:r w:rsidRPr="00E3361C">
        <w:rPr>
          <w:color w:val="auto"/>
        </w:rPr>
        <w:t>and trap temperatures</w:t>
      </w:r>
      <w:r w:rsidR="513910A0" w:rsidRPr="00E3361C">
        <w:rPr>
          <w:rFonts w:ascii="Segoe UI Light" w:eastAsia="Segoe UI Light" w:hAnsi="Segoe UI Light" w:cs="Segoe UI Light"/>
          <w:color w:val="auto"/>
        </w:rPr>
        <w:t>, within the ranges specified by Method 524.4,</w:t>
      </w:r>
      <w:r w:rsidRPr="00E3361C">
        <w:rPr>
          <w:color w:val="auto"/>
        </w:rPr>
        <w:t xml:space="preserve"> to maximize water removal before the sample reaches the GC. </w:t>
      </w:r>
      <w:r w:rsidR="11CFBBF2" w:rsidRPr="00E3361C">
        <w:rPr>
          <w:rFonts w:ascii="Segoe UI Light" w:eastAsia="Segoe UI Light" w:hAnsi="Segoe UI Light" w:cs="Segoe UI Light"/>
          <w:color w:val="auto"/>
        </w:rPr>
        <w:t>Any parameter adjustment that exceeds method-specified ranges constitutes a method modification and is not permissible for drinking water compliance analysis.</w:t>
      </w:r>
      <w:r w:rsidR="11CFBBF2" w:rsidRPr="00E3361C">
        <w:rPr>
          <w:color w:val="auto"/>
        </w:rPr>
        <w:t xml:space="preserve"> </w:t>
      </w:r>
      <w:r w:rsidRPr="00E3361C">
        <w:rPr>
          <w:color w:val="auto"/>
        </w:rPr>
        <w:t>As with changes under other programs, any such modification requires demonstrating that precision, accuracy</w:t>
      </w:r>
      <w:r>
        <w:t>, and quantitation limits meet or exceed existing method and regulatory requirements.</w:t>
      </w:r>
      <w:r w:rsidR="102111FA">
        <w:t xml:space="preserve"> Laboratories must understand that transitioning to Method 524.4 constitutes a formal change in ELAP accreditation scope. </w:t>
      </w:r>
      <w:r w:rsidR="30D838B7">
        <w:t>Even if a</w:t>
      </w:r>
      <w:r w:rsidR="102111FA">
        <w:t xml:space="preserve"> laboratory </w:t>
      </w:r>
      <w:r w:rsidR="1172839C">
        <w:t xml:space="preserve">is </w:t>
      </w:r>
      <w:r w:rsidR="102111FA">
        <w:t>currently accredited for Method 524.2 or 524.3</w:t>
      </w:r>
      <w:r w:rsidR="253D8709">
        <w:t>, it</w:t>
      </w:r>
      <w:r w:rsidR="102111FA">
        <w:t xml:space="preserve"> must submit an amendment application to ELAP and will be required to undergo an on-site assessment (OSA) before reporting any compliance data under Method 524.4, as it is a separately approved drinking water method rather than a direct revision of earlier versions. These procedural steps carry cost implications that laboratories must factor into any transition planning. Laboratories that report compliance data under Method 524.4 without first obtaining ELAP accreditation for that method will be out of compliance with California’s accreditation requirements.</w:t>
      </w:r>
    </w:p>
    <w:p w14:paraId="004C5485" w14:textId="77777777" w:rsidR="00321612" w:rsidRPr="00321612" w:rsidRDefault="00321612" w:rsidP="00321612">
      <w:r w:rsidRPr="00321612">
        <w:rPr>
          <w:b/>
          <w:bCs/>
        </w:rPr>
        <w:t>Compliance Requirements for Method Modifications</w:t>
      </w:r>
    </w:p>
    <w:p w14:paraId="0B531E27" w14:textId="5EA5B8B2" w:rsidR="00321612" w:rsidRPr="00321612" w:rsidRDefault="00EA0184" w:rsidP="00EA0184">
      <w:pPr>
        <w:ind w:firstLine="720"/>
      </w:pPr>
      <w:r>
        <w:t>Whether changing carrier gases under SW-846, utilizing Part 136.6 for wastewater, or transitioning to Method 524.4 for drinking water, laboratories must complete specific compliance actions prior to reporting data. The table below outlines the necessary steps.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5"/>
        <w:gridCol w:w="8779"/>
      </w:tblGrid>
      <w:tr w:rsidR="00321612" w:rsidRPr="000A55B0" w14:paraId="60642713" w14:textId="77777777" w:rsidTr="2929A74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EB87B9D" w14:textId="77777777" w:rsidR="00321612" w:rsidRPr="000A55B0" w:rsidRDefault="00321612" w:rsidP="00321612">
            <w:pPr>
              <w:rPr>
                <w:b/>
                <w:bCs/>
              </w:rPr>
            </w:pPr>
            <w:r w:rsidRPr="000A55B0">
              <w:rPr>
                <w:b/>
                <w:bCs/>
              </w:rPr>
              <w:t>Requirement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566AF5CA" w14:textId="77777777" w:rsidR="00321612" w:rsidRPr="000A55B0" w:rsidRDefault="00321612" w:rsidP="00321612">
            <w:pPr>
              <w:rPr>
                <w:b/>
                <w:bCs/>
              </w:rPr>
            </w:pPr>
            <w:r w:rsidRPr="000A55B0">
              <w:rPr>
                <w:b/>
                <w:bCs/>
              </w:rPr>
              <w:t>Description</w:t>
            </w:r>
          </w:p>
        </w:tc>
      </w:tr>
      <w:tr w:rsidR="00321612" w:rsidRPr="000A55B0" w14:paraId="51334449" w14:textId="77777777" w:rsidTr="2929A74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D3C0094" w14:textId="77777777" w:rsidR="00321612" w:rsidRPr="000A55B0" w:rsidRDefault="00321612" w:rsidP="00321612">
            <w:r w:rsidRPr="000A55B0">
              <w:t>Method Detection Limit (MDL) Study</w:t>
            </w:r>
          </w:p>
        </w:tc>
        <w:tc>
          <w:tcPr>
            <w:tcW w:w="0" w:type="auto"/>
            <w:tcBorders>
              <w:top w:val="single" w:sz="6" w:space="0" w:color="auto"/>
              <w:left w:val="single" w:sz="6" w:space="0" w:color="auto"/>
              <w:bottom w:val="single" w:sz="6" w:space="0" w:color="auto"/>
              <w:right w:val="single" w:sz="6" w:space="0" w:color="auto"/>
            </w:tcBorders>
            <w:vAlign w:val="center"/>
            <w:hideMark/>
          </w:tcPr>
          <w:p w14:paraId="01EF3790" w14:textId="77777777" w:rsidR="00321612" w:rsidRPr="000A55B0" w:rsidRDefault="00321612" w:rsidP="00321612">
            <w:r w:rsidRPr="000A55B0">
              <w:t>Conduct a new MDL study to confirm the required sensitivity and quantitation limits can be achieved under the new gas conditions or method parameters.</w:t>
            </w:r>
          </w:p>
        </w:tc>
      </w:tr>
      <w:tr w:rsidR="00321612" w:rsidRPr="000A55B0" w14:paraId="424215E6" w14:textId="77777777" w:rsidTr="2929A74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6CF8E79" w14:textId="77777777" w:rsidR="00321612" w:rsidRPr="000A55B0" w:rsidRDefault="00321612" w:rsidP="00321612">
            <w:r w:rsidRPr="000A55B0">
              <w:t>Initial Demonstration of Capability (IDC/DOC)</w:t>
            </w:r>
          </w:p>
        </w:tc>
        <w:tc>
          <w:tcPr>
            <w:tcW w:w="0" w:type="auto"/>
            <w:tcBorders>
              <w:top w:val="single" w:sz="6" w:space="0" w:color="auto"/>
              <w:left w:val="single" w:sz="6" w:space="0" w:color="auto"/>
              <w:bottom w:val="single" w:sz="6" w:space="0" w:color="auto"/>
              <w:right w:val="single" w:sz="6" w:space="0" w:color="auto"/>
            </w:tcBorders>
            <w:vAlign w:val="center"/>
            <w:hideMark/>
          </w:tcPr>
          <w:p w14:paraId="53997C4A" w14:textId="77777777" w:rsidR="00321612" w:rsidRPr="000A55B0" w:rsidRDefault="00321612" w:rsidP="00321612">
            <w:r w:rsidRPr="000A55B0">
              <w:t>Perform a new demonstration (typically 4-7 replicates depending on the method) to verify acceptable precision and accuracy with the alternative gas.</w:t>
            </w:r>
          </w:p>
        </w:tc>
      </w:tr>
      <w:tr w:rsidR="00321612" w:rsidRPr="000A55B0" w14:paraId="7B8BF76A" w14:textId="77777777" w:rsidTr="2929A74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C4EEB6C" w14:textId="77777777" w:rsidR="00321612" w:rsidRPr="000A55B0" w:rsidRDefault="00321612" w:rsidP="00321612">
            <w:r w:rsidRPr="000A55B0">
              <w:t>Update Standard Operating Procedures (SOPs)</w:t>
            </w:r>
          </w:p>
        </w:tc>
        <w:tc>
          <w:tcPr>
            <w:tcW w:w="0" w:type="auto"/>
            <w:tcBorders>
              <w:top w:val="single" w:sz="6" w:space="0" w:color="auto"/>
              <w:left w:val="single" w:sz="6" w:space="0" w:color="auto"/>
              <w:bottom w:val="single" w:sz="6" w:space="0" w:color="auto"/>
              <w:right w:val="single" w:sz="6" w:space="0" w:color="auto"/>
            </w:tcBorders>
            <w:vAlign w:val="center"/>
            <w:hideMark/>
          </w:tcPr>
          <w:p w14:paraId="7AAA8A63" w14:textId="77777777" w:rsidR="00321612" w:rsidRPr="000A55B0" w:rsidRDefault="00321612" w:rsidP="00321612">
            <w:r w:rsidRPr="000A55B0">
              <w:t>Revise SOPs to reflect the new carrier/purge gas, updated instrument parameters (like moisture control settings), and any necessary laboratory safety protocols for flammable gases.</w:t>
            </w:r>
          </w:p>
        </w:tc>
      </w:tr>
      <w:tr w:rsidR="00321612" w:rsidRPr="000A55B0" w14:paraId="7689D42C" w14:textId="77777777" w:rsidTr="2929A74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9F9CA9" w14:textId="74567884" w:rsidR="00321612" w:rsidRPr="000A55B0" w:rsidRDefault="00321612" w:rsidP="00321612">
            <w:r w:rsidRPr="000A55B0">
              <w:t>Regulatory Approval</w:t>
            </w:r>
          </w:p>
        </w:tc>
        <w:tc>
          <w:tcPr>
            <w:tcW w:w="0" w:type="auto"/>
            <w:tcBorders>
              <w:top w:val="single" w:sz="6" w:space="0" w:color="auto"/>
              <w:left w:val="single" w:sz="6" w:space="0" w:color="auto"/>
              <w:bottom w:val="single" w:sz="6" w:space="0" w:color="auto"/>
              <w:right w:val="single" w:sz="6" w:space="0" w:color="auto"/>
            </w:tcBorders>
            <w:vAlign w:val="center"/>
            <w:hideMark/>
          </w:tcPr>
          <w:p w14:paraId="5D49E2AC" w14:textId="0009DC57" w:rsidR="00321612" w:rsidRPr="00E3361C" w:rsidRDefault="3DC670BA" w:rsidP="2929A747">
            <w:pPr>
              <w:rPr>
                <w:rFonts w:ascii="Segoe UI Light" w:eastAsia="Segoe UI Light" w:hAnsi="Segoe UI Light" w:cs="Segoe UI Light"/>
                <w:color w:val="65B4B4"/>
              </w:rPr>
            </w:pPr>
            <w:r w:rsidRPr="00E3361C">
              <w:rPr>
                <w:color w:val="auto"/>
              </w:rPr>
              <w:t>Document the validity of the modifications and obtain approval</w:t>
            </w:r>
            <w:r w:rsidR="004C0FF9">
              <w:rPr>
                <w:color w:val="auto"/>
              </w:rPr>
              <w:t xml:space="preserve"> from clients, their regulatory agencies (if necessary) and</w:t>
            </w:r>
            <w:r w:rsidRPr="00E3361C">
              <w:rPr>
                <w:color w:val="auto"/>
              </w:rPr>
              <w:t xml:space="preserve"> from ELAP</w:t>
            </w:r>
            <w:r w:rsidR="004C0FF9">
              <w:rPr>
                <w:color w:val="auto"/>
              </w:rPr>
              <w:t xml:space="preserve"> (</w:t>
            </w:r>
            <w:proofErr w:type="spellStart"/>
            <w:proofErr w:type="gramStart"/>
            <w:r w:rsidR="004C0FF9">
              <w:rPr>
                <w:color w:val="auto"/>
              </w:rPr>
              <w:t>e,g</w:t>
            </w:r>
            <w:proofErr w:type="spellEnd"/>
            <w:r w:rsidR="004C0FF9">
              <w:rPr>
                <w:color w:val="auto"/>
              </w:rPr>
              <w:t>.</w:t>
            </w:r>
            <w:proofErr w:type="gramEnd"/>
            <w:r w:rsidR="004C0FF9">
              <w:rPr>
                <w:color w:val="auto"/>
              </w:rPr>
              <w:t xml:space="preserve"> adding EPA 524.4</w:t>
            </w:r>
            <w:r w:rsidR="004B72EC">
              <w:rPr>
                <w:color w:val="auto"/>
              </w:rPr>
              <w:t xml:space="preserve"> to your scope</w:t>
            </w:r>
            <w:r w:rsidR="004C0FF9">
              <w:rPr>
                <w:color w:val="auto"/>
              </w:rPr>
              <w:t>)</w:t>
            </w:r>
            <w:r w:rsidRPr="00E3361C">
              <w:rPr>
                <w:color w:val="auto"/>
              </w:rPr>
              <w:t xml:space="preserve"> prior to </w:t>
            </w:r>
            <w:r w:rsidR="50D71E9C" w:rsidRPr="00E3361C">
              <w:rPr>
                <w:rFonts w:ascii="Segoe UI Light" w:eastAsia="Segoe UI Light" w:hAnsi="Segoe UI Light" w:cs="Segoe UI Light"/>
                <w:color w:val="auto"/>
              </w:rPr>
              <w:t>reporting compliance data. For laboratories</w:t>
            </w:r>
            <w:r w:rsidR="00D55300">
              <w:rPr>
                <w:rFonts w:ascii="Segoe UI Light" w:eastAsia="Segoe UI Light" w:hAnsi="Segoe UI Light" w:cs="Segoe UI Light"/>
                <w:color w:val="auto"/>
              </w:rPr>
              <w:t xml:space="preserve"> adding a new method to their scope of accreditation, such as</w:t>
            </w:r>
            <w:r w:rsidR="50D71E9C" w:rsidRPr="00E3361C">
              <w:rPr>
                <w:rFonts w:ascii="Segoe UI Light" w:eastAsia="Segoe UI Light" w:hAnsi="Segoe UI Light" w:cs="Segoe UI Light"/>
                <w:color w:val="auto"/>
              </w:rPr>
              <w:t xml:space="preserve"> transitioning</w:t>
            </w:r>
            <w:r w:rsidR="00D55300">
              <w:rPr>
                <w:rFonts w:ascii="Segoe UI Light" w:eastAsia="Segoe UI Light" w:hAnsi="Segoe UI Light" w:cs="Segoe UI Light"/>
                <w:color w:val="auto"/>
              </w:rPr>
              <w:t xml:space="preserve"> from EPA 52</w:t>
            </w:r>
            <w:r w:rsidR="00F940BC">
              <w:rPr>
                <w:rFonts w:ascii="Segoe UI Light" w:eastAsia="Segoe UI Light" w:hAnsi="Segoe UI Light" w:cs="Segoe UI Light"/>
                <w:color w:val="auto"/>
              </w:rPr>
              <w:t>4.2</w:t>
            </w:r>
            <w:r w:rsidR="50D71E9C" w:rsidRPr="00E3361C">
              <w:rPr>
                <w:rFonts w:ascii="Segoe UI Light" w:eastAsia="Segoe UI Light" w:hAnsi="Segoe UI Light" w:cs="Segoe UI Light"/>
                <w:color w:val="auto"/>
              </w:rPr>
              <w:t xml:space="preserve"> to Method 524.4 for drinking water compliance analysis, ELAP accreditation requires submission of an amendment application</w:t>
            </w:r>
            <w:r w:rsidR="00F940BC">
              <w:rPr>
                <w:rFonts w:ascii="Segoe UI Light" w:eastAsia="Segoe UI Light" w:hAnsi="Segoe UI Light" w:cs="Segoe UI Light"/>
                <w:color w:val="auto"/>
              </w:rPr>
              <w:t>.</w:t>
            </w:r>
            <w:r w:rsidR="50D71E9C" w:rsidRPr="00E3361C">
              <w:rPr>
                <w:rFonts w:ascii="Segoe UI Light" w:eastAsia="Segoe UI Light" w:hAnsi="Segoe UI Light" w:cs="Segoe UI Light"/>
                <w:color w:val="auto"/>
              </w:rPr>
              <w:t xml:space="preserve"> </w:t>
            </w:r>
            <w:r w:rsidR="00F940BC">
              <w:rPr>
                <w:rFonts w:ascii="Segoe UI Light" w:eastAsia="Segoe UI Light" w:hAnsi="Segoe UI Light" w:cs="Segoe UI Light"/>
                <w:color w:val="auto"/>
              </w:rPr>
              <w:t>A</w:t>
            </w:r>
            <w:r w:rsidR="50D71E9C" w:rsidRPr="00E3361C">
              <w:rPr>
                <w:rFonts w:ascii="Segoe UI Light" w:eastAsia="Segoe UI Light" w:hAnsi="Segoe UI Light" w:cs="Segoe UI Light"/>
                <w:color w:val="auto"/>
              </w:rPr>
              <w:t>n on-site assessment will be required before ELAP can grant accreditation for Method 524.4.</w:t>
            </w:r>
          </w:p>
        </w:tc>
      </w:tr>
    </w:tbl>
    <w:p w14:paraId="0A8F2BA0" w14:textId="77777777" w:rsidR="000A55B0" w:rsidRDefault="000A55B0" w:rsidP="00321612"/>
    <w:p w14:paraId="209D8736" w14:textId="6D91FC52" w:rsidR="00321612" w:rsidRPr="00321612" w:rsidRDefault="000A55B0" w:rsidP="000A55B0">
      <w:pPr>
        <w:ind w:firstLine="720"/>
      </w:pPr>
      <w:r>
        <w:t xml:space="preserve">Both </w:t>
      </w:r>
      <w:r w:rsidR="00321612" w:rsidRPr="00321612">
        <w:t xml:space="preserve">ELAP and ELTAC are actively monitoring this supply chain issue. If your laboratory has questions regarding method compliance, safety, or needs further guidance on implementing these changes, please feel free to reach out directly to ELAP </w:t>
      </w:r>
      <w:r>
        <w:t>at</w:t>
      </w:r>
      <w:r w:rsidRPr="000A55B0">
        <w:t xml:space="preserve"> </w:t>
      </w:r>
      <w:hyperlink r:id="rId13" w:history="1">
        <w:r w:rsidR="00D71C23" w:rsidRPr="00E3361C">
          <w:rPr>
            <w:rStyle w:val="Hyperlink"/>
            <w:color w:val="006487" w:themeColor="accent2" w:themeShade="BF"/>
          </w:rPr>
          <w:t>elapca_technical@waterboards.ca.gov</w:t>
        </w:r>
      </w:hyperlink>
      <w:r>
        <w:t xml:space="preserve"> </w:t>
      </w:r>
      <w:r w:rsidR="00321612" w:rsidRPr="00321612">
        <w:t>or to me</w:t>
      </w:r>
      <w:r>
        <w:t>—we are here to help</w:t>
      </w:r>
      <w:r w:rsidR="00321612" w:rsidRPr="00321612">
        <w:t>.</w:t>
      </w:r>
    </w:p>
    <w:p w14:paraId="67EDDB94" w14:textId="69B93080" w:rsidR="000E77D4" w:rsidRPr="00850C63" w:rsidRDefault="00321612" w:rsidP="00850C63">
      <w:r w:rsidRPr="00321612">
        <w:t>Sincerely,</w:t>
      </w:r>
      <w:r w:rsidR="000A55B0">
        <w:br/>
      </w:r>
      <w:r w:rsidR="000A55B0">
        <w:br/>
      </w:r>
      <w:r w:rsidR="000A55B0">
        <w:br/>
      </w:r>
      <w:r w:rsidRPr="00321612">
        <w:t>Agustin Pierri, Ph.D.</w:t>
      </w:r>
      <w:r w:rsidR="000A55B0">
        <w:br/>
      </w:r>
      <w:r w:rsidRPr="000A55B0">
        <w:rPr>
          <w:i/>
          <w:iCs/>
        </w:rPr>
        <w:t>Chair, Environmental Laboratory Technical Advisory Committee (ELTAC)</w:t>
      </w:r>
    </w:p>
    <w:sectPr w:rsidR="000E77D4" w:rsidRPr="00850C63" w:rsidSect="00C86B59">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8C367" w14:textId="77777777" w:rsidR="00F24662" w:rsidRDefault="00F24662" w:rsidP="00C86B59">
      <w:pPr>
        <w:spacing w:after="0" w:line="240" w:lineRule="auto"/>
      </w:pPr>
      <w:r>
        <w:separator/>
      </w:r>
    </w:p>
  </w:endnote>
  <w:endnote w:type="continuationSeparator" w:id="0">
    <w:p w14:paraId="3EFF78FF" w14:textId="77777777" w:rsidR="00F24662" w:rsidRDefault="00F24662" w:rsidP="00C86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4963A" w14:textId="77777777" w:rsidR="00F24662" w:rsidRDefault="00F24662" w:rsidP="00C86B59">
      <w:pPr>
        <w:spacing w:after="0" w:line="240" w:lineRule="auto"/>
      </w:pPr>
      <w:r>
        <w:separator/>
      </w:r>
    </w:p>
  </w:footnote>
  <w:footnote w:type="continuationSeparator" w:id="0">
    <w:p w14:paraId="0A010A03" w14:textId="77777777" w:rsidR="00F24662" w:rsidRDefault="00F24662" w:rsidP="00C86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780252"/>
      <w:docPartObj>
        <w:docPartGallery w:val="Watermarks"/>
        <w:docPartUnique/>
      </w:docPartObj>
    </w:sdtPr>
    <w:sdtEndPr/>
    <w:sdtContent>
      <w:p w14:paraId="3C1E4476" w14:textId="28164313" w:rsidR="00E3361C" w:rsidRDefault="00F24662">
        <w:pPr>
          <w:pStyle w:val="Header"/>
        </w:pPr>
        <w:r>
          <w:rPr>
            <w:noProof/>
          </w:rPr>
          <w:pict w14:anchorId="75D81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4E5"/>
    <w:multiLevelType w:val="multilevel"/>
    <w:tmpl w:val="0409001F"/>
    <w:numStyleLink w:val="OrderedLevels"/>
  </w:abstractNum>
  <w:abstractNum w:abstractNumId="1" w15:restartNumberingAfterBreak="0">
    <w:nsid w:val="080E3E96"/>
    <w:multiLevelType w:val="multilevel"/>
    <w:tmpl w:val="42D08C18"/>
    <w:numStyleLink w:val="Unordered"/>
  </w:abstractNum>
  <w:abstractNum w:abstractNumId="2" w15:restartNumberingAfterBreak="0">
    <w:nsid w:val="08DC06B6"/>
    <w:multiLevelType w:val="multilevel"/>
    <w:tmpl w:val="2D94122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20A74EC"/>
    <w:multiLevelType w:val="multilevel"/>
    <w:tmpl w:val="97A0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27920"/>
    <w:multiLevelType w:val="multilevel"/>
    <w:tmpl w:val="0409001F"/>
    <w:numStyleLink w:val="OrderedLevels"/>
  </w:abstractNum>
  <w:abstractNum w:abstractNumId="5" w15:restartNumberingAfterBreak="0">
    <w:nsid w:val="36A93DE9"/>
    <w:multiLevelType w:val="multilevel"/>
    <w:tmpl w:val="A114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CC7710"/>
    <w:multiLevelType w:val="multilevel"/>
    <w:tmpl w:val="42D08C18"/>
    <w:numStyleLink w:val="Unordered"/>
  </w:abstractNum>
  <w:abstractNum w:abstractNumId="7" w15:restartNumberingAfterBreak="0">
    <w:nsid w:val="5AF414ED"/>
    <w:multiLevelType w:val="multilevel"/>
    <w:tmpl w:val="0409001F"/>
    <w:styleLink w:val="OrderedLevels"/>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36F5C5B"/>
    <w:multiLevelType w:val="multilevel"/>
    <w:tmpl w:val="42D08C18"/>
    <w:styleLink w:val="Unordered"/>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43855042">
    <w:abstractNumId w:val="2"/>
  </w:num>
  <w:num w:numId="2" w16cid:durableId="895312390">
    <w:abstractNumId w:val="2"/>
  </w:num>
  <w:num w:numId="3" w16cid:durableId="1068965807">
    <w:abstractNumId w:val="2"/>
  </w:num>
  <w:num w:numId="4" w16cid:durableId="1330795446">
    <w:abstractNumId w:val="2"/>
  </w:num>
  <w:num w:numId="5" w16cid:durableId="1605109542">
    <w:abstractNumId w:val="2"/>
  </w:num>
  <w:num w:numId="6" w16cid:durableId="1122771263">
    <w:abstractNumId w:val="2"/>
  </w:num>
  <w:num w:numId="7" w16cid:durableId="1152986913">
    <w:abstractNumId w:val="2"/>
  </w:num>
  <w:num w:numId="8" w16cid:durableId="328220578">
    <w:abstractNumId w:val="2"/>
  </w:num>
  <w:num w:numId="9" w16cid:durableId="1867479833">
    <w:abstractNumId w:val="2"/>
  </w:num>
  <w:num w:numId="10" w16cid:durableId="220678017">
    <w:abstractNumId w:val="2"/>
  </w:num>
  <w:num w:numId="11" w16cid:durableId="177693000">
    <w:abstractNumId w:val="4"/>
  </w:num>
  <w:num w:numId="12" w16cid:durableId="149099545">
    <w:abstractNumId w:val="7"/>
  </w:num>
  <w:num w:numId="13" w16cid:durableId="1532063843">
    <w:abstractNumId w:val="1"/>
  </w:num>
  <w:num w:numId="14" w16cid:durableId="1663199690">
    <w:abstractNumId w:val="8"/>
  </w:num>
  <w:num w:numId="15" w16cid:durableId="548419662">
    <w:abstractNumId w:val="6"/>
  </w:num>
  <w:num w:numId="16" w16cid:durableId="593822996">
    <w:abstractNumId w:val="0"/>
  </w:num>
  <w:num w:numId="17" w16cid:durableId="132064042">
    <w:abstractNumId w:val="5"/>
  </w:num>
  <w:num w:numId="18" w16cid:durableId="1735080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360"/>
  <w:drawingGridVerticalSpacing w:val="36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612"/>
    <w:rsid w:val="000158C9"/>
    <w:rsid w:val="00033FAF"/>
    <w:rsid w:val="000433D9"/>
    <w:rsid w:val="00094F50"/>
    <w:rsid w:val="00096F0F"/>
    <w:rsid w:val="000A55B0"/>
    <w:rsid w:val="000A5F5A"/>
    <w:rsid w:val="000D2828"/>
    <w:rsid w:val="000E2BF7"/>
    <w:rsid w:val="000E77D4"/>
    <w:rsid w:val="000F30C8"/>
    <w:rsid w:val="00114989"/>
    <w:rsid w:val="00145414"/>
    <w:rsid w:val="0016612A"/>
    <w:rsid w:val="00167996"/>
    <w:rsid w:val="00195D7D"/>
    <w:rsid w:val="001B1EEB"/>
    <w:rsid w:val="001B6FBD"/>
    <w:rsid w:val="002062EE"/>
    <w:rsid w:val="00207500"/>
    <w:rsid w:val="00232BDB"/>
    <w:rsid w:val="002656ED"/>
    <w:rsid w:val="00265A43"/>
    <w:rsid w:val="00287609"/>
    <w:rsid w:val="002A07B6"/>
    <w:rsid w:val="002F03E0"/>
    <w:rsid w:val="00321612"/>
    <w:rsid w:val="0034021E"/>
    <w:rsid w:val="00341F52"/>
    <w:rsid w:val="00342864"/>
    <w:rsid w:val="00353A98"/>
    <w:rsid w:val="0036370C"/>
    <w:rsid w:val="003A3CDE"/>
    <w:rsid w:val="003B1C3E"/>
    <w:rsid w:val="003F2A86"/>
    <w:rsid w:val="0041047D"/>
    <w:rsid w:val="0041451C"/>
    <w:rsid w:val="00414D12"/>
    <w:rsid w:val="00430FC4"/>
    <w:rsid w:val="0043396E"/>
    <w:rsid w:val="004454E1"/>
    <w:rsid w:val="004B72EC"/>
    <w:rsid w:val="004C0FF9"/>
    <w:rsid w:val="004E010B"/>
    <w:rsid w:val="004E51DD"/>
    <w:rsid w:val="005043D3"/>
    <w:rsid w:val="00516DC9"/>
    <w:rsid w:val="00523208"/>
    <w:rsid w:val="00570181"/>
    <w:rsid w:val="005970E5"/>
    <w:rsid w:val="005A722D"/>
    <w:rsid w:val="005B1627"/>
    <w:rsid w:val="005B4D9F"/>
    <w:rsid w:val="005C4DA9"/>
    <w:rsid w:val="005D0968"/>
    <w:rsid w:val="005D1A17"/>
    <w:rsid w:val="005E06D6"/>
    <w:rsid w:val="005E1A0C"/>
    <w:rsid w:val="006A00CF"/>
    <w:rsid w:val="006B23B9"/>
    <w:rsid w:val="006C1F36"/>
    <w:rsid w:val="006D5F35"/>
    <w:rsid w:val="006E1B22"/>
    <w:rsid w:val="00702CAA"/>
    <w:rsid w:val="00776D4B"/>
    <w:rsid w:val="00786051"/>
    <w:rsid w:val="00796405"/>
    <w:rsid w:val="007B5D00"/>
    <w:rsid w:val="007C22AD"/>
    <w:rsid w:val="007C325A"/>
    <w:rsid w:val="007D7DF8"/>
    <w:rsid w:val="0081108A"/>
    <w:rsid w:val="00824B73"/>
    <w:rsid w:val="0084372E"/>
    <w:rsid w:val="00850C63"/>
    <w:rsid w:val="008C0B98"/>
    <w:rsid w:val="008C1C4D"/>
    <w:rsid w:val="008D5C42"/>
    <w:rsid w:val="008D7E3E"/>
    <w:rsid w:val="008F5936"/>
    <w:rsid w:val="00906258"/>
    <w:rsid w:val="00977C57"/>
    <w:rsid w:val="009E15FB"/>
    <w:rsid w:val="009E7310"/>
    <w:rsid w:val="00A53104"/>
    <w:rsid w:val="00AC75FA"/>
    <w:rsid w:val="00AF4C6E"/>
    <w:rsid w:val="00B31853"/>
    <w:rsid w:val="00B545BD"/>
    <w:rsid w:val="00B55247"/>
    <w:rsid w:val="00B85697"/>
    <w:rsid w:val="00B90385"/>
    <w:rsid w:val="00BB424C"/>
    <w:rsid w:val="00BB643E"/>
    <w:rsid w:val="00BC2137"/>
    <w:rsid w:val="00BF5CB6"/>
    <w:rsid w:val="00C145DF"/>
    <w:rsid w:val="00C32D4E"/>
    <w:rsid w:val="00C451F9"/>
    <w:rsid w:val="00C5224D"/>
    <w:rsid w:val="00C64A5F"/>
    <w:rsid w:val="00C734AE"/>
    <w:rsid w:val="00C86B59"/>
    <w:rsid w:val="00CA4247"/>
    <w:rsid w:val="00CA7806"/>
    <w:rsid w:val="00CD003B"/>
    <w:rsid w:val="00CD06E7"/>
    <w:rsid w:val="00CD744E"/>
    <w:rsid w:val="00CE0EEF"/>
    <w:rsid w:val="00CE4CBA"/>
    <w:rsid w:val="00CF4FAA"/>
    <w:rsid w:val="00D143B4"/>
    <w:rsid w:val="00D215E2"/>
    <w:rsid w:val="00D514E1"/>
    <w:rsid w:val="00D55300"/>
    <w:rsid w:val="00D71C23"/>
    <w:rsid w:val="00DC7D57"/>
    <w:rsid w:val="00DD5AF1"/>
    <w:rsid w:val="00DF54AB"/>
    <w:rsid w:val="00E3361C"/>
    <w:rsid w:val="00E640BF"/>
    <w:rsid w:val="00E7291A"/>
    <w:rsid w:val="00E741EA"/>
    <w:rsid w:val="00E77146"/>
    <w:rsid w:val="00EA0184"/>
    <w:rsid w:val="00EF52EF"/>
    <w:rsid w:val="00EF69B2"/>
    <w:rsid w:val="00F051FE"/>
    <w:rsid w:val="00F151BC"/>
    <w:rsid w:val="00F20F1F"/>
    <w:rsid w:val="00F24662"/>
    <w:rsid w:val="00F408E5"/>
    <w:rsid w:val="00F5583A"/>
    <w:rsid w:val="00F613D9"/>
    <w:rsid w:val="00F80A51"/>
    <w:rsid w:val="00F86803"/>
    <w:rsid w:val="00F940BC"/>
    <w:rsid w:val="00FA2133"/>
    <w:rsid w:val="00FB0F27"/>
    <w:rsid w:val="00FB40BC"/>
    <w:rsid w:val="00FE570F"/>
    <w:rsid w:val="00FF003D"/>
    <w:rsid w:val="00FF267C"/>
    <w:rsid w:val="00FF2E27"/>
    <w:rsid w:val="02A6498B"/>
    <w:rsid w:val="03AD8666"/>
    <w:rsid w:val="07DB61AA"/>
    <w:rsid w:val="081B1DC5"/>
    <w:rsid w:val="09D4A2B3"/>
    <w:rsid w:val="0CD583E6"/>
    <w:rsid w:val="102111FA"/>
    <w:rsid w:val="10AE0D13"/>
    <w:rsid w:val="1172839C"/>
    <w:rsid w:val="11CFBBF2"/>
    <w:rsid w:val="1416109D"/>
    <w:rsid w:val="1D9C569E"/>
    <w:rsid w:val="1F409551"/>
    <w:rsid w:val="1F77FBCC"/>
    <w:rsid w:val="253D8709"/>
    <w:rsid w:val="26AF69E6"/>
    <w:rsid w:val="2929A747"/>
    <w:rsid w:val="2B07D5B0"/>
    <w:rsid w:val="2B2B1176"/>
    <w:rsid w:val="2B579CF3"/>
    <w:rsid w:val="2B8B727B"/>
    <w:rsid w:val="3023ABCD"/>
    <w:rsid w:val="30663942"/>
    <w:rsid w:val="30D838B7"/>
    <w:rsid w:val="342024A0"/>
    <w:rsid w:val="377875B9"/>
    <w:rsid w:val="3BA70505"/>
    <w:rsid w:val="3C123248"/>
    <w:rsid w:val="3DC670BA"/>
    <w:rsid w:val="3EC86186"/>
    <w:rsid w:val="3F23E2CE"/>
    <w:rsid w:val="3F85AC33"/>
    <w:rsid w:val="41349BD2"/>
    <w:rsid w:val="422D126E"/>
    <w:rsid w:val="43F5C33F"/>
    <w:rsid w:val="49057067"/>
    <w:rsid w:val="4C7DE4C3"/>
    <w:rsid w:val="4CB5A688"/>
    <w:rsid w:val="50D71E9C"/>
    <w:rsid w:val="513910A0"/>
    <w:rsid w:val="5176DB5C"/>
    <w:rsid w:val="52203899"/>
    <w:rsid w:val="52C07351"/>
    <w:rsid w:val="55E2CD16"/>
    <w:rsid w:val="56450065"/>
    <w:rsid w:val="5B130BCD"/>
    <w:rsid w:val="5BC0C6AC"/>
    <w:rsid w:val="5C466D7C"/>
    <w:rsid w:val="5CEF8C55"/>
    <w:rsid w:val="5D8E5D53"/>
    <w:rsid w:val="613F8587"/>
    <w:rsid w:val="626D66CA"/>
    <w:rsid w:val="63A07DFC"/>
    <w:rsid w:val="64259145"/>
    <w:rsid w:val="654A4208"/>
    <w:rsid w:val="66B67DA6"/>
    <w:rsid w:val="6D001F65"/>
    <w:rsid w:val="6D3279D4"/>
    <w:rsid w:val="6D57F259"/>
    <w:rsid w:val="6E337397"/>
    <w:rsid w:val="6F04BA96"/>
    <w:rsid w:val="724279AB"/>
    <w:rsid w:val="72C1612B"/>
    <w:rsid w:val="77A00A0D"/>
    <w:rsid w:val="7A10DBF6"/>
    <w:rsid w:val="7A363A19"/>
    <w:rsid w:val="7A400C08"/>
    <w:rsid w:val="7AF418E8"/>
    <w:rsid w:val="7B9FC949"/>
    <w:rsid w:val="7F8A04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3107F"/>
  <w15:chartTrackingRefBased/>
  <w15:docId w15:val="{BEE58BB3-A076-48FC-8232-4C0A4E91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eastAsiaTheme="minorHAnsi" w:hAnsi="Segoe UI Light" w:cstheme="minorBidi"/>
        <w:color w:val="384147" w:themeColor="text1"/>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24D"/>
    <w:pPr>
      <w:spacing w:after="160" w:line="259" w:lineRule="auto"/>
    </w:pPr>
    <w:rPr>
      <w:rFonts w:asciiTheme="minorHAnsi" w:hAnsiTheme="minorHAnsi"/>
      <w:szCs w:val="22"/>
    </w:rPr>
  </w:style>
  <w:style w:type="paragraph" w:styleId="Heading1">
    <w:name w:val="heading 1"/>
    <w:basedOn w:val="Normal"/>
    <w:next w:val="Normal"/>
    <w:link w:val="Heading1Char"/>
    <w:uiPriority w:val="4"/>
    <w:qFormat/>
    <w:rsid w:val="000E2BF7"/>
    <w:pPr>
      <w:keepNext/>
      <w:spacing w:before="400" w:after="400"/>
      <w:outlineLvl w:val="0"/>
    </w:pPr>
    <w:rPr>
      <w:rFonts w:asciiTheme="majorHAnsi" w:eastAsiaTheme="majorEastAsia" w:hAnsiTheme="majorHAnsi" w:cstheme="majorBidi"/>
      <w:kern w:val="28"/>
      <w:sz w:val="40"/>
      <w:szCs w:val="32"/>
    </w:rPr>
  </w:style>
  <w:style w:type="paragraph" w:styleId="Heading2">
    <w:name w:val="heading 2"/>
    <w:basedOn w:val="Normal"/>
    <w:next w:val="Normal"/>
    <w:link w:val="Heading2Char"/>
    <w:uiPriority w:val="4"/>
    <w:qFormat/>
    <w:rsid w:val="000E2BF7"/>
    <w:pPr>
      <w:keepNext/>
      <w:spacing w:before="360" w:after="360"/>
      <w:outlineLvl w:val="1"/>
    </w:pPr>
    <w:rPr>
      <w:rFonts w:eastAsiaTheme="majorEastAsia" w:cstheme="majorBidi"/>
      <w:sz w:val="36"/>
      <w:szCs w:val="26"/>
    </w:rPr>
  </w:style>
  <w:style w:type="paragraph" w:styleId="Heading3">
    <w:name w:val="heading 3"/>
    <w:basedOn w:val="Normal"/>
    <w:next w:val="Normal"/>
    <w:link w:val="Heading3Char"/>
    <w:uiPriority w:val="5"/>
    <w:unhideWhenUsed/>
    <w:qFormat/>
    <w:rsid w:val="000E2BF7"/>
    <w:pPr>
      <w:keepNext/>
      <w:keepLines/>
      <w:spacing w:before="320" w:after="320"/>
      <w:outlineLvl w:val="2"/>
    </w:pPr>
    <w:rPr>
      <w:rFonts w:asciiTheme="majorHAnsi" w:eastAsiaTheme="majorEastAsia" w:hAnsiTheme="majorHAnsi" w:cstheme="majorBidi"/>
      <w:sz w:val="32"/>
      <w:szCs w:val="24"/>
    </w:rPr>
  </w:style>
  <w:style w:type="paragraph" w:styleId="Heading4">
    <w:name w:val="heading 4"/>
    <w:basedOn w:val="Normal"/>
    <w:next w:val="Normal"/>
    <w:link w:val="Heading4Char"/>
    <w:uiPriority w:val="1"/>
    <w:unhideWhenUsed/>
    <w:qFormat/>
    <w:rsid w:val="000E2BF7"/>
    <w:pPr>
      <w:keepNext/>
      <w:keepLines/>
      <w:spacing w:before="280" w:after="280"/>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1"/>
    <w:unhideWhenUsed/>
    <w:qFormat/>
    <w:rsid w:val="000E2BF7"/>
    <w:pPr>
      <w:keepNext/>
      <w:keepLines/>
      <w:spacing w:before="240" w:after="240"/>
      <w:outlineLvl w:val="4"/>
    </w:pPr>
    <w:rPr>
      <w:rFonts w:asciiTheme="majorHAnsi" w:eastAsiaTheme="majorEastAsia" w:hAnsiTheme="majorHAnsi" w:cstheme="majorBidi"/>
      <w:b/>
      <w:sz w:val="24"/>
    </w:rPr>
  </w:style>
  <w:style w:type="paragraph" w:styleId="Heading6">
    <w:name w:val="heading 6"/>
    <w:basedOn w:val="Normal"/>
    <w:next w:val="Normal"/>
    <w:link w:val="Heading6Char"/>
    <w:uiPriority w:val="1"/>
    <w:unhideWhenUsed/>
    <w:qFormat/>
    <w:rsid w:val="000E2BF7"/>
    <w:pPr>
      <w:keepNext/>
      <w:keepLines/>
      <w:spacing w:before="200"/>
      <w:outlineLvl w:val="5"/>
    </w:pPr>
    <w:rPr>
      <w:rFonts w:asciiTheme="majorHAnsi" w:eastAsiaTheme="majorEastAsia" w:hAnsiTheme="majorHAnsi" w:cstheme="majorBidi"/>
      <w:b/>
    </w:rPr>
  </w:style>
  <w:style w:type="paragraph" w:styleId="Heading7">
    <w:name w:val="heading 7"/>
    <w:basedOn w:val="Normal"/>
    <w:next w:val="Normal"/>
    <w:link w:val="Heading7Char"/>
    <w:uiPriority w:val="1"/>
    <w:unhideWhenUsed/>
    <w:qFormat/>
    <w:rsid w:val="000E2BF7"/>
    <w:pPr>
      <w:keepNext/>
      <w:keepLines/>
      <w:spacing w:before="160"/>
      <w:outlineLvl w:val="6"/>
    </w:pPr>
    <w:rPr>
      <w:rFonts w:asciiTheme="majorHAnsi" w:eastAsiaTheme="majorEastAsia" w:hAnsiTheme="majorHAnsi" w:cstheme="majorBidi"/>
      <w:b/>
      <w:iCs/>
    </w:rPr>
  </w:style>
  <w:style w:type="paragraph" w:styleId="Heading8">
    <w:name w:val="heading 8"/>
    <w:basedOn w:val="Normal"/>
    <w:next w:val="Normal"/>
    <w:link w:val="Heading8Char"/>
    <w:uiPriority w:val="1"/>
    <w:unhideWhenUsed/>
    <w:qFormat/>
    <w:rsid w:val="000E2BF7"/>
    <w:pPr>
      <w:keepNext/>
      <w:keepLines/>
      <w:spacing w:before="160"/>
      <w:outlineLvl w:val="7"/>
    </w:pPr>
    <w:rPr>
      <w:rFonts w:asciiTheme="majorHAnsi" w:eastAsiaTheme="majorEastAsia" w:hAnsiTheme="majorHAnsi" w:cstheme="majorBidi"/>
      <w:b/>
      <w:szCs w:val="21"/>
    </w:rPr>
  </w:style>
  <w:style w:type="paragraph" w:styleId="Heading9">
    <w:name w:val="heading 9"/>
    <w:basedOn w:val="Normal"/>
    <w:next w:val="Normal"/>
    <w:link w:val="Heading9Char"/>
    <w:uiPriority w:val="1"/>
    <w:unhideWhenUsed/>
    <w:qFormat/>
    <w:rsid w:val="000E2BF7"/>
    <w:pPr>
      <w:keepNext/>
      <w:keepLines/>
      <w:spacing w:before="160"/>
      <w:outlineLvl w:val="8"/>
    </w:pPr>
    <w:rPr>
      <w:rFonts w:asciiTheme="majorHAnsi" w:eastAsiaTheme="majorEastAsia" w:hAnsiTheme="majorHAnsi" w:cstheme="majorBidi"/>
      <w:b/>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uiPriority w:val="3"/>
    <w:qFormat/>
    <w:rsid w:val="00AF4C6E"/>
    <w:pPr>
      <w:jc w:val="right"/>
    </w:pPr>
  </w:style>
  <w:style w:type="paragraph" w:customStyle="1" w:styleId="Content">
    <w:name w:val="Content"/>
    <w:basedOn w:val="Normal"/>
    <w:link w:val="ContentChar"/>
    <w:qFormat/>
    <w:rsid w:val="008F5936"/>
  </w:style>
  <w:style w:type="character" w:customStyle="1" w:styleId="ContentChar">
    <w:name w:val="Content Char"/>
    <w:basedOn w:val="DefaultParagraphFont"/>
    <w:link w:val="Content"/>
    <w:rsid w:val="008F5936"/>
    <w:rPr>
      <w:color w:val="384147" w:themeColor="text1"/>
      <w:sz w:val="20"/>
    </w:rPr>
  </w:style>
  <w:style w:type="paragraph" w:customStyle="1" w:styleId="EmphasisText">
    <w:name w:val="Emphasis Text"/>
    <w:basedOn w:val="Normal"/>
    <w:link w:val="EmphasisTextChar"/>
    <w:qFormat/>
    <w:rsid w:val="00AF4C6E"/>
    <w:rPr>
      <w:i/>
    </w:rPr>
  </w:style>
  <w:style w:type="character" w:customStyle="1" w:styleId="EmphasisTextChar">
    <w:name w:val="Emphasis Text Char"/>
    <w:basedOn w:val="DefaultParagraphFont"/>
    <w:link w:val="EmphasisText"/>
    <w:rsid w:val="00AF4C6E"/>
    <w:rPr>
      <w:i/>
      <w:color w:val="6F787E" w:themeColor="text2"/>
      <w:sz w:val="20"/>
    </w:rPr>
  </w:style>
  <w:style w:type="character" w:customStyle="1" w:styleId="Heading1Char">
    <w:name w:val="Heading 1 Char"/>
    <w:basedOn w:val="DefaultParagraphFont"/>
    <w:link w:val="Heading1"/>
    <w:uiPriority w:val="4"/>
    <w:rsid w:val="000E2BF7"/>
    <w:rPr>
      <w:rFonts w:asciiTheme="majorHAnsi" w:eastAsiaTheme="majorEastAsia" w:hAnsiTheme="majorHAnsi" w:cstheme="majorBidi"/>
      <w:color w:val="6F787E" w:themeColor="text2"/>
      <w:kern w:val="28"/>
      <w:sz w:val="40"/>
      <w:szCs w:val="32"/>
    </w:rPr>
  </w:style>
  <w:style w:type="character" w:customStyle="1" w:styleId="Heading2Char">
    <w:name w:val="Heading 2 Char"/>
    <w:basedOn w:val="DefaultParagraphFont"/>
    <w:link w:val="Heading2"/>
    <w:uiPriority w:val="4"/>
    <w:rsid w:val="000E2BF7"/>
    <w:rPr>
      <w:rFonts w:eastAsiaTheme="majorEastAsia" w:cstheme="majorBidi"/>
      <w:color w:val="6F787E" w:themeColor="text2"/>
      <w:sz w:val="36"/>
      <w:szCs w:val="26"/>
    </w:rPr>
  </w:style>
  <w:style w:type="character" w:customStyle="1" w:styleId="Heading3Char">
    <w:name w:val="Heading 3 Char"/>
    <w:basedOn w:val="DefaultParagraphFont"/>
    <w:link w:val="Heading3"/>
    <w:uiPriority w:val="5"/>
    <w:rsid w:val="000E2BF7"/>
    <w:rPr>
      <w:rFonts w:asciiTheme="majorHAnsi" w:eastAsiaTheme="majorEastAsia" w:hAnsiTheme="majorHAnsi" w:cstheme="majorBidi"/>
      <w:color w:val="6F787E" w:themeColor="text2"/>
      <w:sz w:val="32"/>
      <w:szCs w:val="24"/>
    </w:rPr>
  </w:style>
  <w:style w:type="paragraph" w:styleId="Title">
    <w:name w:val="Title"/>
    <w:basedOn w:val="Normal"/>
    <w:link w:val="TitleChar"/>
    <w:uiPriority w:val="10"/>
    <w:qFormat/>
    <w:rsid w:val="00AF4C6E"/>
    <w:rPr>
      <w:rFonts w:asciiTheme="majorHAnsi" w:eastAsiaTheme="majorEastAsia" w:hAnsiTheme="majorHAnsi" w:cstheme="majorBidi"/>
      <w:bCs/>
      <w:sz w:val="56"/>
      <w:szCs w:val="52"/>
    </w:rPr>
  </w:style>
  <w:style w:type="character" w:customStyle="1" w:styleId="TitleChar">
    <w:name w:val="Title Char"/>
    <w:basedOn w:val="DefaultParagraphFont"/>
    <w:link w:val="Title"/>
    <w:uiPriority w:val="10"/>
    <w:rsid w:val="00AF4C6E"/>
    <w:rPr>
      <w:rFonts w:asciiTheme="majorHAnsi" w:eastAsiaTheme="majorEastAsia" w:hAnsiTheme="majorHAnsi" w:cstheme="majorBidi"/>
      <w:bCs/>
      <w:color w:val="6F787E" w:themeColor="text2"/>
      <w:sz w:val="56"/>
      <w:szCs w:val="52"/>
    </w:rPr>
  </w:style>
  <w:style w:type="paragraph" w:styleId="Subtitle">
    <w:name w:val="Subtitle"/>
    <w:basedOn w:val="Normal"/>
    <w:link w:val="SubtitleChar"/>
    <w:uiPriority w:val="11"/>
    <w:qFormat/>
    <w:rsid w:val="00AF4C6E"/>
    <w:rPr>
      <w:spacing w:val="20"/>
      <w:sz w:val="32"/>
    </w:rPr>
  </w:style>
  <w:style w:type="character" w:customStyle="1" w:styleId="SubtitleChar">
    <w:name w:val="Subtitle Char"/>
    <w:basedOn w:val="DefaultParagraphFont"/>
    <w:link w:val="Subtitle"/>
    <w:uiPriority w:val="11"/>
    <w:rsid w:val="00AF4C6E"/>
    <w:rPr>
      <w:color w:val="6F787E" w:themeColor="text2"/>
      <w:spacing w:val="20"/>
      <w:sz w:val="32"/>
    </w:rPr>
  </w:style>
  <w:style w:type="paragraph" w:styleId="TOCHeading">
    <w:name w:val="TOC Heading"/>
    <w:basedOn w:val="Heading1"/>
    <w:next w:val="Normal"/>
    <w:uiPriority w:val="39"/>
    <w:unhideWhenUsed/>
    <w:qFormat/>
    <w:rsid w:val="0084372E"/>
    <w:pPr>
      <w:keepLines/>
      <w:spacing w:before="0" w:after="100"/>
      <w:outlineLvl w:val="9"/>
    </w:pPr>
    <w:rPr>
      <w:kern w:val="0"/>
    </w:rPr>
  </w:style>
  <w:style w:type="paragraph" w:styleId="MacroText">
    <w:name w:val="macro"/>
    <w:link w:val="MacroTextChar"/>
    <w:uiPriority w:val="99"/>
    <w:semiHidden/>
    <w:unhideWhenUsed/>
    <w:rsid w:val="00AF4C6E"/>
    <w:pPr>
      <w:tabs>
        <w:tab w:val="left" w:pos="480"/>
        <w:tab w:val="left" w:pos="960"/>
        <w:tab w:val="left" w:pos="1440"/>
        <w:tab w:val="left" w:pos="1920"/>
        <w:tab w:val="left" w:pos="2400"/>
        <w:tab w:val="left" w:pos="2880"/>
        <w:tab w:val="left" w:pos="3360"/>
        <w:tab w:val="left" w:pos="3840"/>
        <w:tab w:val="left" w:pos="4320"/>
      </w:tabs>
      <w:spacing w:after="0"/>
    </w:pPr>
    <w:rPr>
      <w:color w:val="6F787E" w:themeColor="text2"/>
    </w:rPr>
  </w:style>
  <w:style w:type="character" w:customStyle="1" w:styleId="MacroTextChar">
    <w:name w:val="Macro Text Char"/>
    <w:basedOn w:val="DefaultParagraphFont"/>
    <w:link w:val="MacroText"/>
    <w:uiPriority w:val="99"/>
    <w:semiHidden/>
    <w:rsid w:val="00AF4C6E"/>
    <w:rPr>
      <w:rFonts w:ascii="Segoe UI Light" w:hAnsi="Segoe UI Light"/>
      <w:color w:val="6F787E" w:themeColor="text2"/>
      <w:sz w:val="20"/>
      <w:szCs w:val="20"/>
    </w:rPr>
  </w:style>
  <w:style w:type="character" w:customStyle="1" w:styleId="Heading4Char">
    <w:name w:val="Heading 4 Char"/>
    <w:basedOn w:val="DefaultParagraphFont"/>
    <w:link w:val="Heading4"/>
    <w:uiPriority w:val="1"/>
    <w:rsid w:val="000E2BF7"/>
    <w:rPr>
      <w:rFonts w:asciiTheme="majorHAnsi" w:eastAsiaTheme="majorEastAsia" w:hAnsiTheme="majorHAnsi" w:cstheme="majorBidi"/>
      <w:iCs/>
      <w:color w:val="6F787E" w:themeColor="text2"/>
      <w:sz w:val="28"/>
    </w:rPr>
  </w:style>
  <w:style w:type="character" w:customStyle="1" w:styleId="Heading5Char">
    <w:name w:val="Heading 5 Char"/>
    <w:basedOn w:val="DefaultParagraphFont"/>
    <w:link w:val="Heading5"/>
    <w:uiPriority w:val="1"/>
    <w:rsid w:val="000E2BF7"/>
    <w:rPr>
      <w:rFonts w:asciiTheme="majorHAnsi" w:eastAsiaTheme="majorEastAsia" w:hAnsiTheme="majorHAnsi" w:cstheme="majorBidi"/>
      <w:b/>
      <w:color w:val="6F787E" w:themeColor="text2"/>
      <w:sz w:val="24"/>
    </w:rPr>
  </w:style>
  <w:style w:type="character" w:customStyle="1" w:styleId="Heading6Char">
    <w:name w:val="Heading 6 Char"/>
    <w:basedOn w:val="DefaultParagraphFont"/>
    <w:link w:val="Heading6"/>
    <w:uiPriority w:val="1"/>
    <w:rsid w:val="000E2BF7"/>
    <w:rPr>
      <w:rFonts w:asciiTheme="majorHAnsi" w:eastAsiaTheme="majorEastAsia" w:hAnsiTheme="majorHAnsi" w:cstheme="majorBidi"/>
      <w:b/>
      <w:color w:val="6F787E" w:themeColor="text2"/>
      <w:sz w:val="20"/>
    </w:rPr>
  </w:style>
  <w:style w:type="character" w:customStyle="1" w:styleId="Heading7Char">
    <w:name w:val="Heading 7 Char"/>
    <w:basedOn w:val="DefaultParagraphFont"/>
    <w:link w:val="Heading7"/>
    <w:uiPriority w:val="1"/>
    <w:rsid w:val="000E2BF7"/>
    <w:rPr>
      <w:rFonts w:asciiTheme="majorHAnsi" w:eastAsiaTheme="majorEastAsia" w:hAnsiTheme="majorHAnsi" w:cstheme="majorBidi"/>
      <w:b/>
      <w:iCs/>
      <w:color w:val="6F787E" w:themeColor="text2"/>
      <w:sz w:val="20"/>
    </w:rPr>
  </w:style>
  <w:style w:type="character" w:customStyle="1" w:styleId="Heading8Char">
    <w:name w:val="Heading 8 Char"/>
    <w:basedOn w:val="DefaultParagraphFont"/>
    <w:link w:val="Heading8"/>
    <w:uiPriority w:val="1"/>
    <w:rsid w:val="000E2BF7"/>
    <w:rPr>
      <w:rFonts w:asciiTheme="majorHAnsi" w:eastAsiaTheme="majorEastAsia" w:hAnsiTheme="majorHAnsi" w:cstheme="majorBidi"/>
      <w:b/>
      <w:color w:val="6F787E" w:themeColor="text2"/>
      <w:sz w:val="20"/>
      <w:szCs w:val="21"/>
    </w:rPr>
  </w:style>
  <w:style w:type="character" w:customStyle="1" w:styleId="Heading9Char">
    <w:name w:val="Heading 9 Char"/>
    <w:basedOn w:val="DefaultParagraphFont"/>
    <w:link w:val="Heading9"/>
    <w:uiPriority w:val="1"/>
    <w:rsid w:val="000E2BF7"/>
    <w:rPr>
      <w:rFonts w:asciiTheme="majorHAnsi" w:eastAsiaTheme="majorEastAsia" w:hAnsiTheme="majorHAnsi" w:cstheme="majorBidi"/>
      <w:b/>
      <w:i/>
      <w:iCs/>
      <w:color w:val="6F787E" w:themeColor="text2"/>
      <w:sz w:val="20"/>
      <w:szCs w:val="21"/>
    </w:rPr>
  </w:style>
  <w:style w:type="character" w:styleId="SubtleEmphasis">
    <w:name w:val="Subtle Emphasis"/>
    <w:basedOn w:val="DefaultParagraphFont"/>
    <w:uiPriority w:val="19"/>
    <w:unhideWhenUsed/>
    <w:qFormat/>
    <w:rsid w:val="00AF4C6E"/>
    <w:rPr>
      <w:i/>
      <w:iCs/>
      <w:color w:val="6F787E" w:themeColor="text2"/>
    </w:rPr>
  </w:style>
  <w:style w:type="character" w:styleId="IntenseEmphasis">
    <w:name w:val="Intense Emphasis"/>
    <w:basedOn w:val="DefaultParagraphFont"/>
    <w:uiPriority w:val="21"/>
    <w:semiHidden/>
    <w:unhideWhenUsed/>
    <w:qFormat/>
    <w:rsid w:val="00AF4C6E"/>
    <w:rPr>
      <w:i/>
      <w:iCs/>
      <w:color w:val="6F787E" w:themeColor="text2"/>
    </w:rPr>
  </w:style>
  <w:style w:type="paragraph" w:styleId="Quote">
    <w:name w:val="Quote"/>
    <w:basedOn w:val="Normal"/>
    <w:next w:val="Normal"/>
    <w:link w:val="QuoteChar"/>
    <w:uiPriority w:val="29"/>
    <w:semiHidden/>
    <w:unhideWhenUsed/>
    <w:qFormat/>
    <w:rsid w:val="00AF4C6E"/>
    <w:pPr>
      <w:spacing w:before="200"/>
      <w:ind w:left="864" w:right="864"/>
      <w:jc w:val="center"/>
    </w:pPr>
    <w:rPr>
      <w:i/>
      <w:iCs/>
    </w:rPr>
  </w:style>
  <w:style w:type="character" w:customStyle="1" w:styleId="QuoteChar">
    <w:name w:val="Quote Char"/>
    <w:basedOn w:val="DefaultParagraphFont"/>
    <w:link w:val="Quote"/>
    <w:uiPriority w:val="29"/>
    <w:semiHidden/>
    <w:rsid w:val="00AF4C6E"/>
    <w:rPr>
      <w:i/>
      <w:iCs/>
      <w:color w:val="6F787E" w:themeColor="text2"/>
      <w:sz w:val="20"/>
    </w:rPr>
  </w:style>
  <w:style w:type="paragraph" w:styleId="IntenseQuote">
    <w:name w:val="Intense Quote"/>
    <w:basedOn w:val="Normal"/>
    <w:next w:val="Normal"/>
    <w:link w:val="IntenseQuoteChar"/>
    <w:uiPriority w:val="30"/>
    <w:semiHidden/>
    <w:unhideWhenUsed/>
    <w:qFormat/>
    <w:rsid w:val="00AF4C6E"/>
    <w:pPr>
      <w:pBdr>
        <w:top w:val="single" w:sz="4" w:space="10" w:color="4E54A2" w:themeColor="accent1"/>
        <w:bottom w:val="single" w:sz="4" w:space="10" w:color="4E54A2"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AF4C6E"/>
    <w:rPr>
      <w:i/>
      <w:iCs/>
      <w:color w:val="6F787E" w:themeColor="text2"/>
      <w:sz w:val="20"/>
    </w:rPr>
  </w:style>
  <w:style w:type="character" w:styleId="SubtleReference">
    <w:name w:val="Subtle Reference"/>
    <w:basedOn w:val="DefaultParagraphFont"/>
    <w:uiPriority w:val="31"/>
    <w:semiHidden/>
    <w:unhideWhenUsed/>
    <w:qFormat/>
    <w:rsid w:val="00AF4C6E"/>
    <w:rPr>
      <w:smallCaps/>
      <w:color w:val="6F787E" w:themeColor="text2"/>
    </w:rPr>
  </w:style>
  <w:style w:type="character" w:styleId="IntenseReference">
    <w:name w:val="Intense Reference"/>
    <w:basedOn w:val="DefaultParagraphFont"/>
    <w:uiPriority w:val="32"/>
    <w:unhideWhenUsed/>
    <w:qFormat/>
    <w:rsid w:val="00AF4C6E"/>
    <w:rPr>
      <w:b/>
      <w:bCs/>
      <w:smallCaps/>
      <w:color w:val="6F787E" w:themeColor="text2"/>
      <w:spacing w:val="5"/>
    </w:rPr>
  </w:style>
  <w:style w:type="character" w:styleId="BookTitle">
    <w:name w:val="Book Title"/>
    <w:basedOn w:val="DefaultParagraphFont"/>
    <w:uiPriority w:val="33"/>
    <w:semiHidden/>
    <w:unhideWhenUsed/>
    <w:qFormat/>
    <w:rsid w:val="00AF4C6E"/>
    <w:rPr>
      <w:b/>
      <w:bCs/>
      <w:i/>
      <w:iCs/>
      <w:color w:val="6F787E" w:themeColor="text2"/>
      <w:spacing w:val="5"/>
    </w:rPr>
  </w:style>
  <w:style w:type="paragraph" w:styleId="ListParagraph">
    <w:name w:val="List Paragraph"/>
    <w:basedOn w:val="Normal"/>
    <w:uiPriority w:val="34"/>
    <w:unhideWhenUsed/>
    <w:qFormat/>
    <w:rsid w:val="00AF4C6E"/>
    <w:pPr>
      <w:ind w:left="720"/>
      <w:contextualSpacing/>
    </w:pPr>
  </w:style>
  <w:style w:type="paragraph" w:styleId="Caption">
    <w:name w:val="caption"/>
    <w:basedOn w:val="Normal"/>
    <w:next w:val="Normal"/>
    <w:uiPriority w:val="35"/>
    <w:semiHidden/>
    <w:unhideWhenUsed/>
    <w:rsid w:val="00AF4C6E"/>
    <w:rPr>
      <w:i/>
      <w:iCs/>
      <w:sz w:val="18"/>
      <w:szCs w:val="18"/>
    </w:rPr>
  </w:style>
  <w:style w:type="paragraph" w:styleId="Bibliography">
    <w:name w:val="Bibliography"/>
    <w:basedOn w:val="Normal"/>
    <w:next w:val="Normal"/>
    <w:uiPriority w:val="37"/>
    <w:semiHidden/>
    <w:unhideWhenUsed/>
    <w:rsid w:val="00AF4C6E"/>
  </w:style>
  <w:style w:type="paragraph" w:styleId="Closing">
    <w:name w:val="Closing"/>
    <w:basedOn w:val="Normal"/>
    <w:link w:val="ClosingChar"/>
    <w:uiPriority w:val="99"/>
    <w:semiHidden/>
    <w:unhideWhenUsed/>
    <w:rsid w:val="00AF4C6E"/>
    <w:pPr>
      <w:spacing w:after="0"/>
      <w:ind w:left="4320"/>
    </w:pPr>
  </w:style>
  <w:style w:type="character" w:customStyle="1" w:styleId="ClosingChar">
    <w:name w:val="Closing Char"/>
    <w:basedOn w:val="DefaultParagraphFont"/>
    <w:link w:val="Closing"/>
    <w:uiPriority w:val="99"/>
    <w:semiHidden/>
    <w:rsid w:val="00AF4C6E"/>
    <w:rPr>
      <w:color w:val="6F787E" w:themeColor="text2"/>
      <w:sz w:val="20"/>
    </w:rPr>
  </w:style>
  <w:style w:type="paragraph" w:styleId="DocumentMap">
    <w:name w:val="Document Map"/>
    <w:basedOn w:val="Normal"/>
    <w:link w:val="DocumentMapChar"/>
    <w:uiPriority w:val="99"/>
    <w:semiHidden/>
    <w:unhideWhenUsed/>
    <w:rsid w:val="00AF4C6E"/>
    <w:pPr>
      <w:spacing w:after="0"/>
    </w:pPr>
    <w:rPr>
      <w:rFonts w:cs="Segoe UI"/>
      <w:sz w:val="16"/>
      <w:szCs w:val="16"/>
    </w:rPr>
  </w:style>
  <w:style w:type="character" w:customStyle="1" w:styleId="DocumentMapChar">
    <w:name w:val="Document Map Char"/>
    <w:basedOn w:val="DefaultParagraphFont"/>
    <w:link w:val="DocumentMap"/>
    <w:uiPriority w:val="99"/>
    <w:semiHidden/>
    <w:rsid w:val="00AF4C6E"/>
    <w:rPr>
      <w:rFonts w:ascii="Segoe UI Light" w:hAnsi="Segoe UI Light" w:cs="Segoe UI"/>
      <w:color w:val="6F787E" w:themeColor="text2"/>
      <w:sz w:val="16"/>
      <w:szCs w:val="16"/>
    </w:rPr>
  </w:style>
  <w:style w:type="table" w:styleId="TableGrid">
    <w:name w:val="Table Grid"/>
    <w:basedOn w:val="TableNormal"/>
    <w:uiPriority w:val="39"/>
    <w:rsid w:val="00AF4C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342864"/>
    <w:pPr>
      <w:spacing w:after="0"/>
    </w:pPr>
    <w:tblPr>
      <w:tblStyleRowBandSize w:val="1"/>
      <w:tblStyleColBandSize w:val="1"/>
      <w:tblBorders>
        <w:top w:val="single" w:sz="4" w:space="0" w:color="6688EC" w:themeColor="accent6" w:themeTint="66"/>
        <w:left w:val="single" w:sz="4" w:space="0" w:color="6688EC" w:themeColor="accent6" w:themeTint="66"/>
        <w:bottom w:val="single" w:sz="4" w:space="0" w:color="6688EC" w:themeColor="accent6" w:themeTint="66"/>
        <w:right w:val="single" w:sz="4" w:space="0" w:color="6688EC" w:themeColor="accent6" w:themeTint="66"/>
        <w:insideH w:val="single" w:sz="4" w:space="0" w:color="6688EC" w:themeColor="accent6" w:themeTint="66"/>
        <w:insideV w:val="single" w:sz="4" w:space="0" w:color="6688EC" w:themeColor="accent6" w:themeTint="66"/>
      </w:tblBorders>
    </w:tblPr>
    <w:tblStylePr w:type="firstRow">
      <w:rPr>
        <w:b/>
        <w:bCs/>
      </w:rPr>
      <w:tblPr/>
      <w:tcPr>
        <w:tcBorders>
          <w:bottom w:val="single" w:sz="12" w:space="0" w:color="1B4EE3" w:themeColor="accent6" w:themeTint="99"/>
        </w:tcBorders>
      </w:tcPr>
    </w:tblStylePr>
    <w:tblStylePr w:type="lastRow">
      <w:rPr>
        <w:b/>
        <w:bCs/>
      </w:rPr>
      <w:tblPr/>
      <w:tcPr>
        <w:tcBorders>
          <w:top w:val="double" w:sz="2" w:space="0" w:color="1B4EE3" w:themeColor="accent6"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AF4C6E"/>
    <w:pPr>
      <w:tabs>
        <w:tab w:val="center" w:pos="4680"/>
        <w:tab w:val="right" w:pos="9360"/>
      </w:tabs>
      <w:spacing w:after="0"/>
    </w:pPr>
  </w:style>
  <w:style w:type="character" w:customStyle="1" w:styleId="FooterChar">
    <w:name w:val="Footer Char"/>
    <w:basedOn w:val="DefaultParagraphFont"/>
    <w:link w:val="Footer"/>
    <w:uiPriority w:val="99"/>
    <w:rsid w:val="00AF4C6E"/>
    <w:rPr>
      <w:color w:val="6F787E" w:themeColor="text2"/>
      <w:sz w:val="20"/>
    </w:rPr>
  </w:style>
  <w:style w:type="table" w:styleId="GridTable1Light">
    <w:name w:val="Grid Table 1 Light"/>
    <w:basedOn w:val="TableNormal"/>
    <w:uiPriority w:val="46"/>
    <w:rsid w:val="00AF4C6E"/>
    <w:pPr>
      <w:spacing w:after="0"/>
    </w:pPr>
    <w:tblPr>
      <w:tblStyleRowBandSize w:val="1"/>
      <w:tblStyleColBandSize w:val="1"/>
      <w:tblBorders>
        <w:top w:val="single" w:sz="4" w:space="0" w:color="A9B4BB" w:themeColor="text1" w:themeTint="66"/>
        <w:left w:val="single" w:sz="4" w:space="0" w:color="A9B4BB" w:themeColor="text1" w:themeTint="66"/>
        <w:bottom w:val="single" w:sz="4" w:space="0" w:color="A9B4BB" w:themeColor="text1" w:themeTint="66"/>
        <w:right w:val="single" w:sz="4" w:space="0" w:color="A9B4BB" w:themeColor="text1" w:themeTint="66"/>
        <w:insideH w:val="single" w:sz="4" w:space="0" w:color="A9B4BB" w:themeColor="text1" w:themeTint="66"/>
        <w:insideV w:val="single" w:sz="4" w:space="0" w:color="A9B4BB" w:themeColor="text1" w:themeTint="66"/>
      </w:tblBorders>
    </w:tblPr>
    <w:tblStylePr w:type="firstRow">
      <w:rPr>
        <w:b/>
        <w:bCs/>
      </w:rPr>
      <w:tblPr/>
      <w:tcPr>
        <w:tcBorders>
          <w:bottom w:val="single" w:sz="12" w:space="0" w:color="7E8E99" w:themeColor="text1" w:themeTint="99"/>
        </w:tcBorders>
      </w:tcPr>
    </w:tblStylePr>
    <w:tblStylePr w:type="lastRow">
      <w:rPr>
        <w:b/>
        <w:bCs/>
      </w:rPr>
      <w:tblPr/>
      <w:tcPr>
        <w:tcBorders>
          <w:top w:val="double" w:sz="2" w:space="0" w:color="7E8E9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F4C6E"/>
    <w:pPr>
      <w:spacing w:after="0"/>
    </w:pPr>
    <w:tblPr>
      <w:tblStyleRowBandSize w:val="1"/>
      <w:tblStyleColBandSize w:val="1"/>
      <w:tblBorders>
        <w:top w:val="single" w:sz="4" w:space="0" w:color="B6B8DC" w:themeColor="accent1" w:themeTint="66"/>
        <w:left w:val="single" w:sz="4" w:space="0" w:color="B6B8DC" w:themeColor="accent1" w:themeTint="66"/>
        <w:bottom w:val="single" w:sz="4" w:space="0" w:color="B6B8DC" w:themeColor="accent1" w:themeTint="66"/>
        <w:right w:val="single" w:sz="4" w:space="0" w:color="B6B8DC" w:themeColor="accent1" w:themeTint="66"/>
        <w:insideH w:val="single" w:sz="4" w:space="0" w:color="B6B8DC" w:themeColor="accent1" w:themeTint="66"/>
        <w:insideV w:val="single" w:sz="4" w:space="0" w:color="B6B8DC" w:themeColor="accent1" w:themeTint="66"/>
      </w:tblBorders>
    </w:tblPr>
    <w:tblStylePr w:type="firstRow">
      <w:rPr>
        <w:b/>
        <w:bCs/>
      </w:rPr>
      <w:tblPr/>
      <w:tcPr>
        <w:tcBorders>
          <w:bottom w:val="single" w:sz="12" w:space="0" w:color="9195CA" w:themeColor="accent1" w:themeTint="99"/>
        </w:tcBorders>
      </w:tcPr>
    </w:tblStylePr>
    <w:tblStylePr w:type="lastRow">
      <w:rPr>
        <w:b/>
        <w:bCs/>
      </w:rPr>
      <w:tblPr/>
      <w:tcPr>
        <w:tcBorders>
          <w:top w:val="double" w:sz="2" w:space="0" w:color="9195C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F4C6E"/>
    <w:pPr>
      <w:spacing w:after="0"/>
    </w:pPr>
    <w:tblPr>
      <w:tblStyleRowBandSize w:val="1"/>
      <w:tblStyleColBandSize w:val="1"/>
      <w:tblBorders>
        <w:top w:val="single" w:sz="4" w:space="0" w:color="7BDDFF" w:themeColor="accent2" w:themeTint="66"/>
        <w:left w:val="single" w:sz="4" w:space="0" w:color="7BDDFF" w:themeColor="accent2" w:themeTint="66"/>
        <w:bottom w:val="single" w:sz="4" w:space="0" w:color="7BDDFF" w:themeColor="accent2" w:themeTint="66"/>
        <w:right w:val="single" w:sz="4" w:space="0" w:color="7BDDFF" w:themeColor="accent2" w:themeTint="66"/>
        <w:insideH w:val="single" w:sz="4" w:space="0" w:color="7BDDFF" w:themeColor="accent2" w:themeTint="66"/>
        <w:insideV w:val="single" w:sz="4" w:space="0" w:color="7BDDFF" w:themeColor="accent2" w:themeTint="66"/>
      </w:tblBorders>
    </w:tblPr>
    <w:tblStylePr w:type="firstRow">
      <w:rPr>
        <w:b/>
        <w:bCs/>
      </w:rPr>
      <w:tblPr/>
      <w:tcPr>
        <w:tcBorders>
          <w:bottom w:val="single" w:sz="12" w:space="0" w:color="39CCFF" w:themeColor="accent2" w:themeTint="99"/>
        </w:tcBorders>
      </w:tcPr>
    </w:tblStylePr>
    <w:tblStylePr w:type="lastRow">
      <w:rPr>
        <w:b/>
        <w:bCs/>
      </w:rPr>
      <w:tblPr/>
      <w:tcPr>
        <w:tcBorders>
          <w:top w:val="double" w:sz="2" w:space="0" w:color="39C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F4C6E"/>
    <w:pPr>
      <w:spacing w:after="0"/>
    </w:pPr>
    <w:tblPr>
      <w:tblStyleRowBandSize w:val="1"/>
      <w:tblStyleColBandSize w:val="1"/>
      <w:tblBorders>
        <w:top w:val="single" w:sz="4" w:space="0" w:color="BAEFEA" w:themeColor="accent3" w:themeTint="66"/>
        <w:left w:val="single" w:sz="4" w:space="0" w:color="BAEFEA" w:themeColor="accent3" w:themeTint="66"/>
        <w:bottom w:val="single" w:sz="4" w:space="0" w:color="BAEFEA" w:themeColor="accent3" w:themeTint="66"/>
        <w:right w:val="single" w:sz="4" w:space="0" w:color="BAEFEA" w:themeColor="accent3" w:themeTint="66"/>
        <w:insideH w:val="single" w:sz="4" w:space="0" w:color="BAEFEA" w:themeColor="accent3" w:themeTint="66"/>
        <w:insideV w:val="single" w:sz="4" w:space="0" w:color="BAEFEA" w:themeColor="accent3" w:themeTint="66"/>
      </w:tblBorders>
    </w:tblPr>
    <w:tblStylePr w:type="firstRow">
      <w:rPr>
        <w:b/>
        <w:bCs/>
      </w:rPr>
      <w:tblPr/>
      <w:tcPr>
        <w:tcBorders>
          <w:bottom w:val="single" w:sz="12" w:space="0" w:color="98E8E0" w:themeColor="accent3" w:themeTint="99"/>
        </w:tcBorders>
      </w:tcPr>
    </w:tblStylePr>
    <w:tblStylePr w:type="lastRow">
      <w:rPr>
        <w:b/>
        <w:bCs/>
      </w:rPr>
      <w:tblPr/>
      <w:tcPr>
        <w:tcBorders>
          <w:top w:val="double" w:sz="2" w:space="0" w:color="98E8E0"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F4C6E"/>
    <w:pPr>
      <w:spacing w:after="0"/>
    </w:pPr>
    <w:tblPr>
      <w:tblStyleRowBandSize w:val="1"/>
      <w:tblStyleColBandSize w:val="1"/>
      <w:tblBorders>
        <w:top w:val="single" w:sz="4" w:space="0" w:color="F0F4F6" w:themeColor="accent5" w:themeTint="66"/>
        <w:left w:val="single" w:sz="4" w:space="0" w:color="F0F4F6" w:themeColor="accent5" w:themeTint="66"/>
        <w:bottom w:val="single" w:sz="4" w:space="0" w:color="F0F4F6" w:themeColor="accent5" w:themeTint="66"/>
        <w:right w:val="single" w:sz="4" w:space="0" w:color="F0F4F6" w:themeColor="accent5" w:themeTint="66"/>
        <w:insideH w:val="single" w:sz="4" w:space="0" w:color="F0F4F6" w:themeColor="accent5" w:themeTint="66"/>
        <w:insideV w:val="single" w:sz="4" w:space="0" w:color="F0F4F6" w:themeColor="accent5" w:themeTint="66"/>
      </w:tblBorders>
    </w:tblPr>
    <w:tblStylePr w:type="firstRow">
      <w:rPr>
        <w:b/>
        <w:bCs/>
      </w:rPr>
      <w:tblPr/>
      <w:tcPr>
        <w:tcBorders>
          <w:bottom w:val="single" w:sz="12" w:space="0" w:color="E9EFF2" w:themeColor="accent5" w:themeTint="99"/>
        </w:tcBorders>
      </w:tcPr>
    </w:tblStylePr>
    <w:tblStylePr w:type="lastRow">
      <w:rPr>
        <w:b/>
        <w:bCs/>
      </w:rPr>
      <w:tblPr/>
      <w:tcPr>
        <w:tcBorders>
          <w:top w:val="double" w:sz="2" w:space="0" w:color="E9EFF2" w:themeColor="accent5"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AF4C6E"/>
    <w:pPr>
      <w:spacing w:after="0"/>
    </w:pPr>
    <w:tblPr>
      <w:tblStyleRowBandSize w:val="1"/>
      <w:tblStyleColBandSize w:val="1"/>
      <w:tblBorders>
        <w:top w:val="single" w:sz="4" w:space="0" w:color="E9EFF2" w:themeColor="accent5" w:themeTint="99"/>
        <w:left w:val="single" w:sz="4" w:space="0" w:color="E9EFF2" w:themeColor="accent5" w:themeTint="99"/>
        <w:bottom w:val="single" w:sz="4" w:space="0" w:color="E9EFF2" w:themeColor="accent5" w:themeTint="99"/>
        <w:right w:val="single" w:sz="4" w:space="0" w:color="E9EFF2" w:themeColor="accent5" w:themeTint="99"/>
        <w:insideH w:val="single" w:sz="4" w:space="0" w:color="E9EFF2" w:themeColor="accent5" w:themeTint="99"/>
        <w:insideV w:val="single" w:sz="4" w:space="0" w:color="E9EFF2" w:themeColor="accent5" w:themeTint="99"/>
      </w:tblBorders>
    </w:tblPr>
    <w:tblStylePr w:type="firstRow">
      <w:rPr>
        <w:b/>
        <w:bCs/>
      </w:rPr>
      <w:tblPr/>
      <w:tcPr>
        <w:tcBorders>
          <w:top w:val="nil"/>
          <w:left w:val="nil"/>
          <w:right w:val="nil"/>
          <w:insideH w:val="nil"/>
          <w:insideV w:val="nil"/>
        </w:tcBorders>
        <w:shd w:val="clear" w:color="auto" w:fill="BEBEBE" w:themeFill="background1"/>
      </w:tcPr>
    </w:tblStylePr>
    <w:tblStylePr w:type="lastRow">
      <w:rPr>
        <w:b/>
        <w:bCs/>
      </w:rPr>
      <w:tblPr/>
      <w:tcPr>
        <w:tcBorders>
          <w:left w:val="nil"/>
          <w:bottom w:val="nil"/>
          <w:right w:val="nil"/>
          <w:insideH w:val="nil"/>
          <w:insideV w:val="nil"/>
        </w:tcBorders>
        <w:shd w:val="clear" w:color="auto" w:fill="BEBEBE" w:themeFill="background1"/>
      </w:tcPr>
    </w:tblStylePr>
    <w:tblStylePr w:type="firstCol">
      <w:pPr>
        <w:jc w:val="right"/>
      </w:pPr>
      <w:rPr>
        <w:i/>
        <w:iCs/>
      </w:rPr>
      <w:tblPr/>
      <w:tcPr>
        <w:tcBorders>
          <w:top w:val="nil"/>
          <w:left w:val="nil"/>
          <w:bottom w:val="nil"/>
          <w:insideH w:val="nil"/>
          <w:insideV w:val="nil"/>
        </w:tcBorders>
        <w:shd w:val="clear" w:color="auto" w:fill="BEBEBE" w:themeFill="background1"/>
      </w:tcPr>
    </w:tblStylePr>
    <w:tblStylePr w:type="lastCol">
      <w:rPr>
        <w:i/>
        <w:iCs/>
      </w:rPr>
      <w:tblPr/>
      <w:tcPr>
        <w:tcBorders>
          <w:top w:val="nil"/>
          <w:bottom w:val="nil"/>
          <w:right w:val="nil"/>
          <w:insideH w:val="nil"/>
          <w:insideV w:val="nil"/>
        </w:tcBorders>
        <w:shd w:val="clear" w:color="auto" w:fill="BEBEBE" w:themeFill="background1"/>
      </w:tcPr>
    </w:tblStylePr>
    <w:tblStylePr w:type="band1Vert">
      <w:tblPr/>
      <w:tcPr>
        <w:shd w:val="clear" w:color="auto" w:fill="F7F9FA" w:themeFill="accent5" w:themeFillTint="33"/>
      </w:tcPr>
    </w:tblStylePr>
    <w:tblStylePr w:type="band1Horz">
      <w:tblPr/>
      <w:tcPr>
        <w:shd w:val="clear" w:color="auto" w:fill="F7F9FA" w:themeFill="accent5" w:themeFillTint="33"/>
      </w:tcPr>
    </w:tblStylePr>
    <w:tblStylePr w:type="neCell">
      <w:tblPr/>
      <w:tcPr>
        <w:tcBorders>
          <w:bottom w:val="single" w:sz="4" w:space="0" w:color="E9EFF2" w:themeColor="accent5" w:themeTint="99"/>
        </w:tcBorders>
      </w:tcPr>
    </w:tblStylePr>
    <w:tblStylePr w:type="nwCell">
      <w:tblPr/>
      <w:tcPr>
        <w:tcBorders>
          <w:bottom w:val="single" w:sz="4" w:space="0" w:color="E9EFF2" w:themeColor="accent5" w:themeTint="99"/>
        </w:tcBorders>
      </w:tcPr>
    </w:tblStylePr>
    <w:tblStylePr w:type="seCell">
      <w:tblPr/>
      <w:tcPr>
        <w:tcBorders>
          <w:top w:val="single" w:sz="4" w:space="0" w:color="E9EFF2" w:themeColor="accent5" w:themeTint="99"/>
        </w:tcBorders>
      </w:tcPr>
    </w:tblStylePr>
    <w:tblStylePr w:type="swCell">
      <w:tblPr/>
      <w:tcPr>
        <w:tcBorders>
          <w:top w:val="single" w:sz="4" w:space="0" w:color="E9EFF2" w:themeColor="accent5" w:themeTint="99"/>
        </w:tcBorders>
      </w:tcPr>
    </w:tblStylePr>
  </w:style>
  <w:style w:type="table" w:styleId="GridTable4-Accent5">
    <w:name w:val="Grid Table 4 Accent 5"/>
    <w:basedOn w:val="TableNormal"/>
    <w:uiPriority w:val="49"/>
    <w:rsid w:val="00AF4C6E"/>
    <w:pPr>
      <w:spacing w:after="0"/>
    </w:pPr>
    <w:rPr>
      <w:rFonts w:ascii="Calibri" w:eastAsia="Calibri" w:hAnsi="Calibri" w:cs="Times New Roman"/>
    </w:rPr>
    <w:tblPr>
      <w:tblStyleRowBandSize w:val="1"/>
      <w:tblStyleColBandSize w:val="1"/>
      <w:tblBorders>
        <w:top w:val="single" w:sz="4" w:space="0" w:color="E9EFF2" w:themeColor="accent5" w:themeTint="99"/>
        <w:left w:val="single" w:sz="4" w:space="0" w:color="E9EFF2" w:themeColor="accent5" w:themeTint="99"/>
        <w:bottom w:val="single" w:sz="4" w:space="0" w:color="E9EFF2" w:themeColor="accent5" w:themeTint="99"/>
        <w:right w:val="single" w:sz="4" w:space="0" w:color="E9EFF2" w:themeColor="accent5" w:themeTint="99"/>
        <w:insideH w:val="single" w:sz="4" w:space="0" w:color="E9EFF2" w:themeColor="accent5" w:themeTint="99"/>
        <w:insideV w:val="single" w:sz="4" w:space="0" w:color="E9EFF2" w:themeColor="accent5" w:themeTint="99"/>
      </w:tblBorders>
    </w:tblPr>
    <w:tblStylePr w:type="firstRow">
      <w:rPr>
        <w:b/>
        <w:bCs/>
        <w:color w:val="BEBEBE" w:themeColor="background1"/>
      </w:rPr>
      <w:tblPr/>
      <w:tcPr>
        <w:tcBorders>
          <w:top w:val="single" w:sz="4" w:space="0" w:color="DCE5EA" w:themeColor="accent5"/>
          <w:left w:val="single" w:sz="4" w:space="0" w:color="DCE5EA" w:themeColor="accent5"/>
          <w:bottom w:val="single" w:sz="4" w:space="0" w:color="DCE5EA" w:themeColor="accent5"/>
          <w:right w:val="single" w:sz="4" w:space="0" w:color="DCE5EA" w:themeColor="accent5"/>
          <w:insideH w:val="nil"/>
          <w:insideV w:val="nil"/>
        </w:tcBorders>
        <w:shd w:val="clear" w:color="auto" w:fill="DCE5EA" w:themeFill="accent5"/>
      </w:tcPr>
    </w:tblStylePr>
    <w:tblStylePr w:type="lastRow">
      <w:rPr>
        <w:b/>
        <w:bCs/>
      </w:rPr>
      <w:tblPr/>
      <w:tcPr>
        <w:tcBorders>
          <w:top w:val="double" w:sz="4" w:space="0" w:color="DCE5EA" w:themeColor="accent5"/>
        </w:tcBorders>
      </w:tcPr>
    </w:tblStylePr>
    <w:tblStylePr w:type="firstCol">
      <w:rPr>
        <w:b/>
        <w:bCs/>
      </w:rPr>
    </w:tblStylePr>
    <w:tblStylePr w:type="lastCol">
      <w:rPr>
        <w:b/>
        <w:bCs/>
      </w:rPr>
    </w:tblStylePr>
    <w:tblStylePr w:type="band1Vert">
      <w:tblPr/>
      <w:tcPr>
        <w:shd w:val="clear" w:color="auto" w:fill="F7F9FA" w:themeFill="accent5" w:themeFillTint="33"/>
      </w:tcPr>
    </w:tblStylePr>
    <w:tblStylePr w:type="band1Horz">
      <w:tblPr/>
      <w:tcPr>
        <w:shd w:val="clear" w:color="auto" w:fill="F7F9FA" w:themeFill="accent5" w:themeFillTint="33"/>
      </w:tcPr>
    </w:tblStylePr>
  </w:style>
  <w:style w:type="paragraph" w:styleId="Header">
    <w:name w:val="header"/>
    <w:basedOn w:val="Normal"/>
    <w:link w:val="HeaderChar"/>
    <w:uiPriority w:val="8"/>
    <w:unhideWhenUsed/>
    <w:rsid w:val="00AF4C6E"/>
    <w:pPr>
      <w:tabs>
        <w:tab w:val="center" w:pos="4680"/>
        <w:tab w:val="right" w:pos="9360"/>
      </w:tabs>
      <w:spacing w:after="0"/>
    </w:pPr>
  </w:style>
  <w:style w:type="character" w:customStyle="1" w:styleId="HeaderChar">
    <w:name w:val="Header Char"/>
    <w:basedOn w:val="DefaultParagraphFont"/>
    <w:link w:val="Header"/>
    <w:uiPriority w:val="8"/>
    <w:rsid w:val="00AF4C6E"/>
    <w:rPr>
      <w:color w:val="6F787E" w:themeColor="text2"/>
      <w:sz w:val="20"/>
    </w:rPr>
  </w:style>
  <w:style w:type="character" w:styleId="Hyperlink">
    <w:name w:val="Hyperlink"/>
    <w:basedOn w:val="DefaultParagraphFont"/>
    <w:uiPriority w:val="99"/>
    <w:unhideWhenUsed/>
    <w:rsid w:val="00AF4C6E"/>
    <w:rPr>
      <w:color w:val="3592CF" w:themeColor="hyperlink"/>
      <w:u w:val="single"/>
    </w:rPr>
  </w:style>
  <w:style w:type="table" w:styleId="ListTable1Light-Accent4">
    <w:name w:val="List Table 1 Light Accent 4"/>
    <w:basedOn w:val="TableNormal"/>
    <w:uiPriority w:val="46"/>
    <w:rsid w:val="00AF4C6E"/>
    <w:pPr>
      <w:spacing w:after="0"/>
    </w:pPr>
    <w:tblPr>
      <w:tblStyleRowBandSize w:val="1"/>
      <w:tblStyleColBandSize w:val="1"/>
    </w:tblPr>
    <w:tblStylePr w:type="firstRow">
      <w:rPr>
        <w:b/>
        <w:bCs/>
      </w:rPr>
      <w:tblPr/>
      <w:tcPr>
        <w:tcBorders>
          <w:bottom w:val="single" w:sz="4" w:space="0" w:color="B0E6F0" w:themeColor="accent4" w:themeTint="99"/>
        </w:tcBorders>
      </w:tcPr>
    </w:tblStylePr>
    <w:tblStylePr w:type="lastRow">
      <w:rPr>
        <w:b/>
        <w:bCs/>
      </w:rPr>
      <w:tblPr/>
      <w:tcPr>
        <w:tcBorders>
          <w:top w:val="single" w:sz="4" w:space="0" w:color="B0E6F0" w:themeColor="accent4" w:themeTint="99"/>
        </w:tcBorders>
      </w:tcPr>
    </w:tblStylePr>
    <w:tblStylePr w:type="firstCol">
      <w:rPr>
        <w:b/>
        <w:bCs/>
      </w:rPr>
    </w:tblStylePr>
    <w:tblStylePr w:type="lastCol">
      <w:rPr>
        <w:b/>
        <w:bCs/>
      </w:rPr>
    </w:tblStylePr>
    <w:tblStylePr w:type="band1Vert">
      <w:tblPr/>
      <w:tcPr>
        <w:shd w:val="clear" w:color="auto" w:fill="E4F7FA" w:themeFill="accent4" w:themeFillTint="33"/>
      </w:tcPr>
    </w:tblStylePr>
    <w:tblStylePr w:type="band1Horz">
      <w:tblPr/>
      <w:tcPr>
        <w:shd w:val="clear" w:color="auto" w:fill="E4F7FA" w:themeFill="accent4" w:themeFillTint="33"/>
      </w:tcPr>
    </w:tblStylePr>
  </w:style>
  <w:style w:type="paragraph" w:styleId="NoSpacing">
    <w:name w:val="No Spacing"/>
    <w:link w:val="NoSpacingChar"/>
    <w:uiPriority w:val="1"/>
    <w:qFormat/>
    <w:rsid w:val="00AF4C6E"/>
    <w:pPr>
      <w:spacing w:after="0"/>
    </w:pPr>
    <w:rPr>
      <w:rFonts w:eastAsiaTheme="minorEastAsia"/>
    </w:rPr>
  </w:style>
  <w:style w:type="character" w:customStyle="1" w:styleId="NoSpacingChar">
    <w:name w:val="No Spacing Char"/>
    <w:basedOn w:val="DefaultParagraphFont"/>
    <w:link w:val="NoSpacing"/>
    <w:uiPriority w:val="1"/>
    <w:rsid w:val="00AF4C6E"/>
    <w:rPr>
      <w:rFonts w:eastAsiaTheme="minorEastAsia"/>
    </w:rPr>
  </w:style>
  <w:style w:type="character" w:styleId="PlaceholderText">
    <w:name w:val="Placeholder Text"/>
    <w:basedOn w:val="DefaultParagraphFont"/>
    <w:uiPriority w:val="99"/>
    <w:unhideWhenUsed/>
    <w:rsid w:val="00AF4C6E"/>
    <w:rPr>
      <w:color w:val="808080"/>
    </w:rPr>
  </w:style>
  <w:style w:type="table" w:styleId="PlainTable1">
    <w:name w:val="Plain Table 1"/>
    <w:basedOn w:val="TableNormal"/>
    <w:uiPriority w:val="41"/>
    <w:rsid w:val="00AF4C6E"/>
    <w:pPr>
      <w:spacing w:after="0"/>
    </w:pPr>
    <w:tblPr>
      <w:tblStyleRowBandSize w:val="1"/>
      <w:tblStyleColBandSize w:val="1"/>
      <w:tblBorders>
        <w:top w:val="single" w:sz="4" w:space="0" w:color="8E8E8E" w:themeColor="background1" w:themeShade="BF"/>
        <w:left w:val="single" w:sz="4" w:space="0" w:color="8E8E8E" w:themeColor="background1" w:themeShade="BF"/>
        <w:bottom w:val="single" w:sz="4" w:space="0" w:color="8E8E8E" w:themeColor="background1" w:themeShade="BF"/>
        <w:right w:val="single" w:sz="4" w:space="0" w:color="8E8E8E" w:themeColor="background1" w:themeShade="BF"/>
        <w:insideH w:val="single" w:sz="4" w:space="0" w:color="8E8E8E" w:themeColor="background1" w:themeShade="BF"/>
        <w:insideV w:val="single" w:sz="4" w:space="0" w:color="8E8E8E" w:themeColor="background1" w:themeShade="BF"/>
      </w:tblBorders>
    </w:tblPr>
    <w:tblStylePr w:type="firstRow">
      <w:rPr>
        <w:b/>
        <w:bCs/>
      </w:rPr>
    </w:tblStylePr>
    <w:tblStylePr w:type="lastRow">
      <w:rPr>
        <w:b/>
        <w:bCs/>
      </w:rPr>
      <w:tblPr/>
      <w:tcPr>
        <w:tcBorders>
          <w:top w:val="double" w:sz="4" w:space="0" w:color="8E8E8E" w:themeColor="background1" w:themeShade="BF"/>
        </w:tcBorders>
      </w:tcPr>
    </w:tblStylePr>
    <w:tblStylePr w:type="firstCol">
      <w:rPr>
        <w:b/>
        <w:bCs/>
      </w:rPr>
    </w:tblStylePr>
    <w:tblStylePr w:type="lastCol">
      <w:rPr>
        <w:b/>
        <w:bCs/>
      </w:rPr>
    </w:tblStylePr>
    <w:tblStylePr w:type="band1Vert">
      <w:tblPr/>
      <w:tcPr>
        <w:shd w:val="clear" w:color="auto" w:fill="B4B4B4" w:themeFill="background1" w:themeFillShade="F2"/>
      </w:tcPr>
    </w:tblStylePr>
    <w:tblStylePr w:type="band1Horz">
      <w:tblPr/>
      <w:tcPr>
        <w:shd w:val="clear" w:color="auto" w:fill="B4B4B4" w:themeFill="background1" w:themeFillShade="F2"/>
      </w:tcPr>
    </w:tblStylePr>
  </w:style>
  <w:style w:type="table" w:styleId="PlainTable2">
    <w:name w:val="Plain Table 2"/>
    <w:basedOn w:val="TableNormal"/>
    <w:uiPriority w:val="42"/>
    <w:rsid w:val="00AF4C6E"/>
    <w:pPr>
      <w:spacing w:after="0"/>
    </w:pPr>
    <w:tblPr>
      <w:tblStyleRowBandSize w:val="1"/>
      <w:tblStyleColBandSize w:val="1"/>
      <w:tblBorders>
        <w:top w:val="single" w:sz="4" w:space="0" w:color="93A1AA" w:themeColor="text1" w:themeTint="80"/>
        <w:bottom w:val="single" w:sz="4" w:space="0" w:color="93A1AA" w:themeColor="text1" w:themeTint="80"/>
      </w:tblBorders>
    </w:tblPr>
    <w:tblStylePr w:type="firstRow">
      <w:rPr>
        <w:b/>
        <w:bCs/>
      </w:rPr>
      <w:tblPr/>
      <w:tcPr>
        <w:tcBorders>
          <w:bottom w:val="single" w:sz="4" w:space="0" w:color="93A1AA" w:themeColor="text1" w:themeTint="80"/>
        </w:tcBorders>
      </w:tcPr>
    </w:tblStylePr>
    <w:tblStylePr w:type="lastRow">
      <w:rPr>
        <w:b/>
        <w:bCs/>
      </w:rPr>
      <w:tblPr/>
      <w:tcPr>
        <w:tcBorders>
          <w:top w:val="single" w:sz="4" w:space="0" w:color="93A1AA" w:themeColor="text1" w:themeTint="80"/>
        </w:tcBorders>
      </w:tcPr>
    </w:tblStylePr>
    <w:tblStylePr w:type="firstCol">
      <w:rPr>
        <w:b/>
        <w:bCs/>
      </w:rPr>
    </w:tblStylePr>
    <w:tblStylePr w:type="lastCol">
      <w:rPr>
        <w:b/>
        <w:bCs/>
      </w:rPr>
    </w:tblStylePr>
    <w:tblStylePr w:type="band1Vert">
      <w:tblPr/>
      <w:tcPr>
        <w:tcBorders>
          <w:left w:val="single" w:sz="4" w:space="0" w:color="93A1AA" w:themeColor="text1" w:themeTint="80"/>
          <w:right w:val="single" w:sz="4" w:space="0" w:color="93A1AA" w:themeColor="text1" w:themeTint="80"/>
        </w:tcBorders>
      </w:tcPr>
    </w:tblStylePr>
    <w:tblStylePr w:type="band2Vert">
      <w:tblPr/>
      <w:tcPr>
        <w:tcBorders>
          <w:left w:val="single" w:sz="4" w:space="0" w:color="93A1AA" w:themeColor="text1" w:themeTint="80"/>
          <w:right w:val="single" w:sz="4" w:space="0" w:color="93A1AA" w:themeColor="text1" w:themeTint="80"/>
        </w:tcBorders>
      </w:tcPr>
    </w:tblStylePr>
    <w:tblStylePr w:type="band1Horz">
      <w:tblPr/>
      <w:tcPr>
        <w:tcBorders>
          <w:top w:val="single" w:sz="4" w:space="0" w:color="93A1AA" w:themeColor="text1" w:themeTint="80"/>
          <w:bottom w:val="single" w:sz="4" w:space="0" w:color="93A1AA" w:themeColor="text1" w:themeTint="80"/>
        </w:tcBorders>
      </w:tcPr>
    </w:tblStylePr>
  </w:style>
  <w:style w:type="table" w:styleId="PlainTable3">
    <w:name w:val="Plain Table 3"/>
    <w:basedOn w:val="TableNormal"/>
    <w:uiPriority w:val="43"/>
    <w:rsid w:val="00AF4C6E"/>
    <w:pPr>
      <w:spacing w:after="0"/>
    </w:pPr>
    <w:tblPr>
      <w:tblStyleRowBandSize w:val="1"/>
      <w:tblStyleColBandSize w:val="1"/>
    </w:tblPr>
    <w:tblStylePr w:type="firstRow">
      <w:rPr>
        <w:b/>
        <w:bCs/>
        <w:caps/>
      </w:rPr>
      <w:tblPr/>
      <w:tcPr>
        <w:tcBorders>
          <w:bottom w:val="single" w:sz="4" w:space="0" w:color="93A1AA"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3A1AA" w:themeColor="text1" w:themeTint="80"/>
        </w:tcBorders>
      </w:tcPr>
    </w:tblStylePr>
    <w:tblStylePr w:type="lastCol">
      <w:rPr>
        <w:b/>
        <w:bCs/>
        <w:caps/>
      </w:rPr>
      <w:tblPr/>
      <w:tcPr>
        <w:tcBorders>
          <w:left w:val="nil"/>
        </w:tcBorders>
      </w:tcPr>
    </w:tblStylePr>
    <w:tblStylePr w:type="band1Vert">
      <w:tblPr/>
      <w:tcPr>
        <w:shd w:val="clear" w:color="auto" w:fill="B4B4B4" w:themeFill="background1" w:themeFillShade="F2"/>
      </w:tcPr>
    </w:tblStylePr>
    <w:tblStylePr w:type="band1Horz">
      <w:tblPr/>
      <w:tcPr>
        <w:shd w:val="clear" w:color="auto" w:fill="B4B4B4"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F4C6E"/>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B4B4" w:themeFill="background1" w:themeFillShade="F2"/>
      </w:tcPr>
    </w:tblStylePr>
    <w:tblStylePr w:type="band1Horz">
      <w:tblPr/>
      <w:tcPr>
        <w:shd w:val="clear" w:color="auto" w:fill="B4B4B4" w:themeFill="background1" w:themeFillShade="F2"/>
      </w:tcPr>
    </w:tblStylePr>
  </w:style>
  <w:style w:type="table" w:styleId="PlainTable5">
    <w:name w:val="Plain Table 5"/>
    <w:basedOn w:val="TableNormal"/>
    <w:uiPriority w:val="45"/>
    <w:rsid w:val="00AF4C6E"/>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A1AA" w:themeColor="text1" w:themeTint="80"/>
        </w:tcBorders>
        <w:shd w:val="clear" w:color="auto" w:fill="BEBEBE" w:themeFill="background1"/>
      </w:tcPr>
    </w:tblStylePr>
    <w:tblStylePr w:type="lastRow">
      <w:rPr>
        <w:rFonts w:asciiTheme="majorHAnsi" w:eastAsiaTheme="majorEastAsia" w:hAnsiTheme="majorHAnsi" w:cstheme="majorBidi"/>
        <w:i/>
        <w:iCs/>
        <w:sz w:val="26"/>
      </w:rPr>
      <w:tblPr/>
      <w:tcPr>
        <w:tcBorders>
          <w:top w:val="single" w:sz="4" w:space="0" w:color="93A1AA" w:themeColor="text1" w:themeTint="80"/>
        </w:tcBorders>
        <w:shd w:val="clear" w:color="auto" w:fill="BEBEB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A1AA" w:themeColor="text1" w:themeTint="80"/>
        </w:tcBorders>
        <w:shd w:val="clear" w:color="auto" w:fill="BEBEBE" w:themeFill="background1"/>
      </w:tcPr>
    </w:tblStylePr>
    <w:tblStylePr w:type="lastCol">
      <w:rPr>
        <w:rFonts w:asciiTheme="majorHAnsi" w:eastAsiaTheme="majorEastAsia" w:hAnsiTheme="majorHAnsi" w:cstheme="majorBidi"/>
        <w:i/>
        <w:iCs/>
        <w:sz w:val="26"/>
      </w:rPr>
      <w:tblPr/>
      <w:tcPr>
        <w:tcBorders>
          <w:left w:val="single" w:sz="4" w:space="0" w:color="93A1AA" w:themeColor="text1" w:themeTint="80"/>
        </w:tcBorders>
        <w:shd w:val="clear" w:color="auto" w:fill="BEBEBE" w:themeFill="background1"/>
      </w:tcPr>
    </w:tblStylePr>
    <w:tblStylePr w:type="band1Vert">
      <w:tblPr/>
      <w:tcPr>
        <w:shd w:val="clear" w:color="auto" w:fill="B4B4B4" w:themeFill="background1" w:themeFillShade="F2"/>
      </w:tcPr>
    </w:tblStylePr>
    <w:tblStylePr w:type="band1Horz">
      <w:tblPr/>
      <w:tcPr>
        <w:shd w:val="clear" w:color="auto" w:fill="B4B4B4"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F4C6E"/>
    <w:pPr>
      <w:spacing w:after="0"/>
    </w:pPr>
    <w:tblPr>
      <w:tblBorders>
        <w:top w:val="single" w:sz="4" w:space="0" w:color="8E8E8E" w:themeColor="background1" w:themeShade="BF"/>
        <w:left w:val="single" w:sz="4" w:space="0" w:color="8E8E8E" w:themeColor="background1" w:themeShade="BF"/>
        <w:bottom w:val="single" w:sz="4" w:space="0" w:color="8E8E8E" w:themeColor="background1" w:themeShade="BF"/>
        <w:right w:val="single" w:sz="4" w:space="0" w:color="8E8E8E" w:themeColor="background1" w:themeShade="BF"/>
        <w:insideH w:val="single" w:sz="4" w:space="0" w:color="8E8E8E" w:themeColor="background1" w:themeShade="BF"/>
        <w:insideV w:val="single" w:sz="4" w:space="0" w:color="8E8E8E" w:themeColor="background1" w:themeShade="BF"/>
      </w:tblBorders>
    </w:tblPr>
  </w:style>
  <w:style w:type="paragraph" w:styleId="TOC1">
    <w:name w:val="toc 1"/>
    <w:basedOn w:val="Normal"/>
    <w:next w:val="Normal"/>
    <w:autoRedefine/>
    <w:uiPriority w:val="39"/>
    <w:unhideWhenUsed/>
    <w:rsid w:val="0084372E"/>
    <w:pPr>
      <w:spacing w:after="100"/>
    </w:pPr>
  </w:style>
  <w:style w:type="table" w:customStyle="1" w:styleId="WECKModern">
    <w:name w:val="WECK Modern"/>
    <w:basedOn w:val="TableNormal"/>
    <w:uiPriority w:val="99"/>
    <w:rsid w:val="00F408E5"/>
    <w:pPr>
      <w:spacing w:after="0"/>
      <w:contextualSpacing/>
    </w:pPr>
    <w:tblPr>
      <w:tblCellMar>
        <w:top w:w="43" w:type="dxa"/>
        <w:left w:w="43" w:type="dxa"/>
        <w:bottom w:w="43" w:type="dxa"/>
        <w:right w:w="43" w:type="dxa"/>
      </w:tblCellMar>
    </w:tblPr>
    <w:tblStylePr w:type="firstRow">
      <w:rPr>
        <w:rFonts w:asciiTheme="majorHAnsi" w:hAnsiTheme="majorHAnsi"/>
        <w:b/>
        <w:color w:val="384147" w:themeColor="text1"/>
        <w:sz w:val="20"/>
      </w:rPr>
      <w:tblPr/>
      <w:tcPr>
        <w:tcBorders>
          <w:bottom w:val="single" w:sz="12" w:space="0" w:color="0087B5" w:themeColor="accent2"/>
        </w:tcBorders>
      </w:tcPr>
    </w:tblStylePr>
    <w:tblStylePr w:type="lastRow">
      <w:rPr>
        <w:b/>
      </w:rPr>
    </w:tblStylePr>
  </w:style>
  <w:style w:type="table" w:customStyle="1" w:styleId="WECKModernBand">
    <w:name w:val="WECK Modern Band"/>
    <w:basedOn w:val="WECKModern"/>
    <w:uiPriority w:val="99"/>
    <w:rsid w:val="00F408E5"/>
    <w:tblPr>
      <w:tblStyleRowBandSize w:val="1"/>
    </w:tblPr>
    <w:tblStylePr w:type="firstRow">
      <w:rPr>
        <w:rFonts w:asciiTheme="majorHAnsi" w:hAnsiTheme="majorHAnsi"/>
        <w:b/>
        <w:color w:val="384147" w:themeColor="text1"/>
        <w:sz w:val="20"/>
      </w:rPr>
      <w:tblPr/>
      <w:tcPr>
        <w:tcBorders>
          <w:bottom w:val="single" w:sz="12" w:space="0" w:color="0087B5" w:themeColor="accent2"/>
        </w:tcBorders>
      </w:tcPr>
    </w:tblStylePr>
    <w:tblStylePr w:type="lastRow">
      <w:rPr>
        <w:b/>
      </w:rPr>
    </w:tblStylePr>
    <w:tblStylePr w:type="band2Horz">
      <w:tblPr/>
      <w:tcPr>
        <w:shd w:val="clear" w:color="auto" w:fill="DAE4E9"/>
      </w:tcPr>
    </w:tblStylePr>
  </w:style>
  <w:style w:type="table" w:customStyle="1" w:styleId="WECKModernLined">
    <w:name w:val="WECK Modern Lined"/>
    <w:basedOn w:val="TableNormal"/>
    <w:uiPriority w:val="99"/>
    <w:rsid w:val="00523208"/>
    <w:pPr>
      <w:spacing w:after="0"/>
      <w:contextualSpacing/>
    </w:pPr>
    <w:tblPr>
      <w:tblStyleRowBandSize w:val="1"/>
      <w:tblCellMar>
        <w:top w:w="43" w:type="dxa"/>
        <w:left w:w="43" w:type="dxa"/>
        <w:bottom w:w="43" w:type="dxa"/>
        <w:right w:w="43" w:type="dxa"/>
      </w:tblCellMar>
    </w:tblPr>
    <w:tblStylePr w:type="firstRow">
      <w:pPr>
        <w:wordWrap/>
        <w:spacing w:afterLines="0" w:after="0" w:afterAutospacing="0" w:line="240" w:lineRule="auto"/>
      </w:pPr>
      <w:rPr>
        <w:rFonts w:asciiTheme="majorHAnsi" w:hAnsiTheme="majorHAnsi"/>
        <w:b/>
        <w:sz w:val="20"/>
      </w:rPr>
      <w:tblPr/>
      <w:tcPr>
        <w:tcBorders>
          <w:bottom w:val="single" w:sz="12" w:space="0" w:color="0087B5" w:themeColor="accent2"/>
        </w:tcBorders>
      </w:tcPr>
    </w:tblStylePr>
    <w:tblStylePr w:type="lastRow">
      <w:rPr>
        <w:rFonts w:ascii="Segoe UI Light" w:hAnsi="Segoe UI Light"/>
        <w:b/>
      </w:rPr>
    </w:tblStylePr>
    <w:tblStylePr w:type="firstCol">
      <w:rPr>
        <w:rFonts w:asciiTheme="majorHAnsi" w:hAnsiTheme="majorHAnsi"/>
        <w:b w:val="0"/>
      </w:rPr>
    </w:tblStylePr>
    <w:tblStylePr w:type="band1Horz">
      <w:tblPr/>
      <w:tcPr>
        <w:tcBorders>
          <w:bottom w:val="single" w:sz="4" w:space="0" w:color="DAE4E9"/>
        </w:tcBorders>
      </w:tcPr>
    </w:tblStylePr>
    <w:tblStylePr w:type="band2Horz">
      <w:tblPr/>
      <w:tcPr>
        <w:tcBorders>
          <w:bottom w:val="single" w:sz="4" w:space="0" w:color="DAE4E9"/>
        </w:tcBorders>
      </w:tcPr>
    </w:tblStylePr>
  </w:style>
  <w:style w:type="paragraph" w:styleId="TOC2">
    <w:name w:val="toc 2"/>
    <w:basedOn w:val="Normal"/>
    <w:next w:val="Normal"/>
    <w:autoRedefine/>
    <w:uiPriority w:val="39"/>
    <w:unhideWhenUsed/>
    <w:rsid w:val="0084372E"/>
    <w:pPr>
      <w:spacing w:after="100"/>
      <w:ind w:left="200"/>
    </w:pPr>
  </w:style>
  <w:style w:type="paragraph" w:styleId="TOC3">
    <w:name w:val="toc 3"/>
    <w:basedOn w:val="Normal"/>
    <w:next w:val="Normal"/>
    <w:autoRedefine/>
    <w:uiPriority w:val="39"/>
    <w:unhideWhenUsed/>
    <w:rsid w:val="0084372E"/>
    <w:pPr>
      <w:spacing w:after="100"/>
      <w:ind w:left="400"/>
    </w:pPr>
  </w:style>
  <w:style w:type="numbering" w:customStyle="1" w:styleId="OrderedLevels">
    <w:name w:val="Ordered Levels"/>
    <w:uiPriority w:val="99"/>
    <w:rsid w:val="00C5224D"/>
    <w:pPr>
      <w:numPr>
        <w:numId w:val="12"/>
      </w:numPr>
    </w:pPr>
  </w:style>
  <w:style w:type="numbering" w:customStyle="1" w:styleId="Unordered">
    <w:name w:val="Unordered"/>
    <w:uiPriority w:val="99"/>
    <w:rsid w:val="00C5224D"/>
    <w:pPr>
      <w:numPr>
        <w:numId w:val="14"/>
      </w:numPr>
    </w:pPr>
  </w:style>
  <w:style w:type="character" w:styleId="UnresolvedMention">
    <w:name w:val="Unresolved Mention"/>
    <w:basedOn w:val="DefaultParagraphFont"/>
    <w:uiPriority w:val="99"/>
    <w:semiHidden/>
    <w:unhideWhenUsed/>
    <w:rsid w:val="000A55B0"/>
    <w:rPr>
      <w:color w:val="605E5C"/>
      <w:shd w:val="clear" w:color="auto" w:fill="E1DFDD"/>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Theme="minorHAnsi" w:hAnsiTheme="minorHAnsi"/>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C0B98"/>
    <w:pPr>
      <w:spacing w:after="0"/>
    </w:pPr>
    <w:rPr>
      <w:rFonts w:asciiTheme="minorHAnsi" w:hAnsiTheme="minorHAnsi"/>
      <w:szCs w:val="22"/>
    </w:rPr>
  </w:style>
  <w:style w:type="paragraph" w:styleId="CommentSubject">
    <w:name w:val="annotation subject"/>
    <w:basedOn w:val="CommentText"/>
    <w:next w:val="CommentText"/>
    <w:link w:val="CommentSubjectChar"/>
    <w:uiPriority w:val="99"/>
    <w:semiHidden/>
    <w:unhideWhenUsed/>
    <w:rsid w:val="003B1C3E"/>
    <w:rPr>
      <w:b/>
      <w:bCs/>
    </w:rPr>
  </w:style>
  <w:style w:type="character" w:customStyle="1" w:styleId="CommentSubjectChar">
    <w:name w:val="Comment Subject Char"/>
    <w:basedOn w:val="CommentTextChar"/>
    <w:link w:val="CommentSubject"/>
    <w:uiPriority w:val="99"/>
    <w:semiHidden/>
    <w:rsid w:val="003B1C3E"/>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apca_technical@waterboards.c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hw-sw846/8000-series-chromatographic-separation-metho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hw-sw846/8000-series-chromatographic-separation-metho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WECK Modern">
      <a:dk1>
        <a:srgbClr val="384147"/>
      </a:dk1>
      <a:lt1>
        <a:srgbClr val="BEBEBE"/>
      </a:lt1>
      <a:dk2>
        <a:srgbClr val="6F787E"/>
      </a:dk2>
      <a:lt2>
        <a:srgbClr val="FFFFFF"/>
      </a:lt2>
      <a:accent1>
        <a:srgbClr val="4E54A2"/>
      </a:accent1>
      <a:accent2>
        <a:srgbClr val="0087B5"/>
      </a:accent2>
      <a:accent3>
        <a:srgbClr val="55D9CC"/>
      </a:accent3>
      <a:accent4>
        <a:srgbClr val="7DD7E7"/>
      </a:accent4>
      <a:accent5>
        <a:srgbClr val="DCE5EA"/>
      </a:accent5>
      <a:accent6>
        <a:srgbClr val="091A4B"/>
      </a:accent6>
      <a:hlink>
        <a:srgbClr val="3592CF"/>
      </a:hlink>
      <a:folHlink>
        <a:srgbClr val="3592CF"/>
      </a:folHlink>
    </a:clrScheme>
    <a:fontScheme name="WECK Modern">
      <a:majorFont>
        <a:latin typeface="Segoe UI Light"/>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0F4F6"/>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5c0acf-1b05-4ace-99f8-d43cbf2c5e95">
      <Terms xmlns="http://schemas.microsoft.com/office/infopath/2007/PartnerControls"/>
    </lcf76f155ced4ddcb4097134ff3c332f>
    <TaxCatchAll xmlns="096d3738-dc38-4101-82cf-1eb9850e4708" xsi:nil="true"/>
    <DDW_x0020_Document_x0020_Types xmlns="096d3738-dc38-4101-82cf-1eb9850e470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DW Document" ma:contentTypeID="0x010100695BE9DD45D5344E9B25B5BE6E6B6FEF00A20F0804DCF2D04DA4009AA0DF4ECFC8" ma:contentTypeVersion="28" ma:contentTypeDescription="" ma:contentTypeScope="" ma:versionID="f07620e7e5961e271e2066f17642bd4b">
  <xsd:schema xmlns:xsd="http://www.w3.org/2001/XMLSchema" xmlns:xs="http://www.w3.org/2001/XMLSchema" xmlns:p="http://schemas.microsoft.com/office/2006/metadata/properties" xmlns:ns2="096d3738-dc38-4101-82cf-1eb9850e4708" xmlns:ns3="ce5c0acf-1b05-4ace-99f8-d43cbf2c5e95" targetNamespace="http://schemas.microsoft.com/office/2006/metadata/properties" ma:root="true" ma:fieldsID="90e4afb79cc96a92a91103fc05dce807" ns2:_="" ns3:_="">
    <xsd:import namespace="096d3738-dc38-4101-82cf-1eb9850e4708"/>
    <xsd:import namespace="ce5c0acf-1b05-4ace-99f8-d43cbf2c5e95"/>
    <xsd:element name="properties">
      <xsd:complexType>
        <xsd:sequence>
          <xsd:element name="documentManagement">
            <xsd:complexType>
              <xsd:all>
                <xsd:element ref="ns2:DDW_x0020_Document_x0020_Type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d3738-dc38-4101-82cf-1eb9850e4708" elementFormDefault="qualified">
    <xsd:import namespace="http://schemas.microsoft.com/office/2006/documentManagement/types"/>
    <xsd:import namespace="http://schemas.microsoft.com/office/infopath/2007/PartnerControls"/>
    <xsd:element name="DDW_x0020_Document_x0020_Types" ma:index="8" nillable="true" ma:displayName="Document Type" ma:list="{a94dfd49-0b76-4a78-b009-cf9e56ab69c0}" ma:internalName="DDW_x0020_Document_x0020_Types" ma:readOnly="false" ma:showField="Title" ma:web="096d3738-dc38-4101-82cf-1eb9850e4708">
      <xsd:simpleType>
        <xsd:restriction base="dms:Lookup"/>
      </xsd:simpleType>
    </xsd:element>
    <xsd:element name="TaxCatchAll" ma:index="15" nillable="true" ma:displayName="Taxonomy Catch All Column" ma:hidden="true" ma:list="{4ad1e632-def5-4c24-8ed5-a3f0c56b9882}" ma:internalName="TaxCatchAll" ma:showField="CatchAllData" ma:web="096d3738-dc38-4101-82cf-1eb9850e47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5c0acf-1b05-4ace-99f8-d43cbf2c5e9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6A5E46-2AB8-46DA-913C-3FD17FA444EE}">
  <ds:schemaRefs>
    <ds:schemaRef ds:uri="http://schemas.microsoft.com/sharepoint/v3/contenttype/forms"/>
  </ds:schemaRefs>
</ds:datastoreItem>
</file>

<file path=customXml/itemProps2.xml><?xml version="1.0" encoding="utf-8"?>
<ds:datastoreItem xmlns:ds="http://schemas.openxmlformats.org/officeDocument/2006/customXml" ds:itemID="{A1A9A804-0158-45BC-B0C3-F060E169221E}">
  <ds:schemaRefs>
    <ds:schemaRef ds:uri="http://schemas.microsoft.com/office/2006/metadata/properties"/>
    <ds:schemaRef ds:uri="http://schemas.microsoft.com/office/infopath/2007/PartnerControls"/>
    <ds:schemaRef ds:uri="ce5c0acf-1b05-4ace-99f8-d43cbf2c5e95"/>
    <ds:schemaRef ds:uri="096d3738-dc38-4101-82cf-1eb9850e4708"/>
  </ds:schemaRefs>
</ds:datastoreItem>
</file>

<file path=customXml/itemProps3.xml><?xml version="1.0" encoding="utf-8"?>
<ds:datastoreItem xmlns:ds="http://schemas.openxmlformats.org/officeDocument/2006/customXml" ds:itemID="{8A1F64F6-2CE9-47E7-AF43-F565D4557E80}">
  <ds:schemaRefs>
    <ds:schemaRef ds:uri="http://schemas.openxmlformats.org/officeDocument/2006/bibliography"/>
  </ds:schemaRefs>
</ds:datastoreItem>
</file>

<file path=customXml/itemProps4.xml><?xml version="1.0" encoding="utf-8"?>
<ds:datastoreItem xmlns:ds="http://schemas.openxmlformats.org/officeDocument/2006/customXml" ds:itemID="{145CFB50-13BA-45E0-8C33-C2D5E8722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d3738-dc38-4101-82cf-1eb9850e4708"/>
    <ds:schemaRef ds:uri="ce5c0acf-1b05-4ace-99f8-d43cbf2c5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bb6ca0c-ccb3-428b-9d5f-a9c60cad6645}" enabled="1" method="Standard" siteId="{fe186a25-7d49-41e6-9941-05d2281d36c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1239</Words>
  <Characters>7066</Characters>
  <Application>Microsoft Office Word</Application>
  <DocSecurity>0</DocSecurity>
  <Lines>58</Lines>
  <Paragraphs>16</Paragraphs>
  <ScaleCrop>false</ScaleCrop>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 Pierri</dc:creator>
  <cp:keywords/>
  <dc:description/>
  <cp:lastModifiedBy>Azar, Krystyn@Waterboards</cp:lastModifiedBy>
  <cp:revision>2</cp:revision>
  <dcterms:created xsi:type="dcterms:W3CDTF">2026-05-18T21:05:00Z</dcterms:created>
  <dcterms:modified xsi:type="dcterms:W3CDTF">2026-05-18T21:05:00Z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0x010100695BE9DD45D5344E9B25B5BE6E6B6FEF00A20F0804DCF2D04DA4009AA0DF4ECFC8</vt:lpwstr>
  </property>
  <property fmtid="{D5CDD505-2E9C-101B-9397-08002B2CF9AE}" pid="3" name="MediaServiceImageTags">
    <vt:lpwstr/>
  </property>
  <property fmtid="{D5CDD505-2E9C-101B-9397-08002B2CF9AE}" pid="4" name="docLang">
    <vt:lpwstr>en</vt:lpwstr>
  </property>
</Properties>
</file>