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A2C5" w14:textId="0C19EFB2" w:rsidR="006A49C8" w:rsidRPr="006A49C8" w:rsidRDefault="009E529D" w:rsidP="006A49C8">
      <w:pPr>
        <w:rPr>
          <w:b/>
          <w:bCs/>
        </w:rPr>
      </w:pPr>
      <w:r>
        <w:rPr>
          <w:color w:val="006487" w:themeColor="accent2" w:themeShade="BF"/>
          <w:sz w:val="32"/>
          <w:szCs w:val="36"/>
        </w:rPr>
        <w:t>**DRAFT**</w:t>
      </w:r>
      <w:r w:rsidR="00F46DBC" w:rsidRPr="00F46DBC">
        <w:rPr>
          <w:color w:val="006487" w:themeColor="accent2" w:themeShade="BF"/>
          <w:sz w:val="32"/>
          <w:szCs w:val="36"/>
        </w:rPr>
        <w:t xml:space="preserve">ELTAC informational guide on the </w:t>
      </w:r>
      <w:r w:rsidR="008219A5">
        <w:rPr>
          <w:color w:val="006487" w:themeColor="accent2" w:themeShade="BF"/>
          <w:sz w:val="32"/>
          <w:szCs w:val="36"/>
        </w:rPr>
        <w:t xml:space="preserve">upcoming </w:t>
      </w:r>
      <w:r w:rsidR="00F46DBC" w:rsidRPr="00F46DBC">
        <w:rPr>
          <w:color w:val="006487" w:themeColor="accent2" w:themeShade="BF"/>
          <w:sz w:val="32"/>
          <w:szCs w:val="36"/>
        </w:rPr>
        <w:t xml:space="preserve">methylene chloride ban </w:t>
      </w:r>
      <w:r w:rsidR="00F46DBC" w:rsidRPr="00F46DBC">
        <w:rPr>
          <w:color w:val="0087B5" w:themeColor="accent2"/>
          <w:sz w:val="32"/>
          <w:szCs w:val="36"/>
        </w:rPr>
        <w:br/>
      </w:r>
      <w:r w:rsidR="00F46DBC">
        <w:rPr>
          <w:b/>
          <w:bCs/>
        </w:rPr>
        <w:br/>
      </w:r>
      <w:r w:rsidR="006A49C8" w:rsidRPr="008219A5">
        <w:rPr>
          <w:b/>
          <w:bCs/>
          <w:sz w:val="22"/>
          <w:szCs w:val="24"/>
        </w:rPr>
        <w:t>EPA Final Rule Overview &amp; Background</w:t>
      </w:r>
    </w:p>
    <w:p w14:paraId="56800C99" w14:textId="77777777" w:rsidR="006A49C8" w:rsidRPr="006A49C8" w:rsidRDefault="006A49C8" w:rsidP="00F46DBC">
      <w:pPr>
        <w:ind w:firstLine="720"/>
      </w:pPr>
      <w:r w:rsidRPr="006A49C8">
        <w:t>Following a 2020 risk evaluation and a 2022 revised risk determination under Section 6 of the Toxic Substances Control Act (TSCA), the EPA concluded that methylene chloride (DCM) presents an unreasonable risk of injury to human health. The chemical is linked to severe acute hazards, including central nervous system depression and fatal asphyxiation, as well as chronic risks such as liver toxicity and various cancers.</w:t>
      </w:r>
    </w:p>
    <w:p w14:paraId="097029CC" w14:textId="77777777" w:rsidR="006A49C8" w:rsidRPr="006A49C8" w:rsidRDefault="006A49C8" w:rsidP="00F46DBC">
      <w:pPr>
        <w:ind w:firstLine="720"/>
      </w:pPr>
      <w:r w:rsidRPr="006A49C8">
        <w:t>In response, the EPA finalized a comprehensive risk management rule in April 2024, effectively banning the manufacture, processing, and distribution of DCM for all consumer uses and the vast majority of industrial and commercial applications.</w:t>
      </w:r>
    </w:p>
    <w:p w14:paraId="2F001B4D" w14:textId="24237C8A" w:rsidR="006A49C8" w:rsidRPr="006A49C8" w:rsidRDefault="006A49C8" w:rsidP="00F46DBC">
      <w:pPr>
        <w:ind w:firstLine="720"/>
      </w:pPr>
      <w:r w:rsidRPr="006A49C8">
        <w:t xml:space="preserve">"Industrial and commercial use as a laboratory chemical" is one of the few approved exemptions. However, to maintain this exemption, laboratories must implement a stringent </w:t>
      </w:r>
      <w:r w:rsidRPr="00F46DBC">
        <w:t>Workplace Chemical Protection Program (WCPP)</w:t>
      </w:r>
      <w:r w:rsidRPr="006A49C8">
        <w:t xml:space="preserve"> and adhere to significantly lower occupational exposure limits to mitigate the identified health risks.</w:t>
      </w:r>
      <w:r w:rsidR="00F46DBC">
        <w:br/>
      </w:r>
    </w:p>
    <w:p w14:paraId="3224288C" w14:textId="6F436A88" w:rsidR="006A49C8" w:rsidRPr="008219A5" w:rsidRDefault="006A49C8" w:rsidP="006A49C8">
      <w:pPr>
        <w:rPr>
          <w:b/>
          <w:bCs/>
          <w:sz w:val="22"/>
          <w:szCs w:val="24"/>
        </w:rPr>
      </w:pPr>
      <w:r w:rsidRPr="008219A5">
        <w:rPr>
          <w:b/>
          <w:bCs/>
          <w:sz w:val="22"/>
          <w:szCs w:val="24"/>
        </w:rPr>
        <w:t>WCPP Implementation Timeline</w:t>
      </w:r>
    </w:p>
    <w:p w14:paraId="303458F4" w14:textId="77777777" w:rsidR="006A49C8" w:rsidRPr="006A49C8" w:rsidRDefault="006A49C8" w:rsidP="008219A5">
      <w:pPr>
        <w:ind w:firstLine="720"/>
      </w:pPr>
      <w:r w:rsidRPr="006A49C8">
        <w:t>In November 2025, the EPA finalized an 18-month compliance extension for non-federal laboratories, aligning our deadlines with those of federal facilities to prevent widespread disruption of laboratory services. The mandatory compliance dates for commercial environmental laboratories are now as follows:</w:t>
      </w:r>
    </w:p>
    <w:tbl>
      <w:tblPr>
        <w:tblStyle w:val="WECKModernBand"/>
        <w:tblW w:w="10119" w:type="dxa"/>
        <w:jc w:val="center"/>
        <w:tblLook w:val="04A0" w:firstRow="1" w:lastRow="0" w:firstColumn="1" w:lastColumn="0" w:noHBand="0" w:noVBand="1"/>
      </w:tblPr>
      <w:tblGrid>
        <w:gridCol w:w="6714"/>
        <w:gridCol w:w="3405"/>
      </w:tblGrid>
      <w:tr w:rsidR="006A49C8" w:rsidRPr="006A49C8" w14:paraId="564038F5" w14:textId="77777777" w:rsidTr="00F46DBC">
        <w:trPr>
          <w:cnfStyle w:val="100000000000" w:firstRow="1" w:lastRow="0" w:firstColumn="0" w:lastColumn="0" w:oddVBand="0" w:evenVBand="0" w:oddHBand="0" w:evenHBand="0" w:firstRowFirstColumn="0" w:firstRowLastColumn="0" w:lastRowFirstColumn="0" w:lastRowLastColumn="0"/>
          <w:trHeight w:val="310"/>
          <w:jc w:val="center"/>
        </w:trPr>
        <w:tc>
          <w:tcPr>
            <w:tcW w:w="0" w:type="auto"/>
            <w:hideMark/>
          </w:tcPr>
          <w:p w14:paraId="6345572A" w14:textId="77777777" w:rsidR="006A49C8" w:rsidRPr="006A49C8" w:rsidRDefault="006A49C8" w:rsidP="006A49C8">
            <w:r w:rsidRPr="006A49C8">
              <w:rPr>
                <w:bCs/>
              </w:rPr>
              <w:t>Regulatory Requirement</w:t>
            </w:r>
          </w:p>
        </w:tc>
        <w:tc>
          <w:tcPr>
            <w:tcW w:w="0" w:type="auto"/>
            <w:hideMark/>
          </w:tcPr>
          <w:p w14:paraId="762DCDE1" w14:textId="77777777" w:rsidR="006A49C8" w:rsidRPr="006A49C8" w:rsidRDefault="006A49C8" w:rsidP="006A49C8">
            <w:r w:rsidRPr="006A49C8">
              <w:rPr>
                <w:bCs/>
              </w:rPr>
              <w:t>Final Compliance Deadline</w:t>
            </w:r>
          </w:p>
        </w:tc>
      </w:tr>
      <w:tr w:rsidR="006A49C8" w:rsidRPr="006A49C8" w14:paraId="0BBFD1F0" w14:textId="77777777" w:rsidTr="00F46DBC">
        <w:trPr>
          <w:trHeight w:val="325"/>
          <w:jc w:val="center"/>
        </w:trPr>
        <w:tc>
          <w:tcPr>
            <w:tcW w:w="0" w:type="auto"/>
            <w:hideMark/>
          </w:tcPr>
          <w:p w14:paraId="78D5F188" w14:textId="77777777" w:rsidR="006A49C8" w:rsidRPr="00F46DBC" w:rsidRDefault="006A49C8" w:rsidP="006A49C8">
            <w:r w:rsidRPr="00F46DBC">
              <w:t>Complete Initial Baseline Exposure Monitoring</w:t>
            </w:r>
          </w:p>
        </w:tc>
        <w:tc>
          <w:tcPr>
            <w:tcW w:w="0" w:type="auto"/>
            <w:hideMark/>
          </w:tcPr>
          <w:p w14:paraId="429FE924" w14:textId="77777777" w:rsidR="006A49C8" w:rsidRPr="006A49C8" w:rsidRDefault="006A49C8" w:rsidP="006A49C8">
            <w:r w:rsidRPr="006A49C8">
              <w:t>November 9, 2026</w:t>
            </w:r>
          </w:p>
        </w:tc>
      </w:tr>
      <w:tr w:rsidR="006A49C8" w:rsidRPr="006A49C8" w14:paraId="42221687" w14:textId="77777777" w:rsidTr="00F46DBC">
        <w:trPr>
          <w:cnfStyle w:val="000000010000" w:firstRow="0" w:lastRow="0" w:firstColumn="0" w:lastColumn="0" w:oddVBand="0" w:evenVBand="0" w:oddHBand="0" w:evenHBand="1" w:firstRowFirstColumn="0" w:firstRowLastColumn="0" w:lastRowFirstColumn="0" w:lastRowLastColumn="0"/>
          <w:trHeight w:val="310"/>
          <w:jc w:val="center"/>
        </w:trPr>
        <w:tc>
          <w:tcPr>
            <w:tcW w:w="0" w:type="auto"/>
            <w:hideMark/>
          </w:tcPr>
          <w:p w14:paraId="58E59F14" w14:textId="77777777" w:rsidR="006A49C8" w:rsidRPr="00F46DBC" w:rsidRDefault="006A49C8" w:rsidP="006A49C8">
            <w:r w:rsidRPr="00F46DBC">
              <w:t>Establish Regulated Areas &amp; Implement Required PPE</w:t>
            </w:r>
          </w:p>
        </w:tc>
        <w:tc>
          <w:tcPr>
            <w:tcW w:w="0" w:type="auto"/>
            <w:hideMark/>
          </w:tcPr>
          <w:p w14:paraId="7C14B9A0" w14:textId="77777777" w:rsidR="006A49C8" w:rsidRPr="006A49C8" w:rsidRDefault="006A49C8" w:rsidP="006A49C8">
            <w:r w:rsidRPr="006A49C8">
              <w:t>February 8, 2027</w:t>
            </w:r>
          </w:p>
        </w:tc>
      </w:tr>
      <w:tr w:rsidR="006A49C8" w:rsidRPr="006A49C8" w14:paraId="04621521" w14:textId="77777777" w:rsidTr="00F46DBC">
        <w:trPr>
          <w:trHeight w:val="325"/>
          <w:jc w:val="center"/>
        </w:trPr>
        <w:tc>
          <w:tcPr>
            <w:tcW w:w="0" w:type="auto"/>
            <w:hideMark/>
          </w:tcPr>
          <w:p w14:paraId="30C705FF" w14:textId="77777777" w:rsidR="006A49C8" w:rsidRPr="00F46DBC" w:rsidRDefault="006A49C8" w:rsidP="006A49C8">
            <w:r w:rsidRPr="00F46DBC">
              <w:t>Fully Implement Written Exposure Control Plan (ECP)</w:t>
            </w:r>
          </w:p>
        </w:tc>
        <w:tc>
          <w:tcPr>
            <w:tcW w:w="0" w:type="auto"/>
            <w:hideMark/>
          </w:tcPr>
          <w:p w14:paraId="5E3DD004" w14:textId="77777777" w:rsidR="006A49C8" w:rsidRPr="006A49C8" w:rsidRDefault="006A49C8" w:rsidP="006A49C8">
            <w:r w:rsidRPr="006A49C8">
              <w:t>May 10, 2027</w:t>
            </w:r>
          </w:p>
        </w:tc>
      </w:tr>
    </w:tbl>
    <w:p w14:paraId="5219000B" w14:textId="77777777" w:rsidR="00F46DBC" w:rsidRDefault="00F46DBC" w:rsidP="006A49C8">
      <w:pPr>
        <w:rPr>
          <w:b/>
          <w:bCs/>
        </w:rPr>
      </w:pPr>
    </w:p>
    <w:p w14:paraId="41D14723" w14:textId="78DB4017" w:rsidR="006A49C8" w:rsidRPr="008219A5" w:rsidRDefault="006A49C8" w:rsidP="006A49C8">
      <w:pPr>
        <w:rPr>
          <w:b/>
          <w:bCs/>
          <w:sz w:val="22"/>
          <w:szCs w:val="24"/>
        </w:rPr>
      </w:pPr>
      <w:r w:rsidRPr="008219A5">
        <w:rPr>
          <w:b/>
          <w:bCs/>
          <w:sz w:val="22"/>
          <w:szCs w:val="24"/>
        </w:rPr>
        <w:t>Operational Impacts</w:t>
      </w:r>
    </w:p>
    <w:p w14:paraId="14A2F3BE" w14:textId="77777777" w:rsidR="006A49C8" w:rsidRPr="006A49C8" w:rsidRDefault="006A49C8" w:rsidP="006A49C8">
      <w:r w:rsidRPr="006A49C8">
        <w:t>Continued use of DCM under WCPP compliance requires the following operational adjustments:</w:t>
      </w:r>
    </w:p>
    <w:p w14:paraId="4A6D7453" w14:textId="77777777" w:rsidR="006A49C8" w:rsidRPr="006A49C8" w:rsidRDefault="006A49C8" w:rsidP="006A49C8">
      <w:pPr>
        <w:numPr>
          <w:ilvl w:val="0"/>
          <w:numId w:val="17"/>
        </w:numPr>
      </w:pPr>
      <w:r w:rsidRPr="008219A5">
        <w:t>Method Redevelopment:</w:t>
      </w:r>
      <w:r w:rsidRPr="006A49C8">
        <w:t xml:space="preserve"> Laboratories transitioning away from DCM to avoid WCPP requirements must validate alternative solvents. This necessitates new Method Detection Limit (MDL) studies and Demonstration of Capability (DOC) records.</w:t>
      </w:r>
    </w:p>
    <w:p w14:paraId="641465BF" w14:textId="77777777" w:rsidR="006A49C8" w:rsidRPr="006A49C8" w:rsidRDefault="006A49C8" w:rsidP="006A49C8">
      <w:pPr>
        <w:numPr>
          <w:ilvl w:val="0"/>
          <w:numId w:val="17"/>
        </w:numPr>
      </w:pPr>
      <w:r w:rsidRPr="008219A5">
        <w:t>Engineering Controls:</w:t>
      </w:r>
      <w:r w:rsidRPr="006A49C8">
        <w:t xml:space="preserve"> Existing fume hoods and extraction ventilation must be evaluated and potentially upgraded to meet the lowered ambient concentration thresholds.</w:t>
      </w:r>
    </w:p>
    <w:p w14:paraId="7D90492B" w14:textId="77777777" w:rsidR="006A49C8" w:rsidRPr="008219A5" w:rsidRDefault="006A49C8" w:rsidP="006A49C8">
      <w:pPr>
        <w:numPr>
          <w:ilvl w:val="0"/>
          <w:numId w:val="17"/>
        </w:numPr>
      </w:pPr>
      <w:r w:rsidRPr="008219A5">
        <w:t>Personal Protective Equipment (PPE):</w:t>
      </w:r>
    </w:p>
    <w:p w14:paraId="2353EF55" w14:textId="26D3E702" w:rsidR="006A49C8" w:rsidRPr="006A49C8" w:rsidRDefault="006A49C8" w:rsidP="006A49C8">
      <w:pPr>
        <w:numPr>
          <w:ilvl w:val="1"/>
          <w:numId w:val="17"/>
        </w:numPr>
      </w:pPr>
      <w:r w:rsidRPr="008219A5">
        <w:t>Respiratory</w:t>
      </w:r>
      <w:r w:rsidRPr="006A49C8">
        <w:rPr>
          <w:b/>
          <w:bCs/>
        </w:rPr>
        <w:t>:</w:t>
      </w:r>
      <w:r w:rsidRPr="006A49C8">
        <w:t xml:space="preserve"> If ambient limits are exceeded, standard air-purifying respirators are unapproved. Supplied-air respirators (airline or SCBA) </w:t>
      </w:r>
      <w:r w:rsidR="008219A5">
        <w:t xml:space="preserve">may be </w:t>
      </w:r>
      <w:r w:rsidRPr="006A49C8">
        <w:t>required.</w:t>
      </w:r>
    </w:p>
    <w:p w14:paraId="66115B54" w14:textId="77777777" w:rsidR="006A49C8" w:rsidRPr="006A49C8" w:rsidRDefault="006A49C8" w:rsidP="006A49C8">
      <w:pPr>
        <w:numPr>
          <w:ilvl w:val="1"/>
          <w:numId w:val="17"/>
        </w:numPr>
      </w:pPr>
      <w:r w:rsidRPr="008219A5">
        <w:t>Dermal</w:t>
      </w:r>
      <w:r w:rsidRPr="006A49C8">
        <w:rPr>
          <w:b/>
          <w:bCs/>
        </w:rPr>
        <w:t>:</w:t>
      </w:r>
      <w:r w:rsidRPr="006A49C8">
        <w:t xml:space="preserve"> Standard nitrile, latex, or neoprene gloves are explicitly prohibited for DCM handling. Only Polyvinyl Alcohol (PVA), Silver Shield®, or laminate gloves are compliant.</w:t>
      </w:r>
    </w:p>
    <w:p w14:paraId="26EDF5CE" w14:textId="6692970B" w:rsidR="008219A5" w:rsidRDefault="006A49C8" w:rsidP="008219A5">
      <w:pPr>
        <w:numPr>
          <w:ilvl w:val="0"/>
          <w:numId w:val="17"/>
        </w:numPr>
      </w:pPr>
      <w:r w:rsidRPr="008219A5">
        <w:t>Regulated Areas:</w:t>
      </w:r>
      <w:r w:rsidRPr="006A49C8">
        <w:t xml:space="preserve"> DCM usage areas must be demarcated, with access restricte</w:t>
      </w:r>
      <w:r w:rsidR="008219A5">
        <w:t>d</w:t>
      </w:r>
      <w:r w:rsidRPr="006A49C8">
        <w:t>.</w:t>
      </w:r>
      <w:r w:rsidR="008219A5">
        <w:br/>
      </w:r>
      <w:r w:rsidR="008219A5">
        <w:br/>
      </w:r>
    </w:p>
    <w:p w14:paraId="05A18A18" w14:textId="77777777" w:rsidR="008219A5" w:rsidRPr="008219A5" w:rsidRDefault="008219A5" w:rsidP="008219A5">
      <w:pPr>
        <w:ind w:left="360"/>
      </w:pPr>
    </w:p>
    <w:p w14:paraId="62D172A2" w14:textId="77777777" w:rsidR="008219A5" w:rsidRPr="008219A5" w:rsidRDefault="008219A5" w:rsidP="008219A5">
      <w:pPr>
        <w:spacing w:after="100" w:afterAutospacing="1" w:line="240" w:lineRule="auto"/>
        <w:rPr>
          <w:rFonts w:eastAsia="Times New Roman" w:cstheme="minorHAnsi"/>
          <w:b/>
          <w:bCs/>
          <w:color w:val="auto"/>
          <w:sz w:val="22"/>
          <w:lang w:val="fr-FR"/>
        </w:rPr>
      </w:pPr>
      <w:r w:rsidRPr="008219A5">
        <w:rPr>
          <w:rFonts w:eastAsia="Times New Roman" w:cstheme="minorHAnsi"/>
          <w:b/>
          <w:bCs/>
          <w:color w:val="auto"/>
          <w:sz w:val="22"/>
          <w:lang w:val="fr-FR"/>
        </w:rPr>
        <w:t xml:space="preserve">Exposure Limits Comparison: OSHA vs. EPA </w:t>
      </w:r>
    </w:p>
    <w:p w14:paraId="1F61B5A4" w14:textId="4F7BFE23" w:rsidR="008219A5" w:rsidRPr="008219A5" w:rsidRDefault="008219A5" w:rsidP="008219A5">
      <w:pPr>
        <w:spacing w:after="100" w:afterAutospacing="1" w:line="240" w:lineRule="auto"/>
        <w:ind w:firstLine="360"/>
        <w:rPr>
          <w:rFonts w:eastAsia="Times New Roman" w:cstheme="minorHAnsi"/>
          <w:color w:val="auto"/>
          <w:szCs w:val="20"/>
        </w:rPr>
      </w:pPr>
      <w:r w:rsidRPr="008219A5">
        <w:rPr>
          <w:rFonts w:eastAsia="Times New Roman" w:cstheme="minorHAnsi"/>
          <w:color w:val="auto"/>
          <w:szCs w:val="20"/>
        </w:rPr>
        <w:t>The most significant operational hurdle of the WCPP is the drastic reduction in allowable exposure limits. The EPA determined that the existing OSHA Permissible Exposure Limits (PELs) were insufficient to protect against unreasonable health risks. The table below illustrates the magnitude of the reduction. Note that the EPA limits are roughly ten times stricter than the OSHA standards laboratories have historically operated under.</w:t>
      </w:r>
    </w:p>
    <w:tbl>
      <w:tblPr>
        <w:tblStyle w:val="WECKModernBand"/>
        <w:tblW w:w="9868" w:type="dxa"/>
        <w:jc w:val="center"/>
        <w:tblLook w:val="04A0" w:firstRow="1" w:lastRow="0" w:firstColumn="1" w:lastColumn="0" w:noHBand="0" w:noVBand="1"/>
      </w:tblPr>
      <w:tblGrid>
        <w:gridCol w:w="4115"/>
        <w:gridCol w:w="2819"/>
        <w:gridCol w:w="2934"/>
      </w:tblGrid>
      <w:tr w:rsidR="008A620C" w:rsidRPr="008219A5" w14:paraId="64D1D0CA" w14:textId="77777777" w:rsidTr="008A620C">
        <w:trPr>
          <w:cnfStyle w:val="100000000000" w:firstRow="1" w:lastRow="0" w:firstColumn="0" w:lastColumn="0" w:oddVBand="0" w:evenVBand="0" w:oddHBand="0" w:evenHBand="0" w:firstRowFirstColumn="0" w:firstRowLastColumn="0" w:lastRowFirstColumn="0" w:lastRowLastColumn="0"/>
          <w:trHeight w:val="326"/>
          <w:jc w:val="center"/>
        </w:trPr>
        <w:tc>
          <w:tcPr>
            <w:tcW w:w="0" w:type="auto"/>
            <w:hideMark/>
          </w:tcPr>
          <w:p w14:paraId="02821C70" w14:textId="77777777" w:rsidR="008A620C" w:rsidRPr="008219A5" w:rsidRDefault="008A620C" w:rsidP="008219A5">
            <w:pPr>
              <w:spacing w:after="0" w:line="240" w:lineRule="auto"/>
              <w:rPr>
                <w:rFonts w:eastAsia="Times New Roman" w:cstheme="minorHAnsi"/>
                <w:color w:val="auto"/>
                <w:szCs w:val="20"/>
              </w:rPr>
            </w:pPr>
            <w:r w:rsidRPr="008219A5">
              <w:rPr>
                <w:rFonts w:eastAsia="Times New Roman" w:cstheme="minorHAnsi"/>
                <w:bCs/>
                <w:color w:val="auto"/>
                <w:szCs w:val="20"/>
              </w:rPr>
              <w:t>Limit Type</w:t>
            </w:r>
          </w:p>
        </w:tc>
        <w:tc>
          <w:tcPr>
            <w:tcW w:w="0" w:type="auto"/>
            <w:hideMark/>
          </w:tcPr>
          <w:p w14:paraId="5489AF95" w14:textId="77777777" w:rsidR="008A620C" w:rsidRPr="008219A5" w:rsidRDefault="008A620C" w:rsidP="008219A5">
            <w:pPr>
              <w:spacing w:after="0" w:line="240" w:lineRule="auto"/>
              <w:rPr>
                <w:rFonts w:eastAsia="Times New Roman" w:cstheme="minorHAnsi"/>
                <w:color w:val="auto"/>
                <w:szCs w:val="20"/>
              </w:rPr>
            </w:pPr>
            <w:r w:rsidRPr="008219A5">
              <w:rPr>
                <w:rFonts w:eastAsia="Times New Roman" w:cstheme="minorHAnsi"/>
                <w:bCs/>
                <w:color w:val="auto"/>
                <w:szCs w:val="20"/>
              </w:rPr>
              <w:t>Historic OSHA Standard</w:t>
            </w:r>
          </w:p>
        </w:tc>
        <w:tc>
          <w:tcPr>
            <w:tcW w:w="0" w:type="auto"/>
            <w:hideMark/>
          </w:tcPr>
          <w:p w14:paraId="4121B821" w14:textId="77777777" w:rsidR="008A620C" w:rsidRPr="008219A5" w:rsidRDefault="008A620C" w:rsidP="008219A5">
            <w:pPr>
              <w:spacing w:after="0" w:line="240" w:lineRule="auto"/>
              <w:rPr>
                <w:rFonts w:eastAsia="Times New Roman" w:cstheme="minorHAnsi"/>
                <w:color w:val="auto"/>
                <w:szCs w:val="20"/>
              </w:rPr>
            </w:pPr>
            <w:r w:rsidRPr="008219A5">
              <w:rPr>
                <w:rFonts w:eastAsia="Times New Roman" w:cstheme="minorHAnsi"/>
                <w:bCs/>
                <w:color w:val="auto"/>
                <w:szCs w:val="20"/>
              </w:rPr>
              <w:t>New EPA TSCA Standard</w:t>
            </w:r>
          </w:p>
        </w:tc>
      </w:tr>
      <w:tr w:rsidR="008A620C" w:rsidRPr="008219A5" w14:paraId="50EA443E" w14:textId="77777777" w:rsidTr="008A620C">
        <w:trPr>
          <w:trHeight w:val="326"/>
          <w:jc w:val="center"/>
        </w:trPr>
        <w:tc>
          <w:tcPr>
            <w:tcW w:w="0" w:type="auto"/>
            <w:hideMark/>
          </w:tcPr>
          <w:p w14:paraId="6043C4F3" w14:textId="77777777" w:rsidR="008A620C" w:rsidRPr="008A620C" w:rsidRDefault="008A620C" w:rsidP="008219A5">
            <w:pPr>
              <w:spacing w:after="0" w:line="240" w:lineRule="auto"/>
              <w:rPr>
                <w:rFonts w:eastAsia="Times New Roman" w:cstheme="minorHAnsi"/>
                <w:color w:val="auto"/>
                <w:szCs w:val="20"/>
              </w:rPr>
            </w:pPr>
            <w:r w:rsidRPr="008A620C">
              <w:rPr>
                <w:rFonts w:eastAsia="Times New Roman" w:cstheme="minorHAnsi"/>
                <w:color w:val="auto"/>
                <w:szCs w:val="20"/>
              </w:rPr>
              <w:t>8-Hour Time-Weighted Average</w:t>
            </w:r>
          </w:p>
        </w:tc>
        <w:tc>
          <w:tcPr>
            <w:tcW w:w="0" w:type="auto"/>
            <w:hideMark/>
          </w:tcPr>
          <w:p w14:paraId="22E789E0" w14:textId="77777777" w:rsidR="008A620C" w:rsidRPr="008A620C" w:rsidRDefault="008A620C" w:rsidP="008219A5">
            <w:pPr>
              <w:spacing w:after="0" w:line="240" w:lineRule="auto"/>
              <w:rPr>
                <w:rFonts w:eastAsia="Times New Roman" w:cstheme="minorHAnsi"/>
                <w:color w:val="auto"/>
                <w:szCs w:val="20"/>
              </w:rPr>
            </w:pPr>
            <w:r w:rsidRPr="008A620C">
              <w:rPr>
                <w:rFonts w:eastAsia="Times New Roman" w:cstheme="minorHAnsi"/>
                <w:color w:val="auto"/>
                <w:szCs w:val="20"/>
              </w:rPr>
              <w:t xml:space="preserve">25.0 ppm </w:t>
            </w:r>
            <w:r w:rsidRPr="008A620C">
              <w:rPr>
                <w:rFonts w:eastAsia="Times New Roman" w:cstheme="minorHAnsi"/>
                <w:i/>
                <w:iCs/>
                <w:color w:val="auto"/>
                <w:szCs w:val="20"/>
              </w:rPr>
              <w:t>(PEL)</w:t>
            </w:r>
          </w:p>
        </w:tc>
        <w:tc>
          <w:tcPr>
            <w:tcW w:w="0" w:type="auto"/>
            <w:hideMark/>
          </w:tcPr>
          <w:p w14:paraId="27A129EC" w14:textId="77777777" w:rsidR="008A620C" w:rsidRPr="008A620C" w:rsidRDefault="008A620C" w:rsidP="008219A5">
            <w:pPr>
              <w:spacing w:after="0" w:line="240" w:lineRule="auto"/>
              <w:rPr>
                <w:rFonts w:eastAsia="Times New Roman" w:cstheme="minorHAnsi"/>
                <w:color w:val="auto"/>
                <w:szCs w:val="20"/>
              </w:rPr>
            </w:pPr>
            <w:r w:rsidRPr="008A620C">
              <w:rPr>
                <w:rFonts w:eastAsia="Times New Roman" w:cstheme="minorHAnsi"/>
                <w:color w:val="auto"/>
                <w:szCs w:val="20"/>
              </w:rPr>
              <w:t xml:space="preserve">2.0 ppm </w:t>
            </w:r>
            <w:r w:rsidRPr="008A620C">
              <w:rPr>
                <w:rFonts w:eastAsia="Times New Roman" w:cstheme="minorHAnsi"/>
                <w:i/>
                <w:iCs/>
                <w:color w:val="auto"/>
                <w:szCs w:val="20"/>
              </w:rPr>
              <w:t>(ECEL)</w:t>
            </w:r>
          </w:p>
        </w:tc>
      </w:tr>
      <w:tr w:rsidR="008A620C" w:rsidRPr="008219A5" w14:paraId="2809149E" w14:textId="77777777" w:rsidTr="008A620C">
        <w:trPr>
          <w:cnfStyle w:val="000000010000" w:firstRow="0" w:lastRow="0" w:firstColumn="0" w:lastColumn="0" w:oddVBand="0" w:evenVBand="0" w:oddHBand="0" w:evenHBand="1" w:firstRowFirstColumn="0" w:firstRowLastColumn="0" w:lastRowFirstColumn="0" w:lastRowLastColumn="0"/>
          <w:trHeight w:val="326"/>
          <w:jc w:val="center"/>
        </w:trPr>
        <w:tc>
          <w:tcPr>
            <w:tcW w:w="0" w:type="auto"/>
            <w:hideMark/>
          </w:tcPr>
          <w:p w14:paraId="4648D3B8" w14:textId="77777777" w:rsidR="008A620C" w:rsidRPr="008A620C" w:rsidRDefault="008A620C" w:rsidP="008219A5">
            <w:pPr>
              <w:spacing w:after="0" w:line="240" w:lineRule="auto"/>
              <w:rPr>
                <w:rFonts w:eastAsia="Times New Roman" w:cstheme="minorHAnsi"/>
                <w:color w:val="auto"/>
                <w:szCs w:val="20"/>
              </w:rPr>
            </w:pPr>
            <w:r w:rsidRPr="008A620C">
              <w:rPr>
                <w:rFonts w:eastAsia="Times New Roman" w:cstheme="minorHAnsi"/>
                <w:color w:val="auto"/>
                <w:szCs w:val="20"/>
              </w:rPr>
              <w:t>Action Level (8-Hour TWA)</w:t>
            </w:r>
          </w:p>
        </w:tc>
        <w:tc>
          <w:tcPr>
            <w:tcW w:w="0" w:type="auto"/>
            <w:hideMark/>
          </w:tcPr>
          <w:p w14:paraId="72EF0179" w14:textId="77777777" w:rsidR="008A620C" w:rsidRPr="008A620C" w:rsidRDefault="008A620C" w:rsidP="008219A5">
            <w:pPr>
              <w:spacing w:after="0" w:line="240" w:lineRule="auto"/>
              <w:rPr>
                <w:rFonts w:eastAsia="Times New Roman" w:cstheme="minorHAnsi"/>
                <w:color w:val="auto"/>
                <w:szCs w:val="20"/>
              </w:rPr>
            </w:pPr>
            <w:r w:rsidRPr="008A620C">
              <w:rPr>
                <w:rFonts w:eastAsia="Times New Roman" w:cstheme="minorHAnsi"/>
                <w:color w:val="auto"/>
                <w:szCs w:val="20"/>
              </w:rPr>
              <w:t>12.5 ppm</w:t>
            </w:r>
          </w:p>
        </w:tc>
        <w:tc>
          <w:tcPr>
            <w:tcW w:w="0" w:type="auto"/>
            <w:hideMark/>
          </w:tcPr>
          <w:p w14:paraId="561871AC" w14:textId="77777777" w:rsidR="008A620C" w:rsidRPr="008A620C" w:rsidRDefault="008A620C" w:rsidP="008219A5">
            <w:pPr>
              <w:spacing w:after="0" w:line="240" w:lineRule="auto"/>
              <w:rPr>
                <w:rFonts w:eastAsia="Times New Roman" w:cstheme="minorHAnsi"/>
                <w:color w:val="auto"/>
                <w:szCs w:val="20"/>
              </w:rPr>
            </w:pPr>
            <w:r w:rsidRPr="008A620C">
              <w:rPr>
                <w:rFonts w:eastAsia="Times New Roman" w:cstheme="minorHAnsi"/>
                <w:color w:val="auto"/>
                <w:szCs w:val="20"/>
              </w:rPr>
              <w:t>1.0 ppm</w:t>
            </w:r>
          </w:p>
        </w:tc>
      </w:tr>
      <w:tr w:rsidR="008A620C" w:rsidRPr="008219A5" w14:paraId="358CE4C7" w14:textId="77777777" w:rsidTr="008A620C">
        <w:trPr>
          <w:trHeight w:val="326"/>
          <w:jc w:val="center"/>
        </w:trPr>
        <w:tc>
          <w:tcPr>
            <w:tcW w:w="0" w:type="auto"/>
            <w:hideMark/>
          </w:tcPr>
          <w:p w14:paraId="7F68C4CB" w14:textId="77777777" w:rsidR="008A620C" w:rsidRPr="008A620C" w:rsidRDefault="008A620C" w:rsidP="008219A5">
            <w:pPr>
              <w:spacing w:after="0" w:line="240" w:lineRule="auto"/>
              <w:rPr>
                <w:rFonts w:eastAsia="Times New Roman" w:cstheme="minorHAnsi"/>
                <w:color w:val="auto"/>
                <w:szCs w:val="20"/>
              </w:rPr>
            </w:pPr>
            <w:r w:rsidRPr="008A620C">
              <w:rPr>
                <w:rFonts w:eastAsia="Times New Roman" w:cstheme="minorHAnsi"/>
                <w:color w:val="auto"/>
                <w:szCs w:val="20"/>
              </w:rPr>
              <w:t>Short-Term Exposure Limit (15-min)</w:t>
            </w:r>
          </w:p>
        </w:tc>
        <w:tc>
          <w:tcPr>
            <w:tcW w:w="0" w:type="auto"/>
            <w:hideMark/>
          </w:tcPr>
          <w:p w14:paraId="715296F4" w14:textId="77777777" w:rsidR="008A620C" w:rsidRPr="008A620C" w:rsidRDefault="008A620C" w:rsidP="008219A5">
            <w:pPr>
              <w:spacing w:after="0" w:line="240" w:lineRule="auto"/>
              <w:rPr>
                <w:rFonts w:eastAsia="Times New Roman" w:cstheme="minorHAnsi"/>
                <w:color w:val="auto"/>
                <w:szCs w:val="20"/>
              </w:rPr>
            </w:pPr>
            <w:r w:rsidRPr="008A620C">
              <w:rPr>
                <w:rFonts w:eastAsia="Times New Roman" w:cstheme="minorHAnsi"/>
                <w:color w:val="auto"/>
                <w:szCs w:val="20"/>
              </w:rPr>
              <w:t>125.0 ppm</w:t>
            </w:r>
          </w:p>
        </w:tc>
        <w:tc>
          <w:tcPr>
            <w:tcW w:w="0" w:type="auto"/>
            <w:hideMark/>
          </w:tcPr>
          <w:p w14:paraId="08760E8C" w14:textId="77777777" w:rsidR="008A620C" w:rsidRPr="008A620C" w:rsidRDefault="008A620C" w:rsidP="008219A5">
            <w:pPr>
              <w:spacing w:after="0" w:line="240" w:lineRule="auto"/>
              <w:rPr>
                <w:rFonts w:eastAsia="Times New Roman" w:cstheme="minorHAnsi"/>
                <w:color w:val="auto"/>
                <w:szCs w:val="20"/>
              </w:rPr>
            </w:pPr>
            <w:r w:rsidRPr="008A620C">
              <w:rPr>
                <w:rFonts w:eastAsia="Times New Roman" w:cstheme="minorHAnsi"/>
                <w:color w:val="auto"/>
                <w:szCs w:val="20"/>
              </w:rPr>
              <w:t>16.0 ppm</w:t>
            </w:r>
          </w:p>
        </w:tc>
      </w:tr>
    </w:tbl>
    <w:p w14:paraId="42695807" w14:textId="77777777" w:rsidR="008219A5" w:rsidRPr="008219A5" w:rsidRDefault="008219A5" w:rsidP="008219A5">
      <w:pPr>
        <w:rPr>
          <w:rFonts w:asciiTheme="majorHAnsi" w:hAnsiTheme="majorHAnsi" w:cstheme="majorHAnsi"/>
        </w:rPr>
      </w:pPr>
    </w:p>
    <w:p w14:paraId="1805FB57" w14:textId="15A77F2C" w:rsidR="006A49C8" w:rsidRPr="008219A5" w:rsidRDefault="006A49C8" w:rsidP="006A49C8">
      <w:pPr>
        <w:rPr>
          <w:rFonts w:asciiTheme="majorHAnsi" w:hAnsiTheme="majorHAnsi" w:cstheme="majorHAnsi"/>
          <w:b/>
          <w:bCs/>
          <w:sz w:val="22"/>
          <w:szCs w:val="24"/>
        </w:rPr>
      </w:pPr>
      <w:r w:rsidRPr="008219A5">
        <w:rPr>
          <w:rFonts w:asciiTheme="majorHAnsi" w:hAnsiTheme="majorHAnsi" w:cstheme="majorHAnsi"/>
          <w:b/>
          <w:bCs/>
          <w:sz w:val="22"/>
          <w:szCs w:val="24"/>
        </w:rPr>
        <w:t>Exposure Measurement &amp; Monitoring Criteria</w:t>
      </w:r>
    </w:p>
    <w:p w14:paraId="3887E543" w14:textId="77777777" w:rsidR="006A49C8" w:rsidRPr="008219A5" w:rsidRDefault="006A49C8" w:rsidP="008219A5">
      <w:pPr>
        <w:ind w:firstLine="720"/>
        <w:rPr>
          <w:rFonts w:asciiTheme="majorHAnsi" w:hAnsiTheme="majorHAnsi" w:cstheme="majorHAnsi"/>
        </w:rPr>
      </w:pPr>
      <w:r w:rsidRPr="008219A5">
        <w:rPr>
          <w:rFonts w:asciiTheme="majorHAnsi" w:hAnsiTheme="majorHAnsi" w:cstheme="majorHAnsi"/>
        </w:rPr>
        <w:t>The WCPP requires initial baseline air monitoring for all personnel with potential DCM exposure. Subsequent periodic monitoring schedules are determined by the initial results.</w:t>
      </w:r>
    </w:p>
    <w:p w14:paraId="50731F12" w14:textId="77777777" w:rsidR="006A49C8" w:rsidRPr="006A49C8" w:rsidRDefault="006A49C8" w:rsidP="008219A5">
      <w:pPr>
        <w:jc w:val="center"/>
        <w:rPr>
          <w:b/>
          <w:bCs/>
        </w:rPr>
      </w:pPr>
      <w:r w:rsidRPr="006A49C8">
        <w:rPr>
          <w:b/>
          <w:bCs/>
        </w:rPr>
        <w:t>Revised Exposure Thresholds</w:t>
      </w:r>
    </w:p>
    <w:tbl>
      <w:tblPr>
        <w:tblStyle w:val="WECKModernBand"/>
        <w:tblW w:w="9655" w:type="dxa"/>
        <w:jc w:val="center"/>
        <w:tblLook w:val="04A0" w:firstRow="1" w:lastRow="0" w:firstColumn="1" w:lastColumn="0" w:noHBand="0" w:noVBand="1"/>
      </w:tblPr>
      <w:tblGrid>
        <w:gridCol w:w="4050"/>
        <w:gridCol w:w="1345"/>
        <w:gridCol w:w="4260"/>
      </w:tblGrid>
      <w:tr w:rsidR="006A49C8" w:rsidRPr="006A49C8" w14:paraId="138007D5" w14:textId="77777777" w:rsidTr="008219A5">
        <w:trPr>
          <w:cnfStyle w:val="100000000000" w:firstRow="1" w:lastRow="0" w:firstColumn="0" w:lastColumn="0" w:oddVBand="0" w:evenVBand="0" w:oddHBand="0" w:evenHBand="0" w:firstRowFirstColumn="0" w:firstRowLastColumn="0" w:lastRowFirstColumn="0" w:lastRowLastColumn="0"/>
          <w:trHeight w:val="295"/>
          <w:jc w:val="center"/>
        </w:trPr>
        <w:tc>
          <w:tcPr>
            <w:tcW w:w="4050" w:type="dxa"/>
            <w:hideMark/>
          </w:tcPr>
          <w:p w14:paraId="6B7BC64F" w14:textId="77777777" w:rsidR="006A49C8" w:rsidRPr="006A49C8" w:rsidRDefault="006A49C8" w:rsidP="006A49C8">
            <w:r w:rsidRPr="006A49C8">
              <w:rPr>
                <w:bCs/>
              </w:rPr>
              <w:t>Limit Type</w:t>
            </w:r>
          </w:p>
        </w:tc>
        <w:tc>
          <w:tcPr>
            <w:tcW w:w="1345" w:type="dxa"/>
            <w:hideMark/>
          </w:tcPr>
          <w:p w14:paraId="0673BD90" w14:textId="77777777" w:rsidR="006A49C8" w:rsidRPr="006A49C8" w:rsidRDefault="006A49C8" w:rsidP="006A49C8">
            <w:r w:rsidRPr="006A49C8">
              <w:rPr>
                <w:bCs/>
              </w:rPr>
              <w:t>Value</w:t>
            </w:r>
          </w:p>
        </w:tc>
        <w:tc>
          <w:tcPr>
            <w:tcW w:w="0" w:type="auto"/>
            <w:hideMark/>
          </w:tcPr>
          <w:p w14:paraId="213BF057" w14:textId="77777777" w:rsidR="006A49C8" w:rsidRPr="006A49C8" w:rsidRDefault="006A49C8" w:rsidP="006A49C8">
            <w:r w:rsidRPr="006A49C8">
              <w:rPr>
                <w:bCs/>
              </w:rPr>
              <w:t>Timeframe</w:t>
            </w:r>
          </w:p>
        </w:tc>
      </w:tr>
      <w:tr w:rsidR="006A49C8" w:rsidRPr="006A49C8" w14:paraId="6794A692" w14:textId="77777777" w:rsidTr="008219A5">
        <w:trPr>
          <w:trHeight w:val="309"/>
          <w:jc w:val="center"/>
        </w:trPr>
        <w:tc>
          <w:tcPr>
            <w:tcW w:w="4050" w:type="dxa"/>
            <w:hideMark/>
          </w:tcPr>
          <w:p w14:paraId="31B94222" w14:textId="77777777" w:rsidR="006A49C8" w:rsidRPr="008219A5" w:rsidRDefault="006A49C8" w:rsidP="006A49C8">
            <w:r w:rsidRPr="008219A5">
              <w:t>Existing Chemical Exposure Limit (ECEL)</w:t>
            </w:r>
          </w:p>
        </w:tc>
        <w:tc>
          <w:tcPr>
            <w:tcW w:w="1345" w:type="dxa"/>
            <w:hideMark/>
          </w:tcPr>
          <w:p w14:paraId="2B2ADE55" w14:textId="77777777" w:rsidR="006A49C8" w:rsidRPr="008219A5" w:rsidRDefault="006A49C8" w:rsidP="006A49C8">
            <w:r w:rsidRPr="008219A5">
              <w:t>2.0 ppm</w:t>
            </w:r>
          </w:p>
        </w:tc>
        <w:tc>
          <w:tcPr>
            <w:tcW w:w="0" w:type="auto"/>
            <w:hideMark/>
          </w:tcPr>
          <w:p w14:paraId="26A01D66" w14:textId="77777777" w:rsidR="006A49C8" w:rsidRPr="008219A5" w:rsidRDefault="006A49C8" w:rsidP="006A49C8">
            <w:r w:rsidRPr="008219A5">
              <w:t>8-hour Time-Weighted Average (TWA)</w:t>
            </w:r>
          </w:p>
        </w:tc>
      </w:tr>
      <w:tr w:rsidR="006A49C8" w:rsidRPr="006A49C8" w14:paraId="12620C76" w14:textId="77777777" w:rsidTr="008219A5">
        <w:trPr>
          <w:cnfStyle w:val="000000010000" w:firstRow="0" w:lastRow="0" w:firstColumn="0" w:lastColumn="0" w:oddVBand="0" w:evenVBand="0" w:oddHBand="0" w:evenHBand="1" w:firstRowFirstColumn="0" w:firstRowLastColumn="0" w:lastRowFirstColumn="0" w:lastRowLastColumn="0"/>
          <w:trHeight w:val="295"/>
          <w:jc w:val="center"/>
        </w:trPr>
        <w:tc>
          <w:tcPr>
            <w:tcW w:w="4050" w:type="dxa"/>
            <w:hideMark/>
          </w:tcPr>
          <w:p w14:paraId="4CC72B0C" w14:textId="77777777" w:rsidR="006A49C8" w:rsidRPr="008219A5" w:rsidRDefault="006A49C8" w:rsidP="006A49C8">
            <w:r w:rsidRPr="008219A5">
              <w:t>EPA Action Level (AL)</w:t>
            </w:r>
          </w:p>
        </w:tc>
        <w:tc>
          <w:tcPr>
            <w:tcW w:w="1345" w:type="dxa"/>
            <w:hideMark/>
          </w:tcPr>
          <w:p w14:paraId="0FCB3671" w14:textId="77777777" w:rsidR="006A49C8" w:rsidRPr="008219A5" w:rsidRDefault="006A49C8" w:rsidP="006A49C8">
            <w:r w:rsidRPr="008219A5">
              <w:t>1.0 ppm</w:t>
            </w:r>
          </w:p>
        </w:tc>
        <w:tc>
          <w:tcPr>
            <w:tcW w:w="0" w:type="auto"/>
            <w:hideMark/>
          </w:tcPr>
          <w:p w14:paraId="01F440AE" w14:textId="77777777" w:rsidR="006A49C8" w:rsidRPr="008219A5" w:rsidRDefault="006A49C8" w:rsidP="006A49C8">
            <w:r w:rsidRPr="008219A5">
              <w:t>8-hour Time-Weighted Average (TWA)</w:t>
            </w:r>
          </w:p>
        </w:tc>
      </w:tr>
      <w:tr w:rsidR="006A49C8" w:rsidRPr="006A49C8" w14:paraId="7DDE583A" w14:textId="77777777" w:rsidTr="008219A5">
        <w:trPr>
          <w:trHeight w:val="309"/>
          <w:jc w:val="center"/>
        </w:trPr>
        <w:tc>
          <w:tcPr>
            <w:tcW w:w="4050" w:type="dxa"/>
            <w:hideMark/>
          </w:tcPr>
          <w:p w14:paraId="5684B5A7" w14:textId="77777777" w:rsidR="006A49C8" w:rsidRPr="008219A5" w:rsidRDefault="006A49C8" w:rsidP="006A49C8">
            <w:r w:rsidRPr="008219A5">
              <w:t>Short-Term Exposure Limit (STEL)</w:t>
            </w:r>
          </w:p>
        </w:tc>
        <w:tc>
          <w:tcPr>
            <w:tcW w:w="1345" w:type="dxa"/>
            <w:hideMark/>
          </w:tcPr>
          <w:p w14:paraId="3C39ADA5" w14:textId="77777777" w:rsidR="006A49C8" w:rsidRPr="008219A5" w:rsidRDefault="006A49C8" w:rsidP="006A49C8">
            <w:r w:rsidRPr="008219A5">
              <w:t>16.0 ppm</w:t>
            </w:r>
          </w:p>
        </w:tc>
        <w:tc>
          <w:tcPr>
            <w:tcW w:w="0" w:type="auto"/>
            <w:hideMark/>
          </w:tcPr>
          <w:p w14:paraId="0BC774F3" w14:textId="77777777" w:rsidR="006A49C8" w:rsidRPr="008219A5" w:rsidRDefault="006A49C8" w:rsidP="006A49C8">
            <w:r w:rsidRPr="008219A5">
              <w:t>15-minute sampling period</w:t>
            </w:r>
          </w:p>
        </w:tc>
      </w:tr>
    </w:tbl>
    <w:p w14:paraId="55EBB3FD" w14:textId="6BBA832A" w:rsidR="006A49C8" w:rsidRPr="006A49C8" w:rsidRDefault="008219A5" w:rsidP="008219A5">
      <w:pPr>
        <w:jc w:val="center"/>
        <w:rPr>
          <w:b/>
          <w:bCs/>
        </w:rPr>
      </w:pPr>
      <w:r>
        <w:rPr>
          <w:b/>
          <w:bCs/>
        </w:rPr>
        <w:br/>
      </w:r>
      <w:r>
        <w:rPr>
          <w:b/>
          <w:bCs/>
        </w:rPr>
        <w:br/>
      </w:r>
      <w:r w:rsidR="006A49C8" w:rsidRPr="006A49C8">
        <w:rPr>
          <w:b/>
          <w:bCs/>
        </w:rPr>
        <w:t>Monitoring Frequency</w:t>
      </w:r>
    </w:p>
    <w:tbl>
      <w:tblPr>
        <w:tblStyle w:val="WECKModernBand"/>
        <w:tblW w:w="9976" w:type="dxa"/>
        <w:jc w:val="center"/>
        <w:tblLook w:val="04A0" w:firstRow="1" w:lastRow="0" w:firstColumn="1" w:lastColumn="0" w:noHBand="0" w:noVBand="1"/>
      </w:tblPr>
      <w:tblGrid>
        <w:gridCol w:w="6443"/>
        <w:gridCol w:w="3533"/>
      </w:tblGrid>
      <w:tr w:rsidR="006A49C8" w:rsidRPr="006A49C8" w14:paraId="20E5DABF" w14:textId="77777777" w:rsidTr="008219A5">
        <w:trPr>
          <w:cnfStyle w:val="100000000000" w:firstRow="1" w:lastRow="0" w:firstColumn="0" w:lastColumn="0" w:oddVBand="0" w:evenVBand="0" w:oddHBand="0" w:evenHBand="0" w:firstRowFirstColumn="0" w:firstRowLastColumn="0" w:lastRowFirstColumn="0" w:lastRowLastColumn="0"/>
          <w:trHeight w:val="306"/>
          <w:jc w:val="center"/>
        </w:trPr>
        <w:tc>
          <w:tcPr>
            <w:tcW w:w="0" w:type="auto"/>
            <w:hideMark/>
          </w:tcPr>
          <w:p w14:paraId="4E64C1C2" w14:textId="77777777" w:rsidR="006A49C8" w:rsidRPr="006A49C8" w:rsidRDefault="006A49C8" w:rsidP="006A49C8">
            <w:r w:rsidRPr="006A49C8">
              <w:rPr>
                <w:bCs/>
              </w:rPr>
              <w:t>Initial Monitoring Result</w:t>
            </w:r>
          </w:p>
        </w:tc>
        <w:tc>
          <w:tcPr>
            <w:tcW w:w="0" w:type="auto"/>
            <w:hideMark/>
          </w:tcPr>
          <w:p w14:paraId="0A6A08F2" w14:textId="77777777" w:rsidR="006A49C8" w:rsidRPr="006A49C8" w:rsidRDefault="006A49C8" w:rsidP="006A49C8">
            <w:r w:rsidRPr="006A49C8">
              <w:rPr>
                <w:bCs/>
              </w:rPr>
              <w:t>Periodic Monitoring Frequency</w:t>
            </w:r>
          </w:p>
        </w:tc>
      </w:tr>
      <w:tr w:rsidR="006A49C8" w:rsidRPr="006A49C8" w14:paraId="14214BFC" w14:textId="77777777" w:rsidTr="008219A5">
        <w:trPr>
          <w:trHeight w:val="321"/>
          <w:jc w:val="center"/>
        </w:trPr>
        <w:tc>
          <w:tcPr>
            <w:tcW w:w="0" w:type="auto"/>
            <w:hideMark/>
          </w:tcPr>
          <w:p w14:paraId="2D059905" w14:textId="77777777" w:rsidR="006A49C8" w:rsidRPr="008219A5" w:rsidRDefault="006A49C8" w:rsidP="006A49C8">
            <w:r w:rsidRPr="008219A5">
              <w:t>Below AL (&lt; 1.0 ppm) AND Below STEL (&lt; 16.0 ppm)</w:t>
            </w:r>
          </w:p>
        </w:tc>
        <w:tc>
          <w:tcPr>
            <w:tcW w:w="0" w:type="auto"/>
            <w:hideMark/>
          </w:tcPr>
          <w:p w14:paraId="4ACC212B" w14:textId="77777777" w:rsidR="006A49C8" w:rsidRPr="008219A5" w:rsidRDefault="006A49C8" w:rsidP="006A49C8">
            <w:r w:rsidRPr="008219A5">
              <w:t>Every 5 years</w:t>
            </w:r>
          </w:p>
        </w:tc>
      </w:tr>
      <w:tr w:rsidR="006A49C8" w:rsidRPr="006A49C8" w14:paraId="17B48F70" w14:textId="77777777" w:rsidTr="008219A5">
        <w:trPr>
          <w:cnfStyle w:val="000000010000" w:firstRow="0" w:lastRow="0" w:firstColumn="0" w:lastColumn="0" w:oddVBand="0" w:evenVBand="0" w:oddHBand="0" w:evenHBand="1" w:firstRowFirstColumn="0" w:firstRowLastColumn="0" w:lastRowFirstColumn="0" w:lastRowLastColumn="0"/>
          <w:trHeight w:val="306"/>
          <w:jc w:val="center"/>
        </w:trPr>
        <w:tc>
          <w:tcPr>
            <w:tcW w:w="0" w:type="auto"/>
            <w:hideMark/>
          </w:tcPr>
          <w:p w14:paraId="5C6CC276" w14:textId="77777777" w:rsidR="006A49C8" w:rsidRPr="008219A5" w:rsidRDefault="006A49C8" w:rsidP="006A49C8">
            <w:r w:rsidRPr="008219A5">
              <w:t>At or Above AL (≥ 1.0 ppm) BUT Below ECEL (≤ 2.0 ppm)</w:t>
            </w:r>
          </w:p>
        </w:tc>
        <w:tc>
          <w:tcPr>
            <w:tcW w:w="0" w:type="auto"/>
            <w:hideMark/>
          </w:tcPr>
          <w:p w14:paraId="536D0062" w14:textId="77777777" w:rsidR="006A49C8" w:rsidRPr="008219A5" w:rsidRDefault="006A49C8" w:rsidP="006A49C8">
            <w:r w:rsidRPr="008219A5">
              <w:t>Every 6 months</w:t>
            </w:r>
          </w:p>
        </w:tc>
      </w:tr>
      <w:tr w:rsidR="006A49C8" w:rsidRPr="006A49C8" w14:paraId="74104307" w14:textId="77777777" w:rsidTr="008219A5">
        <w:trPr>
          <w:trHeight w:val="321"/>
          <w:jc w:val="center"/>
        </w:trPr>
        <w:tc>
          <w:tcPr>
            <w:tcW w:w="0" w:type="auto"/>
            <w:hideMark/>
          </w:tcPr>
          <w:p w14:paraId="04EF7B61" w14:textId="77777777" w:rsidR="006A49C8" w:rsidRPr="008219A5" w:rsidRDefault="006A49C8" w:rsidP="006A49C8">
            <w:r w:rsidRPr="008219A5">
              <w:t>Above ECEL (&gt; 2.0 ppm) OR Above STEL (&gt; 16.0 ppm)</w:t>
            </w:r>
          </w:p>
        </w:tc>
        <w:tc>
          <w:tcPr>
            <w:tcW w:w="0" w:type="auto"/>
            <w:hideMark/>
          </w:tcPr>
          <w:p w14:paraId="725CFAD9" w14:textId="77777777" w:rsidR="006A49C8" w:rsidRPr="008219A5" w:rsidRDefault="006A49C8" w:rsidP="006A49C8">
            <w:r w:rsidRPr="008219A5">
              <w:t>Every 3 months</w:t>
            </w:r>
          </w:p>
        </w:tc>
      </w:tr>
    </w:tbl>
    <w:p w14:paraId="7CBCCDD0" w14:textId="77777777" w:rsidR="008219A5" w:rsidRDefault="008219A5" w:rsidP="006A49C8">
      <w:pPr>
        <w:rPr>
          <w:b/>
          <w:bCs/>
        </w:rPr>
      </w:pPr>
    </w:p>
    <w:p w14:paraId="2EE84879" w14:textId="3555702F" w:rsidR="006A49C8" w:rsidRPr="008219A5" w:rsidRDefault="006A49C8" w:rsidP="006A49C8">
      <w:pPr>
        <w:rPr>
          <w:b/>
          <w:bCs/>
          <w:sz w:val="22"/>
          <w:szCs w:val="24"/>
        </w:rPr>
      </w:pPr>
      <w:r w:rsidRPr="008219A5">
        <w:rPr>
          <w:b/>
          <w:bCs/>
          <w:sz w:val="22"/>
          <w:szCs w:val="24"/>
        </w:rPr>
        <w:t>Recommended Action Plan</w:t>
      </w:r>
    </w:p>
    <w:p w14:paraId="20311736" w14:textId="77777777" w:rsidR="006A49C8" w:rsidRPr="008219A5" w:rsidRDefault="006A49C8" w:rsidP="006A49C8">
      <w:pPr>
        <w:numPr>
          <w:ilvl w:val="0"/>
          <w:numId w:val="18"/>
        </w:numPr>
      </w:pPr>
      <w:r w:rsidRPr="008219A5">
        <w:t>Inventory: Document all methods, preparation areas, and storage locations utilizing DCM.</w:t>
      </w:r>
    </w:p>
    <w:p w14:paraId="16543083" w14:textId="77777777" w:rsidR="006A49C8" w:rsidRPr="008219A5" w:rsidRDefault="006A49C8" w:rsidP="006A49C8">
      <w:pPr>
        <w:numPr>
          <w:ilvl w:val="0"/>
          <w:numId w:val="18"/>
        </w:numPr>
      </w:pPr>
      <w:r w:rsidRPr="008219A5">
        <w:t xml:space="preserve">Baseline Monitoring: Schedule initial breathing zone monitoring prior to the </w:t>
      </w:r>
      <w:r w:rsidRPr="008219A5">
        <w:rPr>
          <w:u w:val="single"/>
        </w:rPr>
        <w:t>November 9, 2026</w:t>
      </w:r>
      <w:r w:rsidRPr="008219A5">
        <w:t xml:space="preserve"> deadline to evaluate compliance with the 2.0 ppm ECEL. Historical OSHA compliance data is insufficient under the new ruling.</w:t>
      </w:r>
    </w:p>
    <w:p w14:paraId="36D5C66A" w14:textId="77777777" w:rsidR="006A49C8" w:rsidRPr="008219A5" w:rsidRDefault="006A49C8" w:rsidP="006A49C8">
      <w:pPr>
        <w:numPr>
          <w:ilvl w:val="0"/>
          <w:numId w:val="18"/>
        </w:numPr>
      </w:pPr>
      <w:r w:rsidRPr="008219A5">
        <w:t>PPE Audit: Replace non-compliant gloves with PVA or laminate alternatives for all DCM handling.</w:t>
      </w:r>
    </w:p>
    <w:p w14:paraId="271041A6" w14:textId="77777777" w:rsidR="000E77D4" w:rsidRPr="00850C63" w:rsidRDefault="000E77D4" w:rsidP="00850C63"/>
    <w:sectPr w:rsidR="000E77D4" w:rsidRPr="00850C63" w:rsidSect="00C86B5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C806" w14:textId="77777777" w:rsidR="004F6A50" w:rsidRDefault="004F6A50" w:rsidP="00C86B59">
      <w:pPr>
        <w:spacing w:after="0" w:line="240" w:lineRule="auto"/>
      </w:pPr>
      <w:r>
        <w:separator/>
      </w:r>
    </w:p>
  </w:endnote>
  <w:endnote w:type="continuationSeparator" w:id="0">
    <w:p w14:paraId="2C6AFD4C" w14:textId="77777777" w:rsidR="004F6A50" w:rsidRDefault="004F6A50" w:rsidP="00C8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4A7C" w14:textId="77777777" w:rsidR="00BF5FDF" w:rsidRDefault="00BF5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254D" w14:textId="77777777" w:rsidR="00BF5FDF" w:rsidRDefault="00BF5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6EA6" w14:textId="77777777" w:rsidR="00BF5FDF" w:rsidRDefault="00BF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984B" w14:textId="77777777" w:rsidR="004F6A50" w:rsidRDefault="004F6A50" w:rsidP="00C86B59">
      <w:pPr>
        <w:spacing w:after="0" w:line="240" w:lineRule="auto"/>
      </w:pPr>
      <w:r>
        <w:separator/>
      </w:r>
    </w:p>
  </w:footnote>
  <w:footnote w:type="continuationSeparator" w:id="0">
    <w:p w14:paraId="4CCF1A3C" w14:textId="77777777" w:rsidR="004F6A50" w:rsidRDefault="004F6A50" w:rsidP="00C86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6D98" w14:textId="77777777" w:rsidR="00BF5FDF" w:rsidRDefault="00BF5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797604"/>
      <w:docPartObj>
        <w:docPartGallery w:val="Watermarks"/>
        <w:docPartUnique/>
      </w:docPartObj>
    </w:sdtPr>
    <w:sdtEndPr/>
    <w:sdtContent>
      <w:p w14:paraId="31FEE904" w14:textId="6082BD7A" w:rsidR="00BF5FDF" w:rsidRDefault="004F6A50">
        <w:pPr>
          <w:pStyle w:val="Header"/>
        </w:pPr>
        <w:r>
          <w:rPr>
            <w:noProof/>
          </w:rPr>
          <w:pict w14:anchorId="74908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72A" w14:textId="77777777" w:rsidR="00BF5FDF" w:rsidRDefault="00BF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4E5"/>
    <w:multiLevelType w:val="multilevel"/>
    <w:tmpl w:val="0409001F"/>
    <w:numStyleLink w:val="OrderedLevels"/>
  </w:abstractNum>
  <w:abstractNum w:abstractNumId="1" w15:restartNumberingAfterBreak="0">
    <w:nsid w:val="080E3E96"/>
    <w:multiLevelType w:val="multilevel"/>
    <w:tmpl w:val="42D08C18"/>
    <w:numStyleLink w:val="Unordered"/>
  </w:abstractNum>
  <w:abstractNum w:abstractNumId="2" w15:restartNumberingAfterBreak="0">
    <w:nsid w:val="08DC06B6"/>
    <w:multiLevelType w:val="multilevel"/>
    <w:tmpl w:val="2D9412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B55B43"/>
    <w:multiLevelType w:val="multilevel"/>
    <w:tmpl w:val="BABA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F27920"/>
    <w:multiLevelType w:val="multilevel"/>
    <w:tmpl w:val="0409001F"/>
    <w:numStyleLink w:val="OrderedLevels"/>
  </w:abstractNum>
  <w:abstractNum w:abstractNumId="5" w15:restartNumberingAfterBreak="0">
    <w:nsid w:val="36CC7710"/>
    <w:multiLevelType w:val="multilevel"/>
    <w:tmpl w:val="42D08C18"/>
    <w:numStyleLink w:val="Unordered"/>
  </w:abstractNum>
  <w:abstractNum w:abstractNumId="6" w15:restartNumberingAfterBreak="0">
    <w:nsid w:val="53E70C52"/>
    <w:multiLevelType w:val="multilevel"/>
    <w:tmpl w:val="CA268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414ED"/>
    <w:multiLevelType w:val="multilevel"/>
    <w:tmpl w:val="0409001F"/>
    <w:styleLink w:val="OrderedLevels"/>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6F5C5B"/>
    <w:multiLevelType w:val="multilevel"/>
    <w:tmpl w:val="42D08C18"/>
    <w:styleLink w:val="Unordered"/>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3855042">
    <w:abstractNumId w:val="2"/>
  </w:num>
  <w:num w:numId="2" w16cid:durableId="895312390">
    <w:abstractNumId w:val="2"/>
  </w:num>
  <w:num w:numId="3" w16cid:durableId="1068965807">
    <w:abstractNumId w:val="2"/>
  </w:num>
  <w:num w:numId="4" w16cid:durableId="1330795446">
    <w:abstractNumId w:val="2"/>
  </w:num>
  <w:num w:numId="5" w16cid:durableId="1605109542">
    <w:abstractNumId w:val="2"/>
  </w:num>
  <w:num w:numId="6" w16cid:durableId="1122771263">
    <w:abstractNumId w:val="2"/>
  </w:num>
  <w:num w:numId="7" w16cid:durableId="1152986913">
    <w:abstractNumId w:val="2"/>
  </w:num>
  <w:num w:numId="8" w16cid:durableId="328220578">
    <w:abstractNumId w:val="2"/>
  </w:num>
  <w:num w:numId="9" w16cid:durableId="1867479833">
    <w:abstractNumId w:val="2"/>
  </w:num>
  <w:num w:numId="10" w16cid:durableId="220678017">
    <w:abstractNumId w:val="2"/>
  </w:num>
  <w:num w:numId="11" w16cid:durableId="177693000">
    <w:abstractNumId w:val="4"/>
  </w:num>
  <w:num w:numId="12" w16cid:durableId="149099545">
    <w:abstractNumId w:val="7"/>
  </w:num>
  <w:num w:numId="13" w16cid:durableId="1532063843">
    <w:abstractNumId w:val="1"/>
  </w:num>
  <w:num w:numId="14" w16cid:durableId="1663199690">
    <w:abstractNumId w:val="8"/>
  </w:num>
  <w:num w:numId="15" w16cid:durableId="548419662">
    <w:abstractNumId w:val="5"/>
  </w:num>
  <w:num w:numId="16" w16cid:durableId="593822996">
    <w:abstractNumId w:val="0"/>
  </w:num>
  <w:num w:numId="17" w16cid:durableId="768234970">
    <w:abstractNumId w:val="6"/>
  </w:num>
  <w:num w:numId="18" w16cid:durableId="1094286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360"/>
  <w:drawingGridVerticalSpacing w:val="36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C8"/>
    <w:rsid w:val="000158C9"/>
    <w:rsid w:val="00033FAF"/>
    <w:rsid w:val="000433D9"/>
    <w:rsid w:val="000470F2"/>
    <w:rsid w:val="00096F0F"/>
    <w:rsid w:val="000A5F5A"/>
    <w:rsid w:val="000E2BF7"/>
    <w:rsid w:val="000E77D4"/>
    <w:rsid w:val="000F30C8"/>
    <w:rsid w:val="00145414"/>
    <w:rsid w:val="00167996"/>
    <w:rsid w:val="00195D7D"/>
    <w:rsid w:val="002062EE"/>
    <w:rsid w:val="00207500"/>
    <w:rsid w:val="002656ED"/>
    <w:rsid w:val="00265A43"/>
    <w:rsid w:val="00287609"/>
    <w:rsid w:val="002A07B6"/>
    <w:rsid w:val="002F03E0"/>
    <w:rsid w:val="0034021E"/>
    <w:rsid w:val="00341F52"/>
    <w:rsid w:val="00342864"/>
    <w:rsid w:val="00396B41"/>
    <w:rsid w:val="003A3CDE"/>
    <w:rsid w:val="0040644B"/>
    <w:rsid w:val="0041047D"/>
    <w:rsid w:val="0041451C"/>
    <w:rsid w:val="00414D12"/>
    <w:rsid w:val="00430FC4"/>
    <w:rsid w:val="004454E1"/>
    <w:rsid w:val="00451248"/>
    <w:rsid w:val="004F6A50"/>
    <w:rsid w:val="005043D3"/>
    <w:rsid w:val="00516DC9"/>
    <w:rsid w:val="00523208"/>
    <w:rsid w:val="005A722D"/>
    <w:rsid w:val="005B1627"/>
    <w:rsid w:val="005B4D9F"/>
    <w:rsid w:val="005C4DA9"/>
    <w:rsid w:val="005D0968"/>
    <w:rsid w:val="005E06D6"/>
    <w:rsid w:val="006A49C8"/>
    <w:rsid w:val="006B23B9"/>
    <w:rsid w:val="00776D4B"/>
    <w:rsid w:val="00796405"/>
    <w:rsid w:val="0081108A"/>
    <w:rsid w:val="008219A5"/>
    <w:rsid w:val="0084372E"/>
    <w:rsid w:val="00850C63"/>
    <w:rsid w:val="008630FC"/>
    <w:rsid w:val="008A620C"/>
    <w:rsid w:val="008D7E3E"/>
    <w:rsid w:val="008F5936"/>
    <w:rsid w:val="00906258"/>
    <w:rsid w:val="00977C57"/>
    <w:rsid w:val="009E15FB"/>
    <w:rsid w:val="009E529D"/>
    <w:rsid w:val="009E7310"/>
    <w:rsid w:val="00A53104"/>
    <w:rsid w:val="00AA1A6E"/>
    <w:rsid w:val="00AC75FA"/>
    <w:rsid w:val="00AF4C6E"/>
    <w:rsid w:val="00B2580F"/>
    <w:rsid w:val="00B31853"/>
    <w:rsid w:val="00B545BD"/>
    <w:rsid w:val="00B85697"/>
    <w:rsid w:val="00B90385"/>
    <w:rsid w:val="00BB424C"/>
    <w:rsid w:val="00BC2137"/>
    <w:rsid w:val="00BF5FDF"/>
    <w:rsid w:val="00C145DF"/>
    <w:rsid w:val="00C32D4E"/>
    <w:rsid w:val="00C5224D"/>
    <w:rsid w:val="00C64A5F"/>
    <w:rsid w:val="00C86B59"/>
    <w:rsid w:val="00CA7806"/>
    <w:rsid w:val="00CC5281"/>
    <w:rsid w:val="00CD06E7"/>
    <w:rsid w:val="00CE0EEF"/>
    <w:rsid w:val="00CF4FAA"/>
    <w:rsid w:val="00DC7D57"/>
    <w:rsid w:val="00E77146"/>
    <w:rsid w:val="00EF52EF"/>
    <w:rsid w:val="00F051FE"/>
    <w:rsid w:val="00F151BC"/>
    <w:rsid w:val="00F408E5"/>
    <w:rsid w:val="00F46DBC"/>
    <w:rsid w:val="00F5583A"/>
    <w:rsid w:val="00F80A51"/>
    <w:rsid w:val="00F86803"/>
    <w:rsid w:val="00FA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E042"/>
  <w15:chartTrackingRefBased/>
  <w15:docId w15:val="{25BE32C0-A244-4F53-A656-446EBA26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heme="minorBidi"/>
        <w:color w:val="384147" w:themeColor="text1"/>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4D"/>
    <w:pPr>
      <w:spacing w:after="160" w:line="259" w:lineRule="auto"/>
    </w:pPr>
    <w:rPr>
      <w:rFonts w:asciiTheme="minorHAnsi" w:hAnsiTheme="minorHAnsi"/>
      <w:szCs w:val="22"/>
    </w:rPr>
  </w:style>
  <w:style w:type="paragraph" w:styleId="Heading1">
    <w:name w:val="heading 1"/>
    <w:basedOn w:val="Normal"/>
    <w:next w:val="Normal"/>
    <w:link w:val="Heading1Char"/>
    <w:uiPriority w:val="4"/>
    <w:qFormat/>
    <w:rsid w:val="000E2BF7"/>
    <w:pPr>
      <w:keepNext/>
      <w:spacing w:before="400" w:after="400"/>
      <w:outlineLvl w:val="0"/>
    </w:pPr>
    <w:rPr>
      <w:rFonts w:asciiTheme="majorHAnsi" w:eastAsiaTheme="majorEastAsia" w:hAnsiTheme="majorHAnsi" w:cstheme="majorBidi"/>
      <w:kern w:val="28"/>
      <w:sz w:val="40"/>
      <w:szCs w:val="32"/>
    </w:rPr>
  </w:style>
  <w:style w:type="paragraph" w:styleId="Heading2">
    <w:name w:val="heading 2"/>
    <w:basedOn w:val="Normal"/>
    <w:next w:val="Normal"/>
    <w:link w:val="Heading2Char"/>
    <w:uiPriority w:val="9"/>
    <w:qFormat/>
    <w:rsid w:val="000E2BF7"/>
    <w:pPr>
      <w:keepNext/>
      <w:spacing w:before="360" w:after="360"/>
      <w:outlineLvl w:val="1"/>
    </w:pPr>
    <w:rPr>
      <w:rFonts w:eastAsiaTheme="majorEastAsia" w:cstheme="majorBidi"/>
      <w:sz w:val="36"/>
      <w:szCs w:val="26"/>
    </w:rPr>
  </w:style>
  <w:style w:type="paragraph" w:styleId="Heading3">
    <w:name w:val="heading 3"/>
    <w:basedOn w:val="Normal"/>
    <w:next w:val="Normal"/>
    <w:link w:val="Heading3Char"/>
    <w:uiPriority w:val="5"/>
    <w:unhideWhenUsed/>
    <w:qFormat/>
    <w:rsid w:val="000E2BF7"/>
    <w:pPr>
      <w:keepNext/>
      <w:keepLines/>
      <w:spacing w:before="320" w:after="320"/>
      <w:outlineLvl w:val="2"/>
    </w:pPr>
    <w:rPr>
      <w:rFonts w:asciiTheme="majorHAnsi" w:eastAsiaTheme="majorEastAsia" w:hAnsiTheme="majorHAnsi" w:cstheme="majorBidi"/>
      <w:sz w:val="32"/>
      <w:szCs w:val="24"/>
    </w:rPr>
  </w:style>
  <w:style w:type="paragraph" w:styleId="Heading4">
    <w:name w:val="heading 4"/>
    <w:basedOn w:val="Normal"/>
    <w:next w:val="Normal"/>
    <w:link w:val="Heading4Char"/>
    <w:uiPriority w:val="1"/>
    <w:unhideWhenUsed/>
    <w:qFormat/>
    <w:rsid w:val="000E2BF7"/>
    <w:pPr>
      <w:keepNext/>
      <w:keepLines/>
      <w:spacing w:before="280" w:after="28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1"/>
    <w:unhideWhenUsed/>
    <w:qFormat/>
    <w:rsid w:val="000E2BF7"/>
    <w:pPr>
      <w:keepNext/>
      <w:keepLines/>
      <w:spacing w:before="240" w:after="240"/>
      <w:outlineLvl w:val="4"/>
    </w:pPr>
    <w:rPr>
      <w:rFonts w:asciiTheme="majorHAnsi" w:eastAsiaTheme="majorEastAsia" w:hAnsiTheme="majorHAnsi" w:cstheme="majorBidi"/>
      <w:b/>
      <w:sz w:val="24"/>
    </w:rPr>
  </w:style>
  <w:style w:type="paragraph" w:styleId="Heading6">
    <w:name w:val="heading 6"/>
    <w:basedOn w:val="Normal"/>
    <w:next w:val="Normal"/>
    <w:link w:val="Heading6Char"/>
    <w:uiPriority w:val="1"/>
    <w:unhideWhenUsed/>
    <w:qFormat/>
    <w:rsid w:val="000E2BF7"/>
    <w:pPr>
      <w:keepNext/>
      <w:keepLines/>
      <w:spacing w:before="200"/>
      <w:outlineLvl w:val="5"/>
    </w:pPr>
    <w:rPr>
      <w:rFonts w:asciiTheme="majorHAnsi" w:eastAsiaTheme="majorEastAsia" w:hAnsiTheme="majorHAnsi" w:cstheme="majorBidi"/>
      <w:b/>
    </w:rPr>
  </w:style>
  <w:style w:type="paragraph" w:styleId="Heading7">
    <w:name w:val="heading 7"/>
    <w:basedOn w:val="Normal"/>
    <w:next w:val="Normal"/>
    <w:link w:val="Heading7Char"/>
    <w:uiPriority w:val="1"/>
    <w:unhideWhenUsed/>
    <w:qFormat/>
    <w:rsid w:val="000E2BF7"/>
    <w:pPr>
      <w:keepNext/>
      <w:keepLines/>
      <w:spacing w:before="16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1"/>
    <w:unhideWhenUsed/>
    <w:qFormat/>
    <w:rsid w:val="000E2BF7"/>
    <w:pPr>
      <w:keepNext/>
      <w:keepLines/>
      <w:spacing w:before="16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1"/>
    <w:unhideWhenUsed/>
    <w:qFormat/>
    <w:rsid w:val="000E2BF7"/>
    <w:pPr>
      <w:keepNext/>
      <w:keepLines/>
      <w:spacing w:before="160"/>
      <w:outlineLvl w:val="8"/>
    </w:pPr>
    <w:rPr>
      <w:rFonts w:asciiTheme="majorHAnsi" w:eastAsiaTheme="majorEastAsia" w:hAnsiTheme="majorHAnsi" w:cstheme="majorBidi"/>
      <w:b/>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uiPriority w:val="3"/>
    <w:qFormat/>
    <w:rsid w:val="00AF4C6E"/>
    <w:pPr>
      <w:jc w:val="right"/>
    </w:pPr>
  </w:style>
  <w:style w:type="paragraph" w:customStyle="1" w:styleId="Content">
    <w:name w:val="Content"/>
    <w:basedOn w:val="Normal"/>
    <w:link w:val="ContentChar"/>
    <w:qFormat/>
    <w:rsid w:val="008F5936"/>
  </w:style>
  <w:style w:type="character" w:customStyle="1" w:styleId="ContentChar">
    <w:name w:val="Content Char"/>
    <w:basedOn w:val="DefaultParagraphFont"/>
    <w:link w:val="Content"/>
    <w:rsid w:val="008F5936"/>
    <w:rPr>
      <w:color w:val="384147" w:themeColor="text1"/>
      <w:sz w:val="20"/>
    </w:rPr>
  </w:style>
  <w:style w:type="paragraph" w:customStyle="1" w:styleId="EmphasisText">
    <w:name w:val="Emphasis Text"/>
    <w:basedOn w:val="Normal"/>
    <w:link w:val="EmphasisTextChar"/>
    <w:qFormat/>
    <w:rsid w:val="00AF4C6E"/>
    <w:rPr>
      <w:i/>
    </w:rPr>
  </w:style>
  <w:style w:type="character" w:customStyle="1" w:styleId="EmphasisTextChar">
    <w:name w:val="Emphasis Text Char"/>
    <w:basedOn w:val="DefaultParagraphFont"/>
    <w:link w:val="EmphasisText"/>
    <w:rsid w:val="00AF4C6E"/>
    <w:rPr>
      <w:i/>
      <w:color w:val="6F787E" w:themeColor="text2"/>
      <w:sz w:val="20"/>
    </w:rPr>
  </w:style>
  <w:style w:type="character" w:customStyle="1" w:styleId="Heading1Char">
    <w:name w:val="Heading 1 Char"/>
    <w:basedOn w:val="DefaultParagraphFont"/>
    <w:link w:val="Heading1"/>
    <w:uiPriority w:val="4"/>
    <w:rsid w:val="000E2BF7"/>
    <w:rPr>
      <w:rFonts w:asciiTheme="majorHAnsi" w:eastAsiaTheme="majorEastAsia" w:hAnsiTheme="majorHAnsi" w:cstheme="majorBidi"/>
      <w:color w:val="6F787E" w:themeColor="text2"/>
      <w:kern w:val="28"/>
      <w:sz w:val="40"/>
      <w:szCs w:val="32"/>
    </w:rPr>
  </w:style>
  <w:style w:type="character" w:customStyle="1" w:styleId="Heading2Char">
    <w:name w:val="Heading 2 Char"/>
    <w:basedOn w:val="DefaultParagraphFont"/>
    <w:link w:val="Heading2"/>
    <w:uiPriority w:val="9"/>
    <w:rsid w:val="000E2BF7"/>
    <w:rPr>
      <w:rFonts w:eastAsiaTheme="majorEastAsia" w:cstheme="majorBidi"/>
      <w:color w:val="6F787E" w:themeColor="text2"/>
      <w:sz w:val="36"/>
      <w:szCs w:val="26"/>
    </w:rPr>
  </w:style>
  <w:style w:type="character" w:customStyle="1" w:styleId="Heading3Char">
    <w:name w:val="Heading 3 Char"/>
    <w:basedOn w:val="DefaultParagraphFont"/>
    <w:link w:val="Heading3"/>
    <w:uiPriority w:val="5"/>
    <w:rsid w:val="000E2BF7"/>
    <w:rPr>
      <w:rFonts w:asciiTheme="majorHAnsi" w:eastAsiaTheme="majorEastAsia" w:hAnsiTheme="majorHAnsi" w:cstheme="majorBidi"/>
      <w:color w:val="6F787E" w:themeColor="text2"/>
      <w:sz w:val="32"/>
      <w:szCs w:val="24"/>
    </w:rPr>
  </w:style>
  <w:style w:type="paragraph" w:styleId="Title">
    <w:name w:val="Title"/>
    <w:basedOn w:val="Normal"/>
    <w:link w:val="TitleChar"/>
    <w:uiPriority w:val="10"/>
    <w:qFormat/>
    <w:rsid w:val="00AF4C6E"/>
    <w:rPr>
      <w:rFonts w:asciiTheme="majorHAnsi" w:eastAsiaTheme="majorEastAsia" w:hAnsiTheme="majorHAnsi" w:cstheme="majorBidi"/>
      <w:bCs/>
      <w:sz w:val="56"/>
      <w:szCs w:val="52"/>
    </w:rPr>
  </w:style>
  <w:style w:type="character" w:customStyle="1" w:styleId="TitleChar">
    <w:name w:val="Title Char"/>
    <w:basedOn w:val="DefaultParagraphFont"/>
    <w:link w:val="Title"/>
    <w:uiPriority w:val="10"/>
    <w:rsid w:val="00AF4C6E"/>
    <w:rPr>
      <w:rFonts w:asciiTheme="majorHAnsi" w:eastAsiaTheme="majorEastAsia" w:hAnsiTheme="majorHAnsi" w:cstheme="majorBidi"/>
      <w:bCs/>
      <w:color w:val="6F787E" w:themeColor="text2"/>
      <w:sz w:val="56"/>
      <w:szCs w:val="52"/>
    </w:rPr>
  </w:style>
  <w:style w:type="paragraph" w:styleId="Subtitle">
    <w:name w:val="Subtitle"/>
    <w:basedOn w:val="Normal"/>
    <w:link w:val="SubtitleChar"/>
    <w:uiPriority w:val="11"/>
    <w:qFormat/>
    <w:rsid w:val="00AF4C6E"/>
    <w:rPr>
      <w:spacing w:val="20"/>
      <w:sz w:val="32"/>
    </w:rPr>
  </w:style>
  <w:style w:type="character" w:customStyle="1" w:styleId="SubtitleChar">
    <w:name w:val="Subtitle Char"/>
    <w:basedOn w:val="DefaultParagraphFont"/>
    <w:link w:val="Subtitle"/>
    <w:uiPriority w:val="11"/>
    <w:rsid w:val="00AF4C6E"/>
    <w:rPr>
      <w:color w:val="6F787E" w:themeColor="text2"/>
      <w:spacing w:val="20"/>
      <w:sz w:val="32"/>
    </w:rPr>
  </w:style>
  <w:style w:type="paragraph" w:styleId="TOCHeading">
    <w:name w:val="TOC Heading"/>
    <w:basedOn w:val="Heading1"/>
    <w:next w:val="Normal"/>
    <w:uiPriority w:val="39"/>
    <w:unhideWhenUsed/>
    <w:qFormat/>
    <w:rsid w:val="0084372E"/>
    <w:pPr>
      <w:keepLines/>
      <w:spacing w:before="0" w:after="100"/>
      <w:outlineLvl w:val="9"/>
    </w:pPr>
    <w:rPr>
      <w:kern w:val="0"/>
    </w:rPr>
  </w:style>
  <w:style w:type="paragraph" w:styleId="MacroText">
    <w:name w:val="macro"/>
    <w:link w:val="MacroTextChar"/>
    <w:uiPriority w:val="99"/>
    <w:semiHidden/>
    <w:unhideWhenUsed/>
    <w:rsid w:val="00AF4C6E"/>
    <w:pPr>
      <w:tabs>
        <w:tab w:val="left" w:pos="480"/>
        <w:tab w:val="left" w:pos="960"/>
        <w:tab w:val="left" w:pos="1440"/>
        <w:tab w:val="left" w:pos="1920"/>
        <w:tab w:val="left" w:pos="2400"/>
        <w:tab w:val="left" w:pos="2880"/>
        <w:tab w:val="left" w:pos="3360"/>
        <w:tab w:val="left" w:pos="3840"/>
        <w:tab w:val="left" w:pos="4320"/>
      </w:tabs>
      <w:spacing w:after="0"/>
    </w:pPr>
    <w:rPr>
      <w:color w:val="6F787E" w:themeColor="text2"/>
    </w:rPr>
  </w:style>
  <w:style w:type="character" w:customStyle="1" w:styleId="MacroTextChar">
    <w:name w:val="Macro Text Char"/>
    <w:basedOn w:val="DefaultParagraphFont"/>
    <w:link w:val="MacroText"/>
    <w:uiPriority w:val="99"/>
    <w:semiHidden/>
    <w:rsid w:val="00AF4C6E"/>
    <w:rPr>
      <w:rFonts w:ascii="Segoe UI Light" w:hAnsi="Segoe UI Light"/>
      <w:color w:val="6F787E" w:themeColor="text2"/>
      <w:sz w:val="20"/>
      <w:szCs w:val="20"/>
    </w:rPr>
  </w:style>
  <w:style w:type="character" w:customStyle="1" w:styleId="Heading4Char">
    <w:name w:val="Heading 4 Char"/>
    <w:basedOn w:val="DefaultParagraphFont"/>
    <w:link w:val="Heading4"/>
    <w:uiPriority w:val="1"/>
    <w:rsid w:val="000E2BF7"/>
    <w:rPr>
      <w:rFonts w:asciiTheme="majorHAnsi" w:eastAsiaTheme="majorEastAsia" w:hAnsiTheme="majorHAnsi" w:cstheme="majorBidi"/>
      <w:iCs/>
      <w:color w:val="6F787E" w:themeColor="text2"/>
      <w:sz w:val="28"/>
    </w:rPr>
  </w:style>
  <w:style w:type="character" w:customStyle="1" w:styleId="Heading5Char">
    <w:name w:val="Heading 5 Char"/>
    <w:basedOn w:val="DefaultParagraphFont"/>
    <w:link w:val="Heading5"/>
    <w:uiPriority w:val="1"/>
    <w:rsid w:val="000E2BF7"/>
    <w:rPr>
      <w:rFonts w:asciiTheme="majorHAnsi" w:eastAsiaTheme="majorEastAsia" w:hAnsiTheme="majorHAnsi" w:cstheme="majorBidi"/>
      <w:b/>
      <w:color w:val="6F787E" w:themeColor="text2"/>
      <w:sz w:val="24"/>
    </w:rPr>
  </w:style>
  <w:style w:type="character" w:customStyle="1" w:styleId="Heading6Char">
    <w:name w:val="Heading 6 Char"/>
    <w:basedOn w:val="DefaultParagraphFont"/>
    <w:link w:val="Heading6"/>
    <w:uiPriority w:val="1"/>
    <w:rsid w:val="000E2BF7"/>
    <w:rPr>
      <w:rFonts w:asciiTheme="majorHAnsi" w:eastAsiaTheme="majorEastAsia" w:hAnsiTheme="majorHAnsi" w:cstheme="majorBidi"/>
      <w:b/>
      <w:color w:val="6F787E" w:themeColor="text2"/>
      <w:sz w:val="20"/>
    </w:rPr>
  </w:style>
  <w:style w:type="character" w:customStyle="1" w:styleId="Heading7Char">
    <w:name w:val="Heading 7 Char"/>
    <w:basedOn w:val="DefaultParagraphFont"/>
    <w:link w:val="Heading7"/>
    <w:uiPriority w:val="1"/>
    <w:rsid w:val="000E2BF7"/>
    <w:rPr>
      <w:rFonts w:asciiTheme="majorHAnsi" w:eastAsiaTheme="majorEastAsia" w:hAnsiTheme="majorHAnsi" w:cstheme="majorBidi"/>
      <w:b/>
      <w:iCs/>
      <w:color w:val="6F787E" w:themeColor="text2"/>
      <w:sz w:val="20"/>
    </w:rPr>
  </w:style>
  <w:style w:type="character" w:customStyle="1" w:styleId="Heading8Char">
    <w:name w:val="Heading 8 Char"/>
    <w:basedOn w:val="DefaultParagraphFont"/>
    <w:link w:val="Heading8"/>
    <w:uiPriority w:val="1"/>
    <w:rsid w:val="000E2BF7"/>
    <w:rPr>
      <w:rFonts w:asciiTheme="majorHAnsi" w:eastAsiaTheme="majorEastAsia" w:hAnsiTheme="majorHAnsi" w:cstheme="majorBidi"/>
      <w:b/>
      <w:color w:val="6F787E" w:themeColor="text2"/>
      <w:sz w:val="20"/>
      <w:szCs w:val="21"/>
    </w:rPr>
  </w:style>
  <w:style w:type="character" w:customStyle="1" w:styleId="Heading9Char">
    <w:name w:val="Heading 9 Char"/>
    <w:basedOn w:val="DefaultParagraphFont"/>
    <w:link w:val="Heading9"/>
    <w:uiPriority w:val="1"/>
    <w:rsid w:val="000E2BF7"/>
    <w:rPr>
      <w:rFonts w:asciiTheme="majorHAnsi" w:eastAsiaTheme="majorEastAsia" w:hAnsiTheme="majorHAnsi" w:cstheme="majorBidi"/>
      <w:b/>
      <w:i/>
      <w:iCs/>
      <w:color w:val="6F787E" w:themeColor="text2"/>
      <w:sz w:val="20"/>
      <w:szCs w:val="21"/>
    </w:rPr>
  </w:style>
  <w:style w:type="character" w:styleId="SubtleEmphasis">
    <w:name w:val="Subtle Emphasis"/>
    <w:basedOn w:val="DefaultParagraphFont"/>
    <w:uiPriority w:val="19"/>
    <w:unhideWhenUsed/>
    <w:qFormat/>
    <w:rsid w:val="00AF4C6E"/>
    <w:rPr>
      <w:i/>
      <w:iCs/>
      <w:color w:val="6F787E" w:themeColor="text2"/>
    </w:rPr>
  </w:style>
  <w:style w:type="character" w:styleId="IntenseEmphasis">
    <w:name w:val="Intense Emphasis"/>
    <w:basedOn w:val="DefaultParagraphFont"/>
    <w:uiPriority w:val="21"/>
    <w:semiHidden/>
    <w:unhideWhenUsed/>
    <w:qFormat/>
    <w:rsid w:val="00AF4C6E"/>
    <w:rPr>
      <w:i/>
      <w:iCs/>
      <w:color w:val="6F787E" w:themeColor="text2"/>
    </w:rPr>
  </w:style>
  <w:style w:type="paragraph" w:styleId="Quote">
    <w:name w:val="Quote"/>
    <w:basedOn w:val="Normal"/>
    <w:next w:val="Normal"/>
    <w:link w:val="QuoteChar"/>
    <w:uiPriority w:val="29"/>
    <w:semiHidden/>
    <w:unhideWhenUsed/>
    <w:qFormat/>
    <w:rsid w:val="00AF4C6E"/>
    <w:pPr>
      <w:spacing w:before="200"/>
      <w:ind w:left="864" w:right="864"/>
      <w:jc w:val="center"/>
    </w:pPr>
    <w:rPr>
      <w:i/>
      <w:iCs/>
    </w:rPr>
  </w:style>
  <w:style w:type="character" w:customStyle="1" w:styleId="QuoteChar">
    <w:name w:val="Quote Char"/>
    <w:basedOn w:val="DefaultParagraphFont"/>
    <w:link w:val="Quote"/>
    <w:uiPriority w:val="29"/>
    <w:semiHidden/>
    <w:rsid w:val="00AF4C6E"/>
    <w:rPr>
      <w:i/>
      <w:iCs/>
      <w:color w:val="6F787E" w:themeColor="text2"/>
      <w:sz w:val="20"/>
    </w:rPr>
  </w:style>
  <w:style w:type="paragraph" w:styleId="IntenseQuote">
    <w:name w:val="Intense Quote"/>
    <w:basedOn w:val="Normal"/>
    <w:next w:val="Normal"/>
    <w:link w:val="IntenseQuoteChar"/>
    <w:uiPriority w:val="30"/>
    <w:semiHidden/>
    <w:unhideWhenUsed/>
    <w:qFormat/>
    <w:rsid w:val="00AF4C6E"/>
    <w:pPr>
      <w:pBdr>
        <w:top w:val="single" w:sz="4" w:space="10" w:color="4E54A2" w:themeColor="accent1"/>
        <w:bottom w:val="single" w:sz="4" w:space="10" w:color="4E54A2"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AF4C6E"/>
    <w:rPr>
      <w:i/>
      <w:iCs/>
      <w:color w:val="6F787E" w:themeColor="text2"/>
      <w:sz w:val="20"/>
    </w:rPr>
  </w:style>
  <w:style w:type="character" w:styleId="SubtleReference">
    <w:name w:val="Subtle Reference"/>
    <w:basedOn w:val="DefaultParagraphFont"/>
    <w:uiPriority w:val="31"/>
    <w:semiHidden/>
    <w:unhideWhenUsed/>
    <w:qFormat/>
    <w:rsid w:val="00AF4C6E"/>
    <w:rPr>
      <w:smallCaps/>
      <w:color w:val="6F787E" w:themeColor="text2"/>
    </w:rPr>
  </w:style>
  <w:style w:type="character" w:styleId="IntenseReference">
    <w:name w:val="Intense Reference"/>
    <w:basedOn w:val="DefaultParagraphFont"/>
    <w:uiPriority w:val="32"/>
    <w:unhideWhenUsed/>
    <w:qFormat/>
    <w:rsid w:val="00AF4C6E"/>
    <w:rPr>
      <w:b/>
      <w:bCs/>
      <w:smallCaps/>
      <w:color w:val="6F787E" w:themeColor="text2"/>
      <w:spacing w:val="5"/>
    </w:rPr>
  </w:style>
  <w:style w:type="character" w:styleId="BookTitle">
    <w:name w:val="Book Title"/>
    <w:basedOn w:val="DefaultParagraphFont"/>
    <w:uiPriority w:val="33"/>
    <w:semiHidden/>
    <w:unhideWhenUsed/>
    <w:qFormat/>
    <w:rsid w:val="00AF4C6E"/>
    <w:rPr>
      <w:b/>
      <w:bCs/>
      <w:i/>
      <w:iCs/>
      <w:color w:val="6F787E" w:themeColor="text2"/>
      <w:spacing w:val="5"/>
    </w:rPr>
  </w:style>
  <w:style w:type="paragraph" w:styleId="ListParagraph">
    <w:name w:val="List Paragraph"/>
    <w:basedOn w:val="Normal"/>
    <w:uiPriority w:val="34"/>
    <w:unhideWhenUsed/>
    <w:qFormat/>
    <w:rsid w:val="00AF4C6E"/>
    <w:pPr>
      <w:ind w:left="720"/>
      <w:contextualSpacing/>
    </w:pPr>
  </w:style>
  <w:style w:type="paragraph" w:styleId="Caption">
    <w:name w:val="caption"/>
    <w:basedOn w:val="Normal"/>
    <w:next w:val="Normal"/>
    <w:uiPriority w:val="35"/>
    <w:semiHidden/>
    <w:unhideWhenUsed/>
    <w:rsid w:val="00AF4C6E"/>
    <w:rPr>
      <w:i/>
      <w:iCs/>
      <w:sz w:val="18"/>
      <w:szCs w:val="18"/>
    </w:rPr>
  </w:style>
  <w:style w:type="paragraph" w:styleId="Bibliography">
    <w:name w:val="Bibliography"/>
    <w:basedOn w:val="Normal"/>
    <w:next w:val="Normal"/>
    <w:uiPriority w:val="37"/>
    <w:semiHidden/>
    <w:unhideWhenUsed/>
    <w:rsid w:val="00AF4C6E"/>
  </w:style>
  <w:style w:type="paragraph" w:styleId="Closing">
    <w:name w:val="Closing"/>
    <w:basedOn w:val="Normal"/>
    <w:link w:val="ClosingChar"/>
    <w:uiPriority w:val="99"/>
    <w:semiHidden/>
    <w:unhideWhenUsed/>
    <w:rsid w:val="00AF4C6E"/>
    <w:pPr>
      <w:spacing w:after="0"/>
      <w:ind w:left="4320"/>
    </w:pPr>
  </w:style>
  <w:style w:type="character" w:customStyle="1" w:styleId="ClosingChar">
    <w:name w:val="Closing Char"/>
    <w:basedOn w:val="DefaultParagraphFont"/>
    <w:link w:val="Closing"/>
    <w:uiPriority w:val="99"/>
    <w:semiHidden/>
    <w:rsid w:val="00AF4C6E"/>
    <w:rPr>
      <w:color w:val="6F787E" w:themeColor="text2"/>
      <w:sz w:val="20"/>
    </w:rPr>
  </w:style>
  <w:style w:type="paragraph" w:styleId="DocumentMap">
    <w:name w:val="Document Map"/>
    <w:basedOn w:val="Normal"/>
    <w:link w:val="DocumentMapChar"/>
    <w:uiPriority w:val="99"/>
    <w:semiHidden/>
    <w:unhideWhenUsed/>
    <w:rsid w:val="00AF4C6E"/>
    <w:pPr>
      <w:spacing w:after="0"/>
    </w:pPr>
    <w:rPr>
      <w:rFonts w:cs="Segoe UI"/>
      <w:sz w:val="16"/>
      <w:szCs w:val="16"/>
    </w:rPr>
  </w:style>
  <w:style w:type="character" w:customStyle="1" w:styleId="DocumentMapChar">
    <w:name w:val="Document Map Char"/>
    <w:basedOn w:val="DefaultParagraphFont"/>
    <w:link w:val="DocumentMap"/>
    <w:uiPriority w:val="99"/>
    <w:semiHidden/>
    <w:rsid w:val="00AF4C6E"/>
    <w:rPr>
      <w:rFonts w:ascii="Segoe UI Light" w:hAnsi="Segoe UI Light" w:cs="Segoe UI"/>
      <w:color w:val="6F787E" w:themeColor="text2"/>
      <w:sz w:val="16"/>
      <w:szCs w:val="16"/>
    </w:rPr>
  </w:style>
  <w:style w:type="table" w:styleId="TableGrid">
    <w:name w:val="Table Grid"/>
    <w:basedOn w:val="TableNormal"/>
    <w:uiPriority w:val="39"/>
    <w:rsid w:val="00AF4C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342864"/>
    <w:pPr>
      <w:spacing w:after="0"/>
    </w:pPr>
    <w:tblPr>
      <w:tblStyleRowBandSize w:val="1"/>
      <w:tblStyleColBandSize w:val="1"/>
      <w:tblBorders>
        <w:top w:val="single" w:sz="4" w:space="0" w:color="6688EC" w:themeColor="accent6" w:themeTint="66"/>
        <w:left w:val="single" w:sz="4" w:space="0" w:color="6688EC" w:themeColor="accent6" w:themeTint="66"/>
        <w:bottom w:val="single" w:sz="4" w:space="0" w:color="6688EC" w:themeColor="accent6" w:themeTint="66"/>
        <w:right w:val="single" w:sz="4" w:space="0" w:color="6688EC" w:themeColor="accent6" w:themeTint="66"/>
        <w:insideH w:val="single" w:sz="4" w:space="0" w:color="6688EC" w:themeColor="accent6" w:themeTint="66"/>
        <w:insideV w:val="single" w:sz="4" w:space="0" w:color="6688EC" w:themeColor="accent6" w:themeTint="66"/>
      </w:tblBorders>
    </w:tblPr>
    <w:tblStylePr w:type="firstRow">
      <w:rPr>
        <w:b/>
        <w:bCs/>
      </w:rPr>
      <w:tblPr/>
      <w:tcPr>
        <w:tcBorders>
          <w:bottom w:val="single" w:sz="12" w:space="0" w:color="1B4EE3" w:themeColor="accent6" w:themeTint="99"/>
        </w:tcBorders>
      </w:tcPr>
    </w:tblStylePr>
    <w:tblStylePr w:type="lastRow">
      <w:rPr>
        <w:b/>
        <w:bCs/>
      </w:rPr>
      <w:tblPr/>
      <w:tcPr>
        <w:tcBorders>
          <w:top w:val="double" w:sz="2" w:space="0" w:color="1B4EE3" w:themeColor="accent6"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AF4C6E"/>
    <w:pPr>
      <w:tabs>
        <w:tab w:val="center" w:pos="4680"/>
        <w:tab w:val="right" w:pos="9360"/>
      </w:tabs>
      <w:spacing w:after="0"/>
    </w:pPr>
  </w:style>
  <w:style w:type="character" w:customStyle="1" w:styleId="FooterChar">
    <w:name w:val="Footer Char"/>
    <w:basedOn w:val="DefaultParagraphFont"/>
    <w:link w:val="Footer"/>
    <w:uiPriority w:val="99"/>
    <w:rsid w:val="00AF4C6E"/>
    <w:rPr>
      <w:color w:val="6F787E" w:themeColor="text2"/>
      <w:sz w:val="20"/>
    </w:rPr>
  </w:style>
  <w:style w:type="table" w:styleId="GridTable1Light">
    <w:name w:val="Grid Table 1 Light"/>
    <w:basedOn w:val="TableNormal"/>
    <w:uiPriority w:val="46"/>
    <w:rsid w:val="00AF4C6E"/>
    <w:pPr>
      <w:spacing w:after="0"/>
    </w:pPr>
    <w:tblPr>
      <w:tblStyleRowBandSize w:val="1"/>
      <w:tblStyleColBandSize w:val="1"/>
      <w:tblBorders>
        <w:top w:val="single" w:sz="4" w:space="0" w:color="A9B4BB" w:themeColor="text1" w:themeTint="66"/>
        <w:left w:val="single" w:sz="4" w:space="0" w:color="A9B4BB" w:themeColor="text1" w:themeTint="66"/>
        <w:bottom w:val="single" w:sz="4" w:space="0" w:color="A9B4BB" w:themeColor="text1" w:themeTint="66"/>
        <w:right w:val="single" w:sz="4" w:space="0" w:color="A9B4BB" w:themeColor="text1" w:themeTint="66"/>
        <w:insideH w:val="single" w:sz="4" w:space="0" w:color="A9B4BB" w:themeColor="text1" w:themeTint="66"/>
        <w:insideV w:val="single" w:sz="4" w:space="0" w:color="A9B4BB" w:themeColor="text1" w:themeTint="66"/>
      </w:tblBorders>
    </w:tblPr>
    <w:tblStylePr w:type="firstRow">
      <w:rPr>
        <w:b/>
        <w:bCs/>
      </w:rPr>
      <w:tblPr/>
      <w:tcPr>
        <w:tcBorders>
          <w:bottom w:val="single" w:sz="12" w:space="0" w:color="7E8E99" w:themeColor="text1" w:themeTint="99"/>
        </w:tcBorders>
      </w:tcPr>
    </w:tblStylePr>
    <w:tblStylePr w:type="lastRow">
      <w:rPr>
        <w:b/>
        <w:bCs/>
      </w:rPr>
      <w:tblPr/>
      <w:tcPr>
        <w:tcBorders>
          <w:top w:val="double" w:sz="2" w:space="0" w:color="7E8E9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4C6E"/>
    <w:pPr>
      <w:spacing w:after="0"/>
    </w:pPr>
    <w:tblPr>
      <w:tblStyleRowBandSize w:val="1"/>
      <w:tblStyleColBandSize w:val="1"/>
      <w:tblBorders>
        <w:top w:val="single" w:sz="4" w:space="0" w:color="B6B8DC" w:themeColor="accent1" w:themeTint="66"/>
        <w:left w:val="single" w:sz="4" w:space="0" w:color="B6B8DC" w:themeColor="accent1" w:themeTint="66"/>
        <w:bottom w:val="single" w:sz="4" w:space="0" w:color="B6B8DC" w:themeColor="accent1" w:themeTint="66"/>
        <w:right w:val="single" w:sz="4" w:space="0" w:color="B6B8DC" w:themeColor="accent1" w:themeTint="66"/>
        <w:insideH w:val="single" w:sz="4" w:space="0" w:color="B6B8DC" w:themeColor="accent1" w:themeTint="66"/>
        <w:insideV w:val="single" w:sz="4" w:space="0" w:color="B6B8DC" w:themeColor="accent1" w:themeTint="66"/>
      </w:tblBorders>
    </w:tblPr>
    <w:tblStylePr w:type="firstRow">
      <w:rPr>
        <w:b/>
        <w:bCs/>
      </w:rPr>
      <w:tblPr/>
      <w:tcPr>
        <w:tcBorders>
          <w:bottom w:val="single" w:sz="12" w:space="0" w:color="9195CA" w:themeColor="accent1" w:themeTint="99"/>
        </w:tcBorders>
      </w:tcPr>
    </w:tblStylePr>
    <w:tblStylePr w:type="lastRow">
      <w:rPr>
        <w:b/>
        <w:bCs/>
      </w:rPr>
      <w:tblPr/>
      <w:tcPr>
        <w:tcBorders>
          <w:top w:val="double" w:sz="2" w:space="0" w:color="9195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4C6E"/>
    <w:pPr>
      <w:spacing w:after="0"/>
    </w:pPr>
    <w:tblPr>
      <w:tblStyleRowBandSize w:val="1"/>
      <w:tblStyleColBandSize w:val="1"/>
      <w:tblBorders>
        <w:top w:val="single" w:sz="4" w:space="0" w:color="7BDDFF" w:themeColor="accent2" w:themeTint="66"/>
        <w:left w:val="single" w:sz="4" w:space="0" w:color="7BDDFF" w:themeColor="accent2" w:themeTint="66"/>
        <w:bottom w:val="single" w:sz="4" w:space="0" w:color="7BDDFF" w:themeColor="accent2" w:themeTint="66"/>
        <w:right w:val="single" w:sz="4" w:space="0" w:color="7BDDFF" w:themeColor="accent2" w:themeTint="66"/>
        <w:insideH w:val="single" w:sz="4" w:space="0" w:color="7BDDFF" w:themeColor="accent2" w:themeTint="66"/>
        <w:insideV w:val="single" w:sz="4" w:space="0" w:color="7BDDFF" w:themeColor="accent2" w:themeTint="66"/>
      </w:tblBorders>
    </w:tblPr>
    <w:tblStylePr w:type="firstRow">
      <w:rPr>
        <w:b/>
        <w:bCs/>
      </w:rPr>
      <w:tblPr/>
      <w:tcPr>
        <w:tcBorders>
          <w:bottom w:val="single" w:sz="12" w:space="0" w:color="39CCFF" w:themeColor="accent2" w:themeTint="99"/>
        </w:tcBorders>
      </w:tcPr>
    </w:tblStylePr>
    <w:tblStylePr w:type="lastRow">
      <w:rPr>
        <w:b/>
        <w:bCs/>
      </w:rPr>
      <w:tblPr/>
      <w:tcPr>
        <w:tcBorders>
          <w:top w:val="double" w:sz="2" w:space="0" w:color="39C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4C6E"/>
    <w:pPr>
      <w:spacing w:after="0"/>
    </w:pPr>
    <w:tblPr>
      <w:tblStyleRowBandSize w:val="1"/>
      <w:tblStyleColBandSize w:val="1"/>
      <w:tblBorders>
        <w:top w:val="single" w:sz="4" w:space="0" w:color="BAEFEA" w:themeColor="accent3" w:themeTint="66"/>
        <w:left w:val="single" w:sz="4" w:space="0" w:color="BAEFEA" w:themeColor="accent3" w:themeTint="66"/>
        <w:bottom w:val="single" w:sz="4" w:space="0" w:color="BAEFEA" w:themeColor="accent3" w:themeTint="66"/>
        <w:right w:val="single" w:sz="4" w:space="0" w:color="BAEFEA" w:themeColor="accent3" w:themeTint="66"/>
        <w:insideH w:val="single" w:sz="4" w:space="0" w:color="BAEFEA" w:themeColor="accent3" w:themeTint="66"/>
        <w:insideV w:val="single" w:sz="4" w:space="0" w:color="BAEFEA" w:themeColor="accent3" w:themeTint="66"/>
      </w:tblBorders>
    </w:tblPr>
    <w:tblStylePr w:type="firstRow">
      <w:rPr>
        <w:b/>
        <w:bCs/>
      </w:rPr>
      <w:tblPr/>
      <w:tcPr>
        <w:tcBorders>
          <w:bottom w:val="single" w:sz="12" w:space="0" w:color="98E8E0" w:themeColor="accent3" w:themeTint="99"/>
        </w:tcBorders>
      </w:tcPr>
    </w:tblStylePr>
    <w:tblStylePr w:type="lastRow">
      <w:rPr>
        <w:b/>
        <w:bCs/>
      </w:rPr>
      <w:tblPr/>
      <w:tcPr>
        <w:tcBorders>
          <w:top w:val="double" w:sz="2" w:space="0" w:color="98E8E0"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4C6E"/>
    <w:pPr>
      <w:spacing w:after="0"/>
    </w:pPr>
    <w:tblPr>
      <w:tblStyleRowBandSize w:val="1"/>
      <w:tblStyleColBandSize w:val="1"/>
      <w:tblBorders>
        <w:top w:val="single" w:sz="4" w:space="0" w:color="F0F4F6" w:themeColor="accent5" w:themeTint="66"/>
        <w:left w:val="single" w:sz="4" w:space="0" w:color="F0F4F6" w:themeColor="accent5" w:themeTint="66"/>
        <w:bottom w:val="single" w:sz="4" w:space="0" w:color="F0F4F6" w:themeColor="accent5" w:themeTint="66"/>
        <w:right w:val="single" w:sz="4" w:space="0" w:color="F0F4F6" w:themeColor="accent5" w:themeTint="66"/>
        <w:insideH w:val="single" w:sz="4" w:space="0" w:color="F0F4F6" w:themeColor="accent5" w:themeTint="66"/>
        <w:insideV w:val="single" w:sz="4" w:space="0" w:color="F0F4F6" w:themeColor="accent5" w:themeTint="66"/>
      </w:tblBorders>
    </w:tblPr>
    <w:tblStylePr w:type="firstRow">
      <w:rPr>
        <w:b/>
        <w:bCs/>
      </w:rPr>
      <w:tblPr/>
      <w:tcPr>
        <w:tcBorders>
          <w:bottom w:val="single" w:sz="12" w:space="0" w:color="E9EFF2" w:themeColor="accent5" w:themeTint="99"/>
        </w:tcBorders>
      </w:tcPr>
    </w:tblStylePr>
    <w:tblStylePr w:type="lastRow">
      <w:rPr>
        <w:b/>
        <w:bCs/>
      </w:rPr>
      <w:tblPr/>
      <w:tcPr>
        <w:tcBorders>
          <w:top w:val="double" w:sz="2" w:space="0" w:color="E9EFF2" w:themeColor="accent5"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AF4C6E"/>
    <w:pPr>
      <w:spacing w:after="0"/>
    </w:pPr>
    <w:tblPr>
      <w:tblStyleRowBandSize w:val="1"/>
      <w:tblStyleColBandSize w:val="1"/>
      <w:tblBorders>
        <w:top w:val="single" w:sz="4" w:space="0" w:color="E9EFF2" w:themeColor="accent5" w:themeTint="99"/>
        <w:left w:val="single" w:sz="4" w:space="0" w:color="E9EFF2" w:themeColor="accent5" w:themeTint="99"/>
        <w:bottom w:val="single" w:sz="4" w:space="0" w:color="E9EFF2" w:themeColor="accent5" w:themeTint="99"/>
        <w:right w:val="single" w:sz="4" w:space="0" w:color="E9EFF2" w:themeColor="accent5" w:themeTint="99"/>
        <w:insideH w:val="single" w:sz="4" w:space="0" w:color="E9EFF2" w:themeColor="accent5" w:themeTint="99"/>
        <w:insideV w:val="single" w:sz="4" w:space="0" w:color="E9EFF2" w:themeColor="accent5" w:themeTint="99"/>
      </w:tblBorders>
    </w:tblPr>
    <w:tblStylePr w:type="firstRow">
      <w:rPr>
        <w:b/>
        <w:bCs/>
      </w:rPr>
      <w:tblPr/>
      <w:tcPr>
        <w:tcBorders>
          <w:top w:val="nil"/>
          <w:left w:val="nil"/>
          <w:right w:val="nil"/>
          <w:insideH w:val="nil"/>
          <w:insideV w:val="nil"/>
        </w:tcBorders>
        <w:shd w:val="clear" w:color="auto" w:fill="BEBEBE" w:themeFill="background1"/>
      </w:tcPr>
    </w:tblStylePr>
    <w:tblStylePr w:type="lastRow">
      <w:rPr>
        <w:b/>
        <w:bCs/>
      </w:rPr>
      <w:tblPr/>
      <w:tcPr>
        <w:tcBorders>
          <w:left w:val="nil"/>
          <w:bottom w:val="nil"/>
          <w:right w:val="nil"/>
          <w:insideH w:val="nil"/>
          <w:insideV w:val="nil"/>
        </w:tcBorders>
        <w:shd w:val="clear" w:color="auto" w:fill="BEBEBE" w:themeFill="background1"/>
      </w:tcPr>
    </w:tblStylePr>
    <w:tblStylePr w:type="firstCol">
      <w:pPr>
        <w:jc w:val="right"/>
      </w:pPr>
      <w:rPr>
        <w:i/>
        <w:iCs/>
      </w:rPr>
      <w:tblPr/>
      <w:tcPr>
        <w:tcBorders>
          <w:top w:val="nil"/>
          <w:left w:val="nil"/>
          <w:bottom w:val="nil"/>
          <w:insideH w:val="nil"/>
          <w:insideV w:val="nil"/>
        </w:tcBorders>
        <w:shd w:val="clear" w:color="auto" w:fill="BEBEBE" w:themeFill="background1"/>
      </w:tcPr>
    </w:tblStylePr>
    <w:tblStylePr w:type="lastCol">
      <w:rPr>
        <w:i/>
        <w:iCs/>
      </w:rPr>
      <w:tblPr/>
      <w:tcPr>
        <w:tcBorders>
          <w:top w:val="nil"/>
          <w:bottom w:val="nil"/>
          <w:right w:val="nil"/>
          <w:insideH w:val="nil"/>
          <w:insideV w:val="nil"/>
        </w:tcBorders>
        <w:shd w:val="clear" w:color="auto" w:fill="BEBEBE" w:themeFill="background1"/>
      </w:tcPr>
    </w:tblStylePr>
    <w:tblStylePr w:type="band1Vert">
      <w:tblPr/>
      <w:tcPr>
        <w:shd w:val="clear" w:color="auto" w:fill="F7F9FA" w:themeFill="accent5" w:themeFillTint="33"/>
      </w:tcPr>
    </w:tblStylePr>
    <w:tblStylePr w:type="band1Horz">
      <w:tblPr/>
      <w:tcPr>
        <w:shd w:val="clear" w:color="auto" w:fill="F7F9FA" w:themeFill="accent5" w:themeFillTint="33"/>
      </w:tcPr>
    </w:tblStylePr>
    <w:tblStylePr w:type="neCell">
      <w:tblPr/>
      <w:tcPr>
        <w:tcBorders>
          <w:bottom w:val="single" w:sz="4" w:space="0" w:color="E9EFF2" w:themeColor="accent5" w:themeTint="99"/>
        </w:tcBorders>
      </w:tcPr>
    </w:tblStylePr>
    <w:tblStylePr w:type="nwCell">
      <w:tblPr/>
      <w:tcPr>
        <w:tcBorders>
          <w:bottom w:val="single" w:sz="4" w:space="0" w:color="E9EFF2" w:themeColor="accent5" w:themeTint="99"/>
        </w:tcBorders>
      </w:tcPr>
    </w:tblStylePr>
    <w:tblStylePr w:type="seCell">
      <w:tblPr/>
      <w:tcPr>
        <w:tcBorders>
          <w:top w:val="single" w:sz="4" w:space="0" w:color="E9EFF2" w:themeColor="accent5" w:themeTint="99"/>
        </w:tcBorders>
      </w:tcPr>
    </w:tblStylePr>
    <w:tblStylePr w:type="swCell">
      <w:tblPr/>
      <w:tcPr>
        <w:tcBorders>
          <w:top w:val="single" w:sz="4" w:space="0" w:color="E9EFF2" w:themeColor="accent5" w:themeTint="99"/>
        </w:tcBorders>
      </w:tcPr>
    </w:tblStylePr>
  </w:style>
  <w:style w:type="table" w:styleId="GridTable4-Accent5">
    <w:name w:val="Grid Table 4 Accent 5"/>
    <w:basedOn w:val="TableNormal"/>
    <w:uiPriority w:val="49"/>
    <w:rsid w:val="00AF4C6E"/>
    <w:pPr>
      <w:spacing w:after="0"/>
    </w:pPr>
    <w:rPr>
      <w:rFonts w:ascii="Calibri" w:eastAsia="Calibri" w:hAnsi="Calibri" w:cs="Times New Roman"/>
    </w:rPr>
    <w:tblPr>
      <w:tblStyleRowBandSize w:val="1"/>
      <w:tblStyleColBandSize w:val="1"/>
      <w:tblBorders>
        <w:top w:val="single" w:sz="4" w:space="0" w:color="E9EFF2" w:themeColor="accent5" w:themeTint="99"/>
        <w:left w:val="single" w:sz="4" w:space="0" w:color="E9EFF2" w:themeColor="accent5" w:themeTint="99"/>
        <w:bottom w:val="single" w:sz="4" w:space="0" w:color="E9EFF2" w:themeColor="accent5" w:themeTint="99"/>
        <w:right w:val="single" w:sz="4" w:space="0" w:color="E9EFF2" w:themeColor="accent5" w:themeTint="99"/>
        <w:insideH w:val="single" w:sz="4" w:space="0" w:color="E9EFF2" w:themeColor="accent5" w:themeTint="99"/>
        <w:insideV w:val="single" w:sz="4" w:space="0" w:color="E9EFF2" w:themeColor="accent5" w:themeTint="99"/>
      </w:tblBorders>
    </w:tblPr>
    <w:tblStylePr w:type="firstRow">
      <w:rPr>
        <w:b/>
        <w:bCs/>
        <w:color w:val="BEBEBE" w:themeColor="background1"/>
      </w:rPr>
      <w:tblPr/>
      <w:tcPr>
        <w:tcBorders>
          <w:top w:val="single" w:sz="4" w:space="0" w:color="DCE5EA" w:themeColor="accent5"/>
          <w:left w:val="single" w:sz="4" w:space="0" w:color="DCE5EA" w:themeColor="accent5"/>
          <w:bottom w:val="single" w:sz="4" w:space="0" w:color="DCE5EA" w:themeColor="accent5"/>
          <w:right w:val="single" w:sz="4" w:space="0" w:color="DCE5EA" w:themeColor="accent5"/>
          <w:insideH w:val="nil"/>
          <w:insideV w:val="nil"/>
        </w:tcBorders>
        <w:shd w:val="clear" w:color="auto" w:fill="DCE5EA" w:themeFill="accent5"/>
      </w:tcPr>
    </w:tblStylePr>
    <w:tblStylePr w:type="lastRow">
      <w:rPr>
        <w:b/>
        <w:bCs/>
      </w:rPr>
      <w:tblPr/>
      <w:tcPr>
        <w:tcBorders>
          <w:top w:val="double" w:sz="4" w:space="0" w:color="DCE5EA" w:themeColor="accent5"/>
        </w:tcBorders>
      </w:tcPr>
    </w:tblStylePr>
    <w:tblStylePr w:type="firstCol">
      <w:rPr>
        <w:b/>
        <w:bCs/>
      </w:rPr>
    </w:tblStylePr>
    <w:tblStylePr w:type="lastCol">
      <w:rPr>
        <w:b/>
        <w:bCs/>
      </w:rPr>
    </w:tblStylePr>
    <w:tblStylePr w:type="band1Vert">
      <w:tblPr/>
      <w:tcPr>
        <w:shd w:val="clear" w:color="auto" w:fill="F7F9FA" w:themeFill="accent5" w:themeFillTint="33"/>
      </w:tcPr>
    </w:tblStylePr>
    <w:tblStylePr w:type="band1Horz">
      <w:tblPr/>
      <w:tcPr>
        <w:shd w:val="clear" w:color="auto" w:fill="F7F9FA" w:themeFill="accent5" w:themeFillTint="33"/>
      </w:tcPr>
    </w:tblStylePr>
  </w:style>
  <w:style w:type="paragraph" w:styleId="Header">
    <w:name w:val="header"/>
    <w:basedOn w:val="Normal"/>
    <w:link w:val="HeaderChar"/>
    <w:uiPriority w:val="8"/>
    <w:unhideWhenUsed/>
    <w:rsid w:val="00AF4C6E"/>
    <w:pPr>
      <w:tabs>
        <w:tab w:val="center" w:pos="4680"/>
        <w:tab w:val="right" w:pos="9360"/>
      </w:tabs>
      <w:spacing w:after="0"/>
    </w:pPr>
  </w:style>
  <w:style w:type="character" w:customStyle="1" w:styleId="HeaderChar">
    <w:name w:val="Header Char"/>
    <w:basedOn w:val="DefaultParagraphFont"/>
    <w:link w:val="Header"/>
    <w:uiPriority w:val="8"/>
    <w:rsid w:val="00AF4C6E"/>
    <w:rPr>
      <w:color w:val="6F787E" w:themeColor="text2"/>
      <w:sz w:val="20"/>
    </w:rPr>
  </w:style>
  <w:style w:type="character" w:styleId="Hyperlink">
    <w:name w:val="Hyperlink"/>
    <w:basedOn w:val="DefaultParagraphFont"/>
    <w:uiPriority w:val="99"/>
    <w:unhideWhenUsed/>
    <w:rsid w:val="00AF4C6E"/>
    <w:rPr>
      <w:color w:val="3592CF" w:themeColor="hyperlink"/>
      <w:u w:val="single"/>
    </w:rPr>
  </w:style>
  <w:style w:type="table" w:styleId="ListTable1Light-Accent4">
    <w:name w:val="List Table 1 Light Accent 4"/>
    <w:basedOn w:val="TableNormal"/>
    <w:uiPriority w:val="46"/>
    <w:rsid w:val="00AF4C6E"/>
    <w:pPr>
      <w:spacing w:after="0"/>
    </w:pPr>
    <w:tblPr>
      <w:tblStyleRowBandSize w:val="1"/>
      <w:tblStyleColBandSize w:val="1"/>
    </w:tblPr>
    <w:tblStylePr w:type="firstRow">
      <w:rPr>
        <w:b/>
        <w:bCs/>
      </w:rPr>
      <w:tblPr/>
      <w:tcPr>
        <w:tcBorders>
          <w:bottom w:val="single" w:sz="4" w:space="0" w:color="B0E6F0" w:themeColor="accent4" w:themeTint="99"/>
        </w:tcBorders>
      </w:tcPr>
    </w:tblStylePr>
    <w:tblStylePr w:type="lastRow">
      <w:rPr>
        <w:b/>
        <w:bCs/>
      </w:rPr>
      <w:tblPr/>
      <w:tcPr>
        <w:tcBorders>
          <w:top w:val="single" w:sz="4" w:space="0" w:color="B0E6F0" w:themeColor="accent4" w:themeTint="99"/>
        </w:tcBorders>
      </w:tcPr>
    </w:tblStylePr>
    <w:tblStylePr w:type="firstCol">
      <w:rPr>
        <w:b/>
        <w:bCs/>
      </w:rPr>
    </w:tblStylePr>
    <w:tblStylePr w:type="lastCol">
      <w:rPr>
        <w:b/>
        <w:bCs/>
      </w:rPr>
    </w:tblStylePr>
    <w:tblStylePr w:type="band1Vert">
      <w:tblPr/>
      <w:tcPr>
        <w:shd w:val="clear" w:color="auto" w:fill="E4F7FA" w:themeFill="accent4" w:themeFillTint="33"/>
      </w:tcPr>
    </w:tblStylePr>
    <w:tblStylePr w:type="band1Horz">
      <w:tblPr/>
      <w:tcPr>
        <w:shd w:val="clear" w:color="auto" w:fill="E4F7FA" w:themeFill="accent4" w:themeFillTint="33"/>
      </w:tcPr>
    </w:tblStylePr>
  </w:style>
  <w:style w:type="paragraph" w:styleId="NoSpacing">
    <w:name w:val="No Spacing"/>
    <w:link w:val="NoSpacingChar"/>
    <w:uiPriority w:val="1"/>
    <w:qFormat/>
    <w:rsid w:val="00AF4C6E"/>
    <w:pPr>
      <w:spacing w:after="0"/>
    </w:pPr>
    <w:rPr>
      <w:rFonts w:eastAsiaTheme="minorEastAsia"/>
    </w:rPr>
  </w:style>
  <w:style w:type="character" w:customStyle="1" w:styleId="NoSpacingChar">
    <w:name w:val="No Spacing Char"/>
    <w:basedOn w:val="DefaultParagraphFont"/>
    <w:link w:val="NoSpacing"/>
    <w:uiPriority w:val="1"/>
    <w:rsid w:val="00AF4C6E"/>
    <w:rPr>
      <w:rFonts w:eastAsiaTheme="minorEastAsia"/>
    </w:rPr>
  </w:style>
  <w:style w:type="character" w:styleId="PlaceholderText">
    <w:name w:val="Placeholder Text"/>
    <w:basedOn w:val="DefaultParagraphFont"/>
    <w:uiPriority w:val="99"/>
    <w:unhideWhenUsed/>
    <w:rsid w:val="00AF4C6E"/>
    <w:rPr>
      <w:color w:val="808080"/>
    </w:rPr>
  </w:style>
  <w:style w:type="table" w:styleId="PlainTable1">
    <w:name w:val="Plain Table 1"/>
    <w:basedOn w:val="TableNormal"/>
    <w:uiPriority w:val="41"/>
    <w:rsid w:val="00AF4C6E"/>
    <w:pPr>
      <w:spacing w:after="0"/>
    </w:pPr>
    <w:tblPr>
      <w:tblStyleRowBandSize w:val="1"/>
      <w:tblStyleColBandSize w:val="1"/>
      <w:tblBorders>
        <w:top w:val="single" w:sz="4" w:space="0" w:color="8E8E8E" w:themeColor="background1" w:themeShade="BF"/>
        <w:left w:val="single" w:sz="4" w:space="0" w:color="8E8E8E" w:themeColor="background1" w:themeShade="BF"/>
        <w:bottom w:val="single" w:sz="4" w:space="0" w:color="8E8E8E" w:themeColor="background1" w:themeShade="BF"/>
        <w:right w:val="single" w:sz="4" w:space="0" w:color="8E8E8E" w:themeColor="background1" w:themeShade="BF"/>
        <w:insideH w:val="single" w:sz="4" w:space="0" w:color="8E8E8E" w:themeColor="background1" w:themeShade="BF"/>
        <w:insideV w:val="single" w:sz="4" w:space="0" w:color="8E8E8E" w:themeColor="background1" w:themeShade="BF"/>
      </w:tblBorders>
    </w:tblPr>
    <w:tblStylePr w:type="firstRow">
      <w:rPr>
        <w:b/>
        <w:bCs/>
      </w:rPr>
    </w:tblStylePr>
    <w:tblStylePr w:type="lastRow">
      <w:rPr>
        <w:b/>
        <w:bCs/>
      </w:rPr>
      <w:tblPr/>
      <w:tcPr>
        <w:tcBorders>
          <w:top w:val="double" w:sz="4" w:space="0" w:color="8E8E8E" w:themeColor="background1" w:themeShade="BF"/>
        </w:tcBorders>
      </w:tcPr>
    </w:tblStylePr>
    <w:tblStylePr w:type="firstCol">
      <w:rPr>
        <w:b/>
        <w:bCs/>
      </w:rPr>
    </w:tblStylePr>
    <w:tblStylePr w:type="lastCol">
      <w:rPr>
        <w:b/>
        <w:bCs/>
      </w:rPr>
    </w:tblStylePr>
    <w:tblStylePr w:type="band1Vert">
      <w:tblPr/>
      <w:tcPr>
        <w:shd w:val="clear" w:color="auto" w:fill="B4B4B4" w:themeFill="background1" w:themeFillShade="F2"/>
      </w:tcPr>
    </w:tblStylePr>
    <w:tblStylePr w:type="band1Horz">
      <w:tblPr/>
      <w:tcPr>
        <w:shd w:val="clear" w:color="auto" w:fill="B4B4B4" w:themeFill="background1" w:themeFillShade="F2"/>
      </w:tcPr>
    </w:tblStylePr>
  </w:style>
  <w:style w:type="table" w:styleId="PlainTable2">
    <w:name w:val="Plain Table 2"/>
    <w:basedOn w:val="TableNormal"/>
    <w:uiPriority w:val="42"/>
    <w:rsid w:val="00AF4C6E"/>
    <w:pPr>
      <w:spacing w:after="0"/>
    </w:pPr>
    <w:tblPr>
      <w:tblStyleRowBandSize w:val="1"/>
      <w:tblStyleColBandSize w:val="1"/>
      <w:tblBorders>
        <w:top w:val="single" w:sz="4" w:space="0" w:color="93A1AA" w:themeColor="text1" w:themeTint="80"/>
        <w:bottom w:val="single" w:sz="4" w:space="0" w:color="93A1AA" w:themeColor="text1" w:themeTint="80"/>
      </w:tblBorders>
    </w:tblPr>
    <w:tblStylePr w:type="firstRow">
      <w:rPr>
        <w:b/>
        <w:bCs/>
      </w:rPr>
      <w:tblPr/>
      <w:tcPr>
        <w:tcBorders>
          <w:bottom w:val="single" w:sz="4" w:space="0" w:color="93A1AA" w:themeColor="text1" w:themeTint="80"/>
        </w:tcBorders>
      </w:tcPr>
    </w:tblStylePr>
    <w:tblStylePr w:type="lastRow">
      <w:rPr>
        <w:b/>
        <w:bCs/>
      </w:rPr>
      <w:tblPr/>
      <w:tcPr>
        <w:tcBorders>
          <w:top w:val="single" w:sz="4" w:space="0" w:color="93A1AA" w:themeColor="text1" w:themeTint="80"/>
        </w:tcBorders>
      </w:tcPr>
    </w:tblStylePr>
    <w:tblStylePr w:type="firstCol">
      <w:rPr>
        <w:b/>
        <w:bCs/>
      </w:rPr>
    </w:tblStylePr>
    <w:tblStylePr w:type="lastCol">
      <w:rPr>
        <w:b/>
        <w:bCs/>
      </w:rPr>
    </w:tblStylePr>
    <w:tblStylePr w:type="band1Vert">
      <w:tblPr/>
      <w:tcPr>
        <w:tcBorders>
          <w:left w:val="single" w:sz="4" w:space="0" w:color="93A1AA" w:themeColor="text1" w:themeTint="80"/>
          <w:right w:val="single" w:sz="4" w:space="0" w:color="93A1AA" w:themeColor="text1" w:themeTint="80"/>
        </w:tcBorders>
      </w:tcPr>
    </w:tblStylePr>
    <w:tblStylePr w:type="band2Vert">
      <w:tblPr/>
      <w:tcPr>
        <w:tcBorders>
          <w:left w:val="single" w:sz="4" w:space="0" w:color="93A1AA" w:themeColor="text1" w:themeTint="80"/>
          <w:right w:val="single" w:sz="4" w:space="0" w:color="93A1AA" w:themeColor="text1" w:themeTint="80"/>
        </w:tcBorders>
      </w:tcPr>
    </w:tblStylePr>
    <w:tblStylePr w:type="band1Horz">
      <w:tblPr/>
      <w:tcPr>
        <w:tcBorders>
          <w:top w:val="single" w:sz="4" w:space="0" w:color="93A1AA" w:themeColor="text1" w:themeTint="80"/>
          <w:bottom w:val="single" w:sz="4" w:space="0" w:color="93A1AA" w:themeColor="text1" w:themeTint="80"/>
        </w:tcBorders>
      </w:tcPr>
    </w:tblStylePr>
  </w:style>
  <w:style w:type="table" w:styleId="PlainTable3">
    <w:name w:val="Plain Table 3"/>
    <w:basedOn w:val="TableNormal"/>
    <w:uiPriority w:val="43"/>
    <w:rsid w:val="00AF4C6E"/>
    <w:pPr>
      <w:spacing w:after="0"/>
    </w:pPr>
    <w:tblPr>
      <w:tblStyleRowBandSize w:val="1"/>
      <w:tblStyleColBandSize w:val="1"/>
    </w:tblPr>
    <w:tblStylePr w:type="firstRow">
      <w:rPr>
        <w:b/>
        <w:bCs/>
        <w:caps/>
      </w:rPr>
      <w:tblPr/>
      <w:tcPr>
        <w:tcBorders>
          <w:bottom w:val="single" w:sz="4" w:space="0" w:color="93A1A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3A1AA" w:themeColor="text1" w:themeTint="80"/>
        </w:tcBorders>
      </w:tcPr>
    </w:tblStylePr>
    <w:tblStylePr w:type="lastCol">
      <w:rPr>
        <w:b/>
        <w:bCs/>
        <w:caps/>
      </w:rPr>
      <w:tblPr/>
      <w:tcPr>
        <w:tcBorders>
          <w:left w:val="nil"/>
        </w:tcBorders>
      </w:tcPr>
    </w:tblStylePr>
    <w:tblStylePr w:type="band1Vert">
      <w:tblPr/>
      <w:tcPr>
        <w:shd w:val="clear" w:color="auto" w:fill="B4B4B4" w:themeFill="background1" w:themeFillShade="F2"/>
      </w:tcPr>
    </w:tblStylePr>
    <w:tblStylePr w:type="band1Horz">
      <w:tblPr/>
      <w:tcPr>
        <w:shd w:val="clear" w:color="auto" w:fill="B4B4B4"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4C6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B4B4" w:themeFill="background1" w:themeFillShade="F2"/>
      </w:tcPr>
    </w:tblStylePr>
    <w:tblStylePr w:type="band1Horz">
      <w:tblPr/>
      <w:tcPr>
        <w:shd w:val="clear" w:color="auto" w:fill="B4B4B4" w:themeFill="background1" w:themeFillShade="F2"/>
      </w:tcPr>
    </w:tblStylePr>
  </w:style>
  <w:style w:type="table" w:styleId="PlainTable5">
    <w:name w:val="Plain Table 5"/>
    <w:basedOn w:val="TableNormal"/>
    <w:uiPriority w:val="45"/>
    <w:rsid w:val="00AF4C6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A1AA" w:themeColor="text1" w:themeTint="80"/>
        </w:tcBorders>
        <w:shd w:val="clear" w:color="auto" w:fill="BEBEBE" w:themeFill="background1"/>
      </w:tcPr>
    </w:tblStylePr>
    <w:tblStylePr w:type="lastRow">
      <w:rPr>
        <w:rFonts w:asciiTheme="majorHAnsi" w:eastAsiaTheme="majorEastAsia" w:hAnsiTheme="majorHAnsi" w:cstheme="majorBidi"/>
        <w:i/>
        <w:iCs/>
        <w:sz w:val="26"/>
      </w:rPr>
      <w:tblPr/>
      <w:tcPr>
        <w:tcBorders>
          <w:top w:val="single" w:sz="4" w:space="0" w:color="93A1AA" w:themeColor="text1" w:themeTint="80"/>
        </w:tcBorders>
        <w:shd w:val="clear" w:color="auto" w:fill="BEBEB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A1AA" w:themeColor="text1" w:themeTint="80"/>
        </w:tcBorders>
        <w:shd w:val="clear" w:color="auto" w:fill="BEBEBE" w:themeFill="background1"/>
      </w:tcPr>
    </w:tblStylePr>
    <w:tblStylePr w:type="lastCol">
      <w:rPr>
        <w:rFonts w:asciiTheme="majorHAnsi" w:eastAsiaTheme="majorEastAsia" w:hAnsiTheme="majorHAnsi" w:cstheme="majorBidi"/>
        <w:i/>
        <w:iCs/>
        <w:sz w:val="26"/>
      </w:rPr>
      <w:tblPr/>
      <w:tcPr>
        <w:tcBorders>
          <w:left w:val="single" w:sz="4" w:space="0" w:color="93A1AA" w:themeColor="text1" w:themeTint="80"/>
        </w:tcBorders>
        <w:shd w:val="clear" w:color="auto" w:fill="BEBEBE" w:themeFill="background1"/>
      </w:tcPr>
    </w:tblStylePr>
    <w:tblStylePr w:type="band1Vert">
      <w:tblPr/>
      <w:tcPr>
        <w:shd w:val="clear" w:color="auto" w:fill="B4B4B4" w:themeFill="background1" w:themeFillShade="F2"/>
      </w:tcPr>
    </w:tblStylePr>
    <w:tblStylePr w:type="band1Horz">
      <w:tblPr/>
      <w:tcPr>
        <w:shd w:val="clear" w:color="auto" w:fill="B4B4B4"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F4C6E"/>
    <w:pPr>
      <w:spacing w:after="0"/>
    </w:pPr>
    <w:tblPr>
      <w:tblBorders>
        <w:top w:val="single" w:sz="4" w:space="0" w:color="8E8E8E" w:themeColor="background1" w:themeShade="BF"/>
        <w:left w:val="single" w:sz="4" w:space="0" w:color="8E8E8E" w:themeColor="background1" w:themeShade="BF"/>
        <w:bottom w:val="single" w:sz="4" w:space="0" w:color="8E8E8E" w:themeColor="background1" w:themeShade="BF"/>
        <w:right w:val="single" w:sz="4" w:space="0" w:color="8E8E8E" w:themeColor="background1" w:themeShade="BF"/>
        <w:insideH w:val="single" w:sz="4" w:space="0" w:color="8E8E8E" w:themeColor="background1" w:themeShade="BF"/>
        <w:insideV w:val="single" w:sz="4" w:space="0" w:color="8E8E8E" w:themeColor="background1" w:themeShade="BF"/>
      </w:tblBorders>
    </w:tblPr>
  </w:style>
  <w:style w:type="paragraph" w:styleId="TOC1">
    <w:name w:val="toc 1"/>
    <w:basedOn w:val="Normal"/>
    <w:next w:val="Normal"/>
    <w:autoRedefine/>
    <w:uiPriority w:val="39"/>
    <w:unhideWhenUsed/>
    <w:rsid w:val="0084372E"/>
    <w:pPr>
      <w:spacing w:after="100"/>
    </w:pPr>
  </w:style>
  <w:style w:type="table" w:customStyle="1" w:styleId="WECKModern">
    <w:name w:val="WECK Modern"/>
    <w:basedOn w:val="TableNormal"/>
    <w:uiPriority w:val="99"/>
    <w:rsid w:val="00F408E5"/>
    <w:pPr>
      <w:spacing w:after="0"/>
      <w:contextualSpacing/>
    </w:pPr>
    <w:tblPr>
      <w:tblCellMar>
        <w:top w:w="43" w:type="dxa"/>
        <w:left w:w="43" w:type="dxa"/>
        <w:bottom w:w="43" w:type="dxa"/>
        <w:right w:w="43" w:type="dxa"/>
      </w:tblCellMar>
    </w:tblPr>
    <w:tblStylePr w:type="firstRow">
      <w:rPr>
        <w:rFonts w:asciiTheme="majorHAnsi" w:hAnsiTheme="majorHAnsi"/>
        <w:b/>
        <w:color w:val="384147" w:themeColor="text1"/>
        <w:sz w:val="20"/>
      </w:rPr>
      <w:tblPr/>
      <w:tcPr>
        <w:tcBorders>
          <w:bottom w:val="single" w:sz="12" w:space="0" w:color="0087B5" w:themeColor="accent2"/>
        </w:tcBorders>
      </w:tcPr>
    </w:tblStylePr>
    <w:tblStylePr w:type="lastRow">
      <w:rPr>
        <w:b/>
      </w:rPr>
    </w:tblStylePr>
  </w:style>
  <w:style w:type="table" w:customStyle="1" w:styleId="WECKModernBand">
    <w:name w:val="WECK Modern Band"/>
    <w:basedOn w:val="WECKModern"/>
    <w:uiPriority w:val="99"/>
    <w:rsid w:val="00F408E5"/>
    <w:tblPr>
      <w:tblStyleRowBandSize w:val="1"/>
    </w:tblPr>
    <w:tblStylePr w:type="firstRow">
      <w:rPr>
        <w:rFonts w:asciiTheme="majorHAnsi" w:hAnsiTheme="majorHAnsi"/>
        <w:b/>
        <w:color w:val="384147" w:themeColor="text1"/>
        <w:sz w:val="20"/>
      </w:rPr>
      <w:tblPr/>
      <w:tcPr>
        <w:tcBorders>
          <w:bottom w:val="single" w:sz="12" w:space="0" w:color="0087B5" w:themeColor="accent2"/>
        </w:tcBorders>
      </w:tcPr>
    </w:tblStylePr>
    <w:tblStylePr w:type="lastRow">
      <w:rPr>
        <w:b/>
      </w:rPr>
    </w:tblStylePr>
    <w:tblStylePr w:type="band2Horz">
      <w:tblPr/>
      <w:tcPr>
        <w:shd w:val="clear" w:color="auto" w:fill="DAE4E9"/>
      </w:tcPr>
    </w:tblStylePr>
  </w:style>
  <w:style w:type="table" w:customStyle="1" w:styleId="WECKModernLined">
    <w:name w:val="WECK Modern Lined"/>
    <w:basedOn w:val="TableNormal"/>
    <w:uiPriority w:val="99"/>
    <w:rsid w:val="00523208"/>
    <w:pPr>
      <w:spacing w:after="0"/>
      <w:contextualSpacing/>
    </w:pPr>
    <w:tblPr>
      <w:tblStyleRowBandSize w:val="1"/>
      <w:tblCellMar>
        <w:top w:w="43" w:type="dxa"/>
        <w:left w:w="43" w:type="dxa"/>
        <w:bottom w:w="43" w:type="dxa"/>
        <w:right w:w="43" w:type="dxa"/>
      </w:tblCellMar>
    </w:tblPr>
    <w:tblStylePr w:type="firstRow">
      <w:pPr>
        <w:wordWrap/>
        <w:spacing w:afterLines="0" w:after="0" w:afterAutospacing="0" w:line="240" w:lineRule="auto"/>
      </w:pPr>
      <w:rPr>
        <w:rFonts w:asciiTheme="majorHAnsi" w:hAnsiTheme="majorHAnsi"/>
        <w:b/>
        <w:sz w:val="20"/>
      </w:rPr>
      <w:tblPr/>
      <w:tcPr>
        <w:tcBorders>
          <w:bottom w:val="single" w:sz="12" w:space="0" w:color="0087B5" w:themeColor="accent2"/>
        </w:tcBorders>
      </w:tcPr>
    </w:tblStylePr>
    <w:tblStylePr w:type="lastRow">
      <w:rPr>
        <w:rFonts w:ascii="Segoe UI Light" w:hAnsi="Segoe UI Light"/>
        <w:b/>
      </w:rPr>
    </w:tblStylePr>
    <w:tblStylePr w:type="firstCol">
      <w:rPr>
        <w:rFonts w:asciiTheme="majorHAnsi" w:hAnsiTheme="majorHAnsi"/>
        <w:b w:val="0"/>
      </w:rPr>
    </w:tblStylePr>
    <w:tblStylePr w:type="band1Horz">
      <w:tblPr/>
      <w:tcPr>
        <w:tcBorders>
          <w:bottom w:val="single" w:sz="4" w:space="0" w:color="DAE4E9"/>
        </w:tcBorders>
      </w:tcPr>
    </w:tblStylePr>
    <w:tblStylePr w:type="band2Horz">
      <w:tblPr/>
      <w:tcPr>
        <w:tcBorders>
          <w:bottom w:val="single" w:sz="4" w:space="0" w:color="DAE4E9"/>
        </w:tcBorders>
      </w:tcPr>
    </w:tblStylePr>
  </w:style>
  <w:style w:type="paragraph" w:styleId="TOC2">
    <w:name w:val="toc 2"/>
    <w:basedOn w:val="Normal"/>
    <w:next w:val="Normal"/>
    <w:autoRedefine/>
    <w:uiPriority w:val="39"/>
    <w:unhideWhenUsed/>
    <w:rsid w:val="0084372E"/>
    <w:pPr>
      <w:spacing w:after="100"/>
      <w:ind w:left="200"/>
    </w:pPr>
  </w:style>
  <w:style w:type="paragraph" w:styleId="TOC3">
    <w:name w:val="toc 3"/>
    <w:basedOn w:val="Normal"/>
    <w:next w:val="Normal"/>
    <w:autoRedefine/>
    <w:uiPriority w:val="39"/>
    <w:unhideWhenUsed/>
    <w:rsid w:val="0084372E"/>
    <w:pPr>
      <w:spacing w:after="100"/>
      <w:ind w:left="400"/>
    </w:pPr>
  </w:style>
  <w:style w:type="numbering" w:customStyle="1" w:styleId="OrderedLevels">
    <w:name w:val="Ordered Levels"/>
    <w:uiPriority w:val="99"/>
    <w:rsid w:val="00C5224D"/>
    <w:pPr>
      <w:numPr>
        <w:numId w:val="12"/>
      </w:numPr>
    </w:pPr>
  </w:style>
  <w:style w:type="numbering" w:customStyle="1" w:styleId="Unordered">
    <w:name w:val="Unordered"/>
    <w:uiPriority w:val="99"/>
    <w:rsid w:val="00C5224D"/>
    <w:pPr>
      <w:numPr>
        <w:numId w:val="14"/>
      </w:numPr>
    </w:pPr>
  </w:style>
  <w:style w:type="paragraph" w:styleId="NormalWeb">
    <w:name w:val="Normal (Web)"/>
    <w:basedOn w:val="Normal"/>
    <w:uiPriority w:val="99"/>
    <w:semiHidden/>
    <w:unhideWhenUsed/>
    <w:rsid w:val="008219A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821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WECK Modern">
      <a:dk1>
        <a:srgbClr val="384147"/>
      </a:dk1>
      <a:lt1>
        <a:srgbClr val="BEBEBE"/>
      </a:lt1>
      <a:dk2>
        <a:srgbClr val="6F787E"/>
      </a:dk2>
      <a:lt2>
        <a:srgbClr val="FFFFFF"/>
      </a:lt2>
      <a:accent1>
        <a:srgbClr val="4E54A2"/>
      </a:accent1>
      <a:accent2>
        <a:srgbClr val="0087B5"/>
      </a:accent2>
      <a:accent3>
        <a:srgbClr val="55D9CC"/>
      </a:accent3>
      <a:accent4>
        <a:srgbClr val="7DD7E7"/>
      </a:accent4>
      <a:accent5>
        <a:srgbClr val="DCE5EA"/>
      </a:accent5>
      <a:accent6>
        <a:srgbClr val="091A4B"/>
      </a:accent6>
      <a:hlink>
        <a:srgbClr val="3592CF"/>
      </a:hlink>
      <a:folHlink>
        <a:srgbClr val="3592CF"/>
      </a:folHlink>
    </a:clrScheme>
    <a:fontScheme name="WECK Modern">
      <a:majorFont>
        <a:latin typeface="Segoe UI Light"/>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0F4F6"/>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F64F6-2CE9-47E7-AF43-F565D4557E80}">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Pierri</dc:creator>
  <cp:keywords/>
  <dc:description/>
  <cp:lastModifiedBy>Azar, Krystyn@Waterboards</cp:lastModifiedBy>
  <cp:revision>2</cp:revision>
  <dcterms:created xsi:type="dcterms:W3CDTF">2026-05-18T21:06:00Z</dcterms:created>
  <dcterms:modified xsi:type="dcterms:W3CDTF">2026-05-18T21:06:00Z</dcterms:modified>
</cp:coreProperties>
</file>