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428E" w14:textId="77777777" w:rsidR="00B050EC" w:rsidRDefault="00B050EC" w:rsidP="00B050EC">
      <w:pPr>
        <w:jc w:val="center"/>
        <w:rPr>
          <w:rStyle w:val="Strong"/>
          <w:rFonts w:eastAsiaTheme="majorEastAsia" w:cs="Arial"/>
          <w:sz w:val="32"/>
        </w:rPr>
      </w:pPr>
      <w:bookmarkStart w:id="0" w:name="_GoBack"/>
      <w:bookmarkEnd w:id="0"/>
      <w:r>
        <w:rPr>
          <w:noProof/>
        </w:rPr>
        <w:drawing>
          <wp:anchor distT="0" distB="0" distL="114300" distR="114300" simplePos="0" relativeHeight="251662336" behindDoc="1" locked="0" layoutInCell="1" allowOverlap="1" wp14:anchorId="70CD4E0B" wp14:editId="0F37DF0E">
            <wp:simplePos x="0" y="0"/>
            <wp:positionH relativeFrom="column">
              <wp:posOffset>-80010</wp:posOffset>
            </wp:positionH>
            <wp:positionV relativeFrom="paragraph">
              <wp:posOffset>-68580</wp:posOffset>
            </wp:positionV>
            <wp:extent cx="6269355"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9355" cy="1095375"/>
                    </a:xfrm>
                    <a:prstGeom prst="rect">
                      <a:avLst/>
                    </a:prstGeom>
                    <a:noFill/>
                  </pic:spPr>
                </pic:pic>
              </a:graphicData>
            </a:graphic>
            <wp14:sizeRelH relativeFrom="margin">
              <wp14:pctWidth>0</wp14:pctWidth>
            </wp14:sizeRelH>
            <wp14:sizeRelV relativeFrom="margin">
              <wp14:pctHeight>0</wp14:pctHeight>
            </wp14:sizeRelV>
          </wp:anchor>
        </w:drawing>
      </w:r>
      <w:r>
        <w:rPr>
          <w:rStyle w:val="Strong"/>
          <w:rFonts w:eastAsiaTheme="majorEastAsia" w:cs="Arial"/>
          <w:sz w:val="32"/>
        </w:rPr>
        <w:t xml:space="preserve">Lahontan Water Board Program Fact Sheet </w:t>
      </w:r>
    </w:p>
    <w:p w14:paraId="53901DBF" w14:textId="77777777" w:rsidR="008D2140" w:rsidRPr="00B050EC" w:rsidRDefault="00226DA0" w:rsidP="008D2140">
      <w:pPr>
        <w:jc w:val="center"/>
        <w:rPr>
          <w:rStyle w:val="Strong"/>
          <w:rFonts w:cs="Arial"/>
          <w:sz w:val="32"/>
          <w:szCs w:val="32"/>
        </w:rPr>
      </w:pPr>
      <w:r>
        <w:rPr>
          <w:rStyle w:val="Strong"/>
          <w:rFonts w:cs="Arial"/>
          <w:sz w:val="32"/>
          <w:szCs w:val="32"/>
        </w:rPr>
        <w:t>FY 201</w:t>
      </w:r>
      <w:r w:rsidR="007B45A5">
        <w:rPr>
          <w:rStyle w:val="Strong"/>
          <w:rFonts w:cs="Arial"/>
          <w:sz w:val="32"/>
          <w:szCs w:val="32"/>
        </w:rPr>
        <w:t>7</w:t>
      </w:r>
      <w:r>
        <w:rPr>
          <w:rStyle w:val="Strong"/>
          <w:rFonts w:cs="Arial"/>
          <w:sz w:val="32"/>
          <w:szCs w:val="32"/>
        </w:rPr>
        <w:t>-1</w:t>
      </w:r>
      <w:r w:rsidR="007B45A5">
        <w:rPr>
          <w:rStyle w:val="Strong"/>
          <w:rFonts w:cs="Arial"/>
          <w:sz w:val="32"/>
          <w:szCs w:val="32"/>
        </w:rPr>
        <w:t>8</w:t>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878"/>
      </w:tblGrid>
      <w:tr w:rsidR="00D22E6D" w:rsidRPr="000E014E" w14:paraId="48136111" w14:textId="77777777" w:rsidTr="00BA1784">
        <w:tc>
          <w:tcPr>
            <w:tcW w:w="9878" w:type="dxa"/>
            <w:tcBorders>
              <w:top w:val="nil"/>
              <w:left w:val="nil"/>
              <w:bottom w:val="nil"/>
              <w:right w:val="nil"/>
            </w:tcBorders>
            <w:shd w:val="clear" w:color="auto" w:fill="auto"/>
          </w:tcPr>
          <w:p w14:paraId="5AD21242" w14:textId="77777777" w:rsidR="00F524AD" w:rsidRPr="000E014E" w:rsidRDefault="00503353" w:rsidP="000E014E">
            <w:pPr>
              <w:tabs>
                <w:tab w:val="right" w:pos="9630"/>
              </w:tabs>
              <w:jc w:val="center"/>
              <w:rPr>
                <w:rStyle w:val="Strong"/>
                <w:sz w:val="40"/>
                <w:szCs w:val="32"/>
              </w:rPr>
            </w:pPr>
            <w:r w:rsidRPr="000E014E">
              <w:rPr>
                <w:rStyle w:val="Strong"/>
                <w:i/>
                <w:sz w:val="40"/>
                <w:szCs w:val="32"/>
              </w:rPr>
              <w:t>Underground Storage Tank</w:t>
            </w:r>
            <w:r w:rsidR="00A66CE9" w:rsidRPr="000E014E">
              <w:rPr>
                <w:rStyle w:val="Strong"/>
                <w:i/>
                <w:sz w:val="40"/>
                <w:szCs w:val="32"/>
              </w:rPr>
              <w:t xml:space="preserve"> (UST)</w:t>
            </w:r>
          </w:p>
        </w:tc>
      </w:tr>
      <w:tr w:rsidR="00D22E6D" w14:paraId="7D9DA21F" w14:textId="77777777" w:rsidTr="00BA1784">
        <w:trPr>
          <w:trHeight w:val="278"/>
        </w:trPr>
        <w:tc>
          <w:tcPr>
            <w:tcW w:w="9878" w:type="dxa"/>
            <w:tcBorders>
              <w:top w:val="nil"/>
              <w:left w:val="nil"/>
              <w:bottom w:val="single" w:sz="4" w:space="0" w:color="auto"/>
              <w:right w:val="nil"/>
            </w:tcBorders>
            <w:tcMar>
              <w:top w:w="0" w:type="dxa"/>
              <w:bottom w:w="0" w:type="dxa"/>
            </w:tcMar>
          </w:tcPr>
          <w:p w14:paraId="2A7FA304" w14:textId="77777777" w:rsidR="00D22E6D" w:rsidRDefault="00D22E6D" w:rsidP="006E02DD">
            <w:pPr>
              <w:rPr>
                <w:rStyle w:val="Strong"/>
                <w:b w:val="0"/>
              </w:rPr>
            </w:pPr>
          </w:p>
        </w:tc>
      </w:tr>
      <w:tr w:rsidR="00D22E6D" w14:paraId="6FA1E0D5" w14:textId="77777777" w:rsidTr="00BA1784">
        <w:tc>
          <w:tcPr>
            <w:tcW w:w="9878" w:type="dxa"/>
            <w:tcBorders>
              <w:top w:val="single" w:sz="4" w:space="0" w:color="auto"/>
              <w:bottom w:val="single" w:sz="4" w:space="0" w:color="auto"/>
            </w:tcBorders>
            <w:shd w:val="clear" w:color="auto" w:fill="EAF1DD" w:themeFill="accent3" w:themeFillTint="33"/>
          </w:tcPr>
          <w:p w14:paraId="23617F04" w14:textId="77777777" w:rsidR="00685F70" w:rsidRDefault="00D22E6D" w:rsidP="00D61B59">
            <w:pPr>
              <w:tabs>
                <w:tab w:val="left" w:pos="1800"/>
              </w:tabs>
              <w:spacing w:after="120"/>
              <w:rPr>
                <w:rStyle w:val="Strong"/>
                <w:b w:val="0"/>
                <w:sz w:val="32"/>
              </w:rPr>
            </w:pPr>
            <w:r w:rsidRPr="006F30E6">
              <w:rPr>
                <w:rStyle w:val="Strong"/>
                <w:b w:val="0"/>
                <w:sz w:val="32"/>
              </w:rPr>
              <w:t>Overview</w:t>
            </w:r>
          </w:p>
          <w:p w14:paraId="6E528AC0" w14:textId="1B14C992" w:rsidR="00F524AD" w:rsidRPr="005A35D5" w:rsidRDefault="00851EE6" w:rsidP="00CC6465">
            <w:pPr>
              <w:rPr>
                <w:rStyle w:val="Strong"/>
                <w:b w:val="0"/>
              </w:rPr>
            </w:pPr>
            <w:r w:rsidRPr="005A35D5">
              <w:rPr>
                <w:rStyle w:val="Strong"/>
                <w:b w:val="0"/>
              </w:rPr>
              <w:t xml:space="preserve">The UST program protects public health and safety and the environment from releases of petroleum and other hazardous substances from UST systems.  The program is administered by the State Water Board and consists of four program elements: leak prevention, cleanup, enforcement, and </w:t>
            </w:r>
            <w:r w:rsidR="00DF2202" w:rsidRPr="005A35D5">
              <w:rPr>
                <w:rStyle w:val="Strong"/>
                <w:b w:val="0"/>
              </w:rPr>
              <w:t>tank tester licensing.  The Region</w:t>
            </w:r>
            <w:r w:rsidRPr="005A35D5">
              <w:rPr>
                <w:rStyle w:val="Strong"/>
                <w:b w:val="0"/>
              </w:rPr>
              <w:t xml:space="preserve"> </w:t>
            </w:r>
            <w:r w:rsidR="00BC43AD" w:rsidRPr="005A35D5">
              <w:rPr>
                <w:rStyle w:val="Strong"/>
                <w:b w:val="0"/>
              </w:rPr>
              <w:t>received</w:t>
            </w:r>
            <w:r w:rsidR="00FA4A19">
              <w:rPr>
                <w:rStyle w:val="Strong"/>
                <w:b w:val="0"/>
              </w:rPr>
              <w:t xml:space="preserve"> </w:t>
            </w:r>
            <w:r w:rsidR="00A46F6D" w:rsidRPr="005A35D5">
              <w:rPr>
                <w:rStyle w:val="Strong"/>
                <w:b w:val="0"/>
              </w:rPr>
              <w:t>3.0</w:t>
            </w:r>
            <w:r w:rsidR="00B20C49" w:rsidRPr="005A35D5">
              <w:rPr>
                <w:rStyle w:val="Strong"/>
                <w:b w:val="0"/>
              </w:rPr>
              <w:t xml:space="preserve"> </w:t>
            </w:r>
            <w:r w:rsidRPr="005A35D5">
              <w:rPr>
                <w:rStyle w:val="Strong"/>
                <w:b w:val="0"/>
              </w:rPr>
              <w:t xml:space="preserve">PYs for FY </w:t>
            </w:r>
            <w:r w:rsidR="00BC43AD" w:rsidRPr="005A35D5">
              <w:rPr>
                <w:rStyle w:val="Strong"/>
                <w:b w:val="0"/>
              </w:rPr>
              <w:t>1</w:t>
            </w:r>
            <w:r w:rsidR="007B45A5">
              <w:rPr>
                <w:rStyle w:val="Strong"/>
                <w:b w:val="0"/>
              </w:rPr>
              <w:t>7</w:t>
            </w:r>
            <w:r w:rsidR="00BC43AD" w:rsidRPr="005A35D5">
              <w:rPr>
                <w:rStyle w:val="Strong"/>
                <w:b w:val="0"/>
              </w:rPr>
              <w:t>/1</w:t>
            </w:r>
            <w:r w:rsidR="007B45A5">
              <w:rPr>
                <w:rStyle w:val="Strong"/>
                <w:b w:val="0"/>
              </w:rPr>
              <w:t>8</w:t>
            </w:r>
            <w:r w:rsidR="00BE297C" w:rsidRPr="005A35D5">
              <w:rPr>
                <w:rStyle w:val="Strong"/>
                <w:b w:val="0"/>
              </w:rPr>
              <w:t xml:space="preserve"> </w:t>
            </w:r>
            <w:r w:rsidR="004B4CA5" w:rsidRPr="005A35D5">
              <w:rPr>
                <w:rStyle w:val="Strong"/>
                <w:b w:val="0"/>
              </w:rPr>
              <w:t>to oversee the cleanup</w:t>
            </w:r>
            <w:r w:rsidRPr="005A35D5">
              <w:rPr>
                <w:rStyle w:val="Strong"/>
                <w:b w:val="0"/>
              </w:rPr>
              <w:t xml:space="preserve"> element of the UST pr</w:t>
            </w:r>
            <w:r w:rsidR="00295650" w:rsidRPr="005A35D5">
              <w:rPr>
                <w:rStyle w:val="Strong"/>
                <w:b w:val="0"/>
              </w:rPr>
              <w:t>ogram</w:t>
            </w:r>
            <w:r w:rsidRPr="005A35D5">
              <w:rPr>
                <w:rStyle w:val="Strong"/>
                <w:b w:val="0"/>
              </w:rPr>
              <w:t xml:space="preserve">.  </w:t>
            </w:r>
            <w:r w:rsidR="004B4CA5" w:rsidRPr="005A35D5">
              <w:rPr>
                <w:rStyle w:val="Strong"/>
                <w:b w:val="0"/>
              </w:rPr>
              <w:t>Approximately 85</w:t>
            </w:r>
            <w:r w:rsidR="00CC6465">
              <w:rPr>
                <w:rStyle w:val="Strong"/>
                <w:b w:val="0"/>
              </w:rPr>
              <w:t xml:space="preserve"> percent</w:t>
            </w:r>
            <w:r w:rsidR="004B4CA5" w:rsidRPr="005A35D5">
              <w:rPr>
                <w:rStyle w:val="Strong"/>
                <w:b w:val="0"/>
              </w:rPr>
              <w:t xml:space="preserve"> of the funding is provided through</w:t>
            </w:r>
            <w:r w:rsidRPr="005A35D5">
              <w:rPr>
                <w:rStyle w:val="Strong"/>
                <w:b w:val="0"/>
              </w:rPr>
              <w:t xml:space="preserve"> the Underground Storage Tank Cleanup Fund </w:t>
            </w:r>
            <w:r w:rsidR="004B4CA5" w:rsidRPr="005A35D5">
              <w:rPr>
                <w:rStyle w:val="Strong"/>
                <w:b w:val="0"/>
              </w:rPr>
              <w:t>and the remaining 15</w:t>
            </w:r>
            <w:r w:rsidR="00CC6465">
              <w:rPr>
                <w:rStyle w:val="Strong"/>
                <w:b w:val="0"/>
              </w:rPr>
              <w:t xml:space="preserve"> percent</w:t>
            </w:r>
            <w:r w:rsidR="004B4CA5" w:rsidRPr="005A35D5">
              <w:rPr>
                <w:rStyle w:val="Strong"/>
                <w:b w:val="0"/>
              </w:rPr>
              <w:t xml:space="preserve"> is provided by the federal government</w:t>
            </w:r>
            <w:r w:rsidR="00AF4ED5" w:rsidRPr="005A35D5">
              <w:rPr>
                <w:rStyle w:val="Strong"/>
                <w:b w:val="0"/>
              </w:rPr>
              <w:t>.</w:t>
            </w:r>
            <w:r w:rsidR="00666900" w:rsidRPr="005A35D5">
              <w:rPr>
                <w:rStyle w:val="Strong"/>
                <w:b w:val="0"/>
              </w:rPr>
              <w:t xml:space="preserve">  On July 1, 201</w:t>
            </w:r>
            <w:r w:rsidR="007B45A5">
              <w:rPr>
                <w:rStyle w:val="Strong"/>
                <w:b w:val="0"/>
              </w:rPr>
              <w:t>7</w:t>
            </w:r>
            <w:r w:rsidR="00F67EAF" w:rsidRPr="005A35D5">
              <w:rPr>
                <w:rStyle w:val="Strong"/>
                <w:b w:val="0"/>
              </w:rPr>
              <w:t>, there were</w:t>
            </w:r>
            <w:r w:rsidRPr="005A35D5">
              <w:rPr>
                <w:rStyle w:val="Strong"/>
                <w:b w:val="0"/>
              </w:rPr>
              <w:t xml:space="preserve"> </w:t>
            </w:r>
            <w:r w:rsidR="00336301">
              <w:rPr>
                <w:rStyle w:val="Strong"/>
                <w:b w:val="0"/>
              </w:rPr>
              <w:t xml:space="preserve">59 </w:t>
            </w:r>
            <w:r w:rsidRPr="005A35D5">
              <w:rPr>
                <w:rStyle w:val="Strong"/>
                <w:b w:val="0"/>
              </w:rPr>
              <w:t>open</w:t>
            </w:r>
            <w:r w:rsidR="00A50CDC" w:rsidRPr="005A35D5">
              <w:rPr>
                <w:rStyle w:val="Strong"/>
                <w:b w:val="0"/>
              </w:rPr>
              <w:t xml:space="preserve"> Water </w:t>
            </w:r>
            <w:r w:rsidR="004A5EB6" w:rsidRPr="005A35D5">
              <w:rPr>
                <w:rStyle w:val="Strong"/>
                <w:b w:val="0"/>
              </w:rPr>
              <w:t>Board</w:t>
            </w:r>
            <w:r w:rsidR="00CC6465">
              <w:rPr>
                <w:rStyle w:val="Strong"/>
                <w:b w:val="0"/>
              </w:rPr>
              <w:t>-</w:t>
            </w:r>
            <w:r w:rsidR="004A5EB6" w:rsidRPr="005A35D5">
              <w:rPr>
                <w:rStyle w:val="Strong"/>
                <w:b w:val="0"/>
              </w:rPr>
              <w:t xml:space="preserve">lead </w:t>
            </w:r>
            <w:r w:rsidRPr="005A35D5">
              <w:rPr>
                <w:rStyle w:val="Strong"/>
                <w:b w:val="0"/>
              </w:rPr>
              <w:t xml:space="preserve">UST cleanup cases in the region.  </w:t>
            </w:r>
          </w:p>
        </w:tc>
      </w:tr>
      <w:tr w:rsidR="00D22E6D" w14:paraId="6B1D83E9" w14:textId="77777777" w:rsidTr="00D61B59">
        <w:trPr>
          <w:trHeight w:val="269"/>
        </w:trPr>
        <w:tc>
          <w:tcPr>
            <w:tcW w:w="9878" w:type="dxa"/>
            <w:tcBorders>
              <w:left w:val="nil"/>
              <w:bottom w:val="single" w:sz="4" w:space="0" w:color="auto"/>
              <w:right w:val="nil"/>
            </w:tcBorders>
            <w:tcMar>
              <w:top w:w="0" w:type="dxa"/>
              <w:bottom w:w="0" w:type="dxa"/>
            </w:tcMar>
          </w:tcPr>
          <w:p w14:paraId="303B399A" w14:textId="77777777" w:rsidR="00D22E6D" w:rsidRDefault="00D22E6D" w:rsidP="006E02DD">
            <w:pPr>
              <w:rPr>
                <w:rStyle w:val="Strong"/>
                <w:b w:val="0"/>
              </w:rPr>
            </w:pPr>
          </w:p>
        </w:tc>
      </w:tr>
      <w:tr w:rsidR="00D22E6D" w14:paraId="72B09956" w14:textId="77777777" w:rsidTr="00851EE6">
        <w:trPr>
          <w:trHeight w:val="1322"/>
        </w:trPr>
        <w:tc>
          <w:tcPr>
            <w:tcW w:w="9878" w:type="dxa"/>
            <w:tcBorders>
              <w:bottom w:val="single" w:sz="4" w:space="0" w:color="auto"/>
            </w:tcBorders>
            <w:shd w:val="clear" w:color="auto" w:fill="EAF1DD" w:themeFill="accent3" w:themeFillTint="33"/>
          </w:tcPr>
          <w:p w14:paraId="665A7FF9" w14:textId="77777777" w:rsidR="00685F70" w:rsidRDefault="00BC43AD" w:rsidP="00D61B59">
            <w:pPr>
              <w:tabs>
                <w:tab w:val="left" w:pos="1815"/>
              </w:tabs>
              <w:rPr>
                <w:rStyle w:val="Strong"/>
                <w:b w:val="0"/>
                <w:sz w:val="32"/>
              </w:rPr>
            </w:pPr>
            <w:r>
              <w:rPr>
                <w:rStyle w:val="Strong"/>
                <w:b w:val="0"/>
                <w:sz w:val="32"/>
              </w:rPr>
              <w:t>Key Efforts</w:t>
            </w:r>
          </w:p>
          <w:p w14:paraId="38EC56E3" w14:textId="77777777" w:rsidR="00D61B59" w:rsidRPr="00D61B59" w:rsidRDefault="00D61B59" w:rsidP="00D61B59">
            <w:pPr>
              <w:tabs>
                <w:tab w:val="left" w:pos="1815"/>
              </w:tabs>
              <w:rPr>
                <w:rStyle w:val="Strong"/>
                <w:b w:val="0"/>
                <w:sz w:val="22"/>
                <w:szCs w:val="22"/>
              </w:rPr>
            </w:pPr>
          </w:p>
          <w:p w14:paraId="5DCE1DBA" w14:textId="56CB2E7A" w:rsidR="00666900" w:rsidRDefault="00666900" w:rsidP="00D61B59">
            <w:pPr>
              <w:rPr>
                <w:rStyle w:val="Strong"/>
                <w:b w:val="0"/>
              </w:rPr>
            </w:pPr>
            <w:r w:rsidRPr="00631FCA">
              <w:rPr>
                <w:rStyle w:val="Strong"/>
                <w:b w:val="0"/>
              </w:rPr>
              <w:t xml:space="preserve">Due to the maturity of the program and State </w:t>
            </w:r>
            <w:r w:rsidR="00CC6465">
              <w:rPr>
                <w:rStyle w:val="Strong"/>
                <w:b w:val="0"/>
              </w:rPr>
              <w:t xml:space="preserve">Water </w:t>
            </w:r>
            <w:r w:rsidRPr="00631FCA">
              <w:rPr>
                <w:rStyle w:val="Strong"/>
                <w:b w:val="0"/>
              </w:rPr>
              <w:t xml:space="preserve">Board’s 2012 </w:t>
            </w:r>
            <w:r w:rsidR="00917763" w:rsidRPr="00631FCA">
              <w:rPr>
                <w:rStyle w:val="Strong"/>
                <w:b w:val="0"/>
              </w:rPr>
              <w:t xml:space="preserve">approval </w:t>
            </w:r>
            <w:r w:rsidRPr="00631FCA">
              <w:rPr>
                <w:rStyle w:val="Strong"/>
                <w:b w:val="0"/>
              </w:rPr>
              <w:t xml:space="preserve">of the </w:t>
            </w:r>
            <w:r w:rsidR="00851EE6" w:rsidRPr="00631FCA">
              <w:rPr>
                <w:rStyle w:val="Strong"/>
                <w:b w:val="0"/>
              </w:rPr>
              <w:t>“Plan for Implementation of Low Threat Underground St</w:t>
            </w:r>
            <w:r w:rsidR="00785AE7" w:rsidRPr="00631FCA">
              <w:rPr>
                <w:rStyle w:val="Strong"/>
                <w:b w:val="0"/>
              </w:rPr>
              <w:t xml:space="preserve">orage Tank Case Closure Policy </w:t>
            </w:r>
            <w:r w:rsidR="00851EE6" w:rsidRPr="00631FCA">
              <w:rPr>
                <w:rStyle w:val="Strong"/>
                <w:b w:val="0"/>
              </w:rPr>
              <w:t>and Additional Program Improvements”</w:t>
            </w:r>
            <w:r w:rsidR="00870292">
              <w:rPr>
                <w:rStyle w:val="Strong"/>
                <w:b w:val="0"/>
              </w:rPr>
              <w:t xml:space="preserve"> (Plan)</w:t>
            </w:r>
            <w:r w:rsidR="00917763" w:rsidRPr="00631FCA">
              <w:rPr>
                <w:rStyle w:val="Strong"/>
                <w:b w:val="0"/>
              </w:rPr>
              <w:t xml:space="preserve">, </w:t>
            </w:r>
            <w:r w:rsidR="0073232A">
              <w:rPr>
                <w:rStyle w:val="Strong"/>
                <w:b w:val="0"/>
              </w:rPr>
              <w:t xml:space="preserve">all </w:t>
            </w:r>
            <w:r w:rsidR="002C1F02" w:rsidRPr="00631FCA">
              <w:rPr>
                <w:rStyle w:val="Strong"/>
                <w:b w:val="0"/>
              </w:rPr>
              <w:t>high</w:t>
            </w:r>
            <w:r w:rsidR="00CC6465">
              <w:rPr>
                <w:rStyle w:val="Strong"/>
                <w:b w:val="0"/>
              </w:rPr>
              <w:t>-</w:t>
            </w:r>
            <w:r w:rsidR="002C1F02" w:rsidRPr="00631FCA">
              <w:rPr>
                <w:rStyle w:val="Strong"/>
                <w:b w:val="0"/>
              </w:rPr>
              <w:t xml:space="preserve">threat cases </w:t>
            </w:r>
            <w:r w:rsidR="0073232A">
              <w:rPr>
                <w:rStyle w:val="Strong"/>
                <w:b w:val="0"/>
              </w:rPr>
              <w:t>are being</w:t>
            </w:r>
            <w:r w:rsidR="00430F75" w:rsidRPr="00631FCA">
              <w:rPr>
                <w:rStyle w:val="Strong"/>
                <w:b w:val="0"/>
              </w:rPr>
              <w:t xml:space="preserve"> addressed and the </w:t>
            </w:r>
            <w:r w:rsidR="002C1F02" w:rsidRPr="00631FCA">
              <w:rPr>
                <w:rStyle w:val="Strong"/>
                <w:b w:val="0"/>
              </w:rPr>
              <w:t xml:space="preserve">caseload </w:t>
            </w:r>
            <w:r w:rsidR="00631FCA" w:rsidRPr="00631FCA">
              <w:rPr>
                <w:rStyle w:val="Strong"/>
                <w:b w:val="0"/>
              </w:rPr>
              <w:t xml:space="preserve">primarily </w:t>
            </w:r>
            <w:r w:rsidR="00CC6465">
              <w:rPr>
                <w:rStyle w:val="Strong"/>
                <w:b w:val="0"/>
              </w:rPr>
              <w:t xml:space="preserve">consists </w:t>
            </w:r>
            <w:r w:rsidR="00430F75" w:rsidRPr="00631FCA">
              <w:rPr>
                <w:rStyle w:val="Strong"/>
                <w:b w:val="0"/>
              </w:rPr>
              <w:t>of mature</w:t>
            </w:r>
            <w:r w:rsidR="002C1F02" w:rsidRPr="00631FCA">
              <w:rPr>
                <w:rStyle w:val="Strong"/>
                <w:b w:val="0"/>
              </w:rPr>
              <w:t xml:space="preserve"> cases and is shrinking.  Of the </w:t>
            </w:r>
            <w:r w:rsidR="006000AF">
              <w:rPr>
                <w:rStyle w:val="Strong"/>
                <w:b w:val="0"/>
              </w:rPr>
              <w:t>59</w:t>
            </w:r>
            <w:r w:rsidR="002C1F02" w:rsidRPr="00631FCA">
              <w:rPr>
                <w:rStyle w:val="Strong"/>
                <w:b w:val="0"/>
              </w:rPr>
              <w:t xml:space="preserve"> open cases, </w:t>
            </w:r>
            <w:r w:rsidR="006000AF">
              <w:rPr>
                <w:rStyle w:val="Strong"/>
                <w:b w:val="0"/>
              </w:rPr>
              <w:t>17</w:t>
            </w:r>
            <w:r w:rsidR="002C1F02" w:rsidRPr="00631FCA">
              <w:rPr>
                <w:rStyle w:val="Strong"/>
                <w:b w:val="0"/>
              </w:rPr>
              <w:t xml:space="preserve"> were identified as “Op</w:t>
            </w:r>
            <w:r w:rsidRPr="00631FCA">
              <w:rPr>
                <w:rStyle w:val="Strong"/>
                <w:b w:val="0"/>
              </w:rPr>
              <w:t xml:space="preserve">en-Eligible for Closure” and </w:t>
            </w:r>
            <w:r w:rsidR="006000AF">
              <w:rPr>
                <w:rStyle w:val="Strong"/>
                <w:b w:val="0"/>
              </w:rPr>
              <w:t>18</w:t>
            </w:r>
            <w:r w:rsidR="004545D0">
              <w:rPr>
                <w:rStyle w:val="Strong"/>
                <w:b w:val="0"/>
              </w:rPr>
              <w:t xml:space="preserve"> did not have responsive or willing responsible parties</w:t>
            </w:r>
            <w:r w:rsidR="002C1F02" w:rsidRPr="00631FCA">
              <w:rPr>
                <w:rStyle w:val="Strong"/>
                <w:b w:val="0"/>
              </w:rPr>
              <w:t>.</w:t>
            </w:r>
            <w:r w:rsidR="003C4549">
              <w:rPr>
                <w:rStyle w:val="Strong"/>
                <w:b w:val="0"/>
              </w:rPr>
              <w:t xml:space="preserve">  </w:t>
            </w:r>
            <w:r w:rsidR="0073232A">
              <w:rPr>
                <w:rStyle w:val="Strong"/>
                <w:b w:val="0"/>
              </w:rPr>
              <w:t xml:space="preserve">Most active cases are in the southern Lahontan Region with 24 in San Bernardino County and 12 in Los Angeles County.  </w:t>
            </w:r>
            <w:r w:rsidR="003C4549">
              <w:rPr>
                <w:rStyle w:val="Strong"/>
                <w:b w:val="0"/>
              </w:rPr>
              <w:t>Staff</w:t>
            </w:r>
            <w:r w:rsidR="006000AF">
              <w:rPr>
                <w:rStyle w:val="Strong"/>
                <w:b w:val="0"/>
              </w:rPr>
              <w:t>’s</w:t>
            </w:r>
            <w:r w:rsidR="003C4549">
              <w:rPr>
                <w:rStyle w:val="Strong"/>
                <w:b w:val="0"/>
              </w:rPr>
              <w:t xml:space="preserve"> primary</w:t>
            </w:r>
            <w:r w:rsidR="00870292">
              <w:rPr>
                <w:rStyle w:val="Strong"/>
                <w:b w:val="0"/>
              </w:rPr>
              <w:t xml:space="preserve"> focus</w:t>
            </w:r>
            <w:r w:rsidR="003C4549">
              <w:rPr>
                <w:rStyle w:val="Strong"/>
                <w:b w:val="0"/>
              </w:rPr>
              <w:t xml:space="preserve"> for the fiscal year</w:t>
            </w:r>
            <w:r w:rsidR="00870292">
              <w:rPr>
                <w:rStyle w:val="Strong"/>
                <w:b w:val="0"/>
              </w:rPr>
              <w:t xml:space="preserve"> </w:t>
            </w:r>
            <w:r w:rsidR="003C4549">
              <w:rPr>
                <w:rStyle w:val="Strong"/>
                <w:b w:val="0"/>
              </w:rPr>
              <w:t xml:space="preserve">will be to </w:t>
            </w:r>
            <w:r w:rsidR="00B01AAC">
              <w:rPr>
                <w:rStyle w:val="Strong"/>
                <w:b w:val="0"/>
              </w:rPr>
              <w:t xml:space="preserve">provide timely and consistent guidance to </w:t>
            </w:r>
            <w:r w:rsidR="00486FB1">
              <w:rPr>
                <w:rStyle w:val="Strong"/>
                <w:b w:val="0"/>
              </w:rPr>
              <w:t>ensure protection of human health and the environment</w:t>
            </w:r>
            <w:r w:rsidR="00B01AAC">
              <w:rPr>
                <w:rStyle w:val="Strong"/>
                <w:b w:val="0"/>
              </w:rPr>
              <w:t xml:space="preserve">, </w:t>
            </w:r>
            <w:r w:rsidR="0073232A">
              <w:rPr>
                <w:rStyle w:val="Strong"/>
                <w:b w:val="0"/>
              </w:rPr>
              <w:t>issues closures for</w:t>
            </w:r>
            <w:r w:rsidR="00870292">
              <w:rPr>
                <w:rStyle w:val="Strong"/>
                <w:b w:val="0"/>
              </w:rPr>
              <w:t xml:space="preserve"> eligible </w:t>
            </w:r>
            <w:r w:rsidR="003C4549">
              <w:rPr>
                <w:rStyle w:val="Strong"/>
                <w:b w:val="0"/>
              </w:rPr>
              <w:t>cases</w:t>
            </w:r>
            <w:r w:rsidR="00B524CD">
              <w:rPr>
                <w:rStyle w:val="Strong"/>
                <w:b w:val="0"/>
              </w:rPr>
              <w:t xml:space="preserve">, </w:t>
            </w:r>
            <w:r w:rsidR="003C4549">
              <w:rPr>
                <w:rStyle w:val="Strong"/>
                <w:b w:val="0"/>
              </w:rPr>
              <w:t>and coordinate with the</w:t>
            </w:r>
            <w:r w:rsidR="006517C9">
              <w:rPr>
                <w:rStyle w:val="Strong"/>
                <w:b w:val="0"/>
              </w:rPr>
              <w:t xml:space="preserve"> </w:t>
            </w:r>
            <w:r w:rsidR="006000AF">
              <w:rPr>
                <w:rStyle w:val="Strong"/>
                <w:b w:val="0"/>
              </w:rPr>
              <w:t xml:space="preserve">State Water Board and USEPA </w:t>
            </w:r>
            <w:r w:rsidR="006517C9">
              <w:rPr>
                <w:rStyle w:val="Strong"/>
                <w:b w:val="0"/>
              </w:rPr>
              <w:t xml:space="preserve">to address </w:t>
            </w:r>
            <w:r w:rsidR="00336301">
              <w:rPr>
                <w:rStyle w:val="Strong"/>
                <w:b w:val="0"/>
              </w:rPr>
              <w:t>remaining</w:t>
            </w:r>
            <w:r w:rsidR="006517C9">
              <w:rPr>
                <w:rStyle w:val="Strong"/>
                <w:b w:val="0"/>
              </w:rPr>
              <w:t xml:space="preserve"> “Inactive” cases</w:t>
            </w:r>
            <w:r w:rsidR="00B524CD">
              <w:rPr>
                <w:rStyle w:val="Strong"/>
                <w:b w:val="0"/>
              </w:rPr>
              <w:t>,</w:t>
            </w:r>
            <w:r w:rsidR="003C4549">
              <w:rPr>
                <w:rStyle w:val="Strong"/>
                <w:b w:val="0"/>
              </w:rPr>
              <w:t xml:space="preserve"> in addition to:</w:t>
            </w:r>
            <w:r w:rsidR="006517C9">
              <w:rPr>
                <w:rStyle w:val="Strong"/>
                <w:b w:val="0"/>
              </w:rPr>
              <w:t xml:space="preserve"> </w:t>
            </w:r>
          </w:p>
          <w:p w14:paraId="47574B8D" w14:textId="77777777" w:rsidR="00917763" w:rsidRPr="00631FCA" w:rsidRDefault="00917763" w:rsidP="00D61B59">
            <w:pPr>
              <w:rPr>
                <w:rStyle w:val="Strong"/>
                <w:b w:val="0"/>
              </w:rPr>
            </w:pPr>
          </w:p>
          <w:p w14:paraId="7AFA3809" w14:textId="0E241BF6" w:rsidR="004545D0" w:rsidRDefault="003C4549" w:rsidP="00430F75">
            <w:pPr>
              <w:pStyle w:val="ListParagraph"/>
              <w:numPr>
                <w:ilvl w:val="0"/>
                <w:numId w:val="12"/>
              </w:numPr>
              <w:rPr>
                <w:rStyle w:val="Strong"/>
                <w:b w:val="0"/>
              </w:rPr>
            </w:pPr>
            <w:r>
              <w:rPr>
                <w:rStyle w:val="Strong"/>
                <w:b w:val="0"/>
              </w:rPr>
              <w:t xml:space="preserve">Providing </w:t>
            </w:r>
            <w:r w:rsidR="004545D0">
              <w:rPr>
                <w:rStyle w:val="Strong"/>
                <w:b w:val="0"/>
              </w:rPr>
              <w:t xml:space="preserve">review and comment </w:t>
            </w:r>
            <w:r w:rsidR="0073232A">
              <w:rPr>
                <w:rStyle w:val="Strong"/>
                <w:b w:val="0"/>
              </w:rPr>
              <w:t>on</w:t>
            </w:r>
            <w:r w:rsidR="004545D0">
              <w:rPr>
                <w:rStyle w:val="Strong"/>
                <w:b w:val="0"/>
              </w:rPr>
              <w:t xml:space="preserve"> </w:t>
            </w:r>
            <w:proofErr w:type="spellStart"/>
            <w:r w:rsidR="004545D0">
              <w:rPr>
                <w:rStyle w:val="Strong"/>
                <w:b w:val="0"/>
              </w:rPr>
              <w:t>workplans</w:t>
            </w:r>
            <w:proofErr w:type="spellEnd"/>
            <w:r w:rsidR="004545D0">
              <w:rPr>
                <w:rStyle w:val="Strong"/>
                <w:b w:val="0"/>
              </w:rPr>
              <w:t xml:space="preserve"> and reports within 60 days of receipt</w:t>
            </w:r>
          </w:p>
          <w:p w14:paraId="6C44ACF9" w14:textId="77777777" w:rsidR="00486FB1" w:rsidRDefault="004545D0" w:rsidP="00430F75">
            <w:pPr>
              <w:pStyle w:val="ListParagraph"/>
              <w:numPr>
                <w:ilvl w:val="0"/>
                <w:numId w:val="12"/>
              </w:numPr>
              <w:rPr>
                <w:rStyle w:val="Strong"/>
                <w:b w:val="0"/>
              </w:rPr>
            </w:pPr>
            <w:r>
              <w:rPr>
                <w:rStyle w:val="Strong"/>
                <w:b w:val="0"/>
              </w:rPr>
              <w:t>Review</w:t>
            </w:r>
            <w:r w:rsidR="003C4549">
              <w:rPr>
                <w:rStyle w:val="Strong"/>
                <w:b w:val="0"/>
              </w:rPr>
              <w:t>ing</w:t>
            </w:r>
            <w:r>
              <w:rPr>
                <w:rStyle w:val="Strong"/>
                <w:b w:val="0"/>
              </w:rPr>
              <w:t xml:space="preserve"> </w:t>
            </w:r>
            <w:r w:rsidR="00486FB1">
              <w:rPr>
                <w:rStyle w:val="Strong"/>
                <w:b w:val="0"/>
              </w:rPr>
              <w:t xml:space="preserve">each </w:t>
            </w:r>
            <w:r>
              <w:rPr>
                <w:rStyle w:val="Strong"/>
                <w:b w:val="0"/>
              </w:rPr>
              <w:t>case</w:t>
            </w:r>
            <w:r w:rsidR="00870292">
              <w:rPr>
                <w:rStyle w:val="Strong"/>
                <w:b w:val="0"/>
              </w:rPr>
              <w:t xml:space="preserve"> annually</w:t>
            </w:r>
            <w:r w:rsidR="003C4549">
              <w:rPr>
                <w:rStyle w:val="Strong"/>
                <w:b w:val="0"/>
              </w:rPr>
              <w:t xml:space="preserve"> </w:t>
            </w:r>
          </w:p>
          <w:p w14:paraId="21ACC877" w14:textId="77777777" w:rsidR="004545D0" w:rsidRDefault="00486FB1" w:rsidP="00430F75">
            <w:pPr>
              <w:pStyle w:val="ListParagraph"/>
              <w:numPr>
                <w:ilvl w:val="0"/>
                <w:numId w:val="12"/>
              </w:numPr>
              <w:rPr>
                <w:rStyle w:val="Strong"/>
                <w:b w:val="0"/>
              </w:rPr>
            </w:pPr>
            <w:r>
              <w:rPr>
                <w:rStyle w:val="Strong"/>
                <w:b w:val="0"/>
              </w:rPr>
              <w:t>F</w:t>
            </w:r>
            <w:r w:rsidR="003C4549">
              <w:rPr>
                <w:rStyle w:val="Strong"/>
                <w:b w:val="0"/>
              </w:rPr>
              <w:t xml:space="preserve">illing </w:t>
            </w:r>
            <w:r w:rsidR="004545D0">
              <w:rPr>
                <w:rStyle w:val="Strong"/>
                <w:b w:val="0"/>
              </w:rPr>
              <w:t>out</w:t>
            </w:r>
            <w:r w:rsidR="00870292">
              <w:rPr>
                <w:rStyle w:val="Strong"/>
                <w:b w:val="0"/>
              </w:rPr>
              <w:t xml:space="preserve"> </w:t>
            </w:r>
            <w:r w:rsidR="006517C9">
              <w:rPr>
                <w:rStyle w:val="Strong"/>
                <w:b w:val="0"/>
              </w:rPr>
              <w:t>“</w:t>
            </w:r>
            <w:r w:rsidR="00870292">
              <w:rPr>
                <w:rStyle w:val="Strong"/>
                <w:b w:val="0"/>
              </w:rPr>
              <w:t>Policy</w:t>
            </w:r>
            <w:r w:rsidR="006517C9">
              <w:rPr>
                <w:rStyle w:val="Strong"/>
                <w:b w:val="0"/>
              </w:rPr>
              <w:t>”</w:t>
            </w:r>
            <w:r w:rsidR="004545D0" w:rsidRPr="00631FCA">
              <w:rPr>
                <w:rStyle w:val="Strong"/>
                <w:b w:val="0"/>
              </w:rPr>
              <w:t xml:space="preserve"> checklist</w:t>
            </w:r>
            <w:r w:rsidR="004545D0">
              <w:rPr>
                <w:rStyle w:val="Strong"/>
                <w:b w:val="0"/>
              </w:rPr>
              <w:t>s</w:t>
            </w:r>
            <w:r w:rsidR="00870292">
              <w:rPr>
                <w:rStyle w:val="Strong"/>
                <w:b w:val="0"/>
              </w:rPr>
              <w:t xml:space="preserve"> </w:t>
            </w:r>
            <w:r w:rsidR="006517C9">
              <w:rPr>
                <w:rStyle w:val="Strong"/>
                <w:b w:val="0"/>
              </w:rPr>
              <w:t xml:space="preserve">and “Paths to Closure” </w:t>
            </w:r>
            <w:r w:rsidR="00870292">
              <w:rPr>
                <w:rStyle w:val="Strong"/>
                <w:b w:val="0"/>
              </w:rPr>
              <w:t>every year</w:t>
            </w:r>
          </w:p>
          <w:p w14:paraId="7C934861" w14:textId="2150B850" w:rsidR="00917763" w:rsidRDefault="004545D0" w:rsidP="00430F75">
            <w:pPr>
              <w:pStyle w:val="ListParagraph"/>
              <w:numPr>
                <w:ilvl w:val="0"/>
                <w:numId w:val="12"/>
              </w:numPr>
              <w:rPr>
                <w:rStyle w:val="Strong"/>
                <w:b w:val="0"/>
              </w:rPr>
            </w:pPr>
            <w:r>
              <w:rPr>
                <w:rStyle w:val="Strong"/>
                <w:b w:val="0"/>
              </w:rPr>
              <w:t>D</w:t>
            </w:r>
            <w:r w:rsidR="00BD26C1" w:rsidRPr="00631FCA">
              <w:rPr>
                <w:rStyle w:val="Strong"/>
                <w:b w:val="0"/>
              </w:rPr>
              <w:t>irect</w:t>
            </w:r>
            <w:r w:rsidR="003C4549">
              <w:rPr>
                <w:rStyle w:val="Strong"/>
                <w:b w:val="0"/>
              </w:rPr>
              <w:t>ing</w:t>
            </w:r>
            <w:r>
              <w:rPr>
                <w:rStyle w:val="Strong"/>
                <w:b w:val="0"/>
              </w:rPr>
              <w:t xml:space="preserve"> </w:t>
            </w:r>
            <w:r w:rsidR="00917763" w:rsidRPr="00631FCA">
              <w:rPr>
                <w:rStyle w:val="Strong"/>
                <w:b w:val="0"/>
              </w:rPr>
              <w:t xml:space="preserve">investigation and remedial actions </w:t>
            </w:r>
            <w:r w:rsidR="00BD26C1" w:rsidRPr="00631FCA">
              <w:rPr>
                <w:rStyle w:val="Strong"/>
                <w:b w:val="0"/>
              </w:rPr>
              <w:t>to resolve “Impediments to Closure” identified</w:t>
            </w:r>
            <w:r w:rsidR="00870292">
              <w:rPr>
                <w:rStyle w:val="Strong"/>
                <w:b w:val="0"/>
              </w:rPr>
              <w:t xml:space="preserve"> during </w:t>
            </w:r>
            <w:r w:rsidR="006517C9">
              <w:rPr>
                <w:rStyle w:val="Strong"/>
                <w:b w:val="0"/>
              </w:rPr>
              <w:t xml:space="preserve">the </w:t>
            </w:r>
            <w:r w:rsidR="00870292">
              <w:rPr>
                <w:rStyle w:val="Strong"/>
                <w:b w:val="0"/>
              </w:rPr>
              <w:t xml:space="preserve">annual </w:t>
            </w:r>
            <w:r w:rsidR="003C4549">
              <w:rPr>
                <w:rStyle w:val="Strong"/>
                <w:b w:val="0"/>
              </w:rPr>
              <w:t>“</w:t>
            </w:r>
            <w:r w:rsidR="00870292">
              <w:rPr>
                <w:rStyle w:val="Strong"/>
                <w:b w:val="0"/>
              </w:rPr>
              <w:t>Policy</w:t>
            </w:r>
            <w:r w:rsidR="003C4549">
              <w:rPr>
                <w:rStyle w:val="Strong"/>
                <w:b w:val="0"/>
              </w:rPr>
              <w:t>”</w:t>
            </w:r>
            <w:r w:rsidR="00BD26C1" w:rsidRPr="00631FCA">
              <w:rPr>
                <w:rStyle w:val="Strong"/>
                <w:b w:val="0"/>
              </w:rPr>
              <w:t xml:space="preserve"> checklist reviews</w:t>
            </w:r>
            <w:r w:rsidR="00917763" w:rsidRPr="00631FCA">
              <w:rPr>
                <w:rStyle w:val="Strong"/>
                <w:b w:val="0"/>
              </w:rPr>
              <w:t xml:space="preserve"> </w:t>
            </w:r>
          </w:p>
          <w:p w14:paraId="394CB88F" w14:textId="77777777" w:rsidR="00226DA0" w:rsidRPr="00631FCA" w:rsidRDefault="00226DA0" w:rsidP="00226DA0">
            <w:pPr>
              <w:pStyle w:val="ListParagraph"/>
              <w:numPr>
                <w:ilvl w:val="0"/>
                <w:numId w:val="12"/>
              </w:numPr>
              <w:rPr>
                <w:rStyle w:val="Strong"/>
                <w:b w:val="0"/>
              </w:rPr>
            </w:pPr>
            <w:r>
              <w:rPr>
                <w:rStyle w:val="Strong"/>
                <w:b w:val="0"/>
              </w:rPr>
              <w:t xml:space="preserve">Coordinating and collaborating </w:t>
            </w:r>
            <w:r w:rsidRPr="00631FCA">
              <w:rPr>
                <w:rStyle w:val="Strong"/>
                <w:b w:val="0"/>
              </w:rPr>
              <w:t>with responsible partie</w:t>
            </w:r>
            <w:r>
              <w:rPr>
                <w:rStyle w:val="Strong"/>
                <w:b w:val="0"/>
              </w:rPr>
              <w:t>s and UST Cleanup Fund staff to develop “Project Execution Plans”</w:t>
            </w:r>
          </w:p>
          <w:p w14:paraId="4F512196" w14:textId="77777777" w:rsidR="00870292" w:rsidRPr="00631FCA" w:rsidRDefault="00870292" w:rsidP="00430F75">
            <w:pPr>
              <w:pStyle w:val="ListParagraph"/>
              <w:numPr>
                <w:ilvl w:val="0"/>
                <w:numId w:val="12"/>
              </w:numPr>
              <w:rPr>
                <w:rStyle w:val="Strong"/>
                <w:b w:val="0"/>
              </w:rPr>
            </w:pPr>
            <w:r>
              <w:rPr>
                <w:rStyle w:val="Strong"/>
                <w:b w:val="0"/>
              </w:rPr>
              <w:t>Conduct</w:t>
            </w:r>
            <w:r w:rsidR="003C4549">
              <w:rPr>
                <w:rStyle w:val="Strong"/>
                <w:b w:val="0"/>
              </w:rPr>
              <w:t>ing</w:t>
            </w:r>
            <w:r>
              <w:rPr>
                <w:rStyle w:val="Strong"/>
                <w:b w:val="0"/>
              </w:rPr>
              <w:t xml:space="preserve"> public participation for all proposed closures </w:t>
            </w:r>
          </w:p>
          <w:p w14:paraId="768256F3" w14:textId="77777777" w:rsidR="00870292" w:rsidRDefault="003C4549" w:rsidP="00870292">
            <w:pPr>
              <w:pStyle w:val="ListParagraph"/>
              <w:numPr>
                <w:ilvl w:val="0"/>
                <w:numId w:val="12"/>
              </w:numPr>
              <w:rPr>
                <w:rStyle w:val="Strong"/>
                <w:b w:val="0"/>
              </w:rPr>
            </w:pPr>
            <w:r>
              <w:rPr>
                <w:rStyle w:val="Strong"/>
                <w:b w:val="0"/>
              </w:rPr>
              <w:t>Providing</w:t>
            </w:r>
            <w:r w:rsidR="00430F75" w:rsidRPr="00631FCA">
              <w:rPr>
                <w:rStyle w:val="Strong"/>
                <w:b w:val="0"/>
              </w:rPr>
              <w:t xml:space="preserve"> technical and contract assistance to </w:t>
            </w:r>
            <w:r w:rsidR="006517C9">
              <w:rPr>
                <w:rStyle w:val="Strong"/>
                <w:b w:val="0"/>
              </w:rPr>
              <w:t xml:space="preserve">the </w:t>
            </w:r>
            <w:r w:rsidR="00870292">
              <w:rPr>
                <w:rStyle w:val="Strong"/>
                <w:b w:val="0"/>
              </w:rPr>
              <w:t>EAR program</w:t>
            </w:r>
          </w:p>
          <w:p w14:paraId="014E91DB" w14:textId="77777777" w:rsidR="00F524AD" w:rsidRDefault="003C4549" w:rsidP="00870292">
            <w:pPr>
              <w:pStyle w:val="ListParagraph"/>
              <w:numPr>
                <w:ilvl w:val="0"/>
                <w:numId w:val="12"/>
              </w:numPr>
              <w:rPr>
                <w:rStyle w:val="Strong"/>
                <w:b w:val="0"/>
              </w:rPr>
            </w:pPr>
            <w:r>
              <w:rPr>
                <w:rStyle w:val="Strong"/>
                <w:b w:val="0"/>
              </w:rPr>
              <w:t>Ensuring</w:t>
            </w:r>
            <w:r w:rsidR="00A950DD" w:rsidRPr="00631FCA">
              <w:rPr>
                <w:rStyle w:val="Strong"/>
                <w:b w:val="0"/>
              </w:rPr>
              <w:t xml:space="preserve"> information in </w:t>
            </w:r>
            <w:proofErr w:type="spellStart"/>
            <w:r w:rsidR="00A950DD" w:rsidRPr="00631FCA">
              <w:rPr>
                <w:rStyle w:val="Strong"/>
                <w:b w:val="0"/>
              </w:rPr>
              <w:t>Geotracker</w:t>
            </w:r>
            <w:proofErr w:type="spellEnd"/>
            <w:r w:rsidR="00A950DD" w:rsidRPr="00631FCA">
              <w:rPr>
                <w:rStyle w:val="Strong"/>
                <w:b w:val="0"/>
              </w:rPr>
              <w:t xml:space="preserve"> is up to date and available for public review</w:t>
            </w:r>
          </w:p>
          <w:p w14:paraId="3E3E2F7D" w14:textId="77777777" w:rsidR="006517C9" w:rsidRPr="005A35D5" w:rsidRDefault="003C4549" w:rsidP="00870292">
            <w:pPr>
              <w:pStyle w:val="ListParagraph"/>
              <w:numPr>
                <w:ilvl w:val="0"/>
                <w:numId w:val="12"/>
              </w:numPr>
              <w:rPr>
                <w:rStyle w:val="Strong"/>
                <w:b w:val="0"/>
              </w:rPr>
            </w:pPr>
            <w:r>
              <w:rPr>
                <w:rStyle w:val="Strong"/>
                <w:b w:val="0"/>
              </w:rPr>
              <w:t>Participating</w:t>
            </w:r>
            <w:r w:rsidR="006517C9">
              <w:rPr>
                <w:rStyle w:val="Strong"/>
                <w:b w:val="0"/>
              </w:rPr>
              <w:t xml:space="preserve"> in</w:t>
            </w:r>
            <w:r>
              <w:rPr>
                <w:rStyle w:val="Strong"/>
                <w:b w:val="0"/>
              </w:rPr>
              <w:t xml:space="preserve"> Program roundtables and training</w:t>
            </w:r>
          </w:p>
        </w:tc>
      </w:tr>
    </w:tbl>
    <w:p w14:paraId="7BF7761E" w14:textId="77777777" w:rsidR="003C4549" w:rsidRDefault="003C4549"/>
    <w:p w14:paraId="5F7B6318" w14:textId="77777777" w:rsidR="00A61642" w:rsidRDefault="00A61642"/>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878"/>
      </w:tblGrid>
      <w:tr w:rsidR="00D22E6D" w14:paraId="67949CD6" w14:textId="77777777" w:rsidTr="00CD6585">
        <w:tc>
          <w:tcPr>
            <w:tcW w:w="9878" w:type="dxa"/>
            <w:tcBorders>
              <w:bottom w:val="single" w:sz="4" w:space="0" w:color="auto"/>
            </w:tcBorders>
            <w:shd w:val="clear" w:color="auto" w:fill="DAEEF3" w:themeFill="accent5" w:themeFillTint="33"/>
          </w:tcPr>
          <w:p w14:paraId="1B9575D9" w14:textId="77777777" w:rsidR="00D22E6D" w:rsidRDefault="00D22E6D" w:rsidP="00572047">
            <w:pPr>
              <w:tabs>
                <w:tab w:val="left" w:pos="1815"/>
              </w:tabs>
              <w:spacing w:after="120"/>
              <w:rPr>
                <w:rStyle w:val="Strong"/>
                <w:b w:val="0"/>
                <w:sz w:val="32"/>
              </w:rPr>
            </w:pPr>
            <w:r w:rsidRPr="00BC03BB">
              <w:rPr>
                <w:rStyle w:val="Strong"/>
                <w:b w:val="0"/>
                <w:sz w:val="32"/>
              </w:rPr>
              <w:lastRenderedPageBreak/>
              <w:t>Accomplishments</w:t>
            </w:r>
            <w:r w:rsidR="00631FCA">
              <w:rPr>
                <w:rStyle w:val="Strong"/>
                <w:b w:val="0"/>
                <w:sz w:val="32"/>
              </w:rPr>
              <w:t xml:space="preserve"> (March 201</w:t>
            </w:r>
            <w:r w:rsidR="006000AF">
              <w:rPr>
                <w:rStyle w:val="Strong"/>
                <w:b w:val="0"/>
                <w:sz w:val="32"/>
              </w:rPr>
              <w:t>7</w:t>
            </w:r>
            <w:r w:rsidR="00F57953">
              <w:rPr>
                <w:rStyle w:val="Strong"/>
                <w:b w:val="0"/>
                <w:sz w:val="32"/>
              </w:rPr>
              <w:t xml:space="preserve"> to Present)</w:t>
            </w:r>
          </w:p>
          <w:p w14:paraId="4FD6CF69" w14:textId="77777777" w:rsidR="00621E94" w:rsidRDefault="00621E94" w:rsidP="00621E94">
            <w:pPr>
              <w:pStyle w:val="ListParagraph"/>
              <w:numPr>
                <w:ilvl w:val="0"/>
                <w:numId w:val="5"/>
              </w:numPr>
              <w:ind w:left="360"/>
              <w:rPr>
                <w:rStyle w:val="Strong"/>
                <w:b w:val="0"/>
              </w:rPr>
            </w:pPr>
            <w:r>
              <w:rPr>
                <w:rStyle w:val="Strong"/>
                <w:b w:val="0"/>
              </w:rPr>
              <w:t>Updated “Policy” checklists and “Paths to Closure”</w:t>
            </w:r>
          </w:p>
          <w:p w14:paraId="7EDFD737" w14:textId="2881D498" w:rsidR="00621E94" w:rsidRPr="00631FCA" w:rsidRDefault="00621E94" w:rsidP="00621E94">
            <w:pPr>
              <w:pStyle w:val="ListParagraph"/>
              <w:numPr>
                <w:ilvl w:val="0"/>
                <w:numId w:val="5"/>
              </w:numPr>
              <w:ind w:left="360"/>
              <w:rPr>
                <w:rStyle w:val="Strong"/>
                <w:b w:val="0"/>
              </w:rPr>
            </w:pPr>
            <w:r w:rsidRPr="00631FCA">
              <w:rPr>
                <w:rStyle w:val="Strong"/>
                <w:b w:val="0"/>
              </w:rPr>
              <w:t>Responded to work plans and case closure requests within 60 days over 90</w:t>
            </w:r>
            <w:r w:rsidR="00CC6465">
              <w:rPr>
                <w:rStyle w:val="Strong"/>
                <w:b w:val="0"/>
              </w:rPr>
              <w:t xml:space="preserve"> percent</w:t>
            </w:r>
            <w:r w:rsidRPr="00631FCA">
              <w:rPr>
                <w:rStyle w:val="Strong"/>
                <w:b w:val="0"/>
              </w:rPr>
              <w:t xml:space="preserve"> of the time </w:t>
            </w:r>
          </w:p>
          <w:p w14:paraId="6C5064A5" w14:textId="4A658361" w:rsidR="00BF6DFF" w:rsidRDefault="00BF6DFF" w:rsidP="00C1131B">
            <w:pPr>
              <w:pStyle w:val="ListParagraph"/>
              <w:numPr>
                <w:ilvl w:val="0"/>
                <w:numId w:val="5"/>
              </w:numPr>
              <w:ind w:left="360"/>
              <w:rPr>
                <w:rStyle w:val="Strong"/>
                <w:b w:val="0"/>
              </w:rPr>
            </w:pPr>
            <w:r>
              <w:rPr>
                <w:rStyle w:val="Strong"/>
                <w:b w:val="0"/>
              </w:rPr>
              <w:t xml:space="preserve">Worked cooperatively with State </w:t>
            </w:r>
            <w:r w:rsidR="00CC6465">
              <w:rPr>
                <w:rStyle w:val="Strong"/>
                <w:b w:val="0"/>
              </w:rPr>
              <w:t xml:space="preserve">Water </w:t>
            </w:r>
            <w:r>
              <w:rPr>
                <w:rStyle w:val="Strong"/>
                <w:b w:val="0"/>
              </w:rPr>
              <w:t xml:space="preserve">Board and USEPA staff to identify potential paths to closure for </w:t>
            </w:r>
            <w:r w:rsidR="00B56668">
              <w:rPr>
                <w:rStyle w:val="Strong"/>
                <w:b w:val="0"/>
              </w:rPr>
              <w:t>select</w:t>
            </w:r>
            <w:r>
              <w:rPr>
                <w:rStyle w:val="Strong"/>
                <w:b w:val="0"/>
              </w:rPr>
              <w:t xml:space="preserve"> “stuck” cases.</w:t>
            </w:r>
          </w:p>
          <w:p w14:paraId="6331FDF5" w14:textId="77777777" w:rsidR="00BF6DFF" w:rsidRDefault="00B56668" w:rsidP="00C1131B">
            <w:pPr>
              <w:pStyle w:val="ListParagraph"/>
              <w:numPr>
                <w:ilvl w:val="0"/>
                <w:numId w:val="5"/>
              </w:numPr>
              <w:ind w:left="360"/>
              <w:rPr>
                <w:rStyle w:val="Strong"/>
                <w:b w:val="0"/>
              </w:rPr>
            </w:pPr>
            <w:r>
              <w:rPr>
                <w:rStyle w:val="Strong"/>
                <w:b w:val="0"/>
              </w:rPr>
              <w:t>Assisted in the development of</w:t>
            </w:r>
            <w:r w:rsidR="00BF6DFF">
              <w:rPr>
                <w:rStyle w:val="Strong"/>
                <w:b w:val="0"/>
              </w:rPr>
              <w:t xml:space="preserve"> project execution plans for </w:t>
            </w:r>
            <w:r>
              <w:rPr>
                <w:rStyle w:val="Strong"/>
                <w:b w:val="0"/>
              </w:rPr>
              <w:t>each of t</w:t>
            </w:r>
            <w:r w:rsidR="002A653C">
              <w:rPr>
                <w:rStyle w:val="Strong"/>
                <w:b w:val="0"/>
              </w:rPr>
              <w:t xml:space="preserve">he </w:t>
            </w:r>
            <w:r w:rsidR="00BF6DFF">
              <w:rPr>
                <w:rStyle w:val="Strong"/>
                <w:b w:val="0"/>
              </w:rPr>
              <w:t>six Emergency, Abandoned, and Recalcitrant (EAR) program nominated sites.</w:t>
            </w:r>
          </w:p>
          <w:p w14:paraId="0FE88F20" w14:textId="77777777" w:rsidR="00486FB1" w:rsidRPr="00FF11B2" w:rsidRDefault="00486FB1" w:rsidP="00FF11B2">
            <w:pPr>
              <w:pStyle w:val="ListParagraph"/>
              <w:numPr>
                <w:ilvl w:val="0"/>
                <w:numId w:val="5"/>
              </w:numPr>
              <w:ind w:left="360"/>
              <w:rPr>
                <w:rStyle w:val="Strong"/>
                <w:b w:val="0"/>
              </w:rPr>
            </w:pPr>
            <w:r>
              <w:rPr>
                <w:rStyle w:val="Strong"/>
                <w:b w:val="0"/>
              </w:rPr>
              <w:t>Used informal enforcement directives to achieve monitoring well abandonment prior to closure</w:t>
            </w:r>
            <w:r w:rsidR="00060BD3">
              <w:rPr>
                <w:rStyle w:val="Strong"/>
                <w:b w:val="0"/>
              </w:rPr>
              <w:t xml:space="preserve"> for se</w:t>
            </w:r>
            <w:r w:rsidR="00B56668">
              <w:rPr>
                <w:rStyle w:val="Strong"/>
                <w:b w:val="0"/>
              </w:rPr>
              <w:t xml:space="preserve">veral </w:t>
            </w:r>
            <w:r w:rsidR="00060BD3">
              <w:rPr>
                <w:rStyle w:val="Strong"/>
                <w:b w:val="0"/>
              </w:rPr>
              <w:t>stalled cases</w:t>
            </w:r>
            <w:r w:rsidR="002A653C">
              <w:rPr>
                <w:rStyle w:val="Strong"/>
                <w:b w:val="0"/>
              </w:rPr>
              <w:t>.</w:t>
            </w:r>
          </w:p>
          <w:p w14:paraId="67C78069" w14:textId="77777777" w:rsidR="00486FB1" w:rsidRDefault="00FF11B2" w:rsidP="00C1131B">
            <w:pPr>
              <w:pStyle w:val="ListParagraph"/>
              <w:numPr>
                <w:ilvl w:val="0"/>
                <w:numId w:val="5"/>
              </w:numPr>
              <w:ind w:left="360"/>
              <w:rPr>
                <w:rStyle w:val="Strong"/>
                <w:b w:val="0"/>
              </w:rPr>
            </w:pPr>
            <w:r>
              <w:rPr>
                <w:rStyle w:val="Strong"/>
                <w:b w:val="0"/>
              </w:rPr>
              <w:t>Ensured adequate public participation opportunity for proposed closures</w:t>
            </w:r>
            <w:r w:rsidR="00060BD3">
              <w:rPr>
                <w:rStyle w:val="Strong"/>
                <w:b w:val="0"/>
              </w:rPr>
              <w:t xml:space="preserve"> in Baker area</w:t>
            </w:r>
            <w:r>
              <w:rPr>
                <w:rStyle w:val="Strong"/>
                <w:b w:val="0"/>
              </w:rPr>
              <w:t xml:space="preserve"> through coordination with the Office of Public Participation</w:t>
            </w:r>
          </w:p>
          <w:p w14:paraId="6B96286A" w14:textId="77777777" w:rsidR="00621E94" w:rsidRDefault="00621E94" w:rsidP="005A35D5">
            <w:pPr>
              <w:pStyle w:val="ListParagraph"/>
              <w:numPr>
                <w:ilvl w:val="0"/>
                <w:numId w:val="5"/>
              </w:numPr>
              <w:ind w:left="360"/>
              <w:rPr>
                <w:rStyle w:val="Strong"/>
                <w:b w:val="0"/>
              </w:rPr>
            </w:pPr>
            <w:r>
              <w:rPr>
                <w:rStyle w:val="Strong"/>
                <w:b w:val="0"/>
              </w:rPr>
              <w:t xml:space="preserve">Updated and uploaded information to </w:t>
            </w:r>
            <w:proofErr w:type="spellStart"/>
            <w:r>
              <w:rPr>
                <w:rStyle w:val="Strong"/>
                <w:b w:val="0"/>
              </w:rPr>
              <w:t>Geotracker</w:t>
            </w:r>
            <w:proofErr w:type="spellEnd"/>
            <w:r>
              <w:rPr>
                <w:rStyle w:val="Strong"/>
                <w:b w:val="0"/>
              </w:rPr>
              <w:t xml:space="preserve"> for public review </w:t>
            </w:r>
          </w:p>
          <w:p w14:paraId="7A995667" w14:textId="77777777" w:rsidR="008D6090" w:rsidRPr="005A35D5" w:rsidRDefault="008D6090" w:rsidP="00621E94">
            <w:pPr>
              <w:pStyle w:val="ListParagraph"/>
              <w:ind w:left="360"/>
              <w:rPr>
                <w:rStyle w:val="Strong"/>
                <w:b w:val="0"/>
              </w:rPr>
            </w:pPr>
          </w:p>
        </w:tc>
      </w:tr>
      <w:tr w:rsidR="00D22E6D" w:rsidRPr="00C1131B" w14:paraId="14C67A14" w14:textId="77777777" w:rsidTr="00CD6585">
        <w:tc>
          <w:tcPr>
            <w:tcW w:w="9878" w:type="dxa"/>
            <w:tcBorders>
              <w:left w:val="nil"/>
              <w:bottom w:val="single" w:sz="4" w:space="0" w:color="auto"/>
              <w:right w:val="nil"/>
            </w:tcBorders>
            <w:tcMar>
              <w:top w:w="0" w:type="dxa"/>
              <w:bottom w:w="0" w:type="dxa"/>
            </w:tcMar>
          </w:tcPr>
          <w:p w14:paraId="4B519B7A" w14:textId="77777777" w:rsidR="00D22E6D" w:rsidRPr="00C1131B" w:rsidRDefault="00D22E6D" w:rsidP="006E02DD">
            <w:pPr>
              <w:rPr>
                <w:rStyle w:val="Strong"/>
                <w:b w:val="0"/>
                <w:sz w:val="18"/>
              </w:rPr>
            </w:pPr>
          </w:p>
        </w:tc>
      </w:tr>
      <w:tr w:rsidR="00FF46A9" w14:paraId="7926B656" w14:textId="77777777" w:rsidTr="006517C9">
        <w:trPr>
          <w:trHeight w:val="3770"/>
        </w:trPr>
        <w:tc>
          <w:tcPr>
            <w:tcW w:w="9878" w:type="dxa"/>
            <w:shd w:val="clear" w:color="auto" w:fill="DAEEF3" w:themeFill="accent5" w:themeFillTint="33"/>
          </w:tcPr>
          <w:p w14:paraId="1D46142E" w14:textId="77777777" w:rsidR="00A50CDC" w:rsidRDefault="00785AE7" w:rsidP="00A50CDC">
            <w:pPr>
              <w:tabs>
                <w:tab w:val="left" w:pos="1815"/>
              </w:tabs>
              <w:rPr>
                <w:rStyle w:val="Strong"/>
                <w:b w:val="0"/>
                <w:sz w:val="32"/>
                <w:szCs w:val="32"/>
              </w:rPr>
            </w:pPr>
            <w:r w:rsidRPr="00785AE7">
              <w:rPr>
                <w:rStyle w:val="Strong"/>
                <w:b w:val="0"/>
                <w:sz w:val="32"/>
                <w:szCs w:val="32"/>
              </w:rPr>
              <w:t>Performance Targets</w:t>
            </w:r>
            <w:r w:rsidR="00716B2B">
              <w:rPr>
                <w:rStyle w:val="Strong"/>
                <w:b w:val="0"/>
                <w:sz w:val="32"/>
                <w:szCs w:val="32"/>
              </w:rPr>
              <w:t xml:space="preserve"> and Measures</w:t>
            </w:r>
          </w:p>
          <w:p w14:paraId="2480E40E" w14:textId="77777777" w:rsidR="00A50CDC" w:rsidRDefault="00A50CDC" w:rsidP="00A50CDC">
            <w:pPr>
              <w:tabs>
                <w:tab w:val="left" w:pos="1815"/>
              </w:tabs>
              <w:rPr>
                <w:rStyle w:val="Strong"/>
                <w:b w:val="0"/>
                <w:u w:val="single"/>
              </w:rPr>
            </w:pPr>
          </w:p>
          <w:p w14:paraId="7FB9C187" w14:textId="1B735636" w:rsidR="00A50CDC" w:rsidRPr="00A50CDC" w:rsidRDefault="00A50CDC" w:rsidP="00A50CDC">
            <w:pPr>
              <w:tabs>
                <w:tab w:val="left" w:pos="1815"/>
              </w:tabs>
              <w:rPr>
                <w:rStyle w:val="Strong"/>
                <w:b w:val="0"/>
                <w:u w:val="single"/>
              </w:rPr>
            </w:pPr>
            <w:r w:rsidRPr="00A50CDC">
              <w:rPr>
                <w:rStyle w:val="Strong"/>
                <w:b w:val="0"/>
                <w:u w:val="single"/>
              </w:rPr>
              <w:t xml:space="preserve">Summary </w:t>
            </w:r>
            <w:r w:rsidR="00631FCA">
              <w:rPr>
                <w:rStyle w:val="Strong"/>
                <w:b w:val="0"/>
                <w:u w:val="single"/>
              </w:rPr>
              <w:t xml:space="preserve">of Performance </w:t>
            </w:r>
            <w:r w:rsidR="00CC6465">
              <w:rPr>
                <w:rStyle w:val="Strong"/>
                <w:b w:val="0"/>
                <w:u w:val="single"/>
              </w:rPr>
              <w:t>T</w:t>
            </w:r>
            <w:r w:rsidR="00631FCA">
              <w:rPr>
                <w:rStyle w:val="Strong"/>
                <w:b w:val="0"/>
                <w:u w:val="single"/>
              </w:rPr>
              <w:t>argets for FY 1</w:t>
            </w:r>
            <w:r w:rsidR="002258F6">
              <w:rPr>
                <w:rStyle w:val="Strong"/>
                <w:b w:val="0"/>
                <w:u w:val="single"/>
              </w:rPr>
              <w:t>6</w:t>
            </w:r>
            <w:r w:rsidR="00631FCA">
              <w:rPr>
                <w:rStyle w:val="Strong"/>
                <w:b w:val="0"/>
                <w:u w:val="single"/>
              </w:rPr>
              <w:t>-1</w:t>
            </w:r>
            <w:r w:rsidR="002258F6">
              <w:rPr>
                <w:rStyle w:val="Strong"/>
                <w:b w:val="0"/>
                <w:u w:val="single"/>
              </w:rPr>
              <w:t>7</w:t>
            </w:r>
          </w:p>
          <w:p w14:paraId="14424D15" w14:textId="787CE355" w:rsidR="00A50CDC" w:rsidRPr="006A22C8" w:rsidRDefault="008D6090" w:rsidP="00A50CDC">
            <w:pPr>
              <w:pStyle w:val="ListParagraph"/>
              <w:numPr>
                <w:ilvl w:val="0"/>
                <w:numId w:val="3"/>
              </w:numPr>
              <w:tabs>
                <w:tab w:val="left" w:pos="5850"/>
              </w:tabs>
              <w:ind w:left="360"/>
              <w:rPr>
                <w:rStyle w:val="Strong"/>
                <w:b w:val="0"/>
              </w:rPr>
            </w:pPr>
            <w:r>
              <w:rPr>
                <w:rStyle w:val="Strong"/>
                <w:b w:val="0"/>
              </w:rPr>
              <w:t xml:space="preserve">Number of </w:t>
            </w:r>
            <w:r w:rsidR="00CC6465">
              <w:rPr>
                <w:rStyle w:val="Strong"/>
                <w:b w:val="0"/>
              </w:rPr>
              <w:t xml:space="preserve">projected </w:t>
            </w:r>
            <w:r>
              <w:rPr>
                <w:rStyle w:val="Strong"/>
                <w:b w:val="0"/>
              </w:rPr>
              <w:t>case clos</w:t>
            </w:r>
            <w:r w:rsidR="00CC6465">
              <w:rPr>
                <w:rStyle w:val="Strong"/>
                <w:b w:val="0"/>
              </w:rPr>
              <w:t>ures</w:t>
            </w:r>
            <w:r>
              <w:rPr>
                <w:rStyle w:val="Strong"/>
                <w:b w:val="0"/>
              </w:rPr>
              <w:t xml:space="preserve">: </w:t>
            </w:r>
            <w:r w:rsidR="00DA0C42">
              <w:rPr>
                <w:rStyle w:val="Strong"/>
                <w:b w:val="0"/>
              </w:rPr>
              <w:t>18</w:t>
            </w:r>
            <w:r w:rsidR="002258F6">
              <w:rPr>
                <w:rStyle w:val="Strong"/>
                <w:b w:val="0"/>
              </w:rPr>
              <w:t xml:space="preserve"> </w:t>
            </w:r>
            <w:r w:rsidR="00A50CDC">
              <w:rPr>
                <w:rStyle w:val="Strong"/>
                <w:b w:val="0"/>
              </w:rPr>
              <w:t xml:space="preserve">                                    C</w:t>
            </w:r>
            <w:r w:rsidR="00A50CDC" w:rsidRPr="006A22C8">
              <w:rPr>
                <w:rStyle w:val="Strong"/>
                <w:b w:val="0"/>
              </w:rPr>
              <w:t>ompleted:</w:t>
            </w:r>
            <w:r w:rsidR="00A50CDC">
              <w:rPr>
                <w:rStyle w:val="Strong"/>
                <w:b w:val="0"/>
              </w:rPr>
              <w:t xml:space="preserve"> 2</w:t>
            </w:r>
            <w:r w:rsidR="002258F6">
              <w:rPr>
                <w:rStyle w:val="Strong"/>
                <w:b w:val="0"/>
              </w:rPr>
              <w:t>2</w:t>
            </w:r>
          </w:p>
          <w:p w14:paraId="4E93EDFA" w14:textId="35C56CD5" w:rsidR="00A50CDC" w:rsidRDefault="00A50CDC" w:rsidP="00A50CDC">
            <w:pPr>
              <w:pStyle w:val="ListParagraph"/>
              <w:numPr>
                <w:ilvl w:val="0"/>
                <w:numId w:val="3"/>
              </w:numPr>
              <w:spacing w:after="240"/>
              <w:ind w:left="360"/>
              <w:rPr>
                <w:rStyle w:val="Strong"/>
                <w:b w:val="0"/>
              </w:rPr>
            </w:pPr>
            <w:r w:rsidRPr="006A22C8">
              <w:rPr>
                <w:rStyle w:val="Strong"/>
                <w:b w:val="0"/>
              </w:rPr>
              <w:t xml:space="preserve">Number of </w:t>
            </w:r>
            <w:r w:rsidR="00CC6465">
              <w:rPr>
                <w:rStyle w:val="Strong"/>
                <w:b w:val="0"/>
              </w:rPr>
              <w:t xml:space="preserve">projected </w:t>
            </w:r>
            <w:r w:rsidRPr="006A22C8">
              <w:rPr>
                <w:rStyle w:val="Strong"/>
                <w:b w:val="0"/>
              </w:rPr>
              <w:t>cases into active remediation</w:t>
            </w:r>
            <w:r>
              <w:rPr>
                <w:rStyle w:val="Strong"/>
                <w:b w:val="0"/>
              </w:rPr>
              <w:t xml:space="preserve">*: </w:t>
            </w:r>
            <w:r w:rsidR="00DA0C42">
              <w:rPr>
                <w:rStyle w:val="Strong"/>
                <w:b w:val="0"/>
              </w:rPr>
              <w:t>1</w:t>
            </w:r>
            <w:r>
              <w:rPr>
                <w:rStyle w:val="Strong"/>
                <w:b w:val="0"/>
              </w:rPr>
              <w:t xml:space="preserve">            </w:t>
            </w:r>
            <w:r w:rsidR="00CC6465">
              <w:rPr>
                <w:rStyle w:val="Strong"/>
                <w:b w:val="0"/>
              </w:rPr>
              <w:t xml:space="preserve"> </w:t>
            </w:r>
            <w:r w:rsidRPr="006A22C8">
              <w:rPr>
                <w:rStyle w:val="Strong"/>
                <w:b w:val="0"/>
              </w:rPr>
              <w:t xml:space="preserve">Completed: </w:t>
            </w:r>
            <w:r>
              <w:rPr>
                <w:rStyle w:val="Strong"/>
                <w:b w:val="0"/>
              </w:rPr>
              <w:t xml:space="preserve"> </w:t>
            </w:r>
            <w:r w:rsidR="00DA0C42">
              <w:rPr>
                <w:rStyle w:val="Strong"/>
                <w:b w:val="0"/>
              </w:rPr>
              <w:t>1</w:t>
            </w:r>
          </w:p>
          <w:p w14:paraId="1C1D7760" w14:textId="77777777" w:rsidR="00A50CDC" w:rsidRDefault="00A50CDC" w:rsidP="00A50CDC">
            <w:pPr>
              <w:pStyle w:val="ListParagraph"/>
              <w:spacing w:after="240"/>
              <w:ind w:left="360"/>
              <w:rPr>
                <w:rStyle w:val="Strong"/>
                <w:b w:val="0"/>
                <w:i/>
                <w:sz w:val="20"/>
                <w:szCs w:val="20"/>
              </w:rPr>
            </w:pPr>
          </w:p>
          <w:p w14:paraId="31795267" w14:textId="03482C21" w:rsidR="008A7183" w:rsidRPr="00CD6585" w:rsidRDefault="008A7183" w:rsidP="008A7183">
            <w:pPr>
              <w:tabs>
                <w:tab w:val="left" w:pos="1815"/>
              </w:tabs>
              <w:rPr>
                <w:rStyle w:val="Strong"/>
                <w:b w:val="0"/>
                <w:u w:val="single"/>
              </w:rPr>
            </w:pPr>
            <w:r>
              <w:rPr>
                <w:rStyle w:val="Strong"/>
                <w:b w:val="0"/>
                <w:u w:val="single"/>
              </w:rPr>
              <w:t xml:space="preserve">Performance </w:t>
            </w:r>
            <w:r w:rsidR="00CC6465">
              <w:rPr>
                <w:rStyle w:val="Strong"/>
                <w:b w:val="0"/>
                <w:u w:val="single"/>
              </w:rPr>
              <w:t>T</w:t>
            </w:r>
            <w:r>
              <w:rPr>
                <w:rStyle w:val="Strong"/>
                <w:b w:val="0"/>
                <w:u w:val="single"/>
              </w:rPr>
              <w:t xml:space="preserve">argets for </w:t>
            </w:r>
            <w:r w:rsidR="00631FCA">
              <w:rPr>
                <w:rStyle w:val="Strong"/>
                <w:b w:val="0"/>
                <w:u w:val="single"/>
              </w:rPr>
              <w:t>FY 1</w:t>
            </w:r>
            <w:r w:rsidR="002258F6">
              <w:rPr>
                <w:rStyle w:val="Strong"/>
                <w:b w:val="0"/>
                <w:u w:val="single"/>
              </w:rPr>
              <w:t>7</w:t>
            </w:r>
            <w:r w:rsidR="00631FCA">
              <w:rPr>
                <w:rStyle w:val="Strong"/>
                <w:b w:val="0"/>
                <w:u w:val="single"/>
              </w:rPr>
              <w:t>-1</w:t>
            </w:r>
            <w:r w:rsidR="002258F6">
              <w:rPr>
                <w:rStyle w:val="Strong"/>
                <w:b w:val="0"/>
                <w:u w:val="single"/>
              </w:rPr>
              <w:t>8</w:t>
            </w:r>
            <w:r>
              <w:rPr>
                <w:rStyle w:val="Strong"/>
                <w:b w:val="0"/>
                <w:u w:val="single"/>
              </w:rPr>
              <w:t xml:space="preserve"> and </w:t>
            </w:r>
            <w:r w:rsidR="00CC6465">
              <w:rPr>
                <w:rStyle w:val="Strong"/>
                <w:b w:val="0"/>
                <w:u w:val="single"/>
              </w:rPr>
              <w:t>P</w:t>
            </w:r>
            <w:r>
              <w:rPr>
                <w:rStyle w:val="Strong"/>
                <w:b w:val="0"/>
                <w:u w:val="single"/>
              </w:rPr>
              <w:t xml:space="preserve">rogress to </w:t>
            </w:r>
            <w:r w:rsidR="00CC6465">
              <w:rPr>
                <w:rStyle w:val="Strong"/>
                <w:b w:val="0"/>
                <w:u w:val="single"/>
              </w:rPr>
              <w:t>D</w:t>
            </w:r>
            <w:r>
              <w:rPr>
                <w:rStyle w:val="Strong"/>
                <w:b w:val="0"/>
                <w:u w:val="single"/>
              </w:rPr>
              <w:t>ate</w:t>
            </w:r>
          </w:p>
          <w:p w14:paraId="165AF98F" w14:textId="5BFA9873" w:rsidR="008A7183" w:rsidRPr="006A22C8" w:rsidRDefault="008A7183" w:rsidP="008A7183">
            <w:pPr>
              <w:pStyle w:val="ListParagraph"/>
              <w:numPr>
                <w:ilvl w:val="0"/>
                <w:numId w:val="4"/>
              </w:numPr>
              <w:tabs>
                <w:tab w:val="left" w:pos="5447"/>
              </w:tabs>
              <w:ind w:left="360"/>
              <w:rPr>
                <w:rStyle w:val="Strong"/>
                <w:b w:val="0"/>
              </w:rPr>
            </w:pPr>
            <w:r w:rsidRPr="006A22C8">
              <w:rPr>
                <w:rStyle w:val="Strong"/>
                <w:b w:val="0"/>
              </w:rPr>
              <w:t xml:space="preserve">Number of </w:t>
            </w:r>
            <w:r w:rsidR="00CC6465">
              <w:rPr>
                <w:rStyle w:val="Strong"/>
                <w:b w:val="0"/>
              </w:rPr>
              <w:t xml:space="preserve">projected </w:t>
            </w:r>
            <w:r w:rsidRPr="006A22C8">
              <w:rPr>
                <w:rStyle w:val="Strong"/>
                <w:b w:val="0"/>
              </w:rPr>
              <w:t>case clos</w:t>
            </w:r>
            <w:r w:rsidR="00CC6465">
              <w:rPr>
                <w:rStyle w:val="Strong"/>
                <w:b w:val="0"/>
              </w:rPr>
              <w:t>ures</w:t>
            </w:r>
            <w:r w:rsidRPr="006A22C8">
              <w:rPr>
                <w:rStyle w:val="Strong"/>
                <w:b w:val="0"/>
              </w:rPr>
              <w:t xml:space="preserve">: </w:t>
            </w:r>
            <w:r w:rsidR="00DA0C42">
              <w:rPr>
                <w:rStyle w:val="Strong"/>
                <w:b w:val="0"/>
              </w:rPr>
              <w:t xml:space="preserve">15   </w:t>
            </w:r>
            <w:r>
              <w:rPr>
                <w:rStyle w:val="Strong"/>
                <w:b w:val="0"/>
              </w:rPr>
              <w:t xml:space="preserve">                                   Completed to date: </w:t>
            </w:r>
            <w:r w:rsidR="00FA4A19">
              <w:rPr>
                <w:rStyle w:val="Strong"/>
                <w:b w:val="0"/>
              </w:rPr>
              <w:t>3</w:t>
            </w:r>
          </w:p>
          <w:p w14:paraId="3B24A902" w14:textId="517EF002" w:rsidR="008A7183" w:rsidRPr="00E16156" w:rsidRDefault="008A7183" w:rsidP="008A7183">
            <w:pPr>
              <w:pStyle w:val="ListParagraph"/>
              <w:numPr>
                <w:ilvl w:val="0"/>
                <w:numId w:val="4"/>
              </w:numPr>
              <w:tabs>
                <w:tab w:val="left" w:pos="5760"/>
              </w:tabs>
              <w:spacing w:after="240"/>
              <w:ind w:left="360"/>
              <w:rPr>
                <w:rStyle w:val="Strong"/>
                <w:b w:val="0"/>
                <w:sz w:val="20"/>
                <w:szCs w:val="20"/>
              </w:rPr>
            </w:pPr>
            <w:r w:rsidRPr="006A22C8">
              <w:rPr>
                <w:rStyle w:val="Strong"/>
                <w:b w:val="0"/>
              </w:rPr>
              <w:t xml:space="preserve">Number of </w:t>
            </w:r>
            <w:r w:rsidR="00CC6465">
              <w:rPr>
                <w:rStyle w:val="Strong"/>
                <w:b w:val="0"/>
              </w:rPr>
              <w:t xml:space="preserve">projected </w:t>
            </w:r>
            <w:r>
              <w:rPr>
                <w:rStyle w:val="Strong"/>
                <w:b w:val="0"/>
              </w:rPr>
              <w:t>cases into activ</w:t>
            </w:r>
            <w:r w:rsidR="00DA0C42">
              <w:rPr>
                <w:rStyle w:val="Strong"/>
                <w:b w:val="0"/>
              </w:rPr>
              <w:t>e</w:t>
            </w:r>
            <w:r>
              <w:rPr>
                <w:rStyle w:val="Strong"/>
                <w:b w:val="0"/>
              </w:rPr>
              <w:t xml:space="preserve"> remediation</w:t>
            </w:r>
            <w:r w:rsidR="00F87C37">
              <w:rPr>
                <w:rStyle w:val="Strong"/>
                <w:b w:val="0"/>
              </w:rPr>
              <w:t>*</w:t>
            </w:r>
            <w:r>
              <w:rPr>
                <w:rStyle w:val="Strong"/>
                <w:b w:val="0"/>
              </w:rPr>
              <w:t xml:space="preserve">: </w:t>
            </w:r>
            <w:r w:rsidR="00060BD3">
              <w:rPr>
                <w:rStyle w:val="Strong"/>
                <w:b w:val="0"/>
              </w:rPr>
              <w:t>3</w:t>
            </w:r>
            <w:r>
              <w:rPr>
                <w:rStyle w:val="Strong"/>
                <w:b w:val="0"/>
              </w:rPr>
              <w:t xml:space="preserve">             </w:t>
            </w:r>
            <w:r w:rsidR="00CC6465">
              <w:rPr>
                <w:rStyle w:val="Strong"/>
                <w:b w:val="0"/>
              </w:rPr>
              <w:t xml:space="preserve"> </w:t>
            </w:r>
            <w:r>
              <w:rPr>
                <w:rStyle w:val="Strong"/>
                <w:b w:val="0"/>
              </w:rPr>
              <w:t xml:space="preserve">Completed to date: </w:t>
            </w:r>
            <w:r w:rsidR="002A653C">
              <w:rPr>
                <w:rStyle w:val="Strong"/>
                <w:b w:val="0"/>
              </w:rPr>
              <w:t>1</w:t>
            </w:r>
          </w:p>
          <w:p w14:paraId="08748533" w14:textId="68DA8638" w:rsidR="008A7183" w:rsidRPr="006517C9" w:rsidRDefault="00FF46A9" w:rsidP="00CC6465">
            <w:pPr>
              <w:pStyle w:val="ListParagraph"/>
              <w:spacing w:after="240"/>
              <w:ind w:left="360"/>
              <w:rPr>
                <w:rStyle w:val="Strong"/>
                <w:b w:val="0"/>
              </w:rPr>
            </w:pPr>
            <w:r w:rsidRPr="00D4416B">
              <w:rPr>
                <w:rStyle w:val="Strong"/>
                <w:b w:val="0"/>
                <w:i/>
                <w:sz w:val="20"/>
                <w:szCs w:val="20"/>
              </w:rPr>
              <w:t>*This</w:t>
            </w:r>
            <w:r w:rsidRPr="00D4416B">
              <w:rPr>
                <w:rStyle w:val="Strong"/>
                <w:b w:val="0"/>
                <w:sz w:val="20"/>
                <w:szCs w:val="20"/>
              </w:rPr>
              <w:t xml:space="preserve"> </w:t>
            </w:r>
            <w:r w:rsidRPr="00D4416B">
              <w:rPr>
                <w:rStyle w:val="Strong"/>
                <w:b w:val="0"/>
                <w:i/>
                <w:sz w:val="20"/>
                <w:szCs w:val="20"/>
              </w:rPr>
              <w:t xml:space="preserve">target reflects the number of cases that have progressed from investigation to active remediation during the </w:t>
            </w:r>
            <w:r w:rsidRPr="00D4416B">
              <w:rPr>
                <w:rStyle w:val="Strong"/>
                <w:b w:val="0"/>
                <w:sz w:val="20"/>
                <w:szCs w:val="20"/>
              </w:rPr>
              <w:t>year</w:t>
            </w:r>
            <w:r w:rsidR="00CC6465">
              <w:rPr>
                <w:rStyle w:val="Strong"/>
                <w:b w:val="0"/>
                <w:sz w:val="20"/>
                <w:szCs w:val="20"/>
              </w:rPr>
              <w:t>.</w:t>
            </w:r>
          </w:p>
        </w:tc>
      </w:tr>
    </w:tbl>
    <w:p w14:paraId="5D2E0603" w14:textId="77777777" w:rsidR="002625DE" w:rsidRDefault="002625DE" w:rsidP="006A22C8">
      <w:pPr>
        <w:rPr>
          <w:rStyle w:val="Strong"/>
          <w:b w:val="0"/>
        </w:rPr>
      </w:pPr>
    </w:p>
    <w:tbl>
      <w:tblPr>
        <w:tblStyle w:val="TableGrid"/>
        <w:tblW w:w="9918" w:type="dxa"/>
        <w:tblLook w:val="04A0" w:firstRow="1" w:lastRow="0" w:firstColumn="1" w:lastColumn="0" w:noHBand="0" w:noVBand="1"/>
      </w:tblPr>
      <w:tblGrid>
        <w:gridCol w:w="9918"/>
      </w:tblGrid>
      <w:tr w:rsidR="00483B78" w:rsidRPr="00397597" w14:paraId="75F69EC9" w14:textId="77777777" w:rsidTr="00B56668">
        <w:trPr>
          <w:trHeight w:val="2708"/>
        </w:trPr>
        <w:tc>
          <w:tcPr>
            <w:tcW w:w="9918" w:type="dxa"/>
            <w:tcBorders>
              <w:top w:val="single" w:sz="4" w:space="0" w:color="auto"/>
              <w:bottom w:val="single" w:sz="4" w:space="0" w:color="auto"/>
            </w:tcBorders>
            <w:shd w:val="clear" w:color="auto" w:fill="F2DBDB" w:themeFill="accent2" w:themeFillTint="33"/>
          </w:tcPr>
          <w:p w14:paraId="49A99C32" w14:textId="77777777" w:rsidR="002A653C" w:rsidRDefault="00483B78" w:rsidP="00E01198">
            <w:pPr>
              <w:pStyle w:val="ListParagraph"/>
              <w:ind w:left="0"/>
              <w:rPr>
                <w:sz w:val="32"/>
                <w:szCs w:val="32"/>
              </w:rPr>
            </w:pPr>
            <w:r w:rsidRPr="00F807AA">
              <w:rPr>
                <w:sz w:val="32"/>
                <w:szCs w:val="32"/>
              </w:rPr>
              <w:t>Unaddressed Work</w:t>
            </w:r>
          </w:p>
          <w:p w14:paraId="0ADA14B7" w14:textId="77777777" w:rsidR="00D61B59" w:rsidRPr="005A35D5" w:rsidRDefault="00D61B59" w:rsidP="0005287F">
            <w:pPr>
              <w:rPr>
                <w:rStyle w:val="Strong"/>
                <w:b w:val="0"/>
              </w:rPr>
            </w:pPr>
          </w:p>
          <w:p w14:paraId="6B596F31" w14:textId="3D49A42F" w:rsidR="002A653C" w:rsidRPr="002A653C" w:rsidRDefault="002A653C" w:rsidP="00FB0133">
            <w:pPr>
              <w:rPr>
                <w:rStyle w:val="Strong"/>
                <w:b w:val="0"/>
              </w:rPr>
            </w:pPr>
            <w:r w:rsidRPr="002A653C">
              <w:rPr>
                <w:rStyle w:val="Strong"/>
                <w:b w:val="0"/>
              </w:rPr>
              <w:t xml:space="preserve">Scanning and uploading of existing hard copy reports and files </w:t>
            </w:r>
            <w:r w:rsidR="00CC6465">
              <w:rPr>
                <w:rStyle w:val="Strong"/>
                <w:b w:val="0"/>
              </w:rPr>
              <w:t>in</w:t>
            </w:r>
            <w:r w:rsidRPr="002A653C">
              <w:rPr>
                <w:rStyle w:val="Strong"/>
                <w:b w:val="0"/>
              </w:rPr>
              <w:t xml:space="preserve">to </w:t>
            </w:r>
            <w:proofErr w:type="spellStart"/>
            <w:r w:rsidRPr="002A653C">
              <w:rPr>
                <w:rStyle w:val="Strong"/>
                <w:b w:val="0"/>
              </w:rPr>
              <w:t>Geotracker</w:t>
            </w:r>
            <w:proofErr w:type="spellEnd"/>
            <w:r w:rsidR="00B56668">
              <w:rPr>
                <w:rStyle w:val="Strong"/>
                <w:b w:val="0"/>
              </w:rPr>
              <w:t>.</w:t>
            </w:r>
          </w:p>
          <w:p w14:paraId="610BAC46" w14:textId="77777777" w:rsidR="002A653C" w:rsidRPr="002A653C" w:rsidRDefault="002A653C" w:rsidP="00FB0133">
            <w:pPr>
              <w:rPr>
                <w:rStyle w:val="Strong"/>
                <w:b w:val="0"/>
              </w:rPr>
            </w:pPr>
          </w:p>
          <w:p w14:paraId="17DCF4D7" w14:textId="77777777" w:rsidR="006517C9" w:rsidRPr="002A653C" w:rsidRDefault="00FB0133" w:rsidP="00FB0133">
            <w:pPr>
              <w:rPr>
                <w:rStyle w:val="Strong"/>
                <w:b w:val="0"/>
              </w:rPr>
            </w:pPr>
            <w:r w:rsidRPr="002A653C">
              <w:rPr>
                <w:rStyle w:val="Strong"/>
                <w:b w:val="0"/>
              </w:rPr>
              <w:t xml:space="preserve">“Inactive” cases that have not been nominated to the EAR program will </w:t>
            </w:r>
            <w:r w:rsidR="003C4549" w:rsidRPr="002A653C">
              <w:rPr>
                <w:rStyle w:val="Strong"/>
                <w:b w:val="0"/>
              </w:rPr>
              <w:t xml:space="preserve">likely </w:t>
            </w:r>
            <w:r w:rsidRPr="002A653C">
              <w:rPr>
                <w:rStyle w:val="Strong"/>
                <w:b w:val="0"/>
              </w:rPr>
              <w:t xml:space="preserve">continue to languish due to a lack of willing or responsive responsible parties. </w:t>
            </w:r>
          </w:p>
          <w:p w14:paraId="12A995CE" w14:textId="3DA060C2" w:rsidR="00B56668" w:rsidRPr="002A653C" w:rsidRDefault="00B56668" w:rsidP="00FB0133">
            <w:pPr>
              <w:rPr>
                <w:rStyle w:val="Strong"/>
                <w:b w:val="0"/>
              </w:rPr>
            </w:pPr>
          </w:p>
          <w:p w14:paraId="0EE4AE12" w14:textId="77777777" w:rsidR="002A653C" w:rsidRPr="00A50CDC" w:rsidRDefault="002A653C" w:rsidP="00FB0133">
            <w:pPr>
              <w:rPr>
                <w:rStyle w:val="Strong"/>
                <w:b w:val="0"/>
                <w:sz w:val="22"/>
                <w:szCs w:val="22"/>
              </w:rPr>
            </w:pPr>
          </w:p>
        </w:tc>
      </w:tr>
    </w:tbl>
    <w:p w14:paraId="11367258" w14:textId="77777777" w:rsidR="00483B78" w:rsidRPr="006A22C8" w:rsidRDefault="00B56668" w:rsidP="00D61B59">
      <w:pPr>
        <w:rPr>
          <w:rStyle w:val="Strong"/>
          <w:b w:val="0"/>
        </w:rPr>
      </w:pPr>
      <w:r>
        <w:rPr>
          <w:rStyle w:val="Strong"/>
          <w:b w:val="0"/>
        </w:rPr>
        <w:t xml:space="preserve"> </w:t>
      </w:r>
    </w:p>
    <w:sectPr w:rsidR="00483B78" w:rsidRPr="006A22C8" w:rsidSect="006A22C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661AA" w14:textId="77777777" w:rsidR="007C3281" w:rsidRDefault="007C3281" w:rsidP="00927382">
      <w:r>
        <w:separator/>
      </w:r>
    </w:p>
  </w:endnote>
  <w:endnote w:type="continuationSeparator" w:id="0">
    <w:p w14:paraId="1202EA38" w14:textId="77777777" w:rsidR="007C3281" w:rsidRDefault="007C3281" w:rsidP="0092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77273" w14:textId="77777777" w:rsidR="007C3281" w:rsidRDefault="007C3281" w:rsidP="00927382">
      <w:r>
        <w:separator/>
      </w:r>
    </w:p>
  </w:footnote>
  <w:footnote w:type="continuationSeparator" w:id="0">
    <w:p w14:paraId="6A8F1428" w14:textId="77777777" w:rsidR="007C3281" w:rsidRDefault="007C3281" w:rsidP="0092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3A9"/>
    <w:multiLevelType w:val="hybridMultilevel"/>
    <w:tmpl w:val="72B29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29AC"/>
    <w:multiLevelType w:val="hybridMultilevel"/>
    <w:tmpl w:val="F1F4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34954"/>
    <w:multiLevelType w:val="hybridMultilevel"/>
    <w:tmpl w:val="C9A0B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B2FCD"/>
    <w:multiLevelType w:val="hybridMultilevel"/>
    <w:tmpl w:val="F08A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571BF"/>
    <w:multiLevelType w:val="hybridMultilevel"/>
    <w:tmpl w:val="E77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71141"/>
    <w:multiLevelType w:val="hybridMultilevel"/>
    <w:tmpl w:val="3A9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02325"/>
    <w:multiLevelType w:val="hybridMultilevel"/>
    <w:tmpl w:val="1BD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82BA6"/>
    <w:multiLevelType w:val="hybridMultilevel"/>
    <w:tmpl w:val="80D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968EC"/>
    <w:multiLevelType w:val="hybridMultilevel"/>
    <w:tmpl w:val="FCB8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45CE2"/>
    <w:multiLevelType w:val="hybridMultilevel"/>
    <w:tmpl w:val="45F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2"/>
  </w:num>
  <w:num w:numId="5">
    <w:abstractNumId w:val="4"/>
  </w:num>
  <w:num w:numId="6">
    <w:abstractNumId w:val="3"/>
  </w:num>
  <w:num w:numId="7">
    <w:abstractNumId w:val="5"/>
  </w:num>
  <w:num w:numId="8">
    <w:abstractNumId w:val="1"/>
  </w:num>
  <w:num w:numId="9">
    <w:abstractNumId w:val="7"/>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0"/>
    <w:rsid w:val="000043A6"/>
    <w:rsid w:val="000066DC"/>
    <w:rsid w:val="0001018C"/>
    <w:rsid w:val="0005287F"/>
    <w:rsid w:val="00060BD3"/>
    <w:rsid w:val="000762AF"/>
    <w:rsid w:val="000A2D34"/>
    <w:rsid w:val="000C68A1"/>
    <w:rsid w:val="000D71D5"/>
    <w:rsid w:val="000E014E"/>
    <w:rsid w:val="000E1447"/>
    <w:rsid w:val="000E2D13"/>
    <w:rsid w:val="000E7D12"/>
    <w:rsid w:val="000F6B4E"/>
    <w:rsid w:val="001437C6"/>
    <w:rsid w:val="00150981"/>
    <w:rsid w:val="00170225"/>
    <w:rsid w:val="0017630B"/>
    <w:rsid w:val="00182604"/>
    <w:rsid w:val="001831EB"/>
    <w:rsid w:val="00186F5B"/>
    <w:rsid w:val="001879A4"/>
    <w:rsid w:val="001B4830"/>
    <w:rsid w:val="001D10DE"/>
    <w:rsid w:val="001D28A8"/>
    <w:rsid w:val="001F2071"/>
    <w:rsid w:val="001F2362"/>
    <w:rsid w:val="001F2DFF"/>
    <w:rsid w:val="002258F6"/>
    <w:rsid w:val="00226DA0"/>
    <w:rsid w:val="00235C8C"/>
    <w:rsid w:val="002430F3"/>
    <w:rsid w:val="00261C98"/>
    <w:rsid w:val="002625DE"/>
    <w:rsid w:val="00281E4F"/>
    <w:rsid w:val="00283629"/>
    <w:rsid w:val="00283FC4"/>
    <w:rsid w:val="00285EA9"/>
    <w:rsid w:val="00295650"/>
    <w:rsid w:val="002A653C"/>
    <w:rsid w:val="002A667C"/>
    <w:rsid w:val="002C1F02"/>
    <w:rsid w:val="002C3511"/>
    <w:rsid w:val="002C35DA"/>
    <w:rsid w:val="002E0A12"/>
    <w:rsid w:val="002F2244"/>
    <w:rsid w:val="002F69E6"/>
    <w:rsid w:val="00311105"/>
    <w:rsid w:val="003356C8"/>
    <w:rsid w:val="00336301"/>
    <w:rsid w:val="0034339F"/>
    <w:rsid w:val="00384CB8"/>
    <w:rsid w:val="0039039E"/>
    <w:rsid w:val="00397597"/>
    <w:rsid w:val="003C1C9D"/>
    <w:rsid w:val="003C4549"/>
    <w:rsid w:val="003D145D"/>
    <w:rsid w:val="003E75B7"/>
    <w:rsid w:val="003F4BF5"/>
    <w:rsid w:val="004124FB"/>
    <w:rsid w:val="0042151B"/>
    <w:rsid w:val="00430F75"/>
    <w:rsid w:val="004526D7"/>
    <w:rsid w:val="004545D0"/>
    <w:rsid w:val="004755E4"/>
    <w:rsid w:val="00483B78"/>
    <w:rsid w:val="00486F72"/>
    <w:rsid w:val="00486FB1"/>
    <w:rsid w:val="004918DA"/>
    <w:rsid w:val="0049336F"/>
    <w:rsid w:val="004A5EB6"/>
    <w:rsid w:val="004B4CA5"/>
    <w:rsid w:val="004B6ABA"/>
    <w:rsid w:val="004C0815"/>
    <w:rsid w:val="004D171C"/>
    <w:rsid w:val="004D2DE2"/>
    <w:rsid w:val="004D495B"/>
    <w:rsid w:val="005013DA"/>
    <w:rsid w:val="00503353"/>
    <w:rsid w:val="00511032"/>
    <w:rsid w:val="00513CC5"/>
    <w:rsid w:val="00526AEC"/>
    <w:rsid w:val="0054276F"/>
    <w:rsid w:val="00542F59"/>
    <w:rsid w:val="00572047"/>
    <w:rsid w:val="00573E37"/>
    <w:rsid w:val="00584AEE"/>
    <w:rsid w:val="00585325"/>
    <w:rsid w:val="00590AE1"/>
    <w:rsid w:val="0059312B"/>
    <w:rsid w:val="005A010B"/>
    <w:rsid w:val="005A2F37"/>
    <w:rsid w:val="005A35D5"/>
    <w:rsid w:val="005B0632"/>
    <w:rsid w:val="005B2260"/>
    <w:rsid w:val="005D7BC5"/>
    <w:rsid w:val="005E303F"/>
    <w:rsid w:val="005E3FE6"/>
    <w:rsid w:val="005F6A9A"/>
    <w:rsid w:val="006000AF"/>
    <w:rsid w:val="00606718"/>
    <w:rsid w:val="0061773D"/>
    <w:rsid w:val="006202FC"/>
    <w:rsid w:val="00621E94"/>
    <w:rsid w:val="00626D1C"/>
    <w:rsid w:val="0063060D"/>
    <w:rsid w:val="00631FCA"/>
    <w:rsid w:val="00634D2B"/>
    <w:rsid w:val="00640A47"/>
    <w:rsid w:val="006443C5"/>
    <w:rsid w:val="00644FC7"/>
    <w:rsid w:val="006517C9"/>
    <w:rsid w:val="006518D0"/>
    <w:rsid w:val="00655F2A"/>
    <w:rsid w:val="00666900"/>
    <w:rsid w:val="00682F07"/>
    <w:rsid w:val="00685F70"/>
    <w:rsid w:val="00697360"/>
    <w:rsid w:val="006A22C8"/>
    <w:rsid w:val="006B0891"/>
    <w:rsid w:val="006D6B7B"/>
    <w:rsid w:val="006E02DD"/>
    <w:rsid w:val="006E50B8"/>
    <w:rsid w:val="006F30E6"/>
    <w:rsid w:val="006F72B7"/>
    <w:rsid w:val="00704521"/>
    <w:rsid w:val="007147F8"/>
    <w:rsid w:val="00716B2B"/>
    <w:rsid w:val="00726DD6"/>
    <w:rsid w:val="0073232A"/>
    <w:rsid w:val="00740FFB"/>
    <w:rsid w:val="0075206A"/>
    <w:rsid w:val="00757181"/>
    <w:rsid w:val="007676FF"/>
    <w:rsid w:val="00772650"/>
    <w:rsid w:val="00775CE3"/>
    <w:rsid w:val="00785AC3"/>
    <w:rsid w:val="00785AE7"/>
    <w:rsid w:val="007A0436"/>
    <w:rsid w:val="007B07F3"/>
    <w:rsid w:val="007B1457"/>
    <w:rsid w:val="007B45A5"/>
    <w:rsid w:val="007C3281"/>
    <w:rsid w:val="007D0388"/>
    <w:rsid w:val="007D66C3"/>
    <w:rsid w:val="007E3F0D"/>
    <w:rsid w:val="007E5AB5"/>
    <w:rsid w:val="007F414E"/>
    <w:rsid w:val="00802548"/>
    <w:rsid w:val="00807813"/>
    <w:rsid w:val="00810D68"/>
    <w:rsid w:val="008143CA"/>
    <w:rsid w:val="0082107B"/>
    <w:rsid w:val="00835EA4"/>
    <w:rsid w:val="0083783E"/>
    <w:rsid w:val="00851EE6"/>
    <w:rsid w:val="008535F2"/>
    <w:rsid w:val="00870292"/>
    <w:rsid w:val="008A7183"/>
    <w:rsid w:val="008B53CE"/>
    <w:rsid w:val="008C7DF5"/>
    <w:rsid w:val="008D2140"/>
    <w:rsid w:val="008D6090"/>
    <w:rsid w:val="008D66B7"/>
    <w:rsid w:val="00917763"/>
    <w:rsid w:val="00921227"/>
    <w:rsid w:val="00927382"/>
    <w:rsid w:val="009327A3"/>
    <w:rsid w:val="009370D6"/>
    <w:rsid w:val="00951B90"/>
    <w:rsid w:val="00986511"/>
    <w:rsid w:val="0099215A"/>
    <w:rsid w:val="009B48C6"/>
    <w:rsid w:val="009C0DC9"/>
    <w:rsid w:val="009E5B5F"/>
    <w:rsid w:val="009E7F67"/>
    <w:rsid w:val="009F5486"/>
    <w:rsid w:val="00A06265"/>
    <w:rsid w:val="00A46F6D"/>
    <w:rsid w:val="00A50CDC"/>
    <w:rsid w:val="00A54525"/>
    <w:rsid w:val="00A61642"/>
    <w:rsid w:val="00A66CE9"/>
    <w:rsid w:val="00A77857"/>
    <w:rsid w:val="00A950DD"/>
    <w:rsid w:val="00AA348D"/>
    <w:rsid w:val="00AD5A52"/>
    <w:rsid w:val="00AF4ED5"/>
    <w:rsid w:val="00AF7639"/>
    <w:rsid w:val="00AF7F3C"/>
    <w:rsid w:val="00B01AAC"/>
    <w:rsid w:val="00B050EC"/>
    <w:rsid w:val="00B061CC"/>
    <w:rsid w:val="00B074CD"/>
    <w:rsid w:val="00B11F51"/>
    <w:rsid w:val="00B20C49"/>
    <w:rsid w:val="00B436FF"/>
    <w:rsid w:val="00B524CD"/>
    <w:rsid w:val="00B56668"/>
    <w:rsid w:val="00B80B13"/>
    <w:rsid w:val="00B86C8B"/>
    <w:rsid w:val="00B94169"/>
    <w:rsid w:val="00BA01F7"/>
    <w:rsid w:val="00BA04C0"/>
    <w:rsid w:val="00BA1784"/>
    <w:rsid w:val="00BA3741"/>
    <w:rsid w:val="00BA48A4"/>
    <w:rsid w:val="00BA49C7"/>
    <w:rsid w:val="00BC03BB"/>
    <w:rsid w:val="00BC43AD"/>
    <w:rsid w:val="00BD26C1"/>
    <w:rsid w:val="00BD26F5"/>
    <w:rsid w:val="00BE297C"/>
    <w:rsid w:val="00BE380A"/>
    <w:rsid w:val="00BE3B62"/>
    <w:rsid w:val="00BE643D"/>
    <w:rsid w:val="00BF019C"/>
    <w:rsid w:val="00BF6DFF"/>
    <w:rsid w:val="00C06F80"/>
    <w:rsid w:val="00C1131B"/>
    <w:rsid w:val="00C24EBE"/>
    <w:rsid w:val="00C35624"/>
    <w:rsid w:val="00C427D0"/>
    <w:rsid w:val="00C444A9"/>
    <w:rsid w:val="00C46352"/>
    <w:rsid w:val="00C67D59"/>
    <w:rsid w:val="00C851E4"/>
    <w:rsid w:val="00C90FE2"/>
    <w:rsid w:val="00C95421"/>
    <w:rsid w:val="00CC6465"/>
    <w:rsid w:val="00CD384C"/>
    <w:rsid w:val="00CD6585"/>
    <w:rsid w:val="00CF2B2F"/>
    <w:rsid w:val="00D17C08"/>
    <w:rsid w:val="00D2228F"/>
    <w:rsid w:val="00D22E6D"/>
    <w:rsid w:val="00D41CD4"/>
    <w:rsid w:val="00D4416B"/>
    <w:rsid w:val="00D539F6"/>
    <w:rsid w:val="00D60C34"/>
    <w:rsid w:val="00D61B59"/>
    <w:rsid w:val="00D6555B"/>
    <w:rsid w:val="00D81E09"/>
    <w:rsid w:val="00D95240"/>
    <w:rsid w:val="00DA0C42"/>
    <w:rsid w:val="00DC7312"/>
    <w:rsid w:val="00DF2202"/>
    <w:rsid w:val="00DF3AC0"/>
    <w:rsid w:val="00E16156"/>
    <w:rsid w:val="00E22A8B"/>
    <w:rsid w:val="00E309A6"/>
    <w:rsid w:val="00E31C7C"/>
    <w:rsid w:val="00E8633A"/>
    <w:rsid w:val="00E97B8F"/>
    <w:rsid w:val="00ED69F7"/>
    <w:rsid w:val="00EF5C48"/>
    <w:rsid w:val="00F00742"/>
    <w:rsid w:val="00F025A0"/>
    <w:rsid w:val="00F07C07"/>
    <w:rsid w:val="00F524AD"/>
    <w:rsid w:val="00F52821"/>
    <w:rsid w:val="00F57953"/>
    <w:rsid w:val="00F67EAF"/>
    <w:rsid w:val="00F7700E"/>
    <w:rsid w:val="00F86950"/>
    <w:rsid w:val="00F87C37"/>
    <w:rsid w:val="00FA2C2A"/>
    <w:rsid w:val="00FA4A19"/>
    <w:rsid w:val="00FA4EB3"/>
    <w:rsid w:val="00FB0133"/>
    <w:rsid w:val="00FE4123"/>
    <w:rsid w:val="00FE7293"/>
    <w:rsid w:val="00FF0554"/>
    <w:rsid w:val="00FF11B2"/>
    <w:rsid w:val="00FF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0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paragraph" w:styleId="Header">
    <w:name w:val="header"/>
    <w:basedOn w:val="Normal"/>
    <w:link w:val="HeaderChar"/>
    <w:rsid w:val="00927382"/>
    <w:pPr>
      <w:tabs>
        <w:tab w:val="center" w:pos="4680"/>
        <w:tab w:val="right" w:pos="9360"/>
      </w:tabs>
    </w:pPr>
  </w:style>
  <w:style w:type="character" w:customStyle="1" w:styleId="HeaderChar">
    <w:name w:val="Header Char"/>
    <w:basedOn w:val="DefaultParagraphFont"/>
    <w:link w:val="Header"/>
    <w:rsid w:val="00927382"/>
    <w:rPr>
      <w:rFonts w:ascii="Arial" w:hAnsi="Arial"/>
      <w:sz w:val="24"/>
      <w:szCs w:val="24"/>
    </w:rPr>
  </w:style>
  <w:style w:type="paragraph" w:styleId="Footer">
    <w:name w:val="footer"/>
    <w:basedOn w:val="Normal"/>
    <w:link w:val="FooterChar"/>
    <w:rsid w:val="00927382"/>
    <w:pPr>
      <w:tabs>
        <w:tab w:val="center" w:pos="4680"/>
        <w:tab w:val="right" w:pos="9360"/>
      </w:tabs>
    </w:pPr>
  </w:style>
  <w:style w:type="character" w:customStyle="1" w:styleId="FooterChar">
    <w:name w:val="Footer Char"/>
    <w:basedOn w:val="DefaultParagraphFont"/>
    <w:link w:val="Footer"/>
    <w:rsid w:val="00927382"/>
    <w:rPr>
      <w:rFonts w:ascii="Arial" w:hAnsi="Arial"/>
      <w:sz w:val="24"/>
      <w:szCs w:val="24"/>
    </w:rPr>
  </w:style>
  <w:style w:type="character" w:styleId="CommentReference">
    <w:name w:val="annotation reference"/>
    <w:basedOn w:val="DefaultParagraphFont"/>
    <w:rsid w:val="00F7700E"/>
    <w:rPr>
      <w:sz w:val="16"/>
      <w:szCs w:val="16"/>
    </w:rPr>
  </w:style>
  <w:style w:type="paragraph" w:styleId="CommentText">
    <w:name w:val="annotation text"/>
    <w:basedOn w:val="Normal"/>
    <w:link w:val="CommentTextChar"/>
    <w:rsid w:val="00F7700E"/>
    <w:rPr>
      <w:sz w:val="20"/>
      <w:szCs w:val="20"/>
    </w:rPr>
  </w:style>
  <w:style w:type="character" w:customStyle="1" w:styleId="CommentTextChar">
    <w:name w:val="Comment Text Char"/>
    <w:basedOn w:val="DefaultParagraphFont"/>
    <w:link w:val="CommentText"/>
    <w:rsid w:val="00F7700E"/>
    <w:rPr>
      <w:rFonts w:ascii="Arial" w:hAnsi="Arial"/>
    </w:rPr>
  </w:style>
  <w:style w:type="paragraph" w:styleId="CommentSubject">
    <w:name w:val="annotation subject"/>
    <w:basedOn w:val="CommentText"/>
    <w:next w:val="CommentText"/>
    <w:link w:val="CommentSubjectChar"/>
    <w:rsid w:val="00F7700E"/>
    <w:rPr>
      <w:b/>
      <w:bCs/>
    </w:rPr>
  </w:style>
  <w:style w:type="character" w:customStyle="1" w:styleId="CommentSubjectChar">
    <w:name w:val="Comment Subject Char"/>
    <w:basedOn w:val="CommentTextChar"/>
    <w:link w:val="CommentSubject"/>
    <w:rsid w:val="00F7700E"/>
    <w:rPr>
      <w:rFonts w:ascii="Arial" w:hAnsi="Arial"/>
      <w:b/>
      <w:bCs/>
    </w:rPr>
  </w:style>
  <w:style w:type="character" w:styleId="Hyperlink">
    <w:name w:val="Hyperlink"/>
    <w:basedOn w:val="DefaultParagraphFont"/>
    <w:rsid w:val="00281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paragraph" w:styleId="Header">
    <w:name w:val="header"/>
    <w:basedOn w:val="Normal"/>
    <w:link w:val="HeaderChar"/>
    <w:rsid w:val="00927382"/>
    <w:pPr>
      <w:tabs>
        <w:tab w:val="center" w:pos="4680"/>
        <w:tab w:val="right" w:pos="9360"/>
      </w:tabs>
    </w:pPr>
  </w:style>
  <w:style w:type="character" w:customStyle="1" w:styleId="HeaderChar">
    <w:name w:val="Header Char"/>
    <w:basedOn w:val="DefaultParagraphFont"/>
    <w:link w:val="Header"/>
    <w:rsid w:val="00927382"/>
    <w:rPr>
      <w:rFonts w:ascii="Arial" w:hAnsi="Arial"/>
      <w:sz w:val="24"/>
      <w:szCs w:val="24"/>
    </w:rPr>
  </w:style>
  <w:style w:type="paragraph" w:styleId="Footer">
    <w:name w:val="footer"/>
    <w:basedOn w:val="Normal"/>
    <w:link w:val="FooterChar"/>
    <w:rsid w:val="00927382"/>
    <w:pPr>
      <w:tabs>
        <w:tab w:val="center" w:pos="4680"/>
        <w:tab w:val="right" w:pos="9360"/>
      </w:tabs>
    </w:pPr>
  </w:style>
  <w:style w:type="character" w:customStyle="1" w:styleId="FooterChar">
    <w:name w:val="Footer Char"/>
    <w:basedOn w:val="DefaultParagraphFont"/>
    <w:link w:val="Footer"/>
    <w:rsid w:val="00927382"/>
    <w:rPr>
      <w:rFonts w:ascii="Arial" w:hAnsi="Arial"/>
      <w:sz w:val="24"/>
      <w:szCs w:val="24"/>
    </w:rPr>
  </w:style>
  <w:style w:type="character" w:styleId="CommentReference">
    <w:name w:val="annotation reference"/>
    <w:basedOn w:val="DefaultParagraphFont"/>
    <w:rsid w:val="00F7700E"/>
    <w:rPr>
      <w:sz w:val="16"/>
      <w:szCs w:val="16"/>
    </w:rPr>
  </w:style>
  <w:style w:type="paragraph" w:styleId="CommentText">
    <w:name w:val="annotation text"/>
    <w:basedOn w:val="Normal"/>
    <w:link w:val="CommentTextChar"/>
    <w:rsid w:val="00F7700E"/>
    <w:rPr>
      <w:sz w:val="20"/>
      <w:szCs w:val="20"/>
    </w:rPr>
  </w:style>
  <w:style w:type="character" w:customStyle="1" w:styleId="CommentTextChar">
    <w:name w:val="Comment Text Char"/>
    <w:basedOn w:val="DefaultParagraphFont"/>
    <w:link w:val="CommentText"/>
    <w:rsid w:val="00F7700E"/>
    <w:rPr>
      <w:rFonts w:ascii="Arial" w:hAnsi="Arial"/>
    </w:rPr>
  </w:style>
  <w:style w:type="paragraph" w:styleId="CommentSubject">
    <w:name w:val="annotation subject"/>
    <w:basedOn w:val="CommentText"/>
    <w:next w:val="CommentText"/>
    <w:link w:val="CommentSubjectChar"/>
    <w:rsid w:val="00F7700E"/>
    <w:rPr>
      <w:b/>
      <w:bCs/>
    </w:rPr>
  </w:style>
  <w:style w:type="character" w:customStyle="1" w:styleId="CommentSubjectChar">
    <w:name w:val="Comment Subject Char"/>
    <w:basedOn w:val="CommentTextChar"/>
    <w:link w:val="CommentSubject"/>
    <w:rsid w:val="00F7700E"/>
    <w:rPr>
      <w:rFonts w:ascii="Arial" w:hAnsi="Arial"/>
      <w:b/>
      <w:bCs/>
    </w:rPr>
  </w:style>
  <w:style w:type="character" w:styleId="Hyperlink">
    <w:name w:val="Hyperlink"/>
    <w:basedOn w:val="DefaultParagraphFont"/>
    <w:rsid w:val="00281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 w:id="16125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3CE9-ACE3-4392-8AA8-570DD283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Smith, Doug@Waterboards</cp:lastModifiedBy>
  <cp:revision>2</cp:revision>
  <cp:lastPrinted>2016-02-24T18:23:00Z</cp:lastPrinted>
  <dcterms:created xsi:type="dcterms:W3CDTF">2018-03-12T18:20:00Z</dcterms:created>
  <dcterms:modified xsi:type="dcterms:W3CDTF">2018-03-12T18:20:00Z</dcterms:modified>
</cp:coreProperties>
</file>