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bookmarkStart w:id="0" w:name="_GoBack"/>
      <w:bookmarkEnd w:id="0"/>
    </w:p>
    <w:p w:rsidR="005007B6" w:rsidRPr="000846A1" w:rsidRDefault="005007B6" w:rsidP="00AA11C6">
      <w:pPr>
        <w:jc w:val="center"/>
        <w:rPr>
          <w:rFonts w:cs="Arial"/>
          <w:b/>
          <w:sz w:val="40"/>
          <w:szCs w:val="40"/>
        </w:rPr>
      </w:pPr>
      <w:r w:rsidRPr="000846A1">
        <w:rPr>
          <w:rFonts w:cs="Arial"/>
          <w:b/>
          <w:sz w:val="40"/>
          <w:szCs w:val="40"/>
        </w:rPr>
        <w:t>AGENDA</w:t>
      </w:r>
    </w:p>
    <w:p w:rsidR="005007B6" w:rsidRPr="000846A1" w:rsidRDefault="005007B6" w:rsidP="00B26FCB">
      <w:pPr>
        <w:pStyle w:val="Heading2"/>
        <w:spacing w:before="0" w:after="0"/>
        <w:jc w:val="center"/>
        <w:rPr>
          <w:rFonts w:ascii="Arial" w:hAnsi="Arial" w:cs="Arial"/>
          <w:i w:val="0"/>
        </w:rPr>
      </w:pPr>
      <w:r w:rsidRPr="000846A1">
        <w:rPr>
          <w:rFonts w:ascii="Arial" w:hAnsi="Arial" w:cs="Arial"/>
          <w:i w:val="0"/>
        </w:rPr>
        <w:t xml:space="preserve">Wednesday, </w:t>
      </w:r>
      <w:r w:rsidR="00B41821" w:rsidRPr="000846A1">
        <w:rPr>
          <w:rFonts w:ascii="Arial" w:hAnsi="Arial" w:cs="Arial"/>
          <w:i w:val="0"/>
        </w:rPr>
        <w:t>April 10</w:t>
      </w:r>
      <w:r w:rsidR="00AA11C6" w:rsidRPr="000846A1">
        <w:rPr>
          <w:rFonts w:ascii="Arial" w:hAnsi="Arial" w:cs="Arial"/>
          <w:i w:val="0"/>
        </w:rPr>
        <w:t>, 2013</w:t>
      </w:r>
      <w:r w:rsidR="0047778F" w:rsidRPr="000846A1">
        <w:rPr>
          <w:rFonts w:ascii="Arial" w:hAnsi="Arial" w:cs="Arial"/>
          <w:i w:val="0"/>
        </w:rPr>
        <w:t xml:space="preserve"> </w:t>
      </w:r>
    </w:p>
    <w:p w:rsidR="005007B6" w:rsidRPr="000846A1" w:rsidRDefault="005007B6" w:rsidP="00B26FCB">
      <w:pPr>
        <w:jc w:val="center"/>
        <w:rPr>
          <w:rFonts w:cs="Arial"/>
          <w:sz w:val="28"/>
          <w:szCs w:val="28"/>
        </w:rPr>
      </w:pPr>
      <w:r w:rsidRPr="000846A1">
        <w:rPr>
          <w:rFonts w:cs="Arial"/>
          <w:sz w:val="28"/>
          <w:szCs w:val="28"/>
        </w:rPr>
        <w:t>9:00 a.m.</w:t>
      </w:r>
    </w:p>
    <w:p w:rsidR="00B26FCB" w:rsidRPr="000846A1" w:rsidRDefault="00B26FCB" w:rsidP="00B26FCB">
      <w:pPr>
        <w:jc w:val="center"/>
        <w:rPr>
          <w:rFonts w:cs="Arial"/>
          <w:sz w:val="28"/>
          <w:szCs w:val="28"/>
        </w:rPr>
      </w:pPr>
    </w:p>
    <w:p w:rsidR="005007B6" w:rsidRPr="000846A1" w:rsidRDefault="005007B6" w:rsidP="00B26FCB">
      <w:pPr>
        <w:pStyle w:val="Heading2"/>
        <w:spacing w:before="0" w:after="0"/>
        <w:jc w:val="center"/>
        <w:rPr>
          <w:rFonts w:ascii="Arial" w:hAnsi="Arial" w:cs="Arial"/>
          <w:i w:val="0"/>
        </w:rPr>
      </w:pPr>
      <w:proofErr w:type="spellStart"/>
      <w:r w:rsidRPr="000846A1">
        <w:rPr>
          <w:rFonts w:ascii="Arial" w:hAnsi="Arial" w:cs="Arial"/>
          <w:i w:val="0"/>
        </w:rPr>
        <w:t>Elihu</w:t>
      </w:r>
      <w:proofErr w:type="spellEnd"/>
      <w:r w:rsidRPr="000846A1">
        <w:rPr>
          <w:rFonts w:ascii="Arial" w:hAnsi="Arial" w:cs="Arial"/>
          <w:i w:val="0"/>
        </w:rPr>
        <w:t xml:space="preserve"> M. Harris Building</w:t>
      </w:r>
    </w:p>
    <w:p w:rsidR="005007B6" w:rsidRPr="000846A1" w:rsidRDefault="005007B6" w:rsidP="00B26FCB">
      <w:pPr>
        <w:jc w:val="center"/>
        <w:rPr>
          <w:rFonts w:cs="Arial"/>
          <w:sz w:val="28"/>
          <w:szCs w:val="28"/>
        </w:rPr>
      </w:pPr>
      <w:r w:rsidRPr="000846A1">
        <w:rPr>
          <w:rFonts w:cs="Arial"/>
          <w:sz w:val="28"/>
          <w:szCs w:val="28"/>
        </w:rPr>
        <w:t>First Floor Auditorium</w:t>
      </w:r>
    </w:p>
    <w:p w:rsidR="00642AF9" w:rsidRPr="000846A1" w:rsidRDefault="005007B6" w:rsidP="00B26FCB">
      <w:pPr>
        <w:jc w:val="center"/>
        <w:rPr>
          <w:rFonts w:cs="Arial"/>
          <w:sz w:val="28"/>
          <w:szCs w:val="28"/>
        </w:rPr>
      </w:pPr>
      <w:r w:rsidRPr="000846A1">
        <w:rPr>
          <w:rFonts w:cs="Arial"/>
          <w:sz w:val="28"/>
          <w:szCs w:val="28"/>
        </w:rPr>
        <w:t>1515 Clay Street</w:t>
      </w:r>
      <w:r w:rsidR="00642AF9" w:rsidRPr="000846A1">
        <w:rPr>
          <w:rFonts w:cs="Arial"/>
          <w:sz w:val="28"/>
          <w:szCs w:val="28"/>
        </w:rPr>
        <w:t xml:space="preserve"> </w:t>
      </w:r>
    </w:p>
    <w:p w:rsidR="005007B6" w:rsidRPr="000846A1" w:rsidRDefault="00642AF9" w:rsidP="00B26FCB">
      <w:pPr>
        <w:jc w:val="center"/>
        <w:rPr>
          <w:rFonts w:cs="Arial"/>
          <w:sz w:val="28"/>
          <w:szCs w:val="28"/>
        </w:rPr>
      </w:pPr>
      <w:r w:rsidRPr="000846A1">
        <w:rPr>
          <w:rFonts w:cs="Arial"/>
          <w:sz w:val="28"/>
          <w:szCs w:val="28"/>
        </w:rPr>
        <w:t>Oakland, CA 94612</w:t>
      </w:r>
    </w:p>
    <w:tbl>
      <w:tblPr>
        <w:tblW w:w="5000" w:type="pct"/>
        <w:tblLook w:val="04A0" w:firstRow="1" w:lastRow="0" w:firstColumn="1" w:lastColumn="0" w:noHBand="0" w:noVBand="1"/>
      </w:tblPr>
      <w:tblGrid>
        <w:gridCol w:w="10296"/>
      </w:tblGrid>
      <w:tr w:rsidR="00AB3924" w:rsidRPr="000846A1" w:rsidTr="00AB3924">
        <w:tc>
          <w:tcPr>
            <w:tcW w:w="5000" w:type="pct"/>
            <w:shd w:val="clear" w:color="auto" w:fill="auto"/>
          </w:tcPr>
          <w:p w:rsidR="00AB3924" w:rsidRPr="000846A1" w:rsidRDefault="00AB3924" w:rsidP="004E0D0E">
            <w:pPr>
              <w:ind w:left="612" w:hanging="612"/>
              <w:rPr>
                <w:rFonts w:cs="Arial"/>
              </w:rPr>
            </w:pPr>
          </w:p>
        </w:tc>
      </w:tr>
      <w:tr w:rsidR="00AB3924" w:rsidRPr="000846A1" w:rsidTr="00AB3924">
        <w:tc>
          <w:tcPr>
            <w:tcW w:w="5000" w:type="pct"/>
            <w:shd w:val="clear" w:color="auto" w:fill="auto"/>
          </w:tcPr>
          <w:p w:rsidR="00AB3924" w:rsidRPr="000846A1" w:rsidRDefault="00AB3924" w:rsidP="004E0D0E">
            <w:pPr>
              <w:numPr>
                <w:ilvl w:val="0"/>
                <w:numId w:val="11"/>
              </w:numPr>
              <w:ind w:left="612" w:hanging="612"/>
              <w:rPr>
                <w:rFonts w:cs="Arial"/>
              </w:rPr>
            </w:pPr>
            <w:r w:rsidRPr="000846A1">
              <w:rPr>
                <w:rFonts w:cs="Arial"/>
                <w:b/>
                <w:bCs/>
                <w:sz w:val="24"/>
              </w:rPr>
              <w:t>Roll Call and Introductions</w:t>
            </w:r>
          </w:p>
        </w:tc>
      </w:tr>
      <w:tr w:rsidR="00AB3924" w:rsidRPr="000846A1" w:rsidTr="00AB3924">
        <w:tc>
          <w:tcPr>
            <w:tcW w:w="5000" w:type="pct"/>
            <w:shd w:val="clear" w:color="auto" w:fill="auto"/>
          </w:tcPr>
          <w:p w:rsidR="00AB3924" w:rsidRPr="000846A1" w:rsidRDefault="00AB3924" w:rsidP="004E0D0E">
            <w:pPr>
              <w:ind w:left="612" w:hanging="612"/>
              <w:rPr>
                <w:rFonts w:cs="Arial"/>
              </w:rPr>
            </w:pPr>
          </w:p>
        </w:tc>
      </w:tr>
      <w:tr w:rsidR="00AB3924" w:rsidRPr="000846A1" w:rsidTr="00AB3924">
        <w:tc>
          <w:tcPr>
            <w:tcW w:w="5000" w:type="pct"/>
            <w:shd w:val="clear" w:color="auto" w:fill="auto"/>
          </w:tcPr>
          <w:p w:rsidR="00AB3924" w:rsidRPr="000846A1" w:rsidRDefault="00AB3924" w:rsidP="004E0D0E">
            <w:pPr>
              <w:numPr>
                <w:ilvl w:val="0"/>
                <w:numId w:val="11"/>
              </w:numPr>
              <w:ind w:left="612" w:hanging="612"/>
              <w:rPr>
                <w:rFonts w:cs="Arial"/>
              </w:rPr>
            </w:pPr>
            <w:r w:rsidRPr="000846A1">
              <w:rPr>
                <w:rFonts w:cs="Arial"/>
                <w:b/>
                <w:sz w:val="24"/>
              </w:rPr>
              <w:t>Public Forum</w:t>
            </w:r>
          </w:p>
        </w:tc>
      </w:tr>
      <w:tr w:rsidR="00AB3924" w:rsidRPr="000846A1" w:rsidTr="00AB3924">
        <w:tc>
          <w:tcPr>
            <w:tcW w:w="5000" w:type="pct"/>
            <w:shd w:val="clear" w:color="auto" w:fill="auto"/>
          </w:tcPr>
          <w:p w:rsidR="00AB3924" w:rsidRPr="000846A1" w:rsidRDefault="00AB3924" w:rsidP="004E0D0E">
            <w:pPr>
              <w:ind w:left="612"/>
              <w:rPr>
                <w:rFonts w:cs="Arial"/>
                <w:i/>
                <w:iCs/>
              </w:rPr>
            </w:pPr>
            <w:r w:rsidRPr="000846A1">
              <w:rPr>
                <w:rFonts w:cs="Arial"/>
                <w:i/>
              </w:rPr>
              <w:t>Any</w:t>
            </w:r>
            <w:r w:rsidRPr="000846A1">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0846A1" w:rsidTr="00AB3924">
        <w:tc>
          <w:tcPr>
            <w:tcW w:w="5000" w:type="pct"/>
            <w:shd w:val="clear" w:color="auto" w:fill="auto"/>
          </w:tcPr>
          <w:p w:rsidR="00AB3924" w:rsidRPr="000846A1" w:rsidRDefault="00AB3924" w:rsidP="004E0D0E">
            <w:pPr>
              <w:ind w:left="612" w:hanging="612"/>
              <w:rPr>
                <w:rFonts w:cs="Arial"/>
              </w:rPr>
            </w:pPr>
          </w:p>
        </w:tc>
      </w:tr>
      <w:tr w:rsidR="00AB3924" w:rsidRPr="000846A1" w:rsidTr="00AB3924">
        <w:tc>
          <w:tcPr>
            <w:tcW w:w="5000" w:type="pct"/>
            <w:shd w:val="clear" w:color="auto" w:fill="auto"/>
          </w:tcPr>
          <w:p w:rsidR="00AB3924" w:rsidRPr="000846A1" w:rsidRDefault="00AB3924" w:rsidP="00B41821">
            <w:pPr>
              <w:numPr>
                <w:ilvl w:val="0"/>
                <w:numId w:val="11"/>
              </w:numPr>
              <w:ind w:left="612" w:hanging="612"/>
              <w:rPr>
                <w:rFonts w:cs="Arial"/>
              </w:rPr>
            </w:pPr>
            <w:r w:rsidRPr="000846A1">
              <w:rPr>
                <w:rFonts w:cs="Arial"/>
                <w:b/>
                <w:sz w:val="24"/>
              </w:rPr>
              <w:t xml:space="preserve">Minutes of the </w:t>
            </w:r>
            <w:r w:rsidR="00B41821" w:rsidRPr="000846A1">
              <w:rPr>
                <w:rFonts w:cs="Arial"/>
                <w:b/>
                <w:sz w:val="24"/>
              </w:rPr>
              <w:t>March 13</w:t>
            </w:r>
            <w:r w:rsidRPr="000846A1">
              <w:rPr>
                <w:rFonts w:cs="Arial"/>
                <w:b/>
                <w:sz w:val="24"/>
              </w:rPr>
              <w:t>, 2013 Board Meeting</w:t>
            </w:r>
          </w:p>
        </w:tc>
      </w:tr>
      <w:tr w:rsidR="00AB3924" w:rsidRPr="000846A1" w:rsidTr="00AB3924">
        <w:tc>
          <w:tcPr>
            <w:tcW w:w="5000" w:type="pct"/>
            <w:shd w:val="clear" w:color="auto" w:fill="auto"/>
          </w:tcPr>
          <w:p w:rsidR="00AB3924" w:rsidRPr="000846A1" w:rsidRDefault="00AB3924" w:rsidP="004E0D0E">
            <w:pPr>
              <w:ind w:left="612" w:hanging="612"/>
              <w:rPr>
                <w:rFonts w:cs="Arial"/>
              </w:rPr>
            </w:pPr>
          </w:p>
        </w:tc>
      </w:tr>
      <w:tr w:rsidR="00AB3924" w:rsidRPr="000846A1" w:rsidTr="00AB3924">
        <w:tc>
          <w:tcPr>
            <w:tcW w:w="5000" w:type="pct"/>
            <w:shd w:val="clear" w:color="auto" w:fill="auto"/>
          </w:tcPr>
          <w:p w:rsidR="00AB3924" w:rsidRPr="000846A1" w:rsidRDefault="00AB3924" w:rsidP="004E0D0E">
            <w:pPr>
              <w:numPr>
                <w:ilvl w:val="0"/>
                <w:numId w:val="11"/>
              </w:numPr>
              <w:ind w:left="612" w:hanging="612"/>
              <w:rPr>
                <w:rFonts w:cs="Arial"/>
              </w:rPr>
            </w:pPr>
            <w:r w:rsidRPr="000846A1">
              <w:rPr>
                <w:rFonts w:cs="Arial"/>
                <w:b/>
                <w:sz w:val="24"/>
              </w:rPr>
              <w:t>Chairman’s, Board Members’, and Executive Officer’s Reports</w:t>
            </w:r>
          </w:p>
        </w:tc>
      </w:tr>
      <w:tr w:rsidR="00AB3924" w:rsidRPr="000846A1" w:rsidTr="00AB3924">
        <w:tc>
          <w:tcPr>
            <w:tcW w:w="5000" w:type="pct"/>
            <w:shd w:val="clear" w:color="auto" w:fill="auto"/>
          </w:tcPr>
          <w:p w:rsidR="00AB3924" w:rsidRPr="000846A1" w:rsidRDefault="00AB3924" w:rsidP="004E0D0E">
            <w:pPr>
              <w:ind w:left="612" w:hanging="612"/>
              <w:rPr>
                <w:rFonts w:cs="Arial"/>
              </w:rPr>
            </w:pPr>
          </w:p>
        </w:tc>
      </w:tr>
      <w:tr w:rsidR="00AB3924" w:rsidRPr="000846A1" w:rsidTr="00AB3924">
        <w:tc>
          <w:tcPr>
            <w:tcW w:w="5000" w:type="pct"/>
            <w:shd w:val="clear" w:color="auto" w:fill="auto"/>
          </w:tcPr>
          <w:p w:rsidR="00AB3924" w:rsidRPr="000846A1" w:rsidRDefault="00AB3924" w:rsidP="00AB3924">
            <w:pPr>
              <w:numPr>
                <w:ilvl w:val="0"/>
                <w:numId w:val="11"/>
              </w:numPr>
              <w:ind w:left="612" w:hanging="612"/>
              <w:rPr>
                <w:rFonts w:cs="Arial"/>
              </w:rPr>
            </w:pPr>
            <w:r w:rsidRPr="000846A1">
              <w:rPr>
                <w:rFonts w:cs="Arial"/>
                <w:b/>
                <w:sz w:val="24"/>
              </w:rPr>
              <w:t xml:space="preserve">Consideration of Uncontested Items </w:t>
            </w:r>
          </w:p>
        </w:tc>
      </w:tr>
      <w:tr w:rsidR="00AB3924" w:rsidRPr="000846A1" w:rsidTr="00AB3924">
        <w:tc>
          <w:tcPr>
            <w:tcW w:w="5000" w:type="pct"/>
            <w:shd w:val="clear" w:color="auto" w:fill="auto"/>
          </w:tcPr>
          <w:p w:rsidR="00AB3924" w:rsidRPr="000846A1" w:rsidRDefault="00AB3924" w:rsidP="004E0D0E">
            <w:pPr>
              <w:ind w:left="612" w:hanging="612"/>
              <w:rPr>
                <w:rFonts w:cs="Arial"/>
                <w:sz w:val="24"/>
              </w:rPr>
            </w:pPr>
          </w:p>
        </w:tc>
      </w:tr>
      <w:tr w:rsidR="00AB3924" w:rsidRPr="000846A1" w:rsidTr="00AB3924">
        <w:tc>
          <w:tcPr>
            <w:tcW w:w="5000" w:type="pct"/>
            <w:shd w:val="clear" w:color="auto" w:fill="auto"/>
          </w:tcPr>
          <w:p w:rsidR="00C507A1" w:rsidRPr="000846A1" w:rsidRDefault="00EB560F" w:rsidP="00C507A1">
            <w:pPr>
              <w:numPr>
                <w:ilvl w:val="0"/>
                <w:numId w:val="13"/>
              </w:numPr>
              <w:ind w:left="630"/>
              <w:rPr>
                <w:rFonts w:cs="Arial"/>
                <w:sz w:val="24"/>
              </w:rPr>
            </w:pPr>
            <w:r w:rsidRPr="000846A1">
              <w:rPr>
                <w:rFonts w:cs="Arial"/>
                <w:b/>
                <w:sz w:val="24"/>
              </w:rPr>
              <w:t xml:space="preserve">Department of the Navy, Former Mare Island Naval Shipyard, Vallejo, Solano County – </w:t>
            </w:r>
            <w:r w:rsidRPr="000846A1">
              <w:rPr>
                <w:rFonts w:cs="Arial"/>
                <w:sz w:val="24"/>
              </w:rPr>
              <w:t xml:space="preserve">Rescission of Waste Discharge Requirements Order No. 97-100 </w:t>
            </w:r>
          </w:p>
          <w:p w:rsidR="00EB560F" w:rsidRPr="000846A1" w:rsidRDefault="00EB560F" w:rsidP="00C507A1">
            <w:pPr>
              <w:ind w:left="630"/>
              <w:rPr>
                <w:rFonts w:cs="Arial"/>
                <w:sz w:val="24"/>
              </w:rPr>
            </w:pPr>
            <w:r w:rsidRPr="000846A1">
              <w:rPr>
                <w:rFonts w:cs="Arial"/>
                <w:sz w:val="24"/>
              </w:rPr>
              <w:t xml:space="preserve">[Elizabeth Wells, 510-622-2440, </w:t>
            </w:r>
            <w:hyperlink r:id="rId8" w:history="1">
              <w:r w:rsidRPr="000846A1">
                <w:rPr>
                  <w:rStyle w:val="Hyperlink"/>
                  <w:rFonts w:cs="Arial"/>
                  <w:sz w:val="24"/>
                </w:rPr>
                <w:t>ewells@waterboards.ca.gov</w:t>
              </w:r>
            </w:hyperlink>
            <w:r w:rsidRPr="000846A1">
              <w:rPr>
                <w:rFonts w:cs="Arial"/>
                <w:sz w:val="24"/>
              </w:rPr>
              <w:t xml:space="preserve">]  </w:t>
            </w:r>
          </w:p>
          <w:p w:rsidR="00EB560F" w:rsidRPr="000846A1" w:rsidRDefault="00EB560F" w:rsidP="00C507A1">
            <w:pPr>
              <w:ind w:left="630" w:hanging="360"/>
              <w:rPr>
                <w:rFonts w:cs="Arial"/>
                <w:sz w:val="24"/>
              </w:rPr>
            </w:pPr>
          </w:p>
          <w:p w:rsidR="00C507A1" w:rsidRPr="000846A1" w:rsidRDefault="00EB560F" w:rsidP="00C507A1">
            <w:pPr>
              <w:pStyle w:val="ListParagraph"/>
              <w:numPr>
                <w:ilvl w:val="0"/>
                <w:numId w:val="13"/>
              </w:numPr>
              <w:ind w:left="630"/>
              <w:rPr>
                <w:rFonts w:cs="Arial"/>
                <w:sz w:val="24"/>
              </w:rPr>
            </w:pPr>
            <w:r w:rsidRPr="000846A1">
              <w:rPr>
                <w:rFonts w:cs="Arial"/>
                <w:b/>
                <w:sz w:val="24"/>
              </w:rPr>
              <w:t xml:space="preserve">Port of Oakland, Berth 10 Multi-User Dredged Material </w:t>
            </w:r>
            <w:proofErr w:type="spellStart"/>
            <w:r w:rsidRPr="000846A1">
              <w:rPr>
                <w:rFonts w:cs="Arial"/>
                <w:b/>
                <w:sz w:val="24"/>
              </w:rPr>
              <w:t>Rehandling</w:t>
            </w:r>
            <w:proofErr w:type="spellEnd"/>
            <w:r w:rsidRPr="000846A1">
              <w:rPr>
                <w:rFonts w:cs="Arial"/>
                <w:b/>
                <w:sz w:val="24"/>
              </w:rPr>
              <w:t xml:space="preserve"> Facility, Oakland, Alameda County</w:t>
            </w:r>
            <w:r w:rsidR="001F1D7B" w:rsidRPr="000846A1">
              <w:rPr>
                <w:rFonts w:cs="Arial"/>
                <w:sz w:val="24"/>
              </w:rPr>
              <w:t xml:space="preserve"> – Reissuance</w:t>
            </w:r>
            <w:r w:rsidRPr="000846A1">
              <w:rPr>
                <w:rFonts w:cs="Arial"/>
                <w:sz w:val="24"/>
              </w:rPr>
              <w:t xml:space="preserve"> of Waste Discharge Requirements and </w:t>
            </w:r>
            <w:r w:rsidR="00CB1846" w:rsidRPr="000846A1">
              <w:rPr>
                <w:rFonts w:cs="Arial"/>
                <w:sz w:val="24"/>
              </w:rPr>
              <w:t>Rescission</w:t>
            </w:r>
            <w:r w:rsidRPr="000846A1">
              <w:rPr>
                <w:rFonts w:cs="Arial"/>
                <w:sz w:val="24"/>
              </w:rPr>
              <w:t xml:space="preserve"> of Order No. 98-019 </w:t>
            </w:r>
          </w:p>
          <w:p w:rsidR="00EB560F" w:rsidRPr="000846A1" w:rsidRDefault="00EB560F" w:rsidP="00C507A1">
            <w:pPr>
              <w:pStyle w:val="ListParagraph"/>
              <w:ind w:left="630"/>
              <w:rPr>
                <w:rFonts w:cs="Arial"/>
                <w:sz w:val="24"/>
              </w:rPr>
            </w:pPr>
            <w:r w:rsidRPr="000846A1">
              <w:rPr>
                <w:rFonts w:cs="Arial"/>
                <w:sz w:val="24"/>
              </w:rPr>
              <w:t xml:space="preserve">[Elizabeth Christian, 510-622-2335, </w:t>
            </w:r>
            <w:hyperlink r:id="rId9" w:history="1">
              <w:r w:rsidRPr="000846A1">
                <w:rPr>
                  <w:rStyle w:val="Hyperlink"/>
                  <w:rFonts w:cs="Arial"/>
                  <w:sz w:val="24"/>
                </w:rPr>
                <w:t>echristian@waterboards.ca.gov</w:t>
              </w:r>
            </w:hyperlink>
            <w:r w:rsidRPr="000846A1">
              <w:rPr>
                <w:rFonts w:cs="Arial"/>
                <w:sz w:val="24"/>
              </w:rPr>
              <w:t xml:space="preserve">] </w:t>
            </w:r>
            <w:r w:rsidRPr="000846A1">
              <w:rPr>
                <w:rFonts w:cs="Arial"/>
                <w:sz w:val="24"/>
              </w:rPr>
              <w:cr/>
            </w:r>
          </w:p>
          <w:p w:rsidR="00C507A1" w:rsidRPr="000846A1" w:rsidRDefault="00EB560F" w:rsidP="00C507A1">
            <w:pPr>
              <w:pStyle w:val="ListParagraph"/>
              <w:numPr>
                <w:ilvl w:val="0"/>
                <w:numId w:val="13"/>
              </w:numPr>
              <w:ind w:left="630"/>
              <w:rPr>
                <w:rFonts w:cs="Arial"/>
                <w:sz w:val="24"/>
              </w:rPr>
            </w:pPr>
            <w:r w:rsidRPr="000846A1">
              <w:rPr>
                <w:rFonts w:cs="Arial"/>
                <w:b/>
                <w:sz w:val="24"/>
              </w:rPr>
              <w:t>California Department of Transportation, Devil’s Slide Tunnel Project, San Mateo County</w:t>
            </w:r>
            <w:r w:rsidRPr="000846A1">
              <w:rPr>
                <w:rFonts w:cs="Arial"/>
                <w:sz w:val="24"/>
              </w:rPr>
              <w:t xml:space="preserve"> – Rescission of NPDES Permit </w:t>
            </w:r>
          </w:p>
          <w:p w:rsidR="00EB560F" w:rsidRPr="000846A1" w:rsidRDefault="00EB560F" w:rsidP="00C507A1">
            <w:pPr>
              <w:pStyle w:val="ListParagraph"/>
              <w:ind w:left="630"/>
              <w:rPr>
                <w:rFonts w:cs="Arial"/>
                <w:sz w:val="24"/>
              </w:rPr>
            </w:pPr>
            <w:r w:rsidRPr="000846A1">
              <w:rPr>
                <w:rFonts w:cs="Arial"/>
                <w:sz w:val="24"/>
              </w:rPr>
              <w:t xml:space="preserve">[Vince Christian, 622-2300, </w:t>
            </w:r>
            <w:hyperlink r:id="rId10" w:history="1">
              <w:r w:rsidRPr="000846A1">
                <w:rPr>
                  <w:rStyle w:val="Hyperlink"/>
                  <w:rFonts w:cs="Arial"/>
                  <w:sz w:val="24"/>
                </w:rPr>
                <w:t>vchristian@waterboards.ca.gov</w:t>
              </w:r>
            </w:hyperlink>
            <w:r w:rsidRPr="000846A1">
              <w:rPr>
                <w:rFonts w:cs="Arial"/>
                <w:sz w:val="24"/>
              </w:rPr>
              <w:t xml:space="preserve">] </w:t>
            </w:r>
          </w:p>
          <w:p w:rsidR="00EB560F" w:rsidRPr="000846A1" w:rsidRDefault="00EB560F" w:rsidP="00C507A1">
            <w:pPr>
              <w:pStyle w:val="ListParagraph"/>
              <w:ind w:left="630" w:hanging="360"/>
              <w:rPr>
                <w:rFonts w:cs="Arial"/>
                <w:sz w:val="24"/>
              </w:rPr>
            </w:pPr>
          </w:p>
          <w:p w:rsidR="00C507A1" w:rsidRPr="000846A1" w:rsidRDefault="00C507A1" w:rsidP="00C507A1">
            <w:pPr>
              <w:pStyle w:val="ListParagraph"/>
              <w:ind w:left="630" w:hanging="360"/>
              <w:rPr>
                <w:rFonts w:cs="Arial"/>
                <w:sz w:val="24"/>
              </w:rPr>
            </w:pPr>
          </w:p>
          <w:p w:rsidR="00C507A1" w:rsidRPr="000846A1" w:rsidRDefault="00C507A1" w:rsidP="00C507A1">
            <w:pPr>
              <w:pStyle w:val="ListParagraph"/>
              <w:ind w:left="630" w:hanging="360"/>
              <w:rPr>
                <w:rFonts w:cs="Arial"/>
                <w:sz w:val="24"/>
              </w:rPr>
            </w:pPr>
          </w:p>
          <w:p w:rsidR="00C507A1" w:rsidRPr="000846A1" w:rsidRDefault="00C507A1" w:rsidP="00C507A1">
            <w:pPr>
              <w:pStyle w:val="ListParagraph"/>
              <w:ind w:left="630" w:hanging="360"/>
              <w:rPr>
                <w:rFonts w:cs="Arial"/>
                <w:sz w:val="24"/>
              </w:rPr>
            </w:pPr>
          </w:p>
          <w:p w:rsidR="00C507A1" w:rsidRPr="000846A1" w:rsidRDefault="00EB560F" w:rsidP="00C507A1">
            <w:pPr>
              <w:pStyle w:val="ListParagraph"/>
              <w:numPr>
                <w:ilvl w:val="0"/>
                <w:numId w:val="13"/>
              </w:numPr>
              <w:ind w:left="630"/>
              <w:rPr>
                <w:rFonts w:cs="Arial"/>
                <w:sz w:val="24"/>
              </w:rPr>
            </w:pPr>
            <w:r w:rsidRPr="000846A1">
              <w:rPr>
                <w:rFonts w:cs="Arial"/>
                <w:b/>
                <w:sz w:val="24"/>
              </w:rPr>
              <w:lastRenderedPageBreak/>
              <w:t>City of Burlingame, North Bayside System Unit, Wastewater Treatment Facility and Wastewater Collection System, Burlingame, San Mateo County</w:t>
            </w:r>
            <w:r w:rsidRPr="000846A1">
              <w:rPr>
                <w:rFonts w:cs="Arial"/>
                <w:sz w:val="24"/>
              </w:rPr>
              <w:t xml:space="preserve"> – Reissuance of NPDES Permit </w:t>
            </w:r>
          </w:p>
          <w:p w:rsidR="00EB560F" w:rsidRPr="000846A1" w:rsidRDefault="00EB560F" w:rsidP="00C507A1">
            <w:pPr>
              <w:pStyle w:val="ListParagraph"/>
              <w:ind w:left="630"/>
              <w:rPr>
                <w:rFonts w:cs="Arial"/>
                <w:sz w:val="24"/>
              </w:rPr>
            </w:pPr>
            <w:r w:rsidRPr="000846A1">
              <w:rPr>
                <w:rFonts w:cs="Arial"/>
                <w:sz w:val="24"/>
              </w:rPr>
              <w:t xml:space="preserve">[Marcia Liao, 622-2300, </w:t>
            </w:r>
            <w:hyperlink r:id="rId11" w:history="1">
              <w:r w:rsidRPr="000846A1">
                <w:rPr>
                  <w:rStyle w:val="Hyperlink"/>
                  <w:rFonts w:cs="Arial"/>
                  <w:sz w:val="24"/>
                </w:rPr>
                <w:t>mliao@waterboards.ca.gov</w:t>
              </w:r>
            </w:hyperlink>
            <w:r w:rsidRPr="000846A1">
              <w:rPr>
                <w:rFonts w:cs="Arial"/>
                <w:sz w:val="24"/>
              </w:rPr>
              <w:t>]</w:t>
            </w:r>
          </w:p>
          <w:p w:rsidR="00EB560F" w:rsidRPr="000846A1" w:rsidRDefault="00EB560F" w:rsidP="00C507A1">
            <w:pPr>
              <w:ind w:left="630" w:hanging="360"/>
              <w:rPr>
                <w:rFonts w:cs="Arial"/>
                <w:sz w:val="24"/>
              </w:rPr>
            </w:pPr>
          </w:p>
          <w:p w:rsidR="00C507A1" w:rsidRPr="000846A1" w:rsidRDefault="00EB560F" w:rsidP="00C507A1">
            <w:pPr>
              <w:pStyle w:val="ListParagraph"/>
              <w:numPr>
                <w:ilvl w:val="0"/>
                <w:numId w:val="13"/>
              </w:numPr>
              <w:ind w:left="630"/>
              <w:rPr>
                <w:rFonts w:cs="Arial"/>
                <w:sz w:val="24"/>
              </w:rPr>
            </w:pPr>
            <w:r w:rsidRPr="000846A1">
              <w:rPr>
                <w:rFonts w:cs="Arial"/>
                <w:b/>
                <w:sz w:val="24"/>
              </w:rPr>
              <w:t>San Francisco International Airport, Mel Leong Wastewater Treatment Plants (Industrial and Sanitary) and Wastewater Collection System, South San Francisco, San Mateo County</w:t>
            </w:r>
            <w:r w:rsidRPr="000846A1">
              <w:rPr>
                <w:rFonts w:cs="Arial"/>
                <w:sz w:val="24"/>
              </w:rPr>
              <w:t xml:space="preserve"> – Reissuance of NPDES Permit and Rescission of Cease and Desist Orders </w:t>
            </w:r>
          </w:p>
          <w:p w:rsidR="00AE4CFF" w:rsidRPr="000846A1" w:rsidRDefault="00EB560F" w:rsidP="00C507A1">
            <w:pPr>
              <w:pStyle w:val="ListParagraph"/>
              <w:ind w:left="630"/>
              <w:rPr>
                <w:rFonts w:cs="Arial"/>
                <w:sz w:val="24"/>
              </w:rPr>
            </w:pPr>
            <w:r w:rsidRPr="000846A1">
              <w:rPr>
                <w:rFonts w:cs="Arial"/>
                <w:sz w:val="24"/>
              </w:rPr>
              <w:t xml:space="preserve">[Derek Whitworth, 622-2300, </w:t>
            </w:r>
            <w:hyperlink r:id="rId12" w:history="1">
              <w:r w:rsidR="00AE4CFF" w:rsidRPr="000846A1">
                <w:rPr>
                  <w:rStyle w:val="Hyperlink"/>
                  <w:rFonts w:cs="Arial"/>
                  <w:sz w:val="24"/>
                </w:rPr>
                <w:t>dwhitworth@waterboards.ca.gov</w:t>
              </w:r>
            </w:hyperlink>
            <w:r w:rsidRPr="000846A1">
              <w:rPr>
                <w:rFonts w:cs="Arial"/>
                <w:sz w:val="24"/>
              </w:rPr>
              <w:t>]</w:t>
            </w:r>
            <w:r w:rsidR="00AE4CFF" w:rsidRPr="000846A1">
              <w:rPr>
                <w:rFonts w:cs="Arial"/>
                <w:sz w:val="24"/>
              </w:rPr>
              <w:t xml:space="preserve"> </w:t>
            </w:r>
          </w:p>
          <w:p w:rsidR="00EB560F" w:rsidRPr="000846A1" w:rsidRDefault="00AE4CFF" w:rsidP="00C507A1">
            <w:pPr>
              <w:pStyle w:val="ListParagraph"/>
              <w:ind w:left="630"/>
              <w:rPr>
                <w:rFonts w:cs="Arial"/>
                <w:sz w:val="24"/>
              </w:rPr>
            </w:pPr>
            <w:r w:rsidRPr="000846A1">
              <w:rPr>
                <w:rFonts w:cs="Arial"/>
                <w:sz w:val="24"/>
              </w:rPr>
              <w:t xml:space="preserve"> </w:t>
            </w:r>
          </w:p>
          <w:p w:rsidR="00C507A1" w:rsidRPr="000846A1" w:rsidRDefault="00EB560F" w:rsidP="00C507A1">
            <w:pPr>
              <w:pStyle w:val="ListParagraph"/>
              <w:numPr>
                <w:ilvl w:val="0"/>
                <w:numId w:val="13"/>
              </w:numPr>
              <w:ind w:left="630"/>
              <w:rPr>
                <w:rFonts w:cs="Arial"/>
                <w:sz w:val="24"/>
              </w:rPr>
            </w:pPr>
            <w:r w:rsidRPr="000846A1">
              <w:rPr>
                <w:rFonts w:cs="Arial"/>
                <w:b/>
                <w:sz w:val="24"/>
              </w:rPr>
              <w:t>Trans Technology Corporation, SRI International, and City and County of San Francisco, for the property located at Calaveras Reservoir Facility, End of Marsh Road and Five Miles East of the City of Milpitas, Santa Clara County</w:t>
            </w:r>
            <w:r w:rsidRPr="000846A1">
              <w:rPr>
                <w:rFonts w:cs="Arial"/>
                <w:sz w:val="24"/>
              </w:rPr>
              <w:t xml:space="preserve"> – Rescission of Site Cleanup Requirements</w:t>
            </w:r>
          </w:p>
          <w:p w:rsidR="00EB560F" w:rsidRPr="000846A1" w:rsidRDefault="00EB560F" w:rsidP="00C507A1">
            <w:pPr>
              <w:pStyle w:val="ListParagraph"/>
              <w:ind w:left="630"/>
              <w:rPr>
                <w:rFonts w:cs="Arial"/>
                <w:sz w:val="24"/>
              </w:rPr>
            </w:pPr>
            <w:r w:rsidRPr="000846A1">
              <w:rPr>
                <w:rFonts w:cs="Arial"/>
                <w:sz w:val="24"/>
              </w:rPr>
              <w:t xml:space="preserve">[Mark Johnson  622-2493, </w:t>
            </w:r>
            <w:hyperlink r:id="rId13" w:history="1">
              <w:r w:rsidR="00AE4CFF" w:rsidRPr="000846A1">
                <w:rPr>
                  <w:rStyle w:val="Hyperlink"/>
                  <w:rFonts w:cs="Arial"/>
                  <w:sz w:val="24"/>
                </w:rPr>
                <w:t>mjohnson@waterboards.ca.gov</w:t>
              </w:r>
            </w:hyperlink>
            <w:r w:rsidRPr="000846A1">
              <w:rPr>
                <w:rFonts w:cs="Arial"/>
                <w:sz w:val="24"/>
              </w:rPr>
              <w:t>]</w:t>
            </w:r>
            <w:r w:rsidR="00AE4CFF" w:rsidRPr="000846A1">
              <w:rPr>
                <w:rFonts w:cs="Arial"/>
                <w:sz w:val="24"/>
              </w:rPr>
              <w:t xml:space="preserve"> </w:t>
            </w:r>
            <w:r w:rsidRPr="000846A1">
              <w:rPr>
                <w:rFonts w:cs="Arial"/>
                <w:sz w:val="24"/>
              </w:rPr>
              <w:t xml:space="preserve"> </w:t>
            </w:r>
            <w:r w:rsidRPr="000846A1">
              <w:rPr>
                <w:rFonts w:cs="Arial"/>
                <w:sz w:val="24"/>
              </w:rPr>
              <w:cr/>
            </w:r>
          </w:p>
          <w:p w:rsidR="00C507A1" w:rsidRPr="000846A1" w:rsidRDefault="00C507A1" w:rsidP="00C507A1">
            <w:pPr>
              <w:numPr>
                <w:ilvl w:val="0"/>
                <w:numId w:val="13"/>
              </w:numPr>
              <w:ind w:left="630"/>
              <w:rPr>
                <w:rFonts w:cs="Arial"/>
                <w:sz w:val="24"/>
              </w:rPr>
            </w:pPr>
            <w:r w:rsidRPr="000846A1">
              <w:rPr>
                <w:rFonts w:cs="Arial"/>
                <w:b/>
                <w:sz w:val="24"/>
              </w:rPr>
              <w:t xml:space="preserve">Emergency, Abandoned, and Recalcitrant (EAR) Account Program for Leaking Underground Storage Tanks – </w:t>
            </w:r>
            <w:r w:rsidRPr="000846A1">
              <w:rPr>
                <w:rFonts w:cs="Arial"/>
                <w:sz w:val="24"/>
              </w:rPr>
              <w:t xml:space="preserve">Adoption of Resolution Nominating Sites to the State Water Resources Control Board’s Annual Site List </w:t>
            </w:r>
          </w:p>
          <w:p w:rsidR="00C507A1" w:rsidRPr="000846A1" w:rsidRDefault="00C507A1" w:rsidP="00C507A1">
            <w:pPr>
              <w:ind w:left="630"/>
              <w:rPr>
                <w:rFonts w:cs="Arial"/>
                <w:sz w:val="24"/>
              </w:rPr>
            </w:pPr>
            <w:r w:rsidRPr="000846A1">
              <w:rPr>
                <w:rFonts w:cs="Arial"/>
                <w:sz w:val="24"/>
              </w:rPr>
              <w:t xml:space="preserve">[Barbara </w:t>
            </w:r>
            <w:proofErr w:type="spellStart"/>
            <w:r w:rsidRPr="000846A1">
              <w:rPr>
                <w:rFonts w:cs="Arial"/>
                <w:sz w:val="24"/>
              </w:rPr>
              <w:t>Sieminski</w:t>
            </w:r>
            <w:proofErr w:type="spellEnd"/>
            <w:r w:rsidRPr="000846A1">
              <w:rPr>
                <w:rFonts w:cs="Arial"/>
                <w:sz w:val="24"/>
              </w:rPr>
              <w:t xml:space="preserve">  622-2423, </w:t>
            </w:r>
            <w:hyperlink r:id="rId14" w:history="1">
              <w:r w:rsidRPr="000846A1">
                <w:rPr>
                  <w:rStyle w:val="Hyperlink"/>
                  <w:rFonts w:cs="Arial"/>
                  <w:sz w:val="24"/>
                </w:rPr>
                <w:t>bsieminski@waterboards.ca.gov</w:t>
              </w:r>
            </w:hyperlink>
            <w:r w:rsidRPr="000846A1">
              <w:rPr>
                <w:rFonts w:cs="Arial"/>
                <w:sz w:val="24"/>
              </w:rPr>
              <w:t>]</w:t>
            </w:r>
          </w:p>
        </w:tc>
      </w:tr>
      <w:tr w:rsidR="00AB3924" w:rsidRPr="000846A1" w:rsidTr="00AB3924">
        <w:tc>
          <w:tcPr>
            <w:tcW w:w="5000" w:type="pct"/>
            <w:shd w:val="clear" w:color="auto" w:fill="auto"/>
          </w:tcPr>
          <w:p w:rsidR="00AB3924" w:rsidRPr="000846A1" w:rsidRDefault="00AB3924" w:rsidP="00AB3924">
            <w:pPr>
              <w:ind w:left="720"/>
              <w:rPr>
                <w:rFonts w:cs="Arial"/>
                <w:sz w:val="24"/>
              </w:rPr>
            </w:pPr>
          </w:p>
        </w:tc>
      </w:tr>
      <w:tr w:rsidR="00AB3924" w:rsidRPr="000846A1" w:rsidTr="00AB3924">
        <w:tc>
          <w:tcPr>
            <w:tcW w:w="5000" w:type="pct"/>
            <w:shd w:val="clear" w:color="auto" w:fill="auto"/>
          </w:tcPr>
          <w:p w:rsidR="00AB3924" w:rsidRPr="000846A1" w:rsidRDefault="00AB3924" w:rsidP="00AB3924">
            <w:pPr>
              <w:numPr>
                <w:ilvl w:val="0"/>
                <w:numId w:val="11"/>
              </w:numPr>
              <w:ind w:left="612" w:hanging="612"/>
              <w:rPr>
                <w:rFonts w:cs="Arial"/>
                <w:sz w:val="24"/>
              </w:rPr>
            </w:pPr>
            <w:r w:rsidRPr="000846A1">
              <w:rPr>
                <w:rFonts w:cs="Arial"/>
                <w:b/>
                <w:sz w:val="24"/>
              </w:rPr>
              <w:t xml:space="preserve">Consideration of Contested Items </w:t>
            </w:r>
          </w:p>
        </w:tc>
      </w:tr>
      <w:tr w:rsidR="00AB3924" w:rsidRPr="000846A1" w:rsidTr="00AB3924">
        <w:tc>
          <w:tcPr>
            <w:tcW w:w="5000" w:type="pct"/>
            <w:shd w:val="clear" w:color="auto" w:fill="auto"/>
          </w:tcPr>
          <w:p w:rsidR="00AB3924" w:rsidRPr="000846A1" w:rsidRDefault="00AB3924" w:rsidP="004E0D0E">
            <w:pPr>
              <w:ind w:left="612"/>
              <w:rPr>
                <w:rFonts w:cs="Arial"/>
                <w:sz w:val="24"/>
              </w:rPr>
            </w:pPr>
          </w:p>
        </w:tc>
      </w:tr>
      <w:tr w:rsidR="00AB3924" w:rsidRPr="000846A1" w:rsidTr="00AB3924">
        <w:tc>
          <w:tcPr>
            <w:tcW w:w="5000" w:type="pct"/>
            <w:shd w:val="clear" w:color="auto" w:fill="auto"/>
          </w:tcPr>
          <w:p w:rsidR="00AB3924" w:rsidRPr="000846A1" w:rsidRDefault="00AB3924" w:rsidP="004E0D0E">
            <w:pPr>
              <w:ind w:left="612" w:hanging="612"/>
              <w:rPr>
                <w:rFonts w:cs="Arial"/>
                <w:b/>
                <w:sz w:val="24"/>
              </w:rPr>
            </w:pPr>
          </w:p>
        </w:tc>
      </w:tr>
      <w:tr w:rsidR="00AB3924" w:rsidRPr="000846A1" w:rsidTr="00AB3924">
        <w:tc>
          <w:tcPr>
            <w:tcW w:w="5000" w:type="pct"/>
            <w:shd w:val="clear" w:color="auto" w:fill="auto"/>
          </w:tcPr>
          <w:p w:rsidR="00AB3924" w:rsidRPr="000846A1" w:rsidRDefault="00AB3924" w:rsidP="004E0D0E">
            <w:pPr>
              <w:ind w:left="612"/>
              <w:rPr>
                <w:rFonts w:cs="Arial"/>
                <w:b/>
                <w:sz w:val="24"/>
              </w:rPr>
            </w:pPr>
            <w:r w:rsidRPr="000846A1">
              <w:rPr>
                <w:rFonts w:cs="Arial"/>
                <w:b/>
                <w:sz w:val="24"/>
                <w:u w:val="single"/>
              </w:rPr>
              <w:t>OTHER BUSINESS</w:t>
            </w:r>
          </w:p>
        </w:tc>
      </w:tr>
      <w:tr w:rsidR="00EB560F" w:rsidRPr="000846A1" w:rsidTr="00AB3924">
        <w:tc>
          <w:tcPr>
            <w:tcW w:w="5000" w:type="pct"/>
            <w:shd w:val="clear" w:color="auto" w:fill="auto"/>
          </w:tcPr>
          <w:p w:rsidR="00EB560F" w:rsidRPr="000846A1" w:rsidRDefault="00EB560F" w:rsidP="004E0D0E">
            <w:pPr>
              <w:ind w:left="612" w:hanging="612"/>
              <w:rPr>
                <w:rFonts w:cs="Arial"/>
                <w:b/>
                <w:sz w:val="24"/>
              </w:rPr>
            </w:pPr>
          </w:p>
        </w:tc>
      </w:tr>
      <w:tr w:rsidR="00AB3924" w:rsidRPr="000846A1" w:rsidTr="00AB3924">
        <w:tc>
          <w:tcPr>
            <w:tcW w:w="5000" w:type="pct"/>
            <w:shd w:val="clear" w:color="auto" w:fill="auto"/>
          </w:tcPr>
          <w:p w:rsidR="00AB3924" w:rsidRPr="000846A1" w:rsidRDefault="00AB3924" w:rsidP="004E0D0E">
            <w:pPr>
              <w:numPr>
                <w:ilvl w:val="0"/>
                <w:numId w:val="11"/>
              </w:numPr>
              <w:ind w:left="612" w:hanging="612"/>
              <w:rPr>
                <w:rFonts w:cs="Arial"/>
                <w:sz w:val="24"/>
              </w:rPr>
            </w:pPr>
            <w:r w:rsidRPr="000846A1">
              <w:rPr>
                <w:rFonts w:cs="Arial"/>
                <w:b/>
                <w:sz w:val="24"/>
              </w:rPr>
              <w:t>Correspondence</w:t>
            </w:r>
          </w:p>
        </w:tc>
      </w:tr>
      <w:tr w:rsidR="00AB3924" w:rsidRPr="000846A1" w:rsidTr="00AB3924">
        <w:tc>
          <w:tcPr>
            <w:tcW w:w="5000" w:type="pct"/>
            <w:shd w:val="clear" w:color="auto" w:fill="auto"/>
          </w:tcPr>
          <w:p w:rsidR="00AB3924" w:rsidRPr="000846A1" w:rsidRDefault="00AB3924" w:rsidP="004E0D0E">
            <w:pPr>
              <w:ind w:left="612"/>
              <w:rPr>
                <w:rFonts w:cs="Arial"/>
                <w:sz w:val="24"/>
              </w:rPr>
            </w:pPr>
          </w:p>
        </w:tc>
      </w:tr>
      <w:tr w:rsidR="00AB3924" w:rsidRPr="000846A1" w:rsidTr="00AB3924">
        <w:tc>
          <w:tcPr>
            <w:tcW w:w="5000" w:type="pct"/>
            <w:shd w:val="clear" w:color="auto" w:fill="auto"/>
          </w:tcPr>
          <w:p w:rsidR="00AB3924" w:rsidRPr="000846A1" w:rsidRDefault="00AB3924" w:rsidP="004E0D0E">
            <w:pPr>
              <w:numPr>
                <w:ilvl w:val="0"/>
                <w:numId w:val="11"/>
              </w:numPr>
              <w:ind w:left="612" w:hanging="612"/>
              <w:rPr>
                <w:rFonts w:cs="Arial"/>
                <w:sz w:val="24"/>
              </w:rPr>
            </w:pPr>
            <w:r w:rsidRPr="000846A1">
              <w:rPr>
                <w:rFonts w:cs="Arial"/>
                <w:b/>
                <w:bCs/>
                <w:sz w:val="24"/>
              </w:rPr>
              <w:t>Closed Session – Personnel</w:t>
            </w:r>
          </w:p>
          <w:p w:rsidR="00547040" w:rsidRPr="000846A1" w:rsidRDefault="00547040" w:rsidP="00547040">
            <w:pPr>
              <w:ind w:left="612"/>
              <w:rPr>
                <w:rFonts w:cs="Arial"/>
                <w:sz w:val="24"/>
              </w:rPr>
            </w:pPr>
          </w:p>
        </w:tc>
      </w:tr>
      <w:tr w:rsidR="00AB3924" w:rsidRPr="000846A1" w:rsidTr="00AB3924">
        <w:tc>
          <w:tcPr>
            <w:tcW w:w="5000" w:type="pct"/>
            <w:shd w:val="clear" w:color="auto" w:fill="auto"/>
          </w:tcPr>
          <w:p w:rsidR="00AB3924" w:rsidRPr="000846A1" w:rsidRDefault="00AB3924" w:rsidP="00547040">
            <w:pPr>
              <w:pStyle w:val="ListParagraph"/>
              <w:numPr>
                <w:ilvl w:val="0"/>
                <w:numId w:val="16"/>
              </w:numPr>
              <w:rPr>
                <w:rFonts w:cs="Arial"/>
                <w:szCs w:val="22"/>
              </w:rPr>
            </w:pPr>
            <w:r w:rsidRPr="000846A1">
              <w:rPr>
                <w:rFonts w:cs="Arial"/>
                <w:szCs w:val="22"/>
              </w:rPr>
              <w:t>The Board may meet in closed session to discuss personnel matters.</w:t>
            </w:r>
          </w:p>
          <w:p w:rsidR="00AB3924" w:rsidRPr="000846A1" w:rsidRDefault="00AB3924" w:rsidP="004E0D0E">
            <w:pPr>
              <w:ind w:left="612"/>
              <w:rPr>
                <w:rFonts w:cs="Arial"/>
                <w:szCs w:val="22"/>
              </w:rPr>
            </w:pPr>
            <w:r w:rsidRPr="000846A1">
              <w:rPr>
                <w:rFonts w:cs="Arial"/>
                <w:szCs w:val="22"/>
              </w:rPr>
              <w:t>[Authority: Government Code section 11126(a)]</w:t>
            </w:r>
          </w:p>
          <w:p w:rsidR="00547040" w:rsidRPr="000846A1" w:rsidRDefault="00547040" w:rsidP="004E0D0E">
            <w:pPr>
              <w:ind w:left="612"/>
              <w:rPr>
                <w:rFonts w:cs="Arial"/>
                <w:szCs w:val="22"/>
              </w:rPr>
            </w:pPr>
          </w:p>
          <w:p w:rsidR="00547040" w:rsidRPr="000846A1" w:rsidRDefault="00547040" w:rsidP="00547040">
            <w:pPr>
              <w:pStyle w:val="ListParagraph"/>
              <w:numPr>
                <w:ilvl w:val="0"/>
                <w:numId w:val="16"/>
              </w:numPr>
              <w:rPr>
                <w:rFonts w:cs="Arial"/>
                <w:szCs w:val="22"/>
              </w:rPr>
            </w:pPr>
            <w:r w:rsidRPr="000846A1">
              <w:rPr>
                <w:rFonts w:cs="Arial"/>
                <w:szCs w:val="22"/>
              </w:rPr>
              <w:t>The Board will meet in closed session to conduct a performance review of the Executive Officer.</w:t>
            </w:r>
          </w:p>
          <w:p w:rsidR="00547040" w:rsidRPr="000846A1" w:rsidRDefault="00547040" w:rsidP="00547040">
            <w:pPr>
              <w:pStyle w:val="ListParagraph"/>
              <w:ind w:left="630"/>
              <w:rPr>
                <w:rFonts w:cs="Arial"/>
                <w:szCs w:val="22"/>
              </w:rPr>
            </w:pPr>
            <w:r w:rsidRPr="000846A1">
              <w:rPr>
                <w:rFonts w:cs="Arial"/>
                <w:szCs w:val="22"/>
              </w:rPr>
              <w:t>[Authority: Government Code section 11126(a)]</w:t>
            </w:r>
          </w:p>
        </w:tc>
      </w:tr>
      <w:tr w:rsidR="00AB3924" w:rsidRPr="000846A1" w:rsidTr="00AB3924">
        <w:tc>
          <w:tcPr>
            <w:tcW w:w="5000" w:type="pct"/>
            <w:shd w:val="clear" w:color="auto" w:fill="auto"/>
          </w:tcPr>
          <w:p w:rsidR="00AB3924" w:rsidRPr="000846A1" w:rsidRDefault="00AB3924" w:rsidP="00547040">
            <w:pPr>
              <w:rPr>
                <w:rFonts w:cs="Arial"/>
                <w:sz w:val="24"/>
              </w:rPr>
            </w:pPr>
          </w:p>
        </w:tc>
      </w:tr>
      <w:tr w:rsidR="00AB3924" w:rsidRPr="000846A1" w:rsidTr="00AB3924">
        <w:tc>
          <w:tcPr>
            <w:tcW w:w="5000" w:type="pct"/>
            <w:shd w:val="clear" w:color="auto" w:fill="auto"/>
          </w:tcPr>
          <w:p w:rsidR="00AB3924" w:rsidRPr="000846A1" w:rsidRDefault="00AB3924" w:rsidP="004E0D0E">
            <w:pPr>
              <w:numPr>
                <w:ilvl w:val="0"/>
                <w:numId w:val="11"/>
              </w:numPr>
              <w:ind w:left="612" w:hanging="612"/>
              <w:rPr>
                <w:rFonts w:cs="Arial"/>
                <w:sz w:val="24"/>
              </w:rPr>
            </w:pPr>
            <w:r w:rsidRPr="000846A1">
              <w:rPr>
                <w:rFonts w:cs="Arial"/>
                <w:b/>
                <w:sz w:val="24"/>
              </w:rPr>
              <w:t>C</w:t>
            </w:r>
            <w:r w:rsidRPr="000846A1">
              <w:rPr>
                <w:rFonts w:cs="Arial"/>
                <w:b/>
                <w:bCs/>
                <w:sz w:val="24"/>
              </w:rPr>
              <w:t xml:space="preserve">losed Session – Litigation  </w:t>
            </w:r>
          </w:p>
        </w:tc>
      </w:tr>
      <w:tr w:rsidR="00AB3924" w:rsidRPr="000846A1" w:rsidTr="00AB3924">
        <w:tc>
          <w:tcPr>
            <w:tcW w:w="5000" w:type="pct"/>
            <w:shd w:val="clear" w:color="auto" w:fill="auto"/>
          </w:tcPr>
          <w:p w:rsidR="00AB3924" w:rsidRPr="000846A1" w:rsidRDefault="00AB3924" w:rsidP="004E0D0E">
            <w:pPr>
              <w:ind w:left="612"/>
              <w:rPr>
                <w:rFonts w:cs="Arial"/>
              </w:rPr>
            </w:pPr>
            <w:r w:rsidRPr="000846A1">
              <w:rPr>
                <w:rFonts w:cs="Arial"/>
              </w:rPr>
              <w:t xml:space="preserve">The Board may meet in closed session to discuss significant exposure to litigation. The Board also may meet to discuss whether or not to initiate litigation.  </w:t>
            </w:r>
          </w:p>
          <w:p w:rsidR="00AB3924" w:rsidRPr="000846A1" w:rsidRDefault="00AB3924" w:rsidP="004E0D0E">
            <w:pPr>
              <w:ind w:left="612"/>
              <w:rPr>
                <w:rFonts w:cs="Arial"/>
                <w:sz w:val="24"/>
              </w:rPr>
            </w:pPr>
            <w:r w:rsidRPr="000846A1">
              <w:rPr>
                <w:rFonts w:cs="Arial"/>
              </w:rPr>
              <w:t xml:space="preserve">[Authority: Government Code sections 11126(e)(1) and 11126(2)(B)-(C)]  </w:t>
            </w:r>
          </w:p>
        </w:tc>
      </w:tr>
      <w:tr w:rsidR="00AB3924" w:rsidRPr="000846A1" w:rsidTr="00AB3924">
        <w:tc>
          <w:tcPr>
            <w:tcW w:w="5000" w:type="pct"/>
            <w:shd w:val="clear" w:color="auto" w:fill="auto"/>
          </w:tcPr>
          <w:p w:rsidR="00AB3924" w:rsidRPr="000846A1" w:rsidRDefault="00AB3924" w:rsidP="004E0D0E">
            <w:pPr>
              <w:ind w:left="612"/>
              <w:rPr>
                <w:rFonts w:cs="Arial"/>
                <w:sz w:val="24"/>
              </w:rPr>
            </w:pPr>
          </w:p>
        </w:tc>
      </w:tr>
      <w:tr w:rsidR="00AB3924" w:rsidRPr="000846A1" w:rsidTr="00AB3924">
        <w:tc>
          <w:tcPr>
            <w:tcW w:w="5000" w:type="pct"/>
            <w:shd w:val="clear" w:color="auto" w:fill="auto"/>
          </w:tcPr>
          <w:p w:rsidR="00AB3924" w:rsidRPr="000846A1" w:rsidRDefault="00AB3924" w:rsidP="004E0D0E">
            <w:pPr>
              <w:numPr>
                <w:ilvl w:val="0"/>
                <w:numId w:val="11"/>
              </w:numPr>
              <w:ind w:left="612" w:hanging="612"/>
              <w:rPr>
                <w:rFonts w:cs="Arial"/>
                <w:sz w:val="24"/>
              </w:rPr>
            </w:pPr>
            <w:r w:rsidRPr="000846A1">
              <w:rPr>
                <w:rFonts w:cs="Arial"/>
                <w:b/>
                <w:bCs/>
                <w:sz w:val="24"/>
              </w:rPr>
              <w:t>Closed Session – Deliberation</w:t>
            </w:r>
          </w:p>
        </w:tc>
      </w:tr>
      <w:tr w:rsidR="00AB3924" w:rsidRPr="000846A1" w:rsidTr="00AB3924">
        <w:tc>
          <w:tcPr>
            <w:tcW w:w="5000" w:type="pct"/>
            <w:shd w:val="clear" w:color="auto" w:fill="auto"/>
          </w:tcPr>
          <w:p w:rsidR="00AB3924" w:rsidRPr="000846A1" w:rsidRDefault="00AB3924" w:rsidP="004E0D0E">
            <w:pPr>
              <w:ind w:left="612"/>
              <w:rPr>
                <w:rFonts w:cs="Arial"/>
              </w:rPr>
            </w:pPr>
            <w:r w:rsidRPr="000846A1">
              <w:rPr>
                <w:rFonts w:cs="Arial"/>
              </w:rPr>
              <w:t>The Board may meet in closed session to consider evidence received in an adjudicatory hearing and deliberate on a decision to be reached based on that evidence.</w:t>
            </w:r>
          </w:p>
          <w:p w:rsidR="00AB3924" w:rsidRPr="000846A1" w:rsidRDefault="00AB3924" w:rsidP="004E0D0E">
            <w:pPr>
              <w:ind w:left="612"/>
              <w:rPr>
                <w:rFonts w:cs="Arial"/>
                <w:sz w:val="24"/>
              </w:rPr>
            </w:pPr>
            <w:r w:rsidRPr="000846A1">
              <w:rPr>
                <w:rFonts w:cs="Arial"/>
              </w:rPr>
              <w:t>[Authority: Government Code section 11126(c)(3)]</w:t>
            </w:r>
          </w:p>
        </w:tc>
      </w:tr>
      <w:tr w:rsidR="00AB3924" w:rsidRPr="000846A1" w:rsidTr="00AB3924">
        <w:tc>
          <w:tcPr>
            <w:tcW w:w="5000" w:type="pct"/>
            <w:shd w:val="clear" w:color="auto" w:fill="auto"/>
          </w:tcPr>
          <w:p w:rsidR="00AB3924" w:rsidRPr="000846A1" w:rsidRDefault="00AB3924" w:rsidP="004E0D0E">
            <w:pPr>
              <w:ind w:left="612"/>
              <w:rPr>
                <w:rFonts w:cs="Arial"/>
              </w:rPr>
            </w:pPr>
          </w:p>
        </w:tc>
      </w:tr>
      <w:tr w:rsidR="00AB3924" w:rsidRPr="000846A1" w:rsidTr="00AB3924">
        <w:tc>
          <w:tcPr>
            <w:tcW w:w="5000" w:type="pct"/>
            <w:shd w:val="clear" w:color="auto" w:fill="auto"/>
          </w:tcPr>
          <w:p w:rsidR="00AB3924" w:rsidRPr="000846A1" w:rsidRDefault="00AB3924" w:rsidP="00FB1130">
            <w:pPr>
              <w:numPr>
                <w:ilvl w:val="0"/>
                <w:numId w:val="11"/>
              </w:numPr>
              <w:ind w:left="612" w:hanging="612"/>
              <w:rPr>
                <w:rFonts w:cs="Arial"/>
                <w:sz w:val="24"/>
              </w:rPr>
            </w:pPr>
            <w:r w:rsidRPr="000846A1">
              <w:rPr>
                <w:rFonts w:cs="Arial"/>
                <w:b/>
                <w:sz w:val="24"/>
              </w:rPr>
              <w:t>Adjournment to the Next Board Meeting</w:t>
            </w:r>
            <w:r w:rsidRPr="000846A1">
              <w:rPr>
                <w:rFonts w:cs="Arial"/>
                <w:sz w:val="24"/>
              </w:rPr>
              <w:t xml:space="preserve"> – </w:t>
            </w:r>
            <w:r w:rsidR="00FB1130" w:rsidRPr="000846A1">
              <w:rPr>
                <w:rFonts w:cs="Arial"/>
                <w:sz w:val="24"/>
              </w:rPr>
              <w:t>May 8</w:t>
            </w:r>
            <w:r w:rsidRPr="000846A1">
              <w:rPr>
                <w:rFonts w:cs="Arial"/>
                <w:sz w:val="24"/>
              </w:rPr>
              <w:t>, 2013</w:t>
            </w:r>
          </w:p>
        </w:tc>
      </w:tr>
      <w:tr w:rsidR="00AB3924" w:rsidRPr="000846A1" w:rsidTr="00AB3924">
        <w:tc>
          <w:tcPr>
            <w:tcW w:w="5000" w:type="pct"/>
            <w:shd w:val="clear" w:color="auto" w:fill="auto"/>
          </w:tcPr>
          <w:p w:rsidR="00AB3924" w:rsidRPr="000846A1" w:rsidRDefault="00AB3924" w:rsidP="004E0D0E">
            <w:pPr>
              <w:ind w:left="612"/>
              <w:rPr>
                <w:rFonts w:cs="Arial"/>
                <w:sz w:val="24"/>
              </w:rPr>
            </w:pPr>
          </w:p>
        </w:tc>
      </w:tr>
    </w:tbl>
    <w:p w:rsidR="000846A1" w:rsidRDefault="000846A1">
      <w:pPr>
        <w:rPr>
          <w:rFonts w:cs="Arial"/>
          <w:b/>
          <w:spacing w:val="-4"/>
          <w:sz w:val="28"/>
          <w:szCs w:val="20"/>
        </w:rPr>
      </w:pPr>
      <w:r>
        <w:rPr>
          <w:rFonts w:cs="Arial"/>
          <w:b/>
          <w:spacing w:val="-4"/>
          <w:sz w:val="28"/>
          <w:szCs w:val="20"/>
        </w:rPr>
        <w:br w:type="page"/>
      </w:r>
    </w:p>
    <w:p w:rsidR="00742F4B" w:rsidRPr="000846A1" w:rsidRDefault="00742F4B" w:rsidP="00742F4B">
      <w:pPr>
        <w:pBdr>
          <w:bottom w:val="single" w:sz="6" w:space="1" w:color="auto"/>
        </w:pBdr>
        <w:tabs>
          <w:tab w:val="center" w:pos="4680"/>
        </w:tabs>
        <w:suppressAutoHyphens/>
        <w:spacing w:after="120"/>
        <w:jc w:val="center"/>
        <w:rPr>
          <w:rFonts w:cs="Arial"/>
          <w:b/>
          <w:spacing w:val="-4"/>
          <w:sz w:val="28"/>
          <w:szCs w:val="20"/>
        </w:rPr>
      </w:pPr>
      <w:r w:rsidRPr="000846A1">
        <w:rPr>
          <w:rFonts w:cs="Arial"/>
          <w:b/>
          <w:spacing w:val="-4"/>
          <w:sz w:val="28"/>
          <w:szCs w:val="20"/>
        </w:rPr>
        <w:t>NOTES ON WATER BOARD AGENDA</w:t>
      </w:r>
    </w:p>
    <w:p w:rsidR="00D2433F" w:rsidRPr="000846A1"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0846A1"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0846A1"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0846A1" w:rsidSect="00032CE3">
          <w:headerReference w:type="default" r:id="rId15"/>
          <w:footerReference w:type="default" r:id="rId16"/>
          <w:headerReference w:type="first" r:id="rId17"/>
          <w:footerReference w:type="first" r:id="rId18"/>
          <w:pgSz w:w="12240" w:h="15840" w:code="1"/>
          <w:pgMar w:top="907" w:right="1008" w:bottom="1008" w:left="1152" w:header="0" w:footer="432" w:gutter="0"/>
          <w:cols w:space="720"/>
          <w:titlePg/>
          <w:docGrid w:linePitch="299"/>
        </w:sectPr>
      </w:pP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0846A1">
        <w:rPr>
          <w:rFonts w:cs="Arial"/>
          <w:b/>
          <w:spacing w:val="-2"/>
          <w:szCs w:val="20"/>
        </w:rPr>
        <w:t xml:space="preserve">Agenda Annotations </w:t>
      </w:r>
      <w:r w:rsidRPr="000846A1">
        <w:rPr>
          <w:rFonts w:cs="Arial"/>
          <w:bCs/>
          <w:spacing w:val="-2"/>
          <w:szCs w:val="20"/>
        </w:rPr>
        <w:t>– *Uncontested item, expected</w:t>
      </w:r>
      <w:r w:rsidRPr="000846A1">
        <w:rPr>
          <w:rFonts w:cs="Arial"/>
          <w:spacing w:val="-2"/>
          <w:szCs w:val="20"/>
        </w:rPr>
        <w:t xml:space="preserve"> to be routine and non-controversial. Rec</w:t>
      </w:r>
      <w:r w:rsidRPr="000846A1">
        <w:rPr>
          <w:rFonts w:cs="Arial"/>
          <w:spacing w:val="-2"/>
          <w:szCs w:val="20"/>
        </w:rPr>
        <w:softHyphen/>
        <w:t>ommended action will be taken at the beginning of the meeting without discus</w:t>
      </w:r>
      <w:r w:rsidRPr="000846A1">
        <w:rPr>
          <w:rFonts w:cs="Arial"/>
          <w:spacing w:val="-2"/>
          <w:szCs w:val="20"/>
        </w:rPr>
        <w:softHyphen/>
        <w:t>sion. Any interested party, Board mem</w:t>
      </w:r>
      <w:r w:rsidRPr="000846A1">
        <w:rPr>
          <w:rFonts w:cs="Arial"/>
          <w:spacing w:val="-2"/>
          <w:szCs w:val="20"/>
        </w:rPr>
        <w:softHyphen/>
        <w:t>ber or the Executive Officer may request that an item be removed from the Consideration of Uncontested Items, and it will be taken up in the order indicated by the agenda.</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0846A1">
        <w:rPr>
          <w:rFonts w:cs="Arial"/>
          <w:b/>
          <w:spacing w:val="-2"/>
          <w:szCs w:val="20"/>
        </w:rPr>
        <w:t xml:space="preserve">Availability of Agenda Items </w:t>
      </w:r>
      <w:r w:rsidRPr="000846A1">
        <w:rPr>
          <w:rFonts w:cs="Arial"/>
          <w:sz w:val="20"/>
          <w:szCs w:val="20"/>
        </w:rPr>
        <w:t>–</w:t>
      </w:r>
      <w:r w:rsidRPr="000846A1">
        <w:rPr>
          <w:rFonts w:cs="Arial"/>
          <w:spacing w:val="-2"/>
          <w:szCs w:val="20"/>
        </w:rPr>
        <w:t xml:space="preserve">Tentative orders and their accompanying materials are available one week before the meeting at </w:t>
      </w:r>
      <w:hyperlink r:id="rId19" w:history="1">
        <w:r w:rsidRPr="000846A1">
          <w:rPr>
            <w:rFonts w:cs="Arial"/>
            <w:color w:val="0000FF"/>
            <w:spacing w:val="-2"/>
            <w:szCs w:val="20"/>
            <w:u w:val="single"/>
          </w:rPr>
          <w:t>www.waterboards.ca.gov/sanfranciscobay</w:t>
        </w:r>
      </w:hyperlink>
      <w:r w:rsidRPr="000846A1">
        <w:rPr>
          <w:rFonts w:cs="Arial"/>
          <w:spacing w:val="-2"/>
          <w:szCs w:val="20"/>
        </w:rPr>
        <w:t xml:space="preserve">.  Copies of agenda items may be obtained at the Board's office after 9 a.m. on the Thursday preceding the Board meeting from the staff member indicated on the agenda.   </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0846A1">
        <w:rPr>
          <w:rFonts w:cs="Arial"/>
          <w:b/>
          <w:spacing w:val="-3"/>
          <w:szCs w:val="20"/>
        </w:rPr>
        <w:t xml:space="preserve">Conduct of Board Meetings </w:t>
      </w:r>
      <w:r w:rsidRPr="000846A1">
        <w:rPr>
          <w:rFonts w:cs="Arial"/>
          <w:sz w:val="20"/>
          <w:szCs w:val="20"/>
        </w:rPr>
        <w:t xml:space="preserve">– </w:t>
      </w:r>
      <w:r w:rsidRPr="000846A1">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0846A1">
        <w:rPr>
          <w:rFonts w:cs="Arial"/>
          <w:spacing w:val="-2"/>
          <w:szCs w:val="20"/>
        </w:rPr>
        <w:t>Anyone intending to make a presentation using slides, overheads, computer graphics, or other media must coordinate with the staff member for the agenda item in advance of the meeting</w:t>
      </w:r>
      <w:r w:rsidRPr="000846A1">
        <w:rPr>
          <w:rFonts w:cs="Arial"/>
          <w:szCs w:val="20"/>
        </w:rPr>
        <w:t xml:space="preserve">. Presentation materials must be consistent with and not extend beyond the scope of oral testimony. </w:t>
      </w:r>
      <w:r w:rsidRPr="000846A1">
        <w:rPr>
          <w:rFonts w:cs="Arial"/>
          <w:szCs w:val="22"/>
        </w:rPr>
        <w:t xml:space="preserve">Power point slides will not be made part of the record unless the Board views them during its meeting. </w:t>
      </w:r>
      <w:r w:rsidRPr="000846A1">
        <w:rPr>
          <w:rFonts w:cs="Arial"/>
          <w:szCs w:val="20"/>
        </w:rPr>
        <w:t xml:space="preserve">All </w:t>
      </w:r>
      <w:r w:rsidRPr="000846A1">
        <w:rPr>
          <w:rFonts w:cs="Arial"/>
          <w:spacing w:val="-2"/>
          <w:szCs w:val="20"/>
        </w:rPr>
        <w:t xml:space="preserve">those addressing the Board should identify themselves for the record. </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0846A1">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0846A1">
        <w:rPr>
          <w:rFonts w:cs="Arial"/>
          <w:spacing w:val="-2"/>
          <w:szCs w:val="20"/>
        </w:rPr>
        <w:softHyphen/>
        <w:t>ernment Code</w:t>
      </w:r>
      <w:r w:rsidR="00126A05" w:rsidRPr="000846A1">
        <w:rPr>
          <w:rFonts w:cs="Arial"/>
          <w:spacing w:val="-2"/>
          <w:szCs w:val="20"/>
        </w:rPr>
        <w:t xml:space="preserve"> section 11126(a),         (d) </w:t>
      </w:r>
      <w:r w:rsidRPr="000846A1">
        <w:rPr>
          <w:rFonts w:cs="Arial"/>
          <w:spacing w:val="-2"/>
          <w:szCs w:val="20"/>
        </w:rPr>
        <w:t>and (q)]</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0846A1">
        <w:rPr>
          <w:rFonts w:cs="Arial"/>
          <w:b/>
          <w:bCs/>
          <w:szCs w:val="20"/>
        </w:rPr>
        <w:t xml:space="preserve">Administrative Civil Liabilities and Mandatory Minimum Penalties </w:t>
      </w:r>
      <w:r w:rsidRPr="000846A1">
        <w:rPr>
          <w:rFonts w:cs="Arial"/>
          <w:sz w:val="20"/>
          <w:szCs w:val="20"/>
        </w:rPr>
        <w:t xml:space="preserve">– </w:t>
      </w:r>
      <w:r w:rsidRPr="000846A1">
        <w:rPr>
          <w:rFonts w:cs="Arial"/>
          <w:szCs w:val="20"/>
        </w:rPr>
        <w:t>A discharger may waive the right to a hearing on an agenda item for an ACL or MMP. If there</w:t>
      </w:r>
      <w:r w:rsidRPr="000846A1">
        <w:rPr>
          <w:rFonts w:cs="Arial"/>
          <w:b/>
          <w:bCs/>
          <w:szCs w:val="20"/>
        </w:rPr>
        <w:t xml:space="preserve"> </w:t>
      </w:r>
      <w:r w:rsidRPr="000846A1">
        <w:rPr>
          <w:rFonts w:cs="Arial"/>
          <w:szCs w:val="20"/>
        </w:rPr>
        <w:t>is a</w:t>
      </w:r>
      <w:r w:rsidRPr="000846A1">
        <w:rPr>
          <w:rFonts w:cs="Arial"/>
          <w:b/>
          <w:bCs/>
          <w:szCs w:val="20"/>
        </w:rPr>
        <w:t xml:space="preserve"> </w:t>
      </w:r>
      <w:r w:rsidRPr="000846A1">
        <w:rPr>
          <w:rFonts w:cs="Arial"/>
          <w:szCs w:val="20"/>
        </w:rPr>
        <w:t xml:space="preserve">waiver, no hearing will be held unless new, substantial information is made available that was not considered during the public comment period.   </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0846A1">
        <w:rPr>
          <w:rFonts w:cs="Arial"/>
          <w:b/>
          <w:spacing w:val="-2"/>
          <w:szCs w:val="20"/>
        </w:rPr>
        <w:t>Petition of Board Actions</w:t>
      </w:r>
      <w:r w:rsidRPr="000846A1">
        <w:rPr>
          <w:rFonts w:cs="Arial"/>
          <w:szCs w:val="20"/>
        </w:rPr>
        <w:t xml:space="preserve"> </w:t>
      </w:r>
      <w:r w:rsidRPr="000846A1">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0846A1">
        <w:rPr>
          <w:rFonts w:cs="Arial"/>
          <w:b/>
          <w:spacing w:val="-2"/>
          <w:szCs w:val="20"/>
        </w:rPr>
        <w:t>Contributions to Board Mem</w:t>
      </w:r>
      <w:r w:rsidRPr="000846A1">
        <w:rPr>
          <w:rFonts w:cs="Arial"/>
          <w:b/>
          <w:spacing w:val="-2"/>
          <w:szCs w:val="20"/>
        </w:rPr>
        <w:softHyphen/>
        <w:t xml:space="preserve">bers </w:t>
      </w:r>
      <w:r w:rsidRPr="000846A1">
        <w:rPr>
          <w:rFonts w:cs="Arial"/>
          <w:sz w:val="20"/>
          <w:szCs w:val="20"/>
        </w:rPr>
        <w:t xml:space="preserve">– </w:t>
      </w:r>
      <w:r w:rsidRPr="000846A1">
        <w:rPr>
          <w:rFonts w:cs="Arial"/>
          <w:spacing w:val="-2"/>
          <w:szCs w:val="20"/>
        </w:rPr>
        <w:t>All persons who actively support or oppose the adoption of waste discharge require</w:t>
      </w:r>
      <w:r w:rsidRPr="000846A1">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0846A1">
        <w:rPr>
          <w:rFonts w:cs="Arial"/>
          <w:spacing w:val="-2"/>
          <w:szCs w:val="20"/>
        </w:rPr>
        <w:softHyphen/>
        <w:t>ber within the   past 12 months.</w:t>
      </w:r>
      <w:r w:rsidRPr="000846A1">
        <w:rPr>
          <w:rFonts w:cs="Arial"/>
          <w:szCs w:val="20"/>
        </w:rPr>
        <w:t xml:space="preserve"> </w:t>
      </w:r>
    </w:p>
    <w:p w:rsidR="00742F4B" w:rsidRPr="000846A1"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0846A1">
        <w:rPr>
          <w:rFonts w:cs="Arial"/>
          <w:spacing w:val="-2"/>
          <w:szCs w:val="20"/>
        </w:rPr>
        <w:t>All permit applicants and all persons who actively support or oppose adoption of waste discharge requirements or an NPDES permit pending before the Board are prohibited from making a contri</w:t>
      </w:r>
      <w:r w:rsidRPr="000846A1">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0846A1">
        <w:rPr>
          <w:rFonts w:cs="Arial"/>
          <w:b/>
          <w:bCs/>
          <w:sz w:val="20"/>
          <w:szCs w:val="20"/>
        </w:rPr>
        <w:t>Water Quality Certification</w:t>
      </w:r>
      <w:r w:rsidRPr="000846A1">
        <w:rPr>
          <w:rFonts w:cs="Arial"/>
          <w:sz w:val="20"/>
          <w:szCs w:val="20"/>
        </w:rPr>
        <w:t xml:space="preserve"> – Information regarding pending section 401 Water Quality Certification applications is available at </w:t>
      </w:r>
      <w:hyperlink r:id="rId20" w:anchor="section401" w:history="1">
        <w:r w:rsidRPr="000846A1">
          <w:rPr>
            <w:rFonts w:cs="Arial"/>
            <w:color w:val="0000FF"/>
            <w:sz w:val="20"/>
            <w:szCs w:val="20"/>
            <w:u w:val="single"/>
          </w:rPr>
          <w:t>www.waterboards.ca.gov/sanfranciscobay/public_notices/#section401</w:t>
        </w:r>
      </w:hyperlink>
      <w:r w:rsidRPr="000846A1">
        <w:rPr>
          <w:rFonts w:cs="Arial"/>
          <w:sz w:val="20"/>
          <w:szCs w:val="20"/>
        </w:rPr>
        <w:t>.</w:t>
      </w:r>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A047D6" w:rsidP="00AA11C6">
      <w:pPr>
        <w:overflowPunct w:val="0"/>
        <w:autoSpaceDE w:val="0"/>
        <w:autoSpaceDN w:val="0"/>
        <w:adjustRightInd w:val="0"/>
        <w:jc w:val="center"/>
        <w:textAlignment w:val="baseline"/>
        <w:rPr>
          <w:rFonts w:cs="Arial"/>
          <w:sz w:val="18"/>
          <w:szCs w:val="20"/>
        </w:rPr>
      </w:pPr>
      <w:hyperlink r:id="rId21"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3192"/>
        <w:gridCol w:w="1596"/>
        <w:gridCol w:w="1596"/>
        <w:gridCol w:w="3192"/>
      </w:tblGrid>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City of Residence</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Oakland</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Margaret Abe-Koga</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Mountain View</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James McGrath</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t xml:space="preserve">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4E0D0E">
        <w:tc>
          <w:tcPr>
            <w:tcW w:w="9576" w:type="dxa"/>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Executive Officer</w:t>
            </w:r>
            <w:r w:rsidRPr="004078A0">
              <w:rPr>
                <w:rFonts w:cs="Arial"/>
                <w:szCs w:val="20"/>
              </w:rPr>
              <w:tab/>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Assistant Executive Officers</w:t>
            </w:r>
            <w:r w:rsidRPr="004078A0">
              <w:rPr>
                <w:rFonts w:cs="Arial"/>
                <w:szCs w:val="20"/>
              </w:rPr>
              <w:tab/>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Counsel to the Board</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Bruce H. Wolfe</w:t>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r w:rsidRPr="004078A0">
              <w:rPr>
                <w:rFonts w:cs="Arial"/>
                <w:sz w:val="20"/>
                <w:szCs w:val="20"/>
              </w:rPr>
              <w:t xml:space="preserve">Thomas </w:t>
            </w:r>
            <w:proofErr w:type="spellStart"/>
            <w:r w:rsidRPr="004078A0">
              <w:rPr>
                <w:rFonts w:cs="Arial"/>
                <w:sz w:val="20"/>
                <w:szCs w:val="20"/>
              </w:rPr>
              <w:t>Mumley</w:t>
            </w:r>
            <w:proofErr w:type="spellEnd"/>
            <w:r w:rsidRPr="004078A0">
              <w:rPr>
                <w:rFonts w:cs="Arial"/>
                <w:sz w:val="20"/>
                <w:szCs w:val="20"/>
              </w:rPr>
              <w:t xml:space="preserve"> </w:t>
            </w:r>
          </w:p>
          <w:p w:rsidR="00AA11C6" w:rsidRPr="004078A0" w:rsidRDefault="00AA11C6" w:rsidP="004E0D0E">
            <w:pPr>
              <w:overflowPunct w:val="0"/>
              <w:autoSpaceDE w:val="0"/>
              <w:autoSpaceDN w:val="0"/>
              <w:adjustRightInd w:val="0"/>
              <w:textAlignment w:val="baseline"/>
              <w:rPr>
                <w:rFonts w:cs="Arial"/>
                <w:b/>
                <w:bCs/>
                <w:i/>
                <w:iCs/>
                <w:sz w:val="20"/>
                <w:szCs w:val="20"/>
              </w:rPr>
            </w:pPr>
            <w:proofErr w:type="spellStart"/>
            <w:r w:rsidRPr="004078A0">
              <w:rPr>
                <w:rFonts w:cs="Arial"/>
                <w:sz w:val="20"/>
                <w:szCs w:val="20"/>
              </w:rPr>
              <w:t>Dyan</w:t>
            </w:r>
            <w:proofErr w:type="spellEnd"/>
            <w:r w:rsidRPr="004078A0">
              <w:rPr>
                <w:rFonts w:cs="Arial"/>
                <w:sz w:val="20"/>
                <w:szCs w:val="20"/>
              </w:rPr>
              <w:t xml:space="preserve"> Whyte</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Yuri Won</w:t>
            </w:r>
            <w:r w:rsidRPr="004078A0">
              <w:rPr>
                <w:rFonts w:cs="Arial"/>
                <w:sz w:val="20"/>
                <w:szCs w:val="20"/>
              </w:rPr>
              <w:br/>
            </w:r>
            <w:proofErr w:type="spellStart"/>
            <w:r w:rsidRPr="004078A0">
              <w:rPr>
                <w:rFonts w:cs="Arial"/>
                <w:sz w:val="20"/>
                <w:szCs w:val="20"/>
              </w:rPr>
              <w:t>Tamarin</w:t>
            </w:r>
            <w:proofErr w:type="spellEnd"/>
            <w:r w:rsidRPr="004078A0">
              <w:rPr>
                <w:rFonts w:cs="Arial"/>
                <w:sz w:val="20"/>
                <w:szCs w:val="20"/>
              </w:rPr>
              <w:t xml:space="preserve"> Austin</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Executive Assistant</w:t>
            </w:r>
            <w:r w:rsidRPr="004078A0">
              <w:rPr>
                <w:rFonts w:cs="Arial"/>
                <w:szCs w:val="20"/>
              </w:rPr>
              <w:tab/>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Management Services Division</w:t>
            </w: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Vacancy</w:t>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Anna Torres,</w:t>
            </w:r>
            <w:r w:rsidRPr="004078A0">
              <w:rPr>
                <w:rFonts w:cs="Arial"/>
                <w:szCs w:val="20"/>
              </w:rPr>
              <w:t xml:space="preserve"> </w:t>
            </w:r>
            <w:r w:rsidRPr="004078A0">
              <w:rPr>
                <w:rFonts w:cs="Arial"/>
                <w:sz w:val="18"/>
                <w:szCs w:val="18"/>
              </w:rPr>
              <w:t>Chief</w:t>
            </w:r>
            <w:r w:rsidRPr="004078A0">
              <w:rPr>
                <w:rFonts w:cs="Arial"/>
                <w:sz w:val="20"/>
                <w:szCs w:val="20"/>
              </w:rPr>
              <w:tab/>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Planning and TMDL Division</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Watershed Management</w:t>
            </w:r>
            <w:r w:rsidR="00AA4279" w:rsidRPr="004078A0">
              <w:rPr>
                <w:rFonts w:cs="Arial"/>
                <w:b/>
                <w:i/>
                <w:sz w:val="20"/>
                <w:szCs w:val="20"/>
              </w:rPr>
              <w:t xml:space="preserve"> Division</w:t>
            </w:r>
          </w:p>
        </w:tc>
        <w:tc>
          <w:tcPr>
            <w:tcW w:w="3192" w:type="dxa"/>
            <w:shd w:val="clear" w:color="auto" w:fill="auto"/>
          </w:tcPr>
          <w:p w:rsidR="00AA4279" w:rsidRPr="004078A0" w:rsidRDefault="00AA11C6" w:rsidP="004E0D0E">
            <w:pPr>
              <w:overflowPunct w:val="0"/>
              <w:autoSpaceDE w:val="0"/>
              <w:autoSpaceDN w:val="0"/>
              <w:adjustRightInd w:val="0"/>
              <w:textAlignment w:val="baseline"/>
              <w:rPr>
                <w:rFonts w:cs="Arial"/>
                <w:b/>
                <w:bCs/>
                <w:i/>
                <w:sz w:val="20"/>
                <w:szCs w:val="20"/>
              </w:rPr>
            </w:pPr>
            <w:r w:rsidRPr="004078A0">
              <w:rPr>
                <w:rFonts w:cs="Arial"/>
                <w:b/>
                <w:bCs/>
                <w:i/>
                <w:sz w:val="20"/>
                <w:szCs w:val="20"/>
              </w:rPr>
              <w:t>Groundwater Protection</w:t>
            </w:r>
            <w:r w:rsidR="001F1D7B">
              <w:rPr>
                <w:rFonts w:cs="Arial"/>
                <w:b/>
                <w:bCs/>
                <w:i/>
                <w:sz w:val="20"/>
                <w:szCs w:val="20"/>
              </w:rPr>
              <w:t xml:space="preserve"> /</w:t>
            </w:r>
          </w:p>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Waste Containment</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Naomi </w:t>
            </w:r>
            <w:proofErr w:type="spellStart"/>
            <w:r w:rsidRPr="004078A0">
              <w:rPr>
                <w:rFonts w:cs="Arial"/>
                <w:sz w:val="20"/>
                <w:szCs w:val="20"/>
              </w:rPr>
              <w:t>Feger</w:t>
            </w:r>
            <w:proofErr w:type="spellEnd"/>
            <w:r w:rsidRPr="004078A0">
              <w:rPr>
                <w:rFonts w:cs="Arial"/>
                <w:sz w:val="20"/>
                <w:szCs w:val="20"/>
              </w:rPr>
              <w:t xml:space="preserve">, </w:t>
            </w:r>
            <w:r w:rsidRPr="004078A0">
              <w:rPr>
                <w:rFonts w:cs="Arial"/>
                <w:sz w:val="18"/>
                <w:szCs w:val="18"/>
              </w:rPr>
              <w:t>Chief</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Shin-</w:t>
            </w:r>
            <w:proofErr w:type="spellStart"/>
            <w:r w:rsidRPr="004078A0">
              <w:rPr>
                <w:rFonts w:cs="Arial"/>
                <w:sz w:val="20"/>
                <w:szCs w:val="20"/>
              </w:rPr>
              <w:t>Roei</w:t>
            </w:r>
            <w:proofErr w:type="spellEnd"/>
            <w:r w:rsidRPr="004078A0">
              <w:rPr>
                <w:rFonts w:cs="Arial"/>
                <w:sz w:val="20"/>
                <w:szCs w:val="20"/>
              </w:rPr>
              <w:t xml:space="preserve"> Lee</w:t>
            </w:r>
            <w:r w:rsidRPr="004078A0">
              <w:rPr>
                <w:rFonts w:cs="Arial"/>
                <w:szCs w:val="20"/>
              </w:rPr>
              <w:t xml:space="preserve">,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Terry Seward,</w:t>
            </w:r>
            <w:r w:rsidRPr="004078A0">
              <w:rPr>
                <w:rFonts w:cs="Arial"/>
                <w:szCs w:val="20"/>
              </w:rPr>
              <w:t xml:space="preserve"> </w:t>
            </w:r>
            <w:r w:rsidRPr="004078A0">
              <w:rPr>
                <w:rFonts w:cs="Arial"/>
                <w:sz w:val="18"/>
                <w:szCs w:val="18"/>
              </w:rPr>
              <w:t>Chief</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Keith </w:t>
            </w:r>
            <w:proofErr w:type="spellStart"/>
            <w:r w:rsidRPr="004078A0">
              <w:rPr>
                <w:rFonts w:cs="Arial"/>
                <w:sz w:val="20"/>
                <w:szCs w:val="20"/>
              </w:rPr>
              <w:t>Lichten</w:t>
            </w:r>
            <w:proofErr w:type="spellEnd"/>
            <w:r w:rsidRPr="004078A0">
              <w:rPr>
                <w:rFonts w:cs="Arial"/>
                <w:sz w:val="20"/>
                <w:szCs w:val="20"/>
              </w:rPr>
              <w:t xml:space="preserve">,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Dale C. Bowyer</w:t>
            </w:r>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Alec</w:t>
            </w:r>
            <w:r w:rsidRPr="004078A0">
              <w:rPr>
                <w:rFonts w:cs="Arial"/>
                <w:sz w:val="18"/>
                <w:szCs w:val="18"/>
              </w:rPr>
              <w:t xml:space="preserve"> </w:t>
            </w:r>
            <w:proofErr w:type="spellStart"/>
            <w:r w:rsidRPr="004078A0">
              <w:rPr>
                <w:rFonts w:cs="Arial"/>
                <w:sz w:val="20"/>
                <w:szCs w:val="20"/>
              </w:rPr>
              <w:t>Naugle</w:t>
            </w:r>
            <w:proofErr w:type="spellEnd"/>
            <w:r w:rsidRPr="004078A0">
              <w:rPr>
                <w:rFonts w:cs="Arial"/>
                <w:sz w:val="18"/>
                <w:szCs w:val="18"/>
              </w:rPr>
              <w:t xml:space="preserve">, Section Leader  </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James </w:t>
            </w:r>
            <w:proofErr w:type="spellStart"/>
            <w:r w:rsidRPr="004078A0">
              <w:rPr>
                <w:rFonts w:cs="Arial"/>
                <w:sz w:val="20"/>
                <w:szCs w:val="20"/>
              </w:rPr>
              <w:t>Ponton</w:t>
            </w:r>
            <w:proofErr w:type="spellEnd"/>
            <w:r w:rsidRPr="004078A0">
              <w:rPr>
                <w:rFonts w:cs="Arial"/>
                <w:sz w:val="20"/>
                <w:szCs w:val="20"/>
              </w:rPr>
              <w:t xml:space="preserve">,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William Hurley,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David Elias, </w:t>
            </w:r>
            <w:r w:rsidRPr="004078A0">
              <w:rPr>
                <w:rFonts w:cs="Arial"/>
                <w:sz w:val="18"/>
                <w:szCs w:val="18"/>
              </w:rPr>
              <w:t>Section Leader</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Christine </w:t>
            </w:r>
            <w:proofErr w:type="spellStart"/>
            <w:r w:rsidRPr="004078A0">
              <w:rPr>
                <w:rFonts w:cs="Arial"/>
                <w:sz w:val="20"/>
                <w:szCs w:val="20"/>
              </w:rPr>
              <w:t>Boschen</w:t>
            </w:r>
            <w:proofErr w:type="spellEnd"/>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Keith Roberson</w:t>
            </w:r>
            <w:r w:rsidRPr="004078A0">
              <w:rPr>
                <w:rFonts w:cs="Arial"/>
                <w:szCs w:val="20"/>
              </w:rPr>
              <w:t xml:space="preserve">, </w:t>
            </w:r>
            <w:r w:rsidRPr="004078A0">
              <w:rPr>
                <w:rFonts w:cs="Arial"/>
                <w:sz w:val="18"/>
                <w:szCs w:val="18"/>
              </w:rPr>
              <w:t>Section Leader</w:t>
            </w:r>
            <w:r w:rsidRPr="004078A0">
              <w:rPr>
                <w:rFonts w:cs="Arial"/>
                <w:szCs w:val="20"/>
              </w:rPr>
              <w:tab/>
            </w: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Permits Division</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sz w:val="20"/>
                <w:szCs w:val="20"/>
              </w:rPr>
              <w:t>Toxics Cleanup Division</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Lila Tang, </w:t>
            </w:r>
            <w:r w:rsidRPr="004078A0">
              <w:rPr>
                <w:rFonts w:cs="Arial"/>
                <w:sz w:val="18"/>
                <w:szCs w:val="18"/>
              </w:rPr>
              <w:t>Chief</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Stephen Hill,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Bill Johnson, </w:t>
            </w:r>
            <w:r w:rsidRPr="004078A0">
              <w:rPr>
                <w:rFonts w:cs="Arial"/>
                <w:sz w:val="18"/>
                <w:szCs w:val="18"/>
              </w:rPr>
              <w:t>Section Leader</w:t>
            </w:r>
          </w:p>
        </w:tc>
        <w:tc>
          <w:tcPr>
            <w:tcW w:w="3192" w:type="dxa"/>
            <w:gridSpan w:val="2"/>
            <w:shd w:val="clear" w:color="auto" w:fill="auto"/>
          </w:tcPr>
          <w:p w:rsidR="00AA11C6" w:rsidRPr="004078A0" w:rsidRDefault="00AA4279" w:rsidP="001F1D7B">
            <w:pPr>
              <w:overflowPunct w:val="0"/>
              <w:autoSpaceDE w:val="0"/>
              <w:autoSpaceDN w:val="0"/>
              <w:adjustRightInd w:val="0"/>
              <w:ind w:right="-222"/>
              <w:textAlignment w:val="baseline"/>
              <w:rPr>
                <w:rFonts w:cs="Arial"/>
                <w:b/>
                <w:bCs/>
                <w:i/>
                <w:iCs/>
                <w:sz w:val="20"/>
                <w:szCs w:val="20"/>
              </w:rPr>
            </w:pPr>
            <w:r w:rsidRPr="004078A0">
              <w:rPr>
                <w:rFonts w:cs="Arial"/>
                <w:sz w:val="20"/>
                <w:szCs w:val="20"/>
              </w:rPr>
              <w:t xml:space="preserve">John D. </w:t>
            </w:r>
            <w:proofErr w:type="spellStart"/>
            <w:r w:rsidRPr="004078A0">
              <w:rPr>
                <w:rFonts w:cs="Arial"/>
                <w:sz w:val="20"/>
                <w:szCs w:val="20"/>
              </w:rPr>
              <w:t>Wolfenden</w:t>
            </w:r>
            <w:proofErr w:type="spellEnd"/>
            <w:r w:rsidRPr="004078A0">
              <w:rPr>
                <w:rFonts w:cs="Arial"/>
                <w:sz w:val="20"/>
                <w:szCs w:val="20"/>
              </w:rPr>
              <w:t>,</w:t>
            </w:r>
            <w:r w:rsidRPr="004078A0">
              <w:rPr>
                <w:rFonts w:cs="Arial"/>
                <w:szCs w:val="20"/>
              </w:rPr>
              <w:t xml:space="preserve"> </w:t>
            </w:r>
            <w:r w:rsidRPr="004078A0">
              <w:rPr>
                <w:rFonts w:cs="Arial"/>
                <w:sz w:val="18"/>
                <w:szCs w:val="18"/>
              </w:rPr>
              <w:t xml:space="preserve">Section </w:t>
            </w:r>
            <w:r w:rsidR="001F1D7B">
              <w:rPr>
                <w:rFonts w:cs="Arial"/>
                <w:sz w:val="18"/>
                <w:szCs w:val="18"/>
              </w:rPr>
              <w:t>L</w:t>
            </w:r>
            <w:r w:rsidRPr="004078A0">
              <w:rPr>
                <w:rFonts w:cs="Arial"/>
                <w:sz w:val="18"/>
                <w:szCs w:val="18"/>
              </w:rPr>
              <w:t>eader</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Claudia </w:t>
            </w:r>
            <w:proofErr w:type="spellStart"/>
            <w:r w:rsidRPr="004078A0">
              <w:rPr>
                <w:rFonts w:cs="Arial"/>
                <w:sz w:val="20"/>
                <w:szCs w:val="20"/>
              </w:rPr>
              <w:t>Villacorta</w:t>
            </w:r>
            <w:proofErr w:type="spellEnd"/>
            <w:r w:rsidRPr="004078A0">
              <w:rPr>
                <w:rFonts w:cs="Arial"/>
                <w:sz w:val="20"/>
                <w:szCs w:val="20"/>
              </w:rPr>
              <w:t xml:space="preserve">, </w:t>
            </w:r>
            <w:r w:rsidRPr="004078A0">
              <w:rPr>
                <w:rFonts w:cs="Arial"/>
                <w:sz w:val="18"/>
                <w:szCs w:val="18"/>
              </w:rPr>
              <w:t>Section Leader</w:t>
            </w:r>
            <w:r w:rsidRPr="004078A0">
              <w:rPr>
                <w:rFonts w:cs="Arial"/>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Chuck </w:t>
            </w:r>
            <w:proofErr w:type="spellStart"/>
            <w:r w:rsidRPr="004078A0">
              <w:rPr>
                <w:rFonts w:cs="Arial"/>
                <w:sz w:val="20"/>
                <w:szCs w:val="20"/>
              </w:rPr>
              <w:t>Headlee</w:t>
            </w:r>
            <w:proofErr w:type="spellEnd"/>
            <w:r w:rsidRPr="004078A0">
              <w:rPr>
                <w:rFonts w:cs="Arial"/>
                <w:sz w:val="20"/>
                <w:szCs w:val="20"/>
              </w:rPr>
              <w:t xml:space="preserve">,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Brian Thompson,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Mary Rose </w:t>
            </w:r>
            <w:proofErr w:type="spellStart"/>
            <w:r w:rsidRPr="004078A0">
              <w:rPr>
                <w:rFonts w:cs="Arial"/>
                <w:sz w:val="20"/>
                <w:szCs w:val="20"/>
              </w:rPr>
              <w:t>Cassa</w:t>
            </w:r>
            <w:proofErr w:type="spellEnd"/>
            <w:r w:rsidRPr="004078A0">
              <w:rPr>
                <w:rFonts w:cs="Arial"/>
                <w:sz w:val="20"/>
                <w:szCs w:val="20"/>
              </w:rPr>
              <w:t xml:space="preserve">, </w:t>
            </w:r>
            <w:r w:rsidRPr="004078A0">
              <w:rPr>
                <w:rFonts w:cs="Arial"/>
                <w:sz w:val="18"/>
                <w:szCs w:val="18"/>
              </w:rPr>
              <w:t>Section Leader</w:t>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w:t>
            </w:r>
            <w:proofErr w:type="spellStart"/>
            <w:r w:rsidRPr="004078A0">
              <w:rPr>
                <w:rFonts w:cs="Arial"/>
                <w:sz w:val="18"/>
                <w:szCs w:val="18"/>
              </w:rPr>
              <w:t>Elihu</w:t>
            </w:r>
            <w:proofErr w:type="spellEnd"/>
            <w:r w:rsidRPr="004078A0">
              <w:rPr>
                <w:rFonts w:cs="Arial"/>
                <w:sz w:val="18"/>
                <w:szCs w:val="18"/>
              </w:rPr>
              <w:t xml:space="preserve">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 xml:space="preserve">Board meeting and the recordings are retained in the Board’s office for two years.  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79" w:rsidRDefault="007F1A79">
      <w:r>
        <w:separator/>
      </w:r>
    </w:p>
  </w:endnote>
  <w:endnote w:type="continuationSeparator" w:id="0">
    <w:p w:rsidR="007F1A79" w:rsidRDefault="007F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D5B" w:rsidRPr="00856D5B" w:rsidRDefault="00ED0830" w:rsidP="00ED0830">
    <w:pPr>
      <w:pStyle w:val="Footer"/>
      <w:rPr>
        <w:sz w:val="18"/>
        <w:szCs w:val="18"/>
      </w:rPr>
    </w:pPr>
    <w:r w:rsidRPr="00ED0830">
      <w:rPr>
        <w:sz w:val="18"/>
        <w:szCs w:val="18"/>
      </w:rPr>
      <w:t>R</w:t>
    </w:r>
    <w:r>
      <w:rPr>
        <w:sz w:val="18"/>
        <w:szCs w:val="18"/>
      </w:rPr>
      <w:t>2 3/13/2013-0</w:t>
    </w:r>
    <w:r w:rsidR="00856D5B">
      <w:rPr>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79977D41" wp14:editId="43AD1AC1">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5B22F6">
      <w:rPr>
        <w:sz w:val="18"/>
        <w:szCs w:val="18"/>
      </w:rPr>
      <w:t>4/10</w:t>
    </w:r>
    <w:r w:rsidR="00A047D6">
      <w:rPr>
        <w:sz w:val="18"/>
        <w:szCs w:val="18"/>
      </w:rPr>
      <w:t>/2013-02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79" w:rsidRDefault="007F1A79">
      <w:r>
        <w:separator/>
      </w:r>
    </w:p>
  </w:footnote>
  <w:footnote w:type="continuationSeparator" w:id="0">
    <w:p w:rsidR="007F1A79" w:rsidRDefault="007F1A79">
      <w:r>
        <w:continuationSeparator/>
      </w:r>
    </w:p>
    <w:p w:rsidR="007F1A79" w:rsidRPr="00976B5B" w:rsidRDefault="007F1A79">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7F1A79" w:rsidRPr="00976B5B" w:rsidRDefault="007F1A79"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B97923" w:rsidRDefault="00B97923" w:rsidP="00B97923">
    <w:pPr>
      <w:rPr>
        <w:sz w:val="20"/>
        <w:szCs w:val="20"/>
      </w:rPr>
    </w:pPr>
    <w:r w:rsidRPr="00B97923">
      <w:rPr>
        <w:sz w:val="20"/>
        <w:szCs w:val="20"/>
      </w:rPr>
      <w:t>Water Board Meeting Agenda</w:t>
    </w:r>
    <w:r w:rsidRPr="00B97923">
      <w:rPr>
        <w:sz w:val="20"/>
        <w:szCs w:val="20"/>
      </w:rPr>
      <w:tab/>
    </w:r>
    <w:r w:rsidRPr="00B97923">
      <w:rPr>
        <w:sz w:val="20"/>
        <w:szCs w:val="20"/>
      </w:rPr>
      <w:tab/>
    </w:r>
    <w:r w:rsidRPr="00B97923">
      <w:rPr>
        <w:sz w:val="20"/>
        <w:szCs w:val="20"/>
      </w:rPr>
      <w:tab/>
    </w:r>
    <w:r w:rsidRPr="00B97923">
      <w:rPr>
        <w:sz w:val="20"/>
        <w:szCs w:val="20"/>
      </w:rPr>
      <w:tab/>
    </w:r>
    <w:r w:rsidRPr="00B97923">
      <w:rPr>
        <w:sz w:val="20"/>
        <w:szCs w:val="20"/>
      </w:rPr>
      <w:tab/>
    </w:r>
    <w:r w:rsidRPr="00B97923">
      <w:rPr>
        <w:sz w:val="20"/>
        <w:szCs w:val="20"/>
      </w:rPr>
      <w:tab/>
    </w:r>
    <w:r w:rsidRPr="00B97923">
      <w:rPr>
        <w:sz w:val="20"/>
        <w:szCs w:val="20"/>
      </w:rPr>
      <w:tab/>
    </w:r>
    <w:r w:rsidRPr="00B97923">
      <w:rPr>
        <w:sz w:val="20"/>
        <w:szCs w:val="20"/>
      </w:rPr>
      <w:tab/>
      <w:t xml:space="preserve"> Page </w:t>
    </w:r>
    <w:r w:rsidRPr="00B97923">
      <w:rPr>
        <w:sz w:val="20"/>
        <w:szCs w:val="20"/>
      </w:rPr>
      <w:fldChar w:fldCharType="begin"/>
    </w:r>
    <w:r w:rsidRPr="00B97923">
      <w:rPr>
        <w:sz w:val="20"/>
        <w:szCs w:val="20"/>
      </w:rPr>
      <w:instrText xml:space="preserve"> PAGE  \* Arabic  \* MERGEFORMAT </w:instrText>
    </w:r>
    <w:r w:rsidRPr="00B97923">
      <w:rPr>
        <w:sz w:val="20"/>
        <w:szCs w:val="20"/>
      </w:rPr>
      <w:fldChar w:fldCharType="separate"/>
    </w:r>
    <w:r w:rsidR="00A047D6">
      <w:rPr>
        <w:noProof/>
        <w:sz w:val="20"/>
        <w:szCs w:val="20"/>
      </w:rPr>
      <w:t>2</w:t>
    </w:r>
    <w:r w:rsidRPr="00B97923">
      <w:rPr>
        <w:sz w:val="20"/>
        <w:szCs w:val="20"/>
      </w:rPr>
      <w:fldChar w:fldCharType="end"/>
    </w:r>
    <w:r w:rsidRPr="00B97923">
      <w:rPr>
        <w:sz w:val="20"/>
        <w:szCs w:val="20"/>
      </w:rPr>
      <w:t xml:space="preserve"> of </w:t>
    </w:r>
    <w:r w:rsidR="00AB3924" w:rsidRPr="00B97923">
      <w:rPr>
        <w:sz w:val="20"/>
        <w:szCs w:val="20"/>
      </w:rPr>
      <w:fldChar w:fldCharType="begin"/>
    </w:r>
    <w:r w:rsidR="00AB3924" w:rsidRPr="00B97923">
      <w:rPr>
        <w:sz w:val="20"/>
        <w:szCs w:val="20"/>
      </w:rPr>
      <w:instrText xml:space="preserve"> PAGE   \* MERGEFORMAT </w:instrText>
    </w:r>
    <w:r w:rsidR="00AB3924" w:rsidRPr="00B97923">
      <w:rPr>
        <w:sz w:val="20"/>
        <w:szCs w:val="20"/>
      </w:rPr>
      <w:fldChar w:fldCharType="separate"/>
    </w:r>
    <w:r w:rsidR="00A047D6">
      <w:rPr>
        <w:noProof/>
        <w:sz w:val="20"/>
        <w:szCs w:val="20"/>
      </w:rPr>
      <w:t>2</w:t>
    </w:r>
    <w:r w:rsidR="00AB3924" w:rsidRPr="00B97923">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7F32B49C" wp14:editId="5747D3DC">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840981"/>
    <w:multiLevelType w:val="hybridMultilevel"/>
    <w:tmpl w:val="085C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735E"/>
    <w:rsid w:val="00032CE3"/>
    <w:rsid w:val="00033BD7"/>
    <w:rsid w:val="00045422"/>
    <w:rsid w:val="000464A9"/>
    <w:rsid w:val="00053515"/>
    <w:rsid w:val="00054C76"/>
    <w:rsid w:val="000633EC"/>
    <w:rsid w:val="000657A0"/>
    <w:rsid w:val="00075DC7"/>
    <w:rsid w:val="0008027A"/>
    <w:rsid w:val="000846A1"/>
    <w:rsid w:val="00091DEC"/>
    <w:rsid w:val="00097E29"/>
    <w:rsid w:val="000A71D9"/>
    <w:rsid w:val="000B3682"/>
    <w:rsid w:val="000B7F08"/>
    <w:rsid w:val="000C122D"/>
    <w:rsid w:val="000C252F"/>
    <w:rsid w:val="000C2BDC"/>
    <w:rsid w:val="000C41BD"/>
    <w:rsid w:val="000E45E0"/>
    <w:rsid w:val="000E7163"/>
    <w:rsid w:val="000E7A32"/>
    <w:rsid w:val="00100FEF"/>
    <w:rsid w:val="0010168F"/>
    <w:rsid w:val="00123011"/>
    <w:rsid w:val="00126A05"/>
    <w:rsid w:val="0013451C"/>
    <w:rsid w:val="00147A36"/>
    <w:rsid w:val="00151842"/>
    <w:rsid w:val="00152D13"/>
    <w:rsid w:val="00156F98"/>
    <w:rsid w:val="00160790"/>
    <w:rsid w:val="0017033D"/>
    <w:rsid w:val="00174A77"/>
    <w:rsid w:val="00177EBE"/>
    <w:rsid w:val="0018609B"/>
    <w:rsid w:val="001925E8"/>
    <w:rsid w:val="00192952"/>
    <w:rsid w:val="001B17EF"/>
    <w:rsid w:val="001B6E1A"/>
    <w:rsid w:val="001C18C9"/>
    <w:rsid w:val="001F1D7B"/>
    <w:rsid w:val="001F5047"/>
    <w:rsid w:val="0021011E"/>
    <w:rsid w:val="0021322C"/>
    <w:rsid w:val="002143F2"/>
    <w:rsid w:val="00227373"/>
    <w:rsid w:val="0023785C"/>
    <w:rsid w:val="00240146"/>
    <w:rsid w:val="002630D2"/>
    <w:rsid w:val="00275308"/>
    <w:rsid w:val="00286587"/>
    <w:rsid w:val="00294EC2"/>
    <w:rsid w:val="00297571"/>
    <w:rsid w:val="002A00D5"/>
    <w:rsid w:val="002A1CCC"/>
    <w:rsid w:val="002A383B"/>
    <w:rsid w:val="002A7C6E"/>
    <w:rsid w:val="002D73C1"/>
    <w:rsid w:val="002D7472"/>
    <w:rsid w:val="002E180A"/>
    <w:rsid w:val="002E5028"/>
    <w:rsid w:val="003142B2"/>
    <w:rsid w:val="00314B9D"/>
    <w:rsid w:val="0032297F"/>
    <w:rsid w:val="00330370"/>
    <w:rsid w:val="00340B1A"/>
    <w:rsid w:val="00386A5E"/>
    <w:rsid w:val="00394FF9"/>
    <w:rsid w:val="003B64E6"/>
    <w:rsid w:val="003E0C90"/>
    <w:rsid w:val="003F0398"/>
    <w:rsid w:val="0040631F"/>
    <w:rsid w:val="004064CB"/>
    <w:rsid w:val="004078A0"/>
    <w:rsid w:val="0041724B"/>
    <w:rsid w:val="00437585"/>
    <w:rsid w:val="00446C65"/>
    <w:rsid w:val="004513B4"/>
    <w:rsid w:val="0045268C"/>
    <w:rsid w:val="00456359"/>
    <w:rsid w:val="0046424A"/>
    <w:rsid w:val="0047778F"/>
    <w:rsid w:val="00481381"/>
    <w:rsid w:val="00495EA7"/>
    <w:rsid w:val="004A4E23"/>
    <w:rsid w:val="004B1057"/>
    <w:rsid w:val="004B17B1"/>
    <w:rsid w:val="004C0343"/>
    <w:rsid w:val="004C1B95"/>
    <w:rsid w:val="004C2D1E"/>
    <w:rsid w:val="004C3082"/>
    <w:rsid w:val="004C708E"/>
    <w:rsid w:val="004D2BDF"/>
    <w:rsid w:val="004E0D0E"/>
    <w:rsid w:val="004E1E28"/>
    <w:rsid w:val="004F73E8"/>
    <w:rsid w:val="005007B6"/>
    <w:rsid w:val="00501E9F"/>
    <w:rsid w:val="005056F7"/>
    <w:rsid w:val="00511BE9"/>
    <w:rsid w:val="00512291"/>
    <w:rsid w:val="00514410"/>
    <w:rsid w:val="0052708D"/>
    <w:rsid w:val="005303FF"/>
    <w:rsid w:val="0053770E"/>
    <w:rsid w:val="00547040"/>
    <w:rsid w:val="00555A25"/>
    <w:rsid w:val="00567848"/>
    <w:rsid w:val="00574AE8"/>
    <w:rsid w:val="005808E2"/>
    <w:rsid w:val="00591CD4"/>
    <w:rsid w:val="005B22F6"/>
    <w:rsid w:val="005B72FF"/>
    <w:rsid w:val="005C03A4"/>
    <w:rsid w:val="005C258F"/>
    <w:rsid w:val="005D10D0"/>
    <w:rsid w:val="005E469A"/>
    <w:rsid w:val="005F62D3"/>
    <w:rsid w:val="006054F5"/>
    <w:rsid w:val="00605C5D"/>
    <w:rsid w:val="00612118"/>
    <w:rsid w:val="0061429E"/>
    <w:rsid w:val="00614AA4"/>
    <w:rsid w:val="00625BBC"/>
    <w:rsid w:val="00632727"/>
    <w:rsid w:val="006361AA"/>
    <w:rsid w:val="006426F9"/>
    <w:rsid w:val="00642AF9"/>
    <w:rsid w:val="00660270"/>
    <w:rsid w:val="006618DC"/>
    <w:rsid w:val="00666A25"/>
    <w:rsid w:val="00667F97"/>
    <w:rsid w:val="0067032E"/>
    <w:rsid w:val="0068337A"/>
    <w:rsid w:val="00685FC4"/>
    <w:rsid w:val="00693498"/>
    <w:rsid w:val="006937B8"/>
    <w:rsid w:val="006977DE"/>
    <w:rsid w:val="006A5B65"/>
    <w:rsid w:val="006B0D68"/>
    <w:rsid w:val="006B6B07"/>
    <w:rsid w:val="006B6FAE"/>
    <w:rsid w:val="006C2981"/>
    <w:rsid w:val="006C40A2"/>
    <w:rsid w:val="006E1238"/>
    <w:rsid w:val="006F179E"/>
    <w:rsid w:val="006F4615"/>
    <w:rsid w:val="006F7055"/>
    <w:rsid w:val="007006F3"/>
    <w:rsid w:val="00703A95"/>
    <w:rsid w:val="007140D5"/>
    <w:rsid w:val="00717CAD"/>
    <w:rsid w:val="00741EEB"/>
    <w:rsid w:val="00742F4B"/>
    <w:rsid w:val="00744402"/>
    <w:rsid w:val="00744B32"/>
    <w:rsid w:val="00771DEA"/>
    <w:rsid w:val="0077215E"/>
    <w:rsid w:val="00782FBD"/>
    <w:rsid w:val="00783E0B"/>
    <w:rsid w:val="007859CE"/>
    <w:rsid w:val="0078621F"/>
    <w:rsid w:val="00787833"/>
    <w:rsid w:val="00791C30"/>
    <w:rsid w:val="00797EE1"/>
    <w:rsid w:val="007B1285"/>
    <w:rsid w:val="007B42BF"/>
    <w:rsid w:val="007B7CDF"/>
    <w:rsid w:val="007C1A2F"/>
    <w:rsid w:val="007F1A79"/>
    <w:rsid w:val="007F3354"/>
    <w:rsid w:val="0081394F"/>
    <w:rsid w:val="00816420"/>
    <w:rsid w:val="00823B66"/>
    <w:rsid w:val="008316C0"/>
    <w:rsid w:val="00833749"/>
    <w:rsid w:val="008413F1"/>
    <w:rsid w:val="00845C75"/>
    <w:rsid w:val="0085061E"/>
    <w:rsid w:val="00850EDB"/>
    <w:rsid w:val="00852D7E"/>
    <w:rsid w:val="00856D5B"/>
    <w:rsid w:val="00874CF2"/>
    <w:rsid w:val="008770F8"/>
    <w:rsid w:val="008827D5"/>
    <w:rsid w:val="008854E9"/>
    <w:rsid w:val="00890188"/>
    <w:rsid w:val="008924E3"/>
    <w:rsid w:val="008B15D5"/>
    <w:rsid w:val="008E45AD"/>
    <w:rsid w:val="00910220"/>
    <w:rsid w:val="00913939"/>
    <w:rsid w:val="00915373"/>
    <w:rsid w:val="009220D1"/>
    <w:rsid w:val="00923B1E"/>
    <w:rsid w:val="00926437"/>
    <w:rsid w:val="00935ADD"/>
    <w:rsid w:val="009418F7"/>
    <w:rsid w:val="00941F49"/>
    <w:rsid w:val="009448BB"/>
    <w:rsid w:val="00945D3A"/>
    <w:rsid w:val="009467E4"/>
    <w:rsid w:val="0095019F"/>
    <w:rsid w:val="009507F4"/>
    <w:rsid w:val="009576FF"/>
    <w:rsid w:val="00961228"/>
    <w:rsid w:val="00961F78"/>
    <w:rsid w:val="00973FBB"/>
    <w:rsid w:val="00982F67"/>
    <w:rsid w:val="009861D0"/>
    <w:rsid w:val="009B2A79"/>
    <w:rsid w:val="009B3B19"/>
    <w:rsid w:val="009C2D07"/>
    <w:rsid w:val="009D4735"/>
    <w:rsid w:val="009E3421"/>
    <w:rsid w:val="009E5ACD"/>
    <w:rsid w:val="009F1631"/>
    <w:rsid w:val="00A047D6"/>
    <w:rsid w:val="00A17E40"/>
    <w:rsid w:val="00A308C8"/>
    <w:rsid w:val="00A36480"/>
    <w:rsid w:val="00A368D5"/>
    <w:rsid w:val="00A37A82"/>
    <w:rsid w:val="00A43D5B"/>
    <w:rsid w:val="00A804B2"/>
    <w:rsid w:val="00A856D7"/>
    <w:rsid w:val="00A90239"/>
    <w:rsid w:val="00A9181A"/>
    <w:rsid w:val="00A91C0D"/>
    <w:rsid w:val="00AA11C6"/>
    <w:rsid w:val="00AA4279"/>
    <w:rsid w:val="00AA51F3"/>
    <w:rsid w:val="00AB0478"/>
    <w:rsid w:val="00AB3924"/>
    <w:rsid w:val="00AB70A6"/>
    <w:rsid w:val="00AC048E"/>
    <w:rsid w:val="00AD2981"/>
    <w:rsid w:val="00AD2A4E"/>
    <w:rsid w:val="00AD494D"/>
    <w:rsid w:val="00AE4CFF"/>
    <w:rsid w:val="00AF4310"/>
    <w:rsid w:val="00B00BE8"/>
    <w:rsid w:val="00B00D64"/>
    <w:rsid w:val="00B04662"/>
    <w:rsid w:val="00B076EA"/>
    <w:rsid w:val="00B23922"/>
    <w:rsid w:val="00B26FCB"/>
    <w:rsid w:val="00B377F8"/>
    <w:rsid w:val="00B41821"/>
    <w:rsid w:val="00B45295"/>
    <w:rsid w:val="00B762BC"/>
    <w:rsid w:val="00B85D36"/>
    <w:rsid w:val="00B9356D"/>
    <w:rsid w:val="00B956C5"/>
    <w:rsid w:val="00B97923"/>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4169F"/>
    <w:rsid w:val="00C43E3B"/>
    <w:rsid w:val="00C46D39"/>
    <w:rsid w:val="00C507A1"/>
    <w:rsid w:val="00C616DC"/>
    <w:rsid w:val="00C62EE2"/>
    <w:rsid w:val="00C630A9"/>
    <w:rsid w:val="00C657DB"/>
    <w:rsid w:val="00C67B6A"/>
    <w:rsid w:val="00C70330"/>
    <w:rsid w:val="00C7542C"/>
    <w:rsid w:val="00C75D87"/>
    <w:rsid w:val="00C80387"/>
    <w:rsid w:val="00C87ADA"/>
    <w:rsid w:val="00CA02A0"/>
    <w:rsid w:val="00CB1846"/>
    <w:rsid w:val="00CB4884"/>
    <w:rsid w:val="00CC48DD"/>
    <w:rsid w:val="00CD5CF3"/>
    <w:rsid w:val="00CD79B6"/>
    <w:rsid w:val="00CE57AF"/>
    <w:rsid w:val="00D073A1"/>
    <w:rsid w:val="00D17D44"/>
    <w:rsid w:val="00D2433F"/>
    <w:rsid w:val="00D563C7"/>
    <w:rsid w:val="00D62AFE"/>
    <w:rsid w:val="00D62B23"/>
    <w:rsid w:val="00D92956"/>
    <w:rsid w:val="00D9394C"/>
    <w:rsid w:val="00DA06C6"/>
    <w:rsid w:val="00DA0BED"/>
    <w:rsid w:val="00DA61FD"/>
    <w:rsid w:val="00DC560B"/>
    <w:rsid w:val="00DC796D"/>
    <w:rsid w:val="00DE4B6E"/>
    <w:rsid w:val="00DF5685"/>
    <w:rsid w:val="00E030E4"/>
    <w:rsid w:val="00E21855"/>
    <w:rsid w:val="00E353BE"/>
    <w:rsid w:val="00E566DE"/>
    <w:rsid w:val="00E619EA"/>
    <w:rsid w:val="00E641F4"/>
    <w:rsid w:val="00E74068"/>
    <w:rsid w:val="00E751C6"/>
    <w:rsid w:val="00E77DB8"/>
    <w:rsid w:val="00E82A7B"/>
    <w:rsid w:val="00E900BF"/>
    <w:rsid w:val="00E95A52"/>
    <w:rsid w:val="00EA23BF"/>
    <w:rsid w:val="00EB4C99"/>
    <w:rsid w:val="00EB560F"/>
    <w:rsid w:val="00EB74D1"/>
    <w:rsid w:val="00ED0830"/>
    <w:rsid w:val="00ED67B3"/>
    <w:rsid w:val="00EE0E7C"/>
    <w:rsid w:val="00EE17A6"/>
    <w:rsid w:val="00EE47EB"/>
    <w:rsid w:val="00EF3138"/>
    <w:rsid w:val="00F0068F"/>
    <w:rsid w:val="00F06DDB"/>
    <w:rsid w:val="00F122A0"/>
    <w:rsid w:val="00F55436"/>
    <w:rsid w:val="00F56DB7"/>
    <w:rsid w:val="00F66BE3"/>
    <w:rsid w:val="00F93F77"/>
    <w:rsid w:val="00F94F9B"/>
    <w:rsid w:val="00FA0A67"/>
    <w:rsid w:val="00FB05FB"/>
    <w:rsid w:val="00FB1130"/>
    <w:rsid w:val="00FC1631"/>
    <w:rsid w:val="00FC2353"/>
    <w:rsid w:val="00FC347A"/>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wells@waterboards.ca.gov" TargetMode="External"/><Relationship Id="rId13" Type="http://schemas.openxmlformats.org/officeDocument/2006/relationships/hyperlink" Target="mailto:mjohnson@waterboards.ca.gov"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waterboards.ca.gov/sanfranciscobay" TargetMode="External"/><Relationship Id="rId7" Type="http://schemas.openxmlformats.org/officeDocument/2006/relationships/endnotes" Target="endnotes.xml"/><Relationship Id="rId12" Type="http://schemas.openxmlformats.org/officeDocument/2006/relationships/hyperlink" Target="mailto:dwhitworth@waterboards.ca.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waterboards.ca.gov/sanfranciscobay/public_notic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liao@waterboards.c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vchristian@waterboards.ca.gov" TargetMode="External"/><Relationship Id="rId19" Type="http://schemas.openxmlformats.org/officeDocument/2006/relationships/hyperlink" Target="http://www.waterboards.ca.gov/sanfranciscobay" TargetMode="External"/><Relationship Id="rId4" Type="http://schemas.openxmlformats.org/officeDocument/2006/relationships/settings" Target="settings.xml"/><Relationship Id="rId9" Type="http://schemas.openxmlformats.org/officeDocument/2006/relationships/hyperlink" Target="mailto:echristian@waterboards.ca.gov" TargetMode="External"/><Relationship Id="rId14" Type="http://schemas.openxmlformats.org/officeDocument/2006/relationships/hyperlink" Target="mailto:bsieminski@waterboards.ca.go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Template>
  <TotalTime>0</TotalTime>
  <Pages>4</Pages>
  <Words>1639</Words>
  <Characters>9348</Characters>
  <Application>Microsoft Office Word</Application>
  <DocSecurity>4</DocSecurity>
  <Lines>77</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4-16-09</vt:lpstr>
      <vt:lpstr>    Wednesday, April 10, 2013 </vt:lpstr>
      <vt:lpstr>    Elihu M. Harris Building</vt:lpstr>
    </vt:vector>
  </TitlesOfParts>
  <Company>CA Water Boards (SWRCB/DWR/Graphics Unit)</Company>
  <LinksUpToDate>false</LinksUpToDate>
  <CharactersWithSpaces>10966</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2</cp:revision>
  <cp:lastPrinted>2013-01-14T20:28:00Z</cp:lastPrinted>
  <dcterms:created xsi:type="dcterms:W3CDTF">2013-03-21T19:46:00Z</dcterms:created>
  <dcterms:modified xsi:type="dcterms:W3CDTF">2013-03-21T19:46:00Z</dcterms:modified>
</cp:coreProperties>
</file>