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74731F" w:rsidRDefault="005007B6" w:rsidP="00AA11C6">
      <w:pPr>
        <w:jc w:val="center"/>
        <w:rPr>
          <w:rFonts w:cs="Arial"/>
          <w:b/>
          <w:sz w:val="40"/>
          <w:szCs w:val="40"/>
        </w:rPr>
      </w:pPr>
      <w:r w:rsidRPr="0074731F">
        <w:rPr>
          <w:rFonts w:cs="Arial"/>
          <w:b/>
          <w:sz w:val="40"/>
          <w:szCs w:val="40"/>
        </w:rPr>
        <w:t>AGENDA</w:t>
      </w:r>
    </w:p>
    <w:p w:rsidR="005007B6" w:rsidRPr="0074731F" w:rsidRDefault="005007B6" w:rsidP="00B26FCB">
      <w:pPr>
        <w:pStyle w:val="Heading2"/>
        <w:spacing w:before="0" w:after="0"/>
        <w:jc w:val="center"/>
        <w:rPr>
          <w:rFonts w:ascii="Arial" w:hAnsi="Arial" w:cs="Arial"/>
          <w:i w:val="0"/>
        </w:rPr>
      </w:pPr>
      <w:r w:rsidRPr="0074731F">
        <w:rPr>
          <w:rFonts w:ascii="Arial" w:hAnsi="Arial" w:cs="Arial"/>
          <w:i w:val="0"/>
        </w:rPr>
        <w:t xml:space="preserve">Wednesday, </w:t>
      </w:r>
      <w:r w:rsidR="00A3746F" w:rsidRPr="00D02429">
        <w:rPr>
          <w:rFonts w:ascii="Arial" w:hAnsi="Arial" w:cs="Arial"/>
          <w:i w:val="0"/>
        </w:rPr>
        <w:t>August 14</w:t>
      </w:r>
      <w:r w:rsidR="00AA11C6" w:rsidRPr="0074731F">
        <w:rPr>
          <w:rFonts w:ascii="Arial" w:hAnsi="Arial" w:cs="Arial"/>
          <w:i w:val="0"/>
        </w:rPr>
        <w:t>, 2013</w:t>
      </w:r>
      <w:r w:rsidR="0047778F" w:rsidRPr="0074731F">
        <w:rPr>
          <w:rFonts w:ascii="Arial" w:hAnsi="Arial" w:cs="Arial"/>
          <w:i w:val="0"/>
        </w:rPr>
        <w:t xml:space="preserve"> </w:t>
      </w:r>
    </w:p>
    <w:p w:rsidR="005007B6" w:rsidRPr="0074731F" w:rsidRDefault="005007B6" w:rsidP="00B26FCB">
      <w:pPr>
        <w:jc w:val="center"/>
        <w:rPr>
          <w:rFonts w:cs="Arial"/>
          <w:sz w:val="28"/>
          <w:szCs w:val="28"/>
        </w:rPr>
      </w:pPr>
      <w:r w:rsidRPr="0074731F">
        <w:rPr>
          <w:rFonts w:cs="Arial"/>
          <w:sz w:val="28"/>
          <w:szCs w:val="28"/>
        </w:rPr>
        <w:t>9:00 a.m.</w:t>
      </w:r>
    </w:p>
    <w:p w:rsidR="00B26FCB" w:rsidRPr="0074731F" w:rsidRDefault="00B26FCB" w:rsidP="00B26FCB">
      <w:pPr>
        <w:jc w:val="center"/>
        <w:rPr>
          <w:rFonts w:cs="Arial"/>
          <w:sz w:val="28"/>
          <w:szCs w:val="28"/>
        </w:rPr>
      </w:pPr>
    </w:p>
    <w:p w:rsidR="005007B6" w:rsidRPr="0074731F" w:rsidRDefault="005007B6" w:rsidP="00B26FCB">
      <w:pPr>
        <w:pStyle w:val="Heading2"/>
        <w:spacing w:before="0" w:after="0"/>
        <w:jc w:val="center"/>
        <w:rPr>
          <w:rFonts w:ascii="Arial" w:hAnsi="Arial" w:cs="Arial"/>
          <w:i w:val="0"/>
        </w:rPr>
      </w:pPr>
      <w:proofErr w:type="spellStart"/>
      <w:r w:rsidRPr="0074731F">
        <w:rPr>
          <w:rFonts w:ascii="Arial" w:hAnsi="Arial" w:cs="Arial"/>
          <w:i w:val="0"/>
        </w:rPr>
        <w:t>Elihu</w:t>
      </w:r>
      <w:proofErr w:type="spellEnd"/>
      <w:r w:rsidRPr="0074731F">
        <w:rPr>
          <w:rFonts w:ascii="Arial" w:hAnsi="Arial" w:cs="Arial"/>
          <w:i w:val="0"/>
        </w:rPr>
        <w:t xml:space="preserve"> M. Harris Building</w:t>
      </w:r>
    </w:p>
    <w:p w:rsidR="005007B6" w:rsidRPr="0074731F" w:rsidRDefault="005007B6" w:rsidP="00B26FCB">
      <w:pPr>
        <w:jc w:val="center"/>
        <w:rPr>
          <w:rFonts w:cs="Arial"/>
          <w:sz w:val="28"/>
          <w:szCs w:val="28"/>
        </w:rPr>
      </w:pPr>
      <w:r w:rsidRPr="0074731F">
        <w:rPr>
          <w:rFonts w:cs="Arial"/>
          <w:sz w:val="28"/>
          <w:szCs w:val="28"/>
        </w:rPr>
        <w:t>First Floor Auditorium</w:t>
      </w:r>
    </w:p>
    <w:p w:rsidR="00642AF9" w:rsidRPr="0074731F" w:rsidRDefault="005007B6" w:rsidP="00B26FCB">
      <w:pPr>
        <w:jc w:val="center"/>
        <w:rPr>
          <w:rFonts w:cs="Arial"/>
          <w:sz w:val="28"/>
          <w:szCs w:val="28"/>
        </w:rPr>
      </w:pPr>
      <w:r w:rsidRPr="0074731F">
        <w:rPr>
          <w:rFonts w:cs="Arial"/>
          <w:sz w:val="28"/>
          <w:szCs w:val="28"/>
        </w:rPr>
        <w:t>1515 Clay Street</w:t>
      </w:r>
      <w:r w:rsidR="00642AF9" w:rsidRPr="0074731F">
        <w:rPr>
          <w:rFonts w:cs="Arial"/>
          <w:sz w:val="28"/>
          <w:szCs w:val="28"/>
        </w:rPr>
        <w:t xml:space="preserve"> </w:t>
      </w:r>
    </w:p>
    <w:p w:rsidR="005007B6" w:rsidRPr="0074731F" w:rsidRDefault="00642AF9" w:rsidP="00B26FCB">
      <w:pPr>
        <w:jc w:val="center"/>
        <w:rPr>
          <w:rFonts w:cs="Arial"/>
          <w:sz w:val="28"/>
          <w:szCs w:val="28"/>
        </w:rPr>
      </w:pPr>
      <w:r w:rsidRPr="0074731F">
        <w:rPr>
          <w:rFonts w:cs="Arial"/>
          <w:sz w:val="28"/>
          <w:szCs w:val="28"/>
        </w:rPr>
        <w:t>Oakland, CA 94612</w:t>
      </w:r>
    </w:p>
    <w:tbl>
      <w:tblPr>
        <w:tblW w:w="5000" w:type="pct"/>
        <w:tblLook w:val="04A0" w:firstRow="1" w:lastRow="0" w:firstColumn="1" w:lastColumn="0" w:noHBand="0" w:noVBand="1"/>
      </w:tblPr>
      <w:tblGrid>
        <w:gridCol w:w="10296"/>
      </w:tblGrid>
      <w:tr w:rsidR="00AB3924" w:rsidRPr="0074731F" w:rsidTr="00AB3924">
        <w:tc>
          <w:tcPr>
            <w:tcW w:w="5000" w:type="pct"/>
            <w:shd w:val="clear" w:color="auto" w:fill="auto"/>
          </w:tcPr>
          <w:p w:rsidR="00AB3924" w:rsidRPr="0074731F" w:rsidRDefault="00AB3924" w:rsidP="00EA6746">
            <w:pPr>
              <w:ind w:left="540" w:hanging="540"/>
              <w:rPr>
                <w:rFonts w:cs="Arial"/>
              </w:rPr>
            </w:pPr>
          </w:p>
        </w:tc>
      </w:tr>
      <w:tr w:rsidR="00AB3924" w:rsidRPr="0074731F" w:rsidTr="00AB3924">
        <w:tc>
          <w:tcPr>
            <w:tcW w:w="5000" w:type="pct"/>
            <w:shd w:val="clear" w:color="auto" w:fill="auto"/>
          </w:tcPr>
          <w:p w:rsidR="00AB3924" w:rsidRPr="0074731F" w:rsidRDefault="00AB3924" w:rsidP="007B2D11">
            <w:pPr>
              <w:numPr>
                <w:ilvl w:val="0"/>
                <w:numId w:val="11"/>
              </w:numPr>
              <w:spacing w:after="120"/>
              <w:ind w:left="547" w:hanging="547"/>
              <w:rPr>
                <w:rFonts w:cs="Arial"/>
              </w:rPr>
            </w:pPr>
            <w:r w:rsidRPr="0074731F">
              <w:rPr>
                <w:rFonts w:cs="Arial"/>
                <w:b/>
                <w:bCs/>
                <w:sz w:val="24"/>
              </w:rPr>
              <w:t>Roll Call and Introductions</w:t>
            </w:r>
          </w:p>
        </w:tc>
      </w:tr>
      <w:tr w:rsidR="00AB3924" w:rsidRPr="0074731F" w:rsidTr="00AB3924">
        <w:tc>
          <w:tcPr>
            <w:tcW w:w="5000" w:type="pct"/>
            <w:shd w:val="clear" w:color="auto" w:fill="auto"/>
          </w:tcPr>
          <w:p w:rsidR="00AB3924" w:rsidRPr="0074731F" w:rsidRDefault="00AB3924" w:rsidP="00EA6746">
            <w:pPr>
              <w:ind w:left="540" w:hanging="540"/>
              <w:rPr>
                <w:rFonts w:cs="Arial"/>
              </w:rPr>
            </w:pPr>
          </w:p>
        </w:tc>
      </w:tr>
      <w:tr w:rsidR="00AB3924" w:rsidRPr="0074731F" w:rsidTr="00AB3924">
        <w:tc>
          <w:tcPr>
            <w:tcW w:w="5000" w:type="pct"/>
            <w:shd w:val="clear" w:color="auto" w:fill="auto"/>
          </w:tcPr>
          <w:p w:rsidR="00AB3924" w:rsidRPr="0074731F" w:rsidRDefault="00AB3924" w:rsidP="007B2D11">
            <w:pPr>
              <w:numPr>
                <w:ilvl w:val="0"/>
                <w:numId w:val="11"/>
              </w:numPr>
              <w:spacing w:after="120"/>
              <w:ind w:left="547" w:hanging="547"/>
              <w:rPr>
                <w:rFonts w:cs="Arial"/>
              </w:rPr>
            </w:pPr>
            <w:r w:rsidRPr="0074731F">
              <w:rPr>
                <w:rFonts w:cs="Arial"/>
                <w:b/>
                <w:sz w:val="24"/>
              </w:rPr>
              <w:t>Public Forum</w:t>
            </w:r>
          </w:p>
        </w:tc>
      </w:tr>
      <w:tr w:rsidR="00AB3924" w:rsidRPr="0074731F" w:rsidTr="00AB3924">
        <w:tc>
          <w:tcPr>
            <w:tcW w:w="5000" w:type="pct"/>
            <w:shd w:val="clear" w:color="auto" w:fill="auto"/>
          </w:tcPr>
          <w:p w:rsidR="00AB3924" w:rsidRPr="0074731F" w:rsidRDefault="00AB3924" w:rsidP="001022FA">
            <w:pPr>
              <w:ind w:left="540"/>
              <w:rPr>
                <w:rFonts w:cs="Arial"/>
                <w:i/>
                <w:iCs/>
              </w:rPr>
            </w:pPr>
            <w:r w:rsidRPr="0074731F">
              <w:rPr>
                <w:rFonts w:cs="Arial"/>
                <w:i/>
              </w:rPr>
              <w:t>Any</w:t>
            </w:r>
            <w:r w:rsidRPr="0074731F">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74731F" w:rsidTr="00AB3924">
        <w:tc>
          <w:tcPr>
            <w:tcW w:w="5000" w:type="pct"/>
            <w:shd w:val="clear" w:color="auto" w:fill="auto"/>
          </w:tcPr>
          <w:p w:rsidR="00AB3924" w:rsidRPr="0074731F" w:rsidRDefault="00AB3924" w:rsidP="00EA6746">
            <w:pPr>
              <w:ind w:left="540" w:hanging="540"/>
              <w:rPr>
                <w:rFonts w:cs="Arial"/>
              </w:rPr>
            </w:pPr>
          </w:p>
        </w:tc>
      </w:tr>
      <w:tr w:rsidR="00AB3924" w:rsidRPr="00EC57AF" w:rsidTr="00AB3924">
        <w:tc>
          <w:tcPr>
            <w:tcW w:w="5000" w:type="pct"/>
            <w:shd w:val="clear" w:color="auto" w:fill="auto"/>
          </w:tcPr>
          <w:p w:rsidR="00B32C37" w:rsidRPr="00EC57AF" w:rsidRDefault="00AB3924" w:rsidP="00D36A08">
            <w:pPr>
              <w:numPr>
                <w:ilvl w:val="0"/>
                <w:numId w:val="11"/>
              </w:numPr>
              <w:spacing w:after="120"/>
              <w:ind w:left="547" w:hanging="547"/>
              <w:rPr>
                <w:rFonts w:cs="Arial"/>
                <w:b/>
              </w:rPr>
            </w:pPr>
            <w:r w:rsidRPr="00EC57AF">
              <w:rPr>
                <w:rFonts w:cs="Arial"/>
                <w:b/>
                <w:sz w:val="24"/>
              </w:rPr>
              <w:t>Minutes o</w:t>
            </w:r>
            <w:r w:rsidR="001F184D" w:rsidRPr="00EC57AF">
              <w:rPr>
                <w:rFonts w:cs="Arial"/>
                <w:b/>
                <w:sz w:val="24"/>
              </w:rPr>
              <w:t xml:space="preserve">f </w:t>
            </w:r>
            <w:r w:rsidRPr="00EC57AF">
              <w:rPr>
                <w:rFonts w:cs="Arial"/>
                <w:b/>
                <w:sz w:val="24"/>
              </w:rPr>
              <w:t>Board Meetin</w:t>
            </w:r>
            <w:r w:rsidR="00D527A8" w:rsidRPr="00EC57AF">
              <w:rPr>
                <w:rFonts w:cs="Arial"/>
                <w:b/>
                <w:sz w:val="24"/>
              </w:rPr>
              <w:t>gs</w:t>
            </w:r>
          </w:p>
        </w:tc>
      </w:tr>
      <w:tr w:rsidR="001F184D" w:rsidRPr="00EC57AF" w:rsidTr="00AB3924">
        <w:tc>
          <w:tcPr>
            <w:tcW w:w="5000" w:type="pct"/>
            <w:shd w:val="clear" w:color="auto" w:fill="auto"/>
          </w:tcPr>
          <w:p w:rsidR="005D5C75" w:rsidRPr="00EC57AF" w:rsidRDefault="00B350C2" w:rsidP="00FB7D73">
            <w:pPr>
              <w:pStyle w:val="ListParagraph"/>
              <w:numPr>
                <w:ilvl w:val="0"/>
                <w:numId w:val="30"/>
              </w:numPr>
              <w:ind w:left="900"/>
              <w:rPr>
                <w:rFonts w:cs="Arial"/>
                <w:sz w:val="24"/>
              </w:rPr>
            </w:pPr>
            <w:hyperlink r:id="rId9" w:history="1">
              <w:r w:rsidR="00FB7D73" w:rsidRPr="00836676">
                <w:rPr>
                  <w:rStyle w:val="Hyperlink"/>
                  <w:rFonts w:cs="Arial"/>
                  <w:sz w:val="24"/>
                </w:rPr>
                <w:t xml:space="preserve">Minutes of the </w:t>
              </w:r>
              <w:r w:rsidR="005D5C75" w:rsidRPr="00836676">
                <w:rPr>
                  <w:rStyle w:val="Hyperlink"/>
                  <w:rFonts w:cs="Arial"/>
                  <w:sz w:val="24"/>
                </w:rPr>
                <w:t>July 10, 2013</w:t>
              </w:r>
              <w:r w:rsidR="00FB7D73" w:rsidRPr="00836676">
                <w:rPr>
                  <w:rStyle w:val="Hyperlink"/>
                  <w:rFonts w:cs="Arial"/>
                  <w:sz w:val="24"/>
                </w:rPr>
                <w:t xml:space="preserve"> Board Meeting</w:t>
              </w:r>
            </w:hyperlink>
          </w:p>
          <w:p w:rsidR="005D5C75" w:rsidRPr="00EC57AF" w:rsidRDefault="00B350C2" w:rsidP="00FB7D73">
            <w:pPr>
              <w:pStyle w:val="ListParagraph"/>
              <w:numPr>
                <w:ilvl w:val="0"/>
                <w:numId w:val="30"/>
              </w:numPr>
              <w:ind w:left="900"/>
              <w:rPr>
                <w:rFonts w:cs="Arial"/>
                <w:sz w:val="24"/>
              </w:rPr>
            </w:pPr>
            <w:hyperlink r:id="rId10" w:history="1">
              <w:r w:rsidR="00FB7D73" w:rsidRPr="00836676">
                <w:rPr>
                  <w:rStyle w:val="Hyperlink"/>
                  <w:rFonts w:cs="Arial"/>
                  <w:sz w:val="24"/>
                </w:rPr>
                <w:t xml:space="preserve">Minutes of the </w:t>
              </w:r>
              <w:r w:rsidR="00586B4F" w:rsidRPr="00836676">
                <w:rPr>
                  <w:rStyle w:val="Hyperlink"/>
                  <w:rFonts w:cs="Arial"/>
                  <w:sz w:val="24"/>
                </w:rPr>
                <w:t>April 11</w:t>
              </w:r>
              <w:r w:rsidR="005D5C75" w:rsidRPr="00836676">
                <w:rPr>
                  <w:rStyle w:val="Hyperlink"/>
                  <w:rFonts w:cs="Arial"/>
                  <w:sz w:val="24"/>
                </w:rPr>
                <w:t>, 2012</w:t>
              </w:r>
              <w:r w:rsidR="00FB7D73" w:rsidRPr="00836676">
                <w:rPr>
                  <w:rStyle w:val="Hyperlink"/>
                  <w:rFonts w:cs="Arial"/>
                  <w:sz w:val="24"/>
                </w:rPr>
                <w:t xml:space="preserve"> Board Meeting</w:t>
              </w:r>
            </w:hyperlink>
          </w:p>
          <w:p w:rsidR="00586B4F" w:rsidRPr="00EC57AF" w:rsidRDefault="00B350C2" w:rsidP="00FB7D73">
            <w:pPr>
              <w:pStyle w:val="ListParagraph"/>
              <w:numPr>
                <w:ilvl w:val="0"/>
                <w:numId w:val="30"/>
              </w:numPr>
              <w:ind w:left="900"/>
              <w:rPr>
                <w:rFonts w:cs="Arial"/>
                <w:sz w:val="24"/>
              </w:rPr>
            </w:pPr>
            <w:hyperlink r:id="rId11" w:history="1">
              <w:r w:rsidR="00586B4F" w:rsidRPr="00836676">
                <w:rPr>
                  <w:rStyle w:val="Hyperlink"/>
                  <w:rFonts w:cs="Arial"/>
                  <w:sz w:val="24"/>
                </w:rPr>
                <w:t>Minutes of the May 9, 2012 Board Meeting</w:t>
              </w:r>
            </w:hyperlink>
          </w:p>
          <w:p w:rsidR="00586B4F" w:rsidRPr="00EC57AF" w:rsidRDefault="00B350C2" w:rsidP="00FB7D73">
            <w:pPr>
              <w:pStyle w:val="ListParagraph"/>
              <w:numPr>
                <w:ilvl w:val="0"/>
                <w:numId w:val="30"/>
              </w:numPr>
              <w:ind w:left="900"/>
              <w:rPr>
                <w:rFonts w:cs="Arial"/>
                <w:sz w:val="24"/>
              </w:rPr>
            </w:pPr>
            <w:hyperlink r:id="rId12" w:history="1">
              <w:r w:rsidR="00586B4F" w:rsidRPr="00836676">
                <w:rPr>
                  <w:rStyle w:val="Hyperlink"/>
                  <w:rFonts w:cs="Arial"/>
                  <w:sz w:val="24"/>
                </w:rPr>
                <w:t>Minutes of the June 13, 2012 Board Meeting</w:t>
              </w:r>
            </w:hyperlink>
          </w:p>
        </w:tc>
      </w:tr>
      <w:tr w:rsidR="00AB3924" w:rsidRPr="00EC57AF" w:rsidTr="00AB3924">
        <w:tc>
          <w:tcPr>
            <w:tcW w:w="5000" w:type="pct"/>
            <w:shd w:val="clear" w:color="auto" w:fill="auto"/>
          </w:tcPr>
          <w:p w:rsidR="00AB3924" w:rsidRPr="00EC57AF" w:rsidRDefault="00AB3924" w:rsidP="00EA6746">
            <w:pPr>
              <w:ind w:left="540" w:hanging="540"/>
              <w:rPr>
                <w:rFonts w:cs="Arial"/>
              </w:rPr>
            </w:pPr>
          </w:p>
        </w:tc>
      </w:tr>
      <w:tr w:rsidR="00AB3924" w:rsidRPr="00EC57AF" w:rsidTr="00AB3924">
        <w:tc>
          <w:tcPr>
            <w:tcW w:w="5000" w:type="pct"/>
            <w:shd w:val="clear" w:color="auto" w:fill="auto"/>
          </w:tcPr>
          <w:p w:rsidR="00AB3924" w:rsidRPr="00EC57AF" w:rsidRDefault="00B350C2" w:rsidP="007B2D11">
            <w:pPr>
              <w:numPr>
                <w:ilvl w:val="0"/>
                <w:numId w:val="11"/>
              </w:numPr>
              <w:spacing w:after="120"/>
              <w:ind w:left="547" w:hanging="547"/>
              <w:rPr>
                <w:rFonts w:cs="Arial"/>
              </w:rPr>
            </w:pPr>
            <w:hyperlink r:id="rId13" w:history="1">
              <w:r w:rsidR="00AB3924" w:rsidRPr="00836676">
                <w:rPr>
                  <w:rStyle w:val="Hyperlink"/>
                  <w:rFonts w:cs="Arial"/>
                  <w:b/>
                  <w:sz w:val="24"/>
                </w:rPr>
                <w:t>Chairman’s, Board Members’, and Executive Officer’s Reports</w:t>
              </w:r>
            </w:hyperlink>
          </w:p>
        </w:tc>
      </w:tr>
      <w:tr w:rsidR="00AB3924" w:rsidRPr="00EC57AF" w:rsidTr="00AB3924">
        <w:tc>
          <w:tcPr>
            <w:tcW w:w="5000" w:type="pct"/>
            <w:shd w:val="clear" w:color="auto" w:fill="auto"/>
          </w:tcPr>
          <w:p w:rsidR="00AB3924" w:rsidRPr="00EC57AF" w:rsidRDefault="00AB3924" w:rsidP="00EA6746">
            <w:pPr>
              <w:ind w:left="540" w:hanging="540"/>
              <w:rPr>
                <w:rFonts w:cs="Arial"/>
              </w:rPr>
            </w:pPr>
          </w:p>
        </w:tc>
      </w:tr>
      <w:tr w:rsidR="00AB3924" w:rsidRPr="00EC57AF" w:rsidTr="00AB3924">
        <w:tc>
          <w:tcPr>
            <w:tcW w:w="5000" w:type="pct"/>
            <w:shd w:val="clear" w:color="auto" w:fill="auto"/>
          </w:tcPr>
          <w:p w:rsidR="00AB3924" w:rsidRPr="00EC57AF" w:rsidRDefault="00AB3924" w:rsidP="00B01715">
            <w:pPr>
              <w:numPr>
                <w:ilvl w:val="0"/>
                <w:numId w:val="11"/>
              </w:numPr>
              <w:spacing w:after="120"/>
              <w:ind w:left="540" w:hanging="540"/>
              <w:rPr>
                <w:rFonts w:cs="Arial"/>
                <w:u w:val="single"/>
              </w:rPr>
            </w:pPr>
            <w:r w:rsidRPr="00EC57AF">
              <w:rPr>
                <w:rFonts w:cs="Arial"/>
                <w:b/>
                <w:sz w:val="24"/>
                <w:u w:val="single"/>
              </w:rPr>
              <w:t xml:space="preserve">Consideration of Uncontested Items </w:t>
            </w:r>
          </w:p>
        </w:tc>
      </w:tr>
      <w:tr w:rsidR="00AB3924" w:rsidRPr="00EC57AF" w:rsidTr="00AB3924">
        <w:tc>
          <w:tcPr>
            <w:tcW w:w="5000" w:type="pct"/>
            <w:shd w:val="clear" w:color="auto" w:fill="auto"/>
          </w:tcPr>
          <w:p w:rsidR="00EC57AF" w:rsidRPr="00EC57AF" w:rsidRDefault="00091DA8" w:rsidP="00EC57AF">
            <w:pPr>
              <w:pStyle w:val="ListParagraph"/>
              <w:numPr>
                <w:ilvl w:val="0"/>
                <w:numId w:val="31"/>
              </w:numPr>
              <w:ind w:left="900"/>
              <w:rPr>
                <w:rFonts w:cs="Arial"/>
                <w:sz w:val="24"/>
              </w:rPr>
            </w:pPr>
            <w:r w:rsidRPr="00EC57AF">
              <w:rPr>
                <w:rFonts w:cs="Arial"/>
                <w:b/>
                <w:sz w:val="24"/>
              </w:rPr>
              <w:t>Sanitary District No.</w:t>
            </w:r>
            <w:r w:rsidR="007D01BB">
              <w:rPr>
                <w:rFonts w:cs="Arial"/>
                <w:b/>
                <w:sz w:val="24"/>
              </w:rPr>
              <w:t xml:space="preserve"> </w:t>
            </w:r>
            <w:r w:rsidRPr="00EC57AF">
              <w:rPr>
                <w:rFonts w:cs="Arial"/>
                <w:b/>
                <w:sz w:val="24"/>
              </w:rPr>
              <w:t>5 of Marin County, Sanitary District No.</w:t>
            </w:r>
            <w:r w:rsidR="007D01BB">
              <w:rPr>
                <w:rFonts w:cs="Arial"/>
                <w:b/>
                <w:sz w:val="24"/>
              </w:rPr>
              <w:t xml:space="preserve"> </w:t>
            </w:r>
            <w:r w:rsidRPr="00EC57AF">
              <w:rPr>
                <w:rFonts w:cs="Arial"/>
                <w:b/>
                <w:sz w:val="24"/>
              </w:rPr>
              <w:t>5 Wastewater Treatment Plant and Wastewater Collection System, Tiburon, Marin County</w:t>
            </w:r>
            <w:r w:rsidRPr="00EC57AF">
              <w:rPr>
                <w:rFonts w:cs="Arial"/>
                <w:sz w:val="24"/>
              </w:rPr>
              <w:t xml:space="preserve"> - Reissuance of NPDES Permit </w:t>
            </w:r>
          </w:p>
          <w:p w:rsidR="005D5C75" w:rsidRDefault="00091DA8" w:rsidP="00E30F6D">
            <w:pPr>
              <w:pStyle w:val="ListParagraph"/>
              <w:ind w:left="900"/>
              <w:rPr>
                <w:rFonts w:cs="Arial"/>
                <w:sz w:val="24"/>
              </w:rPr>
            </w:pPr>
            <w:r w:rsidRPr="00EC57AF">
              <w:rPr>
                <w:rFonts w:cs="Arial"/>
                <w:sz w:val="24"/>
              </w:rPr>
              <w:t xml:space="preserve">[Marcia Liao, </w:t>
            </w:r>
            <w:r w:rsidR="005D5C75" w:rsidRPr="00EC57AF">
              <w:rPr>
                <w:rFonts w:cs="Arial"/>
                <w:sz w:val="24"/>
              </w:rPr>
              <w:t>510-</w:t>
            </w:r>
            <w:r w:rsidRPr="00EC57AF">
              <w:rPr>
                <w:rFonts w:cs="Arial"/>
                <w:sz w:val="24"/>
              </w:rPr>
              <w:t>622-23</w:t>
            </w:r>
            <w:r w:rsidR="005D5C75" w:rsidRPr="00EC57AF">
              <w:rPr>
                <w:rFonts w:cs="Arial"/>
                <w:sz w:val="24"/>
              </w:rPr>
              <w:t>77</w:t>
            </w:r>
            <w:r w:rsidRPr="00EC57AF">
              <w:rPr>
                <w:rFonts w:cs="Arial"/>
                <w:sz w:val="24"/>
              </w:rPr>
              <w:t xml:space="preserve">, </w:t>
            </w:r>
            <w:hyperlink r:id="rId14" w:history="1">
              <w:r w:rsidRPr="00EC57AF">
                <w:rPr>
                  <w:rStyle w:val="Hyperlink"/>
                  <w:rFonts w:cs="Arial"/>
                  <w:sz w:val="24"/>
                </w:rPr>
                <w:t>mliao@waterboards.ca.gov</w:t>
              </w:r>
            </w:hyperlink>
            <w:r w:rsidRPr="00EC57AF">
              <w:rPr>
                <w:rFonts w:cs="Arial"/>
                <w:sz w:val="24"/>
              </w:rPr>
              <w:t>]</w:t>
            </w:r>
          </w:p>
          <w:p w:rsidR="00836676" w:rsidRDefault="00836676" w:rsidP="00E30F6D">
            <w:pPr>
              <w:pStyle w:val="ListParagraph"/>
              <w:ind w:left="900"/>
              <w:rPr>
                <w:rFonts w:cs="Arial"/>
                <w:sz w:val="24"/>
              </w:rPr>
            </w:pPr>
          </w:p>
          <w:p w:rsidR="00B8004C" w:rsidRPr="00B8004C" w:rsidRDefault="00B8004C" w:rsidP="00E30F6D">
            <w:pPr>
              <w:pStyle w:val="ListParagraph"/>
              <w:ind w:left="900"/>
              <w:rPr>
                <w:sz w:val="28"/>
                <w:szCs w:val="28"/>
              </w:rPr>
            </w:pPr>
            <w:r w:rsidRPr="00B8004C">
              <w:rPr>
                <w:sz w:val="28"/>
                <w:szCs w:val="28"/>
              </w:rPr>
              <w:t xml:space="preserve">Final Order </w:t>
            </w:r>
            <w:hyperlink r:id="rId15" w:history="1">
              <w:r w:rsidRPr="00707491">
                <w:rPr>
                  <w:rStyle w:val="Hyperlink"/>
                  <w:sz w:val="28"/>
                  <w:szCs w:val="28"/>
                </w:rPr>
                <w:t>R2-2013-0027</w:t>
              </w:r>
            </w:hyperlink>
          </w:p>
          <w:p w:rsidR="00836676" w:rsidRPr="00AC76EA" w:rsidRDefault="00B350C2" w:rsidP="00E30F6D">
            <w:pPr>
              <w:pStyle w:val="ListParagraph"/>
              <w:ind w:left="900"/>
              <w:rPr>
                <w:rFonts w:cs="Arial"/>
                <w:sz w:val="28"/>
                <w:szCs w:val="28"/>
              </w:rPr>
            </w:pPr>
            <w:hyperlink r:id="rId16" w:history="1">
              <w:r w:rsidR="00AC76EA" w:rsidRPr="00AC76EA">
                <w:rPr>
                  <w:rStyle w:val="Hyperlink"/>
                  <w:rFonts w:cs="Arial"/>
                  <w:sz w:val="28"/>
                  <w:szCs w:val="28"/>
                </w:rPr>
                <w:t>Staff Summary Report</w:t>
              </w:r>
            </w:hyperlink>
          </w:p>
          <w:p w:rsidR="00AC76EA" w:rsidRPr="00AC76EA" w:rsidRDefault="00B350C2" w:rsidP="00E30F6D">
            <w:pPr>
              <w:pStyle w:val="ListParagraph"/>
              <w:ind w:left="900"/>
              <w:rPr>
                <w:rFonts w:cs="Arial"/>
                <w:sz w:val="28"/>
                <w:szCs w:val="28"/>
              </w:rPr>
            </w:pPr>
            <w:hyperlink r:id="rId17" w:history="1">
              <w:r w:rsidR="00AC76EA" w:rsidRPr="00AC76EA">
                <w:rPr>
                  <w:rStyle w:val="Hyperlink"/>
                  <w:rFonts w:cs="Arial"/>
                  <w:sz w:val="28"/>
                  <w:szCs w:val="28"/>
                </w:rPr>
                <w:t>Tentative Order</w:t>
              </w:r>
            </w:hyperlink>
          </w:p>
          <w:p w:rsidR="00AC76EA" w:rsidRPr="00AC76EA" w:rsidRDefault="00B350C2" w:rsidP="00E30F6D">
            <w:pPr>
              <w:pStyle w:val="ListParagraph"/>
              <w:ind w:left="900"/>
              <w:rPr>
                <w:rFonts w:cs="Arial"/>
                <w:sz w:val="28"/>
                <w:szCs w:val="28"/>
              </w:rPr>
            </w:pPr>
            <w:hyperlink r:id="rId18" w:history="1">
              <w:r w:rsidR="00AC76EA" w:rsidRPr="00AC76EA">
                <w:rPr>
                  <w:rStyle w:val="Hyperlink"/>
                  <w:rFonts w:cs="Arial"/>
                  <w:sz w:val="28"/>
                  <w:szCs w:val="28"/>
                </w:rPr>
                <w:t>Comments</w:t>
              </w:r>
            </w:hyperlink>
          </w:p>
          <w:p w:rsidR="00AC76EA" w:rsidRPr="00AC76EA" w:rsidRDefault="00B350C2" w:rsidP="00E30F6D">
            <w:pPr>
              <w:pStyle w:val="ListParagraph"/>
              <w:ind w:left="900"/>
              <w:rPr>
                <w:rFonts w:cs="Arial"/>
                <w:sz w:val="28"/>
                <w:szCs w:val="28"/>
              </w:rPr>
            </w:pPr>
            <w:hyperlink r:id="rId19" w:history="1">
              <w:r w:rsidR="00AC76EA" w:rsidRPr="00AC76EA">
                <w:rPr>
                  <w:rStyle w:val="Hyperlink"/>
                  <w:rFonts w:cs="Arial"/>
                  <w:sz w:val="28"/>
                  <w:szCs w:val="28"/>
                </w:rPr>
                <w:t>Response to Comments</w:t>
              </w:r>
            </w:hyperlink>
          </w:p>
          <w:p w:rsidR="00AC76EA" w:rsidRPr="00AC76EA" w:rsidRDefault="00AC76EA" w:rsidP="00E30F6D">
            <w:pPr>
              <w:pStyle w:val="ListParagraph"/>
              <w:ind w:left="900"/>
              <w:rPr>
                <w:rFonts w:cs="Arial"/>
                <w:sz w:val="28"/>
                <w:szCs w:val="28"/>
              </w:rPr>
            </w:pPr>
          </w:p>
          <w:p w:rsidR="00EC57AF" w:rsidRDefault="00EC57AF" w:rsidP="00EC57AF">
            <w:pPr>
              <w:pStyle w:val="ListParagraph"/>
              <w:ind w:left="900"/>
              <w:rPr>
                <w:rFonts w:cs="Arial"/>
                <w:sz w:val="24"/>
              </w:rPr>
            </w:pPr>
          </w:p>
          <w:p w:rsidR="00EC57AF" w:rsidRDefault="005D5C75" w:rsidP="00EC57AF">
            <w:pPr>
              <w:numPr>
                <w:ilvl w:val="0"/>
                <w:numId w:val="31"/>
              </w:numPr>
              <w:ind w:left="900"/>
              <w:rPr>
                <w:rFonts w:cs="Arial"/>
                <w:sz w:val="24"/>
              </w:rPr>
            </w:pPr>
            <w:r w:rsidRPr="00EC57AF">
              <w:rPr>
                <w:rFonts w:cs="Arial"/>
                <w:b/>
                <w:sz w:val="24"/>
              </w:rPr>
              <w:t>Pick Your Part Auto Wrecking, for the property located at 2885 West Winton Avenue, Hayward, Alameda County</w:t>
            </w:r>
            <w:r w:rsidRPr="000461A0">
              <w:rPr>
                <w:rFonts w:cs="Arial"/>
                <w:sz w:val="24"/>
              </w:rPr>
              <w:t xml:space="preserve"> –</w:t>
            </w:r>
            <w:r w:rsidRPr="00EC57AF">
              <w:rPr>
                <w:rFonts w:cs="Arial"/>
                <w:b/>
                <w:sz w:val="24"/>
              </w:rPr>
              <w:t xml:space="preserve"> </w:t>
            </w:r>
            <w:r w:rsidRPr="00EC57AF">
              <w:rPr>
                <w:rFonts w:cs="Arial"/>
                <w:sz w:val="24"/>
              </w:rPr>
              <w:t>Rescission of Site Cleanup Requirements</w:t>
            </w:r>
          </w:p>
          <w:p w:rsidR="005D5C75" w:rsidRDefault="005D5C75" w:rsidP="00EC57AF">
            <w:pPr>
              <w:ind w:left="900"/>
              <w:rPr>
                <w:rFonts w:cs="Arial"/>
                <w:sz w:val="24"/>
              </w:rPr>
            </w:pPr>
            <w:r w:rsidRPr="00EC57AF">
              <w:rPr>
                <w:rFonts w:cs="Arial"/>
                <w:sz w:val="24"/>
              </w:rPr>
              <w:t>[</w:t>
            </w:r>
            <w:proofErr w:type="spellStart"/>
            <w:r w:rsidRPr="00EC57AF">
              <w:rPr>
                <w:rFonts w:cs="Arial"/>
                <w:sz w:val="24"/>
              </w:rPr>
              <w:t>Uta</w:t>
            </w:r>
            <w:proofErr w:type="spellEnd"/>
            <w:r w:rsidRPr="00EC57AF">
              <w:rPr>
                <w:rFonts w:cs="Arial"/>
                <w:sz w:val="24"/>
              </w:rPr>
              <w:t xml:space="preserve"> Hellmann-Blumberg</w:t>
            </w:r>
            <w:r w:rsidR="00FB7D73" w:rsidRPr="00EC57AF">
              <w:rPr>
                <w:rFonts w:cs="Arial"/>
                <w:sz w:val="24"/>
              </w:rPr>
              <w:t>,</w:t>
            </w:r>
            <w:r w:rsidRPr="00EC57AF">
              <w:rPr>
                <w:rFonts w:cs="Arial"/>
                <w:sz w:val="24"/>
              </w:rPr>
              <w:t xml:space="preserve"> 510-622-5047, </w:t>
            </w:r>
            <w:hyperlink r:id="rId20" w:history="1">
              <w:r w:rsidRPr="00EC57AF">
                <w:rPr>
                  <w:rStyle w:val="Hyperlink"/>
                  <w:rFonts w:cs="Arial"/>
                  <w:sz w:val="24"/>
                </w:rPr>
                <w:t>uhellmann-blumberg@waterboards.ca.gov</w:t>
              </w:r>
            </w:hyperlink>
            <w:r w:rsidRPr="00EC57AF">
              <w:rPr>
                <w:rFonts w:cs="Arial"/>
                <w:sz w:val="24"/>
              </w:rPr>
              <w:t>]</w:t>
            </w:r>
          </w:p>
          <w:p w:rsidR="00836676" w:rsidRDefault="00836676" w:rsidP="00EC57AF">
            <w:pPr>
              <w:ind w:left="900"/>
              <w:rPr>
                <w:rFonts w:cs="Arial"/>
                <w:sz w:val="24"/>
              </w:rPr>
            </w:pPr>
          </w:p>
          <w:p w:rsidR="00B8004C" w:rsidRPr="00B8004C" w:rsidRDefault="00B8004C" w:rsidP="00EC57AF">
            <w:pPr>
              <w:ind w:left="900"/>
              <w:rPr>
                <w:sz w:val="28"/>
                <w:szCs w:val="28"/>
              </w:rPr>
            </w:pPr>
            <w:r w:rsidRPr="00B8004C">
              <w:rPr>
                <w:sz w:val="28"/>
                <w:szCs w:val="28"/>
              </w:rPr>
              <w:t xml:space="preserve">Final Order </w:t>
            </w:r>
            <w:hyperlink r:id="rId21" w:history="1">
              <w:r w:rsidRPr="00B350C2">
                <w:rPr>
                  <w:rStyle w:val="Hyperlink"/>
                  <w:sz w:val="28"/>
                  <w:szCs w:val="28"/>
                </w:rPr>
                <w:t>R2-2013-00</w:t>
              </w:r>
              <w:r w:rsidR="00DE7522" w:rsidRPr="00B350C2">
                <w:rPr>
                  <w:rStyle w:val="Hyperlink"/>
                  <w:sz w:val="28"/>
                  <w:szCs w:val="28"/>
                </w:rPr>
                <w:t>28</w:t>
              </w:r>
            </w:hyperlink>
            <w:bookmarkStart w:id="0" w:name="_GoBack"/>
            <w:bookmarkEnd w:id="0"/>
          </w:p>
          <w:p w:rsidR="00836676" w:rsidRPr="00836676" w:rsidRDefault="00B350C2" w:rsidP="00EC57AF">
            <w:pPr>
              <w:ind w:left="900"/>
              <w:rPr>
                <w:rFonts w:cs="Arial"/>
                <w:sz w:val="28"/>
                <w:szCs w:val="28"/>
              </w:rPr>
            </w:pPr>
            <w:hyperlink r:id="rId22" w:history="1">
              <w:r w:rsidR="00836676" w:rsidRPr="00836676">
                <w:rPr>
                  <w:rStyle w:val="Hyperlink"/>
                  <w:rFonts w:cs="Arial"/>
                  <w:sz w:val="28"/>
                  <w:szCs w:val="28"/>
                </w:rPr>
                <w:t>Staff Summary Report</w:t>
              </w:r>
            </w:hyperlink>
          </w:p>
          <w:p w:rsidR="00836676" w:rsidRPr="00836676" w:rsidRDefault="00B350C2" w:rsidP="00EC57AF">
            <w:pPr>
              <w:ind w:left="900"/>
              <w:rPr>
                <w:rFonts w:cs="Arial"/>
                <w:sz w:val="28"/>
                <w:szCs w:val="28"/>
              </w:rPr>
            </w:pPr>
            <w:hyperlink r:id="rId23" w:history="1">
              <w:r w:rsidR="00836676" w:rsidRPr="00836676">
                <w:rPr>
                  <w:rStyle w:val="Hyperlink"/>
                  <w:rFonts w:cs="Arial"/>
                  <w:sz w:val="28"/>
                  <w:szCs w:val="28"/>
                </w:rPr>
                <w:t>Tentative Order</w:t>
              </w:r>
            </w:hyperlink>
          </w:p>
          <w:p w:rsidR="00836676" w:rsidRDefault="00836676" w:rsidP="00EC57AF">
            <w:pPr>
              <w:ind w:left="900"/>
              <w:rPr>
                <w:rFonts w:cs="Arial"/>
                <w:sz w:val="24"/>
              </w:rPr>
            </w:pPr>
          </w:p>
          <w:p w:rsidR="000461A0" w:rsidRDefault="000461A0" w:rsidP="00EC57AF">
            <w:pPr>
              <w:ind w:left="900"/>
              <w:rPr>
                <w:rFonts w:cs="Arial"/>
                <w:sz w:val="24"/>
              </w:rPr>
            </w:pPr>
          </w:p>
          <w:p w:rsidR="005656DE" w:rsidRPr="00EC57AF" w:rsidRDefault="005656DE" w:rsidP="00EC57AF">
            <w:pPr>
              <w:ind w:left="900"/>
              <w:rPr>
                <w:rFonts w:cs="Arial"/>
                <w:sz w:val="24"/>
              </w:rPr>
            </w:pPr>
          </w:p>
          <w:p w:rsidR="000461A0" w:rsidRPr="00EC57AF" w:rsidRDefault="000461A0" w:rsidP="000461A0">
            <w:pPr>
              <w:pStyle w:val="ListParagraph"/>
              <w:numPr>
                <w:ilvl w:val="0"/>
                <w:numId w:val="31"/>
              </w:numPr>
              <w:ind w:left="900"/>
              <w:rPr>
                <w:rFonts w:cs="Arial"/>
                <w:sz w:val="24"/>
              </w:rPr>
            </w:pPr>
            <w:r w:rsidRPr="00EC57AF">
              <w:rPr>
                <w:rFonts w:cs="Arial"/>
                <w:b/>
                <w:sz w:val="24"/>
              </w:rPr>
              <w:t xml:space="preserve">Cleanup Programs </w:t>
            </w:r>
            <w:r w:rsidRPr="000461A0">
              <w:rPr>
                <w:rFonts w:cs="Arial"/>
                <w:sz w:val="24"/>
              </w:rPr>
              <w:t xml:space="preserve">– </w:t>
            </w:r>
            <w:r w:rsidRPr="00EC57AF">
              <w:rPr>
                <w:rFonts w:cs="Arial"/>
                <w:sz w:val="24"/>
              </w:rPr>
              <w:t xml:space="preserve">Status Report including Case Closures </w:t>
            </w:r>
          </w:p>
          <w:p w:rsidR="000461A0" w:rsidRDefault="000461A0" w:rsidP="000461A0">
            <w:pPr>
              <w:pStyle w:val="ListParagraph"/>
              <w:ind w:left="900"/>
              <w:rPr>
                <w:rFonts w:cs="Arial"/>
                <w:sz w:val="24"/>
              </w:rPr>
            </w:pPr>
            <w:r w:rsidRPr="00EC57AF">
              <w:rPr>
                <w:rFonts w:cs="Arial"/>
                <w:sz w:val="24"/>
              </w:rPr>
              <w:t xml:space="preserve">[John </w:t>
            </w:r>
            <w:proofErr w:type="spellStart"/>
            <w:r w:rsidRPr="00EC57AF">
              <w:rPr>
                <w:rFonts w:cs="Arial"/>
                <w:sz w:val="24"/>
              </w:rPr>
              <w:t>Wolfenden</w:t>
            </w:r>
            <w:proofErr w:type="spellEnd"/>
            <w:r w:rsidRPr="00EC57AF">
              <w:rPr>
                <w:rFonts w:cs="Arial"/>
                <w:sz w:val="24"/>
              </w:rPr>
              <w:t xml:space="preserve">, 510-622-2444, </w:t>
            </w:r>
            <w:hyperlink r:id="rId24" w:history="1">
              <w:r w:rsidRPr="00EC57AF">
                <w:rPr>
                  <w:rStyle w:val="Hyperlink"/>
                  <w:rFonts w:cs="Arial"/>
                  <w:sz w:val="24"/>
                </w:rPr>
                <w:t>jwolfenden@waterboards.ca.gov</w:t>
              </w:r>
            </w:hyperlink>
            <w:r w:rsidRPr="00EC57AF">
              <w:rPr>
                <w:rFonts w:cs="Arial"/>
                <w:sz w:val="24"/>
              </w:rPr>
              <w:t>]</w:t>
            </w:r>
          </w:p>
          <w:p w:rsidR="00836676" w:rsidRDefault="00836676" w:rsidP="000461A0">
            <w:pPr>
              <w:pStyle w:val="ListParagraph"/>
              <w:ind w:left="900"/>
              <w:rPr>
                <w:rFonts w:cs="Arial"/>
                <w:sz w:val="24"/>
              </w:rPr>
            </w:pPr>
          </w:p>
          <w:p w:rsidR="00836676" w:rsidRPr="00836676" w:rsidRDefault="00B350C2" w:rsidP="000461A0">
            <w:pPr>
              <w:pStyle w:val="ListParagraph"/>
              <w:ind w:left="900"/>
              <w:rPr>
                <w:rFonts w:cs="Arial"/>
                <w:sz w:val="28"/>
                <w:szCs w:val="28"/>
              </w:rPr>
            </w:pPr>
            <w:hyperlink r:id="rId25" w:history="1">
              <w:r w:rsidR="00836676" w:rsidRPr="00836676">
                <w:rPr>
                  <w:rStyle w:val="Hyperlink"/>
                  <w:rFonts w:cs="Arial"/>
                  <w:sz w:val="28"/>
                  <w:szCs w:val="28"/>
                </w:rPr>
                <w:t>Staff Summary Report</w:t>
              </w:r>
            </w:hyperlink>
          </w:p>
          <w:p w:rsidR="00836676" w:rsidRDefault="00836676" w:rsidP="000461A0">
            <w:pPr>
              <w:pStyle w:val="ListParagraph"/>
              <w:ind w:left="900"/>
              <w:rPr>
                <w:rFonts w:cs="Arial"/>
                <w:sz w:val="24"/>
              </w:rPr>
            </w:pPr>
          </w:p>
          <w:p w:rsidR="005656DE" w:rsidRDefault="005656DE" w:rsidP="000461A0">
            <w:pPr>
              <w:pStyle w:val="ListParagraph"/>
              <w:ind w:left="900"/>
              <w:rPr>
                <w:rFonts w:cs="Arial"/>
                <w:sz w:val="24"/>
              </w:rPr>
            </w:pPr>
          </w:p>
          <w:p w:rsidR="00FB7D73" w:rsidRPr="00E30F6D" w:rsidRDefault="00FB7D73" w:rsidP="00E30F6D">
            <w:pPr>
              <w:rPr>
                <w:rFonts w:cs="Arial"/>
                <w:sz w:val="24"/>
              </w:rPr>
            </w:pPr>
          </w:p>
          <w:p w:rsidR="006C437D" w:rsidRPr="00EC57AF" w:rsidRDefault="006C437D" w:rsidP="006C437D">
            <w:pPr>
              <w:pStyle w:val="ListParagraph"/>
              <w:numPr>
                <w:ilvl w:val="0"/>
                <w:numId w:val="31"/>
              </w:numPr>
              <w:ind w:left="900"/>
              <w:rPr>
                <w:rFonts w:cs="Arial"/>
                <w:sz w:val="24"/>
              </w:rPr>
            </w:pPr>
            <w:r w:rsidRPr="00EC57AF">
              <w:rPr>
                <w:rFonts w:cs="Arial"/>
                <w:b/>
                <w:sz w:val="24"/>
              </w:rPr>
              <w:t>TMDL Program Update</w:t>
            </w:r>
            <w:r w:rsidRPr="00EC57AF">
              <w:rPr>
                <w:rFonts w:cs="Arial"/>
                <w:sz w:val="24"/>
              </w:rPr>
              <w:t xml:space="preserve"> –</w:t>
            </w:r>
            <w:r>
              <w:rPr>
                <w:rFonts w:cs="Arial"/>
                <w:sz w:val="24"/>
              </w:rPr>
              <w:t xml:space="preserve"> </w:t>
            </w:r>
            <w:r w:rsidRPr="00EC57AF">
              <w:rPr>
                <w:rFonts w:cs="Arial"/>
                <w:sz w:val="24"/>
              </w:rPr>
              <w:t>Status Report</w:t>
            </w:r>
          </w:p>
          <w:p w:rsidR="006C437D" w:rsidRDefault="006C437D" w:rsidP="006C437D">
            <w:pPr>
              <w:pStyle w:val="ListParagraph"/>
              <w:ind w:left="900"/>
              <w:rPr>
                <w:rFonts w:cs="Arial"/>
                <w:sz w:val="24"/>
              </w:rPr>
            </w:pPr>
            <w:r w:rsidRPr="00EC57AF">
              <w:rPr>
                <w:rFonts w:cs="Arial"/>
                <w:sz w:val="24"/>
              </w:rPr>
              <w:t xml:space="preserve">[Naomi Feger, 510-622-2328, </w:t>
            </w:r>
            <w:hyperlink r:id="rId26" w:history="1">
              <w:r w:rsidRPr="00EC57AF">
                <w:rPr>
                  <w:rStyle w:val="Hyperlink"/>
                  <w:rFonts w:cs="Arial"/>
                  <w:sz w:val="24"/>
                </w:rPr>
                <w:t>nfeger@waterboards.ca.gov</w:t>
              </w:r>
            </w:hyperlink>
            <w:r w:rsidRPr="00EC57AF">
              <w:rPr>
                <w:rFonts w:cs="Arial"/>
                <w:sz w:val="24"/>
              </w:rPr>
              <w:t xml:space="preserve">] </w:t>
            </w:r>
          </w:p>
          <w:p w:rsidR="00836676" w:rsidRDefault="00836676" w:rsidP="006C437D">
            <w:pPr>
              <w:pStyle w:val="ListParagraph"/>
              <w:ind w:left="900"/>
              <w:rPr>
                <w:rFonts w:cs="Arial"/>
                <w:sz w:val="24"/>
              </w:rPr>
            </w:pPr>
          </w:p>
          <w:p w:rsidR="00836676" w:rsidRPr="005B511E" w:rsidRDefault="00B350C2" w:rsidP="006C437D">
            <w:pPr>
              <w:pStyle w:val="ListParagraph"/>
              <w:ind w:left="900"/>
              <w:rPr>
                <w:rFonts w:cs="Arial"/>
                <w:sz w:val="28"/>
                <w:szCs w:val="28"/>
              </w:rPr>
            </w:pPr>
            <w:hyperlink r:id="rId27" w:history="1">
              <w:r w:rsidR="005B511E" w:rsidRPr="005B511E">
                <w:rPr>
                  <w:rStyle w:val="Hyperlink"/>
                  <w:rFonts w:cs="Arial"/>
                  <w:sz w:val="28"/>
                  <w:szCs w:val="28"/>
                </w:rPr>
                <w:t>Staff Summary Report</w:t>
              </w:r>
            </w:hyperlink>
          </w:p>
          <w:p w:rsidR="005B511E" w:rsidRDefault="005B511E" w:rsidP="006C437D">
            <w:pPr>
              <w:pStyle w:val="ListParagraph"/>
              <w:ind w:left="900"/>
              <w:rPr>
                <w:rFonts w:cs="Arial"/>
                <w:sz w:val="24"/>
              </w:rPr>
            </w:pPr>
          </w:p>
          <w:p w:rsidR="005656DE" w:rsidRDefault="005656DE" w:rsidP="006C437D">
            <w:pPr>
              <w:pStyle w:val="ListParagraph"/>
              <w:ind w:left="900"/>
              <w:rPr>
                <w:rFonts w:cs="Arial"/>
                <w:sz w:val="24"/>
              </w:rPr>
            </w:pPr>
          </w:p>
          <w:p w:rsidR="006C437D" w:rsidRDefault="006C437D" w:rsidP="006C437D">
            <w:pPr>
              <w:pStyle w:val="ListParagraph"/>
              <w:ind w:left="900"/>
              <w:rPr>
                <w:rFonts w:cs="Arial"/>
                <w:sz w:val="24"/>
              </w:rPr>
            </w:pPr>
          </w:p>
          <w:p w:rsidR="00C77B0A" w:rsidRPr="00EC57AF" w:rsidRDefault="00C77B0A" w:rsidP="006C437D">
            <w:pPr>
              <w:pStyle w:val="ListParagraph"/>
              <w:numPr>
                <w:ilvl w:val="0"/>
                <w:numId w:val="31"/>
              </w:numPr>
              <w:ind w:left="900"/>
              <w:rPr>
                <w:rFonts w:cs="Arial"/>
                <w:sz w:val="24"/>
              </w:rPr>
            </w:pPr>
            <w:r w:rsidRPr="00EC57AF">
              <w:rPr>
                <w:rFonts w:cs="Arial"/>
                <w:b/>
                <w:sz w:val="24"/>
              </w:rPr>
              <w:t>San Francisco Bay PCBs TMDL</w:t>
            </w:r>
            <w:r w:rsidR="00EC57AF" w:rsidRPr="00EC57AF">
              <w:rPr>
                <w:rFonts w:cs="Arial"/>
                <w:sz w:val="24"/>
              </w:rPr>
              <w:t xml:space="preserve"> </w:t>
            </w:r>
            <w:r w:rsidRPr="00EC57AF">
              <w:rPr>
                <w:rFonts w:cs="Arial"/>
                <w:sz w:val="24"/>
              </w:rPr>
              <w:t>–</w:t>
            </w:r>
            <w:r w:rsidR="00EC57AF">
              <w:rPr>
                <w:rFonts w:cs="Arial"/>
                <w:sz w:val="24"/>
              </w:rPr>
              <w:t xml:space="preserve"> </w:t>
            </w:r>
            <w:r w:rsidR="00E30F6D">
              <w:rPr>
                <w:rFonts w:cs="Arial"/>
                <w:sz w:val="24"/>
              </w:rPr>
              <w:t xml:space="preserve">Implementation </w:t>
            </w:r>
            <w:r w:rsidRPr="00EC57AF">
              <w:rPr>
                <w:rFonts w:cs="Arial"/>
                <w:sz w:val="24"/>
              </w:rPr>
              <w:t>Status Report</w:t>
            </w:r>
          </w:p>
          <w:p w:rsidR="00AE2740" w:rsidRDefault="00C77B0A" w:rsidP="00AC7490">
            <w:pPr>
              <w:pStyle w:val="ListParagraph"/>
              <w:ind w:left="900"/>
              <w:rPr>
                <w:rFonts w:cs="Arial"/>
                <w:sz w:val="24"/>
              </w:rPr>
            </w:pPr>
            <w:r w:rsidRPr="00EC57AF">
              <w:rPr>
                <w:rFonts w:cs="Arial"/>
                <w:sz w:val="24"/>
              </w:rPr>
              <w:t xml:space="preserve">[Janet O’Hara, 510-622-5681, </w:t>
            </w:r>
            <w:hyperlink r:id="rId28" w:history="1">
              <w:r w:rsidR="00EC57AF" w:rsidRPr="00A36CD4">
                <w:rPr>
                  <w:rStyle w:val="Hyperlink"/>
                  <w:rFonts w:cs="Arial"/>
                  <w:sz w:val="24"/>
                </w:rPr>
                <w:t>johara@waterboards.ca.gov</w:t>
              </w:r>
            </w:hyperlink>
            <w:r w:rsidRPr="00EC57AF">
              <w:rPr>
                <w:rFonts w:cs="Arial"/>
                <w:sz w:val="24"/>
              </w:rPr>
              <w:t>]</w:t>
            </w:r>
            <w:r w:rsidR="00EC57AF" w:rsidRPr="00EC57AF">
              <w:rPr>
                <w:rFonts w:cs="Arial"/>
                <w:sz w:val="24"/>
              </w:rPr>
              <w:t xml:space="preserve"> </w:t>
            </w:r>
          </w:p>
          <w:p w:rsidR="001549E9" w:rsidRDefault="001549E9" w:rsidP="00AC7490">
            <w:pPr>
              <w:pStyle w:val="ListParagraph"/>
              <w:ind w:left="900"/>
              <w:rPr>
                <w:rFonts w:cs="Arial"/>
                <w:sz w:val="24"/>
              </w:rPr>
            </w:pPr>
          </w:p>
          <w:p w:rsidR="001549E9" w:rsidRPr="001549E9" w:rsidRDefault="00B350C2" w:rsidP="00AC7490">
            <w:pPr>
              <w:pStyle w:val="ListParagraph"/>
              <w:ind w:left="900"/>
              <w:rPr>
                <w:rFonts w:cs="Arial"/>
                <w:sz w:val="28"/>
                <w:szCs w:val="28"/>
              </w:rPr>
            </w:pPr>
            <w:hyperlink r:id="rId29" w:history="1">
              <w:r w:rsidR="001549E9" w:rsidRPr="001549E9">
                <w:rPr>
                  <w:rStyle w:val="Hyperlink"/>
                  <w:rFonts w:cs="Arial"/>
                  <w:sz w:val="28"/>
                  <w:szCs w:val="28"/>
                </w:rPr>
                <w:t>Staff Summary Report</w:t>
              </w:r>
            </w:hyperlink>
          </w:p>
          <w:p w:rsidR="001549E9" w:rsidRPr="001549E9" w:rsidRDefault="001549E9" w:rsidP="00AC7490">
            <w:pPr>
              <w:pStyle w:val="ListParagraph"/>
              <w:ind w:left="900"/>
              <w:rPr>
                <w:rFonts w:cs="Arial"/>
                <w:sz w:val="28"/>
                <w:szCs w:val="28"/>
              </w:rPr>
            </w:pPr>
          </w:p>
          <w:p w:rsidR="00836676" w:rsidRDefault="00836676" w:rsidP="00AC7490">
            <w:pPr>
              <w:pStyle w:val="ListParagraph"/>
              <w:ind w:left="900"/>
              <w:rPr>
                <w:rFonts w:cs="Arial"/>
                <w:sz w:val="24"/>
              </w:rPr>
            </w:pPr>
          </w:p>
          <w:p w:rsidR="00836676" w:rsidRPr="00AC7490" w:rsidRDefault="00836676" w:rsidP="00AC7490">
            <w:pPr>
              <w:pStyle w:val="ListParagraph"/>
              <w:ind w:left="900"/>
              <w:rPr>
                <w:rFonts w:cs="Arial"/>
                <w:sz w:val="24"/>
              </w:rPr>
            </w:pPr>
          </w:p>
        </w:tc>
      </w:tr>
      <w:tr w:rsidR="00AC7490" w:rsidRPr="00EC57AF" w:rsidTr="00AB3924">
        <w:tc>
          <w:tcPr>
            <w:tcW w:w="5000" w:type="pct"/>
            <w:shd w:val="clear" w:color="auto" w:fill="auto"/>
          </w:tcPr>
          <w:p w:rsidR="00AC7490" w:rsidRPr="00EC57AF" w:rsidRDefault="00AC7490" w:rsidP="00AC7490">
            <w:pPr>
              <w:pStyle w:val="ListParagraph"/>
              <w:ind w:left="900"/>
              <w:rPr>
                <w:rFonts w:cs="Arial"/>
                <w:b/>
                <w:sz w:val="24"/>
              </w:rPr>
            </w:pPr>
          </w:p>
        </w:tc>
      </w:tr>
      <w:tr w:rsidR="001B72E6" w:rsidRPr="00EC57AF" w:rsidTr="00AB3924">
        <w:tc>
          <w:tcPr>
            <w:tcW w:w="5000" w:type="pct"/>
            <w:shd w:val="clear" w:color="auto" w:fill="auto"/>
          </w:tcPr>
          <w:p w:rsidR="001B72E6" w:rsidRPr="001B72E6" w:rsidRDefault="00C9198D" w:rsidP="001B72E6">
            <w:pPr>
              <w:spacing w:after="120"/>
              <w:ind w:left="547"/>
              <w:rPr>
                <w:rFonts w:cs="Arial"/>
                <w:b/>
                <w:sz w:val="24"/>
                <w:u w:val="single"/>
              </w:rPr>
            </w:pPr>
            <w:r>
              <w:rPr>
                <w:rFonts w:cs="Arial"/>
                <w:b/>
                <w:sz w:val="24"/>
                <w:u w:val="single"/>
              </w:rPr>
              <w:t>NPDES Permit</w:t>
            </w:r>
          </w:p>
        </w:tc>
      </w:tr>
      <w:tr w:rsidR="00E30F6D" w:rsidRPr="00EC57AF" w:rsidTr="00AB3924">
        <w:tc>
          <w:tcPr>
            <w:tcW w:w="5000" w:type="pct"/>
            <w:shd w:val="clear" w:color="auto" w:fill="auto"/>
          </w:tcPr>
          <w:p w:rsidR="00AE2740" w:rsidRPr="00AC7490" w:rsidRDefault="00AE2740" w:rsidP="00AC7490">
            <w:pPr>
              <w:numPr>
                <w:ilvl w:val="0"/>
                <w:numId w:val="11"/>
              </w:numPr>
              <w:ind w:left="540" w:hanging="540"/>
              <w:rPr>
                <w:rFonts w:cs="Arial"/>
                <w:sz w:val="24"/>
              </w:rPr>
            </w:pPr>
            <w:r w:rsidRPr="00AC7490">
              <w:rPr>
                <w:rFonts w:cs="Arial"/>
                <w:b/>
                <w:sz w:val="24"/>
              </w:rPr>
              <w:t>City and County of San Francisco; Southeast Water Pollution Control Plant, North Point Wet Weather Facility, Bayside Wet Weather Facilities, and Wastewater Collection System; San Francisco</w:t>
            </w:r>
            <w:r w:rsidRPr="00AC7490">
              <w:rPr>
                <w:rFonts w:cs="Arial"/>
                <w:sz w:val="24"/>
              </w:rPr>
              <w:t xml:space="preserve"> –</w:t>
            </w:r>
            <w:r w:rsidRPr="00AC7490">
              <w:rPr>
                <w:rFonts w:cs="Arial"/>
                <w:b/>
                <w:sz w:val="24"/>
              </w:rPr>
              <w:t xml:space="preserve"> </w:t>
            </w:r>
            <w:r w:rsidRPr="00AC7490">
              <w:rPr>
                <w:rFonts w:cs="Arial"/>
                <w:sz w:val="24"/>
              </w:rPr>
              <w:t>Reissuance of NPDES Permit</w:t>
            </w:r>
          </w:p>
          <w:p w:rsidR="00AE2740" w:rsidRDefault="00AE2740" w:rsidP="00AE2740">
            <w:pPr>
              <w:ind w:firstLine="540"/>
              <w:rPr>
                <w:rFonts w:cs="Arial"/>
                <w:sz w:val="24"/>
              </w:rPr>
            </w:pPr>
            <w:r w:rsidRPr="00AE2740">
              <w:rPr>
                <w:rFonts w:cs="Arial"/>
                <w:sz w:val="24"/>
              </w:rPr>
              <w:t xml:space="preserve">[Derek Whitworth, 510-622-2349, </w:t>
            </w:r>
            <w:hyperlink r:id="rId30" w:history="1">
              <w:r w:rsidRPr="00AE2740">
                <w:rPr>
                  <w:rStyle w:val="Hyperlink"/>
                  <w:rFonts w:cs="Arial"/>
                  <w:sz w:val="24"/>
                </w:rPr>
                <w:t>dwhitworth@waterboards.ca.gov</w:t>
              </w:r>
            </w:hyperlink>
            <w:r w:rsidRPr="00AE2740">
              <w:rPr>
                <w:rFonts w:cs="Arial"/>
                <w:sz w:val="24"/>
              </w:rPr>
              <w:t>]</w:t>
            </w:r>
          </w:p>
          <w:p w:rsidR="00836676" w:rsidRDefault="00836676" w:rsidP="00AE2740">
            <w:pPr>
              <w:ind w:firstLine="540"/>
              <w:rPr>
                <w:rFonts w:cs="Arial"/>
                <w:sz w:val="24"/>
              </w:rPr>
            </w:pPr>
          </w:p>
          <w:p w:rsidR="00B8004C" w:rsidRPr="00B8004C" w:rsidRDefault="00B8004C" w:rsidP="00AE2740">
            <w:pPr>
              <w:ind w:firstLine="540"/>
              <w:rPr>
                <w:sz w:val="28"/>
                <w:szCs w:val="28"/>
              </w:rPr>
            </w:pPr>
            <w:r w:rsidRPr="00B8004C">
              <w:rPr>
                <w:sz w:val="28"/>
                <w:szCs w:val="28"/>
              </w:rPr>
              <w:t xml:space="preserve">Final Order </w:t>
            </w:r>
            <w:hyperlink r:id="rId31" w:history="1">
              <w:r w:rsidRPr="00707491">
                <w:rPr>
                  <w:rStyle w:val="Hyperlink"/>
                  <w:sz w:val="28"/>
                  <w:szCs w:val="28"/>
                </w:rPr>
                <w:t>R2-2013-002</w:t>
              </w:r>
              <w:r w:rsidR="00DE7522" w:rsidRPr="00707491">
                <w:rPr>
                  <w:rStyle w:val="Hyperlink"/>
                  <w:sz w:val="28"/>
                  <w:szCs w:val="28"/>
                </w:rPr>
                <w:t>9</w:t>
              </w:r>
            </w:hyperlink>
          </w:p>
          <w:p w:rsidR="00836676" w:rsidRPr="00836676" w:rsidRDefault="00B350C2" w:rsidP="00AE2740">
            <w:pPr>
              <w:ind w:firstLine="540"/>
              <w:rPr>
                <w:rFonts w:cs="Arial"/>
                <w:sz w:val="28"/>
                <w:szCs w:val="28"/>
              </w:rPr>
            </w:pPr>
            <w:hyperlink r:id="rId32" w:history="1">
              <w:r w:rsidR="00836676" w:rsidRPr="00836676">
                <w:rPr>
                  <w:rStyle w:val="Hyperlink"/>
                  <w:rFonts w:cs="Arial"/>
                  <w:sz w:val="28"/>
                  <w:szCs w:val="28"/>
                </w:rPr>
                <w:t>Staff Summary Report</w:t>
              </w:r>
            </w:hyperlink>
          </w:p>
          <w:p w:rsidR="00836676" w:rsidRPr="00836676" w:rsidRDefault="00B350C2" w:rsidP="00AE2740">
            <w:pPr>
              <w:ind w:firstLine="540"/>
              <w:rPr>
                <w:rFonts w:cs="Arial"/>
                <w:sz w:val="28"/>
                <w:szCs w:val="28"/>
              </w:rPr>
            </w:pPr>
            <w:hyperlink r:id="rId33" w:history="1">
              <w:r w:rsidR="00836676" w:rsidRPr="00836676">
                <w:rPr>
                  <w:rStyle w:val="Hyperlink"/>
                  <w:rFonts w:cs="Arial"/>
                  <w:sz w:val="28"/>
                  <w:szCs w:val="28"/>
                </w:rPr>
                <w:t>Tentative Order</w:t>
              </w:r>
            </w:hyperlink>
          </w:p>
          <w:p w:rsidR="00836676" w:rsidRPr="00836676" w:rsidRDefault="00B350C2" w:rsidP="00AE2740">
            <w:pPr>
              <w:ind w:firstLine="540"/>
              <w:rPr>
                <w:rFonts w:cs="Arial"/>
                <w:sz w:val="28"/>
                <w:szCs w:val="28"/>
              </w:rPr>
            </w:pPr>
            <w:hyperlink r:id="rId34" w:history="1">
              <w:r w:rsidR="00836676" w:rsidRPr="00836676">
                <w:rPr>
                  <w:rStyle w:val="Hyperlink"/>
                  <w:rFonts w:cs="Arial"/>
                  <w:sz w:val="28"/>
                  <w:szCs w:val="28"/>
                </w:rPr>
                <w:t>Comments</w:t>
              </w:r>
            </w:hyperlink>
          </w:p>
          <w:p w:rsidR="00836676" w:rsidRPr="00836676" w:rsidRDefault="00B350C2" w:rsidP="00AE2740">
            <w:pPr>
              <w:ind w:firstLine="540"/>
              <w:rPr>
                <w:rFonts w:cs="Arial"/>
                <w:sz w:val="28"/>
                <w:szCs w:val="28"/>
              </w:rPr>
            </w:pPr>
            <w:hyperlink r:id="rId35" w:history="1">
              <w:r w:rsidR="00836676" w:rsidRPr="00836676">
                <w:rPr>
                  <w:rStyle w:val="Hyperlink"/>
                  <w:rFonts w:cs="Arial"/>
                  <w:sz w:val="28"/>
                  <w:szCs w:val="28"/>
                </w:rPr>
                <w:t>Response to Comments</w:t>
              </w:r>
            </w:hyperlink>
          </w:p>
          <w:p w:rsidR="00836676" w:rsidRPr="00836676" w:rsidRDefault="00836676" w:rsidP="00AE2740">
            <w:pPr>
              <w:ind w:firstLine="540"/>
              <w:rPr>
                <w:rFonts w:cs="Arial"/>
                <w:sz w:val="28"/>
                <w:szCs w:val="28"/>
              </w:rPr>
            </w:pPr>
          </w:p>
          <w:p w:rsidR="00E30F6D" w:rsidRPr="00E30F6D" w:rsidRDefault="00E30F6D" w:rsidP="00E30F6D">
            <w:pPr>
              <w:rPr>
                <w:rFonts w:cs="Arial"/>
                <w:b/>
                <w:sz w:val="24"/>
              </w:rPr>
            </w:pPr>
          </w:p>
        </w:tc>
      </w:tr>
      <w:tr w:rsidR="00FC0F25" w:rsidRPr="00EC57AF" w:rsidTr="00AB3924">
        <w:tc>
          <w:tcPr>
            <w:tcW w:w="5000" w:type="pct"/>
            <w:shd w:val="clear" w:color="auto" w:fill="auto"/>
          </w:tcPr>
          <w:p w:rsidR="00FC0F25" w:rsidRPr="00EC57AF" w:rsidRDefault="00091DA8" w:rsidP="00FC0F25">
            <w:pPr>
              <w:spacing w:after="120"/>
              <w:ind w:left="547"/>
              <w:rPr>
                <w:rFonts w:cs="Arial"/>
                <w:sz w:val="24"/>
                <w:u w:val="single"/>
              </w:rPr>
            </w:pPr>
            <w:r w:rsidRPr="00EC57AF">
              <w:rPr>
                <w:rFonts w:cs="Arial"/>
                <w:b/>
                <w:sz w:val="24"/>
                <w:u w:val="single"/>
              </w:rPr>
              <w:lastRenderedPageBreak/>
              <w:t>ENFORCEMENT</w:t>
            </w:r>
          </w:p>
        </w:tc>
      </w:tr>
      <w:tr w:rsidR="00FC0F25" w:rsidRPr="00EC57AF" w:rsidTr="00BD0214">
        <w:tc>
          <w:tcPr>
            <w:tcW w:w="5000" w:type="pct"/>
            <w:shd w:val="clear" w:color="auto" w:fill="auto"/>
          </w:tcPr>
          <w:p w:rsidR="00E30F6D" w:rsidRDefault="00091DA8" w:rsidP="00E30F6D">
            <w:pPr>
              <w:numPr>
                <w:ilvl w:val="0"/>
                <w:numId w:val="11"/>
              </w:numPr>
              <w:ind w:left="540" w:hanging="540"/>
              <w:rPr>
                <w:rFonts w:cs="Arial"/>
                <w:sz w:val="24"/>
              </w:rPr>
            </w:pPr>
            <w:r w:rsidRPr="00EC57AF">
              <w:rPr>
                <w:rFonts w:cs="Arial"/>
                <w:b/>
                <w:sz w:val="24"/>
              </w:rPr>
              <w:t xml:space="preserve">E-D Coat, Inc., 715 4th Street, Oakland, Alameda County </w:t>
            </w:r>
            <w:r w:rsidRPr="000461A0">
              <w:rPr>
                <w:rFonts w:cs="Arial"/>
                <w:sz w:val="24"/>
              </w:rPr>
              <w:t>–</w:t>
            </w:r>
            <w:r w:rsidRPr="00EC57AF">
              <w:rPr>
                <w:rFonts w:cs="Arial"/>
                <w:b/>
                <w:sz w:val="24"/>
              </w:rPr>
              <w:t xml:space="preserve"> </w:t>
            </w:r>
            <w:r w:rsidR="00AE5809" w:rsidRPr="00EC57AF">
              <w:rPr>
                <w:rFonts w:cs="Arial"/>
                <w:sz w:val="24"/>
              </w:rPr>
              <w:t>Imposition</w:t>
            </w:r>
            <w:r w:rsidRPr="00EC57AF">
              <w:rPr>
                <w:rFonts w:cs="Arial"/>
                <w:sz w:val="24"/>
              </w:rPr>
              <w:t xml:space="preserve"> of Administrative</w:t>
            </w:r>
            <w:r w:rsidR="00C3384A" w:rsidRPr="00EC57AF">
              <w:rPr>
                <w:rFonts w:cs="Arial"/>
                <w:sz w:val="24"/>
              </w:rPr>
              <w:t xml:space="preserve"> Civil</w:t>
            </w:r>
            <w:r w:rsidRPr="00EC57AF">
              <w:rPr>
                <w:rFonts w:cs="Arial"/>
                <w:sz w:val="24"/>
              </w:rPr>
              <w:t xml:space="preserve"> Liability </w:t>
            </w:r>
          </w:p>
          <w:p w:rsidR="00FC0F25" w:rsidRDefault="00091DA8" w:rsidP="00E30F6D">
            <w:pPr>
              <w:ind w:left="540"/>
              <w:rPr>
                <w:rFonts w:cs="Arial"/>
                <w:sz w:val="24"/>
              </w:rPr>
            </w:pPr>
            <w:r w:rsidRPr="00E30F6D">
              <w:rPr>
                <w:rFonts w:cs="Arial"/>
                <w:sz w:val="24"/>
              </w:rPr>
              <w:t xml:space="preserve">[David Williams, </w:t>
            </w:r>
            <w:r w:rsidR="005D5C75" w:rsidRPr="00E30F6D">
              <w:rPr>
                <w:rFonts w:cs="Arial"/>
                <w:sz w:val="24"/>
              </w:rPr>
              <w:t>510-</w:t>
            </w:r>
            <w:r w:rsidRPr="00E30F6D">
              <w:rPr>
                <w:rFonts w:cs="Arial"/>
                <w:sz w:val="24"/>
              </w:rPr>
              <w:t>622-23</w:t>
            </w:r>
            <w:r w:rsidR="005D5C75" w:rsidRPr="00E30F6D">
              <w:rPr>
                <w:rFonts w:cs="Arial"/>
                <w:sz w:val="24"/>
              </w:rPr>
              <w:t>73</w:t>
            </w:r>
            <w:r w:rsidRPr="00E30F6D">
              <w:rPr>
                <w:rFonts w:cs="Arial"/>
                <w:sz w:val="24"/>
              </w:rPr>
              <w:t xml:space="preserve">, </w:t>
            </w:r>
            <w:hyperlink r:id="rId36" w:history="1">
              <w:r w:rsidRPr="00E30F6D">
                <w:rPr>
                  <w:rStyle w:val="Hyperlink"/>
                  <w:rFonts w:cs="Arial"/>
                  <w:sz w:val="24"/>
                </w:rPr>
                <w:t>dwilliams@waterboards.ca.gov</w:t>
              </w:r>
            </w:hyperlink>
            <w:r w:rsidRPr="00E30F6D">
              <w:rPr>
                <w:rFonts w:cs="Arial"/>
                <w:sz w:val="24"/>
              </w:rPr>
              <w:t xml:space="preserve">] </w:t>
            </w:r>
          </w:p>
          <w:p w:rsidR="00836676" w:rsidRDefault="00836676" w:rsidP="00E30F6D">
            <w:pPr>
              <w:ind w:left="540"/>
              <w:rPr>
                <w:rFonts w:cs="Arial"/>
                <w:sz w:val="24"/>
              </w:rPr>
            </w:pPr>
          </w:p>
          <w:p w:rsidR="00B8004C" w:rsidRPr="00B8004C" w:rsidRDefault="00B8004C" w:rsidP="00E30F6D">
            <w:pPr>
              <w:ind w:left="540"/>
              <w:rPr>
                <w:sz w:val="28"/>
                <w:szCs w:val="28"/>
              </w:rPr>
            </w:pPr>
            <w:r w:rsidRPr="00B8004C">
              <w:rPr>
                <w:sz w:val="28"/>
                <w:szCs w:val="28"/>
              </w:rPr>
              <w:t xml:space="preserve">Final Order </w:t>
            </w:r>
            <w:hyperlink r:id="rId37" w:history="1">
              <w:r w:rsidRPr="007939D7">
                <w:rPr>
                  <w:rStyle w:val="Hyperlink"/>
                  <w:sz w:val="28"/>
                  <w:szCs w:val="28"/>
                </w:rPr>
                <w:t>R2-2013-00</w:t>
              </w:r>
              <w:r w:rsidR="00DE7522" w:rsidRPr="007939D7">
                <w:rPr>
                  <w:rStyle w:val="Hyperlink"/>
                  <w:sz w:val="28"/>
                  <w:szCs w:val="28"/>
                </w:rPr>
                <w:t>30</w:t>
              </w:r>
            </w:hyperlink>
          </w:p>
          <w:p w:rsidR="00836676" w:rsidRPr="005656DE" w:rsidRDefault="00B350C2" w:rsidP="00E30F6D">
            <w:pPr>
              <w:ind w:left="540"/>
              <w:rPr>
                <w:rFonts w:cs="Arial"/>
                <w:sz w:val="28"/>
                <w:szCs w:val="28"/>
              </w:rPr>
            </w:pPr>
            <w:hyperlink r:id="rId38" w:history="1">
              <w:r w:rsidR="005656DE" w:rsidRPr="005656DE">
                <w:rPr>
                  <w:rStyle w:val="Hyperlink"/>
                  <w:sz w:val="28"/>
                  <w:szCs w:val="28"/>
                </w:rPr>
                <w:t>Executive Officer</w:t>
              </w:r>
              <w:r w:rsidR="00836676" w:rsidRPr="005656DE">
                <w:rPr>
                  <w:rStyle w:val="Hyperlink"/>
                  <w:rFonts w:cs="Arial"/>
                  <w:sz w:val="28"/>
                  <w:szCs w:val="28"/>
                </w:rPr>
                <w:t xml:space="preserve"> Summary Report</w:t>
              </w:r>
            </w:hyperlink>
          </w:p>
          <w:p w:rsidR="00836676" w:rsidRPr="00836676" w:rsidRDefault="00B350C2" w:rsidP="00E30F6D">
            <w:pPr>
              <w:ind w:left="540"/>
              <w:rPr>
                <w:rFonts w:cs="Arial"/>
                <w:sz w:val="28"/>
                <w:szCs w:val="28"/>
              </w:rPr>
            </w:pPr>
            <w:hyperlink r:id="rId39" w:history="1">
              <w:r w:rsidR="00836676" w:rsidRPr="00836676">
                <w:rPr>
                  <w:rStyle w:val="Hyperlink"/>
                  <w:rFonts w:cs="Arial"/>
                  <w:sz w:val="28"/>
                  <w:szCs w:val="28"/>
                </w:rPr>
                <w:t>Tentative Order</w:t>
              </w:r>
            </w:hyperlink>
          </w:p>
          <w:p w:rsidR="00836676" w:rsidRPr="00E30F6D" w:rsidRDefault="00836676" w:rsidP="00E30F6D">
            <w:pPr>
              <w:ind w:left="540"/>
              <w:rPr>
                <w:rFonts w:cs="Arial"/>
                <w:sz w:val="24"/>
              </w:rPr>
            </w:pPr>
          </w:p>
        </w:tc>
      </w:tr>
      <w:tr w:rsidR="00EA6746" w:rsidRPr="00EC57AF" w:rsidTr="00AB3924">
        <w:tc>
          <w:tcPr>
            <w:tcW w:w="5000" w:type="pct"/>
            <w:shd w:val="clear" w:color="auto" w:fill="auto"/>
          </w:tcPr>
          <w:p w:rsidR="00FC0F25" w:rsidRPr="00EC57AF" w:rsidRDefault="00FC0F25" w:rsidP="00091DA8">
            <w:pPr>
              <w:rPr>
                <w:rFonts w:cs="Arial"/>
                <w:sz w:val="24"/>
              </w:rPr>
            </w:pPr>
          </w:p>
        </w:tc>
      </w:tr>
      <w:tr w:rsidR="00AB3924" w:rsidRPr="00EC57AF" w:rsidTr="00AB3924">
        <w:tc>
          <w:tcPr>
            <w:tcW w:w="5000" w:type="pct"/>
            <w:shd w:val="clear" w:color="auto" w:fill="auto"/>
          </w:tcPr>
          <w:p w:rsidR="0035668D" w:rsidRPr="00EC57AF" w:rsidRDefault="00AB3924" w:rsidP="00FC0F25">
            <w:pPr>
              <w:spacing w:after="120"/>
              <w:ind w:left="547"/>
              <w:rPr>
                <w:rFonts w:cs="Arial"/>
                <w:b/>
                <w:sz w:val="24"/>
                <w:u w:val="single"/>
              </w:rPr>
            </w:pPr>
            <w:r w:rsidRPr="00EC57AF">
              <w:rPr>
                <w:rFonts w:cs="Arial"/>
                <w:b/>
                <w:sz w:val="24"/>
                <w:u w:val="single"/>
              </w:rPr>
              <w:t>OTHER BUSINESS</w:t>
            </w:r>
          </w:p>
        </w:tc>
      </w:tr>
      <w:tr w:rsidR="002527A6" w:rsidRPr="00EC57AF" w:rsidTr="004B0845">
        <w:trPr>
          <w:trHeight w:val="218"/>
        </w:trPr>
        <w:tc>
          <w:tcPr>
            <w:tcW w:w="5000" w:type="pct"/>
            <w:shd w:val="clear" w:color="auto" w:fill="auto"/>
          </w:tcPr>
          <w:p w:rsidR="007B2D11" w:rsidRDefault="00760A8F" w:rsidP="007B2D11">
            <w:pPr>
              <w:pStyle w:val="ListParagraph"/>
              <w:numPr>
                <w:ilvl w:val="0"/>
                <w:numId w:val="11"/>
              </w:numPr>
              <w:ind w:left="540" w:hanging="540"/>
              <w:rPr>
                <w:rFonts w:cs="Arial"/>
                <w:sz w:val="24"/>
              </w:rPr>
            </w:pPr>
            <w:r w:rsidRPr="00EC57AF">
              <w:rPr>
                <w:rFonts w:cs="Arial"/>
                <w:b/>
                <w:sz w:val="24"/>
              </w:rPr>
              <w:t xml:space="preserve">Land Disposal Program Update </w:t>
            </w:r>
            <w:r w:rsidRPr="000461A0">
              <w:rPr>
                <w:rFonts w:cs="Arial"/>
                <w:sz w:val="24"/>
              </w:rPr>
              <w:t xml:space="preserve">– </w:t>
            </w:r>
            <w:r w:rsidRPr="00EC57AF">
              <w:rPr>
                <w:rFonts w:cs="Arial"/>
                <w:sz w:val="24"/>
              </w:rPr>
              <w:t xml:space="preserve">Status Report </w:t>
            </w:r>
          </w:p>
          <w:p w:rsidR="00760A8F" w:rsidRDefault="00760A8F" w:rsidP="007B2D11">
            <w:pPr>
              <w:pStyle w:val="ListParagraph"/>
              <w:ind w:left="540"/>
              <w:rPr>
                <w:rFonts w:cs="Arial"/>
                <w:sz w:val="24"/>
              </w:rPr>
            </w:pPr>
            <w:r w:rsidRPr="007B2D11">
              <w:rPr>
                <w:rFonts w:cs="Arial"/>
                <w:sz w:val="24"/>
              </w:rPr>
              <w:t xml:space="preserve">[Keith Roberson, 510-622-2404, </w:t>
            </w:r>
            <w:hyperlink r:id="rId40" w:history="1">
              <w:r w:rsidRPr="007B2D11">
                <w:rPr>
                  <w:rStyle w:val="Hyperlink"/>
                  <w:rFonts w:cs="Arial"/>
                  <w:sz w:val="24"/>
                </w:rPr>
                <w:t>kroberson@waterboards.ca.gov</w:t>
              </w:r>
            </w:hyperlink>
            <w:r w:rsidRPr="007B2D11">
              <w:rPr>
                <w:rFonts w:cs="Arial"/>
                <w:sz w:val="24"/>
              </w:rPr>
              <w:t>]</w:t>
            </w:r>
          </w:p>
          <w:p w:rsidR="001549E9" w:rsidRDefault="001549E9" w:rsidP="007B2D11">
            <w:pPr>
              <w:pStyle w:val="ListParagraph"/>
              <w:ind w:left="540"/>
              <w:rPr>
                <w:rFonts w:cs="Arial"/>
                <w:sz w:val="24"/>
              </w:rPr>
            </w:pPr>
          </w:p>
          <w:p w:rsidR="001549E9" w:rsidRPr="001549E9" w:rsidRDefault="00B350C2" w:rsidP="007B2D11">
            <w:pPr>
              <w:pStyle w:val="ListParagraph"/>
              <w:ind w:left="540"/>
              <w:rPr>
                <w:rFonts w:cs="Arial"/>
                <w:sz w:val="28"/>
                <w:szCs w:val="28"/>
              </w:rPr>
            </w:pPr>
            <w:hyperlink r:id="rId41" w:history="1">
              <w:r w:rsidR="001549E9" w:rsidRPr="001549E9">
                <w:rPr>
                  <w:rStyle w:val="Hyperlink"/>
                  <w:rFonts w:cs="Arial"/>
                  <w:sz w:val="28"/>
                  <w:szCs w:val="28"/>
                </w:rPr>
                <w:t>Staff Summary Report</w:t>
              </w:r>
            </w:hyperlink>
          </w:p>
          <w:p w:rsidR="001549E9" w:rsidRPr="001549E9" w:rsidRDefault="00B350C2" w:rsidP="007B2D11">
            <w:pPr>
              <w:pStyle w:val="ListParagraph"/>
              <w:ind w:left="540"/>
              <w:rPr>
                <w:rFonts w:cs="Arial"/>
                <w:sz w:val="28"/>
                <w:szCs w:val="28"/>
              </w:rPr>
            </w:pPr>
            <w:hyperlink r:id="rId42" w:history="1">
              <w:r w:rsidR="001549E9" w:rsidRPr="001549E9">
                <w:rPr>
                  <w:rStyle w:val="Hyperlink"/>
                  <w:rFonts w:cs="Arial"/>
                  <w:sz w:val="28"/>
                  <w:szCs w:val="28"/>
                </w:rPr>
                <w:t>Land Disposal Program Report</w:t>
              </w:r>
            </w:hyperlink>
          </w:p>
          <w:p w:rsidR="001549E9" w:rsidRPr="007B2D11" w:rsidRDefault="001549E9" w:rsidP="007B2D11">
            <w:pPr>
              <w:pStyle w:val="ListParagraph"/>
              <w:ind w:left="540"/>
              <w:rPr>
                <w:rFonts w:cs="Arial"/>
                <w:sz w:val="24"/>
              </w:rPr>
            </w:pPr>
          </w:p>
          <w:p w:rsidR="00091DA8" w:rsidRPr="00EC57AF" w:rsidRDefault="00091DA8" w:rsidP="007B2D11">
            <w:pPr>
              <w:ind w:left="540" w:hanging="540"/>
              <w:rPr>
                <w:rFonts w:cs="Arial"/>
                <w:sz w:val="24"/>
              </w:rPr>
            </w:pPr>
          </w:p>
          <w:p w:rsidR="007B2D11" w:rsidRPr="007B2D11" w:rsidRDefault="00C770AA" w:rsidP="007B2D11">
            <w:pPr>
              <w:pStyle w:val="ListParagraph"/>
              <w:numPr>
                <w:ilvl w:val="0"/>
                <w:numId w:val="11"/>
              </w:numPr>
              <w:ind w:left="540" w:hanging="540"/>
              <w:rPr>
                <w:rFonts w:cs="Arial"/>
                <w:b/>
                <w:sz w:val="24"/>
              </w:rPr>
            </w:pPr>
            <w:proofErr w:type="spellStart"/>
            <w:r w:rsidRPr="00EC57AF">
              <w:rPr>
                <w:rFonts w:cs="Arial"/>
                <w:b/>
                <w:sz w:val="24"/>
              </w:rPr>
              <w:t>Aramburu</w:t>
            </w:r>
            <w:proofErr w:type="spellEnd"/>
            <w:r w:rsidRPr="00EC57AF">
              <w:rPr>
                <w:rFonts w:cs="Arial"/>
                <w:b/>
                <w:sz w:val="24"/>
              </w:rPr>
              <w:t xml:space="preserve"> Island Restoration Project </w:t>
            </w:r>
            <w:r w:rsidRPr="00EC57AF">
              <w:rPr>
                <w:rFonts w:cs="Arial"/>
                <w:sz w:val="24"/>
              </w:rPr>
              <w:t>– Status Report</w:t>
            </w:r>
          </w:p>
          <w:p w:rsidR="00C770AA" w:rsidRDefault="00C770AA" w:rsidP="007B2D11">
            <w:pPr>
              <w:pStyle w:val="ListParagraph"/>
              <w:ind w:left="540"/>
              <w:rPr>
                <w:rFonts w:cs="Arial"/>
                <w:sz w:val="24"/>
              </w:rPr>
            </w:pPr>
            <w:r w:rsidRPr="007B2D11">
              <w:rPr>
                <w:rFonts w:cs="Arial"/>
                <w:sz w:val="24"/>
              </w:rPr>
              <w:t xml:space="preserve">[Dyan Whyte, </w:t>
            </w:r>
            <w:r w:rsidR="005D5C75" w:rsidRPr="007B2D11">
              <w:rPr>
                <w:rFonts w:cs="Arial"/>
                <w:sz w:val="24"/>
              </w:rPr>
              <w:t>510-</w:t>
            </w:r>
            <w:r w:rsidRPr="007B2D11">
              <w:rPr>
                <w:rFonts w:cs="Arial"/>
                <w:sz w:val="24"/>
              </w:rPr>
              <w:t xml:space="preserve">622-2441, </w:t>
            </w:r>
            <w:hyperlink r:id="rId43" w:history="1">
              <w:r w:rsidRPr="007B2D11">
                <w:rPr>
                  <w:rStyle w:val="Hyperlink"/>
                  <w:rFonts w:cs="Arial"/>
                  <w:sz w:val="24"/>
                </w:rPr>
                <w:t>dwhyte@waterboards.ca.gov</w:t>
              </w:r>
            </w:hyperlink>
            <w:r w:rsidRPr="007B2D11">
              <w:rPr>
                <w:rFonts w:cs="Arial"/>
                <w:sz w:val="24"/>
              </w:rPr>
              <w:t>]</w:t>
            </w:r>
          </w:p>
          <w:p w:rsidR="001549E9" w:rsidRDefault="001549E9" w:rsidP="007B2D11">
            <w:pPr>
              <w:pStyle w:val="ListParagraph"/>
              <w:ind w:left="540"/>
              <w:rPr>
                <w:rFonts w:cs="Arial"/>
                <w:sz w:val="24"/>
              </w:rPr>
            </w:pPr>
          </w:p>
          <w:p w:rsidR="001549E9" w:rsidRPr="001549E9" w:rsidRDefault="00B350C2" w:rsidP="007B2D11">
            <w:pPr>
              <w:pStyle w:val="ListParagraph"/>
              <w:ind w:left="540"/>
              <w:rPr>
                <w:rFonts w:cs="Arial"/>
                <w:sz w:val="28"/>
                <w:szCs w:val="28"/>
              </w:rPr>
            </w:pPr>
            <w:hyperlink r:id="rId44" w:history="1">
              <w:r w:rsidR="001549E9" w:rsidRPr="001549E9">
                <w:rPr>
                  <w:rStyle w:val="Hyperlink"/>
                  <w:rFonts w:cs="Arial"/>
                  <w:sz w:val="28"/>
                  <w:szCs w:val="28"/>
                </w:rPr>
                <w:t>Staff Summary Report</w:t>
              </w:r>
            </w:hyperlink>
          </w:p>
          <w:p w:rsidR="001549E9" w:rsidRPr="007B2D11" w:rsidRDefault="001549E9" w:rsidP="007B2D11">
            <w:pPr>
              <w:pStyle w:val="ListParagraph"/>
              <w:ind w:left="540"/>
              <w:rPr>
                <w:rFonts w:cs="Arial"/>
                <w:b/>
                <w:sz w:val="24"/>
              </w:rPr>
            </w:pPr>
          </w:p>
        </w:tc>
      </w:tr>
      <w:tr w:rsidR="00F85B72" w:rsidRPr="00EC57AF" w:rsidTr="005258E3">
        <w:tc>
          <w:tcPr>
            <w:tcW w:w="5000" w:type="pct"/>
            <w:shd w:val="clear" w:color="auto" w:fill="auto"/>
          </w:tcPr>
          <w:p w:rsidR="00F85B72" w:rsidRPr="00EC57AF" w:rsidRDefault="00F85B72" w:rsidP="00EA6746">
            <w:pPr>
              <w:ind w:left="540" w:hanging="540"/>
              <w:rPr>
                <w:rFonts w:cs="Arial"/>
                <w:b/>
                <w:sz w:val="24"/>
              </w:rPr>
            </w:pPr>
          </w:p>
        </w:tc>
      </w:tr>
      <w:tr w:rsidR="00AB3924" w:rsidRPr="00EC57AF" w:rsidTr="00AB3924">
        <w:tc>
          <w:tcPr>
            <w:tcW w:w="5000" w:type="pct"/>
            <w:shd w:val="clear" w:color="auto" w:fill="auto"/>
          </w:tcPr>
          <w:p w:rsidR="00AB3924" w:rsidRPr="00EC57AF" w:rsidRDefault="00AB3924" w:rsidP="007B2D11">
            <w:pPr>
              <w:numPr>
                <w:ilvl w:val="0"/>
                <w:numId w:val="11"/>
              </w:numPr>
              <w:spacing w:after="120"/>
              <w:ind w:left="540" w:hanging="540"/>
              <w:rPr>
                <w:rFonts w:cs="Arial"/>
                <w:sz w:val="24"/>
              </w:rPr>
            </w:pPr>
            <w:r w:rsidRPr="00EC57AF">
              <w:rPr>
                <w:rFonts w:cs="Arial"/>
                <w:b/>
                <w:sz w:val="24"/>
              </w:rPr>
              <w:t>Correspondence</w:t>
            </w:r>
          </w:p>
        </w:tc>
      </w:tr>
      <w:tr w:rsidR="00AB3924" w:rsidRPr="00EC57AF" w:rsidTr="00AB3924">
        <w:tc>
          <w:tcPr>
            <w:tcW w:w="5000" w:type="pct"/>
            <w:shd w:val="clear" w:color="auto" w:fill="auto"/>
          </w:tcPr>
          <w:p w:rsidR="00AB3924" w:rsidRPr="00EC57AF" w:rsidRDefault="00AB3924" w:rsidP="00EA6746">
            <w:pPr>
              <w:ind w:left="540" w:hanging="540"/>
              <w:rPr>
                <w:rFonts w:cs="Arial"/>
                <w:sz w:val="24"/>
              </w:rPr>
            </w:pPr>
          </w:p>
        </w:tc>
      </w:tr>
      <w:tr w:rsidR="00AB3924" w:rsidRPr="00EC57AF" w:rsidTr="00AB3924">
        <w:tc>
          <w:tcPr>
            <w:tcW w:w="5000" w:type="pct"/>
            <w:shd w:val="clear" w:color="auto" w:fill="auto"/>
          </w:tcPr>
          <w:p w:rsidR="00547040" w:rsidRPr="00EC57AF" w:rsidRDefault="00AB3924" w:rsidP="007B2D11">
            <w:pPr>
              <w:numPr>
                <w:ilvl w:val="0"/>
                <w:numId w:val="11"/>
              </w:numPr>
              <w:spacing w:after="120"/>
              <w:ind w:left="540" w:hanging="540"/>
              <w:rPr>
                <w:rFonts w:cs="Arial"/>
                <w:sz w:val="24"/>
              </w:rPr>
            </w:pPr>
            <w:r w:rsidRPr="00EC57AF">
              <w:rPr>
                <w:rFonts w:cs="Arial"/>
                <w:b/>
                <w:bCs/>
                <w:sz w:val="24"/>
              </w:rPr>
              <w:t>Closed Session – Personnel</w:t>
            </w:r>
          </w:p>
        </w:tc>
      </w:tr>
      <w:tr w:rsidR="00AB3924" w:rsidRPr="00EC57AF" w:rsidTr="00AB3924">
        <w:tc>
          <w:tcPr>
            <w:tcW w:w="5000" w:type="pct"/>
            <w:shd w:val="clear" w:color="auto" w:fill="auto"/>
          </w:tcPr>
          <w:p w:rsidR="00EA6746" w:rsidRPr="00EC57AF" w:rsidRDefault="00AB3924" w:rsidP="00C77B0A">
            <w:pPr>
              <w:pStyle w:val="ListParagraph"/>
              <w:ind w:left="540"/>
              <w:rPr>
                <w:rFonts w:cs="Arial"/>
                <w:sz w:val="24"/>
              </w:rPr>
            </w:pPr>
            <w:r w:rsidRPr="00EC57AF">
              <w:rPr>
                <w:rFonts w:cs="Arial"/>
                <w:sz w:val="24"/>
              </w:rPr>
              <w:t>The Board may meet in closed session to discuss personnel matters.</w:t>
            </w:r>
          </w:p>
          <w:p w:rsidR="00426E63" w:rsidRPr="00EC57AF" w:rsidRDefault="00AB3924" w:rsidP="00C77B0A">
            <w:pPr>
              <w:pStyle w:val="ListParagraph"/>
              <w:ind w:left="900" w:hanging="360"/>
              <w:rPr>
                <w:rFonts w:cs="Arial"/>
                <w:sz w:val="24"/>
              </w:rPr>
            </w:pPr>
            <w:r w:rsidRPr="00EC57AF">
              <w:rPr>
                <w:rFonts w:cs="Arial"/>
                <w:sz w:val="24"/>
              </w:rPr>
              <w:t>[Authority: Government Code section 11126(a)]</w:t>
            </w:r>
          </w:p>
        </w:tc>
      </w:tr>
      <w:tr w:rsidR="00AB3924" w:rsidRPr="00EC57AF" w:rsidTr="00AB3924">
        <w:tc>
          <w:tcPr>
            <w:tcW w:w="5000" w:type="pct"/>
            <w:shd w:val="clear" w:color="auto" w:fill="auto"/>
          </w:tcPr>
          <w:p w:rsidR="00AB3924" w:rsidRPr="00EC57AF" w:rsidRDefault="00AB3924" w:rsidP="00EA6746">
            <w:pPr>
              <w:ind w:left="540" w:hanging="540"/>
              <w:rPr>
                <w:rFonts w:cs="Arial"/>
                <w:sz w:val="24"/>
              </w:rPr>
            </w:pPr>
          </w:p>
        </w:tc>
      </w:tr>
      <w:tr w:rsidR="00AB3924" w:rsidRPr="00EC57AF" w:rsidTr="00AB3924">
        <w:tc>
          <w:tcPr>
            <w:tcW w:w="5000" w:type="pct"/>
            <w:shd w:val="clear" w:color="auto" w:fill="auto"/>
          </w:tcPr>
          <w:p w:rsidR="00AB3924" w:rsidRPr="00EC57AF" w:rsidRDefault="00AB3924" w:rsidP="007B2D11">
            <w:pPr>
              <w:numPr>
                <w:ilvl w:val="0"/>
                <w:numId w:val="11"/>
              </w:numPr>
              <w:spacing w:after="120"/>
              <w:ind w:left="540" w:hanging="540"/>
              <w:rPr>
                <w:rFonts w:cs="Arial"/>
                <w:sz w:val="24"/>
              </w:rPr>
            </w:pPr>
            <w:r w:rsidRPr="00EC57AF">
              <w:rPr>
                <w:rFonts w:cs="Arial"/>
                <w:b/>
                <w:sz w:val="24"/>
              </w:rPr>
              <w:t>C</w:t>
            </w:r>
            <w:r w:rsidRPr="00EC57AF">
              <w:rPr>
                <w:rFonts w:cs="Arial"/>
                <w:b/>
                <w:bCs/>
                <w:sz w:val="24"/>
              </w:rPr>
              <w:t xml:space="preserve">losed Session – Litigation  </w:t>
            </w:r>
          </w:p>
        </w:tc>
      </w:tr>
      <w:tr w:rsidR="00AB3924" w:rsidRPr="00EC57AF" w:rsidTr="00AB3924">
        <w:tc>
          <w:tcPr>
            <w:tcW w:w="5000" w:type="pct"/>
            <w:shd w:val="clear" w:color="auto" w:fill="auto"/>
          </w:tcPr>
          <w:p w:rsidR="00AB3924" w:rsidRPr="00EC57AF" w:rsidRDefault="00AB3924" w:rsidP="00EA6746">
            <w:pPr>
              <w:ind w:left="540"/>
              <w:rPr>
                <w:rFonts w:cs="Arial"/>
                <w:sz w:val="24"/>
              </w:rPr>
            </w:pPr>
            <w:r w:rsidRPr="00EC57AF">
              <w:rPr>
                <w:rFonts w:cs="Arial"/>
                <w:sz w:val="24"/>
              </w:rPr>
              <w:t xml:space="preserve">The Board may meet in closed session to discuss significant exposure to litigation. The Board also may meet to discuss whether or not to initiate litigation.  </w:t>
            </w:r>
          </w:p>
          <w:p w:rsidR="00AB3924" w:rsidRPr="00EC57AF" w:rsidRDefault="00AB3924" w:rsidP="00EA6746">
            <w:pPr>
              <w:ind w:left="540"/>
              <w:rPr>
                <w:rFonts w:cs="Arial"/>
                <w:sz w:val="24"/>
              </w:rPr>
            </w:pPr>
            <w:r w:rsidRPr="00EC57AF">
              <w:rPr>
                <w:rFonts w:cs="Arial"/>
                <w:sz w:val="24"/>
              </w:rPr>
              <w:t xml:space="preserve">[Authority: Government Code sections 11126(e)(1) and 11126(2)(B)-(C)]  </w:t>
            </w:r>
          </w:p>
        </w:tc>
      </w:tr>
      <w:tr w:rsidR="00AB3924" w:rsidRPr="00EC57AF" w:rsidTr="00AB3924">
        <w:tc>
          <w:tcPr>
            <w:tcW w:w="5000" w:type="pct"/>
            <w:shd w:val="clear" w:color="auto" w:fill="auto"/>
          </w:tcPr>
          <w:p w:rsidR="00AB3924" w:rsidRPr="00EC57AF" w:rsidRDefault="00AB3924" w:rsidP="00EA6746">
            <w:pPr>
              <w:ind w:left="540" w:hanging="540"/>
              <w:rPr>
                <w:rFonts w:cs="Arial"/>
                <w:sz w:val="24"/>
              </w:rPr>
            </w:pPr>
          </w:p>
        </w:tc>
      </w:tr>
      <w:tr w:rsidR="00AB3924" w:rsidRPr="00EC57AF" w:rsidTr="00AB3924">
        <w:tc>
          <w:tcPr>
            <w:tcW w:w="5000" w:type="pct"/>
            <w:shd w:val="clear" w:color="auto" w:fill="auto"/>
          </w:tcPr>
          <w:p w:rsidR="00AB3924" w:rsidRPr="00EC57AF" w:rsidRDefault="00AB3924" w:rsidP="007B2D11">
            <w:pPr>
              <w:numPr>
                <w:ilvl w:val="0"/>
                <w:numId w:val="11"/>
              </w:numPr>
              <w:spacing w:after="120"/>
              <w:ind w:left="540" w:hanging="540"/>
              <w:rPr>
                <w:rFonts w:cs="Arial"/>
                <w:sz w:val="24"/>
              </w:rPr>
            </w:pPr>
            <w:r w:rsidRPr="00EC57AF">
              <w:rPr>
                <w:rFonts w:cs="Arial"/>
                <w:b/>
                <w:bCs/>
                <w:sz w:val="24"/>
              </w:rPr>
              <w:t>Closed Session – Deliberation</w:t>
            </w:r>
          </w:p>
        </w:tc>
      </w:tr>
      <w:tr w:rsidR="00AB3924" w:rsidRPr="00EC57AF" w:rsidTr="00AB3924">
        <w:tc>
          <w:tcPr>
            <w:tcW w:w="5000" w:type="pct"/>
            <w:shd w:val="clear" w:color="auto" w:fill="auto"/>
          </w:tcPr>
          <w:p w:rsidR="00AB3924" w:rsidRPr="00EC57AF" w:rsidRDefault="00AB3924" w:rsidP="00EA6746">
            <w:pPr>
              <w:ind w:left="540"/>
              <w:rPr>
                <w:rFonts w:cs="Arial"/>
                <w:sz w:val="24"/>
              </w:rPr>
            </w:pPr>
            <w:r w:rsidRPr="00EC57AF">
              <w:rPr>
                <w:rFonts w:cs="Arial"/>
                <w:sz w:val="24"/>
              </w:rPr>
              <w:t>The Board may meet in closed session to consider evidence received in an adjudicatory hearing and deliberate on a decision to be reached based on that evidence.</w:t>
            </w:r>
          </w:p>
          <w:p w:rsidR="00AB3924" w:rsidRPr="00EC57AF" w:rsidRDefault="00AB3924" w:rsidP="00EA6746">
            <w:pPr>
              <w:ind w:left="540"/>
              <w:rPr>
                <w:rFonts w:cs="Arial"/>
                <w:sz w:val="24"/>
              </w:rPr>
            </w:pPr>
            <w:r w:rsidRPr="00EC57AF">
              <w:rPr>
                <w:rFonts w:cs="Arial"/>
                <w:sz w:val="24"/>
              </w:rPr>
              <w:t>[Authority: Government Code section 11126(c)(3)]</w:t>
            </w:r>
          </w:p>
        </w:tc>
      </w:tr>
      <w:tr w:rsidR="00AB3924" w:rsidRPr="00EC57AF" w:rsidTr="00AB3924">
        <w:tc>
          <w:tcPr>
            <w:tcW w:w="5000" w:type="pct"/>
            <w:shd w:val="clear" w:color="auto" w:fill="auto"/>
          </w:tcPr>
          <w:p w:rsidR="00AB3924" w:rsidRPr="00EC57AF" w:rsidRDefault="00AB3924" w:rsidP="00EA6746">
            <w:pPr>
              <w:ind w:left="540" w:hanging="540"/>
              <w:rPr>
                <w:rFonts w:cs="Arial"/>
                <w:sz w:val="24"/>
              </w:rPr>
            </w:pPr>
          </w:p>
        </w:tc>
      </w:tr>
      <w:tr w:rsidR="00AB3924" w:rsidRPr="001022FA" w:rsidTr="00AB3924">
        <w:tc>
          <w:tcPr>
            <w:tcW w:w="5000" w:type="pct"/>
            <w:shd w:val="clear" w:color="auto" w:fill="auto"/>
          </w:tcPr>
          <w:p w:rsidR="00AB3924" w:rsidRPr="00EC57AF" w:rsidRDefault="00AB3924" w:rsidP="000461A0">
            <w:pPr>
              <w:numPr>
                <w:ilvl w:val="0"/>
                <w:numId w:val="11"/>
              </w:numPr>
              <w:ind w:left="540" w:hanging="540"/>
              <w:rPr>
                <w:rFonts w:cs="Arial"/>
                <w:sz w:val="24"/>
              </w:rPr>
            </w:pPr>
            <w:r w:rsidRPr="00EC57AF">
              <w:rPr>
                <w:rFonts w:cs="Arial"/>
                <w:b/>
                <w:sz w:val="24"/>
              </w:rPr>
              <w:t>Adjournment to the Next Board Meeting</w:t>
            </w:r>
            <w:r w:rsidRPr="00EC57AF">
              <w:rPr>
                <w:rFonts w:cs="Arial"/>
                <w:sz w:val="24"/>
              </w:rPr>
              <w:t xml:space="preserve"> – </w:t>
            </w:r>
            <w:r w:rsidR="000461A0">
              <w:rPr>
                <w:rFonts w:cs="Arial"/>
                <w:sz w:val="24"/>
              </w:rPr>
              <w:t>August 23</w:t>
            </w:r>
            <w:r w:rsidRPr="00EC57AF">
              <w:rPr>
                <w:rFonts w:cs="Arial"/>
                <w:sz w:val="24"/>
              </w:rPr>
              <w:t>, 2013</w:t>
            </w:r>
          </w:p>
        </w:tc>
      </w:tr>
      <w:tr w:rsidR="007B2D11" w:rsidRPr="001022FA" w:rsidTr="00AB3924">
        <w:tc>
          <w:tcPr>
            <w:tcW w:w="5000" w:type="pct"/>
            <w:shd w:val="clear" w:color="auto" w:fill="auto"/>
          </w:tcPr>
          <w:p w:rsidR="007B2D11" w:rsidRPr="00EC57AF" w:rsidRDefault="007B2D11" w:rsidP="007B2D11">
            <w:pPr>
              <w:ind w:left="540"/>
              <w:rPr>
                <w:rFonts w:cs="Arial"/>
                <w:b/>
                <w:sz w:val="24"/>
              </w:rPr>
            </w:pPr>
          </w:p>
        </w:tc>
      </w:tr>
    </w:tbl>
    <w:p w:rsidR="0089051F" w:rsidRPr="00F5518E" w:rsidRDefault="0089051F">
      <w:pPr>
        <w:rPr>
          <w:rFonts w:cs="Arial"/>
          <w:b/>
          <w:spacing w:val="-4"/>
          <w:sz w:val="16"/>
          <w:szCs w:val="16"/>
        </w:rPr>
      </w:pPr>
      <w:r w:rsidRPr="00F5518E">
        <w:rPr>
          <w:rFonts w:cs="Arial"/>
          <w:b/>
          <w:spacing w:val="-4"/>
          <w:sz w:val="16"/>
          <w:szCs w:val="16"/>
        </w:rPr>
        <w:br w:type="page"/>
      </w: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lastRenderedPageBreak/>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032CE3">
          <w:headerReference w:type="default" r:id="rId45"/>
          <w:footerReference w:type="default" r:id="rId46"/>
          <w:headerReference w:type="first" r:id="rId47"/>
          <w:footerReference w:type="first" r:id="rId48"/>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Pr="004078A0">
        <w:rPr>
          <w:rFonts w:cs="Arial"/>
          <w:bCs/>
          <w:spacing w:val="-2"/>
          <w:szCs w:val="20"/>
        </w:rPr>
        <w:t>– *Uncontested item, expected</w:t>
      </w:r>
      <w:r w:rsidRPr="004078A0">
        <w:rPr>
          <w:rFonts w:cs="Arial"/>
          <w:spacing w:val="-2"/>
          <w:szCs w:val="20"/>
        </w:rPr>
        <w:t xml:space="preserve"> to be routine and non-controversial. Rec</w:t>
      </w:r>
      <w:r w:rsidRPr="004078A0">
        <w:rPr>
          <w:rFonts w:cs="Arial"/>
          <w:spacing w:val="-2"/>
          <w:szCs w:val="20"/>
        </w:rPr>
        <w:softHyphen/>
        <w:t>ommended action will be taken at the beginning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49"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4078A0">
        <w:rPr>
          <w:rFonts w:cs="Arial"/>
          <w:b/>
          <w:bCs/>
          <w:sz w:val="20"/>
          <w:szCs w:val="20"/>
        </w:rPr>
        <w:t>Water Quality Certification</w:t>
      </w:r>
      <w:r w:rsidRPr="004078A0">
        <w:rPr>
          <w:rFonts w:cs="Arial"/>
          <w:sz w:val="20"/>
          <w:szCs w:val="20"/>
        </w:rPr>
        <w:t xml:space="preserve"> – Information regarding pending section 401 Water Quality Certification applications is available at </w:t>
      </w:r>
      <w:hyperlink r:id="rId50" w:anchor="section401" w:history="1">
        <w:r w:rsidRPr="004078A0">
          <w:rPr>
            <w:rFonts w:cs="Arial"/>
            <w:color w:val="0000FF"/>
            <w:sz w:val="20"/>
            <w:szCs w:val="20"/>
            <w:u w:val="single"/>
          </w:rPr>
          <w:t>www.waterboards.ca.gov/sanfranciscobay/public_notices/#section401</w:t>
        </w:r>
      </w:hyperlink>
      <w:r w:rsidRPr="004078A0">
        <w:rPr>
          <w:rFonts w:cs="Arial"/>
          <w:sz w:val="20"/>
          <w:szCs w:val="20"/>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B350C2" w:rsidP="00AA11C6">
      <w:pPr>
        <w:overflowPunct w:val="0"/>
        <w:autoSpaceDE w:val="0"/>
        <w:autoSpaceDN w:val="0"/>
        <w:adjustRightInd w:val="0"/>
        <w:jc w:val="center"/>
        <w:textAlignment w:val="baseline"/>
        <w:rPr>
          <w:rFonts w:cs="Arial"/>
          <w:sz w:val="18"/>
          <w:szCs w:val="20"/>
        </w:rPr>
      </w:pPr>
      <w:hyperlink r:id="rId51"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EE5A7C">
        <w:tc>
          <w:tcPr>
            <w:tcW w:w="2500" w:type="pct"/>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2500" w:type="pct"/>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City of Residence</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2500" w:type="pct"/>
            <w:gridSpan w:val="2"/>
            <w:shd w:val="clear" w:color="auto" w:fill="auto"/>
            <w:vAlign w:val="center"/>
          </w:tcPr>
          <w:p w:rsidR="00C77B0A" w:rsidRPr="00FD7070" w:rsidRDefault="00AA11C6" w:rsidP="00EE5A7C">
            <w:pPr>
              <w:overflowPunct w:val="0"/>
              <w:autoSpaceDE w:val="0"/>
              <w:autoSpaceDN w:val="0"/>
              <w:adjustRightInd w:val="0"/>
              <w:textAlignment w:val="baseline"/>
              <w:rPr>
                <w:rFonts w:cs="Arial"/>
                <w:szCs w:val="20"/>
              </w:rPr>
            </w:pPr>
            <w:r w:rsidRPr="004078A0">
              <w:rPr>
                <w:rFonts w:cs="Arial"/>
                <w:szCs w:val="20"/>
              </w:rPr>
              <w:t>Oakland</w:t>
            </w:r>
          </w:p>
        </w:tc>
      </w:tr>
      <w:tr w:rsidR="00FD7070" w:rsidRPr="004078A0" w:rsidTr="00EE5A7C">
        <w:tc>
          <w:tcPr>
            <w:tcW w:w="2500" w:type="pct"/>
            <w:gridSpan w:val="2"/>
            <w:shd w:val="clear" w:color="auto" w:fill="auto"/>
            <w:vAlign w:val="center"/>
          </w:tcPr>
          <w:p w:rsidR="00FD7070" w:rsidRPr="004078A0" w:rsidRDefault="000461A0" w:rsidP="000461A0">
            <w:pPr>
              <w:overflowPunct w:val="0"/>
              <w:autoSpaceDE w:val="0"/>
              <w:autoSpaceDN w:val="0"/>
              <w:adjustRightInd w:val="0"/>
              <w:textAlignment w:val="baseline"/>
              <w:rPr>
                <w:rFonts w:cs="Arial"/>
                <w:szCs w:val="20"/>
              </w:rPr>
            </w:pPr>
            <w:r w:rsidRPr="004078A0">
              <w:rPr>
                <w:rFonts w:cs="Arial"/>
                <w:szCs w:val="20"/>
              </w:rPr>
              <w:t>Margaret Abe-Koga</w:t>
            </w:r>
            <w:r>
              <w:rPr>
                <w:rFonts w:cs="Arial"/>
                <w:szCs w:val="20"/>
              </w:rPr>
              <w:t xml:space="preserve"> </w:t>
            </w:r>
          </w:p>
        </w:tc>
        <w:tc>
          <w:tcPr>
            <w:tcW w:w="2500" w:type="pct"/>
            <w:gridSpan w:val="2"/>
            <w:shd w:val="clear" w:color="auto" w:fill="auto"/>
            <w:vAlign w:val="center"/>
          </w:tcPr>
          <w:p w:rsidR="00FD7070" w:rsidRPr="004078A0" w:rsidRDefault="000461A0" w:rsidP="00EE5A7C">
            <w:pPr>
              <w:overflowPunct w:val="0"/>
              <w:autoSpaceDE w:val="0"/>
              <w:autoSpaceDN w:val="0"/>
              <w:adjustRightInd w:val="0"/>
              <w:textAlignment w:val="baseline"/>
              <w:rPr>
                <w:rFonts w:cs="Arial"/>
                <w:szCs w:val="20"/>
              </w:rPr>
            </w:pPr>
            <w:r w:rsidRPr="004078A0">
              <w:rPr>
                <w:rFonts w:cs="Arial"/>
                <w:szCs w:val="20"/>
              </w:rPr>
              <w:t>Mountain View</w:t>
            </w:r>
          </w:p>
        </w:tc>
      </w:tr>
      <w:tr w:rsidR="00AA11C6" w:rsidRPr="004078A0" w:rsidTr="00EE5A7C">
        <w:tc>
          <w:tcPr>
            <w:tcW w:w="2500" w:type="pct"/>
            <w:gridSpan w:val="2"/>
            <w:shd w:val="clear" w:color="auto" w:fill="auto"/>
            <w:vAlign w:val="center"/>
          </w:tcPr>
          <w:p w:rsidR="00AA11C6" w:rsidRPr="004078A0" w:rsidRDefault="000461A0" w:rsidP="00EE5A7C">
            <w:pPr>
              <w:overflowPunct w:val="0"/>
              <w:autoSpaceDE w:val="0"/>
              <w:autoSpaceDN w:val="0"/>
              <w:adjustRightInd w:val="0"/>
              <w:textAlignment w:val="baseline"/>
              <w:rPr>
                <w:rFonts w:cs="Arial"/>
                <w:b/>
                <w:sz w:val="20"/>
                <w:szCs w:val="20"/>
              </w:rPr>
            </w:pPr>
            <w:r>
              <w:rPr>
                <w:rFonts w:cs="Arial"/>
                <w:szCs w:val="20"/>
              </w:rPr>
              <w:t>Newsha Ajami</w:t>
            </w:r>
          </w:p>
        </w:tc>
        <w:tc>
          <w:tcPr>
            <w:tcW w:w="2500" w:type="pct"/>
            <w:gridSpan w:val="2"/>
            <w:shd w:val="clear" w:color="auto" w:fill="auto"/>
            <w:vAlign w:val="center"/>
          </w:tcPr>
          <w:p w:rsidR="00AA11C6" w:rsidRPr="004078A0" w:rsidRDefault="000461A0" w:rsidP="000461A0">
            <w:pPr>
              <w:overflowPunct w:val="0"/>
              <w:autoSpaceDE w:val="0"/>
              <w:autoSpaceDN w:val="0"/>
              <w:adjustRightInd w:val="0"/>
              <w:textAlignment w:val="baseline"/>
              <w:rPr>
                <w:rFonts w:cs="Arial"/>
                <w:b/>
                <w:sz w:val="20"/>
                <w:szCs w:val="20"/>
              </w:rPr>
            </w:pPr>
            <w:r>
              <w:rPr>
                <w:rFonts w:cs="Arial"/>
                <w:szCs w:val="20"/>
              </w:rPr>
              <w:t>San Francisco</w:t>
            </w:r>
            <w:r w:rsidRPr="004078A0">
              <w:rPr>
                <w:rFonts w:cs="Arial"/>
                <w:szCs w:val="20"/>
              </w:rPr>
              <w:t xml:space="preserve"> </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James McGrath</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EE5A7C">
        <w:tc>
          <w:tcPr>
            <w:tcW w:w="2500" w:type="pct"/>
            <w:gridSpan w:val="2"/>
            <w:shd w:val="clear" w:color="auto" w:fill="auto"/>
            <w:vAlign w:val="center"/>
          </w:tcPr>
          <w:p w:rsidR="00AA11C6" w:rsidRPr="004078A0" w:rsidRDefault="00C77B0A" w:rsidP="00EE5A7C">
            <w:pPr>
              <w:overflowPunct w:val="0"/>
              <w:autoSpaceDE w:val="0"/>
              <w:autoSpaceDN w:val="0"/>
              <w:adjustRightInd w:val="0"/>
              <w:textAlignment w:val="baseline"/>
              <w:rPr>
                <w:rFonts w:cs="Arial"/>
                <w:b/>
                <w:sz w:val="20"/>
                <w:szCs w:val="20"/>
              </w:rPr>
            </w:pPr>
            <w:r w:rsidRPr="004078A0">
              <w:rPr>
                <w:rFonts w:cs="Arial"/>
                <w:szCs w:val="20"/>
              </w:rPr>
              <w:t>Vacancy</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ab/>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EE5A7C">
        <w:tc>
          <w:tcPr>
            <w:tcW w:w="5000" w:type="pct"/>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Executive Officer</w:t>
            </w:r>
            <w:r w:rsidRPr="00EE5A7C">
              <w:rPr>
                <w:rFonts w:cs="Arial"/>
                <w:sz w:val="20"/>
                <w:szCs w:val="20"/>
              </w:rPr>
              <w:tab/>
            </w:r>
            <w:r w:rsidRPr="00EE5A7C">
              <w:rPr>
                <w:rFonts w:cs="Arial"/>
                <w:sz w:val="20"/>
                <w:szCs w:val="20"/>
              </w:rPr>
              <w:tab/>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Assistant Executive Officers</w:t>
            </w:r>
            <w:r w:rsidRPr="00EE5A7C">
              <w:rPr>
                <w:rFonts w:cs="Arial"/>
                <w:sz w:val="20"/>
                <w:szCs w:val="20"/>
              </w:rPr>
              <w:tab/>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Counsel to the Board</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Bruce H. Wolfe</w:t>
            </w:r>
            <w:r w:rsidRPr="00EE5A7C">
              <w:rPr>
                <w:rFonts w:cs="Arial"/>
                <w:sz w:val="20"/>
                <w:szCs w:val="20"/>
              </w:rPr>
              <w:tab/>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sz w:val="20"/>
                <w:szCs w:val="20"/>
              </w:rPr>
            </w:pPr>
            <w:r w:rsidRPr="00EE5A7C">
              <w:rPr>
                <w:rFonts w:cs="Arial"/>
                <w:sz w:val="20"/>
                <w:szCs w:val="20"/>
              </w:rPr>
              <w:t xml:space="preserve">Thomas Mumley </w:t>
            </w:r>
          </w:p>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Dyan Whyte</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Yuri Won</w:t>
            </w:r>
            <w:r w:rsidRPr="00EE5A7C">
              <w:rPr>
                <w:rFonts w:cs="Arial"/>
                <w:sz w:val="20"/>
                <w:szCs w:val="20"/>
              </w:rPr>
              <w:br/>
              <w:t>Tamarin Austin</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EE5A7C" w:rsidRPr="00EE5A7C" w:rsidTr="007C374C">
        <w:tc>
          <w:tcPr>
            <w:tcW w:w="1667"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Executive Assistant</w:t>
            </w:r>
            <w:r w:rsidRPr="00EE5A7C">
              <w:rPr>
                <w:rFonts w:cs="Arial"/>
                <w:sz w:val="20"/>
                <w:szCs w:val="20"/>
              </w:rPr>
              <w:tab/>
            </w:r>
          </w:p>
        </w:tc>
        <w:tc>
          <w:tcPr>
            <w:tcW w:w="1773" w:type="pct"/>
            <w:gridSpan w:val="2"/>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Management Services Division</w:t>
            </w:r>
          </w:p>
        </w:tc>
        <w:tc>
          <w:tcPr>
            <w:tcW w:w="1560"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p>
        </w:tc>
      </w:tr>
      <w:tr w:rsidR="00EE5A7C" w:rsidRPr="00EE5A7C" w:rsidTr="00EE5A7C">
        <w:tc>
          <w:tcPr>
            <w:tcW w:w="1667"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Angela </w:t>
            </w:r>
            <w:proofErr w:type="spellStart"/>
            <w:r w:rsidRPr="00EE5A7C">
              <w:rPr>
                <w:rFonts w:cs="Arial"/>
                <w:sz w:val="20"/>
                <w:szCs w:val="20"/>
              </w:rPr>
              <w:t>Tsao</w:t>
            </w:r>
            <w:proofErr w:type="spellEnd"/>
          </w:p>
        </w:tc>
        <w:tc>
          <w:tcPr>
            <w:tcW w:w="1773" w:type="pct"/>
            <w:gridSpan w:val="2"/>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Anna Torres, Chief</w:t>
            </w:r>
          </w:p>
        </w:tc>
        <w:tc>
          <w:tcPr>
            <w:tcW w:w="1560"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Planning and TMDL Division</w:t>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Watershed Management</w:t>
            </w:r>
            <w:r w:rsidR="00AA4279" w:rsidRPr="00EE5A7C">
              <w:rPr>
                <w:rFonts w:cs="Arial"/>
                <w:b/>
                <w:i/>
                <w:sz w:val="20"/>
                <w:szCs w:val="20"/>
              </w:rPr>
              <w:t xml:space="preserve"> Division</w:t>
            </w:r>
          </w:p>
        </w:tc>
        <w:tc>
          <w:tcPr>
            <w:tcW w:w="1560" w:type="pct"/>
            <w:shd w:val="clear" w:color="auto" w:fill="auto"/>
            <w:vAlign w:val="bottom"/>
          </w:tcPr>
          <w:p w:rsidR="00AA4279" w:rsidRPr="00EE5A7C" w:rsidRDefault="00AA11C6" w:rsidP="007C374C">
            <w:pPr>
              <w:overflowPunct w:val="0"/>
              <w:autoSpaceDE w:val="0"/>
              <w:autoSpaceDN w:val="0"/>
              <w:adjustRightInd w:val="0"/>
              <w:textAlignment w:val="baseline"/>
              <w:rPr>
                <w:rFonts w:cs="Arial"/>
                <w:b/>
                <w:bCs/>
                <w:i/>
                <w:sz w:val="20"/>
                <w:szCs w:val="20"/>
              </w:rPr>
            </w:pPr>
            <w:r w:rsidRPr="00EE5A7C">
              <w:rPr>
                <w:rFonts w:cs="Arial"/>
                <w:b/>
                <w:bCs/>
                <w:i/>
                <w:sz w:val="20"/>
                <w:szCs w:val="20"/>
              </w:rPr>
              <w:t>Groundwater Protection</w:t>
            </w:r>
            <w:r w:rsidR="001F1D7B" w:rsidRPr="00EE5A7C">
              <w:rPr>
                <w:rFonts w:cs="Arial"/>
                <w:b/>
                <w:bCs/>
                <w:i/>
                <w:sz w:val="20"/>
                <w:szCs w:val="20"/>
              </w:rPr>
              <w:t xml:space="preserve"> /</w:t>
            </w:r>
          </w:p>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Waste Containment</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Naomi Feger, Chief</w:t>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Shin-Roei Lee,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Terry Seward, Chief</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w:t>
            </w:r>
            <w:proofErr w:type="spellStart"/>
            <w:r w:rsidRPr="00EE5A7C">
              <w:rPr>
                <w:rFonts w:cs="Arial"/>
                <w:sz w:val="20"/>
                <w:szCs w:val="20"/>
              </w:rPr>
              <w:t>Lichten</w:t>
            </w:r>
            <w:proofErr w:type="spellEnd"/>
            <w:r w:rsidRPr="00EE5A7C">
              <w:rPr>
                <w:rFonts w:cs="Arial"/>
                <w:sz w:val="20"/>
                <w:szCs w:val="20"/>
              </w:rPr>
              <w:t>,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Dale C. Bowyer,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Alec Naugle, Section Leader  </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James Ponton,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William Hurley,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David Elias, Section Leader</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Christine </w:t>
            </w:r>
            <w:proofErr w:type="spellStart"/>
            <w:r w:rsidRPr="00EE5A7C">
              <w:rPr>
                <w:rFonts w:cs="Arial"/>
                <w:sz w:val="20"/>
                <w:szCs w:val="20"/>
              </w:rPr>
              <w:t>Boschen</w:t>
            </w:r>
            <w:proofErr w:type="spellEnd"/>
            <w:r w:rsidRPr="00EE5A7C">
              <w:rPr>
                <w:rFonts w:cs="Arial"/>
                <w:sz w:val="20"/>
                <w:szCs w:val="20"/>
              </w:rPr>
              <w:t>, Section Leader</w:t>
            </w:r>
          </w:p>
        </w:tc>
        <w:tc>
          <w:tcPr>
            <w:tcW w:w="1560" w:type="pct"/>
            <w:shd w:val="clear" w:color="auto" w:fill="auto"/>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Roberson, </w:t>
            </w:r>
            <w:r w:rsidRPr="007C374C">
              <w:rPr>
                <w:rFonts w:cs="Arial"/>
                <w:sz w:val="19"/>
                <w:szCs w:val="19"/>
              </w:rPr>
              <w:t>Section Leader</w:t>
            </w: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Permits Division</w:t>
            </w:r>
          </w:p>
        </w:tc>
        <w:tc>
          <w:tcPr>
            <w:tcW w:w="1773" w:type="pct"/>
            <w:gridSpan w:val="2"/>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sz w:val="20"/>
                <w:szCs w:val="20"/>
              </w:rPr>
              <w:t>Toxics Cleanup Division</w:t>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Lila Tang, Chief</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Stephen Hill,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Bill Johnson, Section Leader</w:t>
            </w:r>
          </w:p>
        </w:tc>
        <w:tc>
          <w:tcPr>
            <w:tcW w:w="1773" w:type="pct"/>
            <w:gridSpan w:val="2"/>
            <w:shd w:val="clear" w:color="auto" w:fill="auto"/>
          </w:tcPr>
          <w:p w:rsidR="00AA11C6" w:rsidRPr="00EE5A7C" w:rsidRDefault="00AA4279" w:rsidP="001F1D7B">
            <w:pPr>
              <w:overflowPunct w:val="0"/>
              <w:autoSpaceDE w:val="0"/>
              <w:autoSpaceDN w:val="0"/>
              <w:adjustRightInd w:val="0"/>
              <w:ind w:right="-222"/>
              <w:textAlignment w:val="baseline"/>
              <w:rPr>
                <w:rFonts w:cs="Arial"/>
                <w:b/>
                <w:bCs/>
                <w:i/>
                <w:iCs/>
                <w:sz w:val="20"/>
                <w:szCs w:val="20"/>
              </w:rPr>
            </w:pPr>
            <w:r w:rsidRPr="00EE5A7C">
              <w:rPr>
                <w:rFonts w:cs="Arial"/>
                <w:sz w:val="20"/>
                <w:szCs w:val="20"/>
              </w:rPr>
              <w:t xml:space="preserve">John D. </w:t>
            </w:r>
            <w:proofErr w:type="spellStart"/>
            <w:r w:rsidRPr="00EE5A7C">
              <w:rPr>
                <w:rFonts w:cs="Arial"/>
                <w:sz w:val="20"/>
                <w:szCs w:val="20"/>
              </w:rPr>
              <w:t>Wolfenden</w:t>
            </w:r>
            <w:proofErr w:type="spellEnd"/>
            <w:r w:rsidRPr="00EE5A7C">
              <w:rPr>
                <w:rFonts w:cs="Arial"/>
                <w:sz w:val="20"/>
                <w:szCs w:val="20"/>
              </w:rPr>
              <w:t xml:space="preserve">, Section </w:t>
            </w:r>
            <w:r w:rsidR="001F1D7B" w:rsidRPr="00EE5A7C">
              <w:rPr>
                <w:rFonts w:cs="Arial"/>
                <w:sz w:val="20"/>
                <w:szCs w:val="20"/>
              </w:rPr>
              <w:t>L</w:t>
            </w:r>
            <w:r w:rsidRPr="00EE5A7C">
              <w:rPr>
                <w:rFonts w:cs="Arial"/>
                <w:sz w:val="20"/>
                <w:szCs w:val="20"/>
              </w:rPr>
              <w:t>eader</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7C374C">
            <w:pPr>
              <w:overflowPunct w:val="0"/>
              <w:autoSpaceDE w:val="0"/>
              <w:autoSpaceDN w:val="0"/>
              <w:adjustRightInd w:val="0"/>
              <w:textAlignment w:val="baseline"/>
              <w:rPr>
                <w:rFonts w:cs="Arial"/>
                <w:sz w:val="20"/>
                <w:szCs w:val="20"/>
              </w:rPr>
            </w:pPr>
            <w:r w:rsidRPr="00EE5A7C">
              <w:rPr>
                <w:rFonts w:cs="Arial"/>
                <w:sz w:val="20"/>
                <w:szCs w:val="20"/>
              </w:rPr>
              <w:t xml:space="preserve">Claudia </w:t>
            </w:r>
            <w:proofErr w:type="spellStart"/>
            <w:r w:rsidRPr="00EE5A7C">
              <w:rPr>
                <w:rFonts w:cs="Arial"/>
                <w:sz w:val="20"/>
                <w:szCs w:val="20"/>
              </w:rPr>
              <w:t>Villacorta</w:t>
            </w:r>
            <w:proofErr w:type="spellEnd"/>
            <w:r w:rsidRPr="00EE5A7C">
              <w:rPr>
                <w:rFonts w:cs="Arial"/>
                <w:sz w:val="20"/>
                <w:szCs w:val="20"/>
              </w:rPr>
              <w:t xml:space="preserve">, </w:t>
            </w:r>
            <w:r w:rsidRPr="007C374C">
              <w:rPr>
                <w:rFonts w:cs="Arial"/>
                <w:sz w:val="19"/>
                <w:szCs w:val="19"/>
              </w:rPr>
              <w:t>Section Leader</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Chuck </w:t>
            </w:r>
            <w:proofErr w:type="spellStart"/>
            <w:r w:rsidRPr="00EE5A7C">
              <w:rPr>
                <w:rFonts w:cs="Arial"/>
                <w:sz w:val="20"/>
                <w:szCs w:val="20"/>
              </w:rPr>
              <w:t>Headlee</w:t>
            </w:r>
            <w:proofErr w:type="spellEnd"/>
            <w:r w:rsidRPr="00EE5A7C">
              <w:rPr>
                <w:rFonts w:cs="Arial"/>
                <w:sz w:val="20"/>
                <w:szCs w:val="20"/>
              </w:rPr>
              <w:t xml:space="preserve">, Section Leader </w:t>
            </w:r>
            <w:r w:rsidRPr="00EE5A7C">
              <w:rPr>
                <w:rFonts w:cs="Arial"/>
                <w:sz w:val="20"/>
                <w:szCs w:val="20"/>
              </w:rPr>
              <w:tab/>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r w:rsidRPr="00EE5A7C">
              <w:rPr>
                <w:rFonts w:cs="Arial"/>
                <w:sz w:val="20"/>
                <w:szCs w:val="20"/>
              </w:rPr>
              <w:t xml:space="preserve">Brian Thompson, Section Leader </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Mary Rose </w:t>
            </w:r>
            <w:proofErr w:type="spellStart"/>
            <w:r w:rsidRPr="00EE5A7C">
              <w:rPr>
                <w:rFonts w:cs="Arial"/>
                <w:sz w:val="20"/>
                <w:szCs w:val="20"/>
              </w:rPr>
              <w:t>Cassa</w:t>
            </w:r>
            <w:proofErr w:type="spellEnd"/>
            <w:r w:rsidRPr="00EE5A7C">
              <w:rPr>
                <w:rFonts w:cs="Arial"/>
                <w:sz w:val="20"/>
                <w:szCs w:val="20"/>
              </w:rPr>
              <w:t>, Section Leader</w:t>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7C374C" w:rsidRPr="004078A0" w:rsidTr="00EE5A7C">
        <w:tc>
          <w:tcPr>
            <w:tcW w:w="5000" w:type="pct"/>
            <w:gridSpan w:val="4"/>
            <w:shd w:val="clear" w:color="auto" w:fill="auto"/>
          </w:tcPr>
          <w:p w:rsidR="007C374C" w:rsidRPr="004078A0" w:rsidRDefault="007C374C" w:rsidP="004E0D0E">
            <w:pPr>
              <w:overflowPunct w:val="0"/>
              <w:autoSpaceDE w:val="0"/>
              <w:autoSpaceDN w:val="0"/>
              <w:adjustRightInd w:val="0"/>
              <w:textAlignment w:val="baseline"/>
              <w:rPr>
                <w:rFonts w:cs="Arial"/>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w:t>
            </w:r>
            <w:proofErr w:type="spellStart"/>
            <w:r w:rsidRPr="004078A0">
              <w:rPr>
                <w:rFonts w:cs="Arial"/>
                <w:sz w:val="18"/>
                <w:szCs w:val="18"/>
              </w:rPr>
              <w:t>Elihu</w:t>
            </w:r>
            <w:proofErr w:type="spellEnd"/>
            <w:r w:rsidRPr="004078A0">
              <w:rPr>
                <w:rFonts w:cs="Arial"/>
                <w:sz w:val="18"/>
                <w:szCs w:val="18"/>
              </w:rPr>
              <w:t xml:space="preserve">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 xml:space="preserve">Board meeting and the recordings are retained in the Board’s office for two years.  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DE" w:rsidRDefault="006D29DE">
      <w:r>
        <w:separator/>
      </w:r>
    </w:p>
  </w:endnote>
  <w:endnote w:type="continuationSeparator" w:id="0">
    <w:p w:rsidR="006D29DE" w:rsidRDefault="006D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ED0830">
      <w:rPr>
        <w:sz w:val="18"/>
        <w:szCs w:val="18"/>
      </w:rPr>
      <w:t>R</w:t>
    </w:r>
    <w:r>
      <w:rPr>
        <w:sz w:val="18"/>
        <w:szCs w:val="18"/>
      </w:rPr>
      <w:t xml:space="preserve">2 </w:t>
    </w:r>
    <w:r w:rsidR="00CC4CCA">
      <w:rPr>
        <w:sz w:val="18"/>
        <w:szCs w:val="18"/>
      </w:rPr>
      <w:t>8/14</w:t>
    </w:r>
    <w:r>
      <w:rPr>
        <w:sz w:val="18"/>
        <w:szCs w:val="18"/>
      </w:rPr>
      <w:t>/2013-0</w:t>
    </w:r>
    <w:r w:rsidR="006613AD">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CC4CCA">
      <w:rPr>
        <w:sz w:val="18"/>
        <w:szCs w:val="18"/>
      </w:rPr>
      <w:t>8/14</w:t>
    </w:r>
    <w:r w:rsidR="00ED0830">
      <w:rPr>
        <w:sz w:val="18"/>
        <w:szCs w:val="18"/>
      </w:rPr>
      <w:t>/2013-0</w:t>
    </w:r>
    <w:r w:rsidR="006613AD">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DE" w:rsidRDefault="006D29DE">
      <w:r>
        <w:separator/>
      </w:r>
    </w:p>
  </w:footnote>
  <w:footnote w:type="continuationSeparator" w:id="0">
    <w:p w:rsidR="006D29DE" w:rsidRDefault="006D29DE">
      <w:r>
        <w:continuationSeparator/>
      </w:r>
    </w:p>
    <w:p w:rsidR="006D29DE" w:rsidRPr="00976B5B" w:rsidRDefault="006D29DE">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6D29DE" w:rsidRPr="00976B5B" w:rsidRDefault="006D29DE"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B350C2">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41759B"/>
    <w:multiLevelType w:val="hybridMultilevel"/>
    <w:tmpl w:val="C53C37F6"/>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75840981"/>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6"/>
  </w:num>
  <w:num w:numId="13">
    <w:abstractNumId w:val="17"/>
  </w:num>
  <w:num w:numId="14">
    <w:abstractNumId w:val="13"/>
  </w:num>
  <w:num w:numId="15">
    <w:abstractNumId w:val="25"/>
  </w:num>
  <w:num w:numId="16">
    <w:abstractNumId w:val="24"/>
  </w:num>
  <w:num w:numId="17">
    <w:abstractNumId w:val="20"/>
  </w:num>
  <w:num w:numId="18">
    <w:abstractNumId w:val="23"/>
  </w:num>
  <w:num w:numId="19">
    <w:abstractNumId w:val="14"/>
  </w:num>
  <w:num w:numId="20">
    <w:abstractNumId w:val="11"/>
  </w:num>
  <w:num w:numId="21">
    <w:abstractNumId w:val="22"/>
  </w:num>
  <w:num w:numId="22">
    <w:abstractNumId w:val="15"/>
  </w:num>
  <w:num w:numId="23">
    <w:abstractNumId w:val="30"/>
  </w:num>
  <w:num w:numId="24">
    <w:abstractNumId w:val="21"/>
  </w:num>
  <w:num w:numId="25">
    <w:abstractNumId w:val="27"/>
  </w:num>
  <w:num w:numId="26">
    <w:abstractNumId w:val="31"/>
  </w:num>
  <w:num w:numId="27">
    <w:abstractNumId w:val="16"/>
  </w:num>
  <w:num w:numId="28">
    <w:abstractNumId w:val="10"/>
  </w:num>
  <w:num w:numId="29">
    <w:abstractNumId w:val="19"/>
  </w:num>
  <w:num w:numId="30">
    <w:abstractNumId w:val="28"/>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CE3"/>
    <w:rsid w:val="00033BD7"/>
    <w:rsid w:val="00045422"/>
    <w:rsid w:val="000461A0"/>
    <w:rsid w:val="000464A9"/>
    <w:rsid w:val="00053515"/>
    <w:rsid w:val="00054C76"/>
    <w:rsid w:val="000633EC"/>
    <w:rsid w:val="000657A0"/>
    <w:rsid w:val="00075DC7"/>
    <w:rsid w:val="000761D3"/>
    <w:rsid w:val="0008027A"/>
    <w:rsid w:val="00091DA8"/>
    <w:rsid w:val="00091DEC"/>
    <w:rsid w:val="00097E29"/>
    <w:rsid w:val="000A71D9"/>
    <w:rsid w:val="000B3682"/>
    <w:rsid w:val="000B7F08"/>
    <w:rsid w:val="000C122D"/>
    <w:rsid w:val="000C1ACF"/>
    <w:rsid w:val="000C252F"/>
    <w:rsid w:val="000C2BDC"/>
    <w:rsid w:val="000C41BD"/>
    <w:rsid w:val="000E45E0"/>
    <w:rsid w:val="000E7163"/>
    <w:rsid w:val="000E7A32"/>
    <w:rsid w:val="00100FEF"/>
    <w:rsid w:val="0010168F"/>
    <w:rsid w:val="001022FA"/>
    <w:rsid w:val="0011780A"/>
    <w:rsid w:val="00123011"/>
    <w:rsid w:val="00126A05"/>
    <w:rsid w:val="0013451C"/>
    <w:rsid w:val="00147A36"/>
    <w:rsid w:val="00151842"/>
    <w:rsid w:val="00152D13"/>
    <w:rsid w:val="001549E9"/>
    <w:rsid w:val="00156F98"/>
    <w:rsid w:val="00160790"/>
    <w:rsid w:val="0017033D"/>
    <w:rsid w:val="00174A77"/>
    <w:rsid w:val="00177EBE"/>
    <w:rsid w:val="00185000"/>
    <w:rsid w:val="0018609B"/>
    <w:rsid w:val="001925E8"/>
    <w:rsid w:val="00192952"/>
    <w:rsid w:val="001A7F65"/>
    <w:rsid w:val="001B17EF"/>
    <w:rsid w:val="001B3907"/>
    <w:rsid w:val="001B506E"/>
    <w:rsid w:val="001B6E1A"/>
    <w:rsid w:val="001B72E6"/>
    <w:rsid w:val="001C18C9"/>
    <w:rsid w:val="001C3269"/>
    <w:rsid w:val="001D3B6B"/>
    <w:rsid w:val="001D7EA5"/>
    <w:rsid w:val="001E7837"/>
    <w:rsid w:val="001F184D"/>
    <w:rsid w:val="001F1D7B"/>
    <w:rsid w:val="001F1D88"/>
    <w:rsid w:val="001F5047"/>
    <w:rsid w:val="0021011E"/>
    <w:rsid w:val="0021322C"/>
    <w:rsid w:val="002143F2"/>
    <w:rsid w:val="00227373"/>
    <w:rsid w:val="00234609"/>
    <w:rsid w:val="0023785C"/>
    <w:rsid w:val="00240146"/>
    <w:rsid w:val="002527A6"/>
    <w:rsid w:val="002630D2"/>
    <w:rsid w:val="00275308"/>
    <w:rsid w:val="00283428"/>
    <w:rsid w:val="00286587"/>
    <w:rsid w:val="00294EC2"/>
    <w:rsid w:val="00297571"/>
    <w:rsid w:val="002A00D5"/>
    <w:rsid w:val="002A1CCC"/>
    <w:rsid w:val="002A383B"/>
    <w:rsid w:val="002A7C6E"/>
    <w:rsid w:val="002D54CD"/>
    <w:rsid w:val="002D73C1"/>
    <w:rsid w:val="002D7472"/>
    <w:rsid w:val="002E180A"/>
    <w:rsid w:val="002E5028"/>
    <w:rsid w:val="003142B2"/>
    <w:rsid w:val="00314B9D"/>
    <w:rsid w:val="0032297F"/>
    <w:rsid w:val="00330370"/>
    <w:rsid w:val="00340B1A"/>
    <w:rsid w:val="0035668D"/>
    <w:rsid w:val="00367BBF"/>
    <w:rsid w:val="00386A5E"/>
    <w:rsid w:val="00386F81"/>
    <w:rsid w:val="00394FF9"/>
    <w:rsid w:val="003B64E6"/>
    <w:rsid w:val="003E0C90"/>
    <w:rsid w:val="003F0398"/>
    <w:rsid w:val="004013E0"/>
    <w:rsid w:val="0040631F"/>
    <w:rsid w:val="004064CB"/>
    <w:rsid w:val="004078A0"/>
    <w:rsid w:val="0041724B"/>
    <w:rsid w:val="00426E63"/>
    <w:rsid w:val="00437585"/>
    <w:rsid w:val="00446C65"/>
    <w:rsid w:val="004513B4"/>
    <w:rsid w:val="0045268C"/>
    <w:rsid w:val="00456359"/>
    <w:rsid w:val="0046424A"/>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D0E"/>
    <w:rsid w:val="004E1E28"/>
    <w:rsid w:val="004F73E8"/>
    <w:rsid w:val="005007B6"/>
    <w:rsid w:val="00501E9F"/>
    <w:rsid w:val="005056F7"/>
    <w:rsid w:val="00511BE9"/>
    <w:rsid w:val="00512291"/>
    <w:rsid w:val="00514410"/>
    <w:rsid w:val="0052708D"/>
    <w:rsid w:val="005303FF"/>
    <w:rsid w:val="00534BC6"/>
    <w:rsid w:val="0053770E"/>
    <w:rsid w:val="00547040"/>
    <w:rsid w:val="00555A25"/>
    <w:rsid w:val="005656DE"/>
    <w:rsid w:val="00567848"/>
    <w:rsid w:val="00574AE8"/>
    <w:rsid w:val="005800B5"/>
    <w:rsid w:val="005808E2"/>
    <w:rsid w:val="00583606"/>
    <w:rsid w:val="00586B4F"/>
    <w:rsid w:val="00591CD4"/>
    <w:rsid w:val="00596F08"/>
    <w:rsid w:val="005B22F6"/>
    <w:rsid w:val="005B511E"/>
    <w:rsid w:val="005B72FF"/>
    <w:rsid w:val="005C03A4"/>
    <w:rsid w:val="005C258F"/>
    <w:rsid w:val="005D10D0"/>
    <w:rsid w:val="005D5C75"/>
    <w:rsid w:val="005E469A"/>
    <w:rsid w:val="005F62D3"/>
    <w:rsid w:val="0060244D"/>
    <w:rsid w:val="006054F5"/>
    <w:rsid w:val="00605C5D"/>
    <w:rsid w:val="00612118"/>
    <w:rsid w:val="0061429E"/>
    <w:rsid w:val="00614AA4"/>
    <w:rsid w:val="006231C9"/>
    <w:rsid w:val="00625BBC"/>
    <w:rsid w:val="00632727"/>
    <w:rsid w:val="006361AA"/>
    <w:rsid w:val="006426F9"/>
    <w:rsid w:val="00642AF9"/>
    <w:rsid w:val="00660270"/>
    <w:rsid w:val="006613AD"/>
    <w:rsid w:val="006618DC"/>
    <w:rsid w:val="0066267C"/>
    <w:rsid w:val="00666A25"/>
    <w:rsid w:val="00667F97"/>
    <w:rsid w:val="0067032E"/>
    <w:rsid w:val="0068337A"/>
    <w:rsid w:val="00685FC4"/>
    <w:rsid w:val="006861FE"/>
    <w:rsid w:val="00693498"/>
    <w:rsid w:val="006937B8"/>
    <w:rsid w:val="006977DE"/>
    <w:rsid w:val="006A5B65"/>
    <w:rsid w:val="006B0D68"/>
    <w:rsid w:val="006B589F"/>
    <w:rsid w:val="006B6B07"/>
    <w:rsid w:val="006B6FAE"/>
    <w:rsid w:val="006C2981"/>
    <w:rsid w:val="006C40A2"/>
    <w:rsid w:val="006C437D"/>
    <w:rsid w:val="006D29DE"/>
    <w:rsid w:val="006E1238"/>
    <w:rsid w:val="006E61F3"/>
    <w:rsid w:val="006F179E"/>
    <w:rsid w:val="006F4615"/>
    <w:rsid w:val="006F7055"/>
    <w:rsid w:val="007006F3"/>
    <w:rsid w:val="00703A95"/>
    <w:rsid w:val="00707491"/>
    <w:rsid w:val="007140D5"/>
    <w:rsid w:val="00717CAD"/>
    <w:rsid w:val="00726A02"/>
    <w:rsid w:val="00741EEB"/>
    <w:rsid w:val="00742F4B"/>
    <w:rsid w:val="00744402"/>
    <w:rsid w:val="00744B32"/>
    <w:rsid w:val="0074731F"/>
    <w:rsid w:val="00760A8F"/>
    <w:rsid w:val="00771DEA"/>
    <w:rsid w:val="0077215E"/>
    <w:rsid w:val="00782FBD"/>
    <w:rsid w:val="00783E0B"/>
    <w:rsid w:val="007859CE"/>
    <w:rsid w:val="0078621F"/>
    <w:rsid w:val="00787833"/>
    <w:rsid w:val="00791C30"/>
    <w:rsid w:val="007939D7"/>
    <w:rsid w:val="007972D0"/>
    <w:rsid w:val="00797EE1"/>
    <w:rsid w:val="007A4736"/>
    <w:rsid w:val="007B1285"/>
    <w:rsid w:val="007B2D11"/>
    <w:rsid w:val="007B42BF"/>
    <w:rsid w:val="007B7CDF"/>
    <w:rsid w:val="007C1A2F"/>
    <w:rsid w:val="007C374C"/>
    <w:rsid w:val="007D01BB"/>
    <w:rsid w:val="007F3354"/>
    <w:rsid w:val="007F7B16"/>
    <w:rsid w:val="0081394F"/>
    <w:rsid w:val="00816420"/>
    <w:rsid w:val="00823B66"/>
    <w:rsid w:val="008316C0"/>
    <w:rsid w:val="00833749"/>
    <w:rsid w:val="00836676"/>
    <w:rsid w:val="008413F1"/>
    <w:rsid w:val="00845C75"/>
    <w:rsid w:val="0085061E"/>
    <w:rsid w:val="00850EDB"/>
    <w:rsid w:val="00852D7E"/>
    <w:rsid w:val="00874CF2"/>
    <w:rsid w:val="008770F8"/>
    <w:rsid w:val="008827D5"/>
    <w:rsid w:val="008854E9"/>
    <w:rsid w:val="00890188"/>
    <w:rsid w:val="0089051F"/>
    <w:rsid w:val="008924E3"/>
    <w:rsid w:val="008B15D5"/>
    <w:rsid w:val="008E45AD"/>
    <w:rsid w:val="00910220"/>
    <w:rsid w:val="00913939"/>
    <w:rsid w:val="00915373"/>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6FF"/>
    <w:rsid w:val="00961228"/>
    <w:rsid w:val="00961F78"/>
    <w:rsid w:val="009725A0"/>
    <w:rsid w:val="00973FBB"/>
    <w:rsid w:val="00982F67"/>
    <w:rsid w:val="009861D0"/>
    <w:rsid w:val="009B2A79"/>
    <w:rsid w:val="009B3B19"/>
    <w:rsid w:val="009C2D07"/>
    <w:rsid w:val="009D4735"/>
    <w:rsid w:val="009E3421"/>
    <w:rsid w:val="009E5ACD"/>
    <w:rsid w:val="009F1631"/>
    <w:rsid w:val="00A05100"/>
    <w:rsid w:val="00A17E40"/>
    <w:rsid w:val="00A308C8"/>
    <w:rsid w:val="00A36480"/>
    <w:rsid w:val="00A368D5"/>
    <w:rsid w:val="00A3746F"/>
    <w:rsid w:val="00A37A82"/>
    <w:rsid w:val="00A43D5B"/>
    <w:rsid w:val="00A804B2"/>
    <w:rsid w:val="00A856D7"/>
    <w:rsid w:val="00A90239"/>
    <w:rsid w:val="00A9181A"/>
    <w:rsid w:val="00A91C0D"/>
    <w:rsid w:val="00A93127"/>
    <w:rsid w:val="00AA11C6"/>
    <w:rsid w:val="00AA4279"/>
    <w:rsid w:val="00AA51F3"/>
    <w:rsid w:val="00AB0478"/>
    <w:rsid w:val="00AB3924"/>
    <w:rsid w:val="00AB70A6"/>
    <w:rsid w:val="00AC048E"/>
    <w:rsid w:val="00AC7490"/>
    <w:rsid w:val="00AC76EA"/>
    <w:rsid w:val="00AD2981"/>
    <w:rsid w:val="00AD2A4E"/>
    <w:rsid w:val="00AD494D"/>
    <w:rsid w:val="00AE2740"/>
    <w:rsid w:val="00AE4CFF"/>
    <w:rsid w:val="00AE5809"/>
    <w:rsid w:val="00AF4310"/>
    <w:rsid w:val="00B00BE8"/>
    <w:rsid w:val="00B00D64"/>
    <w:rsid w:val="00B01715"/>
    <w:rsid w:val="00B04662"/>
    <w:rsid w:val="00B076EA"/>
    <w:rsid w:val="00B23922"/>
    <w:rsid w:val="00B26FCB"/>
    <w:rsid w:val="00B27B94"/>
    <w:rsid w:val="00B32C37"/>
    <w:rsid w:val="00B350C2"/>
    <w:rsid w:val="00B377F8"/>
    <w:rsid w:val="00B41821"/>
    <w:rsid w:val="00B45295"/>
    <w:rsid w:val="00B762BC"/>
    <w:rsid w:val="00B8004C"/>
    <w:rsid w:val="00B85D36"/>
    <w:rsid w:val="00B9356D"/>
    <w:rsid w:val="00B956C5"/>
    <w:rsid w:val="00B97923"/>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3384A"/>
    <w:rsid w:val="00C4169F"/>
    <w:rsid w:val="00C43E3B"/>
    <w:rsid w:val="00C46D39"/>
    <w:rsid w:val="00C507A1"/>
    <w:rsid w:val="00C616DC"/>
    <w:rsid w:val="00C62EE2"/>
    <w:rsid w:val="00C630A9"/>
    <w:rsid w:val="00C657DB"/>
    <w:rsid w:val="00C67B6A"/>
    <w:rsid w:val="00C70330"/>
    <w:rsid w:val="00C7542C"/>
    <w:rsid w:val="00C75D87"/>
    <w:rsid w:val="00C770AA"/>
    <w:rsid w:val="00C77B0A"/>
    <w:rsid w:val="00C80387"/>
    <w:rsid w:val="00C87ADA"/>
    <w:rsid w:val="00C9198D"/>
    <w:rsid w:val="00CA02A0"/>
    <w:rsid w:val="00CB1846"/>
    <w:rsid w:val="00CB4884"/>
    <w:rsid w:val="00CC48DD"/>
    <w:rsid w:val="00CC4CCA"/>
    <w:rsid w:val="00CD5CF3"/>
    <w:rsid w:val="00CD79B6"/>
    <w:rsid w:val="00CE57AF"/>
    <w:rsid w:val="00D02429"/>
    <w:rsid w:val="00D073A1"/>
    <w:rsid w:val="00D17D44"/>
    <w:rsid w:val="00D2433F"/>
    <w:rsid w:val="00D2615D"/>
    <w:rsid w:val="00D36A08"/>
    <w:rsid w:val="00D527A8"/>
    <w:rsid w:val="00D563C7"/>
    <w:rsid w:val="00D62AFE"/>
    <w:rsid w:val="00D62B23"/>
    <w:rsid w:val="00D917F2"/>
    <w:rsid w:val="00D92956"/>
    <w:rsid w:val="00D9394C"/>
    <w:rsid w:val="00DA06C6"/>
    <w:rsid w:val="00DA0BED"/>
    <w:rsid w:val="00DA61FD"/>
    <w:rsid w:val="00DB5E47"/>
    <w:rsid w:val="00DC560B"/>
    <w:rsid w:val="00DC796D"/>
    <w:rsid w:val="00DE4A47"/>
    <w:rsid w:val="00DE4B6E"/>
    <w:rsid w:val="00DE7522"/>
    <w:rsid w:val="00DF5685"/>
    <w:rsid w:val="00E030E4"/>
    <w:rsid w:val="00E21855"/>
    <w:rsid w:val="00E30F6D"/>
    <w:rsid w:val="00E353BE"/>
    <w:rsid w:val="00E566DE"/>
    <w:rsid w:val="00E619EA"/>
    <w:rsid w:val="00E641F4"/>
    <w:rsid w:val="00E74068"/>
    <w:rsid w:val="00E751C6"/>
    <w:rsid w:val="00E77DB8"/>
    <w:rsid w:val="00E82A7B"/>
    <w:rsid w:val="00E900BF"/>
    <w:rsid w:val="00E95A52"/>
    <w:rsid w:val="00EA23BF"/>
    <w:rsid w:val="00EA6746"/>
    <w:rsid w:val="00EB4C99"/>
    <w:rsid w:val="00EB560F"/>
    <w:rsid w:val="00EB74D1"/>
    <w:rsid w:val="00EC57AF"/>
    <w:rsid w:val="00ED0830"/>
    <w:rsid w:val="00ED67B3"/>
    <w:rsid w:val="00EE0E7C"/>
    <w:rsid w:val="00EE17A6"/>
    <w:rsid w:val="00EE47EB"/>
    <w:rsid w:val="00EE5A7C"/>
    <w:rsid w:val="00EF3138"/>
    <w:rsid w:val="00EF7F63"/>
    <w:rsid w:val="00F0068F"/>
    <w:rsid w:val="00F06DDB"/>
    <w:rsid w:val="00F16104"/>
    <w:rsid w:val="00F515EF"/>
    <w:rsid w:val="00F5518E"/>
    <w:rsid w:val="00F55436"/>
    <w:rsid w:val="00F56DB7"/>
    <w:rsid w:val="00F66BE3"/>
    <w:rsid w:val="00F85B72"/>
    <w:rsid w:val="00F93F77"/>
    <w:rsid w:val="00F94F9B"/>
    <w:rsid w:val="00FA0A67"/>
    <w:rsid w:val="00FB05FB"/>
    <w:rsid w:val="00FB1130"/>
    <w:rsid w:val="00FB7D73"/>
    <w:rsid w:val="00FC0F25"/>
    <w:rsid w:val="00FC1631"/>
    <w:rsid w:val="00FC2353"/>
    <w:rsid w:val="00FC347A"/>
    <w:rsid w:val="00FD0498"/>
    <w:rsid w:val="00FD707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4_EO_Report.pdf" TargetMode="External"/><Relationship Id="rId18" Type="http://schemas.openxmlformats.org/officeDocument/2006/relationships/hyperlink" Target="5A_Comments.pdf" TargetMode="External"/><Relationship Id="rId26" Type="http://schemas.openxmlformats.org/officeDocument/2006/relationships/hyperlink" Target="mailto:nfeger@waterboards.ca.gov" TargetMode="External"/><Relationship Id="rId39" Type="http://schemas.openxmlformats.org/officeDocument/2006/relationships/hyperlink" Target="7_TO.pdf" TargetMode="External"/><Relationship Id="rId3" Type="http://schemas.openxmlformats.org/officeDocument/2006/relationships/styles" Target="styles.xml"/><Relationship Id="rId21" Type="http://schemas.openxmlformats.org/officeDocument/2006/relationships/hyperlink" Target="../../../../board_decisions/adopted_orders/2013/R2-2013-0028.pdf" TargetMode="External"/><Relationship Id="rId34" Type="http://schemas.openxmlformats.org/officeDocument/2006/relationships/hyperlink" Target="6_Comments.pdf" TargetMode="External"/><Relationship Id="rId42" Type="http://schemas.openxmlformats.org/officeDocument/2006/relationships/hyperlink" Target="8_Land_Disposal_Program_Report.pdf" TargetMode="External"/><Relationship Id="rId47" Type="http://schemas.openxmlformats.org/officeDocument/2006/relationships/header" Target="header2.xml"/><Relationship Id="rId50" Type="http://schemas.openxmlformats.org/officeDocument/2006/relationships/hyperlink" Target="http://www.waterboards.ca.gov/sanfranciscobay/public_notices/" TargetMode="External"/><Relationship Id="rId7" Type="http://schemas.openxmlformats.org/officeDocument/2006/relationships/footnotes" Target="footnotes.xml"/><Relationship Id="rId12" Type="http://schemas.openxmlformats.org/officeDocument/2006/relationships/hyperlink" Target="06-13-12_Mins.pdf" TargetMode="External"/><Relationship Id="rId17" Type="http://schemas.openxmlformats.org/officeDocument/2006/relationships/hyperlink" Target="5A_TO.pdf" TargetMode="External"/><Relationship Id="rId25" Type="http://schemas.openxmlformats.org/officeDocument/2006/relationships/hyperlink" Target="5C_SSR.pdf" TargetMode="External"/><Relationship Id="rId33" Type="http://schemas.openxmlformats.org/officeDocument/2006/relationships/hyperlink" Target="6_TO.pdf" TargetMode="External"/><Relationship Id="rId38" Type="http://schemas.openxmlformats.org/officeDocument/2006/relationships/hyperlink" Target="7_SSR.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A_SSR.pdf" TargetMode="External"/><Relationship Id="rId20" Type="http://schemas.openxmlformats.org/officeDocument/2006/relationships/hyperlink" Target="mailto:uhellmann-blumberg@waterboards.ca.gov" TargetMode="External"/><Relationship Id="rId29" Type="http://schemas.openxmlformats.org/officeDocument/2006/relationships/hyperlink" Target="5E_SSR.pdf" TargetMode="External"/><Relationship Id="rId41" Type="http://schemas.openxmlformats.org/officeDocument/2006/relationships/hyperlink" Target="8_SS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05-09-12_Mins.pdf" TargetMode="External"/><Relationship Id="rId24" Type="http://schemas.openxmlformats.org/officeDocument/2006/relationships/hyperlink" Target="mailto:jwolfenden@waterboards.ca.gov" TargetMode="External"/><Relationship Id="rId32" Type="http://schemas.openxmlformats.org/officeDocument/2006/relationships/hyperlink" Target="6_SSR.pdf" TargetMode="External"/><Relationship Id="rId37" Type="http://schemas.openxmlformats.org/officeDocument/2006/relationships/hyperlink" Target="../../../../board_decisions/adopted_orders/2013/R2-2013-0030.pdf" TargetMode="External"/><Relationship Id="rId40" Type="http://schemas.openxmlformats.org/officeDocument/2006/relationships/hyperlink" Target="mailto:kroberson@waterboards.ca.gov"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board_decisions/adopted_orders/2013/R2-2013-0027.pdf" TargetMode="External"/><Relationship Id="rId23" Type="http://schemas.openxmlformats.org/officeDocument/2006/relationships/hyperlink" Target="5B_TO.pdf" TargetMode="External"/><Relationship Id="rId28" Type="http://schemas.openxmlformats.org/officeDocument/2006/relationships/hyperlink" Target="mailto:johara@waterboards.ca.gov" TargetMode="External"/><Relationship Id="rId36" Type="http://schemas.openxmlformats.org/officeDocument/2006/relationships/hyperlink" Target="mailto:dwilliams@waterboards.ca.gov" TargetMode="External"/><Relationship Id="rId49" Type="http://schemas.openxmlformats.org/officeDocument/2006/relationships/hyperlink" Target="http://www.waterboards.ca.gov/sanfranciscobay" TargetMode="External"/><Relationship Id="rId10" Type="http://schemas.openxmlformats.org/officeDocument/2006/relationships/hyperlink" Target="04-11-12_Mins.pdf" TargetMode="External"/><Relationship Id="rId19" Type="http://schemas.openxmlformats.org/officeDocument/2006/relationships/hyperlink" Target="5A_RTC.pdf" TargetMode="External"/><Relationship Id="rId31" Type="http://schemas.openxmlformats.org/officeDocument/2006/relationships/hyperlink" Target="../../../../board_decisions/adopted_orders/2013/R2-2013-0029.pdf" TargetMode="External"/><Relationship Id="rId44" Type="http://schemas.openxmlformats.org/officeDocument/2006/relationships/hyperlink" Target="9_SSR.pd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07-10-13_Mins.pdf" TargetMode="External"/><Relationship Id="rId14" Type="http://schemas.openxmlformats.org/officeDocument/2006/relationships/hyperlink" Target="mailto:mliao@waterboards.ca.gov" TargetMode="External"/><Relationship Id="rId22" Type="http://schemas.openxmlformats.org/officeDocument/2006/relationships/hyperlink" Target="5B_SSR.pdf" TargetMode="External"/><Relationship Id="rId27" Type="http://schemas.openxmlformats.org/officeDocument/2006/relationships/hyperlink" Target="5D_SSR.pdf" TargetMode="External"/><Relationship Id="rId30" Type="http://schemas.openxmlformats.org/officeDocument/2006/relationships/hyperlink" Target="mailto:dwhitworth@waterboards.ca.gov" TargetMode="External"/><Relationship Id="rId35" Type="http://schemas.openxmlformats.org/officeDocument/2006/relationships/hyperlink" Target="6_RTC.pdf" TargetMode="External"/><Relationship Id="rId43" Type="http://schemas.openxmlformats.org/officeDocument/2006/relationships/hyperlink" Target="mailto:dwhyte@waterboards.ca.gov"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629B-A9FC-4969-916A-72A74D2B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36</TotalTime>
  <Pages>5</Pages>
  <Words>1521</Words>
  <Characters>10763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12260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13</cp:revision>
  <cp:lastPrinted>2013-07-31T23:42:00Z</cp:lastPrinted>
  <dcterms:created xsi:type="dcterms:W3CDTF">2013-07-31T23:34:00Z</dcterms:created>
  <dcterms:modified xsi:type="dcterms:W3CDTF">2013-08-26T17:45:00Z</dcterms:modified>
</cp:coreProperties>
</file>