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4756F" w14:textId="1DEF5D48" w:rsidR="00D6389C" w:rsidRDefault="00623F3F" w:rsidP="00C817A9">
      <w:pPr>
        <w:pStyle w:val="Heading1"/>
        <w:rPr>
          <w:b w:val="0"/>
          <w:bCs w:val="0"/>
        </w:rPr>
        <w:sectPr w:rsidR="00D6389C" w:rsidSect="00D6389C">
          <w:headerReference w:type="default" r:id="rId11"/>
          <w:footerReference w:type="default" r:id="rId12"/>
          <w:headerReference w:type="first" r:id="rId13"/>
          <w:pgSz w:w="12240" w:h="15840"/>
          <w:pgMar w:top="1080" w:right="1440" w:bottom="1440" w:left="1440" w:header="720" w:footer="720" w:gutter="0"/>
          <w:cols w:space="720"/>
          <w:titlePg/>
          <w:docGrid w:linePitch="360"/>
        </w:sectPr>
      </w:pPr>
      <w:r>
        <w:t>California Regional Water Quality Control Board</w:t>
      </w:r>
      <w:r w:rsidR="004E47DD">
        <w:t xml:space="preserve">                               </w:t>
      </w:r>
      <w:r w:rsidR="00C817A9">
        <w:t xml:space="preserve"> </w:t>
      </w:r>
      <w:r>
        <w:t xml:space="preserve">San Francisco </w:t>
      </w:r>
      <w:r w:rsidR="0063343D">
        <w:t xml:space="preserve">Bay </w:t>
      </w:r>
      <w:r>
        <w:t>Region</w:t>
      </w:r>
    </w:p>
    <w:p w14:paraId="07F9A6B0" w14:textId="06796130" w:rsidR="00507235" w:rsidRDefault="00507235" w:rsidP="00C04037">
      <w:pPr>
        <w:pStyle w:val="Heading2"/>
        <w:rPr>
          <w:b w:val="0"/>
          <w:bCs w:val="0"/>
        </w:rPr>
      </w:pPr>
      <w:r w:rsidRPr="006D3F03">
        <w:t xml:space="preserve">Order No. </w:t>
      </w:r>
      <w:r w:rsidR="008747A5" w:rsidRPr="008747A5">
        <w:t>R2-2023-00</w:t>
      </w:r>
      <w:r w:rsidR="008747A5" w:rsidRPr="00692D13">
        <w:t>XX</w:t>
      </w:r>
    </w:p>
    <w:p w14:paraId="62DF1A0E" w14:textId="58F59229" w:rsidR="00EE699C" w:rsidRPr="00BC2289" w:rsidRDefault="00507235" w:rsidP="00946EAE">
      <w:pPr>
        <w:pStyle w:val="Heading3"/>
      </w:pPr>
      <w:r w:rsidRPr="006D3F03">
        <w:t xml:space="preserve">Amendment of Order </w:t>
      </w:r>
      <w:r w:rsidR="008D0845" w:rsidRPr="006D3F03">
        <w:t xml:space="preserve">No. </w:t>
      </w:r>
      <w:r w:rsidRPr="006D3F03">
        <w:t>R2-2022-0018</w:t>
      </w:r>
      <w:r w:rsidR="008A552A">
        <w:t xml:space="preserve">                                        </w:t>
      </w:r>
      <w:r w:rsidRPr="006D3F03">
        <w:t xml:space="preserve">(NPDES </w:t>
      </w:r>
      <w:r w:rsidR="00413FCA" w:rsidRPr="006D3F03">
        <w:t>Permit</w:t>
      </w:r>
      <w:r w:rsidRPr="006D3F03">
        <w:t xml:space="preserve"> No. CAS612008)</w:t>
      </w:r>
      <w:r w:rsidR="008A552A">
        <w:t xml:space="preserve">                                                             </w:t>
      </w:r>
      <w:r w:rsidRPr="006D3F03">
        <w:t>For Alameda, Contra Costa, Santa Clara, San Mateo, and Solano Permittees</w:t>
      </w:r>
    </w:p>
    <w:p w14:paraId="06D20957" w14:textId="4F5BAEE0" w:rsidR="00825EFA" w:rsidRPr="0076073A" w:rsidRDefault="0013565B" w:rsidP="00010A0C">
      <w:pPr>
        <w:pStyle w:val="Heading4"/>
        <w:jc w:val="left"/>
        <w:rPr>
          <w:b w:val="0"/>
          <w:sz w:val="24"/>
          <w:szCs w:val="24"/>
        </w:rPr>
      </w:pPr>
      <w:bookmarkStart w:id="0" w:name="FINDINGS"/>
      <w:bookmarkEnd w:id="0"/>
      <w:r w:rsidRPr="00010A0C">
        <w:rPr>
          <w:sz w:val="24"/>
          <w:szCs w:val="24"/>
        </w:rPr>
        <w:t>WHEREAS</w:t>
      </w:r>
      <w:r>
        <w:rPr>
          <w:sz w:val="24"/>
          <w:szCs w:val="24"/>
        </w:rPr>
        <w:t xml:space="preserve"> </w:t>
      </w:r>
      <w:r w:rsidRPr="0076073A">
        <w:rPr>
          <w:b w:val="0"/>
          <w:sz w:val="24"/>
          <w:szCs w:val="24"/>
        </w:rPr>
        <w:t>the California Regional Water Quality Control Board, San Francisco Bay Region (Water Board), finds the following:</w:t>
      </w:r>
    </w:p>
    <w:p w14:paraId="47C98F7F" w14:textId="35626F1E" w:rsidR="00E6462E" w:rsidRDefault="00B50B70" w:rsidP="00F414F5">
      <w:pPr>
        <w:pStyle w:val="ListParagraph"/>
        <w:numPr>
          <w:ilvl w:val="0"/>
          <w:numId w:val="1"/>
        </w:numPr>
        <w:spacing w:before="160" w:after="120" w:line="240" w:lineRule="auto"/>
        <w:ind w:left="360"/>
        <w:contextualSpacing w:val="0"/>
        <w:rPr>
          <w:rFonts w:ascii="Arial" w:hAnsi="Arial" w:cs="Arial"/>
          <w:sz w:val="24"/>
          <w:szCs w:val="24"/>
        </w:rPr>
      </w:pPr>
      <w:r>
        <w:rPr>
          <w:rFonts w:ascii="Arial" w:hAnsi="Arial" w:cs="Arial"/>
          <w:sz w:val="24"/>
          <w:szCs w:val="24"/>
        </w:rPr>
        <w:t>The California Regional Water Quality Control Board, San Francisco Bay Region</w:t>
      </w:r>
      <w:r w:rsidR="005876CF">
        <w:rPr>
          <w:rFonts w:ascii="Arial" w:hAnsi="Arial" w:cs="Arial"/>
          <w:sz w:val="24"/>
          <w:szCs w:val="24"/>
        </w:rPr>
        <w:t xml:space="preserve"> (Water Board)</w:t>
      </w:r>
      <w:r>
        <w:rPr>
          <w:rFonts w:ascii="Arial" w:hAnsi="Arial" w:cs="Arial"/>
          <w:sz w:val="24"/>
          <w:szCs w:val="24"/>
        </w:rPr>
        <w:t xml:space="preserve">, adopted Order No. R2-2022-0018 </w:t>
      </w:r>
      <w:r w:rsidR="000C176C">
        <w:rPr>
          <w:rFonts w:ascii="Arial" w:hAnsi="Arial" w:cs="Arial"/>
          <w:sz w:val="24"/>
          <w:szCs w:val="24"/>
        </w:rPr>
        <w:t xml:space="preserve">to </w:t>
      </w:r>
      <w:r w:rsidR="001154E7">
        <w:rPr>
          <w:rFonts w:ascii="Arial" w:hAnsi="Arial" w:cs="Arial"/>
          <w:sz w:val="24"/>
          <w:szCs w:val="24"/>
        </w:rPr>
        <w:t>reissu</w:t>
      </w:r>
      <w:r w:rsidR="000C176C">
        <w:rPr>
          <w:rFonts w:ascii="Arial" w:hAnsi="Arial" w:cs="Arial"/>
          <w:sz w:val="24"/>
          <w:szCs w:val="24"/>
        </w:rPr>
        <w:t>e</w:t>
      </w:r>
      <w:r w:rsidR="00CE1452">
        <w:rPr>
          <w:rFonts w:ascii="Arial" w:hAnsi="Arial" w:cs="Arial"/>
          <w:sz w:val="24"/>
          <w:szCs w:val="24"/>
        </w:rPr>
        <w:t xml:space="preserve"> </w:t>
      </w:r>
      <w:r w:rsidR="00CF60E9">
        <w:rPr>
          <w:rFonts w:ascii="Arial" w:hAnsi="Arial" w:cs="Arial"/>
          <w:sz w:val="24"/>
          <w:szCs w:val="24"/>
        </w:rPr>
        <w:t>the San Francisco Bay Municipal Regional Stormwater</w:t>
      </w:r>
      <w:r w:rsidR="004E3906">
        <w:rPr>
          <w:rFonts w:ascii="Arial" w:hAnsi="Arial" w:cs="Arial"/>
          <w:sz w:val="24"/>
          <w:szCs w:val="24"/>
        </w:rPr>
        <w:t xml:space="preserve"> Permit </w:t>
      </w:r>
      <w:r w:rsidR="003D18FC">
        <w:rPr>
          <w:rFonts w:ascii="Arial" w:hAnsi="Arial" w:cs="Arial"/>
          <w:sz w:val="24"/>
          <w:szCs w:val="24"/>
        </w:rPr>
        <w:t>(</w:t>
      </w:r>
      <w:r w:rsidR="00C36833">
        <w:rPr>
          <w:rFonts w:ascii="Arial" w:hAnsi="Arial" w:cs="Arial"/>
          <w:sz w:val="24"/>
          <w:szCs w:val="24"/>
        </w:rPr>
        <w:t xml:space="preserve">MRP or </w:t>
      </w:r>
      <w:r w:rsidR="00730732">
        <w:rPr>
          <w:rFonts w:ascii="Arial" w:hAnsi="Arial" w:cs="Arial"/>
          <w:sz w:val="24"/>
          <w:szCs w:val="24"/>
        </w:rPr>
        <w:t>Permit</w:t>
      </w:r>
      <w:r w:rsidR="003D18FC">
        <w:rPr>
          <w:rFonts w:ascii="Arial" w:hAnsi="Arial" w:cs="Arial"/>
          <w:sz w:val="24"/>
          <w:szCs w:val="24"/>
        </w:rPr>
        <w:t xml:space="preserve">) </w:t>
      </w:r>
      <w:r w:rsidR="005876CF">
        <w:rPr>
          <w:rFonts w:ascii="Arial" w:hAnsi="Arial" w:cs="Arial"/>
          <w:sz w:val="24"/>
          <w:szCs w:val="24"/>
        </w:rPr>
        <w:t xml:space="preserve">at a public hearing </w:t>
      </w:r>
      <w:r>
        <w:rPr>
          <w:rFonts w:ascii="Arial" w:hAnsi="Arial" w:cs="Arial"/>
          <w:sz w:val="24"/>
          <w:szCs w:val="24"/>
        </w:rPr>
        <w:t>on May 11, 2022</w:t>
      </w:r>
      <w:r w:rsidR="00281BAB">
        <w:rPr>
          <w:rFonts w:ascii="Arial" w:hAnsi="Arial" w:cs="Arial"/>
          <w:sz w:val="24"/>
          <w:szCs w:val="24"/>
        </w:rPr>
        <w:t>. The Permit</w:t>
      </w:r>
      <w:r>
        <w:rPr>
          <w:rFonts w:ascii="Arial" w:hAnsi="Arial" w:cs="Arial"/>
          <w:sz w:val="24"/>
          <w:szCs w:val="24"/>
        </w:rPr>
        <w:t xml:space="preserve"> </w:t>
      </w:r>
      <w:r w:rsidR="00E638AF">
        <w:rPr>
          <w:rFonts w:ascii="Arial" w:hAnsi="Arial" w:cs="Arial"/>
          <w:sz w:val="24"/>
          <w:szCs w:val="24"/>
        </w:rPr>
        <w:t>regulat</w:t>
      </w:r>
      <w:r w:rsidR="00281BAB">
        <w:rPr>
          <w:rFonts w:ascii="Arial" w:hAnsi="Arial" w:cs="Arial"/>
          <w:sz w:val="24"/>
          <w:szCs w:val="24"/>
        </w:rPr>
        <w:t>es</w:t>
      </w:r>
      <w:r w:rsidR="00E638AF">
        <w:rPr>
          <w:rFonts w:ascii="Arial" w:hAnsi="Arial" w:cs="Arial"/>
          <w:sz w:val="24"/>
          <w:szCs w:val="24"/>
        </w:rPr>
        <w:t xml:space="preserve"> </w:t>
      </w:r>
      <w:r w:rsidR="00FB6710">
        <w:rPr>
          <w:rFonts w:ascii="Arial" w:hAnsi="Arial" w:cs="Arial"/>
          <w:sz w:val="24"/>
          <w:szCs w:val="24"/>
        </w:rPr>
        <w:t xml:space="preserve">municipal </w:t>
      </w:r>
      <w:r w:rsidR="00AC223B">
        <w:rPr>
          <w:rFonts w:ascii="Arial" w:hAnsi="Arial" w:cs="Arial"/>
          <w:sz w:val="24"/>
          <w:szCs w:val="24"/>
        </w:rPr>
        <w:t xml:space="preserve">stormwater discharges </w:t>
      </w:r>
      <w:r w:rsidR="00DA312B">
        <w:rPr>
          <w:rFonts w:ascii="Arial" w:hAnsi="Arial" w:cs="Arial"/>
          <w:sz w:val="24"/>
          <w:szCs w:val="24"/>
        </w:rPr>
        <w:t>by</w:t>
      </w:r>
      <w:r>
        <w:rPr>
          <w:rFonts w:ascii="Arial" w:hAnsi="Arial" w:cs="Arial"/>
          <w:sz w:val="24"/>
          <w:szCs w:val="24"/>
        </w:rPr>
        <w:t xml:space="preserve"> the </w:t>
      </w:r>
      <w:r w:rsidR="00E6462E">
        <w:rPr>
          <w:rFonts w:ascii="Arial" w:hAnsi="Arial" w:cs="Arial"/>
          <w:sz w:val="24"/>
          <w:szCs w:val="24"/>
        </w:rPr>
        <w:t>following jurisdictions and entities</w:t>
      </w:r>
      <w:r w:rsidR="005A51D2">
        <w:rPr>
          <w:rFonts w:ascii="Arial" w:hAnsi="Arial" w:cs="Arial"/>
          <w:sz w:val="24"/>
          <w:szCs w:val="24"/>
        </w:rPr>
        <w:t xml:space="preserve">, </w:t>
      </w:r>
      <w:r w:rsidR="00420788">
        <w:rPr>
          <w:rFonts w:ascii="Arial" w:hAnsi="Arial" w:cs="Arial"/>
          <w:sz w:val="24"/>
          <w:szCs w:val="24"/>
        </w:rPr>
        <w:t>hereafter</w:t>
      </w:r>
      <w:r w:rsidR="005A51D2">
        <w:rPr>
          <w:rFonts w:ascii="Arial" w:hAnsi="Arial" w:cs="Arial"/>
          <w:sz w:val="24"/>
          <w:szCs w:val="24"/>
        </w:rPr>
        <w:t xml:space="preserve"> collectively referred to as the Permittees</w:t>
      </w:r>
      <w:r w:rsidR="00E6462E">
        <w:rPr>
          <w:rFonts w:ascii="Arial" w:hAnsi="Arial" w:cs="Arial"/>
          <w:sz w:val="24"/>
          <w:szCs w:val="24"/>
        </w:rPr>
        <w:t>:</w:t>
      </w:r>
    </w:p>
    <w:p w14:paraId="0F0E6528" w14:textId="2082C6DA" w:rsidR="00D20F56" w:rsidRDefault="00D20F56" w:rsidP="00265387">
      <w:pPr>
        <w:pStyle w:val="ListParagraph"/>
        <w:spacing w:after="120" w:line="240" w:lineRule="auto"/>
        <w:ind w:left="360"/>
        <w:contextualSpacing w:val="0"/>
        <w:rPr>
          <w:rFonts w:ascii="Arial" w:hAnsi="Arial" w:cs="Arial"/>
          <w:sz w:val="24"/>
          <w:szCs w:val="24"/>
        </w:rPr>
      </w:pPr>
      <w:r w:rsidRPr="00D20F56">
        <w:rPr>
          <w:rFonts w:ascii="Arial" w:hAnsi="Arial" w:cs="Arial"/>
          <w:sz w:val="24"/>
          <w:szCs w:val="24"/>
        </w:rPr>
        <w:t>The cities of Alameda, Albany, Berkeley, Dublin, Emeryville, Fremont, Hayward, Livermore, Newark, Oakland, Piedmont, Pleasanton, San Leandro, and Union City, Alameda County, the Alameda County Flood Control and Water Conservation District, and Zone 7 of the Alameda County Flood Control and Water Conservation District, which have joined together to form the Alameda Countywide Clean Water Program (Alameda Permittees</w:t>
      </w:r>
      <w:proofErr w:type="gramStart"/>
      <w:r w:rsidRPr="00D20F56">
        <w:rPr>
          <w:rFonts w:ascii="Arial" w:hAnsi="Arial" w:cs="Arial"/>
          <w:sz w:val="24"/>
          <w:szCs w:val="24"/>
        </w:rPr>
        <w:t>)</w:t>
      </w:r>
      <w:r w:rsidR="005A51D2">
        <w:rPr>
          <w:rFonts w:ascii="Arial" w:hAnsi="Arial" w:cs="Arial"/>
          <w:sz w:val="24"/>
          <w:szCs w:val="24"/>
        </w:rPr>
        <w:t>;</w:t>
      </w:r>
      <w:proofErr w:type="gramEnd"/>
    </w:p>
    <w:p w14:paraId="5998B43C" w14:textId="5413536A" w:rsidR="00D20F56" w:rsidRPr="00D20F56" w:rsidRDefault="00D20F56" w:rsidP="00265387">
      <w:pPr>
        <w:pStyle w:val="ListParagraph"/>
        <w:spacing w:after="120" w:line="240" w:lineRule="auto"/>
        <w:ind w:left="360"/>
        <w:contextualSpacing w:val="0"/>
        <w:rPr>
          <w:rFonts w:ascii="Arial" w:hAnsi="Arial" w:cs="Arial"/>
          <w:sz w:val="24"/>
          <w:szCs w:val="24"/>
        </w:rPr>
      </w:pPr>
      <w:r w:rsidRPr="00D20F56">
        <w:rPr>
          <w:rFonts w:ascii="Arial" w:hAnsi="Arial" w:cs="Arial"/>
          <w:sz w:val="24"/>
          <w:szCs w:val="24"/>
        </w:rPr>
        <w:t>The cities of Antioch, Brentwood, Clayton, Concord, El Cerrito, Hercules, Lafayette, Martinez, Oakley, Orinda, Pinole, Pittsburg, Pleasant Hill, Richmond, San Pablo, San Ramon, and Walnut Creek, the towns of Danville and Moraga, Contra Costa County, the Contra Costa County Flood Control and Water Conservation District, which have joined together to form the Contra Costa Clean Water Program (Contra Costa Permittees</w:t>
      </w:r>
      <w:proofErr w:type="gramStart"/>
      <w:r w:rsidRPr="00D20F56">
        <w:rPr>
          <w:rFonts w:ascii="Arial" w:hAnsi="Arial" w:cs="Arial"/>
          <w:sz w:val="24"/>
          <w:szCs w:val="24"/>
        </w:rPr>
        <w:t>)</w:t>
      </w:r>
      <w:r w:rsidR="005A51D2">
        <w:rPr>
          <w:rFonts w:ascii="Arial" w:hAnsi="Arial" w:cs="Arial"/>
          <w:sz w:val="24"/>
          <w:szCs w:val="24"/>
        </w:rPr>
        <w:t>;</w:t>
      </w:r>
      <w:proofErr w:type="gramEnd"/>
    </w:p>
    <w:p w14:paraId="06080B0E" w14:textId="0473E885" w:rsidR="00D20F56" w:rsidRDefault="00D20F56" w:rsidP="00265387">
      <w:pPr>
        <w:pStyle w:val="ListParagraph"/>
        <w:spacing w:after="120" w:line="240" w:lineRule="auto"/>
        <w:ind w:left="360"/>
        <w:contextualSpacing w:val="0"/>
        <w:rPr>
          <w:rFonts w:ascii="Arial" w:hAnsi="Arial" w:cs="Arial"/>
          <w:sz w:val="24"/>
          <w:szCs w:val="24"/>
        </w:rPr>
      </w:pPr>
      <w:r w:rsidRPr="00D20F56">
        <w:rPr>
          <w:rFonts w:ascii="Arial" w:hAnsi="Arial" w:cs="Arial"/>
          <w:sz w:val="24"/>
          <w:szCs w:val="24"/>
        </w:rPr>
        <w:t>The cities of Campbell, Cupertino, Los Altos, Milpitas, Monte Sereno, Mountain View, Palo Alto, San Jose, Santa Clara, Saratoga, and Sunnyvale, the towns of Los Altos Hills and Los Gatos, the Santa Clara Valley Water District, and Santa Clara County, which have joined together to form the Santa Clara Valley Urban Runoff Pollution Prevention Program (Santa Clara Permittees</w:t>
      </w:r>
      <w:proofErr w:type="gramStart"/>
      <w:r w:rsidRPr="00D20F56">
        <w:rPr>
          <w:rFonts w:ascii="Arial" w:hAnsi="Arial" w:cs="Arial"/>
          <w:sz w:val="24"/>
          <w:szCs w:val="24"/>
        </w:rPr>
        <w:t>)</w:t>
      </w:r>
      <w:r w:rsidR="005A51D2">
        <w:rPr>
          <w:rFonts w:ascii="Arial" w:hAnsi="Arial" w:cs="Arial"/>
          <w:sz w:val="24"/>
          <w:szCs w:val="24"/>
        </w:rPr>
        <w:t>;</w:t>
      </w:r>
      <w:proofErr w:type="gramEnd"/>
    </w:p>
    <w:p w14:paraId="7D9CDAB2" w14:textId="76B01DA9" w:rsidR="00D20F56" w:rsidRDefault="00D20F56" w:rsidP="00265387">
      <w:pPr>
        <w:pStyle w:val="ListParagraph"/>
        <w:spacing w:after="120" w:line="240" w:lineRule="auto"/>
        <w:ind w:left="360"/>
        <w:contextualSpacing w:val="0"/>
        <w:rPr>
          <w:rFonts w:ascii="Arial" w:hAnsi="Arial" w:cs="Arial"/>
          <w:sz w:val="24"/>
          <w:szCs w:val="24"/>
        </w:rPr>
      </w:pPr>
      <w:r w:rsidRPr="00D20F56">
        <w:rPr>
          <w:rFonts w:ascii="Arial" w:hAnsi="Arial" w:cs="Arial"/>
          <w:sz w:val="24"/>
          <w:szCs w:val="24"/>
        </w:rPr>
        <w:t>The cities of Belmont, Brisbane, Burlingame, Daly City, East Palo Alto, Foster City, Half Moon Bay, Menlo Park, Millbrae, Pacifica, Redwood City, San Bruno, San Carlos, San Mateo, and South San Francisco, the towns of Atherton, Colma, Hillsborough, Portola Valley, and Woodside, the San Mateo County Flood and Sea Level Rise Resiliency District, and San Mateo County, which have joined together to form the San Mateo Countywide Water Pollution Prevention Program (San Mateo Permittees)</w:t>
      </w:r>
      <w:r w:rsidR="005A51D2">
        <w:rPr>
          <w:rFonts w:ascii="Arial" w:hAnsi="Arial" w:cs="Arial"/>
          <w:sz w:val="24"/>
          <w:szCs w:val="24"/>
        </w:rPr>
        <w:t>; and</w:t>
      </w:r>
    </w:p>
    <w:p w14:paraId="4F65FA1B" w14:textId="6262276E" w:rsidR="00E6462E" w:rsidRDefault="00D20F56" w:rsidP="00265387">
      <w:pPr>
        <w:pStyle w:val="ListParagraph"/>
        <w:spacing w:after="120" w:line="240" w:lineRule="auto"/>
        <w:ind w:left="360"/>
        <w:contextualSpacing w:val="0"/>
        <w:rPr>
          <w:rFonts w:ascii="Arial" w:hAnsi="Arial" w:cs="Arial"/>
          <w:sz w:val="24"/>
          <w:szCs w:val="24"/>
        </w:rPr>
      </w:pPr>
      <w:r w:rsidRPr="00D20F56">
        <w:rPr>
          <w:rFonts w:ascii="Arial" w:hAnsi="Arial" w:cs="Arial"/>
          <w:sz w:val="24"/>
          <w:szCs w:val="24"/>
        </w:rPr>
        <w:lastRenderedPageBreak/>
        <w:t xml:space="preserve">The cities of Fairfield, Suisun City, </w:t>
      </w:r>
      <w:r w:rsidR="00FA2C7B">
        <w:rPr>
          <w:rFonts w:ascii="Arial" w:hAnsi="Arial" w:cs="Arial"/>
          <w:sz w:val="24"/>
          <w:szCs w:val="24"/>
        </w:rPr>
        <w:t xml:space="preserve">and </w:t>
      </w:r>
      <w:r w:rsidRPr="00D20F56">
        <w:rPr>
          <w:rFonts w:ascii="Arial" w:hAnsi="Arial" w:cs="Arial"/>
          <w:sz w:val="24"/>
          <w:szCs w:val="24"/>
        </w:rPr>
        <w:t>Vallejo, and the Vallejo Flood &amp; Wastewater District, which have joined together to form the Solano Stormwater Alliance (Solano Permittees)</w:t>
      </w:r>
      <w:r w:rsidR="00681BB2">
        <w:rPr>
          <w:rFonts w:ascii="Arial" w:hAnsi="Arial" w:cs="Arial"/>
          <w:sz w:val="24"/>
          <w:szCs w:val="24"/>
        </w:rPr>
        <w:t>.</w:t>
      </w:r>
    </w:p>
    <w:p w14:paraId="0B3522ED" w14:textId="5633538C" w:rsidR="00CB273F" w:rsidRDefault="005876CF" w:rsidP="00265387">
      <w:pPr>
        <w:pStyle w:val="ListParagraph"/>
        <w:numPr>
          <w:ilvl w:val="0"/>
          <w:numId w:val="1"/>
        </w:numPr>
        <w:spacing w:after="120" w:line="240" w:lineRule="auto"/>
        <w:ind w:left="360"/>
        <w:contextualSpacing w:val="0"/>
        <w:rPr>
          <w:rFonts w:ascii="Arial" w:hAnsi="Arial" w:cs="Arial"/>
          <w:sz w:val="24"/>
          <w:szCs w:val="24"/>
        </w:rPr>
      </w:pPr>
      <w:r>
        <w:rPr>
          <w:rFonts w:ascii="Arial" w:hAnsi="Arial" w:cs="Arial"/>
          <w:sz w:val="24"/>
          <w:szCs w:val="24"/>
        </w:rPr>
        <w:t xml:space="preserve">At the </w:t>
      </w:r>
      <w:r w:rsidR="00D04529">
        <w:rPr>
          <w:rFonts w:ascii="Arial" w:hAnsi="Arial" w:cs="Arial"/>
          <w:sz w:val="24"/>
          <w:szCs w:val="24"/>
        </w:rPr>
        <w:t>May 11, 2022, hearing</w:t>
      </w:r>
      <w:r w:rsidR="006261A6">
        <w:rPr>
          <w:rFonts w:ascii="Arial" w:hAnsi="Arial" w:cs="Arial"/>
          <w:sz w:val="24"/>
          <w:szCs w:val="24"/>
        </w:rPr>
        <w:t>,</w:t>
      </w:r>
      <w:r>
        <w:rPr>
          <w:rFonts w:ascii="Arial" w:hAnsi="Arial" w:cs="Arial"/>
          <w:sz w:val="24"/>
          <w:szCs w:val="24"/>
        </w:rPr>
        <w:t xml:space="preserve"> </w:t>
      </w:r>
      <w:r w:rsidR="00464EA9">
        <w:rPr>
          <w:rFonts w:ascii="Arial" w:hAnsi="Arial" w:cs="Arial"/>
          <w:sz w:val="24"/>
          <w:szCs w:val="24"/>
        </w:rPr>
        <w:t xml:space="preserve">the </w:t>
      </w:r>
      <w:r w:rsidR="00A805E7">
        <w:rPr>
          <w:rFonts w:ascii="Arial" w:hAnsi="Arial" w:cs="Arial"/>
          <w:sz w:val="24"/>
          <w:szCs w:val="24"/>
        </w:rPr>
        <w:t xml:space="preserve">Water Board directed Water Board </w:t>
      </w:r>
      <w:r w:rsidR="00C50520">
        <w:rPr>
          <w:rFonts w:ascii="Arial" w:hAnsi="Arial" w:cs="Arial"/>
          <w:sz w:val="24"/>
          <w:szCs w:val="24"/>
        </w:rPr>
        <w:t>s</w:t>
      </w:r>
      <w:r w:rsidR="00A805E7">
        <w:rPr>
          <w:rFonts w:ascii="Arial" w:hAnsi="Arial" w:cs="Arial"/>
          <w:sz w:val="24"/>
          <w:szCs w:val="24"/>
        </w:rPr>
        <w:t>taff</w:t>
      </w:r>
      <w:r w:rsidR="0034304C">
        <w:rPr>
          <w:rFonts w:ascii="Arial" w:hAnsi="Arial" w:cs="Arial"/>
          <w:sz w:val="24"/>
          <w:szCs w:val="24"/>
        </w:rPr>
        <w:t xml:space="preserve"> </w:t>
      </w:r>
      <w:r w:rsidR="00CE53BB">
        <w:rPr>
          <w:rFonts w:ascii="Arial" w:hAnsi="Arial" w:cs="Arial"/>
          <w:sz w:val="24"/>
          <w:szCs w:val="24"/>
        </w:rPr>
        <w:t xml:space="preserve">to </w:t>
      </w:r>
      <w:r w:rsidR="00F60433">
        <w:rPr>
          <w:rFonts w:ascii="Arial" w:hAnsi="Arial" w:cs="Arial"/>
          <w:sz w:val="24"/>
          <w:szCs w:val="24"/>
        </w:rPr>
        <w:t xml:space="preserve">report </w:t>
      </w:r>
      <w:r w:rsidR="003630EB">
        <w:rPr>
          <w:rFonts w:ascii="Arial" w:hAnsi="Arial" w:cs="Arial"/>
          <w:sz w:val="24"/>
          <w:szCs w:val="24"/>
        </w:rPr>
        <w:t xml:space="preserve">back to the Board on </w:t>
      </w:r>
      <w:r w:rsidR="00E43846">
        <w:rPr>
          <w:rFonts w:ascii="Arial" w:hAnsi="Arial" w:cs="Arial"/>
          <w:sz w:val="24"/>
          <w:szCs w:val="24"/>
        </w:rPr>
        <w:t xml:space="preserve">certain </w:t>
      </w:r>
      <w:r w:rsidR="00ED739C">
        <w:rPr>
          <w:rFonts w:ascii="Arial" w:hAnsi="Arial" w:cs="Arial"/>
          <w:sz w:val="24"/>
          <w:szCs w:val="24"/>
        </w:rPr>
        <w:t xml:space="preserve">Permit topics </w:t>
      </w:r>
      <w:r w:rsidR="00443DF6">
        <w:rPr>
          <w:rFonts w:ascii="Arial" w:hAnsi="Arial" w:cs="Arial"/>
          <w:sz w:val="24"/>
          <w:szCs w:val="24"/>
        </w:rPr>
        <w:t xml:space="preserve">such as </w:t>
      </w:r>
      <w:r w:rsidR="00ED739C">
        <w:rPr>
          <w:rFonts w:ascii="Arial" w:hAnsi="Arial" w:cs="Arial"/>
          <w:sz w:val="24"/>
          <w:szCs w:val="24"/>
        </w:rPr>
        <w:t xml:space="preserve">including </w:t>
      </w:r>
      <w:r w:rsidR="00F734AF">
        <w:rPr>
          <w:rFonts w:ascii="Arial" w:hAnsi="Arial" w:cs="Arial"/>
          <w:sz w:val="24"/>
          <w:szCs w:val="24"/>
        </w:rPr>
        <w:t>alternat</w:t>
      </w:r>
      <w:r w:rsidR="009227F3">
        <w:rPr>
          <w:rFonts w:ascii="Arial" w:hAnsi="Arial" w:cs="Arial"/>
          <w:sz w:val="24"/>
          <w:szCs w:val="24"/>
        </w:rPr>
        <w:t>iv</w:t>
      </w:r>
      <w:r w:rsidR="00F734AF">
        <w:rPr>
          <w:rFonts w:ascii="Arial" w:hAnsi="Arial" w:cs="Arial"/>
          <w:sz w:val="24"/>
          <w:szCs w:val="24"/>
        </w:rPr>
        <w:t xml:space="preserve">e treatment </w:t>
      </w:r>
      <w:r w:rsidR="008167E2">
        <w:rPr>
          <w:rFonts w:ascii="Arial" w:hAnsi="Arial" w:cs="Arial"/>
          <w:sz w:val="24"/>
          <w:szCs w:val="24"/>
        </w:rPr>
        <w:t xml:space="preserve">or </w:t>
      </w:r>
      <w:r w:rsidR="004F2E2C">
        <w:rPr>
          <w:rFonts w:ascii="Arial" w:hAnsi="Arial" w:cs="Arial"/>
          <w:sz w:val="24"/>
          <w:szCs w:val="24"/>
        </w:rPr>
        <w:t>low impact development</w:t>
      </w:r>
      <w:r w:rsidR="00023D4D">
        <w:rPr>
          <w:rFonts w:ascii="Arial" w:hAnsi="Arial" w:cs="Arial"/>
          <w:sz w:val="24"/>
          <w:szCs w:val="24"/>
        </w:rPr>
        <w:t xml:space="preserve"> </w:t>
      </w:r>
      <w:r w:rsidR="00B07C66">
        <w:rPr>
          <w:rFonts w:ascii="Arial" w:hAnsi="Arial" w:cs="Arial"/>
          <w:sz w:val="24"/>
          <w:szCs w:val="24"/>
        </w:rPr>
        <w:t xml:space="preserve">(LID) </w:t>
      </w:r>
      <w:r w:rsidR="00106FB0">
        <w:rPr>
          <w:rFonts w:ascii="Arial" w:hAnsi="Arial" w:cs="Arial"/>
          <w:sz w:val="24"/>
          <w:szCs w:val="24"/>
        </w:rPr>
        <w:t xml:space="preserve">measures </w:t>
      </w:r>
      <w:r w:rsidR="008167E2">
        <w:rPr>
          <w:rFonts w:ascii="Arial" w:hAnsi="Arial" w:cs="Arial"/>
          <w:sz w:val="24"/>
          <w:szCs w:val="24"/>
        </w:rPr>
        <w:t>in Regulated Projects</w:t>
      </w:r>
      <w:r w:rsidR="00D75552">
        <w:rPr>
          <w:rFonts w:ascii="Arial" w:hAnsi="Arial" w:cs="Arial"/>
          <w:sz w:val="24"/>
          <w:szCs w:val="24"/>
        </w:rPr>
        <w:t xml:space="preserve"> (</w:t>
      </w:r>
      <w:r w:rsidR="008167E2">
        <w:rPr>
          <w:rFonts w:ascii="Arial" w:hAnsi="Arial" w:cs="Arial"/>
          <w:sz w:val="24"/>
          <w:szCs w:val="24"/>
        </w:rPr>
        <w:t>as that term i</w:t>
      </w:r>
      <w:r w:rsidR="009E7343">
        <w:rPr>
          <w:rFonts w:ascii="Arial" w:hAnsi="Arial" w:cs="Arial"/>
          <w:sz w:val="24"/>
          <w:szCs w:val="24"/>
        </w:rPr>
        <w:t>s</w:t>
      </w:r>
      <w:r w:rsidR="008167E2">
        <w:rPr>
          <w:rFonts w:ascii="Arial" w:hAnsi="Arial" w:cs="Arial"/>
          <w:sz w:val="24"/>
          <w:szCs w:val="24"/>
        </w:rPr>
        <w:t xml:space="preserve"> defined in the Permit</w:t>
      </w:r>
      <w:r w:rsidR="00D75552">
        <w:rPr>
          <w:rFonts w:ascii="Arial" w:hAnsi="Arial" w:cs="Arial"/>
          <w:sz w:val="24"/>
          <w:szCs w:val="24"/>
        </w:rPr>
        <w:t>)</w:t>
      </w:r>
      <w:r w:rsidR="00503009">
        <w:rPr>
          <w:rFonts w:ascii="Arial" w:hAnsi="Arial" w:cs="Arial"/>
          <w:sz w:val="24"/>
          <w:szCs w:val="24"/>
        </w:rPr>
        <w:t xml:space="preserve"> </w:t>
      </w:r>
      <w:r w:rsidR="0083783E">
        <w:rPr>
          <w:rFonts w:ascii="Arial" w:hAnsi="Arial" w:cs="Arial"/>
          <w:sz w:val="24"/>
          <w:szCs w:val="24"/>
        </w:rPr>
        <w:t>and the impact</w:t>
      </w:r>
      <w:r w:rsidR="00B07C66">
        <w:rPr>
          <w:rFonts w:ascii="Arial" w:hAnsi="Arial" w:cs="Arial"/>
          <w:sz w:val="24"/>
          <w:szCs w:val="24"/>
        </w:rPr>
        <w:t>s, if any,</w:t>
      </w:r>
      <w:r w:rsidR="0083783E">
        <w:rPr>
          <w:rFonts w:ascii="Arial" w:hAnsi="Arial" w:cs="Arial"/>
          <w:sz w:val="24"/>
          <w:szCs w:val="24"/>
        </w:rPr>
        <w:t xml:space="preserve"> o</w:t>
      </w:r>
      <w:r w:rsidR="00957953">
        <w:rPr>
          <w:rFonts w:ascii="Arial" w:hAnsi="Arial" w:cs="Arial"/>
          <w:sz w:val="24"/>
          <w:szCs w:val="24"/>
        </w:rPr>
        <w:t>n</w:t>
      </w:r>
      <w:r w:rsidR="0083783E">
        <w:rPr>
          <w:rFonts w:ascii="Arial" w:hAnsi="Arial" w:cs="Arial"/>
          <w:sz w:val="24"/>
          <w:szCs w:val="24"/>
        </w:rPr>
        <w:t xml:space="preserve"> the Permit’s </w:t>
      </w:r>
      <w:r w:rsidR="002E5944">
        <w:rPr>
          <w:rFonts w:ascii="Arial" w:hAnsi="Arial" w:cs="Arial"/>
          <w:sz w:val="24"/>
          <w:szCs w:val="24"/>
        </w:rPr>
        <w:t xml:space="preserve">Category C </w:t>
      </w:r>
      <w:r w:rsidR="009D6F0C">
        <w:rPr>
          <w:rFonts w:ascii="Arial" w:hAnsi="Arial" w:cs="Arial"/>
          <w:sz w:val="24"/>
          <w:szCs w:val="24"/>
        </w:rPr>
        <w:t xml:space="preserve">Special </w:t>
      </w:r>
      <w:r w:rsidR="0025754C">
        <w:rPr>
          <w:rFonts w:ascii="Arial" w:hAnsi="Arial" w:cs="Arial"/>
          <w:sz w:val="24"/>
          <w:szCs w:val="24"/>
        </w:rPr>
        <w:t xml:space="preserve">Project (Affordable Housing) </w:t>
      </w:r>
      <w:r w:rsidR="007B1FCB">
        <w:rPr>
          <w:rFonts w:ascii="Arial" w:hAnsi="Arial" w:cs="Arial"/>
          <w:sz w:val="24"/>
          <w:szCs w:val="24"/>
        </w:rPr>
        <w:t xml:space="preserve">LID </w:t>
      </w:r>
      <w:r w:rsidR="0087365F">
        <w:rPr>
          <w:rFonts w:ascii="Arial" w:hAnsi="Arial" w:cs="Arial"/>
          <w:sz w:val="24"/>
          <w:szCs w:val="24"/>
        </w:rPr>
        <w:t xml:space="preserve">credits </w:t>
      </w:r>
      <w:r w:rsidR="0025754C">
        <w:rPr>
          <w:rFonts w:ascii="Arial" w:hAnsi="Arial" w:cs="Arial"/>
          <w:sz w:val="24"/>
          <w:szCs w:val="24"/>
        </w:rPr>
        <w:t xml:space="preserve">on housing costs. </w:t>
      </w:r>
      <w:r w:rsidR="006B63A6">
        <w:rPr>
          <w:rFonts w:ascii="Arial" w:hAnsi="Arial" w:cs="Arial"/>
          <w:sz w:val="24"/>
          <w:szCs w:val="24"/>
        </w:rPr>
        <w:t xml:space="preserve"> </w:t>
      </w:r>
    </w:p>
    <w:p w14:paraId="18CC40D5" w14:textId="242EC9F3" w:rsidR="00CE3A01" w:rsidRPr="009A62A5" w:rsidRDefault="00C94566" w:rsidP="002170F4">
      <w:pPr>
        <w:pStyle w:val="ListParagraph"/>
        <w:numPr>
          <w:ilvl w:val="0"/>
          <w:numId w:val="1"/>
        </w:numPr>
        <w:spacing w:after="120" w:line="240" w:lineRule="auto"/>
        <w:ind w:left="360"/>
        <w:contextualSpacing w:val="0"/>
        <w:rPr>
          <w:rFonts w:ascii="Arial" w:hAnsi="Arial" w:cs="Arial"/>
          <w:sz w:val="24"/>
          <w:szCs w:val="24"/>
        </w:rPr>
      </w:pPr>
      <w:r w:rsidRPr="00C94566">
        <w:rPr>
          <w:rFonts w:ascii="Arial" w:hAnsi="Arial" w:cs="Arial"/>
          <w:sz w:val="24"/>
          <w:szCs w:val="24"/>
        </w:rPr>
        <w:t xml:space="preserve">Since the Permit’s adoption, Water Board staff convened numerous stakeholder meetings </w:t>
      </w:r>
      <w:r w:rsidR="00BD766F">
        <w:rPr>
          <w:rFonts w:ascii="Arial" w:hAnsi="Arial" w:cs="Arial"/>
          <w:sz w:val="24"/>
          <w:szCs w:val="24"/>
        </w:rPr>
        <w:t xml:space="preserve">and workgroups </w:t>
      </w:r>
      <w:r w:rsidRPr="00C94566">
        <w:rPr>
          <w:rFonts w:ascii="Arial" w:hAnsi="Arial" w:cs="Arial"/>
          <w:sz w:val="24"/>
          <w:szCs w:val="24"/>
        </w:rPr>
        <w:t xml:space="preserve">related to </w:t>
      </w:r>
      <w:r w:rsidR="00061B28">
        <w:rPr>
          <w:rFonts w:ascii="Arial" w:hAnsi="Arial" w:cs="Arial"/>
          <w:sz w:val="24"/>
          <w:szCs w:val="24"/>
        </w:rPr>
        <w:t xml:space="preserve">the Permit, including on </w:t>
      </w:r>
      <w:r w:rsidRPr="00C94566">
        <w:rPr>
          <w:rFonts w:ascii="Arial" w:hAnsi="Arial" w:cs="Arial"/>
          <w:sz w:val="24"/>
          <w:szCs w:val="24"/>
        </w:rPr>
        <w:t>alternative treatment systems and Category C Special Projects. Based on new information</w:t>
      </w:r>
      <w:r w:rsidR="007A60BA">
        <w:rPr>
          <w:rFonts w:ascii="Arial" w:hAnsi="Arial" w:cs="Arial"/>
          <w:sz w:val="24"/>
          <w:szCs w:val="24"/>
        </w:rPr>
        <w:t xml:space="preserve">, </w:t>
      </w:r>
      <w:r w:rsidRPr="00C94566">
        <w:rPr>
          <w:rFonts w:ascii="Arial" w:hAnsi="Arial" w:cs="Arial"/>
          <w:sz w:val="24"/>
          <w:szCs w:val="24"/>
        </w:rPr>
        <w:t xml:space="preserve">this </w:t>
      </w:r>
      <w:r w:rsidR="004A7B4C">
        <w:rPr>
          <w:rFonts w:ascii="Arial" w:hAnsi="Arial" w:cs="Arial"/>
          <w:sz w:val="24"/>
          <w:szCs w:val="24"/>
        </w:rPr>
        <w:t>Order amends the Permit</w:t>
      </w:r>
      <w:r w:rsidR="000F2BC3">
        <w:rPr>
          <w:rFonts w:ascii="Arial" w:hAnsi="Arial" w:cs="Arial"/>
          <w:sz w:val="24"/>
          <w:szCs w:val="24"/>
        </w:rPr>
        <w:t>. Specif</w:t>
      </w:r>
      <w:r w:rsidR="00FC3885">
        <w:rPr>
          <w:rFonts w:ascii="Arial" w:hAnsi="Arial" w:cs="Arial"/>
          <w:sz w:val="24"/>
          <w:szCs w:val="24"/>
        </w:rPr>
        <w:t xml:space="preserve">ically, </w:t>
      </w:r>
      <w:r w:rsidR="001E3C93">
        <w:rPr>
          <w:rFonts w:ascii="Arial" w:hAnsi="Arial" w:cs="Arial"/>
          <w:sz w:val="24"/>
          <w:szCs w:val="24"/>
        </w:rPr>
        <w:t xml:space="preserve">this Order </w:t>
      </w:r>
      <w:r w:rsidR="00024386" w:rsidRPr="00024386">
        <w:rPr>
          <w:rFonts w:ascii="Arial" w:hAnsi="Arial" w:cs="Arial"/>
          <w:sz w:val="24"/>
          <w:szCs w:val="24"/>
        </w:rPr>
        <w:t>add</w:t>
      </w:r>
      <w:r w:rsidR="00FC3885">
        <w:rPr>
          <w:rFonts w:ascii="Arial" w:hAnsi="Arial" w:cs="Arial"/>
          <w:sz w:val="24"/>
          <w:szCs w:val="24"/>
        </w:rPr>
        <w:t>s</w:t>
      </w:r>
      <w:r w:rsidR="004A7B4C">
        <w:rPr>
          <w:rFonts w:ascii="Arial" w:hAnsi="Arial" w:cs="Arial"/>
          <w:sz w:val="24"/>
          <w:szCs w:val="24"/>
        </w:rPr>
        <w:t xml:space="preserve"> </w:t>
      </w:r>
      <w:r w:rsidR="00024386" w:rsidRPr="00024386">
        <w:rPr>
          <w:rFonts w:ascii="Arial" w:hAnsi="Arial" w:cs="Arial"/>
          <w:sz w:val="24"/>
          <w:szCs w:val="24"/>
        </w:rPr>
        <w:t>Provision C.3.c.i.(2)(c)(iii)</w:t>
      </w:r>
      <w:r w:rsidR="00024386">
        <w:rPr>
          <w:rFonts w:ascii="Arial" w:hAnsi="Arial" w:cs="Arial"/>
          <w:sz w:val="24"/>
          <w:szCs w:val="24"/>
        </w:rPr>
        <w:t xml:space="preserve"> t</w:t>
      </w:r>
      <w:r w:rsidR="00536D9B">
        <w:rPr>
          <w:rFonts w:ascii="Arial" w:hAnsi="Arial" w:cs="Arial"/>
          <w:sz w:val="24"/>
          <w:szCs w:val="24"/>
        </w:rPr>
        <w:t xml:space="preserve">o </w:t>
      </w:r>
      <w:r w:rsidR="00032A71">
        <w:rPr>
          <w:rFonts w:ascii="Arial" w:hAnsi="Arial" w:cs="Arial"/>
          <w:sz w:val="24"/>
          <w:szCs w:val="24"/>
        </w:rPr>
        <w:t xml:space="preserve">the Permit to </w:t>
      </w:r>
      <w:r w:rsidR="00B54D23" w:rsidRPr="00397DFB">
        <w:rPr>
          <w:rFonts w:ascii="Arial" w:hAnsi="Arial" w:cs="Arial"/>
          <w:sz w:val="24"/>
          <w:szCs w:val="24"/>
        </w:rPr>
        <w:t xml:space="preserve">allow for </w:t>
      </w:r>
      <w:r w:rsidR="00547D0C">
        <w:rPr>
          <w:rFonts w:ascii="Arial" w:hAnsi="Arial" w:cs="Arial"/>
          <w:sz w:val="24"/>
          <w:szCs w:val="24"/>
        </w:rPr>
        <w:t xml:space="preserve">the </w:t>
      </w:r>
      <w:r w:rsidR="00B54D23" w:rsidRPr="00397DFB">
        <w:rPr>
          <w:rFonts w:ascii="Arial" w:hAnsi="Arial" w:cs="Arial"/>
          <w:sz w:val="24"/>
          <w:szCs w:val="24"/>
        </w:rPr>
        <w:t xml:space="preserve">implementation </w:t>
      </w:r>
      <w:r w:rsidR="009A36FC">
        <w:rPr>
          <w:rFonts w:ascii="Arial" w:hAnsi="Arial" w:cs="Arial"/>
          <w:sz w:val="24"/>
          <w:szCs w:val="24"/>
        </w:rPr>
        <w:t>o</w:t>
      </w:r>
      <w:r w:rsidR="00B54D23" w:rsidRPr="00397DFB">
        <w:rPr>
          <w:rFonts w:ascii="Arial" w:hAnsi="Arial" w:cs="Arial"/>
          <w:sz w:val="24"/>
          <w:szCs w:val="24"/>
        </w:rPr>
        <w:t xml:space="preserve">f </w:t>
      </w:r>
      <w:r w:rsidR="009A36FC">
        <w:rPr>
          <w:rFonts w:ascii="Arial" w:hAnsi="Arial" w:cs="Arial"/>
          <w:sz w:val="24"/>
          <w:szCs w:val="24"/>
        </w:rPr>
        <w:t>a</w:t>
      </w:r>
      <w:r w:rsidR="00B54D23" w:rsidRPr="00397DFB">
        <w:rPr>
          <w:rFonts w:ascii="Arial" w:hAnsi="Arial" w:cs="Arial"/>
          <w:sz w:val="24"/>
          <w:szCs w:val="24"/>
        </w:rPr>
        <w:t xml:space="preserve">lternative </w:t>
      </w:r>
      <w:r w:rsidR="009A36FC">
        <w:rPr>
          <w:rFonts w:ascii="Arial" w:hAnsi="Arial" w:cs="Arial"/>
          <w:sz w:val="24"/>
          <w:szCs w:val="24"/>
        </w:rPr>
        <w:t>t</w:t>
      </w:r>
      <w:r w:rsidR="00B54D23" w:rsidRPr="00397DFB">
        <w:rPr>
          <w:rFonts w:ascii="Arial" w:hAnsi="Arial" w:cs="Arial"/>
          <w:sz w:val="24"/>
          <w:szCs w:val="24"/>
        </w:rPr>
        <w:t xml:space="preserve">reatment </w:t>
      </w:r>
      <w:r w:rsidR="009A36FC">
        <w:rPr>
          <w:rFonts w:ascii="Arial" w:hAnsi="Arial" w:cs="Arial"/>
          <w:sz w:val="24"/>
          <w:szCs w:val="24"/>
        </w:rPr>
        <w:t>s</w:t>
      </w:r>
      <w:r w:rsidR="00B54D23" w:rsidRPr="00397DFB">
        <w:rPr>
          <w:rFonts w:ascii="Arial" w:hAnsi="Arial" w:cs="Arial"/>
          <w:sz w:val="24"/>
          <w:szCs w:val="24"/>
        </w:rPr>
        <w:t xml:space="preserve">ystems </w:t>
      </w:r>
      <w:r w:rsidR="00165FBC">
        <w:rPr>
          <w:rFonts w:ascii="Arial" w:hAnsi="Arial" w:cs="Arial"/>
          <w:sz w:val="24"/>
          <w:szCs w:val="24"/>
        </w:rPr>
        <w:t xml:space="preserve">upon a demonstration of </w:t>
      </w:r>
      <w:r w:rsidR="00165FBC" w:rsidRPr="00165FBC">
        <w:rPr>
          <w:rFonts w:ascii="Arial" w:hAnsi="Arial" w:cs="Arial"/>
          <w:sz w:val="24"/>
          <w:szCs w:val="24"/>
        </w:rPr>
        <w:t>technical infeasibility of LID treatment systems and a demonstration of commensurate benefit</w:t>
      </w:r>
      <w:r w:rsidR="00E1728B">
        <w:rPr>
          <w:rFonts w:ascii="Arial" w:hAnsi="Arial" w:cs="Arial"/>
          <w:sz w:val="24"/>
          <w:szCs w:val="24"/>
        </w:rPr>
        <w:t>, among other requirements</w:t>
      </w:r>
      <w:r w:rsidR="008128A7">
        <w:rPr>
          <w:rFonts w:ascii="Arial" w:hAnsi="Arial" w:cs="Arial"/>
          <w:sz w:val="24"/>
          <w:szCs w:val="24"/>
        </w:rPr>
        <w:t xml:space="preserve">. </w:t>
      </w:r>
      <w:r w:rsidR="0038678D">
        <w:rPr>
          <w:rFonts w:ascii="Arial" w:hAnsi="Arial" w:cs="Arial"/>
          <w:sz w:val="24"/>
          <w:szCs w:val="24"/>
        </w:rPr>
        <w:t xml:space="preserve">This Order </w:t>
      </w:r>
      <w:r w:rsidR="003B660A">
        <w:rPr>
          <w:rFonts w:ascii="Arial" w:hAnsi="Arial" w:cs="Arial"/>
          <w:sz w:val="24"/>
          <w:szCs w:val="24"/>
        </w:rPr>
        <w:t xml:space="preserve">also </w:t>
      </w:r>
      <w:r w:rsidR="004E0968">
        <w:rPr>
          <w:rFonts w:ascii="Arial" w:hAnsi="Arial" w:cs="Arial"/>
          <w:sz w:val="24"/>
          <w:szCs w:val="24"/>
        </w:rPr>
        <w:t>amends</w:t>
      </w:r>
      <w:r w:rsidR="007D38CF">
        <w:rPr>
          <w:rFonts w:ascii="Arial" w:hAnsi="Arial" w:cs="Arial"/>
          <w:sz w:val="24"/>
          <w:szCs w:val="24"/>
        </w:rPr>
        <w:t xml:space="preserve"> </w:t>
      </w:r>
      <w:r w:rsidR="00C2026F">
        <w:rPr>
          <w:rFonts w:ascii="Arial" w:hAnsi="Arial" w:cs="Arial"/>
          <w:sz w:val="24"/>
          <w:szCs w:val="24"/>
        </w:rPr>
        <w:t xml:space="preserve">the </w:t>
      </w:r>
      <w:r w:rsidR="00C90875">
        <w:rPr>
          <w:rFonts w:ascii="Arial" w:hAnsi="Arial" w:cs="Arial"/>
          <w:sz w:val="24"/>
          <w:szCs w:val="24"/>
        </w:rPr>
        <w:t>Ca</w:t>
      </w:r>
      <w:r w:rsidR="00790FBD">
        <w:rPr>
          <w:rFonts w:ascii="Arial" w:hAnsi="Arial" w:cs="Arial"/>
          <w:sz w:val="24"/>
          <w:szCs w:val="24"/>
        </w:rPr>
        <w:t>tegor</w:t>
      </w:r>
      <w:r w:rsidR="00A85103">
        <w:rPr>
          <w:rFonts w:ascii="Arial" w:hAnsi="Arial" w:cs="Arial"/>
          <w:sz w:val="24"/>
          <w:szCs w:val="24"/>
        </w:rPr>
        <w:t xml:space="preserve">y C Special Projects </w:t>
      </w:r>
      <w:r w:rsidR="00C2026F">
        <w:rPr>
          <w:rFonts w:ascii="Arial" w:hAnsi="Arial" w:cs="Arial"/>
          <w:sz w:val="24"/>
          <w:szCs w:val="24"/>
        </w:rPr>
        <w:t xml:space="preserve">Provision </w:t>
      </w:r>
      <w:r w:rsidR="00032A71">
        <w:rPr>
          <w:rFonts w:ascii="Arial" w:hAnsi="Arial" w:cs="Arial"/>
          <w:sz w:val="24"/>
          <w:szCs w:val="24"/>
        </w:rPr>
        <w:t xml:space="preserve">of the Permit </w:t>
      </w:r>
      <w:r w:rsidR="007D38CF" w:rsidRPr="007D38CF">
        <w:rPr>
          <w:rFonts w:ascii="Arial" w:hAnsi="Arial" w:cs="Arial"/>
          <w:sz w:val="24"/>
          <w:szCs w:val="24"/>
        </w:rPr>
        <w:t>so that it better aligns with affordable housing projects built in the San Francisco Bay Region</w:t>
      </w:r>
      <w:r w:rsidR="007C0C5D">
        <w:rPr>
          <w:rFonts w:ascii="Arial" w:hAnsi="Arial" w:cs="Arial"/>
          <w:sz w:val="24"/>
          <w:szCs w:val="24"/>
        </w:rPr>
        <w:t xml:space="preserve"> by </w:t>
      </w:r>
      <w:r w:rsidR="0060745C">
        <w:rPr>
          <w:rFonts w:ascii="Arial" w:hAnsi="Arial" w:cs="Arial"/>
          <w:sz w:val="24"/>
          <w:szCs w:val="24"/>
        </w:rPr>
        <w:t>modif</w:t>
      </w:r>
      <w:r w:rsidR="007C0C5D">
        <w:rPr>
          <w:rFonts w:ascii="Arial" w:hAnsi="Arial" w:cs="Arial"/>
          <w:sz w:val="24"/>
          <w:szCs w:val="24"/>
        </w:rPr>
        <w:t xml:space="preserve">ying </w:t>
      </w:r>
      <w:r w:rsidR="0060745C" w:rsidRPr="0060745C">
        <w:rPr>
          <w:rFonts w:ascii="Arial" w:hAnsi="Arial" w:cs="Arial"/>
          <w:sz w:val="24"/>
          <w:szCs w:val="24"/>
        </w:rPr>
        <w:t>Provision C.3.e.ii.(5)</w:t>
      </w:r>
      <w:r w:rsidR="00426666">
        <w:rPr>
          <w:rFonts w:ascii="Arial" w:hAnsi="Arial" w:cs="Arial"/>
          <w:sz w:val="24"/>
          <w:szCs w:val="24"/>
        </w:rPr>
        <w:t>’s</w:t>
      </w:r>
      <w:r w:rsidR="005B6BDB">
        <w:rPr>
          <w:rFonts w:ascii="Arial" w:hAnsi="Arial" w:cs="Arial"/>
          <w:sz w:val="24"/>
          <w:szCs w:val="24"/>
        </w:rPr>
        <w:t xml:space="preserve"> method for calculating </w:t>
      </w:r>
      <w:r w:rsidR="00B57778">
        <w:rPr>
          <w:rFonts w:ascii="Arial" w:hAnsi="Arial" w:cs="Arial"/>
          <w:sz w:val="24"/>
          <w:szCs w:val="24"/>
        </w:rPr>
        <w:t xml:space="preserve">LID </w:t>
      </w:r>
      <w:r w:rsidR="00C12EC1">
        <w:rPr>
          <w:rFonts w:ascii="Arial" w:hAnsi="Arial" w:cs="Arial"/>
          <w:sz w:val="24"/>
          <w:szCs w:val="24"/>
        </w:rPr>
        <w:t xml:space="preserve">Affordable Housing </w:t>
      </w:r>
      <w:r w:rsidR="00F975A3">
        <w:rPr>
          <w:rFonts w:ascii="Arial" w:hAnsi="Arial" w:cs="Arial"/>
          <w:sz w:val="24"/>
          <w:szCs w:val="24"/>
        </w:rPr>
        <w:t>Credits</w:t>
      </w:r>
      <w:r w:rsidR="00D26515">
        <w:rPr>
          <w:rFonts w:ascii="Arial" w:hAnsi="Arial" w:cs="Arial"/>
          <w:sz w:val="24"/>
          <w:szCs w:val="24"/>
        </w:rPr>
        <w:t xml:space="preserve"> and </w:t>
      </w:r>
      <w:r w:rsidR="00A12FDF">
        <w:rPr>
          <w:rFonts w:ascii="Arial" w:hAnsi="Arial" w:cs="Arial"/>
          <w:sz w:val="24"/>
          <w:szCs w:val="24"/>
        </w:rPr>
        <w:t>mak</w:t>
      </w:r>
      <w:r w:rsidR="00681AD6">
        <w:rPr>
          <w:rFonts w:ascii="Arial" w:hAnsi="Arial" w:cs="Arial"/>
          <w:sz w:val="24"/>
          <w:szCs w:val="24"/>
        </w:rPr>
        <w:t>ing</w:t>
      </w:r>
      <w:r w:rsidR="00A12FDF">
        <w:rPr>
          <w:rFonts w:ascii="Arial" w:hAnsi="Arial" w:cs="Arial"/>
          <w:sz w:val="24"/>
          <w:szCs w:val="24"/>
        </w:rPr>
        <w:t xml:space="preserve"> </w:t>
      </w:r>
      <w:r w:rsidR="00D26515">
        <w:rPr>
          <w:rFonts w:ascii="Arial" w:hAnsi="Arial" w:cs="Arial"/>
          <w:sz w:val="24"/>
          <w:szCs w:val="24"/>
        </w:rPr>
        <w:t>related changes</w:t>
      </w:r>
      <w:r w:rsidR="00B57778">
        <w:rPr>
          <w:rFonts w:ascii="Arial" w:hAnsi="Arial" w:cs="Arial"/>
          <w:sz w:val="24"/>
          <w:szCs w:val="24"/>
        </w:rPr>
        <w:t>.</w:t>
      </w:r>
      <w:r w:rsidR="00426666">
        <w:rPr>
          <w:rFonts w:ascii="Arial" w:hAnsi="Arial" w:cs="Arial"/>
          <w:sz w:val="24"/>
          <w:szCs w:val="24"/>
        </w:rPr>
        <w:t xml:space="preserve"> </w:t>
      </w:r>
      <w:r w:rsidR="006E65A1">
        <w:rPr>
          <w:rFonts w:ascii="Arial" w:hAnsi="Arial" w:cs="Arial"/>
          <w:sz w:val="24"/>
          <w:szCs w:val="24"/>
        </w:rPr>
        <w:t xml:space="preserve">Further, </w:t>
      </w:r>
      <w:r w:rsidR="007F1B6F">
        <w:rPr>
          <w:rFonts w:ascii="Arial" w:hAnsi="Arial" w:cs="Arial"/>
          <w:sz w:val="24"/>
          <w:szCs w:val="24"/>
        </w:rPr>
        <w:t>the Order</w:t>
      </w:r>
      <w:r w:rsidR="006E65A1">
        <w:rPr>
          <w:rFonts w:ascii="Arial" w:hAnsi="Arial" w:cs="Arial"/>
          <w:sz w:val="24"/>
          <w:szCs w:val="24"/>
        </w:rPr>
        <w:t xml:space="preserve"> modifies </w:t>
      </w:r>
      <w:r w:rsidR="009937D8" w:rsidRPr="00006DBD">
        <w:rPr>
          <w:rFonts w:ascii="Arial" w:hAnsi="Arial" w:cs="Arial"/>
          <w:sz w:val="24"/>
          <w:szCs w:val="24"/>
        </w:rPr>
        <w:t xml:space="preserve">Section C.3.e.ii.(5) of </w:t>
      </w:r>
      <w:r w:rsidR="009937D8">
        <w:rPr>
          <w:rFonts w:ascii="Arial" w:hAnsi="Arial" w:cs="Arial"/>
          <w:sz w:val="24"/>
          <w:szCs w:val="24"/>
        </w:rPr>
        <w:t xml:space="preserve">Permit </w:t>
      </w:r>
      <w:r w:rsidR="009937D8" w:rsidRPr="00006DBD">
        <w:rPr>
          <w:rFonts w:ascii="Arial" w:hAnsi="Arial" w:cs="Arial"/>
          <w:sz w:val="24"/>
          <w:szCs w:val="24"/>
        </w:rPr>
        <w:t xml:space="preserve">Attachment A </w:t>
      </w:r>
      <w:r w:rsidR="009937D8">
        <w:rPr>
          <w:rFonts w:ascii="Arial" w:hAnsi="Arial" w:cs="Arial"/>
          <w:sz w:val="24"/>
          <w:szCs w:val="24"/>
        </w:rPr>
        <w:t>(Fact Sheet</w:t>
      </w:r>
      <w:r w:rsidR="62B60E53" w:rsidRPr="002170F4">
        <w:rPr>
          <w:rFonts w:ascii="Arial" w:hAnsi="Arial" w:cs="Arial"/>
          <w:sz w:val="24"/>
          <w:szCs w:val="24"/>
        </w:rPr>
        <w:t>)</w:t>
      </w:r>
      <w:r w:rsidR="482BF76F" w:rsidRPr="002170F4">
        <w:rPr>
          <w:rFonts w:ascii="Arial" w:hAnsi="Arial" w:cs="Arial"/>
          <w:sz w:val="24"/>
          <w:szCs w:val="24"/>
        </w:rPr>
        <w:t xml:space="preserve"> </w:t>
      </w:r>
      <w:r w:rsidR="000915A4">
        <w:rPr>
          <w:rFonts w:ascii="Arial" w:hAnsi="Arial" w:cs="Arial"/>
          <w:sz w:val="24"/>
          <w:szCs w:val="24"/>
        </w:rPr>
        <w:t xml:space="preserve">to </w:t>
      </w:r>
      <w:r w:rsidR="00A000E6">
        <w:rPr>
          <w:rFonts w:ascii="Arial" w:hAnsi="Arial" w:cs="Arial"/>
          <w:sz w:val="24"/>
          <w:szCs w:val="24"/>
        </w:rPr>
        <w:t>be consistent with</w:t>
      </w:r>
      <w:r w:rsidR="482BF76F" w:rsidRPr="002170F4">
        <w:rPr>
          <w:rFonts w:ascii="Arial" w:hAnsi="Arial" w:cs="Arial"/>
          <w:sz w:val="24"/>
          <w:szCs w:val="24"/>
        </w:rPr>
        <w:t xml:space="preserve"> the changes</w:t>
      </w:r>
      <w:r w:rsidR="00586F6B">
        <w:rPr>
          <w:rFonts w:ascii="Arial" w:hAnsi="Arial" w:cs="Arial"/>
          <w:sz w:val="24"/>
          <w:szCs w:val="24"/>
        </w:rPr>
        <w:t xml:space="preserve"> to the </w:t>
      </w:r>
      <w:r w:rsidR="007575CD">
        <w:rPr>
          <w:rFonts w:ascii="Arial" w:hAnsi="Arial" w:cs="Arial"/>
          <w:sz w:val="24"/>
          <w:szCs w:val="24"/>
        </w:rPr>
        <w:t>Category C Special Projects Provision</w:t>
      </w:r>
      <w:r w:rsidR="009937D8">
        <w:rPr>
          <w:rFonts w:ascii="Arial" w:hAnsi="Arial" w:cs="Arial"/>
          <w:sz w:val="24"/>
          <w:szCs w:val="24"/>
        </w:rPr>
        <w:t>.</w:t>
      </w:r>
      <w:r w:rsidR="006E65A1">
        <w:rPr>
          <w:rFonts w:ascii="Arial" w:hAnsi="Arial" w:cs="Arial"/>
          <w:sz w:val="24"/>
          <w:szCs w:val="24"/>
        </w:rPr>
        <w:t xml:space="preserve"> </w:t>
      </w:r>
    </w:p>
    <w:p w14:paraId="0B0995BC" w14:textId="649580DC" w:rsidR="006B0240" w:rsidRDefault="005B1DE4" w:rsidP="00265387">
      <w:pPr>
        <w:pStyle w:val="ListParagraph"/>
        <w:numPr>
          <w:ilvl w:val="0"/>
          <w:numId w:val="1"/>
        </w:numPr>
        <w:spacing w:after="120" w:line="240" w:lineRule="auto"/>
        <w:ind w:left="360"/>
        <w:contextualSpacing w:val="0"/>
        <w:rPr>
          <w:rFonts w:ascii="Arial" w:hAnsi="Arial" w:cs="Arial"/>
          <w:sz w:val="24"/>
          <w:szCs w:val="24"/>
        </w:rPr>
      </w:pPr>
      <w:r w:rsidRPr="005B1DE4">
        <w:rPr>
          <w:rFonts w:ascii="Arial" w:hAnsi="Arial" w:cs="Arial"/>
          <w:sz w:val="24"/>
          <w:szCs w:val="24"/>
        </w:rPr>
        <w:t xml:space="preserve">The Fact Sheet </w:t>
      </w:r>
      <w:r w:rsidR="008778F7">
        <w:rPr>
          <w:rFonts w:ascii="Arial" w:hAnsi="Arial" w:cs="Arial"/>
          <w:sz w:val="24"/>
          <w:szCs w:val="24"/>
        </w:rPr>
        <w:t xml:space="preserve">for this Order </w:t>
      </w:r>
      <w:r w:rsidRPr="005B1DE4">
        <w:rPr>
          <w:rFonts w:ascii="Arial" w:hAnsi="Arial" w:cs="Arial"/>
          <w:sz w:val="24"/>
          <w:szCs w:val="24"/>
        </w:rPr>
        <w:t xml:space="preserve">(Attachment 1) contains background information and </w:t>
      </w:r>
      <w:r w:rsidR="00E52484">
        <w:rPr>
          <w:rFonts w:ascii="Arial" w:hAnsi="Arial" w:cs="Arial"/>
          <w:sz w:val="24"/>
          <w:szCs w:val="24"/>
        </w:rPr>
        <w:t xml:space="preserve">the </w:t>
      </w:r>
      <w:r w:rsidRPr="005B1DE4">
        <w:rPr>
          <w:rFonts w:ascii="Arial" w:hAnsi="Arial" w:cs="Arial"/>
          <w:sz w:val="24"/>
          <w:szCs w:val="24"/>
        </w:rPr>
        <w:t xml:space="preserve">rationale </w:t>
      </w:r>
      <w:r w:rsidR="00491B63">
        <w:rPr>
          <w:rFonts w:ascii="Arial" w:hAnsi="Arial" w:cs="Arial"/>
          <w:sz w:val="24"/>
          <w:szCs w:val="24"/>
        </w:rPr>
        <w:t xml:space="preserve">and basis </w:t>
      </w:r>
      <w:r w:rsidRPr="005B1DE4">
        <w:rPr>
          <w:rFonts w:ascii="Arial" w:hAnsi="Arial" w:cs="Arial"/>
          <w:sz w:val="24"/>
          <w:szCs w:val="24"/>
        </w:rPr>
        <w:t>for this Order’s requirements</w:t>
      </w:r>
      <w:r w:rsidR="001D69C9">
        <w:rPr>
          <w:rFonts w:ascii="Arial" w:hAnsi="Arial" w:cs="Arial"/>
          <w:sz w:val="24"/>
          <w:szCs w:val="24"/>
        </w:rPr>
        <w:t xml:space="preserve">. It is </w:t>
      </w:r>
      <w:r w:rsidRPr="005B1DE4">
        <w:rPr>
          <w:rFonts w:ascii="Arial" w:hAnsi="Arial" w:cs="Arial"/>
          <w:sz w:val="24"/>
          <w:szCs w:val="24"/>
        </w:rPr>
        <w:t xml:space="preserve">hereby incorporated into </w:t>
      </w:r>
      <w:r w:rsidR="00874148">
        <w:rPr>
          <w:rFonts w:ascii="Arial" w:hAnsi="Arial" w:cs="Arial"/>
          <w:sz w:val="24"/>
          <w:szCs w:val="24"/>
        </w:rPr>
        <w:t xml:space="preserve">this Order by reference </w:t>
      </w:r>
      <w:r w:rsidRPr="005B1DE4">
        <w:rPr>
          <w:rFonts w:ascii="Arial" w:hAnsi="Arial" w:cs="Arial"/>
          <w:sz w:val="24"/>
          <w:szCs w:val="24"/>
        </w:rPr>
        <w:t>and constitutes findings for this Order</w:t>
      </w:r>
      <w:r>
        <w:rPr>
          <w:rFonts w:ascii="Arial" w:hAnsi="Arial" w:cs="Arial"/>
          <w:sz w:val="24"/>
          <w:szCs w:val="24"/>
        </w:rPr>
        <w:t>.</w:t>
      </w:r>
    </w:p>
    <w:p w14:paraId="72D9A66E" w14:textId="0FDC38C9" w:rsidR="00A3491A" w:rsidRPr="00A3491A" w:rsidRDefault="00662E21" w:rsidP="00265387">
      <w:pPr>
        <w:pStyle w:val="ListParagraph"/>
        <w:numPr>
          <w:ilvl w:val="0"/>
          <w:numId w:val="1"/>
        </w:numPr>
        <w:spacing w:after="120" w:line="240" w:lineRule="auto"/>
        <w:ind w:left="360"/>
        <w:contextualSpacing w:val="0"/>
        <w:rPr>
          <w:rFonts w:ascii="Arial" w:hAnsi="Arial" w:cs="Arial"/>
          <w:sz w:val="24"/>
          <w:szCs w:val="24"/>
        </w:rPr>
      </w:pPr>
      <w:r>
        <w:rPr>
          <w:rFonts w:ascii="Arial" w:hAnsi="Arial" w:cs="Arial"/>
          <w:sz w:val="24"/>
          <w:szCs w:val="24"/>
        </w:rPr>
        <w:t>T</w:t>
      </w:r>
      <w:r w:rsidRPr="00662E21">
        <w:rPr>
          <w:rFonts w:ascii="Arial" w:hAnsi="Arial" w:cs="Arial"/>
          <w:sz w:val="24"/>
          <w:szCs w:val="24"/>
        </w:rPr>
        <w:t xml:space="preserve">his </w:t>
      </w:r>
      <w:r>
        <w:rPr>
          <w:rFonts w:ascii="Arial" w:hAnsi="Arial" w:cs="Arial"/>
          <w:sz w:val="24"/>
          <w:szCs w:val="24"/>
        </w:rPr>
        <w:t>Order</w:t>
      </w:r>
      <w:r w:rsidR="0041640B">
        <w:rPr>
          <w:rFonts w:ascii="Arial" w:hAnsi="Arial" w:cs="Arial"/>
          <w:sz w:val="24"/>
          <w:szCs w:val="24"/>
        </w:rPr>
        <w:t xml:space="preserve"> </w:t>
      </w:r>
      <w:r w:rsidRPr="00662E21">
        <w:rPr>
          <w:rFonts w:ascii="Arial" w:hAnsi="Arial" w:cs="Arial"/>
          <w:sz w:val="24"/>
          <w:szCs w:val="24"/>
        </w:rPr>
        <w:t>is exempt from the provisions of the California Environmental Quality Act</w:t>
      </w:r>
      <w:r w:rsidR="0041640B">
        <w:rPr>
          <w:rFonts w:ascii="Arial" w:hAnsi="Arial" w:cs="Arial"/>
          <w:sz w:val="24"/>
          <w:szCs w:val="24"/>
        </w:rPr>
        <w:t xml:space="preserve"> </w:t>
      </w:r>
      <w:r w:rsidR="0041640B" w:rsidRPr="006D765B">
        <w:rPr>
          <w:rFonts w:ascii="Arial" w:hAnsi="Arial" w:cs="Arial"/>
          <w:sz w:val="24"/>
          <w:szCs w:val="24"/>
        </w:rPr>
        <w:t>p</w:t>
      </w:r>
      <w:r w:rsidR="008705B5" w:rsidRPr="006D765B">
        <w:rPr>
          <w:rFonts w:ascii="Arial" w:hAnsi="Arial" w:cs="Arial"/>
          <w:sz w:val="24"/>
          <w:szCs w:val="24"/>
        </w:rPr>
        <w:t xml:space="preserve">ursuant to Water Code </w:t>
      </w:r>
      <w:r w:rsidR="00D85DDB">
        <w:rPr>
          <w:rFonts w:ascii="Arial" w:hAnsi="Arial" w:cs="Arial"/>
          <w:sz w:val="24"/>
          <w:szCs w:val="24"/>
        </w:rPr>
        <w:t xml:space="preserve">section </w:t>
      </w:r>
      <w:r w:rsidR="008705B5" w:rsidRPr="006D765B">
        <w:rPr>
          <w:rFonts w:ascii="Arial" w:hAnsi="Arial" w:cs="Arial"/>
          <w:sz w:val="24"/>
          <w:szCs w:val="24"/>
        </w:rPr>
        <w:t>13389</w:t>
      </w:r>
      <w:r w:rsidR="0041640B">
        <w:rPr>
          <w:rFonts w:ascii="Arial" w:hAnsi="Arial" w:cs="Arial"/>
          <w:sz w:val="24"/>
          <w:szCs w:val="24"/>
        </w:rPr>
        <w:t>.</w:t>
      </w:r>
      <w:r w:rsidR="00CF7938" w:rsidRPr="00BC2289">
        <w:rPr>
          <w:rFonts w:ascii="Arial" w:hAnsi="Arial" w:cs="Arial"/>
        </w:rPr>
        <w:t xml:space="preserve"> </w:t>
      </w:r>
      <w:r w:rsidR="009A008D">
        <w:rPr>
          <w:rFonts w:ascii="Arial" w:hAnsi="Arial" w:cs="Arial"/>
          <w:sz w:val="24"/>
          <w:szCs w:val="24"/>
        </w:rPr>
        <w:t xml:space="preserve">This Order does not </w:t>
      </w:r>
      <w:r w:rsidR="00D31839">
        <w:rPr>
          <w:rFonts w:ascii="Arial" w:hAnsi="Arial" w:cs="Arial"/>
          <w:sz w:val="24"/>
          <w:szCs w:val="24"/>
        </w:rPr>
        <w:t>cover</w:t>
      </w:r>
      <w:r w:rsidR="00CF7938" w:rsidRPr="00CF7938">
        <w:rPr>
          <w:rFonts w:ascii="Arial" w:hAnsi="Arial" w:cs="Arial"/>
          <w:sz w:val="24"/>
          <w:szCs w:val="24"/>
        </w:rPr>
        <w:t xml:space="preserve"> new sources as defined by the federal Clean Water Act </w:t>
      </w:r>
      <w:r w:rsidR="006A0799">
        <w:rPr>
          <w:rFonts w:ascii="Arial" w:hAnsi="Arial" w:cs="Arial"/>
          <w:sz w:val="24"/>
          <w:szCs w:val="24"/>
        </w:rPr>
        <w:t xml:space="preserve">(CWA) </w:t>
      </w:r>
      <w:r w:rsidR="00CF7938" w:rsidRPr="00CF7938">
        <w:rPr>
          <w:rFonts w:ascii="Arial" w:hAnsi="Arial" w:cs="Arial"/>
          <w:sz w:val="24"/>
          <w:szCs w:val="24"/>
        </w:rPr>
        <w:t xml:space="preserve">(i.e., sources constructed after </w:t>
      </w:r>
      <w:r w:rsidR="006A0799">
        <w:rPr>
          <w:rFonts w:ascii="Arial" w:hAnsi="Arial" w:cs="Arial"/>
          <w:sz w:val="24"/>
          <w:szCs w:val="24"/>
        </w:rPr>
        <w:t>n</w:t>
      </w:r>
      <w:r w:rsidR="00CF7938" w:rsidRPr="00CF7938">
        <w:rPr>
          <w:rFonts w:ascii="Arial" w:hAnsi="Arial" w:cs="Arial"/>
          <w:sz w:val="24"/>
          <w:szCs w:val="24"/>
        </w:rPr>
        <w:t xml:space="preserve">ew </w:t>
      </w:r>
      <w:r w:rsidR="006A0799">
        <w:rPr>
          <w:rFonts w:ascii="Arial" w:hAnsi="Arial" w:cs="Arial"/>
          <w:sz w:val="24"/>
          <w:szCs w:val="24"/>
        </w:rPr>
        <w:t>s</w:t>
      </w:r>
      <w:r w:rsidR="00CF7938" w:rsidRPr="00CF7938">
        <w:rPr>
          <w:rFonts w:ascii="Arial" w:hAnsi="Arial" w:cs="Arial"/>
          <w:sz w:val="24"/>
          <w:szCs w:val="24"/>
        </w:rPr>
        <w:t xml:space="preserve">ource </w:t>
      </w:r>
      <w:r w:rsidR="006A0799">
        <w:rPr>
          <w:rFonts w:ascii="Arial" w:hAnsi="Arial" w:cs="Arial"/>
          <w:sz w:val="24"/>
          <w:szCs w:val="24"/>
        </w:rPr>
        <w:t>p</w:t>
      </w:r>
      <w:r w:rsidR="00CF7938" w:rsidRPr="00CF7938">
        <w:rPr>
          <w:rFonts w:ascii="Arial" w:hAnsi="Arial" w:cs="Arial"/>
          <w:sz w:val="24"/>
          <w:szCs w:val="24"/>
        </w:rPr>
        <w:t xml:space="preserve">erformance </w:t>
      </w:r>
      <w:r w:rsidR="006A0799">
        <w:rPr>
          <w:rFonts w:ascii="Arial" w:hAnsi="Arial" w:cs="Arial"/>
          <w:sz w:val="24"/>
          <w:szCs w:val="24"/>
        </w:rPr>
        <w:t>s</w:t>
      </w:r>
      <w:r w:rsidR="00CF7938" w:rsidRPr="00CF7938">
        <w:rPr>
          <w:rFonts w:ascii="Arial" w:hAnsi="Arial" w:cs="Arial"/>
          <w:sz w:val="24"/>
          <w:szCs w:val="24"/>
        </w:rPr>
        <w:t>tandards were published</w:t>
      </w:r>
      <w:r w:rsidR="006A0799">
        <w:rPr>
          <w:rFonts w:ascii="Arial" w:hAnsi="Arial" w:cs="Arial"/>
          <w:sz w:val="24"/>
          <w:szCs w:val="24"/>
        </w:rPr>
        <w:t xml:space="preserve">). </w:t>
      </w:r>
    </w:p>
    <w:p w14:paraId="2D848CA8" w14:textId="68152374" w:rsidR="00532FE8" w:rsidRPr="00C5168D" w:rsidRDefault="00A3491A" w:rsidP="06205A1B">
      <w:pPr>
        <w:pStyle w:val="ListParagraph"/>
        <w:numPr>
          <w:ilvl w:val="0"/>
          <w:numId w:val="1"/>
        </w:numPr>
        <w:spacing w:after="120" w:line="240" w:lineRule="auto"/>
        <w:ind w:left="360"/>
        <w:contextualSpacing w:val="0"/>
        <w:rPr>
          <w:rFonts w:ascii="Arial" w:hAnsi="Arial" w:cs="Arial"/>
          <w:sz w:val="24"/>
          <w:szCs w:val="24"/>
        </w:rPr>
      </w:pPr>
      <w:r w:rsidRPr="00E21993">
        <w:rPr>
          <w:rFonts w:ascii="Arial" w:hAnsi="Arial" w:cs="Arial"/>
          <w:sz w:val="24"/>
          <w:szCs w:val="24"/>
        </w:rPr>
        <w:t xml:space="preserve">Pursuant to Water Code section 13149.2, the Water Board has considered readily available information concerning potential water quality impacts in disadvantaged </w:t>
      </w:r>
      <w:r w:rsidR="00DA239E" w:rsidRPr="00E21993">
        <w:rPr>
          <w:rFonts w:ascii="Arial" w:hAnsi="Arial" w:cs="Arial"/>
          <w:sz w:val="24"/>
          <w:szCs w:val="24"/>
        </w:rPr>
        <w:t xml:space="preserve">communities and </w:t>
      </w:r>
      <w:r w:rsidRPr="00E21993">
        <w:rPr>
          <w:rFonts w:ascii="Arial" w:hAnsi="Arial" w:cs="Arial"/>
          <w:sz w:val="24"/>
          <w:szCs w:val="24"/>
        </w:rPr>
        <w:t xml:space="preserve">tribal communities that may result from the adoption of this Order. </w:t>
      </w:r>
      <w:r w:rsidR="00AE132A">
        <w:rPr>
          <w:rFonts w:ascii="Arial" w:hAnsi="Arial" w:cs="Arial"/>
          <w:sz w:val="24"/>
          <w:szCs w:val="24"/>
        </w:rPr>
        <w:t xml:space="preserve">As described </w:t>
      </w:r>
      <w:r w:rsidR="002D6708">
        <w:rPr>
          <w:rFonts w:ascii="Arial" w:hAnsi="Arial" w:cs="Arial"/>
          <w:sz w:val="24"/>
          <w:szCs w:val="24"/>
        </w:rPr>
        <w:t>in Finding 3</w:t>
      </w:r>
      <w:r w:rsidR="00AE132A">
        <w:rPr>
          <w:rFonts w:ascii="Arial" w:hAnsi="Arial" w:cs="Arial"/>
          <w:sz w:val="24"/>
          <w:szCs w:val="24"/>
        </w:rPr>
        <w:t xml:space="preserve">, this Order makes </w:t>
      </w:r>
      <w:r w:rsidR="009A1F92">
        <w:rPr>
          <w:rFonts w:ascii="Arial" w:hAnsi="Arial" w:cs="Arial"/>
          <w:sz w:val="24"/>
          <w:szCs w:val="24"/>
        </w:rPr>
        <w:t>modifications</w:t>
      </w:r>
      <w:r w:rsidR="00AE132A">
        <w:rPr>
          <w:rFonts w:ascii="Arial" w:hAnsi="Arial" w:cs="Arial"/>
          <w:sz w:val="24"/>
          <w:szCs w:val="24"/>
        </w:rPr>
        <w:t xml:space="preserve"> to the Permit. </w:t>
      </w:r>
      <w:r w:rsidR="001D28EE">
        <w:rPr>
          <w:rFonts w:ascii="Arial" w:hAnsi="Arial" w:cs="Arial"/>
          <w:sz w:val="24"/>
          <w:szCs w:val="24"/>
        </w:rPr>
        <w:t>The authorization of</w:t>
      </w:r>
      <w:r w:rsidR="001D28EE" w:rsidRPr="000206C7">
        <w:rPr>
          <w:rFonts w:ascii="Arial" w:hAnsi="Arial" w:cs="Arial"/>
          <w:sz w:val="24"/>
          <w:szCs w:val="24"/>
        </w:rPr>
        <w:t xml:space="preserve"> alternative treatment systems</w:t>
      </w:r>
      <w:r w:rsidR="001D28EE" w:rsidRPr="001D28EE">
        <w:rPr>
          <w:rFonts w:ascii="Arial" w:hAnsi="Arial" w:cs="Arial"/>
          <w:sz w:val="24"/>
          <w:szCs w:val="24"/>
        </w:rPr>
        <w:t xml:space="preserve"> </w:t>
      </w:r>
      <w:r w:rsidR="001D28EE">
        <w:rPr>
          <w:rFonts w:ascii="Arial" w:hAnsi="Arial" w:cs="Arial"/>
          <w:sz w:val="24"/>
          <w:szCs w:val="24"/>
        </w:rPr>
        <w:t xml:space="preserve">and the </w:t>
      </w:r>
      <w:r w:rsidR="001D28EE" w:rsidRPr="001D28EE">
        <w:rPr>
          <w:rFonts w:ascii="Arial" w:hAnsi="Arial" w:cs="Arial"/>
          <w:sz w:val="24"/>
          <w:szCs w:val="24"/>
        </w:rPr>
        <w:t>modification to the Permit’s Category C Special Projects</w:t>
      </w:r>
      <w:r w:rsidR="001D28EE" w:rsidRPr="000206C7">
        <w:rPr>
          <w:rFonts w:ascii="Arial" w:hAnsi="Arial" w:cs="Arial"/>
          <w:sz w:val="24"/>
          <w:szCs w:val="24"/>
        </w:rPr>
        <w:t xml:space="preserve"> will not result </w:t>
      </w:r>
      <w:r w:rsidR="003E64C8" w:rsidRPr="00E21993">
        <w:rPr>
          <w:rFonts w:ascii="Arial" w:hAnsi="Arial" w:cs="Arial"/>
          <w:sz w:val="24"/>
          <w:szCs w:val="24"/>
        </w:rPr>
        <w:t xml:space="preserve">in </w:t>
      </w:r>
      <w:r w:rsidR="00C86324" w:rsidRPr="00E21993">
        <w:rPr>
          <w:rFonts w:ascii="Arial" w:hAnsi="Arial" w:cs="Arial"/>
          <w:sz w:val="24"/>
          <w:szCs w:val="24"/>
        </w:rPr>
        <w:t>water quality impacts</w:t>
      </w:r>
      <w:r w:rsidR="009B1E17">
        <w:rPr>
          <w:rFonts w:ascii="Arial" w:hAnsi="Arial" w:cs="Arial"/>
          <w:sz w:val="24"/>
          <w:szCs w:val="24"/>
        </w:rPr>
        <w:t>.</w:t>
      </w:r>
      <w:r w:rsidR="009A386C">
        <w:rPr>
          <w:rFonts w:ascii="Arial" w:hAnsi="Arial" w:cs="Arial"/>
          <w:sz w:val="24"/>
          <w:szCs w:val="24"/>
        </w:rPr>
        <w:t xml:space="preserve"> </w:t>
      </w:r>
      <w:r w:rsidR="009B1E17">
        <w:rPr>
          <w:rFonts w:ascii="Arial" w:hAnsi="Arial" w:cs="Arial"/>
          <w:sz w:val="24"/>
          <w:szCs w:val="24"/>
        </w:rPr>
        <w:t>T</w:t>
      </w:r>
      <w:r w:rsidR="00A50865">
        <w:rPr>
          <w:rFonts w:ascii="Arial" w:hAnsi="Arial" w:cs="Arial"/>
          <w:sz w:val="24"/>
          <w:szCs w:val="24"/>
        </w:rPr>
        <w:t xml:space="preserve">he modifications </w:t>
      </w:r>
      <w:proofErr w:type="gramStart"/>
      <w:r w:rsidR="00A50865">
        <w:rPr>
          <w:rFonts w:ascii="Arial" w:hAnsi="Arial" w:cs="Arial"/>
          <w:sz w:val="24"/>
          <w:szCs w:val="24"/>
        </w:rPr>
        <w:t>take into account</w:t>
      </w:r>
      <w:proofErr w:type="gramEnd"/>
      <w:r w:rsidR="00A50865">
        <w:rPr>
          <w:rFonts w:ascii="Arial" w:hAnsi="Arial" w:cs="Arial"/>
          <w:sz w:val="24"/>
          <w:szCs w:val="24"/>
        </w:rPr>
        <w:t xml:space="preserve"> </w:t>
      </w:r>
      <w:r w:rsidR="00D21680">
        <w:rPr>
          <w:rFonts w:ascii="Arial" w:hAnsi="Arial" w:cs="Arial"/>
          <w:sz w:val="24"/>
          <w:szCs w:val="24"/>
        </w:rPr>
        <w:t>potential</w:t>
      </w:r>
      <w:r w:rsidR="00300F6A">
        <w:rPr>
          <w:rFonts w:ascii="Arial" w:hAnsi="Arial" w:cs="Arial"/>
          <w:sz w:val="24"/>
          <w:szCs w:val="24"/>
        </w:rPr>
        <w:t xml:space="preserve"> water quality impacts and</w:t>
      </w:r>
      <w:r w:rsidR="005D464B">
        <w:rPr>
          <w:rFonts w:ascii="Arial" w:hAnsi="Arial" w:cs="Arial"/>
          <w:sz w:val="24"/>
          <w:szCs w:val="24"/>
        </w:rPr>
        <w:t xml:space="preserve"> in</w:t>
      </w:r>
      <w:r w:rsidR="00741B85">
        <w:rPr>
          <w:rFonts w:ascii="Arial" w:hAnsi="Arial" w:cs="Arial"/>
          <w:sz w:val="24"/>
          <w:szCs w:val="24"/>
        </w:rPr>
        <w:t xml:space="preserve">corporate measures to </w:t>
      </w:r>
      <w:r w:rsidR="00E737DD">
        <w:rPr>
          <w:rFonts w:ascii="Arial" w:hAnsi="Arial" w:cs="Arial"/>
          <w:sz w:val="24"/>
          <w:szCs w:val="24"/>
        </w:rPr>
        <w:t xml:space="preserve">protect water quality </w:t>
      </w:r>
      <w:r w:rsidR="00741B85">
        <w:rPr>
          <w:rFonts w:ascii="Arial" w:hAnsi="Arial" w:cs="Arial"/>
          <w:sz w:val="24"/>
          <w:szCs w:val="24"/>
        </w:rPr>
        <w:t>or otherwise provide offsetting water quality benefits</w:t>
      </w:r>
      <w:r w:rsidR="003F2BD2">
        <w:rPr>
          <w:rFonts w:ascii="Arial" w:hAnsi="Arial" w:cs="Arial"/>
          <w:sz w:val="24"/>
          <w:szCs w:val="24"/>
        </w:rPr>
        <w:t xml:space="preserve"> </w:t>
      </w:r>
      <w:r w:rsidR="00B1603B">
        <w:rPr>
          <w:rFonts w:ascii="Arial" w:hAnsi="Arial" w:cs="Arial"/>
          <w:sz w:val="24"/>
          <w:szCs w:val="24"/>
        </w:rPr>
        <w:t>(</w:t>
      </w:r>
      <w:r w:rsidR="002C4268">
        <w:rPr>
          <w:rFonts w:ascii="Arial" w:hAnsi="Arial" w:cs="Arial"/>
          <w:sz w:val="24"/>
          <w:szCs w:val="24"/>
        </w:rPr>
        <w:t>s</w:t>
      </w:r>
      <w:r w:rsidR="00273AFB">
        <w:rPr>
          <w:rFonts w:ascii="Arial" w:hAnsi="Arial" w:cs="Arial"/>
          <w:sz w:val="24"/>
          <w:szCs w:val="24"/>
        </w:rPr>
        <w:t xml:space="preserve">ee </w:t>
      </w:r>
      <w:r w:rsidR="002877B0">
        <w:rPr>
          <w:rFonts w:ascii="Arial" w:hAnsi="Arial" w:cs="Arial"/>
          <w:sz w:val="24"/>
          <w:szCs w:val="24"/>
        </w:rPr>
        <w:t xml:space="preserve">Attachment </w:t>
      </w:r>
      <w:r w:rsidR="006578E3">
        <w:rPr>
          <w:rFonts w:ascii="Arial" w:hAnsi="Arial" w:cs="Arial"/>
          <w:sz w:val="24"/>
          <w:szCs w:val="24"/>
        </w:rPr>
        <w:t>1</w:t>
      </w:r>
      <w:r w:rsidR="002877B0">
        <w:rPr>
          <w:rFonts w:ascii="Arial" w:hAnsi="Arial" w:cs="Arial"/>
          <w:sz w:val="24"/>
          <w:szCs w:val="24"/>
        </w:rPr>
        <w:t xml:space="preserve">, </w:t>
      </w:r>
      <w:r w:rsidR="002877B0" w:rsidRPr="00DD7255">
        <w:rPr>
          <w:rFonts w:ascii="Arial" w:hAnsi="Arial" w:cs="Arial"/>
          <w:sz w:val="24"/>
          <w:szCs w:val="24"/>
        </w:rPr>
        <w:t>p</w:t>
      </w:r>
      <w:r w:rsidR="00F16EDC" w:rsidRPr="00DD7255">
        <w:rPr>
          <w:rFonts w:ascii="Arial" w:hAnsi="Arial" w:cs="Arial"/>
          <w:sz w:val="24"/>
          <w:szCs w:val="24"/>
        </w:rPr>
        <w:t>p</w:t>
      </w:r>
      <w:r w:rsidR="002877B0" w:rsidRPr="00DD7255">
        <w:rPr>
          <w:rFonts w:ascii="Arial" w:hAnsi="Arial" w:cs="Arial"/>
          <w:sz w:val="24"/>
          <w:szCs w:val="24"/>
        </w:rPr>
        <w:t>. A-1</w:t>
      </w:r>
      <w:r w:rsidR="00DD7255" w:rsidRPr="00DD7255">
        <w:rPr>
          <w:rFonts w:ascii="Arial" w:hAnsi="Arial" w:cs="Arial"/>
          <w:sz w:val="24"/>
          <w:szCs w:val="24"/>
        </w:rPr>
        <w:t>8</w:t>
      </w:r>
      <w:r w:rsidR="00084A3E" w:rsidRPr="00DD7255">
        <w:rPr>
          <w:rFonts w:ascii="Arial" w:hAnsi="Arial" w:cs="Arial"/>
          <w:sz w:val="24"/>
          <w:szCs w:val="24"/>
        </w:rPr>
        <w:t xml:space="preserve"> to A-</w:t>
      </w:r>
      <w:r w:rsidR="00DF447F">
        <w:rPr>
          <w:rFonts w:ascii="Arial" w:hAnsi="Arial" w:cs="Arial"/>
          <w:sz w:val="24"/>
          <w:szCs w:val="24"/>
        </w:rPr>
        <w:t>19</w:t>
      </w:r>
      <w:r w:rsidR="006F2F41">
        <w:rPr>
          <w:rFonts w:ascii="Arial" w:hAnsi="Arial" w:cs="Arial"/>
          <w:sz w:val="24"/>
          <w:szCs w:val="24"/>
        </w:rPr>
        <w:t>, Antidegradation</w:t>
      </w:r>
      <w:r w:rsidR="002877B0">
        <w:rPr>
          <w:rFonts w:ascii="Arial" w:hAnsi="Arial" w:cs="Arial"/>
          <w:sz w:val="24"/>
          <w:szCs w:val="24"/>
        </w:rPr>
        <w:t>)</w:t>
      </w:r>
      <w:r w:rsidR="002C4268">
        <w:rPr>
          <w:rFonts w:ascii="Arial" w:hAnsi="Arial" w:cs="Arial"/>
          <w:sz w:val="24"/>
          <w:szCs w:val="24"/>
        </w:rPr>
        <w:t>.</w:t>
      </w:r>
    </w:p>
    <w:p w14:paraId="4BD15D1B" w14:textId="0E2AA49C" w:rsidR="000C79F9" w:rsidRPr="00F01366" w:rsidRDefault="00314FED" w:rsidP="00265387">
      <w:pPr>
        <w:pStyle w:val="ListParagraph"/>
        <w:numPr>
          <w:ilvl w:val="0"/>
          <w:numId w:val="1"/>
        </w:numPr>
        <w:spacing w:after="120" w:line="240" w:lineRule="auto"/>
        <w:ind w:left="360"/>
        <w:contextualSpacing w:val="0"/>
        <w:rPr>
          <w:rFonts w:ascii="Arial" w:hAnsi="Arial" w:cs="Arial"/>
          <w:sz w:val="24"/>
          <w:szCs w:val="24"/>
        </w:rPr>
      </w:pPr>
      <w:r w:rsidRPr="000C79F9">
        <w:rPr>
          <w:rFonts w:ascii="Arial" w:hAnsi="Arial" w:cs="Arial"/>
          <w:sz w:val="24"/>
          <w:szCs w:val="24"/>
        </w:rPr>
        <w:t xml:space="preserve">The Water Board notified the Permittees and interested agencies and persons of its intent to </w:t>
      </w:r>
      <w:r w:rsidR="00985EE6" w:rsidRPr="000C79F9">
        <w:rPr>
          <w:rFonts w:ascii="Arial" w:hAnsi="Arial" w:cs="Arial"/>
          <w:sz w:val="24"/>
          <w:szCs w:val="24"/>
        </w:rPr>
        <w:t xml:space="preserve">adopt this Order </w:t>
      </w:r>
      <w:r w:rsidR="006B5338">
        <w:rPr>
          <w:rFonts w:ascii="Arial" w:hAnsi="Arial" w:cs="Arial"/>
          <w:sz w:val="24"/>
          <w:szCs w:val="24"/>
        </w:rPr>
        <w:t>and</w:t>
      </w:r>
      <w:r w:rsidRPr="000C79F9">
        <w:rPr>
          <w:rFonts w:ascii="Arial" w:hAnsi="Arial" w:cs="Arial"/>
          <w:sz w:val="24"/>
          <w:szCs w:val="24"/>
        </w:rPr>
        <w:t xml:space="preserve"> provided an opportunity to submit written comments. </w:t>
      </w:r>
      <w:r w:rsidR="00B72B4F" w:rsidRPr="000C79F9">
        <w:rPr>
          <w:rFonts w:ascii="Arial" w:hAnsi="Arial" w:cs="Arial"/>
          <w:sz w:val="24"/>
          <w:szCs w:val="24"/>
        </w:rPr>
        <w:t>The Water Board also notified potentially affected disadvantaged</w:t>
      </w:r>
      <w:r w:rsidR="003F593E">
        <w:rPr>
          <w:rFonts w:ascii="Arial" w:hAnsi="Arial" w:cs="Arial"/>
          <w:sz w:val="24"/>
          <w:szCs w:val="24"/>
        </w:rPr>
        <w:t xml:space="preserve"> communities</w:t>
      </w:r>
      <w:r w:rsidR="00B72B4F" w:rsidRPr="000C79F9">
        <w:rPr>
          <w:rFonts w:ascii="Arial" w:hAnsi="Arial" w:cs="Arial"/>
          <w:sz w:val="24"/>
          <w:szCs w:val="24"/>
        </w:rPr>
        <w:t xml:space="preserve"> and tribal communities of this Order and provided</w:t>
      </w:r>
      <w:r w:rsidR="00EC1C06" w:rsidRPr="000C79F9">
        <w:rPr>
          <w:rFonts w:ascii="Arial" w:hAnsi="Arial" w:cs="Arial"/>
          <w:sz w:val="24"/>
          <w:szCs w:val="24"/>
        </w:rPr>
        <w:t xml:space="preserve"> them with</w:t>
      </w:r>
      <w:r w:rsidR="00B72B4F" w:rsidRPr="000C79F9">
        <w:rPr>
          <w:rFonts w:ascii="Arial" w:hAnsi="Arial" w:cs="Arial"/>
          <w:sz w:val="24"/>
          <w:szCs w:val="24"/>
        </w:rPr>
        <w:t xml:space="preserve"> an opportunity to engage prior to the public comment period.</w:t>
      </w:r>
    </w:p>
    <w:p w14:paraId="125D8814" w14:textId="436D5258" w:rsidR="00D6389C" w:rsidRDefault="000C79F9" w:rsidP="00265387">
      <w:pPr>
        <w:pStyle w:val="ListParagraph"/>
        <w:numPr>
          <w:ilvl w:val="0"/>
          <w:numId w:val="1"/>
        </w:numPr>
        <w:spacing w:after="120" w:line="240" w:lineRule="auto"/>
        <w:ind w:left="360"/>
        <w:contextualSpacing w:val="0"/>
        <w:rPr>
          <w:rFonts w:ascii="Arial" w:hAnsi="Arial" w:cs="Arial"/>
          <w:sz w:val="24"/>
          <w:szCs w:val="24"/>
        </w:rPr>
      </w:pPr>
      <w:r w:rsidRPr="000C79F9">
        <w:rPr>
          <w:rFonts w:ascii="Arial" w:hAnsi="Arial" w:cs="Arial"/>
          <w:sz w:val="24"/>
          <w:szCs w:val="24"/>
        </w:rPr>
        <w:lastRenderedPageBreak/>
        <w:t xml:space="preserve">The Water Board, in a public meeting on </w:t>
      </w:r>
      <w:r w:rsidR="00757516">
        <w:rPr>
          <w:rFonts w:ascii="Arial" w:hAnsi="Arial" w:cs="Arial"/>
          <w:sz w:val="24"/>
          <w:szCs w:val="24"/>
        </w:rPr>
        <w:t>October</w:t>
      </w:r>
      <w:r w:rsidRPr="000C79F9">
        <w:rPr>
          <w:rFonts w:ascii="Arial" w:hAnsi="Arial" w:cs="Arial"/>
          <w:sz w:val="24"/>
          <w:szCs w:val="24"/>
        </w:rPr>
        <w:t xml:space="preserve"> </w:t>
      </w:r>
      <w:r w:rsidR="00757516">
        <w:rPr>
          <w:rFonts w:ascii="Arial" w:hAnsi="Arial" w:cs="Arial"/>
          <w:sz w:val="24"/>
          <w:szCs w:val="24"/>
        </w:rPr>
        <w:t>11</w:t>
      </w:r>
      <w:r w:rsidRPr="000C79F9">
        <w:rPr>
          <w:rFonts w:ascii="Arial" w:hAnsi="Arial" w:cs="Arial"/>
          <w:sz w:val="24"/>
          <w:szCs w:val="24"/>
        </w:rPr>
        <w:t xml:space="preserve">, 2023, heard and considered all comments pertaining to this Order. The Fact Sheet for this Order provides details regarding the public hearing. </w:t>
      </w:r>
    </w:p>
    <w:p w14:paraId="56D8C5FA" w14:textId="77777777" w:rsidR="00F9502C" w:rsidRDefault="00F9502C">
      <w:pPr>
        <w:rPr>
          <w:rFonts w:ascii="Arial" w:hAnsi="Arial" w:cs="Arial"/>
          <w:sz w:val="24"/>
          <w:szCs w:val="24"/>
        </w:rPr>
      </w:pPr>
      <w:r>
        <w:rPr>
          <w:rFonts w:ascii="Arial" w:hAnsi="Arial" w:cs="Arial"/>
          <w:sz w:val="24"/>
          <w:szCs w:val="24"/>
        </w:rPr>
        <w:br w:type="page"/>
      </w:r>
    </w:p>
    <w:p w14:paraId="702A53E9" w14:textId="69D0834F" w:rsidR="00DA4A5F" w:rsidRDefault="00DA4A5F" w:rsidP="00431CEA">
      <w:pPr>
        <w:pStyle w:val="Heading4"/>
        <w:spacing w:after="240"/>
        <w:jc w:val="left"/>
        <w:rPr>
          <w:sz w:val="24"/>
          <w:szCs w:val="24"/>
        </w:rPr>
      </w:pPr>
      <w:bookmarkStart w:id="1" w:name="IT_IS_HEREBY_ORDERED"/>
      <w:bookmarkEnd w:id="1"/>
      <w:r w:rsidRPr="004A4D35">
        <w:rPr>
          <w:sz w:val="24"/>
          <w:szCs w:val="24"/>
        </w:rPr>
        <w:lastRenderedPageBreak/>
        <w:t>IT IS HEREBY ORDERED</w:t>
      </w:r>
      <w:r w:rsidRPr="00190A3A">
        <w:rPr>
          <w:b w:val="0"/>
          <w:sz w:val="24"/>
          <w:szCs w:val="24"/>
        </w:rPr>
        <w:t xml:space="preserve">, pursuant to the </w:t>
      </w:r>
      <w:r w:rsidR="003E5FA2" w:rsidRPr="00190A3A">
        <w:rPr>
          <w:b w:val="0"/>
          <w:sz w:val="24"/>
          <w:szCs w:val="24"/>
        </w:rPr>
        <w:t>p</w:t>
      </w:r>
      <w:r w:rsidRPr="00190A3A">
        <w:rPr>
          <w:b w:val="0"/>
          <w:sz w:val="24"/>
          <w:szCs w:val="24"/>
        </w:rPr>
        <w:t xml:space="preserve">rovisions of California Water Code Division 7 </w:t>
      </w:r>
      <w:r w:rsidR="00E46CF8" w:rsidRPr="00190A3A">
        <w:rPr>
          <w:b w:val="0"/>
          <w:sz w:val="24"/>
          <w:szCs w:val="24"/>
        </w:rPr>
        <w:t xml:space="preserve">(commencing with §13000) </w:t>
      </w:r>
      <w:r w:rsidRPr="00190A3A">
        <w:rPr>
          <w:b w:val="0"/>
          <w:sz w:val="24"/>
          <w:szCs w:val="24"/>
        </w:rPr>
        <w:t>and regulations adopted thereunder, and the provisions of the federal Clean Water Act and regulations and guidelines adopted thereunder, that the Permittees shall comply with the</w:t>
      </w:r>
      <w:r w:rsidR="00DA5FBB" w:rsidRPr="00190A3A">
        <w:rPr>
          <w:b w:val="0"/>
          <w:sz w:val="24"/>
          <w:szCs w:val="24"/>
        </w:rPr>
        <w:t xml:space="preserve"> Permit as amended by this Order</w:t>
      </w:r>
      <w:r w:rsidR="00036319" w:rsidRPr="00190A3A">
        <w:rPr>
          <w:b w:val="0"/>
          <w:sz w:val="24"/>
          <w:szCs w:val="24"/>
        </w:rPr>
        <w:t>.</w:t>
      </w:r>
      <w:r w:rsidR="005D2050" w:rsidRPr="00190A3A">
        <w:rPr>
          <w:b w:val="0"/>
          <w:sz w:val="24"/>
          <w:szCs w:val="24"/>
        </w:rPr>
        <w:t xml:space="preserve"> Additions are displayed as </w:t>
      </w:r>
      <w:r w:rsidR="005D2050" w:rsidRPr="00190A3A">
        <w:rPr>
          <w:b w:val="0"/>
          <w:sz w:val="24"/>
          <w:szCs w:val="24"/>
          <w:u w:val="single"/>
        </w:rPr>
        <w:t>underline</w:t>
      </w:r>
      <w:r w:rsidR="005D2050" w:rsidRPr="00190A3A">
        <w:rPr>
          <w:b w:val="0"/>
          <w:sz w:val="24"/>
          <w:szCs w:val="24"/>
        </w:rPr>
        <w:t xml:space="preserve"> type and deletions are displayed as </w:t>
      </w:r>
      <w:r w:rsidR="005D2050" w:rsidRPr="00190A3A">
        <w:rPr>
          <w:b w:val="0"/>
          <w:strike/>
          <w:sz w:val="24"/>
          <w:szCs w:val="24"/>
        </w:rPr>
        <w:t>strike</w:t>
      </w:r>
      <w:r w:rsidR="00340996" w:rsidRPr="00190A3A">
        <w:rPr>
          <w:b w:val="0"/>
          <w:strike/>
          <w:sz w:val="24"/>
          <w:szCs w:val="24"/>
        </w:rPr>
        <w:t>through</w:t>
      </w:r>
      <w:r w:rsidR="005D2050" w:rsidRPr="00190A3A">
        <w:rPr>
          <w:b w:val="0"/>
          <w:sz w:val="24"/>
          <w:szCs w:val="24"/>
        </w:rPr>
        <w:t xml:space="preserve"> format.</w:t>
      </w:r>
      <w:r w:rsidR="00EF32F3">
        <w:rPr>
          <w:sz w:val="24"/>
          <w:szCs w:val="24"/>
        </w:rPr>
        <w:t xml:space="preserve"> </w:t>
      </w:r>
    </w:p>
    <w:p w14:paraId="216206D7" w14:textId="77777777" w:rsidR="000C651B" w:rsidRDefault="000C651B" w:rsidP="000C651B">
      <w:pPr>
        <w:pStyle w:val="ListParagraph"/>
        <w:numPr>
          <w:ilvl w:val="0"/>
          <w:numId w:val="2"/>
        </w:numPr>
        <w:spacing w:after="120" w:line="240" w:lineRule="auto"/>
        <w:contextualSpacing w:val="0"/>
        <w:rPr>
          <w:rFonts w:ascii="Arial" w:hAnsi="Arial" w:cs="Arial"/>
          <w:sz w:val="24"/>
          <w:szCs w:val="24"/>
        </w:rPr>
      </w:pPr>
      <w:r>
        <w:rPr>
          <w:rFonts w:ascii="Arial" w:hAnsi="Arial" w:cs="Arial"/>
          <w:sz w:val="24"/>
          <w:szCs w:val="24"/>
        </w:rPr>
        <w:t>Provision C.3.c.i.(2)(c)(iii) Alternative Treatment Systems is added to Order</w:t>
      </w:r>
      <w:r w:rsidR="000F6EA4" w:rsidRPr="0023001C">
        <w:rPr>
          <w:rFonts w:ascii="Arial" w:hAnsi="Arial" w:cs="Arial"/>
          <w:sz w:val="24"/>
          <w:szCs w:val="24"/>
        </w:rPr>
        <w:t xml:space="preserve"> No. R2-2022-0018</w:t>
      </w:r>
      <w:r>
        <w:rPr>
          <w:rFonts w:ascii="Arial" w:hAnsi="Arial" w:cs="Arial"/>
          <w:sz w:val="24"/>
          <w:szCs w:val="24"/>
        </w:rPr>
        <w:t>, as follows:</w:t>
      </w:r>
    </w:p>
    <w:p w14:paraId="341BC1A5" w14:textId="1EE7939A" w:rsidR="00EC6919" w:rsidRPr="00B45252" w:rsidRDefault="00EC6919" w:rsidP="00EC6919">
      <w:pPr>
        <w:pStyle w:val="MRPA1ai1ai"/>
        <w:numPr>
          <w:ilvl w:val="6"/>
          <w:numId w:val="10"/>
        </w:numPr>
        <w:ind w:left="1260"/>
        <w:rPr>
          <w:u w:val="single"/>
        </w:rPr>
      </w:pPr>
      <w:r w:rsidRPr="00B45252">
        <w:rPr>
          <w:u w:val="single"/>
        </w:rPr>
        <w:t>Alternative Treatment Systems</w:t>
      </w:r>
    </w:p>
    <w:p w14:paraId="27E0AD30" w14:textId="0239BD58" w:rsidR="00EC6919" w:rsidRPr="00B45252" w:rsidRDefault="00EC6919" w:rsidP="00EC6919">
      <w:pPr>
        <w:pStyle w:val="MRPA1ai1aiBody"/>
        <w:ind w:left="1224"/>
        <w:rPr>
          <w:u w:val="single"/>
        </w:rPr>
      </w:pPr>
      <w:r w:rsidRPr="00B45252">
        <w:rPr>
          <w:u w:val="single"/>
        </w:rPr>
        <w:t>Permittees may allow a Regulated Project to comply with the Provision C.3.d design volume and/or flow requirement for the approved portion (Approved Portion)</w:t>
      </w:r>
      <w:r w:rsidRPr="00B45252">
        <w:rPr>
          <w:rStyle w:val="FootnoteReference"/>
          <w:u w:val="single"/>
        </w:rPr>
        <w:footnoteReference w:id="2"/>
      </w:r>
      <w:r w:rsidRPr="00B45252">
        <w:rPr>
          <w:u w:val="single"/>
        </w:rPr>
        <w:t xml:space="preserve"> using </w:t>
      </w:r>
      <w:r w:rsidR="001C375F">
        <w:rPr>
          <w:u w:val="single"/>
        </w:rPr>
        <w:t xml:space="preserve">an alternative treatment system (i.e., </w:t>
      </w:r>
      <w:r w:rsidRPr="00B45252">
        <w:rPr>
          <w:u w:val="single"/>
        </w:rPr>
        <w:t>onsite non-LID treatment systems (e.</w:t>
      </w:r>
      <w:r w:rsidR="001009A5">
        <w:rPr>
          <w:u w:val="single"/>
        </w:rPr>
        <w:t>g</w:t>
      </w:r>
      <w:r w:rsidRPr="00B45252">
        <w:rPr>
          <w:u w:val="single"/>
        </w:rPr>
        <w:t>., media filters) in combination with systems providing flow control benefit</w:t>
      </w:r>
      <w:r w:rsidR="00C1668D">
        <w:rPr>
          <w:u w:val="single"/>
        </w:rPr>
        <w:t>)</w:t>
      </w:r>
      <w:r w:rsidRPr="00B45252">
        <w:rPr>
          <w:u w:val="single"/>
        </w:rPr>
        <w:t>, as follows:</w:t>
      </w:r>
    </w:p>
    <w:p w14:paraId="7160C088" w14:textId="50E038FB" w:rsidR="00EC6919" w:rsidRPr="00B45252" w:rsidRDefault="00731353" w:rsidP="00EC6919">
      <w:pPr>
        <w:pStyle w:val="MRPA1ai1aia"/>
        <w:numPr>
          <w:ilvl w:val="7"/>
          <w:numId w:val="10"/>
        </w:numPr>
        <w:ind w:left="1584"/>
        <w:rPr>
          <w:rFonts w:cs="Arial"/>
          <w:u w:val="single"/>
        </w:rPr>
      </w:pPr>
      <w:r>
        <w:rPr>
          <w:rFonts w:cs="Arial"/>
          <w:u w:val="single"/>
        </w:rPr>
        <w:t>Alternative</w:t>
      </w:r>
      <w:r w:rsidR="00EC6919" w:rsidRPr="00B45252">
        <w:rPr>
          <w:rFonts w:cs="Arial"/>
          <w:u w:val="single"/>
        </w:rPr>
        <w:t xml:space="preserve"> treatment systems may be implemented in the following two geographic areas, as identified in a Countywide Hydromodification Applicability Map accepted by the Executive Officer:</w:t>
      </w:r>
    </w:p>
    <w:p w14:paraId="27C72728" w14:textId="1A5D677E" w:rsidR="00EC6919" w:rsidRPr="00B45252" w:rsidRDefault="00EC6919" w:rsidP="00EC6919">
      <w:pPr>
        <w:pStyle w:val="MRPA1ai1aiaBullet"/>
        <w:numPr>
          <w:ilvl w:val="6"/>
          <w:numId w:val="17"/>
        </w:numPr>
        <w:ind w:left="1980"/>
        <w:rPr>
          <w:u w:val="single"/>
        </w:rPr>
      </w:pPr>
      <w:r w:rsidRPr="00B45252">
        <w:rPr>
          <w:u w:val="single"/>
        </w:rPr>
        <w:t>Areas draining to channels that are hardened continuously from the point of discharge into the channel to San Francisco Bay or to the Pacific Ocean; and</w:t>
      </w:r>
    </w:p>
    <w:p w14:paraId="1E35E5DA" w14:textId="655A3AC9" w:rsidR="00EC6919" w:rsidRPr="00B45252" w:rsidRDefault="00EC6919" w:rsidP="00EC6919">
      <w:pPr>
        <w:pStyle w:val="MRPA1ai1aiaBullet"/>
        <w:numPr>
          <w:ilvl w:val="6"/>
          <w:numId w:val="17"/>
        </w:numPr>
        <w:ind w:left="1980"/>
        <w:rPr>
          <w:u w:val="single"/>
        </w:rPr>
      </w:pPr>
      <w:r w:rsidRPr="00B45252">
        <w:rPr>
          <w:u w:val="single"/>
        </w:rPr>
        <w:t xml:space="preserve">Areas draining directly into the Bay, the Ocean, or channels that are tidally influenced at the point of discharge into the channel. </w:t>
      </w:r>
    </w:p>
    <w:p w14:paraId="14BF9824" w14:textId="012B31D7" w:rsidR="00EC6919" w:rsidRPr="00B45252" w:rsidRDefault="00EC6919" w:rsidP="00EC6919">
      <w:pPr>
        <w:pStyle w:val="MRPA1ai1aiaBody"/>
        <w:ind w:left="1584"/>
        <w:rPr>
          <w:u w:val="single"/>
        </w:rPr>
      </w:pPr>
      <w:r w:rsidRPr="00B45252">
        <w:rPr>
          <w:u w:val="single"/>
        </w:rPr>
        <w:t xml:space="preserve">Before a Permittee may implement </w:t>
      </w:r>
      <w:r w:rsidR="00731353">
        <w:rPr>
          <w:u w:val="single"/>
        </w:rPr>
        <w:t>alternative treatment systems</w:t>
      </w:r>
      <w:r w:rsidRPr="00B45252">
        <w:rPr>
          <w:u w:val="single"/>
        </w:rPr>
        <w:t xml:space="preserve">, the Permittee shall, among other requirements in this Provision C.3.c.i.(2)(c)(iii), re-submit the applicable portions of its respective Countywide Hydromodification Applicability Map to accurately identify the two geographic areas described above and the resubmitted </w:t>
      </w:r>
      <w:r w:rsidR="00984B30" w:rsidRPr="00B45252">
        <w:rPr>
          <w:u w:val="single"/>
        </w:rPr>
        <w:t>applicable portions</w:t>
      </w:r>
      <w:r w:rsidR="00984B30">
        <w:rPr>
          <w:u w:val="single"/>
        </w:rPr>
        <w:t xml:space="preserve"> of</w:t>
      </w:r>
      <w:r w:rsidR="007B24C5">
        <w:rPr>
          <w:u w:val="single"/>
        </w:rPr>
        <w:t xml:space="preserve"> the</w:t>
      </w:r>
      <w:r w:rsidR="00984B30" w:rsidRPr="00B45252">
        <w:rPr>
          <w:u w:val="single"/>
        </w:rPr>
        <w:t xml:space="preserve"> </w:t>
      </w:r>
      <w:r w:rsidRPr="00B45252">
        <w:rPr>
          <w:u w:val="single"/>
        </w:rPr>
        <w:t>map must be accepted by the Executive Officer as accurate.</w:t>
      </w:r>
    </w:p>
    <w:p w14:paraId="153C5C8C" w14:textId="7123ADF0" w:rsidR="00EC6919" w:rsidRPr="00B45252" w:rsidRDefault="00B16302" w:rsidP="00EC6919">
      <w:pPr>
        <w:pStyle w:val="MRPA1ai1aia"/>
        <w:numPr>
          <w:ilvl w:val="7"/>
          <w:numId w:val="10"/>
        </w:numPr>
        <w:ind w:left="1584"/>
        <w:rPr>
          <w:rFonts w:cs="Arial"/>
          <w:u w:val="single"/>
        </w:rPr>
      </w:pPr>
      <w:r>
        <w:rPr>
          <w:rFonts w:cs="Arial"/>
          <w:u w:val="single"/>
        </w:rPr>
        <w:t>Alternative</w:t>
      </w:r>
      <w:r w:rsidR="00EC6919" w:rsidRPr="00B45252">
        <w:rPr>
          <w:rFonts w:cs="Arial"/>
          <w:u w:val="single"/>
        </w:rPr>
        <w:t xml:space="preserve"> treatment systems in the two geographic areas listed in Provision C.3.c.i.(2)(c)(iii)a must have an active General Use Level Designation certification for Enhanced Treatment from the Washington State Department of Ecology’s Technology Assessment Protocol – Ecology (TAPE) Program.</w:t>
      </w:r>
      <w:r w:rsidR="00EC6919" w:rsidRPr="00B45252">
        <w:rPr>
          <w:rStyle w:val="FootnoteReference"/>
          <w:rFonts w:cs="Arial"/>
          <w:u w:val="single"/>
        </w:rPr>
        <w:footnoteReference w:id="3"/>
      </w:r>
      <w:r w:rsidR="00EC6919" w:rsidRPr="00B45252">
        <w:rPr>
          <w:rFonts w:cs="Arial"/>
          <w:u w:val="single"/>
        </w:rPr>
        <w:t xml:space="preserve"> </w:t>
      </w:r>
    </w:p>
    <w:p w14:paraId="47B71491" w14:textId="44F6E31A" w:rsidR="00EC6919" w:rsidRPr="00B45252" w:rsidRDefault="00EC6919" w:rsidP="00EC6919">
      <w:pPr>
        <w:pStyle w:val="MRPA1ai1aia"/>
        <w:numPr>
          <w:ilvl w:val="7"/>
          <w:numId w:val="10"/>
        </w:numPr>
        <w:ind w:left="1584"/>
        <w:rPr>
          <w:rFonts w:cs="Arial"/>
          <w:u w:val="single"/>
        </w:rPr>
      </w:pPr>
      <w:r w:rsidRPr="00B45252">
        <w:rPr>
          <w:rFonts w:cs="Arial"/>
          <w:u w:val="single"/>
        </w:rPr>
        <w:lastRenderedPageBreak/>
        <w:t xml:space="preserve">Implementation of </w:t>
      </w:r>
      <w:r w:rsidR="00B16302">
        <w:rPr>
          <w:rFonts w:cs="Arial"/>
          <w:u w:val="single"/>
        </w:rPr>
        <w:t>alternative</w:t>
      </w:r>
      <w:r w:rsidRPr="00B45252">
        <w:rPr>
          <w:rFonts w:cs="Arial"/>
          <w:u w:val="single"/>
        </w:rPr>
        <w:t xml:space="preserve"> treatment systems requires a Demonstration of Technical Infeasibility</w:t>
      </w:r>
      <w:bookmarkStart w:id="2" w:name="_Ref137112279"/>
      <w:r w:rsidRPr="00B45252">
        <w:rPr>
          <w:rStyle w:val="FootnoteReference"/>
          <w:rFonts w:cs="Arial"/>
          <w:u w:val="single"/>
        </w:rPr>
        <w:footnoteReference w:id="4"/>
      </w:r>
      <w:bookmarkEnd w:id="2"/>
      <w:r w:rsidRPr="00B45252">
        <w:rPr>
          <w:rFonts w:cs="Arial"/>
          <w:u w:val="single"/>
        </w:rPr>
        <w:t xml:space="preserve"> that has been submitted by the Permittee to the Water Board and approved by the Executive Officer for each Regulated Project where an alternative treatment system is proposed. Permittees shall include the following documentation in the Demonstration of Technical Infeasibility:</w:t>
      </w:r>
    </w:p>
    <w:p w14:paraId="552BCAF7" w14:textId="1F183EC5" w:rsidR="00B4377B" w:rsidRPr="00B45252" w:rsidRDefault="00EC6919" w:rsidP="00F16F90">
      <w:pPr>
        <w:pStyle w:val="MRPA1ai1aia1"/>
        <w:ind w:left="1944"/>
        <w:contextualSpacing w:val="0"/>
        <w:rPr>
          <w:rFonts w:cs="Arial"/>
          <w:szCs w:val="24"/>
          <w:u w:val="single"/>
        </w:rPr>
      </w:pPr>
      <w:r w:rsidRPr="00B45252">
        <w:rPr>
          <w:rFonts w:cs="Arial"/>
          <w:szCs w:val="24"/>
          <w:u w:val="single"/>
        </w:rPr>
        <w:t>The technical constraints (spatial, utility, or other) to treating 100 percent of the Provision C.3.d design volume and/or flow onsite and offsite using LID and that the Regulated Project maximizes LID treatment within those constraints. This must include an assessment of the technical feasibility of incorporating all potential types and configurations of LID, including</w:t>
      </w:r>
      <w:r w:rsidR="001528CA">
        <w:rPr>
          <w:rFonts w:cs="Arial"/>
          <w:szCs w:val="24"/>
          <w:u w:val="single"/>
        </w:rPr>
        <w:t>,</w:t>
      </w:r>
      <w:r w:rsidRPr="00B45252">
        <w:rPr>
          <w:rFonts w:cs="Arial"/>
          <w:szCs w:val="24"/>
          <w:u w:val="single"/>
        </w:rPr>
        <w:t xml:space="preserve"> but not limited to</w:t>
      </w:r>
      <w:r w:rsidR="001528CA">
        <w:rPr>
          <w:rFonts w:cs="Arial"/>
          <w:szCs w:val="24"/>
          <w:u w:val="single"/>
        </w:rPr>
        <w:t>,</w:t>
      </w:r>
      <w:r w:rsidRPr="00B45252">
        <w:rPr>
          <w:rFonts w:cs="Arial"/>
          <w:szCs w:val="24"/>
          <w:u w:val="single"/>
        </w:rPr>
        <w:t xml:space="preserve"> the following: runoff capture and use, suspended pavement systems with structural soils (e.g., Silva cells), bioretention, green roofs, pervious pavement systems, and infiltration galleries.</w:t>
      </w:r>
    </w:p>
    <w:p w14:paraId="055152A4" w14:textId="785FA2BA" w:rsidR="00A507D4" w:rsidRPr="00B45252" w:rsidRDefault="00EC6919" w:rsidP="00F16F90">
      <w:pPr>
        <w:pStyle w:val="MRPA1ai1aia1"/>
        <w:numPr>
          <w:ilvl w:val="0"/>
          <w:numId w:val="0"/>
        </w:numPr>
        <w:ind w:left="1944"/>
        <w:contextualSpacing w:val="0"/>
        <w:rPr>
          <w:rFonts w:cs="Arial"/>
          <w:szCs w:val="24"/>
          <w:u w:val="single"/>
        </w:rPr>
      </w:pPr>
      <w:r w:rsidRPr="00B45252">
        <w:rPr>
          <w:rFonts w:cs="Arial"/>
          <w:szCs w:val="24"/>
          <w:u w:val="single"/>
        </w:rPr>
        <w:t>For onsite technical infeasibility, a demonstration that the Regulated Project will implement LID in or on all potential or actual onsite landscaping opportunities</w:t>
      </w:r>
      <w:r w:rsidRPr="00BC2289">
        <w:rPr>
          <w:rFonts w:cs="Arial"/>
          <w:u w:val="single"/>
          <w:vertAlign w:val="superscript"/>
        </w:rPr>
        <w:footnoteReference w:id="5"/>
      </w:r>
      <w:r w:rsidRPr="00B45252">
        <w:rPr>
          <w:rFonts w:cs="Arial"/>
          <w:szCs w:val="24"/>
          <w:u w:val="single"/>
        </w:rPr>
        <w:t xml:space="preserve"> and that there are no potential or actual onsite landscaping opportunities in or on which LID will not be implemented.</w:t>
      </w:r>
    </w:p>
    <w:p w14:paraId="53E765FA" w14:textId="7F138B92" w:rsidR="00A507D4" w:rsidRPr="00B45252" w:rsidRDefault="00EC6919" w:rsidP="005370F6">
      <w:pPr>
        <w:pStyle w:val="MRPA1ai1aia1"/>
        <w:numPr>
          <w:ilvl w:val="0"/>
          <w:numId w:val="0"/>
        </w:numPr>
        <w:ind w:left="1944"/>
        <w:contextualSpacing w:val="0"/>
        <w:rPr>
          <w:rFonts w:cs="Arial"/>
          <w:szCs w:val="24"/>
          <w:u w:val="single"/>
        </w:rPr>
      </w:pPr>
      <w:r w:rsidRPr="00B45252">
        <w:rPr>
          <w:rFonts w:cs="Arial"/>
          <w:szCs w:val="24"/>
          <w:u w:val="single"/>
        </w:rPr>
        <w:t>For offsite technical infeasibility, demonstration that there are no opportunities to implement</w:t>
      </w:r>
      <w:r w:rsidRPr="00BC2289">
        <w:rPr>
          <w:rFonts w:cs="Arial"/>
          <w:u w:val="single"/>
          <w:vertAlign w:val="superscript"/>
        </w:rPr>
        <w:footnoteReference w:id="6"/>
      </w:r>
      <w:r w:rsidRPr="00B45252">
        <w:rPr>
          <w:rFonts w:cs="Arial"/>
          <w:szCs w:val="24"/>
          <w:u w:val="single"/>
        </w:rPr>
        <w:t xml:space="preserve"> an equivalent amount of LID in the adjacent or nearby public right of way </w:t>
      </w:r>
      <w:r w:rsidR="000D6126">
        <w:rPr>
          <w:rFonts w:cs="Arial"/>
          <w:szCs w:val="24"/>
          <w:u w:val="single"/>
        </w:rPr>
        <w:t>(</w:t>
      </w:r>
      <w:r w:rsidRPr="00B45252">
        <w:rPr>
          <w:rFonts w:cs="Arial"/>
          <w:szCs w:val="24"/>
          <w:u w:val="single"/>
        </w:rPr>
        <w:t>ROW</w:t>
      </w:r>
      <w:r w:rsidR="00153CB4">
        <w:rPr>
          <w:rFonts w:cs="Arial"/>
          <w:szCs w:val="24"/>
          <w:u w:val="single"/>
        </w:rPr>
        <w:t>)</w:t>
      </w:r>
      <w:r w:rsidRPr="00B45252">
        <w:rPr>
          <w:rFonts w:cs="Arial"/>
          <w:szCs w:val="24"/>
          <w:u w:val="single"/>
        </w:rPr>
        <w:t xml:space="preserve"> for the Regulated Project; in the adjacent or nearby public ROW as part of a district-scale project that treats runoff from both the Regulated Project and from other nearby projects and/or portions of the public ROW; elsewhere in the Permittee’s jurisdiction (including opportunities identified in the Permittee’s GI Plan); elsewhere in the </w:t>
      </w:r>
      <w:r w:rsidR="00200689">
        <w:rPr>
          <w:rFonts w:cs="Arial"/>
          <w:szCs w:val="24"/>
          <w:u w:val="single"/>
        </w:rPr>
        <w:t>c</w:t>
      </w:r>
      <w:r w:rsidRPr="00B45252">
        <w:rPr>
          <w:rFonts w:cs="Arial"/>
          <w:szCs w:val="24"/>
          <w:u w:val="single"/>
        </w:rPr>
        <w:t xml:space="preserve">ounty (including opportunities identified in the GI Plans of other Permittees in the </w:t>
      </w:r>
      <w:r w:rsidR="00200689">
        <w:rPr>
          <w:rFonts w:cs="Arial"/>
          <w:szCs w:val="24"/>
          <w:u w:val="single"/>
        </w:rPr>
        <w:t>c</w:t>
      </w:r>
      <w:r w:rsidRPr="00B45252">
        <w:rPr>
          <w:rFonts w:cs="Arial"/>
          <w:szCs w:val="24"/>
          <w:u w:val="single"/>
        </w:rPr>
        <w:t>ounty); or elsewhere in another county subject to the MRP (including opportunities identified in the GI Plans of other Permittees in all five MRP Counties).</w:t>
      </w:r>
    </w:p>
    <w:p w14:paraId="5FC8A192" w14:textId="77777777" w:rsidR="00EC6919" w:rsidRPr="00B45252" w:rsidRDefault="00EC6919" w:rsidP="00EC6919">
      <w:pPr>
        <w:pStyle w:val="MRPA1ai1aia1"/>
        <w:ind w:left="1944"/>
        <w:rPr>
          <w:rFonts w:cs="Arial"/>
          <w:szCs w:val="24"/>
          <w:u w:val="single"/>
        </w:rPr>
      </w:pPr>
      <w:r w:rsidRPr="00B45252">
        <w:rPr>
          <w:rFonts w:cs="Arial"/>
          <w:szCs w:val="24"/>
          <w:u w:val="single"/>
        </w:rPr>
        <w:lastRenderedPageBreak/>
        <w:t>How LID was considered by both the project proponent and by the Permittee from the early stages of the project's planning and entitlement processes and how that resulted in the project’s final design.</w:t>
      </w:r>
    </w:p>
    <w:p w14:paraId="2EEB3EB3" w14:textId="513DB9DE" w:rsidR="00EC6919" w:rsidRPr="00B45252" w:rsidRDefault="00EC6919" w:rsidP="00EC6919">
      <w:pPr>
        <w:pStyle w:val="MRPA1ai1aia"/>
        <w:numPr>
          <w:ilvl w:val="7"/>
          <w:numId w:val="10"/>
        </w:numPr>
        <w:ind w:left="1584"/>
        <w:rPr>
          <w:rFonts w:cs="Arial"/>
          <w:u w:val="single"/>
        </w:rPr>
      </w:pPr>
      <w:r w:rsidRPr="00B45252">
        <w:rPr>
          <w:rFonts w:cs="Arial"/>
          <w:u w:val="single"/>
        </w:rPr>
        <w:t xml:space="preserve">Implementation of </w:t>
      </w:r>
      <w:r w:rsidR="001C31A0">
        <w:rPr>
          <w:rFonts w:cs="Arial"/>
          <w:u w:val="single"/>
        </w:rPr>
        <w:t>alternative</w:t>
      </w:r>
      <w:r w:rsidRPr="00B45252">
        <w:rPr>
          <w:rFonts w:cs="Arial"/>
          <w:u w:val="single"/>
        </w:rPr>
        <w:t xml:space="preserve"> treatment systems requires a Demonstration of Commensurate </w:t>
      </w:r>
      <w:proofErr w:type="spellStart"/>
      <w:r w:rsidRPr="00B45252">
        <w:rPr>
          <w:rFonts w:cs="Arial"/>
          <w:u w:val="single"/>
        </w:rPr>
        <w:t>Benefit</w:t>
      </w:r>
      <w:r w:rsidRPr="00B45252">
        <w:rPr>
          <w:rFonts w:cs="Arial"/>
          <w:u w:val="single"/>
        </w:rPr>
        <w:fldChar w:fldCharType="begin"/>
      </w:r>
      <w:r w:rsidRPr="00B45252">
        <w:rPr>
          <w:rFonts w:cs="Arial"/>
          <w:u w:val="single"/>
        </w:rPr>
        <w:instrText xml:space="preserve"> NOTEREF _Ref137112279 \f \h  \* MERGEFORMAT </w:instrText>
      </w:r>
      <w:r w:rsidRPr="00B45252">
        <w:rPr>
          <w:rFonts w:cs="Arial"/>
          <w:u w:val="single"/>
        </w:rPr>
      </w:r>
      <w:r w:rsidRPr="00B45252">
        <w:rPr>
          <w:rFonts w:cs="Arial"/>
          <w:u w:val="single"/>
        </w:rPr>
        <w:fldChar w:fldCharType="separate"/>
      </w:r>
      <w:r w:rsidR="00E24DF0" w:rsidRPr="00E24DF0">
        <w:rPr>
          <w:rStyle w:val="FootnoteReference"/>
          <w:rFonts w:cs="Arial"/>
        </w:rPr>
        <w:t>c</w:t>
      </w:r>
      <w:proofErr w:type="spellEnd"/>
      <w:r w:rsidRPr="00B45252">
        <w:rPr>
          <w:rFonts w:cs="Arial"/>
          <w:u w:val="single"/>
        </w:rPr>
        <w:fldChar w:fldCharType="end"/>
      </w:r>
      <w:r w:rsidRPr="00B45252">
        <w:rPr>
          <w:rFonts w:cs="Arial"/>
          <w:u w:val="single"/>
        </w:rPr>
        <w:t xml:space="preserve"> that has been submitted by the Permittee to the Water Board and approved by the Executive Officer for each Regulated Project where an alternative treatment system is proposed. Permittees shall include the following documentation in the Demonstration of Commensurate Benefit: </w:t>
      </w:r>
    </w:p>
    <w:p w14:paraId="22E10906" w14:textId="1A2E9D29" w:rsidR="001674B7" w:rsidRPr="00B45252" w:rsidRDefault="001674B7" w:rsidP="001674B7">
      <w:pPr>
        <w:pStyle w:val="MRPA1ai1aia1"/>
        <w:numPr>
          <w:ilvl w:val="0"/>
          <w:numId w:val="13"/>
        </w:numPr>
        <w:ind w:left="1944"/>
        <w:contextualSpacing w:val="0"/>
        <w:rPr>
          <w:rFonts w:cs="Arial"/>
          <w:szCs w:val="24"/>
          <w:u w:val="single"/>
        </w:rPr>
      </w:pPr>
      <w:r w:rsidRPr="00B45252">
        <w:rPr>
          <w:rFonts w:cs="Arial"/>
          <w:szCs w:val="24"/>
          <w:u w:val="single"/>
        </w:rPr>
        <w:t xml:space="preserve">That the </w:t>
      </w:r>
      <w:r w:rsidR="001C31A0">
        <w:rPr>
          <w:rFonts w:cs="Arial"/>
          <w:szCs w:val="24"/>
          <w:u w:val="single"/>
        </w:rPr>
        <w:t>alternative</w:t>
      </w:r>
      <w:r w:rsidRPr="00B45252">
        <w:rPr>
          <w:rFonts w:cs="Arial"/>
          <w:szCs w:val="24"/>
          <w:u w:val="single"/>
        </w:rPr>
        <w:t xml:space="preserve"> treatment system includes TAPE-certified (pursuant to Provision C.3.c.i.(2)(c)(iii)(b)) treatment controls sized to accommodate the Provision C.3.d design volume and/or flow. </w:t>
      </w:r>
    </w:p>
    <w:p w14:paraId="1DAB2D96" w14:textId="5BFB18E0" w:rsidR="00EC6919" w:rsidRPr="00B45252" w:rsidRDefault="00EC6919" w:rsidP="00EC6919">
      <w:pPr>
        <w:pStyle w:val="MRPA1ai1aia1"/>
        <w:numPr>
          <w:ilvl w:val="0"/>
          <w:numId w:val="13"/>
        </w:numPr>
        <w:ind w:left="1944"/>
        <w:contextualSpacing w:val="0"/>
        <w:rPr>
          <w:rFonts w:cs="Arial"/>
          <w:szCs w:val="24"/>
          <w:u w:val="single"/>
        </w:rPr>
      </w:pPr>
      <w:r w:rsidRPr="00B45252">
        <w:rPr>
          <w:rFonts w:cs="Arial"/>
          <w:szCs w:val="24"/>
          <w:u w:val="single"/>
        </w:rPr>
        <w:t xml:space="preserve">That the alternative treatment system includes flow controls that, based on monitoring and/or field studies, provide flow control benefit commensurate to the flow control benefit of LID measures had they been </w:t>
      </w:r>
      <w:r w:rsidR="00831B69">
        <w:rPr>
          <w:rFonts w:cs="Arial"/>
          <w:szCs w:val="24"/>
          <w:u w:val="single"/>
        </w:rPr>
        <w:t>implemented</w:t>
      </w:r>
      <w:r w:rsidRPr="00B45252">
        <w:rPr>
          <w:rFonts w:cs="Arial"/>
          <w:szCs w:val="24"/>
          <w:u w:val="single"/>
        </w:rPr>
        <w:t xml:space="preserve"> for the project. </w:t>
      </w:r>
    </w:p>
    <w:p w14:paraId="4B009D72" w14:textId="77777777" w:rsidR="00EC6919" w:rsidRPr="00B45252" w:rsidRDefault="00EC6919" w:rsidP="00EC6919">
      <w:pPr>
        <w:pStyle w:val="MRPA1ai1aia1"/>
        <w:numPr>
          <w:ilvl w:val="0"/>
          <w:numId w:val="0"/>
        </w:numPr>
        <w:ind w:left="1944"/>
        <w:contextualSpacing w:val="0"/>
        <w:rPr>
          <w:rFonts w:cs="Arial"/>
          <w:szCs w:val="24"/>
          <w:u w:val="single"/>
        </w:rPr>
      </w:pPr>
      <w:r w:rsidRPr="00B45252">
        <w:rPr>
          <w:rFonts w:cs="Arial"/>
          <w:szCs w:val="24"/>
          <w:u w:val="single"/>
        </w:rPr>
        <w:t>At a minimum, this shall include consideration of vertical infiltration into soils (including soils with low infiltration rates), horizontal infiltration, evapotranspiration, and the effect of inter-event periods on antecedent soil conditions. In places where infiltration is not allowed because of permanent high groundwater (i.e., less than 10 feet below the surface) or documented existing significant soil and groundwater contamination, flow control benefits may be compared to those from lined bioretention cells.</w:t>
      </w:r>
    </w:p>
    <w:p w14:paraId="71A502F7" w14:textId="1AF8C50C" w:rsidR="00EC6919" w:rsidRPr="00B45252" w:rsidRDefault="00EC6919" w:rsidP="00EC6919">
      <w:pPr>
        <w:pStyle w:val="MRPA1ai1aia"/>
        <w:numPr>
          <w:ilvl w:val="7"/>
          <w:numId w:val="10"/>
        </w:numPr>
        <w:ind w:left="1584"/>
        <w:rPr>
          <w:rFonts w:cs="Arial"/>
          <w:u w:val="single"/>
        </w:rPr>
      </w:pPr>
      <w:r w:rsidRPr="00B45252">
        <w:rPr>
          <w:rFonts w:cs="Arial"/>
          <w:u w:val="single"/>
        </w:rPr>
        <w:t xml:space="preserve">Implementation – Permittees may implement Provision C.3.c.i.(2)(c)(iii) after they have collectively submitted a Regional Guidance Document to facilitate Permittees’ compliance with the Demonstration of Technical Infeasibility and with the Demonstration of Commensurate Benefit and the Executive Officer has approved the Regional Guidance Documentation. </w:t>
      </w:r>
    </w:p>
    <w:p w14:paraId="626FB4CA" w14:textId="77777777" w:rsidR="00EC6919" w:rsidRPr="00B45252" w:rsidRDefault="00EC6919" w:rsidP="00EC6919">
      <w:pPr>
        <w:pStyle w:val="MRPA1ai1aia"/>
        <w:ind w:left="1584"/>
        <w:rPr>
          <w:rFonts w:cs="Arial"/>
          <w:u w:val="single"/>
        </w:rPr>
      </w:pPr>
      <w:r w:rsidRPr="00B45252">
        <w:rPr>
          <w:rFonts w:cs="Arial"/>
          <w:u w:val="single"/>
        </w:rPr>
        <w:t xml:space="preserve">At a minimum, the Permittees shall include the following in the Regional Guidance Document: </w:t>
      </w:r>
    </w:p>
    <w:p w14:paraId="72779B59" w14:textId="2B4473B6" w:rsidR="00EC6919" w:rsidRPr="00B45252" w:rsidRDefault="00EC6919" w:rsidP="00EC6919">
      <w:pPr>
        <w:pStyle w:val="MRPA1ai1aia1"/>
        <w:numPr>
          <w:ilvl w:val="0"/>
          <w:numId w:val="14"/>
        </w:numPr>
        <w:ind w:left="1944"/>
        <w:contextualSpacing w:val="0"/>
        <w:rPr>
          <w:rFonts w:cs="Arial"/>
          <w:szCs w:val="24"/>
          <w:u w:val="single"/>
        </w:rPr>
      </w:pPr>
      <w:r w:rsidRPr="00B45252">
        <w:rPr>
          <w:rFonts w:cs="Arial"/>
          <w:szCs w:val="24"/>
          <w:u w:val="single"/>
        </w:rPr>
        <w:t xml:space="preserve">Regional guidance to ensure that </w:t>
      </w:r>
      <w:r w:rsidR="002768DB">
        <w:rPr>
          <w:rFonts w:cs="Arial"/>
          <w:szCs w:val="24"/>
          <w:u w:val="single"/>
        </w:rPr>
        <w:t xml:space="preserve">Permittees and </w:t>
      </w:r>
      <w:r w:rsidR="0037451B">
        <w:rPr>
          <w:rFonts w:cs="Arial"/>
          <w:szCs w:val="24"/>
          <w:u w:val="single"/>
        </w:rPr>
        <w:t>p</w:t>
      </w:r>
      <w:r w:rsidR="00DD5EA3">
        <w:rPr>
          <w:rFonts w:cs="Arial"/>
          <w:szCs w:val="24"/>
          <w:u w:val="single"/>
        </w:rPr>
        <w:t xml:space="preserve">rojects </w:t>
      </w:r>
      <w:r w:rsidR="00F004B6">
        <w:rPr>
          <w:rFonts w:cs="Arial"/>
          <w:szCs w:val="24"/>
          <w:u w:val="single"/>
        </w:rPr>
        <w:t xml:space="preserve">seeking to use </w:t>
      </w:r>
      <w:r w:rsidRPr="00B45252">
        <w:rPr>
          <w:rFonts w:cs="Arial"/>
          <w:szCs w:val="24"/>
          <w:u w:val="single"/>
        </w:rPr>
        <w:t>alternative treatment systems comply with the requirements for the Demonstrations of Technical Infeasibility and Commensurate Benefit set forth in Provisions C.3.c.i.(2)(c)(iii)c-</w:t>
      </w:r>
      <w:proofErr w:type="gramStart"/>
      <w:r w:rsidRPr="00B45252">
        <w:rPr>
          <w:rFonts w:cs="Arial"/>
          <w:szCs w:val="24"/>
          <w:u w:val="single"/>
        </w:rPr>
        <w:t>d;</w:t>
      </w:r>
      <w:proofErr w:type="gramEnd"/>
      <w:r w:rsidRPr="00B45252">
        <w:rPr>
          <w:rFonts w:cs="Arial"/>
          <w:szCs w:val="24"/>
          <w:u w:val="single"/>
        </w:rPr>
        <w:t xml:space="preserve"> </w:t>
      </w:r>
    </w:p>
    <w:p w14:paraId="718F89BC" w14:textId="6D9CE71C" w:rsidR="00EC6919" w:rsidRPr="00B45252" w:rsidRDefault="00771C43" w:rsidP="00EC6919">
      <w:pPr>
        <w:pStyle w:val="MRPA1ai1aia1"/>
        <w:ind w:left="1944"/>
        <w:contextualSpacing w:val="0"/>
        <w:rPr>
          <w:rFonts w:cs="Arial"/>
          <w:szCs w:val="24"/>
          <w:u w:val="single"/>
        </w:rPr>
      </w:pPr>
      <w:r>
        <w:rPr>
          <w:rFonts w:cs="Arial"/>
          <w:szCs w:val="24"/>
          <w:u w:val="single"/>
        </w:rPr>
        <w:t>R</w:t>
      </w:r>
      <w:r w:rsidR="00EC6919" w:rsidRPr="00B45252">
        <w:rPr>
          <w:rFonts w:cs="Arial"/>
          <w:szCs w:val="24"/>
          <w:u w:val="single"/>
        </w:rPr>
        <w:t xml:space="preserve">eview </w:t>
      </w:r>
      <w:r>
        <w:rPr>
          <w:rFonts w:cs="Arial"/>
          <w:szCs w:val="24"/>
          <w:u w:val="single"/>
        </w:rPr>
        <w:t>of</w:t>
      </w:r>
      <w:r w:rsidR="00EC6919" w:rsidRPr="00B45252">
        <w:rPr>
          <w:rFonts w:cs="Arial"/>
          <w:szCs w:val="24"/>
          <w:u w:val="single"/>
        </w:rPr>
        <w:t xml:space="preserve"> </w:t>
      </w:r>
      <w:r w:rsidR="005739B7" w:rsidRPr="00B45252">
        <w:rPr>
          <w:rFonts w:cs="Arial"/>
          <w:szCs w:val="24"/>
          <w:u w:val="single"/>
        </w:rPr>
        <w:t xml:space="preserve">data from </w:t>
      </w:r>
      <w:r w:rsidR="00EC6919" w:rsidRPr="00B45252">
        <w:rPr>
          <w:rFonts w:cs="Arial"/>
          <w:szCs w:val="24"/>
          <w:u w:val="single"/>
        </w:rPr>
        <w:t>monitoring and/or field studies</w:t>
      </w:r>
      <w:r w:rsidR="009461A9">
        <w:rPr>
          <w:rFonts w:cs="Arial"/>
          <w:szCs w:val="24"/>
          <w:u w:val="single"/>
        </w:rPr>
        <w:t>, and guidance on the use of that data</w:t>
      </w:r>
      <w:r w:rsidR="00991D5A" w:rsidRPr="00B45252">
        <w:rPr>
          <w:rFonts w:cs="Arial"/>
          <w:szCs w:val="24"/>
          <w:u w:val="single"/>
        </w:rPr>
        <w:t xml:space="preserve"> </w:t>
      </w:r>
      <w:r w:rsidR="00090418">
        <w:rPr>
          <w:rFonts w:cs="Arial"/>
          <w:szCs w:val="24"/>
          <w:u w:val="single"/>
        </w:rPr>
        <w:t xml:space="preserve">sufficient </w:t>
      </w:r>
      <w:r w:rsidR="00991D5A" w:rsidRPr="00B45252">
        <w:rPr>
          <w:rFonts w:cs="Arial"/>
          <w:szCs w:val="24"/>
          <w:u w:val="single"/>
        </w:rPr>
        <w:t xml:space="preserve">to </w:t>
      </w:r>
      <w:r w:rsidR="00C754BD" w:rsidRPr="00B45252">
        <w:rPr>
          <w:rFonts w:cs="Arial"/>
          <w:szCs w:val="24"/>
          <w:u w:val="single"/>
        </w:rPr>
        <w:t xml:space="preserve">demonstrate </w:t>
      </w:r>
      <w:r w:rsidR="00035862" w:rsidRPr="00B45252">
        <w:rPr>
          <w:rFonts w:cs="Arial"/>
          <w:szCs w:val="24"/>
          <w:u w:val="single"/>
        </w:rPr>
        <w:t xml:space="preserve">commensurate </w:t>
      </w:r>
      <w:proofErr w:type="gramStart"/>
      <w:r w:rsidR="00035862" w:rsidRPr="00B45252">
        <w:rPr>
          <w:rFonts w:cs="Arial"/>
          <w:szCs w:val="24"/>
          <w:u w:val="single"/>
        </w:rPr>
        <w:t>benefit</w:t>
      </w:r>
      <w:r w:rsidR="00EC6919" w:rsidRPr="00B45252">
        <w:rPr>
          <w:rFonts w:cs="Arial"/>
          <w:szCs w:val="24"/>
          <w:u w:val="single"/>
        </w:rPr>
        <w:t>;</w:t>
      </w:r>
      <w:proofErr w:type="gramEnd"/>
    </w:p>
    <w:p w14:paraId="24CFD48E" w14:textId="0FAEE4DF" w:rsidR="001674B7" w:rsidRPr="00B45252" w:rsidRDefault="001674B7" w:rsidP="001674B7">
      <w:pPr>
        <w:pStyle w:val="MRPA1ai1aia1"/>
        <w:ind w:left="1944"/>
        <w:contextualSpacing w:val="0"/>
        <w:rPr>
          <w:rFonts w:cs="Arial"/>
          <w:szCs w:val="24"/>
          <w:u w:val="single"/>
        </w:rPr>
      </w:pPr>
      <w:r w:rsidRPr="00B45252">
        <w:rPr>
          <w:rFonts w:cs="Arial"/>
          <w:szCs w:val="24"/>
          <w:u w:val="single"/>
        </w:rPr>
        <w:lastRenderedPageBreak/>
        <w:t>Guidance on how the Demonstrations of Technical Infeasibility and Commensurate Benefit apply to different types of projects; and</w:t>
      </w:r>
    </w:p>
    <w:p w14:paraId="541A1444" w14:textId="438EEE11" w:rsidR="001674B7" w:rsidRPr="00B45252" w:rsidRDefault="001674B7" w:rsidP="001674B7">
      <w:pPr>
        <w:pStyle w:val="MRPA1ai1aia1"/>
        <w:ind w:left="1944"/>
        <w:contextualSpacing w:val="0"/>
        <w:rPr>
          <w:rFonts w:cs="Arial"/>
          <w:szCs w:val="24"/>
          <w:u w:val="single"/>
        </w:rPr>
      </w:pPr>
      <w:r w:rsidRPr="00B45252">
        <w:rPr>
          <w:rFonts w:cs="Arial"/>
          <w:szCs w:val="24"/>
          <w:u w:val="single"/>
        </w:rPr>
        <w:t>How Permittees will incorporate assessment of technical infeasibility and commensurate benefit into the early stages of their municipal planning processes.</w:t>
      </w:r>
    </w:p>
    <w:p w14:paraId="078855E4" w14:textId="2296CBD6" w:rsidR="001674B7" w:rsidRPr="00B45252" w:rsidRDefault="00810AF6" w:rsidP="001674B7">
      <w:pPr>
        <w:pStyle w:val="MRPA1ai1aia"/>
        <w:ind w:left="1584"/>
        <w:rPr>
          <w:rFonts w:cs="Arial"/>
          <w:u w:val="single"/>
        </w:rPr>
      </w:pPr>
      <w:r>
        <w:rPr>
          <w:rFonts w:cs="Arial"/>
          <w:u w:val="single"/>
        </w:rPr>
        <w:t xml:space="preserve">If the Permittees choose to submit a Regional Guidance Document, they must do so on or before the deadline </w:t>
      </w:r>
      <w:r w:rsidR="00E57F24">
        <w:rPr>
          <w:rFonts w:cs="Arial"/>
          <w:u w:val="single"/>
        </w:rPr>
        <w:t>set forth in</w:t>
      </w:r>
      <w:r>
        <w:rPr>
          <w:rFonts w:cs="Arial"/>
          <w:u w:val="single"/>
        </w:rPr>
        <w:t xml:space="preserve"> </w:t>
      </w:r>
      <w:r w:rsidRPr="00430EFC">
        <w:rPr>
          <w:rFonts w:cs="Arial"/>
          <w:u w:val="single"/>
        </w:rPr>
        <w:t>Provision C.3.c.i.(2)(c)(iii)</w:t>
      </w:r>
      <w:r w:rsidR="00E57F24" w:rsidRPr="00430EFC">
        <w:rPr>
          <w:rFonts w:cs="Arial"/>
          <w:u w:val="single"/>
        </w:rPr>
        <w:t>f.2</w:t>
      </w:r>
      <w:r w:rsidR="008F2445" w:rsidRPr="00430EFC">
        <w:rPr>
          <w:rFonts w:cs="Arial"/>
          <w:u w:val="single"/>
        </w:rPr>
        <w:t>.</w:t>
      </w:r>
      <w:r w:rsidRPr="00430EFC">
        <w:rPr>
          <w:rFonts w:cs="Arial"/>
          <w:u w:val="single"/>
        </w:rPr>
        <w:t xml:space="preserve"> </w:t>
      </w:r>
      <w:r w:rsidR="00E57F24" w:rsidRPr="00430EFC">
        <w:rPr>
          <w:rFonts w:cs="Arial"/>
          <w:u w:val="single"/>
        </w:rPr>
        <w:t xml:space="preserve">The Regional Guidance Document is subject to the approval of the Executive Officer. </w:t>
      </w:r>
      <w:r w:rsidR="001674B7" w:rsidRPr="00B45252">
        <w:rPr>
          <w:rFonts w:cs="Arial"/>
          <w:u w:val="single"/>
        </w:rPr>
        <w:t xml:space="preserve">If the Executive Officer determines that the Regional Guidance Document is sufficiently detailed to enable Permittee review of </w:t>
      </w:r>
      <w:r w:rsidR="00DD47D5">
        <w:rPr>
          <w:rFonts w:cs="Arial"/>
          <w:u w:val="single"/>
        </w:rPr>
        <w:t>D</w:t>
      </w:r>
      <w:r w:rsidR="001674B7" w:rsidRPr="00B45252">
        <w:rPr>
          <w:rFonts w:cs="Arial"/>
          <w:u w:val="single"/>
        </w:rPr>
        <w:t xml:space="preserve">emonstrations of </w:t>
      </w:r>
      <w:r w:rsidR="00DD47D5">
        <w:rPr>
          <w:rFonts w:cs="Arial"/>
          <w:u w:val="single"/>
        </w:rPr>
        <w:t>T</w:t>
      </w:r>
      <w:r w:rsidR="001674B7" w:rsidRPr="00B45252">
        <w:rPr>
          <w:rFonts w:cs="Arial"/>
          <w:u w:val="single"/>
        </w:rPr>
        <w:t xml:space="preserve">echnical </w:t>
      </w:r>
      <w:r w:rsidR="00DD47D5">
        <w:rPr>
          <w:rFonts w:cs="Arial"/>
          <w:u w:val="single"/>
        </w:rPr>
        <w:t>I</w:t>
      </w:r>
      <w:r w:rsidR="001674B7" w:rsidRPr="00B45252">
        <w:rPr>
          <w:rFonts w:cs="Arial"/>
          <w:u w:val="single"/>
        </w:rPr>
        <w:t xml:space="preserve">nfeasibility and </w:t>
      </w:r>
      <w:r w:rsidR="00DD47D5">
        <w:rPr>
          <w:rFonts w:cs="Arial"/>
          <w:u w:val="single"/>
        </w:rPr>
        <w:t>C</w:t>
      </w:r>
      <w:r w:rsidR="001674B7" w:rsidRPr="00B45252">
        <w:rPr>
          <w:rFonts w:cs="Arial"/>
          <w:u w:val="single"/>
        </w:rPr>
        <w:t xml:space="preserve">ommensurate </w:t>
      </w:r>
      <w:r w:rsidR="00DD47D5">
        <w:rPr>
          <w:rFonts w:cs="Arial"/>
          <w:u w:val="single"/>
        </w:rPr>
        <w:t>B</w:t>
      </w:r>
      <w:r w:rsidR="001674B7" w:rsidRPr="00B45252">
        <w:rPr>
          <w:rFonts w:cs="Arial"/>
          <w:u w:val="single"/>
        </w:rPr>
        <w:t>enefits for Regulated Projects on a consistent, objective</w:t>
      </w:r>
      <w:r w:rsidR="00A70512">
        <w:rPr>
          <w:rFonts w:cs="Arial"/>
          <w:u w:val="single"/>
        </w:rPr>
        <w:t>,</w:t>
      </w:r>
      <w:r w:rsidR="001674B7" w:rsidRPr="00B45252">
        <w:rPr>
          <w:rFonts w:cs="Arial"/>
          <w:u w:val="single"/>
        </w:rPr>
        <w:t xml:space="preserve"> and rigorous basis, the Executive Officer may, in the approval of the Regional Guidance Document, allow Permittee</w:t>
      </w:r>
      <w:r w:rsidR="001674B7" w:rsidRPr="00B45252">
        <w:rPr>
          <w:rStyle w:val="FootnoteReference"/>
          <w:rFonts w:cs="Arial"/>
          <w:u w:val="single"/>
        </w:rPr>
        <w:footnoteReference w:id="7"/>
      </w:r>
      <w:r w:rsidR="001674B7" w:rsidRPr="00B45252">
        <w:rPr>
          <w:rFonts w:cs="Arial"/>
          <w:u w:val="single"/>
        </w:rPr>
        <w:t xml:space="preserve"> approval of the Demonstration of Technical Infeasibility and of the Demonstration of Commensurate Benefit for Regulated Projects in lieu of the requirement for Executive Officer approval of both demonstrations, contingent on Permittees implementing the approved Regional Guidance Document for those Regulated Projects.</w:t>
      </w:r>
    </w:p>
    <w:p w14:paraId="4302DEB0" w14:textId="77777777" w:rsidR="00EC6919" w:rsidRPr="00B45252" w:rsidRDefault="00EC6919" w:rsidP="00EC6919">
      <w:pPr>
        <w:pStyle w:val="MRPA1ai1aia"/>
        <w:numPr>
          <w:ilvl w:val="7"/>
          <w:numId w:val="10"/>
        </w:numPr>
        <w:ind w:left="1584"/>
        <w:rPr>
          <w:rFonts w:cs="Arial"/>
          <w:u w:val="single"/>
        </w:rPr>
      </w:pPr>
      <w:r w:rsidRPr="00B45252">
        <w:rPr>
          <w:rFonts w:cs="Arial"/>
          <w:u w:val="single"/>
        </w:rPr>
        <w:t>Reporting</w:t>
      </w:r>
    </w:p>
    <w:p w14:paraId="6025EA7D" w14:textId="6D71A24F" w:rsidR="00EC6919" w:rsidRPr="00B45252" w:rsidRDefault="00EC6919" w:rsidP="2815F8F2">
      <w:pPr>
        <w:pStyle w:val="MRPA1ai1aia1"/>
        <w:numPr>
          <w:ilvl w:val="0"/>
          <w:numId w:val="15"/>
        </w:numPr>
        <w:ind w:left="1944"/>
        <w:contextualSpacing w:val="0"/>
        <w:rPr>
          <w:rFonts w:cs="Arial"/>
          <w:u w:val="single"/>
        </w:rPr>
      </w:pPr>
      <w:r w:rsidRPr="2815F8F2">
        <w:rPr>
          <w:rFonts w:cs="Arial"/>
          <w:u w:val="single"/>
        </w:rPr>
        <w:t xml:space="preserve">In each Annual Report, Permittees shall provide the following information for each Regulated Project that is implementing Provision C.3.c.i.(2)(c)(iii): the final percentage of LID treatment and non-LID treatment and all other information reported for Regulated Projects pursuant to Provision C.3.b.iv. </w:t>
      </w:r>
    </w:p>
    <w:p w14:paraId="29A1B479" w14:textId="7104E0B8" w:rsidR="00EC6919" w:rsidRPr="00B45252" w:rsidRDefault="00EC6919" w:rsidP="00EC6919">
      <w:pPr>
        <w:pStyle w:val="MRPA1ai1aia1"/>
        <w:ind w:left="1944"/>
        <w:contextualSpacing w:val="0"/>
        <w:rPr>
          <w:rFonts w:cs="Arial"/>
          <w:szCs w:val="24"/>
          <w:u w:val="single"/>
        </w:rPr>
      </w:pPr>
      <w:r w:rsidRPr="00B45252">
        <w:rPr>
          <w:rFonts w:cs="Arial"/>
          <w:szCs w:val="24"/>
          <w:u w:val="single"/>
        </w:rPr>
        <w:t xml:space="preserve">If the </w:t>
      </w:r>
      <w:proofErr w:type="gramStart"/>
      <w:r w:rsidRPr="00B45252">
        <w:rPr>
          <w:rFonts w:cs="Arial"/>
          <w:szCs w:val="24"/>
          <w:u w:val="single"/>
        </w:rPr>
        <w:t>Permittees</w:t>
      </w:r>
      <w:proofErr w:type="gramEnd"/>
      <w:r w:rsidRPr="00B45252">
        <w:rPr>
          <w:rFonts w:cs="Arial"/>
          <w:szCs w:val="24"/>
          <w:u w:val="single"/>
        </w:rPr>
        <w:t xml:space="preserve"> choose to submit the Regional Guidance Document</w:t>
      </w:r>
      <w:r w:rsidR="00FF5B64">
        <w:rPr>
          <w:rFonts w:cs="Arial"/>
          <w:szCs w:val="24"/>
          <w:u w:val="single"/>
        </w:rPr>
        <w:t>—</w:t>
      </w:r>
      <w:r w:rsidRPr="00B45252">
        <w:rPr>
          <w:rFonts w:cs="Arial"/>
          <w:szCs w:val="24"/>
          <w:u w:val="single"/>
        </w:rPr>
        <w:t>which is a prerequisite to their implementation of Provision C.3.c.i.(2)(c)(iii)</w:t>
      </w:r>
      <w:r w:rsidR="00FF5B64">
        <w:rPr>
          <w:rFonts w:cs="Arial"/>
          <w:szCs w:val="24"/>
          <w:u w:val="single"/>
        </w:rPr>
        <w:t>—</w:t>
      </w:r>
      <w:r w:rsidRPr="00B45252">
        <w:rPr>
          <w:rFonts w:cs="Arial"/>
          <w:szCs w:val="24"/>
          <w:u w:val="single"/>
        </w:rPr>
        <w:t xml:space="preserve">it shall be submitted no later than with the 2025 Annual Reports. </w:t>
      </w:r>
    </w:p>
    <w:p w14:paraId="4BF8F9C6" w14:textId="3E9C5E79" w:rsidR="00381676" w:rsidRDefault="00381676" w:rsidP="000C651B">
      <w:pPr>
        <w:pStyle w:val="ListParagraph"/>
        <w:numPr>
          <w:ilvl w:val="0"/>
          <w:numId w:val="2"/>
        </w:numPr>
        <w:spacing w:after="120" w:line="240" w:lineRule="auto"/>
        <w:contextualSpacing w:val="0"/>
        <w:rPr>
          <w:rFonts w:ascii="Arial" w:hAnsi="Arial" w:cs="Arial"/>
          <w:sz w:val="24"/>
          <w:szCs w:val="24"/>
        </w:rPr>
      </w:pPr>
      <w:r>
        <w:rPr>
          <w:rFonts w:ascii="Arial" w:hAnsi="Arial" w:cs="Arial"/>
          <w:sz w:val="24"/>
          <w:szCs w:val="24"/>
        </w:rPr>
        <w:t xml:space="preserve">Provision C.3.e.ii.(5) Category C Special Project Criteria (Affordable Housing) </w:t>
      </w:r>
      <w:r w:rsidR="00CD1321">
        <w:rPr>
          <w:rFonts w:ascii="Arial" w:hAnsi="Arial" w:cs="Arial"/>
          <w:sz w:val="24"/>
          <w:szCs w:val="24"/>
        </w:rPr>
        <w:t xml:space="preserve">of </w:t>
      </w:r>
      <w:r w:rsidR="00CD1321" w:rsidRPr="00CD1321">
        <w:rPr>
          <w:rFonts w:ascii="Arial" w:hAnsi="Arial" w:cs="Arial"/>
          <w:sz w:val="24"/>
          <w:szCs w:val="24"/>
        </w:rPr>
        <w:t>Order No. R2-2022-0018</w:t>
      </w:r>
      <w:r w:rsidR="00CD1321">
        <w:rPr>
          <w:rFonts w:ascii="Arial" w:hAnsi="Arial" w:cs="Arial"/>
          <w:sz w:val="24"/>
          <w:szCs w:val="24"/>
        </w:rPr>
        <w:t xml:space="preserve"> </w:t>
      </w:r>
      <w:r>
        <w:rPr>
          <w:rFonts w:ascii="Arial" w:hAnsi="Arial" w:cs="Arial"/>
          <w:sz w:val="24"/>
          <w:szCs w:val="24"/>
        </w:rPr>
        <w:t>is amended, as follows:</w:t>
      </w:r>
    </w:p>
    <w:p w14:paraId="4526CE1B" w14:textId="77777777" w:rsidR="00D11820" w:rsidRPr="00715453" w:rsidRDefault="00D11820" w:rsidP="00D11820">
      <w:pPr>
        <w:pStyle w:val="MRPA1ai1"/>
      </w:pPr>
      <w:r w:rsidRPr="004924D5">
        <w:t>Category</w:t>
      </w:r>
      <w:r>
        <w:t xml:space="preserve"> C Special Project Criteria (Affordable Housing)</w:t>
      </w:r>
    </w:p>
    <w:p w14:paraId="7CBDAEAF" w14:textId="25DC7C4F" w:rsidR="00D11820" w:rsidRDefault="00D11820" w:rsidP="00D11820">
      <w:pPr>
        <w:pStyle w:val="MRPA1ai1a"/>
        <w:ind w:left="1800"/>
      </w:pPr>
      <w:r>
        <w:t xml:space="preserve">For the </w:t>
      </w:r>
      <w:r w:rsidRPr="003E1C09">
        <w:t>purposes</w:t>
      </w:r>
      <w:r>
        <w:t xml:space="preserve"> of attributing Affordable Housing Credits, affordable housing is defined as preserved housing with deed restrictions running at least 55 years</w:t>
      </w:r>
      <w:r w:rsidRPr="005B0CBA">
        <w:rPr>
          <w:u w:val="single"/>
        </w:rPr>
        <w:t xml:space="preserve">, </w:t>
      </w:r>
      <w:r>
        <w:t xml:space="preserve">at rent/mortgage rates (including utilities) no greater than 30 percent of the total household income, and which meets the following income levels specified in the Federal Department of Housing </w:t>
      </w:r>
      <w:r>
        <w:lastRenderedPageBreak/>
        <w:t xml:space="preserve">and Urban Development’s (HUD’s) definition of affordable housing in metropolitan areas: For metropolitan areas, HUD defines </w:t>
      </w:r>
      <w:r w:rsidRPr="00A75AB8">
        <w:rPr>
          <w:u w:val="single"/>
        </w:rPr>
        <w:t xml:space="preserve">Acutely Low household incomes as 0-15 percent of area median household income (AMI), </w:t>
      </w:r>
      <w:r>
        <w:t xml:space="preserve">Extremely Low household incomes as 0-30 percent of </w:t>
      </w:r>
      <w:r w:rsidR="008C66C5" w:rsidRPr="00A75AB8">
        <w:rPr>
          <w:strike/>
        </w:rPr>
        <w:t>area median household income (</w:t>
      </w:r>
      <w:r w:rsidRPr="00A75AB8">
        <w:rPr>
          <w:u w:val="single"/>
        </w:rPr>
        <w:t>AMI</w:t>
      </w:r>
      <w:r w:rsidR="008C66C5" w:rsidRPr="00A75AB8">
        <w:rPr>
          <w:strike/>
        </w:rPr>
        <w:t>)</w:t>
      </w:r>
      <w:r w:rsidRPr="00A75AB8">
        <w:rPr>
          <w:u w:val="single"/>
        </w:rPr>
        <w:t xml:space="preserve">, </w:t>
      </w:r>
      <w:r>
        <w:t xml:space="preserve">Very Low household incomes as 31-50 percent of AMI, Low household incomes as 51-80 percent of AMI, and Moderate household incomes as 81-120 percent of AMI. </w:t>
      </w:r>
    </w:p>
    <w:p w14:paraId="13E3575A" w14:textId="77777777" w:rsidR="00D11820" w:rsidRPr="00715453" w:rsidRDefault="00D11820" w:rsidP="001D132A">
      <w:pPr>
        <w:pStyle w:val="MRPA1ai1aBody"/>
        <w:spacing w:after="80"/>
      </w:pPr>
      <w:r w:rsidRPr="00715453">
        <w:t xml:space="preserve">To be </w:t>
      </w:r>
      <w:r w:rsidRPr="009703C1">
        <w:t>considered</w:t>
      </w:r>
      <w:r w:rsidRPr="00715453">
        <w:t xml:space="preserve"> a Category C Special Project, a Regulated Project must </w:t>
      </w:r>
      <w:r>
        <w:t xml:space="preserve">additionally </w:t>
      </w:r>
      <w:r w:rsidRPr="00715453">
        <w:t xml:space="preserve">meet </w:t>
      </w:r>
      <w:r>
        <w:t>both</w:t>
      </w:r>
      <w:r w:rsidRPr="00715453">
        <w:t xml:space="preserve"> of the following criteria:</w:t>
      </w:r>
    </w:p>
    <w:p w14:paraId="139AE134" w14:textId="34E4EE02" w:rsidR="00D11820" w:rsidRPr="009703C1" w:rsidRDefault="00D11820" w:rsidP="001D132A">
      <w:pPr>
        <w:pStyle w:val="MRPA1ai1ai"/>
        <w:spacing w:after="80"/>
        <w:ind w:left="2160"/>
      </w:pPr>
      <w:r w:rsidRPr="009703C1">
        <w:t>Be primarily a residential development project</w:t>
      </w:r>
      <w:r w:rsidR="00513AC7">
        <w:rPr>
          <w:u w:val="single"/>
        </w:rPr>
        <w:t>,</w:t>
      </w:r>
      <w:r w:rsidRPr="00C56229">
        <w:rPr>
          <w:rStyle w:val="FootnoteReference"/>
          <w:u w:val="single"/>
        </w:rPr>
        <w:footnoteReference w:id="8"/>
      </w:r>
      <w:r w:rsidR="007115F6">
        <w:rPr>
          <w:u w:val="single"/>
        </w:rPr>
        <w:t xml:space="preserve"> and</w:t>
      </w:r>
    </w:p>
    <w:p w14:paraId="37BE42A3" w14:textId="09BC0688" w:rsidR="00D11820" w:rsidRPr="009703C1" w:rsidRDefault="00D11820" w:rsidP="00CE35C5">
      <w:pPr>
        <w:pStyle w:val="MRPA1ai1ai"/>
        <w:ind w:left="2160"/>
      </w:pPr>
      <w:r w:rsidRPr="009703C1">
        <w:t xml:space="preserve">Achieve at least a gross density of 40 DU/Ac. </w:t>
      </w:r>
    </w:p>
    <w:p w14:paraId="190F2A47" w14:textId="77777777" w:rsidR="00D11820" w:rsidRPr="00C56229" w:rsidRDefault="00D11820" w:rsidP="00D11820">
      <w:pPr>
        <w:pStyle w:val="MRPA1ai1a"/>
        <w:ind w:left="1800"/>
        <w:rPr>
          <w:u w:val="single"/>
        </w:rPr>
      </w:pPr>
      <w:r w:rsidRPr="00B07F6D">
        <w:t xml:space="preserve">For any Category C Special Project, the total maximum LID Treatment Reduction Credit allowed is the sum of four different types of credits that the Category C Special Project may qualify for, namely: Affordable Housing, Location, Density, and Minimized Surface Parking Credits. </w:t>
      </w:r>
      <w:r w:rsidRPr="00C56229">
        <w:rPr>
          <w:u w:val="single"/>
        </w:rPr>
        <w:t xml:space="preserve">The total maximum LID Treatment Reduction Credit for any Category C Special Project may not exceed 100 percent. </w:t>
      </w:r>
    </w:p>
    <w:p w14:paraId="75D5AF12" w14:textId="069FE4DF" w:rsidR="00D11820" w:rsidRPr="00B07F6D" w:rsidRDefault="00D11820" w:rsidP="00D11820">
      <w:pPr>
        <w:pStyle w:val="MRPA1ai1a"/>
        <w:ind w:left="1800"/>
      </w:pPr>
      <w:r w:rsidRPr="00B07F6D">
        <w:t>Affordable Housing Credits: A Category C Special Project may qualify for Affordable Housing Credits, according to the following criteria. The income limits that shall be used for these criteria are the most current Official State Income Limits (adjusted for household size), which are defined on the California Department of Housing and Community Development’s website.</w:t>
      </w:r>
      <w:r w:rsidRPr="00D14B3B">
        <w:rPr>
          <w:rStyle w:val="FootnoteReference"/>
        </w:rPr>
        <w:footnoteReference w:id="9"/>
      </w:r>
      <w:r w:rsidRPr="00D14B3B">
        <w:rPr>
          <w:vertAlign w:val="superscript"/>
        </w:rPr>
        <w:t>,</w:t>
      </w:r>
      <w:r w:rsidRPr="00D14B3B">
        <w:rPr>
          <w:rStyle w:val="FootnoteReference"/>
        </w:rPr>
        <w:footnoteReference w:id="10"/>
      </w:r>
      <w:r w:rsidRPr="00B07F6D">
        <w:t xml:space="preserve"> All qualifying affordable housing DUs must be preserved housing with deed restrictions running at least 55 years</w:t>
      </w:r>
      <w:r w:rsidRPr="005F0BA8">
        <w:rPr>
          <w:u w:val="single"/>
        </w:rPr>
        <w:t>,</w:t>
      </w:r>
      <w:r w:rsidRPr="00B07F6D">
        <w:t xml:space="preserve"> at rent/mortgage rates (including utilities) no greater than 30 percent of the total household income. </w:t>
      </w:r>
    </w:p>
    <w:p w14:paraId="21AA381B" w14:textId="5BA204F3" w:rsidR="00D11820" w:rsidRPr="00B36BAF" w:rsidRDefault="00D11820" w:rsidP="00D11820">
      <w:pPr>
        <w:pStyle w:val="MRPA1ai1a"/>
        <w:numPr>
          <w:ilvl w:val="0"/>
          <w:numId w:val="0"/>
        </w:numPr>
        <w:ind w:left="1800"/>
        <w:rPr>
          <w:u w:val="single"/>
        </w:rPr>
      </w:pPr>
      <w:r w:rsidRPr="00B36BAF">
        <w:rPr>
          <w:u w:val="single"/>
        </w:rPr>
        <w:t xml:space="preserve">In each Category C Special Project, up to three DUs that are used as </w:t>
      </w:r>
      <w:r w:rsidR="00BA2966">
        <w:rPr>
          <w:u w:val="single"/>
        </w:rPr>
        <w:t>bui</w:t>
      </w:r>
      <w:r w:rsidR="003F4DAF">
        <w:rPr>
          <w:u w:val="single"/>
        </w:rPr>
        <w:t>l</w:t>
      </w:r>
      <w:r w:rsidR="00BA2966">
        <w:rPr>
          <w:u w:val="single"/>
        </w:rPr>
        <w:t>ding</w:t>
      </w:r>
      <w:r w:rsidR="00225EDE">
        <w:rPr>
          <w:u w:val="single"/>
        </w:rPr>
        <w:t xml:space="preserve"> m</w:t>
      </w:r>
      <w:r w:rsidRPr="00B36BAF">
        <w:rPr>
          <w:u w:val="single"/>
        </w:rPr>
        <w:t>anager’s DUs may be exempted from the deed restriction requirement and may be excluded from the calculations described below in Provision C.3.e.ii.(5)(c)(</w:t>
      </w:r>
      <w:proofErr w:type="spellStart"/>
      <w:r w:rsidRPr="00B36BAF">
        <w:rPr>
          <w:u w:val="single"/>
        </w:rPr>
        <w:t>i</w:t>
      </w:r>
      <w:proofErr w:type="spellEnd"/>
      <w:r w:rsidRPr="00B36BAF">
        <w:rPr>
          <w:u w:val="single"/>
        </w:rPr>
        <w:t xml:space="preserve">)-(ii). </w:t>
      </w:r>
    </w:p>
    <w:p w14:paraId="1A37334F" w14:textId="77777777" w:rsidR="00D11820" w:rsidRPr="00B36BAF" w:rsidRDefault="00D11820" w:rsidP="00D11820">
      <w:pPr>
        <w:pStyle w:val="MRPA1ai1a"/>
        <w:numPr>
          <w:ilvl w:val="0"/>
          <w:numId w:val="0"/>
        </w:numPr>
        <w:ind w:left="1800"/>
        <w:rPr>
          <w:u w:val="single"/>
        </w:rPr>
      </w:pPr>
      <w:r w:rsidRPr="00B36BAF">
        <w:rPr>
          <w:u w:val="single"/>
        </w:rPr>
        <w:t xml:space="preserve">The following two steps shall be used to calculate Affordable Housing Credits: </w:t>
      </w:r>
    </w:p>
    <w:p w14:paraId="52B82CD3" w14:textId="40EAA845" w:rsidR="00D11820" w:rsidRPr="00B36BAF" w:rsidRDefault="00D11820" w:rsidP="00CE35C5">
      <w:pPr>
        <w:pStyle w:val="MRPA1ai1ai"/>
        <w:numPr>
          <w:ilvl w:val="0"/>
          <w:numId w:val="21"/>
        </w:numPr>
        <w:ind w:left="2160"/>
        <w:rPr>
          <w:u w:val="single"/>
        </w:rPr>
      </w:pPr>
      <w:r w:rsidRPr="00B36BAF">
        <w:rPr>
          <w:u w:val="single"/>
        </w:rPr>
        <w:t xml:space="preserve">First, the percentage of the project’s DUs in each affordability category are multiplied by the respective </w:t>
      </w:r>
      <w:r w:rsidR="00D17F51">
        <w:rPr>
          <w:u w:val="single"/>
        </w:rPr>
        <w:t>c</w:t>
      </w:r>
      <w:r w:rsidRPr="00B36BAF">
        <w:rPr>
          <w:u w:val="single"/>
        </w:rPr>
        <w:t xml:space="preserve">redit </w:t>
      </w:r>
      <w:r w:rsidR="00035DE7">
        <w:rPr>
          <w:u w:val="single"/>
        </w:rPr>
        <w:t>m</w:t>
      </w:r>
      <w:r w:rsidRPr="00B36BAF">
        <w:rPr>
          <w:u w:val="single"/>
        </w:rPr>
        <w:t xml:space="preserve">ultipliers, </w:t>
      </w:r>
      <w:r w:rsidRPr="00B36BAF">
        <w:rPr>
          <w:u w:val="single"/>
        </w:rPr>
        <w:lastRenderedPageBreak/>
        <w:t xml:space="preserve">according to the table below, and rounded to the nearest whole number. </w:t>
      </w:r>
    </w:p>
    <w:tbl>
      <w:tblPr>
        <w:tblStyle w:val="TableGrid"/>
        <w:tblW w:w="0" w:type="auto"/>
        <w:tblInd w:w="2376" w:type="dxa"/>
        <w:tblLook w:val="04A0" w:firstRow="1" w:lastRow="0" w:firstColumn="1" w:lastColumn="0" w:noHBand="0" w:noVBand="1"/>
        <w:tblCaption w:val="cat c step 1 table"/>
        <w:tblDescription w:val="cat c step 1 table"/>
      </w:tblPr>
      <w:tblGrid>
        <w:gridCol w:w="3403"/>
        <w:gridCol w:w="3571"/>
      </w:tblGrid>
      <w:tr w:rsidR="00D11820" w:rsidRPr="0079693B" w14:paraId="46475473" w14:textId="77777777" w:rsidTr="008747A5">
        <w:trPr>
          <w:trHeight w:val="287"/>
        </w:trPr>
        <w:tc>
          <w:tcPr>
            <w:tcW w:w="3403" w:type="dxa"/>
            <w:shd w:val="pct10" w:color="auto" w:fill="auto"/>
          </w:tcPr>
          <w:p w14:paraId="7E9C6D4B" w14:textId="77777777" w:rsidR="00D11820" w:rsidRPr="00B36BAF" w:rsidRDefault="00D11820" w:rsidP="008747A5">
            <w:pPr>
              <w:pStyle w:val="MRPA1ai1ai"/>
              <w:numPr>
                <w:ilvl w:val="0"/>
                <w:numId w:val="0"/>
              </w:numPr>
              <w:spacing w:before="60" w:after="60" w:line="259" w:lineRule="auto"/>
              <w:rPr>
                <w:u w:val="single"/>
              </w:rPr>
            </w:pPr>
            <w:bookmarkStart w:id="3" w:name="_Hlk129873505"/>
            <w:r w:rsidRPr="00B36BAF">
              <w:rPr>
                <w:u w:val="single"/>
              </w:rPr>
              <w:t>AMI</w:t>
            </w:r>
          </w:p>
        </w:tc>
        <w:tc>
          <w:tcPr>
            <w:tcW w:w="3571" w:type="dxa"/>
            <w:shd w:val="pct10" w:color="auto" w:fill="auto"/>
          </w:tcPr>
          <w:p w14:paraId="5219E3DC"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Credit Multiplier</w:t>
            </w:r>
          </w:p>
        </w:tc>
      </w:tr>
      <w:tr w:rsidR="00D11820" w:rsidRPr="0079693B" w14:paraId="05A3DF0B" w14:textId="77777777" w:rsidTr="005C6977">
        <w:tc>
          <w:tcPr>
            <w:tcW w:w="3403" w:type="dxa"/>
          </w:tcPr>
          <w:p w14:paraId="397F9E56"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Moderate (≤120% of AMI)</w:t>
            </w:r>
          </w:p>
        </w:tc>
        <w:tc>
          <w:tcPr>
            <w:tcW w:w="3571" w:type="dxa"/>
          </w:tcPr>
          <w:p w14:paraId="6FEA2BEC"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0.20</w:t>
            </w:r>
          </w:p>
        </w:tc>
      </w:tr>
      <w:tr w:rsidR="00D11820" w:rsidRPr="0079693B" w14:paraId="25DBAB89" w14:textId="77777777" w:rsidTr="005C6977">
        <w:tc>
          <w:tcPr>
            <w:tcW w:w="3403" w:type="dxa"/>
          </w:tcPr>
          <w:p w14:paraId="7AB06875"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Low (≤ 80% of AMI)</w:t>
            </w:r>
          </w:p>
        </w:tc>
        <w:tc>
          <w:tcPr>
            <w:tcW w:w="3571" w:type="dxa"/>
          </w:tcPr>
          <w:p w14:paraId="5CA44AEF"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1.00</w:t>
            </w:r>
          </w:p>
        </w:tc>
      </w:tr>
      <w:tr w:rsidR="00D11820" w:rsidRPr="0079693B" w14:paraId="504ADE89" w14:textId="77777777" w:rsidTr="005C6977">
        <w:tc>
          <w:tcPr>
            <w:tcW w:w="3403" w:type="dxa"/>
          </w:tcPr>
          <w:p w14:paraId="77507225"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Very Low (≤ 50% of AMI)</w:t>
            </w:r>
          </w:p>
        </w:tc>
        <w:tc>
          <w:tcPr>
            <w:tcW w:w="3571" w:type="dxa"/>
          </w:tcPr>
          <w:p w14:paraId="6437EB4D"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2.00</w:t>
            </w:r>
          </w:p>
        </w:tc>
      </w:tr>
      <w:tr w:rsidR="00D11820" w:rsidRPr="0079693B" w14:paraId="659174AF" w14:textId="77777777" w:rsidTr="005C6977">
        <w:tc>
          <w:tcPr>
            <w:tcW w:w="3403" w:type="dxa"/>
          </w:tcPr>
          <w:p w14:paraId="63480762"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Extremely Low (≤30% of AMI)</w:t>
            </w:r>
          </w:p>
        </w:tc>
        <w:tc>
          <w:tcPr>
            <w:tcW w:w="3571" w:type="dxa"/>
          </w:tcPr>
          <w:p w14:paraId="5D501DBB"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3.00</w:t>
            </w:r>
          </w:p>
        </w:tc>
      </w:tr>
      <w:tr w:rsidR="00D11820" w:rsidRPr="0079693B" w14:paraId="1B76C7B6" w14:textId="77777777" w:rsidTr="005C6977">
        <w:tc>
          <w:tcPr>
            <w:tcW w:w="3403" w:type="dxa"/>
          </w:tcPr>
          <w:p w14:paraId="1836510B"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Acutely Low (≤15% of AMI)</w:t>
            </w:r>
            <w:r w:rsidRPr="00B36BAF">
              <w:rPr>
                <w:rStyle w:val="FootnoteReference"/>
                <w:u w:val="single"/>
              </w:rPr>
              <w:footnoteReference w:id="11"/>
            </w:r>
          </w:p>
        </w:tc>
        <w:tc>
          <w:tcPr>
            <w:tcW w:w="3571" w:type="dxa"/>
          </w:tcPr>
          <w:p w14:paraId="76CFC2F2"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4.00</w:t>
            </w:r>
          </w:p>
        </w:tc>
      </w:tr>
    </w:tbl>
    <w:bookmarkEnd w:id="3"/>
    <w:p w14:paraId="2205CA4E" w14:textId="4522239D" w:rsidR="00D11820" w:rsidRPr="00B36BAF" w:rsidRDefault="00D11820" w:rsidP="001D369B">
      <w:pPr>
        <w:pStyle w:val="MRPA1ai1ai"/>
        <w:spacing w:before="160"/>
        <w:ind w:left="2160"/>
        <w:rPr>
          <w:u w:val="single"/>
        </w:rPr>
      </w:pPr>
      <w:r w:rsidRPr="00B36BAF">
        <w:rPr>
          <w:u w:val="single"/>
        </w:rPr>
        <w:t>Second, the credits generated from the table above in the first step in Provision C.3.e.ii.(5)(c)(</w:t>
      </w:r>
      <w:proofErr w:type="spellStart"/>
      <w:r w:rsidRPr="00B36BAF">
        <w:rPr>
          <w:u w:val="single"/>
        </w:rPr>
        <w:t>i</w:t>
      </w:r>
      <w:proofErr w:type="spellEnd"/>
      <w:r w:rsidRPr="00B36BAF">
        <w:rPr>
          <w:u w:val="single"/>
        </w:rPr>
        <w:t xml:space="preserve">) are summed together to produce a </w:t>
      </w:r>
      <w:r w:rsidR="004E0D77">
        <w:rPr>
          <w:u w:val="single"/>
        </w:rPr>
        <w:t>w</w:t>
      </w:r>
      <w:r w:rsidRPr="00B36BAF">
        <w:rPr>
          <w:u w:val="single"/>
        </w:rPr>
        <w:t xml:space="preserve">eighted </w:t>
      </w:r>
      <w:r w:rsidR="004E0D77">
        <w:rPr>
          <w:u w:val="single"/>
        </w:rPr>
        <w:t>s</w:t>
      </w:r>
      <w:r w:rsidRPr="00B36BAF">
        <w:rPr>
          <w:u w:val="single"/>
        </w:rPr>
        <w:t xml:space="preserve">um and rounded to the nearest whole number. Then Affordable Housing Credit is granted according to which </w:t>
      </w:r>
      <w:r w:rsidR="004E0D77">
        <w:rPr>
          <w:u w:val="single"/>
        </w:rPr>
        <w:t>w</w:t>
      </w:r>
      <w:r w:rsidRPr="00B36BAF">
        <w:rPr>
          <w:u w:val="single"/>
        </w:rPr>
        <w:t xml:space="preserve">eighted </w:t>
      </w:r>
      <w:r w:rsidR="004E0D77">
        <w:rPr>
          <w:u w:val="single"/>
        </w:rPr>
        <w:t>s</w:t>
      </w:r>
      <w:r w:rsidRPr="00B36BAF">
        <w:rPr>
          <w:u w:val="single"/>
        </w:rPr>
        <w:t xml:space="preserve">um range (in the table below) that whole number (X) falls into. </w:t>
      </w:r>
    </w:p>
    <w:tbl>
      <w:tblPr>
        <w:tblStyle w:val="TableGrid"/>
        <w:tblW w:w="7069" w:type="dxa"/>
        <w:tblInd w:w="2376" w:type="dxa"/>
        <w:tblLook w:val="04A0" w:firstRow="1" w:lastRow="0" w:firstColumn="1" w:lastColumn="0" w:noHBand="0" w:noVBand="1"/>
        <w:tblCaption w:val="cat c step 2 table"/>
        <w:tblDescription w:val="cat c step 2 table"/>
      </w:tblPr>
      <w:tblGrid>
        <w:gridCol w:w="3559"/>
        <w:gridCol w:w="3510"/>
      </w:tblGrid>
      <w:tr w:rsidR="00D11820" w:rsidRPr="0079693B" w14:paraId="0E0E4A2D" w14:textId="77777777" w:rsidTr="005C6977">
        <w:tc>
          <w:tcPr>
            <w:tcW w:w="3559" w:type="dxa"/>
            <w:shd w:val="pct10" w:color="auto" w:fill="auto"/>
          </w:tcPr>
          <w:p w14:paraId="532EE608"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Weighted Sum (whole number)</w:t>
            </w:r>
          </w:p>
        </w:tc>
        <w:tc>
          <w:tcPr>
            <w:tcW w:w="3510" w:type="dxa"/>
            <w:shd w:val="pct10" w:color="auto" w:fill="auto"/>
          </w:tcPr>
          <w:p w14:paraId="493B96A0"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Affordable Housing Credit</w:t>
            </w:r>
          </w:p>
        </w:tc>
      </w:tr>
      <w:tr w:rsidR="00D11820" w:rsidRPr="0079693B" w14:paraId="18123857" w14:textId="77777777" w:rsidTr="005C6977">
        <w:tc>
          <w:tcPr>
            <w:tcW w:w="3559" w:type="dxa"/>
            <w:vAlign w:val="bottom"/>
          </w:tcPr>
          <w:p w14:paraId="55404FDA"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X ≤ 9%</w:t>
            </w:r>
          </w:p>
        </w:tc>
        <w:tc>
          <w:tcPr>
            <w:tcW w:w="3510" w:type="dxa"/>
            <w:vAlign w:val="bottom"/>
          </w:tcPr>
          <w:p w14:paraId="1F443E2E"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0%</w:t>
            </w:r>
          </w:p>
        </w:tc>
      </w:tr>
      <w:tr w:rsidR="00D11820" w:rsidRPr="0079693B" w14:paraId="16B6A94E" w14:textId="77777777" w:rsidTr="005C6977">
        <w:tc>
          <w:tcPr>
            <w:tcW w:w="3559" w:type="dxa"/>
            <w:vAlign w:val="bottom"/>
          </w:tcPr>
          <w:p w14:paraId="0E081BFA"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10% ≤ X ≤ 20%</w:t>
            </w:r>
          </w:p>
        </w:tc>
        <w:tc>
          <w:tcPr>
            <w:tcW w:w="3510" w:type="dxa"/>
            <w:vAlign w:val="bottom"/>
          </w:tcPr>
          <w:p w14:paraId="68260C67"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20%</w:t>
            </w:r>
          </w:p>
        </w:tc>
      </w:tr>
      <w:tr w:rsidR="00D11820" w:rsidRPr="0079693B" w14:paraId="7858F0E9" w14:textId="77777777" w:rsidTr="005C6977">
        <w:tc>
          <w:tcPr>
            <w:tcW w:w="3559" w:type="dxa"/>
            <w:vAlign w:val="bottom"/>
          </w:tcPr>
          <w:p w14:paraId="7889DFA9"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21% ≤ X ≤ 30%</w:t>
            </w:r>
          </w:p>
        </w:tc>
        <w:tc>
          <w:tcPr>
            <w:tcW w:w="3510" w:type="dxa"/>
            <w:vAlign w:val="bottom"/>
          </w:tcPr>
          <w:p w14:paraId="5C565DCA"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30%</w:t>
            </w:r>
          </w:p>
        </w:tc>
      </w:tr>
      <w:tr w:rsidR="00D11820" w:rsidRPr="0079693B" w14:paraId="36EB63FA" w14:textId="77777777" w:rsidTr="005C6977">
        <w:tc>
          <w:tcPr>
            <w:tcW w:w="3559" w:type="dxa"/>
            <w:vAlign w:val="bottom"/>
          </w:tcPr>
          <w:p w14:paraId="071F1562"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31% ≤ X ≤ 40%</w:t>
            </w:r>
          </w:p>
        </w:tc>
        <w:tc>
          <w:tcPr>
            <w:tcW w:w="3510" w:type="dxa"/>
            <w:vAlign w:val="bottom"/>
          </w:tcPr>
          <w:p w14:paraId="4E83F218"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40%</w:t>
            </w:r>
          </w:p>
        </w:tc>
      </w:tr>
      <w:tr w:rsidR="00D11820" w:rsidRPr="0079693B" w14:paraId="0D75C678" w14:textId="77777777" w:rsidTr="005C6977">
        <w:tc>
          <w:tcPr>
            <w:tcW w:w="3559" w:type="dxa"/>
            <w:vAlign w:val="bottom"/>
          </w:tcPr>
          <w:p w14:paraId="7F673ED0"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41% ≤ X ≤ 50%</w:t>
            </w:r>
          </w:p>
        </w:tc>
        <w:tc>
          <w:tcPr>
            <w:tcW w:w="3510" w:type="dxa"/>
            <w:vAlign w:val="bottom"/>
          </w:tcPr>
          <w:p w14:paraId="36E1BF54"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50%</w:t>
            </w:r>
          </w:p>
        </w:tc>
      </w:tr>
      <w:tr w:rsidR="00D11820" w:rsidRPr="0079693B" w14:paraId="67549193" w14:textId="77777777" w:rsidTr="005C6977">
        <w:tc>
          <w:tcPr>
            <w:tcW w:w="3559" w:type="dxa"/>
            <w:vAlign w:val="bottom"/>
          </w:tcPr>
          <w:p w14:paraId="7A4BB1F9"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51% ≤ X ≤ 60%</w:t>
            </w:r>
          </w:p>
        </w:tc>
        <w:tc>
          <w:tcPr>
            <w:tcW w:w="3510" w:type="dxa"/>
            <w:vAlign w:val="bottom"/>
          </w:tcPr>
          <w:p w14:paraId="44F78921"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60%</w:t>
            </w:r>
          </w:p>
        </w:tc>
      </w:tr>
      <w:tr w:rsidR="00D11820" w:rsidRPr="0079693B" w14:paraId="5BB0D1C4" w14:textId="77777777" w:rsidTr="005C6977">
        <w:tc>
          <w:tcPr>
            <w:tcW w:w="3559" w:type="dxa"/>
            <w:vAlign w:val="bottom"/>
          </w:tcPr>
          <w:p w14:paraId="3261A565"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61% ≤ X ≤ 70%</w:t>
            </w:r>
          </w:p>
        </w:tc>
        <w:tc>
          <w:tcPr>
            <w:tcW w:w="3510" w:type="dxa"/>
            <w:vAlign w:val="bottom"/>
          </w:tcPr>
          <w:p w14:paraId="6712EA3B"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70%</w:t>
            </w:r>
          </w:p>
        </w:tc>
      </w:tr>
      <w:tr w:rsidR="00D11820" w:rsidRPr="0079693B" w14:paraId="75B4EE7E" w14:textId="77777777" w:rsidTr="005C6977">
        <w:tc>
          <w:tcPr>
            <w:tcW w:w="3559" w:type="dxa"/>
            <w:vAlign w:val="bottom"/>
          </w:tcPr>
          <w:p w14:paraId="296C4178"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71% ≤ X ≤ 80%</w:t>
            </w:r>
          </w:p>
        </w:tc>
        <w:tc>
          <w:tcPr>
            <w:tcW w:w="3510" w:type="dxa"/>
            <w:vAlign w:val="bottom"/>
          </w:tcPr>
          <w:p w14:paraId="39185656"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80%</w:t>
            </w:r>
          </w:p>
        </w:tc>
      </w:tr>
      <w:tr w:rsidR="00D11820" w:rsidRPr="0079693B" w14:paraId="4B1EA8B0" w14:textId="77777777" w:rsidTr="005C6977">
        <w:tc>
          <w:tcPr>
            <w:tcW w:w="3559" w:type="dxa"/>
            <w:vAlign w:val="bottom"/>
          </w:tcPr>
          <w:p w14:paraId="392E3C07"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81% ≤ X ≤ 90%</w:t>
            </w:r>
          </w:p>
        </w:tc>
        <w:tc>
          <w:tcPr>
            <w:tcW w:w="3510" w:type="dxa"/>
            <w:vAlign w:val="bottom"/>
          </w:tcPr>
          <w:p w14:paraId="3DC1B3E2"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90%</w:t>
            </w:r>
          </w:p>
        </w:tc>
      </w:tr>
      <w:tr w:rsidR="00D11820" w:rsidRPr="0079693B" w14:paraId="2C0D3216" w14:textId="77777777" w:rsidTr="005C6977">
        <w:tc>
          <w:tcPr>
            <w:tcW w:w="3559" w:type="dxa"/>
            <w:vAlign w:val="bottom"/>
          </w:tcPr>
          <w:p w14:paraId="723A3BA1" w14:textId="5D4FDEB6" w:rsidR="00D11820" w:rsidRPr="00B36BAF" w:rsidRDefault="00D11820" w:rsidP="008747A5">
            <w:pPr>
              <w:pStyle w:val="MRPA1ai1ai"/>
              <w:numPr>
                <w:ilvl w:val="0"/>
                <w:numId w:val="0"/>
              </w:numPr>
              <w:spacing w:before="60" w:after="60" w:line="259" w:lineRule="auto"/>
              <w:rPr>
                <w:u w:val="single"/>
              </w:rPr>
            </w:pPr>
            <w:r w:rsidRPr="00B36BAF">
              <w:rPr>
                <w:u w:val="single"/>
              </w:rPr>
              <w:t>91% ≤ X</w:t>
            </w:r>
          </w:p>
        </w:tc>
        <w:tc>
          <w:tcPr>
            <w:tcW w:w="3510" w:type="dxa"/>
            <w:vAlign w:val="bottom"/>
          </w:tcPr>
          <w:p w14:paraId="3F0E8B92"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100%</w:t>
            </w:r>
          </w:p>
        </w:tc>
      </w:tr>
    </w:tbl>
    <w:p w14:paraId="43E52339" w14:textId="77777777" w:rsidR="007632F3" w:rsidRDefault="007632F3" w:rsidP="001D369B">
      <w:pPr>
        <w:pStyle w:val="MRPA1ai1ai"/>
        <w:numPr>
          <w:ilvl w:val="0"/>
          <w:numId w:val="0"/>
        </w:numPr>
        <w:spacing w:before="160"/>
        <w:ind w:left="2376"/>
        <w:rPr>
          <w:strike/>
        </w:rPr>
      </w:pPr>
      <w:r w:rsidRPr="007632F3" w:rsidDel="009C5398">
        <w:rPr>
          <w:strike/>
        </w:rPr>
        <w:t xml:space="preserve">To qualify for 70 percent Affordable Housing Credit: </w:t>
      </w:r>
    </w:p>
    <w:p w14:paraId="3422E34A" w14:textId="53FB9A79" w:rsidR="001D11D9" w:rsidRPr="005B190C" w:rsidDel="001D11D9" w:rsidRDefault="001D11D9" w:rsidP="001D369B">
      <w:pPr>
        <w:pStyle w:val="MRPA1ai1ai"/>
        <w:numPr>
          <w:ilvl w:val="0"/>
          <w:numId w:val="0"/>
        </w:numPr>
        <w:spacing w:before="160"/>
        <w:ind w:left="2376"/>
        <w:rPr>
          <w:strike/>
        </w:rPr>
      </w:pPr>
      <w:r w:rsidRPr="005B190C" w:rsidDel="001D11D9">
        <w:rPr>
          <w:strike/>
        </w:rPr>
        <w:t xml:space="preserve">100 percent of the project’s DUs must have monthly rent/mortgage </w:t>
      </w:r>
      <w:proofErr w:type="spellStart"/>
      <w:r w:rsidRPr="00BC2289" w:rsidDel="001D11D9">
        <w:rPr>
          <w:strike/>
        </w:rPr>
        <w:t>rates</w:t>
      </w:r>
      <w:r w:rsidR="006B356B" w:rsidRPr="006B356B">
        <w:rPr>
          <w:strike/>
          <w:vertAlign w:val="superscript"/>
        </w:rPr>
        <w:t>k</w:t>
      </w:r>
      <w:proofErr w:type="spellEnd"/>
      <w:r w:rsidRPr="005B190C" w:rsidDel="001D11D9">
        <w:rPr>
          <w:strike/>
        </w:rPr>
        <w:t xml:space="preserve"> no greater than 30 percent of the Moderate household income level (≤ 120 percent of AMI), at least 75 percent of the project’s DUs must have monthly rent/mortgage </w:t>
      </w:r>
      <w:proofErr w:type="spellStart"/>
      <w:r w:rsidRPr="005B190C" w:rsidDel="001D11D9">
        <w:rPr>
          <w:strike/>
        </w:rPr>
        <w:t>rates</w:t>
      </w:r>
      <w:r w:rsidR="001966A0" w:rsidRPr="006B356B">
        <w:rPr>
          <w:strike/>
          <w:vertAlign w:val="superscript"/>
        </w:rPr>
        <w:t>k</w:t>
      </w:r>
      <w:proofErr w:type="spellEnd"/>
      <w:r w:rsidRPr="005B190C" w:rsidDel="001D11D9">
        <w:rPr>
          <w:strike/>
        </w:rPr>
        <w:t xml:space="preserve"> no greater than 30 percent of the Low household income </w:t>
      </w:r>
      <w:r w:rsidRPr="005B190C" w:rsidDel="001D11D9">
        <w:rPr>
          <w:strike/>
        </w:rPr>
        <w:lastRenderedPageBreak/>
        <w:t xml:space="preserve">level (≤ 80 percent of AMI), at least 50 percent of the project’s DUs must have monthly rent/mortgage </w:t>
      </w:r>
      <w:proofErr w:type="spellStart"/>
      <w:r w:rsidRPr="005B190C" w:rsidDel="001D11D9">
        <w:rPr>
          <w:strike/>
        </w:rPr>
        <w:t>rates</w:t>
      </w:r>
      <w:r w:rsidR="001966A0" w:rsidRPr="006B356B">
        <w:rPr>
          <w:strike/>
          <w:vertAlign w:val="superscript"/>
        </w:rPr>
        <w:t>k</w:t>
      </w:r>
      <w:proofErr w:type="spellEnd"/>
      <w:r w:rsidRPr="005B190C" w:rsidDel="001D11D9">
        <w:rPr>
          <w:strike/>
        </w:rPr>
        <w:t xml:space="preserve"> no greater than 30 percent of the Very Low household income level (≤ 50 percent of AMI), and at least 25 percent of the project’s DU’s must have monthly rent/mortgage </w:t>
      </w:r>
      <w:proofErr w:type="spellStart"/>
      <w:r w:rsidRPr="005B190C" w:rsidDel="001D11D9">
        <w:rPr>
          <w:strike/>
        </w:rPr>
        <w:t>rates</w:t>
      </w:r>
      <w:r w:rsidR="001966A0" w:rsidRPr="006B356B">
        <w:rPr>
          <w:strike/>
          <w:vertAlign w:val="superscript"/>
        </w:rPr>
        <w:t>k</w:t>
      </w:r>
      <w:proofErr w:type="spellEnd"/>
      <w:r w:rsidRPr="005B190C" w:rsidDel="001D11D9">
        <w:rPr>
          <w:strike/>
        </w:rPr>
        <w:t xml:space="preserve"> no greater than 30 percent of the Extremely Low household income level (≤ 30 percent of AMI). </w:t>
      </w:r>
    </w:p>
    <w:p w14:paraId="397650CB" w14:textId="7EFF0F45" w:rsidR="001D11D9" w:rsidRPr="005B190C" w:rsidDel="001D11D9" w:rsidRDefault="001D11D9" w:rsidP="001D11D9">
      <w:pPr>
        <w:pStyle w:val="MRPA1ai1ai"/>
        <w:numPr>
          <w:ilvl w:val="0"/>
          <w:numId w:val="0"/>
        </w:numPr>
        <w:ind w:left="2376"/>
        <w:rPr>
          <w:strike/>
        </w:rPr>
      </w:pPr>
      <w:r w:rsidRPr="005B190C" w:rsidDel="001D11D9">
        <w:rPr>
          <w:strike/>
        </w:rPr>
        <w:t xml:space="preserve">To qualify for 50 percent Affordable Housing Credit: </w:t>
      </w:r>
    </w:p>
    <w:p w14:paraId="0B065D75" w14:textId="0135A514" w:rsidR="001D11D9" w:rsidRPr="005B190C" w:rsidDel="001D11D9" w:rsidRDefault="001D11D9" w:rsidP="001D11D9">
      <w:pPr>
        <w:pStyle w:val="MRPA1ai1ai"/>
        <w:numPr>
          <w:ilvl w:val="0"/>
          <w:numId w:val="0"/>
        </w:numPr>
        <w:ind w:left="2376"/>
        <w:rPr>
          <w:strike/>
        </w:rPr>
      </w:pPr>
      <w:r w:rsidRPr="005B190C" w:rsidDel="001D11D9">
        <w:rPr>
          <w:strike/>
        </w:rPr>
        <w:t xml:space="preserve">At least 75 percent of the project’s DUs must have monthly rent/mortgage </w:t>
      </w:r>
      <w:proofErr w:type="spellStart"/>
      <w:r w:rsidRPr="005B190C" w:rsidDel="001D11D9">
        <w:rPr>
          <w:strike/>
        </w:rPr>
        <w:t>rates</w:t>
      </w:r>
      <w:r w:rsidR="00160E08" w:rsidRPr="006B356B">
        <w:rPr>
          <w:strike/>
          <w:vertAlign w:val="superscript"/>
        </w:rPr>
        <w:t>k</w:t>
      </w:r>
      <w:proofErr w:type="spellEnd"/>
      <w:r w:rsidRPr="005B190C" w:rsidDel="001D11D9">
        <w:rPr>
          <w:strike/>
        </w:rPr>
        <w:t xml:space="preserve"> no greater than 30 percent of the Moderate household income level (≤ 120 percent of AMI), at least 50 percent of the project’s DUs must have monthly rent/mortgage </w:t>
      </w:r>
      <w:proofErr w:type="spellStart"/>
      <w:r w:rsidRPr="005B190C" w:rsidDel="001D11D9">
        <w:rPr>
          <w:strike/>
        </w:rPr>
        <w:t>rates</w:t>
      </w:r>
      <w:r w:rsidR="00160E08" w:rsidRPr="006B356B">
        <w:rPr>
          <w:strike/>
          <w:vertAlign w:val="superscript"/>
        </w:rPr>
        <w:t>k</w:t>
      </w:r>
      <w:proofErr w:type="spellEnd"/>
      <w:r w:rsidRPr="005B190C" w:rsidDel="001D11D9">
        <w:rPr>
          <w:strike/>
        </w:rPr>
        <w:t xml:space="preserve"> no greater than 30 percent of the Low household income level (≤ 80 percent of AMI), at least 25 percent of the project’s DUs must have monthly rent/mortgage </w:t>
      </w:r>
      <w:proofErr w:type="spellStart"/>
      <w:r w:rsidRPr="005B190C" w:rsidDel="001D11D9">
        <w:rPr>
          <w:strike/>
        </w:rPr>
        <w:t>rates</w:t>
      </w:r>
      <w:r w:rsidR="00160E08" w:rsidRPr="006B356B">
        <w:rPr>
          <w:strike/>
          <w:vertAlign w:val="superscript"/>
        </w:rPr>
        <w:t>k</w:t>
      </w:r>
      <w:proofErr w:type="spellEnd"/>
      <w:r w:rsidRPr="005B190C" w:rsidDel="001D11D9">
        <w:rPr>
          <w:strike/>
        </w:rPr>
        <w:t xml:space="preserve"> no greater than 30 percent of the Very Low household income level (≤ 50 percent of AMI), and at least 15 percent of the project’s DUs must have monthly rent/mortgage </w:t>
      </w:r>
      <w:proofErr w:type="spellStart"/>
      <w:r w:rsidRPr="005B190C" w:rsidDel="001D11D9">
        <w:rPr>
          <w:strike/>
        </w:rPr>
        <w:t>rates</w:t>
      </w:r>
      <w:r w:rsidR="00160E08" w:rsidRPr="006B356B">
        <w:rPr>
          <w:strike/>
          <w:vertAlign w:val="superscript"/>
        </w:rPr>
        <w:t>k</w:t>
      </w:r>
      <w:proofErr w:type="spellEnd"/>
      <w:r w:rsidRPr="005B190C" w:rsidDel="001D11D9">
        <w:rPr>
          <w:strike/>
        </w:rPr>
        <w:t xml:space="preserve"> no greater than 30 percent of the Extremely Low household income level (≤ 30 percent of AMI). </w:t>
      </w:r>
    </w:p>
    <w:p w14:paraId="0E3BFF97" w14:textId="5BB2CD9F" w:rsidR="001D11D9" w:rsidRPr="005B190C" w:rsidDel="001D11D9" w:rsidRDefault="001D11D9" w:rsidP="001D11D9">
      <w:pPr>
        <w:pStyle w:val="MRPA1ai1ai"/>
        <w:numPr>
          <w:ilvl w:val="0"/>
          <w:numId w:val="0"/>
        </w:numPr>
        <w:ind w:left="2376"/>
        <w:rPr>
          <w:strike/>
        </w:rPr>
      </w:pPr>
      <w:r w:rsidRPr="005B190C" w:rsidDel="001D11D9">
        <w:rPr>
          <w:strike/>
        </w:rPr>
        <w:t>To qualify for 25 percent Affordable Housing Credit:</w:t>
      </w:r>
    </w:p>
    <w:p w14:paraId="2EC8EC2B" w14:textId="31814697" w:rsidR="001D11D9" w:rsidRPr="005B190C" w:rsidDel="001D11D9" w:rsidRDefault="001D11D9" w:rsidP="001D11D9">
      <w:pPr>
        <w:pStyle w:val="MRPA1ai1ai"/>
        <w:numPr>
          <w:ilvl w:val="0"/>
          <w:numId w:val="0"/>
        </w:numPr>
        <w:ind w:left="2376"/>
        <w:rPr>
          <w:strike/>
        </w:rPr>
      </w:pPr>
      <w:r w:rsidRPr="005B190C" w:rsidDel="001D11D9">
        <w:rPr>
          <w:strike/>
        </w:rPr>
        <w:t xml:space="preserve">At least 50 percent of the project’s DUs must have monthly rent/mortgage </w:t>
      </w:r>
      <w:proofErr w:type="spellStart"/>
      <w:r w:rsidRPr="005B190C" w:rsidDel="001D11D9">
        <w:rPr>
          <w:strike/>
        </w:rPr>
        <w:t>rates</w:t>
      </w:r>
      <w:r w:rsidR="003C5418" w:rsidRPr="006B356B">
        <w:rPr>
          <w:strike/>
          <w:vertAlign w:val="superscript"/>
        </w:rPr>
        <w:t>k</w:t>
      </w:r>
      <w:proofErr w:type="spellEnd"/>
      <w:r w:rsidRPr="005B190C" w:rsidDel="001D11D9">
        <w:rPr>
          <w:strike/>
        </w:rPr>
        <w:t xml:space="preserve"> no greater than 30 percent of the Moderate household income level (≤ 120 percent of AMI), at least 25 percent of the project’s DUs must have monthly rent/mortgage </w:t>
      </w:r>
      <w:proofErr w:type="spellStart"/>
      <w:r w:rsidRPr="005B190C" w:rsidDel="001D11D9">
        <w:rPr>
          <w:strike/>
        </w:rPr>
        <w:t>rates</w:t>
      </w:r>
      <w:r w:rsidR="003C5418" w:rsidRPr="006B356B">
        <w:rPr>
          <w:strike/>
          <w:vertAlign w:val="superscript"/>
        </w:rPr>
        <w:t>k</w:t>
      </w:r>
      <w:proofErr w:type="spellEnd"/>
      <w:r w:rsidRPr="005B190C" w:rsidDel="001D11D9">
        <w:rPr>
          <w:strike/>
        </w:rPr>
        <w:t xml:space="preserve"> no greater than 30 percent of the Low household income level (≤ 80 percent of AMI), at least 15 percent of the project’s DUs must have monthly rent/mortgage </w:t>
      </w:r>
      <w:proofErr w:type="spellStart"/>
      <w:r w:rsidRPr="005B190C" w:rsidDel="001D11D9">
        <w:rPr>
          <w:strike/>
        </w:rPr>
        <w:t>rates</w:t>
      </w:r>
      <w:r w:rsidR="003C5418" w:rsidRPr="006B356B">
        <w:rPr>
          <w:strike/>
          <w:vertAlign w:val="superscript"/>
        </w:rPr>
        <w:t>k</w:t>
      </w:r>
      <w:proofErr w:type="spellEnd"/>
      <w:r w:rsidRPr="005B190C" w:rsidDel="001D11D9">
        <w:rPr>
          <w:strike/>
        </w:rPr>
        <w:t xml:space="preserve"> no greater than 30 percent of the Very Low household income level (≤ 50 percent of AMI), and at least 5 percent of the project’s DUs must have monthly rent/mortgage </w:t>
      </w:r>
      <w:proofErr w:type="spellStart"/>
      <w:r w:rsidRPr="005B190C" w:rsidDel="001D11D9">
        <w:rPr>
          <w:strike/>
        </w:rPr>
        <w:t>rates</w:t>
      </w:r>
      <w:r w:rsidR="003C5418" w:rsidRPr="006B356B">
        <w:rPr>
          <w:strike/>
          <w:vertAlign w:val="superscript"/>
        </w:rPr>
        <w:t>k</w:t>
      </w:r>
      <w:proofErr w:type="spellEnd"/>
      <w:r w:rsidRPr="005B190C" w:rsidDel="001D11D9">
        <w:rPr>
          <w:strike/>
        </w:rPr>
        <w:t xml:space="preserve"> no greater than 30 percent of the Extremely Low household income level (</w:t>
      </w:r>
      <w:r w:rsidRPr="005B190C" w:rsidDel="00E25EB6">
        <w:rPr>
          <w:strike/>
        </w:rPr>
        <w:t>≤</w:t>
      </w:r>
      <w:r w:rsidRPr="005B190C" w:rsidDel="001D11D9">
        <w:rPr>
          <w:strike/>
        </w:rPr>
        <w:t xml:space="preserve"> 30 percent of AMI). </w:t>
      </w:r>
    </w:p>
    <w:tbl>
      <w:tblPr>
        <w:tblStyle w:val="TableGrid"/>
        <w:tblW w:w="0" w:type="auto"/>
        <w:tblInd w:w="720" w:type="dxa"/>
        <w:tblLook w:val="04A0" w:firstRow="1" w:lastRow="0" w:firstColumn="1" w:lastColumn="0" w:noHBand="0" w:noVBand="1"/>
        <w:tblCaption w:val="deleted table"/>
        <w:tblDescription w:val="deleted table"/>
      </w:tblPr>
      <w:tblGrid>
        <w:gridCol w:w="2157"/>
        <w:gridCol w:w="2157"/>
        <w:gridCol w:w="2158"/>
        <w:gridCol w:w="2158"/>
      </w:tblGrid>
      <w:tr w:rsidR="00E25EB6" w:rsidRPr="00C11FF3" w14:paraId="05EAB2F9" w14:textId="77777777" w:rsidTr="005C6977">
        <w:tc>
          <w:tcPr>
            <w:tcW w:w="2157" w:type="dxa"/>
            <w:vMerge w:val="restart"/>
          </w:tcPr>
          <w:p w14:paraId="209F25EF" w14:textId="7532B078" w:rsidR="00E25EB6" w:rsidRPr="005B190C" w:rsidRDefault="00E25EB6" w:rsidP="0005083F">
            <w:pPr>
              <w:pStyle w:val="ListParagraph"/>
              <w:ind w:left="0"/>
              <w:contextualSpacing w:val="0"/>
              <w:rPr>
                <w:rFonts w:ascii="Arial" w:hAnsi="Arial" w:cs="Arial"/>
                <w:strike/>
                <w:sz w:val="24"/>
                <w:szCs w:val="24"/>
              </w:rPr>
            </w:pPr>
            <w:r w:rsidRPr="005B190C" w:rsidDel="00496DD9">
              <w:rPr>
                <w:rFonts w:ascii="Arial" w:hAnsi="Arial" w:cs="Arial"/>
                <w:strike/>
                <w:sz w:val="24"/>
                <w:szCs w:val="24"/>
              </w:rPr>
              <w:t>AMI</w:t>
            </w:r>
          </w:p>
        </w:tc>
        <w:tc>
          <w:tcPr>
            <w:tcW w:w="6473" w:type="dxa"/>
            <w:gridSpan w:val="3"/>
          </w:tcPr>
          <w:p w14:paraId="04A9ECB6" w14:textId="29137817" w:rsidR="00E25EB6" w:rsidRPr="005B190C" w:rsidRDefault="00E25EB6" w:rsidP="0005083F">
            <w:pPr>
              <w:pStyle w:val="ListParagraph"/>
              <w:ind w:left="0"/>
              <w:contextualSpacing w:val="0"/>
              <w:rPr>
                <w:rFonts w:ascii="Arial" w:hAnsi="Arial" w:cs="Arial"/>
                <w:strike/>
                <w:sz w:val="24"/>
                <w:szCs w:val="24"/>
              </w:rPr>
            </w:pPr>
            <w:r w:rsidRPr="005B190C" w:rsidDel="00496DD9">
              <w:rPr>
                <w:rFonts w:ascii="Arial" w:hAnsi="Arial" w:cs="Arial"/>
                <w:strike/>
                <w:sz w:val="24"/>
                <w:szCs w:val="24"/>
              </w:rPr>
              <w:t>Minimum Percentage of DUs</w:t>
            </w:r>
          </w:p>
        </w:tc>
      </w:tr>
      <w:tr w:rsidR="00C11FF3" w:rsidRPr="00C11FF3" w14:paraId="54568CFF" w14:textId="77777777" w:rsidTr="00C11FF3">
        <w:tc>
          <w:tcPr>
            <w:tcW w:w="2157" w:type="dxa"/>
            <w:vMerge/>
          </w:tcPr>
          <w:p w14:paraId="17E0BE6B" w14:textId="77777777" w:rsidR="00C11FF3" w:rsidRPr="005B190C" w:rsidRDefault="00C11FF3" w:rsidP="008210F1">
            <w:pPr>
              <w:pStyle w:val="ListParagraph"/>
              <w:ind w:left="0"/>
              <w:contextualSpacing w:val="0"/>
              <w:rPr>
                <w:rFonts w:ascii="Arial" w:hAnsi="Arial" w:cs="Arial"/>
                <w:strike/>
                <w:sz w:val="24"/>
                <w:szCs w:val="24"/>
              </w:rPr>
            </w:pPr>
          </w:p>
        </w:tc>
        <w:tc>
          <w:tcPr>
            <w:tcW w:w="2157" w:type="dxa"/>
          </w:tcPr>
          <w:p w14:paraId="23F5DF0C" w14:textId="2CC4F4B1" w:rsidR="00C11FF3" w:rsidRPr="005B190C" w:rsidRDefault="00E25EB6" w:rsidP="008210F1">
            <w:pPr>
              <w:pStyle w:val="ListParagraph"/>
              <w:ind w:left="0"/>
              <w:contextualSpacing w:val="0"/>
              <w:rPr>
                <w:rFonts w:ascii="Arial" w:hAnsi="Arial" w:cs="Arial"/>
                <w:strike/>
                <w:sz w:val="24"/>
                <w:szCs w:val="24"/>
              </w:rPr>
            </w:pPr>
            <w:r w:rsidRPr="005B190C" w:rsidDel="00496DD9">
              <w:rPr>
                <w:rFonts w:ascii="Arial" w:hAnsi="Arial" w:cs="Arial"/>
                <w:strike/>
                <w:sz w:val="24"/>
                <w:szCs w:val="24"/>
              </w:rPr>
              <w:t>70% credit</w:t>
            </w:r>
          </w:p>
        </w:tc>
        <w:tc>
          <w:tcPr>
            <w:tcW w:w="2158" w:type="dxa"/>
          </w:tcPr>
          <w:p w14:paraId="2A7A9079" w14:textId="19DF9343" w:rsidR="00C11FF3" w:rsidRPr="005B190C" w:rsidRDefault="00E25EB6" w:rsidP="008210F1">
            <w:pPr>
              <w:pStyle w:val="ListParagraph"/>
              <w:ind w:left="0"/>
              <w:contextualSpacing w:val="0"/>
              <w:rPr>
                <w:rFonts w:ascii="Arial" w:hAnsi="Arial" w:cs="Arial"/>
                <w:strike/>
                <w:sz w:val="24"/>
                <w:szCs w:val="24"/>
              </w:rPr>
            </w:pPr>
            <w:r w:rsidRPr="005B190C" w:rsidDel="00496DD9">
              <w:rPr>
                <w:rFonts w:ascii="Arial" w:hAnsi="Arial" w:cs="Arial"/>
                <w:strike/>
                <w:sz w:val="24"/>
                <w:szCs w:val="24"/>
              </w:rPr>
              <w:t>50% credit</w:t>
            </w:r>
          </w:p>
        </w:tc>
        <w:tc>
          <w:tcPr>
            <w:tcW w:w="2158" w:type="dxa"/>
          </w:tcPr>
          <w:p w14:paraId="3B0545E1" w14:textId="07539D62" w:rsidR="00C11FF3" w:rsidRPr="005B190C" w:rsidRDefault="00E25EB6" w:rsidP="008210F1">
            <w:pPr>
              <w:pStyle w:val="ListParagraph"/>
              <w:ind w:left="0"/>
              <w:contextualSpacing w:val="0"/>
              <w:rPr>
                <w:rFonts w:ascii="Arial" w:hAnsi="Arial" w:cs="Arial"/>
                <w:strike/>
                <w:sz w:val="24"/>
                <w:szCs w:val="24"/>
              </w:rPr>
            </w:pPr>
            <w:r w:rsidRPr="005B190C" w:rsidDel="00496DD9">
              <w:rPr>
                <w:rFonts w:ascii="Arial" w:hAnsi="Arial" w:cs="Arial"/>
                <w:strike/>
                <w:sz w:val="24"/>
                <w:szCs w:val="24"/>
              </w:rPr>
              <w:t>25% credit</w:t>
            </w:r>
          </w:p>
        </w:tc>
      </w:tr>
      <w:tr w:rsidR="00C11FF3" w:rsidRPr="00C11FF3" w14:paraId="3281E2F7" w14:textId="77777777" w:rsidTr="00C11FF3">
        <w:tc>
          <w:tcPr>
            <w:tcW w:w="2157" w:type="dxa"/>
          </w:tcPr>
          <w:p w14:paraId="42DB3B57" w14:textId="3EFEABC8" w:rsidR="00C11FF3" w:rsidRPr="005B190C" w:rsidDel="00496DD9" w:rsidRDefault="00E25EB6" w:rsidP="0005083F">
            <w:pPr>
              <w:pStyle w:val="ListParagraph"/>
              <w:ind w:left="0"/>
              <w:contextualSpacing w:val="0"/>
              <w:rPr>
                <w:rFonts w:ascii="Arial" w:hAnsi="Arial" w:cs="Arial"/>
                <w:strike/>
                <w:sz w:val="24"/>
                <w:szCs w:val="24"/>
              </w:rPr>
            </w:pPr>
            <w:r w:rsidRPr="005B190C" w:rsidDel="00496DD9">
              <w:rPr>
                <w:rFonts w:ascii="Arial" w:hAnsi="Arial" w:cs="Arial"/>
                <w:strike/>
                <w:sz w:val="24"/>
                <w:szCs w:val="24"/>
              </w:rPr>
              <w:t>Moderate</w:t>
            </w:r>
          </w:p>
          <w:p w14:paraId="176BFEB0" w14:textId="1B1073A5" w:rsidR="00E25EB6" w:rsidRPr="005B190C" w:rsidRDefault="00E25EB6" w:rsidP="0005083F">
            <w:pPr>
              <w:pStyle w:val="ListParagraph"/>
              <w:ind w:left="0"/>
              <w:contextualSpacing w:val="0"/>
              <w:rPr>
                <w:rFonts w:ascii="Arial" w:hAnsi="Arial" w:cs="Arial"/>
                <w:strike/>
                <w:sz w:val="24"/>
                <w:szCs w:val="24"/>
              </w:rPr>
            </w:pPr>
            <w:r w:rsidRPr="005B190C" w:rsidDel="00496DD9">
              <w:rPr>
                <w:rFonts w:ascii="Arial" w:hAnsi="Arial" w:cs="Arial"/>
                <w:strike/>
                <w:sz w:val="24"/>
                <w:szCs w:val="24"/>
              </w:rPr>
              <w:t>(≤120% of AMI)</w:t>
            </w:r>
          </w:p>
        </w:tc>
        <w:tc>
          <w:tcPr>
            <w:tcW w:w="2157" w:type="dxa"/>
          </w:tcPr>
          <w:p w14:paraId="25165691" w14:textId="4217150F" w:rsidR="00C11FF3" w:rsidRPr="005B190C" w:rsidRDefault="00E25EB6" w:rsidP="0005083F">
            <w:pPr>
              <w:pStyle w:val="ListParagraph"/>
              <w:ind w:left="0"/>
              <w:contextualSpacing w:val="0"/>
              <w:rPr>
                <w:rFonts w:ascii="Arial" w:hAnsi="Arial" w:cs="Arial"/>
                <w:strike/>
                <w:sz w:val="24"/>
                <w:szCs w:val="24"/>
              </w:rPr>
            </w:pPr>
            <w:r w:rsidRPr="005B190C" w:rsidDel="00496DD9">
              <w:rPr>
                <w:rFonts w:ascii="Arial" w:hAnsi="Arial" w:cs="Arial"/>
                <w:strike/>
                <w:sz w:val="24"/>
                <w:szCs w:val="24"/>
              </w:rPr>
              <w:t>100</w:t>
            </w:r>
          </w:p>
        </w:tc>
        <w:tc>
          <w:tcPr>
            <w:tcW w:w="2158" w:type="dxa"/>
          </w:tcPr>
          <w:p w14:paraId="6503CE18" w14:textId="4B7F5EC4" w:rsidR="00C11FF3" w:rsidRPr="005B190C" w:rsidRDefault="00E25EB6" w:rsidP="0005083F">
            <w:pPr>
              <w:pStyle w:val="ListParagraph"/>
              <w:ind w:left="0"/>
              <w:contextualSpacing w:val="0"/>
              <w:rPr>
                <w:rFonts w:ascii="Arial" w:hAnsi="Arial" w:cs="Arial"/>
                <w:strike/>
                <w:sz w:val="24"/>
                <w:szCs w:val="24"/>
              </w:rPr>
            </w:pPr>
            <w:r w:rsidRPr="005B190C" w:rsidDel="00496DD9">
              <w:rPr>
                <w:rFonts w:ascii="Arial" w:hAnsi="Arial" w:cs="Arial"/>
                <w:strike/>
                <w:sz w:val="24"/>
                <w:szCs w:val="24"/>
              </w:rPr>
              <w:t>75</w:t>
            </w:r>
          </w:p>
        </w:tc>
        <w:tc>
          <w:tcPr>
            <w:tcW w:w="2158" w:type="dxa"/>
          </w:tcPr>
          <w:p w14:paraId="5E064B41" w14:textId="1FD8EEEA" w:rsidR="00C11FF3" w:rsidRPr="005B190C" w:rsidRDefault="00E25EB6" w:rsidP="0005083F">
            <w:pPr>
              <w:pStyle w:val="ListParagraph"/>
              <w:ind w:left="0"/>
              <w:contextualSpacing w:val="0"/>
              <w:rPr>
                <w:rFonts w:ascii="Arial" w:hAnsi="Arial" w:cs="Arial"/>
                <w:strike/>
                <w:sz w:val="24"/>
                <w:szCs w:val="24"/>
              </w:rPr>
            </w:pPr>
            <w:r w:rsidRPr="005B190C" w:rsidDel="00496DD9">
              <w:rPr>
                <w:rFonts w:ascii="Arial" w:hAnsi="Arial" w:cs="Arial"/>
                <w:strike/>
                <w:sz w:val="24"/>
                <w:szCs w:val="24"/>
              </w:rPr>
              <w:t>50</w:t>
            </w:r>
          </w:p>
        </w:tc>
      </w:tr>
      <w:tr w:rsidR="00C11FF3" w:rsidRPr="00C11FF3" w14:paraId="6A9A53C5" w14:textId="77777777" w:rsidTr="00C11FF3">
        <w:tc>
          <w:tcPr>
            <w:tcW w:w="2157" w:type="dxa"/>
          </w:tcPr>
          <w:p w14:paraId="62F8F968" w14:textId="0FE79EC8" w:rsidR="00C11FF3" w:rsidRPr="005B190C" w:rsidDel="00496DD9" w:rsidRDefault="00E25EB6" w:rsidP="0005083F">
            <w:pPr>
              <w:pStyle w:val="ListParagraph"/>
              <w:ind w:left="0"/>
              <w:contextualSpacing w:val="0"/>
              <w:rPr>
                <w:rFonts w:ascii="Arial" w:hAnsi="Arial" w:cs="Arial"/>
                <w:strike/>
                <w:sz w:val="24"/>
                <w:szCs w:val="24"/>
              </w:rPr>
            </w:pPr>
            <w:r w:rsidRPr="005B190C" w:rsidDel="00496DD9">
              <w:rPr>
                <w:rFonts w:ascii="Arial" w:hAnsi="Arial" w:cs="Arial"/>
                <w:strike/>
                <w:sz w:val="24"/>
                <w:szCs w:val="24"/>
              </w:rPr>
              <w:t>Low</w:t>
            </w:r>
          </w:p>
          <w:p w14:paraId="3BECFC37" w14:textId="4FB0B2B9" w:rsidR="00E25EB6" w:rsidRPr="005B190C" w:rsidRDefault="00E25EB6" w:rsidP="0005083F">
            <w:pPr>
              <w:pStyle w:val="ListParagraph"/>
              <w:ind w:left="0"/>
              <w:contextualSpacing w:val="0"/>
              <w:rPr>
                <w:rFonts w:ascii="Arial" w:hAnsi="Arial" w:cs="Arial"/>
                <w:strike/>
                <w:sz w:val="24"/>
                <w:szCs w:val="24"/>
              </w:rPr>
            </w:pPr>
            <w:r w:rsidRPr="005B190C" w:rsidDel="00496DD9">
              <w:rPr>
                <w:rFonts w:ascii="Arial" w:hAnsi="Arial" w:cs="Arial"/>
                <w:strike/>
                <w:sz w:val="24"/>
                <w:szCs w:val="24"/>
              </w:rPr>
              <w:t>(≤80% of AMI)</w:t>
            </w:r>
          </w:p>
        </w:tc>
        <w:tc>
          <w:tcPr>
            <w:tcW w:w="2157" w:type="dxa"/>
          </w:tcPr>
          <w:p w14:paraId="0D94A5B2" w14:textId="004310F7" w:rsidR="00C11FF3" w:rsidRPr="005B190C" w:rsidRDefault="00E25EB6" w:rsidP="0005083F">
            <w:pPr>
              <w:pStyle w:val="ListParagraph"/>
              <w:ind w:left="0"/>
              <w:contextualSpacing w:val="0"/>
              <w:rPr>
                <w:rFonts w:ascii="Arial" w:hAnsi="Arial" w:cs="Arial"/>
                <w:strike/>
                <w:sz w:val="24"/>
                <w:szCs w:val="24"/>
              </w:rPr>
            </w:pPr>
            <w:r w:rsidRPr="005B190C" w:rsidDel="00496DD9">
              <w:rPr>
                <w:rFonts w:ascii="Arial" w:hAnsi="Arial" w:cs="Arial"/>
                <w:strike/>
                <w:sz w:val="24"/>
                <w:szCs w:val="24"/>
              </w:rPr>
              <w:t>75</w:t>
            </w:r>
          </w:p>
        </w:tc>
        <w:tc>
          <w:tcPr>
            <w:tcW w:w="2158" w:type="dxa"/>
          </w:tcPr>
          <w:p w14:paraId="1AA55DBB" w14:textId="507C2F92" w:rsidR="00C11FF3" w:rsidRPr="005B190C" w:rsidRDefault="00E25EB6" w:rsidP="0005083F">
            <w:pPr>
              <w:pStyle w:val="ListParagraph"/>
              <w:ind w:left="0"/>
              <w:contextualSpacing w:val="0"/>
              <w:rPr>
                <w:rFonts w:ascii="Arial" w:hAnsi="Arial" w:cs="Arial"/>
                <w:strike/>
                <w:sz w:val="24"/>
                <w:szCs w:val="24"/>
              </w:rPr>
            </w:pPr>
            <w:r w:rsidRPr="005B190C" w:rsidDel="00496DD9">
              <w:rPr>
                <w:rFonts w:ascii="Arial" w:hAnsi="Arial" w:cs="Arial"/>
                <w:strike/>
                <w:sz w:val="24"/>
                <w:szCs w:val="24"/>
              </w:rPr>
              <w:t>50</w:t>
            </w:r>
          </w:p>
        </w:tc>
        <w:tc>
          <w:tcPr>
            <w:tcW w:w="2158" w:type="dxa"/>
          </w:tcPr>
          <w:p w14:paraId="55098E06" w14:textId="0AD163E7" w:rsidR="00C11FF3" w:rsidRPr="005B190C" w:rsidRDefault="00E25EB6" w:rsidP="0005083F">
            <w:pPr>
              <w:pStyle w:val="ListParagraph"/>
              <w:ind w:left="0"/>
              <w:contextualSpacing w:val="0"/>
              <w:rPr>
                <w:rFonts w:ascii="Arial" w:hAnsi="Arial" w:cs="Arial"/>
                <w:strike/>
                <w:sz w:val="24"/>
                <w:szCs w:val="24"/>
              </w:rPr>
            </w:pPr>
            <w:r w:rsidRPr="005B190C" w:rsidDel="00496DD9">
              <w:rPr>
                <w:rFonts w:ascii="Arial" w:hAnsi="Arial" w:cs="Arial"/>
                <w:strike/>
                <w:sz w:val="24"/>
                <w:szCs w:val="24"/>
              </w:rPr>
              <w:t>25</w:t>
            </w:r>
          </w:p>
        </w:tc>
      </w:tr>
      <w:tr w:rsidR="00C11FF3" w:rsidRPr="00C11FF3" w14:paraId="25D36C71" w14:textId="77777777" w:rsidTr="00C11FF3">
        <w:tc>
          <w:tcPr>
            <w:tcW w:w="2157" w:type="dxa"/>
          </w:tcPr>
          <w:p w14:paraId="774938F0" w14:textId="49ED900C" w:rsidR="00C11FF3" w:rsidRPr="005B190C" w:rsidDel="00496DD9" w:rsidRDefault="00E25EB6" w:rsidP="0005083F">
            <w:pPr>
              <w:pStyle w:val="ListParagraph"/>
              <w:ind w:left="0"/>
              <w:contextualSpacing w:val="0"/>
              <w:rPr>
                <w:rFonts w:ascii="Arial" w:hAnsi="Arial" w:cs="Arial"/>
                <w:strike/>
                <w:sz w:val="24"/>
                <w:szCs w:val="24"/>
              </w:rPr>
            </w:pPr>
            <w:r w:rsidRPr="005B190C" w:rsidDel="00496DD9">
              <w:rPr>
                <w:rFonts w:ascii="Arial" w:hAnsi="Arial" w:cs="Arial"/>
                <w:strike/>
                <w:sz w:val="24"/>
                <w:szCs w:val="24"/>
              </w:rPr>
              <w:t>Very Low</w:t>
            </w:r>
          </w:p>
          <w:p w14:paraId="3D8C935E" w14:textId="2FF31807" w:rsidR="00E25EB6" w:rsidRPr="005B190C" w:rsidRDefault="00E25EB6" w:rsidP="0005083F">
            <w:pPr>
              <w:pStyle w:val="ListParagraph"/>
              <w:ind w:left="0"/>
              <w:contextualSpacing w:val="0"/>
              <w:rPr>
                <w:rFonts w:ascii="Arial" w:hAnsi="Arial" w:cs="Arial"/>
                <w:strike/>
                <w:sz w:val="24"/>
                <w:szCs w:val="24"/>
              </w:rPr>
            </w:pPr>
            <w:r w:rsidRPr="005B190C" w:rsidDel="00496DD9">
              <w:rPr>
                <w:rFonts w:ascii="Arial" w:hAnsi="Arial" w:cs="Arial"/>
                <w:strike/>
                <w:sz w:val="24"/>
                <w:szCs w:val="24"/>
              </w:rPr>
              <w:t>(≤50% of AMI)</w:t>
            </w:r>
          </w:p>
        </w:tc>
        <w:tc>
          <w:tcPr>
            <w:tcW w:w="2157" w:type="dxa"/>
          </w:tcPr>
          <w:p w14:paraId="54FE5F14" w14:textId="6C10E1DA" w:rsidR="00C11FF3" w:rsidRPr="005B190C" w:rsidRDefault="00E25EB6" w:rsidP="0005083F">
            <w:pPr>
              <w:pStyle w:val="ListParagraph"/>
              <w:ind w:left="0"/>
              <w:contextualSpacing w:val="0"/>
              <w:rPr>
                <w:rFonts w:ascii="Arial" w:hAnsi="Arial" w:cs="Arial"/>
                <w:strike/>
                <w:sz w:val="24"/>
                <w:szCs w:val="24"/>
              </w:rPr>
            </w:pPr>
            <w:r w:rsidRPr="005B190C" w:rsidDel="00496DD9">
              <w:rPr>
                <w:rFonts w:ascii="Arial" w:hAnsi="Arial" w:cs="Arial"/>
                <w:strike/>
                <w:sz w:val="24"/>
                <w:szCs w:val="24"/>
              </w:rPr>
              <w:t>50</w:t>
            </w:r>
          </w:p>
        </w:tc>
        <w:tc>
          <w:tcPr>
            <w:tcW w:w="2158" w:type="dxa"/>
          </w:tcPr>
          <w:p w14:paraId="3D926B9E" w14:textId="7AC661EB" w:rsidR="00C11FF3" w:rsidRPr="005B190C" w:rsidRDefault="00E25EB6" w:rsidP="0005083F">
            <w:pPr>
              <w:pStyle w:val="ListParagraph"/>
              <w:ind w:left="0"/>
              <w:contextualSpacing w:val="0"/>
              <w:rPr>
                <w:rFonts w:ascii="Arial" w:hAnsi="Arial" w:cs="Arial"/>
                <w:strike/>
                <w:sz w:val="24"/>
                <w:szCs w:val="24"/>
              </w:rPr>
            </w:pPr>
            <w:r w:rsidRPr="005B190C" w:rsidDel="00496DD9">
              <w:rPr>
                <w:rFonts w:ascii="Arial" w:hAnsi="Arial" w:cs="Arial"/>
                <w:strike/>
                <w:sz w:val="24"/>
                <w:szCs w:val="24"/>
              </w:rPr>
              <w:t>25</w:t>
            </w:r>
          </w:p>
        </w:tc>
        <w:tc>
          <w:tcPr>
            <w:tcW w:w="2158" w:type="dxa"/>
          </w:tcPr>
          <w:p w14:paraId="35374EB6" w14:textId="6DF4304C" w:rsidR="00C11FF3" w:rsidRPr="005B190C" w:rsidRDefault="00E25EB6" w:rsidP="0005083F">
            <w:pPr>
              <w:pStyle w:val="ListParagraph"/>
              <w:ind w:left="0"/>
              <w:contextualSpacing w:val="0"/>
              <w:rPr>
                <w:rFonts w:ascii="Arial" w:hAnsi="Arial" w:cs="Arial"/>
                <w:strike/>
                <w:sz w:val="24"/>
                <w:szCs w:val="24"/>
              </w:rPr>
            </w:pPr>
            <w:r w:rsidRPr="005B190C" w:rsidDel="00496DD9">
              <w:rPr>
                <w:rFonts w:ascii="Arial" w:hAnsi="Arial" w:cs="Arial"/>
                <w:strike/>
                <w:sz w:val="24"/>
                <w:szCs w:val="24"/>
              </w:rPr>
              <w:t>15</w:t>
            </w:r>
          </w:p>
        </w:tc>
      </w:tr>
      <w:tr w:rsidR="00C11FF3" w:rsidRPr="00C11FF3" w14:paraId="238AE3B5" w14:textId="77777777" w:rsidTr="00C11FF3">
        <w:tc>
          <w:tcPr>
            <w:tcW w:w="2157" w:type="dxa"/>
          </w:tcPr>
          <w:p w14:paraId="3017BF78" w14:textId="649CB6F5" w:rsidR="00C11FF3" w:rsidRPr="005B190C" w:rsidDel="00496DD9" w:rsidRDefault="00E25EB6" w:rsidP="0005083F">
            <w:pPr>
              <w:pStyle w:val="ListParagraph"/>
              <w:ind w:left="0"/>
              <w:contextualSpacing w:val="0"/>
              <w:rPr>
                <w:rFonts w:ascii="Arial" w:hAnsi="Arial" w:cs="Arial"/>
                <w:strike/>
                <w:sz w:val="24"/>
                <w:szCs w:val="24"/>
              </w:rPr>
            </w:pPr>
            <w:r w:rsidRPr="005B190C" w:rsidDel="00496DD9">
              <w:rPr>
                <w:rFonts w:ascii="Arial" w:hAnsi="Arial" w:cs="Arial"/>
                <w:strike/>
                <w:sz w:val="24"/>
                <w:szCs w:val="24"/>
              </w:rPr>
              <w:t>Extremely Low</w:t>
            </w:r>
          </w:p>
          <w:p w14:paraId="3AF3FA1A" w14:textId="7341DB9B" w:rsidR="00E25EB6" w:rsidRPr="005B190C" w:rsidRDefault="00E25EB6" w:rsidP="0005083F">
            <w:pPr>
              <w:pStyle w:val="ListParagraph"/>
              <w:ind w:left="0"/>
              <w:contextualSpacing w:val="0"/>
              <w:rPr>
                <w:rFonts w:ascii="Arial" w:hAnsi="Arial" w:cs="Arial"/>
                <w:strike/>
                <w:sz w:val="24"/>
                <w:szCs w:val="24"/>
              </w:rPr>
            </w:pPr>
            <w:r w:rsidRPr="005B190C" w:rsidDel="00496DD9">
              <w:rPr>
                <w:rFonts w:ascii="Arial" w:hAnsi="Arial" w:cs="Arial"/>
                <w:strike/>
                <w:sz w:val="24"/>
                <w:szCs w:val="24"/>
              </w:rPr>
              <w:t>(≤30% of AMI)</w:t>
            </w:r>
          </w:p>
        </w:tc>
        <w:tc>
          <w:tcPr>
            <w:tcW w:w="2157" w:type="dxa"/>
          </w:tcPr>
          <w:p w14:paraId="3CCE8320" w14:textId="4093A25F" w:rsidR="00C11FF3" w:rsidRPr="005B190C" w:rsidRDefault="00E25EB6" w:rsidP="0005083F">
            <w:pPr>
              <w:pStyle w:val="ListParagraph"/>
              <w:ind w:left="0"/>
              <w:contextualSpacing w:val="0"/>
              <w:rPr>
                <w:rFonts w:ascii="Arial" w:hAnsi="Arial" w:cs="Arial"/>
                <w:strike/>
                <w:sz w:val="24"/>
                <w:szCs w:val="24"/>
              </w:rPr>
            </w:pPr>
            <w:r w:rsidRPr="005B190C" w:rsidDel="00496DD9">
              <w:rPr>
                <w:rFonts w:ascii="Arial" w:hAnsi="Arial" w:cs="Arial"/>
                <w:strike/>
                <w:sz w:val="24"/>
                <w:szCs w:val="24"/>
              </w:rPr>
              <w:t>25</w:t>
            </w:r>
          </w:p>
        </w:tc>
        <w:tc>
          <w:tcPr>
            <w:tcW w:w="2158" w:type="dxa"/>
          </w:tcPr>
          <w:p w14:paraId="598927A2" w14:textId="615481E6" w:rsidR="00C11FF3" w:rsidRPr="005B190C" w:rsidRDefault="00E25EB6" w:rsidP="0005083F">
            <w:pPr>
              <w:pStyle w:val="ListParagraph"/>
              <w:ind w:left="0"/>
              <w:contextualSpacing w:val="0"/>
              <w:rPr>
                <w:rFonts w:ascii="Arial" w:hAnsi="Arial" w:cs="Arial"/>
                <w:strike/>
                <w:sz w:val="24"/>
                <w:szCs w:val="24"/>
              </w:rPr>
            </w:pPr>
            <w:r w:rsidRPr="005B190C" w:rsidDel="00496DD9">
              <w:rPr>
                <w:rFonts w:ascii="Arial" w:hAnsi="Arial" w:cs="Arial"/>
                <w:strike/>
                <w:sz w:val="24"/>
                <w:szCs w:val="24"/>
              </w:rPr>
              <w:t>15</w:t>
            </w:r>
          </w:p>
        </w:tc>
        <w:tc>
          <w:tcPr>
            <w:tcW w:w="2158" w:type="dxa"/>
          </w:tcPr>
          <w:p w14:paraId="7DC256DA" w14:textId="3E8A9002" w:rsidR="00C11FF3" w:rsidRPr="005B190C" w:rsidRDefault="00E25EB6" w:rsidP="0005083F">
            <w:pPr>
              <w:pStyle w:val="ListParagraph"/>
              <w:ind w:left="0"/>
              <w:contextualSpacing w:val="0"/>
              <w:rPr>
                <w:rFonts w:ascii="Arial" w:hAnsi="Arial" w:cs="Arial"/>
                <w:strike/>
                <w:sz w:val="24"/>
                <w:szCs w:val="24"/>
              </w:rPr>
            </w:pPr>
            <w:r w:rsidRPr="005B190C" w:rsidDel="00496DD9">
              <w:rPr>
                <w:rFonts w:ascii="Arial" w:hAnsi="Arial" w:cs="Arial"/>
                <w:strike/>
                <w:sz w:val="24"/>
                <w:szCs w:val="24"/>
              </w:rPr>
              <w:t>5</w:t>
            </w:r>
          </w:p>
        </w:tc>
      </w:tr>
    </w:tbl>
    <w:p w14:paraId="1A7E6FC1" w14:textId="1F6A8176" w:rsidR="00381676" w:rsidRPr="002B3E16" w:rsidRDefault="00381676" w:rsidP="00381676">
      <w:pPr>
        <w:pStyle w:val="ListParagraph"/>
        <w:spacing w:after="120" w:line="240" w:lineRule="auto"/>
        <w:contextualSpacing w:val="0"/>
        <w:rPr>
          <w:rFonts w:ascii="Arial" w:hAnsi="Arial" w:cs="Arial"/>
          <w:sz w:val="24"/>
          <w:szCs w:val="24"/>
          <w:highlight w:val="yellow"/>
        </w:rPr>
      </w:pPr>
    </w:p>
    <w:p w14:paraId="7D78F4BB" w14:textId="7FF9164B" w:rsidR="00F148A3" w:rsidRDefault="00F148A3" w:rsidP="000C651B">
      <w:pPr>
        <w:pStyle w:val="ListParagraph"/>
        <w:numPr>
          <w:ilvl w:val="0"/>
          <w:numId w:val="2"/>
        </w:numPr>
        <w:spacing w:after="120" w:line="240" w:lineRule="auto"/>
        <w:contextualSpacing w:val="0"/>
        <w:rPr>
          <w:rFonts w:ascii="Arial" w:hAnsi="Arial" w:cs="Arial"/>
          <w:sz w:val="24"/>
          <w:szCs w:val="24"/>
        </w:rPr>
      </w:pPr>
      <w:r>
        <w:rPr>
          <w:rFonts w:ascii="Arial" w:hAnsi="Arial" w:cs="Arial"/>
          <w:sz w:val="24"/>
          <w:szCs w:val="24"/>
        </w:rPr>
        <w:lastRenderedPageBreak/>
        <w:t>Provision C.3.e.</w:t>
      </w:r>
      <w:r w:rsidR="00966E44">
        <w:rPr>
          <w:rFonts w:ascii="Arial" w:hAnsi="Arial" w:cs="Arial"/>
          <w:sz w:val="24"/>
          <w:szCs w:val="24"/>
        </w:rPr>
        <w:t>v.(3)(f)</w:t>
      </w:r>
      <w:r>
        <w:rPr>
          <w:rFonts w:ascii="Arial" w:hAnsi="Arial" w:cs="Arial"/>
          <w:sz w:val="24"/>
          <w:szCs w:val="24"/>
        </w:rPr>
        <w:t xml:space="preserve"> </w:t>
      </w:r>
      <w:r w:rsidR="00966E44">
        <w:rPr>
          <w:rFonts w:ascii="Arial" w:hAnsi="Arial" w:cs="Arial"/>
          <w:sz w:val="24"/>
          <w:szCs w:val="24"/>
        </w:rPr>
        <w:t>Reporting on Special Projects</w:t>
      </w:r>
      <w:r>
        <w:rPr>
          <w:rFonts w:ascii="Arial" w:hAnsi="Arial" w:cs="Arial"/>
          <w:sz w:val="24"/>
          <w:szCs w:val="24"/>
        </w:rPr>
        <w:t xml:space="preserve"> of </w:t>
      </w:r>
      <w:r w:rsidRPr="00CD1321">
        <w:rPr>
          <w:rFonts w:ascii="Arial" w:hAnsi="Arial" w:cs="Arial"/>
          <w:sz w:val="24"/>
          <w:szCs w:val="24"/>
        </w:rPr>
        <w:t>Order No. R2-2022-0018</w:t>
      </w:r>
      <w:r>
        <w:rPr>
          <w:rFonts w:ascii="Arial" w:hAnsi="Arial" w:cs="Arial"/>
          <w:sz w:val="24"/>
          <w:szCs w:val="24"/>
        </w:rPr>
        <w:t xml:space="preserve"> is amended, as follows:</w:t>
      </w:r>
    </w:p>
    <w:p w14:paraId="6B0CF0E1" w14:textId="0F34924E" w:rsidR="008F33FE" w:rsidRDefault="00F11BE0" w:rsidP="009D16DF">
      <w:pPr>
        <w:pStyle w:val="ListParagraph"/>
        <w:spacing w:after="120" w:line="240" w:lineRule="auto"/>
        <w:ind w:left="1080" w:hanging="360"/>
        <w:contextualSpacing w:val="0"/>
        <w:rPr>
          <w:rFonts w:ascii="Arial" w:hAnsi="Arial" w:cs="Arial"/>
          <w:sz w:val="24"/>
          <w:szCs w:val="24"/>
        </w:rPr>
      </w:pPr>
      <w:r w:rsidRPr="00F11BE0">
        <w:rPr>
          <w:rFonts w:ascii="Arial" w:hAnsi="Arial" w:cs="Arial"/>
          <w:sz w:val="24"/>
          <w:szCs w:val="24"/>
        </w:rPr>
        <w:t>(f)</w:t>
      </w:r>
      <w:r w:rsidRPr="00F11BE0">
        <w:rPr>
          <w:rFonts w:ascii="Arial" w:hAnsi="Arial" w:cs="Arial"/>
          <w:sz w:val="24"/>
          <w:szCs w:val="24"/>
        </w:rPr>
        <w:tab/>
        <w:t xml:space="preserve">Category C Projects: Number of DUs in each AMI Category </w:t>
      </w:r>
      <w:r w:rsidRPr="007A6515">
        <w:rPr>
          <w:rFonts w:ascii="Arial" w:hAnsi="Arial" w:cs="Arial"/>
          <w:sz w:val="24"/>
          <w:szCs w:val="24"/>
          <w:u w:val="single"/>
        </w:rPr>
        <w:t xml:space="preserve">and Number of Manager’s DUs: </w:t>
      </w:r>
      <w:r w:rsidRPr="00F11BE0">
        <w:rPr>
          <w:rFonts w:ascii="Arial" w:hAnsi="Arial" w:cs="Arial"/>
          <w:sz w:val="24"/>
          <w:szCs w:val="24"/>
        </w:rPr>
        <w:t xml:space="preserve">For Category C Special Projects only, the number of preserved DUs (DUs with deed restrictions running at least 55 years) that have rent/mortgage rates (including utilities) no less than 30 percent of the Moderate, Low, Very Low, </w:t>
      </w:r>
      <w:r w:rsidRPr="00FA1CD7" w:rsidDel="00F11BE0">
        <w:rPr>
          <w:rFonts w:ascii="Arial" w:hAnsi="Arial" w:cs="Arial"/>
          <w:strike/>
          <w:sz w:val="24"/>
          <w:szCs w:val="24"/>
        </w:rPr>
        <w:t>and</w:t>
      </w:r>
      <w:r w:rsidRPr="00F11BE0" w:rsidDel="00F11BE0">
        <w:rPr>
          <w:rFonts w:ascii="Arial" w:hAnsi="Arial" w:cs="Arial"/>
          <w:sz w:val="24"/>
          <w:szCs w:val="24"/>
        </w:rPr>
        <w:t xml:space="preserve"> </w:t>
      </w:r>
      <w:r w:rsidRPr="00F11BE0">
        <w:rPr>
          <w:rFonts w:ascii="Arial" w:hAnsi="Arial" w:cs="Arial"/>
          <w:sz w:val="24"/>
          <w:szCs w:val="24"/>
        </w:rPr>
        <w:t>Extremely Low</w:t>
      </w:r>
      <w:r w:rsidRPr="007A6515">
        <w:rPr>
          <w:rFonts w:ascii="Arial" w:hAnsi="Arial" w:cs="Arial"/>
          <w:sz w:val="24"/>
          <w:szCs w:val="24"/>
          <w:u w:val="single"/>
        </w:rPr>
        <w:t xml:space="preserve">, and Acutely Low </w:t>
      </w:r>
      <w:r w:rsidRPr="00F11BE0">
        <w:rPr>
          <w:rFonts w:ascii="Arial" w:hAnsi="Arial" w:cs="Arial"/>
          <w:sz w:val="24"/>
          <w:szCs w:val="24"/>
        </w:rPr>
        <w:t>area median household income levels specified in Provision C.3.e.ii.(5)(c),</w:t>
      </w:r>
      <w:r w:rsidRPr="007A6515">
        <w:rPr>
          <w:rFonts w:ascii="Arial" w:hAnsi="Arial" w:cs="Arial"/>
          <w:sz w:val="24"/>
          <w:szCs w:val="24"/>
          <w:u w:val="single"/>
        </w:rPr>
        <w:t xml:space="preserve"> and the number of Manager’s DUs (up to 3).</w:t>
      </w:r>
    </w:p>
    <w:p w14:paraId="0831111E" w14:textId="77777777" w:rsidR="00F451D9" w:rsidRPr="00F451D9" w:rsidRDefault="00F451D9" w:rsidP="00F451D9">
      <w:pPr>
        <w:spacing w:after="120" w:line="240" w:lineRule="auto"/>
        <w:rPr>
          <w:rFonts w:ascii="Arial" w:hAnsi="Arial" w:cs="Arial"/>
          <w:sz w:val="24"/>
          <w:szCs w:val="24"/>
        </w:rPr>
      </w:pPr>
    </w:p>
    <w:p w14:paraId="3E1235D0" w14:textId="77777777" w:rsidR="00F86896" w:rsidRDefault="00F86896" w:rsidP="008747A5">
      <w:pPr>
        <w:pStyle w:val="ListParagraph"/>
        <w:spacing w:after="120" w:line="240" w:lineRule="auto"/>
        <w:ind w:left="360"/>
        <w:contextualSpacing w:val="0"/>
        <w:rPr>
          <w:rFonts w:ascii="Arial" w:hAnsi="Arial" w:cs="Arial"/>
          <w:sz w:val="24"/>
          <w:szCs w:val="24"/>
        </w:rPr>
        <w:sectPr w:rsidR="00F86896" w:rsidSect="00D6389C">
          <w:headerReference w:type="default" r:id="rId14"/>
          <w:footnotePr>
            <w:numFmt w:val="lowerLetter"/>
          </w:footnotePr>
          <w:type w:val="continuous"/>
          <w:pgSz w:w="12240" w:h="15840"/>
          <w:pgMar w:top="1440" w:right="1440" w:bottom="1440" w:left="1440" w:header="720" w:footer="720" w:gutter="0"/>
          <w:cols w:space="720"/>
          <w:titlePg/>
          <w:docGrid w:linePitch="360"/>
        </w:sectPr>
      </w:pPr>
    </w:p>
    <w:p w14:paraId="1EF3185D" w14:textId="1E26054A" w:rsidR="007645C6" w:rsidRDefault="007645C6" w:rsidP="000C651B">
      <w:pPr>
        <w:pStyle w:val="ListParagraph"/>
        <w:numPr>
          <w:ilvl w:val="0"/>
          <w:numId w:val="2"/>
        </w:numPr>
        <w:spacing w:after="120" w:line="240" w:lineRule="auto"/>
        <w:contextualSpacing w:val="0"/>
        <w:rPr>
          <w:rFonts w:ascii="Arial" w:hAnsi="Arial" w:cs="Arial"/>
          <w:sz w:val="24"/>
          <w:szCs w:val="24"/>
        </w:rPr>
      </w:pPr>
      <w:r>
        <w:rPr>
          <w:rFonts w:ascii="Arial" w:hAnsi="Arial" w:cs="Arial"/>
          <w:sz w:val="24"/>
          <w:szCs w:val="24"/>
        </w:rPr>
        <w:lastRenderedPageBreak/>
        <w:t>Table 3.1 Standard Tracking and Reporting Form for Potential Special Projects of Order No. R2-2022-0018 is amended, as follows:</w:t>
      </w:r>
    </w:p>
    <w:p w14:paraId="40B277D5" w14:textId="77777777" w:rsidR="007645C6" w:rsidRDefault="007645C6" w:rsidP="007645C6">
      <w:pPr>
        <w:pStyle w:val="ListParagraph"/>
        <w:spacing w:after="120" w:line="240" w:lineRule="auto"/>
        <w:contextualSpacing w:val="0"/>
        <w:rPr>
          <w:rFonts w:ascii="Arial" w:hAnsi="Arial" w:cs="Arial"/>
          <w:sz w:val="24"/>
          <w:szCs w:val="24"/>
        </w:rPr>
      </w:pPr>
    </w:p>
    <w:p w14:paraId="660D9382" w14:textId="77777777" w:rsidR="00C24184" w:rsidRPr="00707EF5" w:rsidRDefault="00C24184" w:rsidP="00C24184">
      <w:pPr>
        <w:pStyle w:val="MRPTableHeader"/>
        <w:rPr>
          <w:rFonts w:cs="Arial"/>
          <w:lang w:eastAsia="ar-SA"/>
        </w:rPr>
      </w:pPr>
      <w:r w:rsidRPr="00707EF5">
        <w:rPr>
          <w:rFonts w:cs="Arial"/>
          <w:lang w:eastAsia="ar-SA"/>
        </w:rPr>
        <w:t>Table 3.1 Standard Tracking and Reporting Form for Potential Special Projects</w:t>
      </w:r>
    </w:p>
    <w:p w14:paraId="31E0CB0D" w14:textId="77777777" w:rsidR="00C24184" w:rsidRPr="00BC2289" w:rsidRDefault="00C24184" w:rsidP="00C24184">
      <w:pPr>
        <w:suppressAutoHyphens/>
        <w:overflowPunct w:val="0"/>
        <w:autoSpaceDE w:val="0"/>
        <w:spacing w:after="0" w:line="240" w:lineRule="auto"/>
        <w:textAlignment w:val="baseline"/>
        <w:rPr>
          <w:rFonts w:ascii="Arial" w:eastAsia="Times New Roman" w:hAnsi="Arial" w:cs="Arial"/>
          <w:b/>
          <w:szCs w:val="24"/>
          <w:lang w:eastAsia="ar-SA"/>
        </w:rPr>
      </w:pPr>
    </w:p>
    <w:tbl>
      <w:tblPr>
        <w:tblW w:w="13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Caption w:val="reporting table"/>
        <w:tblDescription w:val="reporting table"/>
      </w:tblPr>
      <w:tblGrid>
        <w:gridCol w:w="805"/>
        <w:gridCol w:w="1080"/>
        <w:gridCol w:w="900"/>
        <w:gridCol w:w="1269"/>
        <w:gridCol w:w="1251"/>
        <w:gridCol w:w="900"/>
        <w:gridCol w:w="1260"/>
        <w:gridCol w:w="810"/>
        <w:gridCol w:w="1260"/>
        <w:gridCol w:w="540"/>
        <w:gridCol w:w="990"/>
        <w:gridCol w:w="1080"/>
        <w:gridCol w:w="17"/>
        <w:gridCol w:w="1243"/>
      </w:tblGrid>
      <w:tr w:rsidR="00C24184" w:rsidRPr="00715453" w14:paraId="7558BD77" w14:textId="77777777" w:rsidTr="005C6977">
        <w:trPr>
          <w:jc w:val="center"/>
        </w:trPr>
        <w:tc>
          <w:tcPr>
            <w:tcW w:w="805" w:type="dxa"/>
            <w:vAlign w:val="center"/>
          </w:tcPr>
          <w:p w14:paraId="17DA8FFC" w14:textId="77777777" w:rsidR="00C24184" w:rsidRPr="00707EF5" w:rsidRDefault="00C24184" w:rsidP="005C6977">
            <w:pPr>
              <w:pStyle w:val="MRPTableHeader"/>
              <w:rPr>
                <w:rFonts w:cs="Arial"/>
                <w:sz w:val="22"/>
                <w:lang w:eastAsia="ar-SA"/>
              </w:rPr>
            </w:pPr>
            <w:r w:rsidRPr="00707EF5">
              <w:rPr>
                <w:rFonts w:cs="Arial"/>
                <w:sz w:val="22"/>
                <w:lang w:eastAsia="ar-SA"/>
              </w:rPr>
              <w:t>Project No.</w:t>
            </w:r>
          </w:p>
        </w:tc>
        <w:tc>
          <w:tcPr>
            <w:tcW w:w="1080" w:type="dxa"/>
            <w:vAlign w:val="center"/>
          </w:tcPr>
          <w:p w14:paraId="36D27D5B" w14:textId="77777777" w:rsidR="00C24184" w:rsidRPr="00707EF5" w:rsidRDefault="00C24184" w:rsidP="005C6977">
            <w:pPr>
              <w:pStyle w:val="MRPTableHeader"/>
              <w:rPr>
                <w:rFonts w:cs="Arial"/>
                <w:sz w:val="22"/>
                <w:lang w:eastAsia="ar-SA"/>
              </w:rPr>
            </w:pPr>
            <w:r w:rsidRPr="00707EF5">
              <w:rPr>
                <w:rFonts w:cs="Arial"/>
                <w:sz w:val="22"/>
                <w:lang w:eastAsia="ar-SA"/>
              </w:rPr>
              <w:t>Permittee</w:t>
            </w:r>
          </w:p>
        </w:tc>
        <w:tc>
          <w:tcPr>
            <w:tcW w:w="900" w:type="dxa"/>
            <w:vAlign w:val="center"/>
          </w:tcPr>
          <w:p w14:paraId="441FD87C" w14:textId="77777777" w:rsidR="00C24184" w:rsidRPr="00707EF5" w:rsidRDefault="00C24184" w:rsidP="005C6977">
            <w:pPr>
              <w:pStyle w:val="MRPTableHeader"/>
              <w:rPr>
                <w:rFonts w:cs="Arial"/>
                <w:sz w:val="22"/>
                <w:lang w:eastAsia="ar-SA"/>
              </w:rPr>
            </w:pPr>
            <w:r w:rsidRPr="00707EF5">
              <w:rPr>
                <w:rFonts w:cs="Arial"/>
                <w:sz w:val="22"/>
                <w:lang w:eastAsia="ar-SA"/>
              </w:rPr>
              <w:t>Address</w:t>
            </w:r>
          </w:p>
        </w:tc>
        <w:tc>
          <w:tcPr>
            <w:tcW w:w="1269" w:type="dxa"/>
            <w:vAlign w:val="center"/>
          </w:tcPr>
          <w:p w14:paraId="14C0F161" w14:textId="77777777" w:rsidR="00C24184" w:rsidRPr="00707EF5" w:rsidRDefault="00C24184" w:rsidP="005C6977">
            <w:pPr>
              <w:pStyle w:val="MRPTableHeader"/>
              <w:rPr>
                <w:rFonts w:cs="Arial"/>
                <w:sz w:val="22"/>
                <w:lang w:eastAsia="ar-SA"/>
              </w:rPr>
            </w:pPr>
            <w:r w:rsidRPr="00707EF5">
              <w:rPr>
                <w:rFonts w:cs="Arial"/>
                <w:sz w:val="22"/>
                <w:lang w:eastAsia="ar-SA"/>
              </w:rPr>
              <w:t>Application Submittal Date</w:t>
            </w:r>
          </w:p>
        </w:tc>
        <w:tc>
          <w:tcPr>
            <w:tcW w:w="1251" w:type="dxa"/>
            <w:vAlign w:val="center"/>
          </w:tcPr>
          <w:p w14:paraId="48F8D208" w14:textId="77777777" w:rsidR="00C24184" w:rsidRPr="00707EF5" w:rsidRDefault="00C24184" w:rsidP="005C6977">
            <w:pPr>
              <w:pStyle w:val="MRPTableHeader"/>
              <w:rPr>
                <w:rFonts w:cs="Arial"/>
                <w:sz w:val="22"/>
                <w:lang w:eastAsia="ar-SA"/>
              </w:rPr>
            </w:pPr>
            <w:r w:rsidRPr="00707EF5">
              <w:rPr>
                <w:rFonts w:cs="Arial"/>
                <w:sz w:val="22"/>
                <w:lang w:eastAsia="ar-SA"/>
              </w:rPr>
              <w:t>Description</w:t>
            </w:r>
          </w:p>
        </w:tc>
        <w:tc>
          <w:tcPr>
            <w:tcW w:w="900" w:type="dxa"/>
            <w:vAlign w:val="center"/>
          </w:tcPr>
          <w:p w14:paraId="0C9E54CD" w14:textId="77777777" w:rsidR="00C24184" w:rsidRPr="00707EF5" w:rsidRDefault="00C24184" w:rsidP="005C6977">
            <w:pPr>
              <w:pStyle w:val="MRPTableHeader"/>
              <w:rPr>
                <w:rFonts w:cs="Arial"/>
                <w:sz w:val="22"/>
                <w:lang w:eastAsia="ar-SA"/>
              </w:rPr>
            </w:pPr>
            <w:r w:rsidRPr="00707EF5">
              <w:rPr>
                <w:rFonts w:cs="Arial"/>
                <w:sz w:val="22"/>
                <w:lang w:eastAsia="ar-SA"/>
              </w:rPr>
              <w:t>Site Total Acreage</w:t>
            </w:r>
          </w:p>
        </w:tc>
        <w:tc>
          <w:tcPr>
            <w:tcW w:w="1260" w:type="dxa"/>
          </w:tcPr>
          <w:p w14:paraId="3127F26C" w14:textId="77777777" w:rsidR="00C24184" w:rsidRPr="00707EF5" w:rsidRDefault="00C24184" w:rsidP="005C6977">
            <w:pPr>
              <w:pStyle w:val="MRPTableHeader"/>
              <w:rPr>
                <w:rFonts w:cs="Arial"/>
                <w:sz w:val="22"/>
                <w:lang w:eastAsia="ar-SA"/>
              </w:rPr>
            </w:pPr>
            <w:r w:rsidRPr="00707EF5">
              <w:rPr>
                <w:rFonts w:cs="Arial"/>
                <w:sz w:val="22"/>
                <w:lang w:eastAsia="ar-SA"/>
              </w:rPr>
              <w:t>Total Impervious Surface Created/ Replaced</w:t>
            </w:r>
          </w:p>
        </w:tc>
        <w:tc>
          <w:tcPr>
            <w:tcW w:w="810" w:type="dxa"/>
            <w:vAlign w:val="center"/>
          </w:tcPr>
          <w:p w14:paraId="648BEAAE" w14:textId="77777777" w:rsidR="00C24184" w:rsidRPr="00707EF5" w:rsidRDefault="00C24184" w:rsidP="005C6977">
            <w:pPr>
              <w:pStyle w:val="MRPTableHeader"/>
              <w:rPr>
                <w:rFonts w:cs="Arial"/>
                <w:sz w:val="22"/>
                <w:lang w:eastAsia="ar-SA"/>
              </w:rPr>
            </w:pPr>
            <w:r w:rsidRPr="00707EF5">
              <w:rPr>
                <w:rFonts w:cs="Arial"/>
                <w:sz w:val="22"/>
                <w:lang w:eastAsia="ar-SA"/>
              </w:rPr>
              <w:t>Gross Density</w:t>
            </w:r>
          </w:p>
          <w:p w14:paraId="66B7000F" w14:textId="77777777" w:rsidR="00C24184" w:rsidRPr="00707EF5" w:rsidRDefault="00C24184" w:rsidP="005C6977">
            <w:pPr>
              <w:pStyle w:val="MRPTableHeader"/>
              <w:rPr>
                <w:rFonts w:cs="Arial"/>
                <w:sz w:val="22"/>
                <w:lang w:eastAsia="ar-SA"/>
              </w:rPr>
            </w:pPr>
            <w:r w:rsidRPr="00707EF5">
              <w:rPr>
                <w:rFonts w:cs="Arial"/>
                <w:sz w:val="22"/>
                <w:lang w:eastAsia="ar-SA"/>
              </w:rPr>
              <w:t>DU/Ac</w:t>
            </w:r>
          </w:p>
        </w:tc>
        <w:tc>
          <w:tcPr>
            <w:tcW w:w="1260" w:type="dxa"/>
          </w:tcPr>
          <w:p w14:paraId="158A1A0A" w14:textId="38A94E28" w:rsidR="00C24184" w:rsidRPr="00707EF5" w:rsidRDefault="00C24184" w:rsidP="005C6977">
            <w:pPr>
              <w:pStyle w:val="MRPTableHeader"/>
              <w:rPr>
                <w:rFonts w:cs="Arial"/>
                <w:sz w:val="22"/>
                <w:lang w:eastAsia="ar-SA"/>
              </w:rPr>
            </w:pPr>
            <w:r w:rsidRPr="00707EF5">
              <w:rPr>
                <w:rFonts w:cs="Arial"/>
                <w:sz w:val="22"/>
                <w:lang w:eastAsia="ar-SA"/>
              </w:rPr>
              <w:t>Category C Projects: Number of DUs in each AMI Category</w:t>
            </w:r>
            <w:r w:rsidR="0042534A" w:rsidRPr="00951BE7">
              <w:rPr>
                <w:rFonts w:cs="Arial"/>
                <w:sz w:val="22"/>
                <w:u w:val="single"/>
                <w:lang w:eastAsia="ar-SA"/>
              </w:rPr>
              <w:t xml:space="preserve"> &amp; Number of Manager’s DUs</w:t>
            </w:r>
          </w:p>
        </w:tc>
        <w:tc>
          <w:tcPr>
            <w:tcW w:w="540" w:type="dxa"/>
            <w:vAlign w:val="center"/>
          </w:tcPr>
          <w:p w14:paraId="6E15BC42" w14:textId="77777777" w:rsidR="00C24184" w:rsidRPr="00707EF5" w:rsidRDefault="00C24184" w:rsidP="005C6977">
            <w:pPr>
              <w:pStyle w:val="MRPTableHeader"/>
              <w:rPr>
                <w:rFonts w:cs="Arial"/>
                <w:sz w:val="22"/>
                <w:lang w:eastAsia="ar-SA"/>
              </w:rPr>
            </w:pPr>
            <w:r w:rsidRPr="00707EF5">
              <w:rPr>
                <w:rFonts w:cs="Arial"/>
                <w:sz w:val="22"/>
                <w:lang w:eastAsia="ar-SA"/>
              </w:rPr>
              <w:t>FAR</w:t>
            </w:r>
          </w:p>
        </w:tc>
        <w:tc>
          <w:tcPr>
            <w:tcW w:w="990" w:type="dxa"/>
            <w:vAlign w:val="center"/>
          </w:tcPr>
          <w:p w14:paraId="52E42CE2" w14:textId="77777777" w:rsidR="00C24184" w:rsidRPr="00707EF5" w:rsidRDefault="00C24184" w:rsidP="005C6977">
            <w:pPr>
              <w:pStyle w:val="MRPTableHeader"/>
              <w:rPr>
                <w:rFonts w:cs="Arial"/>
                <w:sz w:val="22"/>
                <w:lang w:eastAsia="ar-SA"/>
              </w:rPr>
            </w:pPr>
            <w:r w:rsidRPr="00707EF5">
              <w:rPr>
                <w:rFonts w:cs="Arial"/>
                <w:sz w:val="22"/>
                <w:lang w:eastAsia="ar-SA"/>
              </w:rPr>
              <w:t>Special Project Category</w:t>
            </w:r>
          </w:p>
        </w:tc>
        <w:tc>
          <w:tcPr>
            <w:tcW w:w="1097" w:type="dxa"/>
            <w:gridSpan w:val="2"/>
            <w:vAlign w:val="center"/>
          </w:tcPr>
          <w:p w14:paraId="169AAC27" w14:textId="77777777" w:rsidR="00C24184" w:rsidRPr="00707EF5" w:rsidRDefault="00C24184" w:rsidP="005C6977">
            <w:pPr>
              <w:pStyle w:val="MRPTableHeader"/>
              <w:rPr>
                <w:rFonts w:cs="Arial"/>
                <w:sz w:val="22"/>
                <w:lang w:eastAsia="ar-SA"/>
              </w:rPr>
            </w:pPr>
            <w:r w:rsidRPr="00707EF5">
              <w:rPr>
                <w:rFonts w:cs="Arial"/>
                <w:sz w:val="22"/>
                <w:lang w:eastAsia="ar-SA"/>
              </w:rPr>
              <w:t>LID Treatment Reduction Credit</w:t>
            </w:r>
          </w:p>
        </w:tc>
        <w:tc>
          <w:tcPr>
            <w:tcW w:w="1243" w:type="dxa"/>
            <w:vAlign w:val="center"/>
          </w:tcPr>
          <w:p w14:paraId="46CB03AC" w14:textId="77777777" w:rsidR="00C24184" w:rsidRPr="00707EF5" w:rsidRDefault="00C24184" w:rsidP="005C6977">
            <w:pPr>
              <w:pStyle w:val="MRPTableHeader"/>
              <w:rPr>
                <w:rFonts w:cs="Arial"/>
                <w:sz w:val="22"/>
                <w:lang w:eastAsia="ar-SA"/>
              </w:rPr>
            </w:pPr>
            <w:r w:rsidRPr="00707EF5">
              <w:rPr>
                <w:rFonts w:cs="Arial"/>
                <w:sz w:val="22"/>
                <w:lang w:eastAsia="ar-SA"/>
              </w:rPr>
              <w:t>Stormwater Treatment Systems</w:t>
            </w:r>
          </w:p>
        </w:tc>
      </w:tr>
      <w:tr w:rsidR="00C24184" w:rsidRPr="00715453" w14:paraId="366DAE31" w14:textId="77777777" w:rsidTr="005C6977">
        <w:trPr>
          <w:jc w:val="center"/>
        </w:trPr>
        <w:tc>
          <w:tcPr>
            <w:tcW w:w="805" w:type="dxa"/>
            <w:vAlign w:val="center"/>
          </w:tcPr>
          <w:p w14:paraId="68697238" w14:textId="77777777" w:rsidR="00C24184" w:rsidRPr="00707EF5" w:rsidRDefault="00C24184" w:rsidP="005C6977">
            <w:pPr>
              <w:pStyle w:val="MRPTableData"/>
              <w:rPr>
                <w:rFonts w:cs="Arial"/>
                <w:lang w:eastAsia="ar-SA"/>
              </w:rPr>
            </w:pPr>
          </w:p>
        </w:tc>
        <w:tc>
          <w:tcPr>
            <w:tcW w:w="1080" w:type="dxa"/>
            <w:vAlign w:val="center"/>
          </w:tcPr>
          <w:p w14:paraId="304FAF14" w14:textId="77777777" w:rsidR="00C24184" w:rsidRPr="00707EF5" w:rsidRDefault="00C24184" w:rsidP="005C6977">
            <w:pPr>
              <w:pStyle w:val="MRPTableData"/>
              <w:rPr>
                <w:rFonts w:cs="Arial"/>
                <w:lang w:eastAsia="ar-SA"/>
              </w:rPr>
            </w:pPr>
          </w:p>
        </w:tc>
        <w:tc>
          <w:tcPr>
            <w:tcW w:w="900" w:type="dxa"/>
            <w:vAlign w:val="center"/>
          </w:tcPr>
          <w:p w14:paraId="7BFC58D8" w14:textId="77777777" w:rsidR="00C24184" w:rsidRPr="00707EF5" w:rsidRDefault="00C24184" w:rsidP="005C6977">
            <w:pPr>
              <w:pStyle w:val="MRPTableData"/>
              <w:rPr>
                <w:rFonts w:cs="Arial"/>
                <w:lang w:eastAsia="ar-SA"/>
              </w:rPr>
            </w:pPr>
          </w:p>
        </w:tc>
        <w:tc>
          <w:tcPr>
            <w:tcW w:w="1269" w:type="dxa"/>
            <w:vAlign w:val="center"/>
          </w:tcPr>
          <w:p w14:paraId="1AE95AB8" w14:textId="77777777" w:rsidR="00C24184" w:rsidRPr="00707EF5" w:rsidRDefault="00C24184" w:rsidP="005C6977">
            <w:pPr>
              <w:pStyle w:val="MRPTableData"/>
              <w:rPr>
                <w:rFonts w:cs="Arial"/>
                <w:lang w:eastAsia="ar-SA"/>
              </w:rPr>
            </w:pPr>
          </w:p>
        </w:tc>
        <w:tc>
          <w:tcPr>
            <w:tcW w:w="1251" w:type="dxa"/>
            <w:vAlign w:val="center"/>
          </w:tcPr>
          <w:p w14:paraId="054A0F40" w14:textId="77777777" w:rsidR="00C24184" w:rsidRPr="00707EF5" w:rsidRDefault="00C24184" w:rsidP="005C6977">
            <w:pPr>
              <w:pStyle w:val="MRPTableData"/>
              <w:rPr>
                <w:rFonts w:cs="Arial"/>
                <w:lang w:eastAsia="ar-SA"/>
              </w:rPr>
            </w:pPr>
          </w:p>
        </w:tc>
        <w:tc>
          <w:tcPr>
            <w:tcW w:w="900" w:type="dxa"/>
            <w:vAlign w:val="center"/>
          </w:tcPr>
          <w:p w14:paraId="0537CBE4" w14:textId="77777777" w:rsidR="00C24184" w:rsidRPr="00707EF5" w:rsidRDefault="00C24184" w:rsidP="005C6977">
            <w:pPr>
              <w:pStyle w:val="MRPTableData"/>
              <w:rPr>
                <w:rFonts w:cs="Arial"/>
                <w:lang w:eastAsia="ar-SA"/>
              </w:rPr>
            </w:pPr>
          </w:p>
        </w:tc>
        <w:tc>
          <w:tcPr>
            <w:tcW w:w="1260" w:type="dxa"/>
          </w:tcPr>
          <w:p w14:paraId="4895A1CD" w14:textId="77777777" w:rsidR="00C24184" w:rsidRPr="00707EF5" w:rsidRDefault="00C24184" w:rsidP="005C6977">
            <w:pPr>
              <w:pStyle w:val="MRPTableData"/>
              <w:rPr>
                <w:rFonts w:cs="Arial"/>
                <w:lang w:eastAsia="ar-SA"/>
              </w:rPr>
            </w:pPr>
          </w:p>
        </w:tc>
        <w:tc>
          <w:tcPr>
            <w:tcW w:w="810" w:type="dxa"/>
            <w:vAlign w:val="center"/>
          </w:tcPr>
          <w:p w14:paraId="2F6D0340" w14:textId="77777777" w:rsidR="00C24184" w:rsidRPr="00707EF5" w:rsidRDefault="00C24184" w:rsidP="005C6977">
            <w:pPr>
              <w:pStyle w:val="MRPTableData"/>
              <w:rPr>
                <w:rFonts w:cs="Arial"/>
                <w:lang w:eastAsia="ar-SA"/>
              </w:rPr>
            </w:pPr>
          </w:p>
        </w:tc>
        <w:tc>
          <w:tcPr>
            <w:tcW w:w="1260" w:type="dxa"/>
          </w:tcPr>
          <w:p w14:paraId="0422768F" w14:textId="77777777" w:rsidR="00C24184" w:rsidRPr="00707EF5" w:rsidRDefault="00C24184" w:rsidP="005C6977">
            <w:pPr>
              <w:pStyle w:val="MRPTableData"/>
              <w:rPr>
                <w:rFonts w:cs="Arial"/>
                <w:lang w:eastAsia="ar-SA"/>
              </w:rPr>
            </w:pPr>
          </w:p>
        </w:tc>
        <w:tc>
          <w:tcPr>
            <w:tcW w:w="540" w:type="dxa"/>
            <w:vAlign w:val="center"/>
          </w:tcPr>
          <w:p w14:paraId="392B0A4A" w14:textId="77777777" w:rsidR="00C24184" w:rsidRPr="00707EF5" w:rsidRDefault="00C24184" w:rsidP="005C6977">
            <w:pPr>
              <w:pStyle w:val="MRPTableData"/>
              <w:rPr>
                <w:rFonts w:cs="Arial"/>
                <w:lang w:eastAsia="ar-SA"/>
              </w:rPr>
            </w:pPr>
          </w:p>
        </w:tc>
        <w:tc>
          <w:tcPr>
            <w:tcW w:w="990" w:type="dxa"/>
            <w:vAlign w:val="center"/>
          </w:tcPr>
          <w:p w14:paraId="43369784" w14:textId="77777777" w:rsidR="00C24184" w:rsidRPr="00707EF5" w:rsidRDefault="00C24184" w:rsidP="005C6977">
            <w:pPr>
              <w:pStyle w:val="MRPTableData"/>
              <w:rPr>
                <w:rFonts w:cs="Arial"/>
                <w:lang w:eastAsia="ar-SA"/>
              </w:rPr>
            </w:pPr>
          </w:p>
        </w:tc>
        <w:tc>
          <w:tcPr>
            <w:tcW w:w="1080" w:type="dxa"/>
            <w:vAlign w:val="center"/>
          </w:tcPr>
          <w:p w14:paraId="205F8C9B" w14:textId="77777777" w:rsidR="00C24184" w:rsidRPr="00707EF5" w:rsidRDefault="00C24184" w:rsidP="005C6977">
            <w:pPr>
              <w:pStyle w:val="MRPTableData"/>
              <w:rPr>
                <w:rFonts w:cs="Arial"/>
                <w:lang w:eastAsia="ar-SA"/>
              </w:rPr>
            </w:pPr>
          </w:p>
        </w:tc>
        <w:tc>
          <w:tcPr>
            <w:tcW w:w="1260" w:type="dxa"/>
            <w:gridSpan w:val="2"/>
            <w:vAlign w:val="center"/>
          </w:tcPr>
          <w:p w14:paraId="0CA1CE22" w14:textId="77777777" w:rsidR="00C24184" w:rsidRPr="00707EF5" w:rsidRDefault="00C24184" w:rsidP="005C6977">
            <w:pPr>
              <w:pStyle w:val="MRPTableData"/>
              <w:rPr>
                <w:rFonts w:cs="Arial"/>
                <w:lang w:eastAsia="ar-SA"/>
              </w:rPr>
            </w:pPr>
          </w:p>
        </w:tc>
      </w:tr>
      <w:tr w:rsidR="00C24184" w:rsidRPr="00715453" w14:paraId="1E484235" w14:textId="77777777" w:rsidTr="005C6977">
        <w:trPr>
          <w:jc w:val="center"/>
        </w:trPr>
        <w:tc>
          <w:tcPr>
            <w:tcW w:w="805" w:type="dxa"/>
            <w:vAlign w:val="center"/>
          </w:tcPr>
          <w:p w14:paraId="28C05E5A" w14:textId="77777777" w:rsidR="00C24184" w:rsidRPr="00707EF5" w:rsidRDefault="00C24184" w:rsidP="005C6977">
            <w:pPr>
              <w:pStyle w:val="MRPTableData"/>
              <w:rPr>
                <w:rFonts w:cs="Arial"/>
                <w:lang w:eastAsia="ar-SA"/>
              </w:rPr>
            </w:pPr>
          </w:p>
        </w:tc>
        <w:tc>
          <w:tcPr>
            <w:tcW w:w="1080" w:type="dxa"/>
            <w:vAlign w:val="center"/>
          </w:tcPr>
          <w:p w14:paraId="76F06049" w14:textId="77777777" w:rsidR="00C24184" w:rsidRPr="00707EF5" w:rsidRDefault="00C24184" w:rsidP="005C6977">
            <w:pPr>
              <w:pStyle w:val="MRPTableData"/>
              <w:rPr>
                <w:rFonts w:cs="Arial"/>
                <w:lang w:eastAsia="ar-SA"/>
              </w:rPr>
            </w:pPr>
          </w:p>
        </w:tc>
        <w:tc>
          <w:tcPr>
            <w:tcW w:w="900" w:type="dxa"/>
            <w:vAlign w:val="center"/>
          </w:tcPr>
          <w:p w14:paraId="7EAAB632" w14:textId="77777777" w:rsidR="00C24184" w:rsidRPr="00707EF5" w:rsidRDefault="00C24184" w:rsidP="005C6977">
            <w:pPr>
              <w:pStyle w:val="MRPTableData"/>
              <w:rPr>
                <w:rFonts w:cs="Arial"/>
                <w:lang w:eastAsia="ar-SA"/>
              </w:rPr>
            </w:pPr>
          </w:p>
        </w:tc>
        <w:tc>
          <w:tcPr>
            <w:tcW w:w="1269" w:type="dxa"/>
            <w:vAlign w:val="center"/>
          </w:tcPr>
          <w:p w14:paraId="761C88BB" w14:textId="77777777" w:rsidR="00C24184" w:rsidRPr="00707EF5" w:rsidRDefault="00C24184" w:rsidP="005C6977">
            <w:pPr>
              <w:pStyle w:val="MRPTableData"/>
              <w:rPr>
                <w:rFonts w:cs="Arial"/>
                <w:lang w:eastAsia="ar-SA"/>
              </w:rPr>
            </w:pPr>
          </w:p>
        </w:tc>
        <w:tc>
          <w:tcPr>
            <w:tcW w:w="1251" w:type="dxa"/>
            <w:vAlign w:val="center"/>
          </w:tcPr>
          <w:p w14:paraId="3FB675C7" w14:textId="77777777" w:rsidR="00C24184" w:rsidRPr="00707EF5" w:rsidRDefault="00C24184" w:rsidP="005C6977">
            <w:pPr>
              <w:pStyle w:val="MRPTableData"/>
              <w:rPr>
                <w:rFonts w:cs="Arial"/>
                <w:lang w:eastAsia="ar-SA"/>
              </w:rPr>
            </w:pPr>
          </w:p>
        </w:tc>
        <w:tc>
          <w:tcPr>
            <w:tcW w:w="900" w:type="dxa"/>
            <w:vAlign w:val="center"/>
          </w:tcPr>
          <w:p w14:paraId="55D13945" w14:textId="77777777" w:rsidR="00C24184" w:rsidRPr="00707EF5" w:rsidRDefault="00C24184" w:rsidP="005C6977">
            <w:pPr>
              <w:pStyle w:val="MRPTableData"/>
              <w:rPr>
                <w:rFonts w:cs="Arial"/>
                <w:lang w:eastAsia="ar-SA"/>
              </w:rPr>
            </w:pPr>
          </w:p>
        </w:tc>
        <w:tc>
          <w:tcPr>
            <w:tcW w:w="1260" w:type="dxa"/>
          </w:tcPr>
          <w:p w14:paraId="568EEE12" w14:textId="77777777" w:rsidR="00C24184" w:rsidRPr="00707EF5" w:rsidRDefault="00C24184" w:rsidP="005C6977">
            <w:pPr>
              <w:pStyle w:val="MRPTableData"/>
              <w:rPr>
                <w:rFonts w:cs="Arial"/>
                <w:lang w:eastAsia="ar-SA"/>
              </w:rPr>
            </w:pPr>
          </w:p>
        </w:tc>
        <w:tc>
          <w:tcPr>
            <w:tcW w:w="810" w:type="dxa"/>
            <w:vAlign w:val="center"/>
          </w:tcPr>
          <w:p w14:paraId="445018DB" w14:textId="77777777" w:rsidR="00C24184" w:rsidRPr="00707EF5" w:rsidRDefault="00C24184" w:rsidP="005C6977">
            <w:pPr>
              <w:pStyle w:val="MRPTableData"/>
              <w:rPr>
                <w:rFonts w:cs="Arial"/>
                <w:lang w:eastAsia="ar-SA"/>
              </w:rPr>
            </w:pPr>
          </w:p>
        </w:tc>
        <w:tc>
          <w:tcPr>
            <w:tcW w:w="1260" w:type="dxa"/>
          </w:tcPr>
          <w:p w14:paraId="4FD66E1D" w14:textId="77777777" w:rsidR="00C24184" w:rsidRPr="00707EF5" w:rsidRDefault="00C24184" w:rsidP="005C6977">
            <w:pPr>
              <w:pStyle w:val="MRPTableData"/>
              <w:rPr>
                <w:rFonts w:cs="Arial"/>
                <w:lang w:eastAsia="ar-SA"/>
              </w:rPr>
            </w:pPr>
          </w:p>
        </w:tc>
        <w:tc>
          <w:tcPr>
            <w:tcW w:w="540" w:type="dxa"/>
            <w:vAlign w:val="center"/>
          </w:tcPr>
          <w:p w14:paraId="704B1F3B" w14:textId="77777777" w:rsidR="00C24184" w:rsidRPr="00707EF5" w:rsidRDefault="00C24184" w:rsidP="005C6977">
            <w:pPr>
              <w:pStyle w:val="MRPTableData"/>
              <w:rPr>
                <w:rFonts w:cs="Arial"/>
                <w:lang w:eastAsia="ar-SA"/>
              </w:rPr>
            </w:pPr>
          </w:p>
        </w:tc>
        <w:tc>
          <w:tcPr>
            <w:tcW w:w="990" w:type="dxa"/>
            <w:vAlign w:val="center"/>
          </w:tcPr>
          <w:p w14:paraId="0CFA0C54" w14:textId="77777777" w:rsidR="00C24184" w:rsidRPr="00707EF5" w:rsidRDefault="00C24184" w:rsidP="005C6977">
            <w:pPr>
              <w:pStyle w:val="MRPTableData"/>
              <w:rPr>
                <w:rFonts w:cs="Arial"/>
                <w:lang w:eastAsia="ar-SA"/>
              </w:rPr>
            </w:pPr>
          </w:p>
        </w:tc>
        <w:tc>
          <w:tcPr>
            <w:tcW w:w="1080" w:type="dxa"/>
            <w:vAlign w:val="center"/>
          </w:tcPr>
          <w:p w14:paraId="6FB7A996" w14:textId="77777777" w:rsidR="00C24184" w:rsidRPr="00707EF5" w:rsidRDefault="00C24184" w:rsidP="005C6977">
            <w:pPr>
              <w:pStyle w:val="MRPTableData"/>
              <w:rPr>
                <w:rFonts w:cs="Arial"/>
                <w:lang w:eastAsia="ar-SA"/>
              </w:rPr>
            </w:pPr>
          </w:p>
        </w:tc>
        <w:tc>
          <w:tcPr>
            <w:tcW w:w="1260" w:type="dxa"/>
            <w:gridSpan w:val="2"/>
            <w:vAlign w:val="center"/>
          </w:tcPr>
          <w:p w14:paraId="73F1CCBC" w14:textId="77777777" w:rsidR="00C24184" w:rsidRPr="00707EF5" w:rsidRDefault="00C24184" w:rsidP="005C6977">
            <w:pPr>
              <w:pStyle w:val="MRPTableData"/>
              <w:rPr>
                <w:rFonts w:cs="Arial"/>
                <w:lang w:eastAsia="ar-SA"/>
              </w:rPr>
            </w:pPr>
          </w:p>
        </w:tc>
      </w:tr>
      <w:tr w:rsidR="00C24184" w:rsidRPr="00715453" w14:paraId="2B8559F2" w14:textId="77777777" w:rsidTr="005C6977">
        <w:trPr>
          <w:jc w:val="center"/>
        </w:trPr>
        <w:tc>
          <w:tcPr>
            <w:tcW w:w="805" w:type="dxa"/>
            <w:vAlign w:val="center"/>
          </w:tcPr>
          <w:p w14:paraId="5520B31C" w14:textId="77777777" w:rsidR="00C24184" w:rsidRPr="00707EF5" w:rsidRDefault="00C24184" w:rsidP="005C6977">
            <w:pPr>
              <w:pStyle w:val="MRPTableData"/>
              <w:rPr>
                <w:rFonts w:cs="Arial"/>
                <w:lang w:eastAsia="ar-SA"/>
              </w:rPr>
            </w:pPr>
          </w:p>
        </w:tc>
        <w:tc>
          <w:tcPr>
            <w:tcW w:w="1080" w:type="dxa"/>
            <w:vAlign w:val="center"/>
          </w:tcPr>
          <w:p w14:paraId="62841A6D" w14:textId="77777777" w:rsidR="00C24184" w:rsidRPr="00707EF5" w:rsidRDefault="00C24184" w:rsidP="005C6977">
            <w:pPr>
              <w:pStyle w:val="MRPTableData"/>
              <w:rPr>
                <w:rFonts w:cs="Arial"/>
                <w:lang w:eastAsia="ar-SA"/>
              </w:rPr>
            </w:pPr>
          </w:p>
        </w:tc>
        <w:tc>
          <w:tcPr>
            <w:tcW w:w="900" w:type="dxa"/>
            <w:vAlign w:val="center"/>
          </w:tcPr>
          <w:p w14:paraId="00F6BEF6" w14:textId="77777777" w:rsidR="00C24184" w:rsidRPr="00707EF5" w:rsidRDefault="00C24184" w:rsidP="005C6977">
            <w:pPr>
              <w:pStyle w:val="MRPTableData"/>
              <w:rPr>
                <w:rFonts w:cs="Arial"/>
                <w:lang w:eastAsia="ar-SA"/>
              </w:rPr>
            </w:pPr>
          </w:p>
        </w:tc>
        <w:tc>
          <w:tcPr>
            <w:tcW w:w="1269" w:type="dxa"/>
            <w:vAlign w:val="center"/>
          </w:tcPr>
          <w:p w14:paraId="1508A468" w14:textId="77777777" w:rsidR="00C24184" w:rsidRPr="00707EF5" w:rsidRDefault="00C24184" w:rsidP="005C6977">
            <w:pPr>
              <w:pStyle w:val="MRPTableData"/>
              <w:rPr>
                <w:rFonts w:cs="Arial"/>
                <w:lang w:eastAsia="ar-SA"/>
              </w:rPr>
            </w:pPr>
          </w:p>
        </w:tc>
        <w:tc>
          <w:tcPr>
            <w:tcW w:w="1251" w:type="dxa"/>
            <w:vAlign w:val="center"/>
          </w:tcPr>
          <w:p w14:paraId="0797F6BD" w14:textId="77777777" w:rsidR="00C24184" w:rsidRPr="00707EF5" w:rsidRDefault="00C24184" w:rsidP="005C6977">
            <w:pPr>
              <w:pStyle w:val="MRPTableData"/>
              <w:rPr>
                <w:rFonts w:cs="Arial"/>
                <w:lang w:eastAsia="ar-SA"/>
              </w:rPr>
            </w:pPr>
          </w:p>
        </w:tc>
        <w:tc>
          <w:tcPr>
            <w:tcW w:w="900" w:type="dxa"/>
            <w:vAlign w:val="center"/>
          </w:tcPr>
          <w:p w14:paraId="6BE15E2D" w14:textId="77777777" w:rsidR="00C24184" w:rsidRPr="00707EF5" w:rsidRDefault="00C24184" w:rsidP="005C6977">
            <w:pPr>
              <w:pStyle w:val="MRPTableData"/>
              <w:rPr>
                <w:rFonts w:cs="Arial"/>
                <w:lang w:eastAsia="ar-SA"/>
              </w:rPr>
            </w:pPr>
          </w:p>
        </w:tc>
        <w:tc>
          <w:tcPr>
            <w:tcW w:w="1260" w:type="dxa"/>
          </w:tcPr>
          <w:p w14:paraId="3FE6DEAB" w14:textId="77777777" w:rsidR="00C24184" w:rsidRPr="00707EF5" w:rsidRDefault="00C24184" w:rsidP="005C6977">
            <w:pPr>
              <w:pStyle w:val="MRPTableData"/>
              <w:rPr>
                <w:rFonts w:cs="Arial"/>
                <w:lang w:eastAsia="ar-SA"/>
              </w:rPr>
            </w:pPr>
          </w:p>
        </w:tc>
        <w:tc>
          <w:tcPr>
            <w:tcW w:w="810" w:type="dxa"/>
            <w:vAlign w:val="center"/>
          </w:tcPr>
          <w:p w14:paraId="16F92129" w14:textId="77777777" w:rsidR="00C24184" w:rsidRPr="00707EF5" w:rsidRDefault="00C24184" w:rsidP="005C6977">
            <w:pPr>
              <w:pStyle w:val="MRPTableData"/>
              <w:rPr>
                <w:rFonts w:cs="Arial"/>
                <w:lang w:eastAsia="ar-SA"/>
              </w:rPr>
            </w:pPr>
          </w:p>
        </w:tc>
        <w:tc>
          <w:tcPr>
            <w:tcW w:w="1260" w:type="dxa"/>
          </w:tcPr>
          <w:p w14:paraId="6E79EFF8" w14:textId="77777777" w:rsidR="00C24184" w:rsidRPr="00707EF5" w:rsidRDefault="00C24184" w:rsidP="005C6977">
            <w:pPr>
              <w:pStyle w:val="MRPTableData"/>
              <w:rPr>
                <w:rFonts w:cs="Arial"/>
                <w:lang w:eastAsia="ar-SA"/>
              </w:rPr>
            </w:pPr>
          </w:p>
        </w:tc>
        <w:tc>
          <w:tcPr>
            <w:tcW w:w="540" w:type="dxa"/>
            <w:vAlign w:val="center"/>
          </w:tcPr>
          <w:p w14:paraId="56F7E146" w14:textId="77777777" w:rsidR="00C24184" w:rsidRPr="00707EF5" w:rsidRDefault="00C24184" w:rsidP="005C6977">
            <w:pPr>
              <w:pStyle w:val="MRPTableData"/>
              <w:rPr>
                <w:rFonts w:cs="Arial"/>
                <w:lang w:eastAsia="ar-SA"/>
              </w:rPr>
            </w:pPr>
          </w:p>
        </w:tc>
        <w:tc>
          <w:tcPr>
            <w:tcW w:w="990" w:type="dxa"/>
            <w:vAlign w:val="center"/>
          </w:tcPr>
          <w:p w14:paraId="7E8A0EB8" w14:textId="77777777" w:rsidR="00C24184" w:rsidRPr="00707EF5" w:rsidRDefault="00C24184" w:rsidP="005C6977">
            <w:pPr>
              <w:pStyle w:val="MRPTableData"/>
              <w:rPr>
                <w:rFonts w:cs="Arial"/>
                <w:lang w:eastAsia="ar-SA"/>
              </w:rPr>
            </w:pPr>
          </w:p>
        </w:tc>
        <w:tc>
          <w:tcPr>
            <w:tcW w:w="1080" w:type="dxa"/>
            <w:vAlign w:val="center"/>
          </w:tcPr>
          <w:p w14:paraId="1163B650" w14:textId="77777777" w:rsidR="00C24184" w:rsidRPr="00707EF5" w:rsidRDefault="00C24184" w:rsidP="005C6977">
            <w:pPr>
              <w:pStyle w:val="MRPTableData"/>
              <w:rPr>
                <w:rFonts w:cs="Arial"/>
                <w:lang w:eastAsia="ar-SA"/>
              </w:rPr>
            </w:pPr>
          </w:p>
        </w:tc>
        <w:tc>
          <w:tcPr>
            <w:tcW w:w="1260" w:type="dxa"/>
            <w:gridSpan w:val="2"/>
            <w:vAlign w:val="center"/>
          </w:tcPr>
          <w:p w14:paraId="3955CC24" w14:textId="77777777" w:rsidR="00C24184" w:rsidRPr="00707EF5" w:rsidRDefault="00C24184" w:rsidP="005C6977">
            <w:pPr>
              <w:pStyle w:val="MRPTableData"/>
              <w:rPr>
                <w:rFonts w:cs="Arial"/>
                <w:lang w:eastAsia="ar-SA"/>
              </w:rPr>
            </w:pPr>
          </w:p>
        </w:tc>
      </w:tr>
      <w:tr w:rsidR="00C24184" w:rsidRPr="00715453" w14:paraId="0009C8BE" w14:textId="77777777" w:rsidTr="005C6977">
        <w:trPr>
          <w:jc w:val="center"/>
        </w:trPr>
        <w:tc>
          <w:tcPr>
            <w:tcW w:w="805" w:type="dxa"/>
            <w:vAlign w:val="center"/>
          </w:tcPr>
          <w:p w14:paraId="35D85CBA" w14:textId="77777777" w:rsidR="00C24184" w:rsidRPr="00707EF5" w:rsidRDefault="00C24184" w:rsidP="005C6977">
            <w:pPr>
              <w:pStyle w:val="MRPTableData"/>
              <w:rPr>
                <w:rFonts w:cs="Arial"/>
                <w:lang w:eastAsia="ar-SA"/>
              </w:rPr>
            </w:pPr>
          </w:p>
        </w:tc>
        <w:tc>
          <w:tcPr>
            <w:tcW w:w="1080" w:type="dxa"/>
            <w:vAlign w:val="center"/>
          </w:tcPr>
          <w:p w14:paraId="486A0DCF" w14:textId="77777777" w:rsidR="00C24184" w:rsidRPr="00707EF5" w:rsidRDefault="00C24184" w:rsidP="005C6977">
            <w:pPr>
              <w:pStyle w:val="MRPTableData"/>
              <w:rPr>
                <w:rFonts w:cs="Arial"/>
                <w:lang w:eastAsia="ar-SA"/>
              </w:rPr>
            </w:pPr>
          </w:p>
        </w:tc>
        <w:tc>
          <w:tcPr>
            <w:tcW w:w="900" w:type="dxa"/>
            <w:vAlign w:val="center"/>
          </w:tcPr>
          <w:p w14:paraId="27A0878E" w14:textId="77777777" w:rsidR="00C24184" w:rsidRPr="00707EF5" w:rsidRDefault="00C24184" w:rsidP="005C6977">
            <w:pPr>
              <w:pStyle w:val="MRPTableData"/>
              <w:rPr>
                <w:rFonts w:cs="Arial"/>
                <w:lang w:eastAsia="ar-SA"/>
              </w:rPr>
            </w:pPr>
          </w:p>
        </w:tc>
        <w:tc>
          <w:tcPr>
            <w:tcW w:w="1269" w:type="dxa"/>
            <w:vAlign w:val="center"/>
          </w:tcPr>
          <w:p w14:paraId="547D25C1" w14:textId="77777777" w:rsidR="00C24184" w:rsidRPr="00707EF5" w:rsidRDefault="00C24184" w:rsidP="005C6977">
            <w:pPr>
              <w:pStyle w:val="MRPTableData"/>
              <w:rPr>
                <w:rFonts w:cs="Arial"/>
                <w:lang w:eastAsia="ar-SA"/>
              </w:rPr>
            </w:pPr>
          </w:p>
        </w:tc>
        <w:tc>
          <w:tcPr>
            <w:tcW w:w="1251" w:type="dxa"/>
            <w:vAlign w:val="center"/>
          </w:tcPr>
          <w:p w14:paraId="601E4EC7" w14:textId="77777777" w:rsidR="00C24184" w:rsidRPr="00707EF5" w:rsidRDefault="00C24184" w:rsidP="005C6977">
            <w:pPr>
              <w:pStyle w:val="MRPTableData"/>
              <w:rPr>
                <w:rFonts w:cs="Arial"/>
                <w:lang w:eastAsia="ar-SA"/>
              </w:rPr>
            </w:pPr>
          </w:p>
        </w:tc>
        <w:tc>
          <w:tcPr>
            <w:tcW w:w="900" w:type="dxa"/>
            <w:vAlign w:val="center"/>
          </w:tcPr>
          <w:p w14:paraId="05C11731" w14:textId="77777777" w:rsidR="00C24184" w:rsidRPr="00707EF5" w:rsidRDefault="00C24184" w:rsidP="005C6977">
            <w:pPr>
              <w:pStyle w:val="MRPTableData"/>
              <w:rPr>
                <w:rFonts w:cs="Arial"/>
                <w:lang w:eastAsia="ar-SA"/>
              </w:rPr>
            </w:pPr>
          </w:p>
        </w:tc>
        <w:tc>
          <w:tcPr>
            <w:tcW w:w="1260" w:type="dxa"/>
          </w:tcPr>
          <w:p w14:paraId="5BA35FAE" w14:textId="77777777" w:rsidR="00C24184" w:rsidRPr="00707EF5" w:rsidRDefault="00C24184" w:rsidP="005C6977">
            <w:pPr>
              <w:pStyle w:val="MRPTableData"/>
              <w:rPr>
                <w:rFonts w:cs="Arial"/>
                <w:lang w:eastAsia="ar-SA"/>
              </w:rPr>
            </w:pPr>
          </w:p>
        </w:tc>
        <w:tc>
          <w:tcPr>
            <w:tcW w:w="810" w:type="dxa"/>
            <w:vAlign w:val="center"/>
          </w:tcPr>
          <w:p w14:paraId="259A8ED9" w14:textId="77777777" w:rsidR="00C24184" w:rsidRPr="00707EF5" w:rsidRDefault="00C24184" w:rsidP="005C6977">
            <w:pPr>
              <w:pStyle w:val="MRPTableData"/>
              <w:rPr>
                <w:rFonts w:cs="Arial"/>
                <w:lang w:eastAsia="ar-SA"/>
              </w:rPr>
            </w:pPr>
          </w:p>
        </w:tc>
        <w:tc>
          <w:tcPr>
            <w:tcW w:w="1260" w:type="dxa"/>
          </w:tcPr>
          <w:p w14:paraId="3566DF3E" w14:textId="77777777" w:rsidR="00C24184" w:rsidRPr="00707EF5" w:rsidRDefault="00C24184" w:rsidP="005C6977">
            <w:pPr>
              <w:pStyle w:val="MRPTableData"/>
              <w:rPr>
                <w:rFonts w:cs="Arial"/>
                <w:lang w:eastAsia="ar-SA"/>
              </w:rPr>
            </w:pPr>
          </w:p>
        </w:tc>
        <w:tc>
          <w:tcPr>
            <w:tcW w:w="540" w:type="dxa"/>
            <w:vAlign w:val="center"/>
          </w:tcPr>
          <w:p w14:paraId="468F2125" w14:textId="77777777" w:rsidR="00C24184" w:rsidRPr="00707EF5" w:rsidRDefault="00C24184" w:rsidP="005C6977">
            <w:pPr>
              <w:pStyle w:val="MRPTableData"/>
              <w:rPr>
                <w:rFonts w:cs="Arial"/>
                <w:lang w:eastAsia="ar-SA"/>
              </w:rPr>
            </w:pPr>
          </w:p>
        </w:tc>
        <w:tc>
          <w:tcPr>
            <w:tcW w:w="990" w:type="dxa"/>
            <w:vAlign w:val="center"/>
          </w:tcPr>
          <w:p w14:paraId="7BF75730" w14:textId="77777777" w:rsidR="00C24184" w:rsidRPr="00707EF5" w:rsidRDefault="00C24184" w:rsidP="005C6977">
            <w:pPr>
              <w:pStyle w:val="MRPTableData"/>
              <w:rPr>
                <w:rFonts w:cs="Arial"/>
                <w:lang w:eastAsia="ar-SA"/>
              </w:rPr>
            </w:pPr>
          </w:p>
        </w:tc>
        <w:tc>
          <w:tcPr>
            <w:tcW w:w="1080" w:type="dxa"/>
            <w:vAlign w:val="center"/>
          </w:tcPr>
          <w:p w14:paraId="5AD8C8F8" w14:textId="77777777" w:rsidR="00C24184" w:rsidRPr="00707EF5" w:rsidRDefault="00C24184" w:rsidP="005C6977">
            <w:pPr>
              <w:pStyle w:val="MRPTableData"/>
              <w:rPr>
                <w:rFonts w:cs="Arial"/>
                <w:lang w:eastAsia="ar-SA"/>
              </w:rPr>
            </w:pPr>
          </w:p>
        </w:tc>
        <w:tc>
          <w:tcPr>
            <w:tcW w:w="1260" w:type="dxa"/>
            <w:gridSpan w:val="2"/>
            <w:vAlign w:val="center"/>
          </w:tcPr>
          <w:p w14:paraId="49A2A7BD" w14:textId="77777777" w:rsidR="00C24184" w:rsidRPr="00707EF5" w:rsidRDefault="00C24184" w:rsidP="005C6977">
            <w:pPr>
              <w:pStyle w:val="MRPTableData"/>
              <w:rPr>
                <w:rFonts w:cs="Arial"/>
                <w:lang w:eastAsia="ar-SA"/>
              </w:rPr>
            </w:pPr>
          </w:p>
        </w:tc>
      </w:tr>
    </w:tbl>
    <w:p w14:paraId="1266D4A7" w14:textId="77777777" w:rsidR="00C24184" w:rsidRPr="00BC2289" w:rsidRDefault="00C24184" w:rsidP="00C24184">
      <w:pPr>
        <w:suppressAutoHyphens/>
        <w:overflowPunct w:val="0"/>
        <w:autoSpaceDE w:val="0"/>
        <w:spacing w:after="0" w:line="240" w:lineRule="auto"/>
        <w:textAlignment w:val="baseline"/>
        <w:rPr>
          <w:rFonts w:ascii="Arial" w:eastAsia="Times New Roman" w:hAnsi="Arial" w:cs="Arial"/>
          <w:szCs w:val="24"/>
          <w:lang w:eastAsia="ar-SA"/>
        </w:rPr>
      </w:pPr>
    </w:p>
    <w:p w14:paraId="0DF8C3EB" w14:textId="77777777" w:rsidR="00C24184" w:rsidRPr="00715453" w:rsidRDefault="00C24184" w:rsidP="00C24184">
      <w:pPr>
        <w:pStyle w:val="MRPABody"/>
        <w:rPr>
          <w:lang w:eastAsia="ar-SA"/>
        </w:rPr>
      </w:pPr>
      <w:r w:rsidRPr="00715453">
        <w:rPr>
          <w:b/>
          <w:lang w:eastAsia="ar-SA"/>
        </w:rPr>
        <w:t>Project No</w:t>
      </w:r>
      <w:r>
        <w:t>.</w:t>
      </w:r>
      <w:r w:rsidRPr="00715453">
        <w:rPr>
          <w:b/>
          <w:lang w:eastAsia="ar-SA"/>
        </w:rPr>
        <w:t>:</w:t>
      </w:r>
      <w:r>
        <w:t xml:space="preserve"> </w:t>
      </w:r>
      <w:r w:rsidRPr="00715453">
        <w:rPr>
          <w:lang w:eastAsia="ar-SA"/>
        </w:rPr>
        <w:t>Number of the Special Project as it appears in Table 3.1</w:t>
      </w:r>
      <w:r>
        <w:t>.</w:t>
      </w:r>
    </w:p>
    <w:p w14:paraId="1B80C6D0" w14:textId="77777777" w:rsidR="00C24184" w:rsidRPr="00715453" w:rsidRDefault="00C24184" w:rsidP="00C24184">
      <w:pPr>
        <w:pStyle w:val="MRPABody"/>
        <w:rPr>
          <w:lang w:eastAsia="ar-SA"/>
        </w:rPr>
      </w:pPr>
      <w:r w:rsidRPr="00715453">
        <w:rPr>
          <w:b/>
          <w:lang w:eastAsia="ar-SA"/>
        </w:rPr>
        <w:t>Permittee:</w:t>
      </w:r>
      <w:r w:rsidRPr="00715453">
        <w:rPr>
          <w:lang w:eastAsia="ar-SA"/>
        </w:rPr>
        <w:t xml:space="preserve"> Name of the Permittee in whose jurisdiction the Special Project will be built.</w:t>
      </w:r>
    </w:p>
    <w:p w14:paraId="3657E2F0" w14:textId="77777777" w:rsidR="00C24184" w:rsidRPr="00715453" w:rsidRDefault="00C24184" w:rsidP="00C24184">
      <w:pPr>
        <w:pStyle w:val="MRPABody"/>
        <w:rPr>
          <w:lang w:eastAsia="ar-SA"/>
        </w:rPr>
      </w:pPr>
      <w:r w:rsidRPr="00715453">
        <w:rPr>
          <w:b/>
          <w:lang w:eastAsia="ar-SA"/>
        </w:rPr>
        <w:t>Address:</w:t>
      </w:r>
      <w:r w:rsidRPr="00715453">
        <w:rPr>
          <w:lang w:eastAsia="ar-SA"/>
        </w:rPr>
        <w:t xml:space="preserve"> Address of the Special Project; if no street address, state the cross streets.</w:t>
      </w:r>
    </w:p>
    <w:p w14:paraId="64A9DC7D" w14:textId="77777777" w:rsidR="00C24184" w:rsidRPr="00715453" w:rsidRDefault="00C24184" w:rsidP="00C24184">
      <w:pPr>
        <w:pStyle w:val="MRPABody"/>
        <w:rPr>
          <w:lang w:eastAsia="ar-SA"/>
        </w:rPr>
      </w:pPr>
      <w:r w:rsidRPr="00715453">
        <w:rPr>
          <w:b/>
          <w:lang w:eastAsia="ar-SA"/>
        </w:rPr>
        <w:t>Submittal Date:</w:t>
      </w:r>
      <w:r w:rsidRPr="00715453">
        <w:rPr>
          <w:lang w:eastAsia="ar-SA"/>
        </w:rPr>
        <w:t xml:space="preserve"> Date that a planning application for the Special Project was submitted; if a planning application has not been submitted, include a projected application submittal date.</w:t>
      </w:r>
    </w:p>
    <w:p w14:paraId="637C964D" w14:textId="77777777" w:rsidR="00C24184" w:rsidRPr="00715453" w:rsidRDefault="00C24184" w:rsidP="00C24184">
      <w:pPr>
        <w:pStyle w:val="MRPABody"/>
        <w:rPr>
          <w:lang w:eastAsia="ar-SA"/>
        </w:rPr>
      </w:pPr>
      <w:r w:rsidRPr="00715453">
        <w:rPr>
          <w:b/>
          <w:lang w:eastAsia="ar-SA"/>
        </w:rPr>
        <w:t xml:space="preserve">Description: </w:t>
      </w:r>
      <w:r w:rsidRPr="00715453">
        <w:rPr>
          <w:lang w:eastAsia="ar-SA"/>
        </w:rPr>
        <w:t>Type of project (commercial, mixed-use, residential), number of floors, number of units, type of parking, and other relevant information.</w:t>
      </w:r>
    </w:p>
    <w:p w14:paraId="3D9F0195" w14:textId="77777777" w:rsidR="00C24184" w:rsidRDefault="00C24184" w:rsidP="00C24184">
      <w:pPr>
        <w:pStyle w:val="MRPABody"/>
        <w:rPr>
          <w:lang w:eastAsia="ar-SA"/>
        </w:rPr>
      </w:pPr>
      <w:r w:rsidRPr="00715453">
        <w:rPr>
          <w:b/>
          <w:lang w:eastAsia="ar-SA"/>
        </w:rPr>
        <w:t xml:space="preserve">Site </w:t>
      </w:r>
      <w:r>
        <w:rPr>
          <w:b/>
          <w:lang w:eastAsia="ar-SA"/>
        </w:rPr>
        <w:t xml:space="preserve">Total </w:t>
      </w:r>
      <w:r w:rsidRPr="00715453">
        <w:rPr>
          <w:b/>
          <w:lang w:eastAsia="ar-SA"/>
        </w:rPr>
        <w:t>Acreage:</w:t>
      </w:r>
      <w:r w:rsidRPr="00715453">
        <w:rPr>
          <w:lang w:eastAsia="ar-SA"/>
        </w:rPr>
        <w:t xml:space="preserve"> Total site area in acres.</w:t>
      </w:r>
    </w:p>
    <w:p w14:paraId="180C8367" w14:textId="77777777" w:rsidR="00C24184" w:rsidRPr="00715453" w:rsidRDefault="00C24184" w:rsidP="00C24184">
      <w:pPr>
        <w:pStyle w:val="MRPABody"/>
        <w:rPr>
          <w:lang w:eastAsia="ar-SA"/>
        </w:rPr>
      </w:pPr>
      <w:r w:rsidRPr="00925DBA">
        <w:rPr>
          <w:b/>
          <w:bCs/>
          <w:lang w:eastAsia="ar-SA"/>
        </w:rPr>
        <w:lastRenderedPageBreak/>
        <w:t>Total Impervious Surface Created/Replaced</w:t>
      </w:r>
      <w:r>
        <w:rPr>
          <w:lang w:eastAsia="ar-SA"/>
        </w:rPr>
        <w:t xml:space="preserve">: The total impervious surfaced in acres created or replaced by the project, which is subject to the treatment requirements listed in Provision C.3.e.ii.(1). </w:t>
      </w:r>
    </w:p>
    <w:p w14:paraId="3319CAD4" w14:textId="77777777" w:rsidR="00C24184" w:rsidRPr="00715453" w:rsidRDefault="00C24184" w:rsidP="00C24184">
      <w:pPr>
        <w:pStyle w:val="MRPABody"/>
        <w:rPr>
          <w:lang w:eastAsia="ar-SA"/>
        </w:rPr>
      </w:pPr>
      <w:r w:rsidRPr="00715453">
        <w:rPr>
          <w:b/>
          <w:lang w:eastAsia="ar-SA"/>
        </w:rPr>
        <w:t>Gross Density in DU/Ac:</w:t>
      </w:r>
      <w:r w:rsidRPr="00715453">
        <w:rPr>
          <w:lang w:eastAsia="ar-SA"/>
        </w:rPr>
        <w:t xml:space="preserve"> Number of dwelling units per acre.</w:t>
      </w:r>
    </w:p>
    <w:p w14:paraId="7F86FAA2" w14:textId="283E4A07" w:rsidR="00C24184" w:rsidRPr="00B14666" w:rsidRDefault="00C24184" w:rsidP="00C24184">
      <w:pPr>
        <w:pStyle w:val="MRPABody"/>
        <w:rPr>
          <w:bCs/>
          <w:lang w:eastAsia="ar-SA"/>
        </w:rPr>
      </w:pPr>
      <w:r>
        <w:rPr>
          <w:b/>
          <w:lang w:eastAsia="ar-SA"/>
        </w:rPr>
        <w:t xml:space="preserve">Category C Projects: Number of DUs in each AMI Category: </w:t>
      </w:r>
      <w:r>
        <w:rPr>
          <w:bCs/>
          <w:lang w:eastAsia="ar-SA"/>
        </w:rPr>
        <w:t xml:space="preserve">For Category C Special Projects only, the number of preserved DUs (DUs with deed restrictions running at least 55 years) that have rent/mortgage rates (including utilities) no less than 30 percent of the Moderate, Low, Very Low, </w:t>
      </w:r>
      <w:r w:rsidR="00AB0175" w:rsidRPr="0033686D" w:rsidDel="00AB0175">
        <w:rPr>
          <w:strike/>
          <w:lang w:eastAsia="ar-SA"/>
        </w:rPr>
        <w:t xml:space="preserve">and </w:t>
      </w:r>
      <w:r>
        <w:rPr>
          <w:bCs/>
          <w:lang w:eastAsia="ar-SA"/>
        </w:rPr>
        <w:t>Extremely Low</w:t>
      </w:r>
      <w:r w:rsidR="00AB0175" w:rsidRPr="0033686D">
        <w:rPr>
          <w:u w:val="single"/>
          <w:lang w:eastAsia="ar-SA"/>
        </w:rPr>
        <w:t>, and Acutely Low</w:t>
      </w:r>
      <w:r>
        <w:rPr>
          <w:bCs/>
          <w:lang w:eastAsia="ar-SA"/>
        </w:rPr>
        <w:t xml:space="preserve"> area median household income levels specified in </w:t>
      </w:r>
      <w:r>
        <w:t>Provision C.3.e.ii.(5)(c)</w:t>
      </w:r>
      <w:r w:rsidRPr="0033686D">
        <w:rPr>
          <w:u w:val="single"/>
          <w:lang w:eastAsia="ar-SA"/>
        </w:rPr>
        <w:t xml:space="preserve"> , and the number of Manager’s DUs (up to 3)</w:t>
      </w:r>
      <w:r>
        <w:rPr>
          <w:bCs/>
          <w:lang w:eastAsia="ar-SA"/>
        </w:rPr>
        <w:t xml:space="preserve">. </w:t>
      </w:r>
    </w:p>
    <w:p w14:paraId="784A0DF6" w14:textId="77777777" w:rsidR="00C24184" w:rsidRPr="00715453" w:rsidRDefault="00C24184" w:rsidP="00C24184">
      <w:pPr>
        <w:pStyle w:val="MRPABody"/>
        <w:rPr>
          <w:lang w:eastAsia="ar-SA"/>
        </w:rPr>
      </w:pPr>
      <w:r w:rsidRPr="00715453">
        <w:rPr>
          <w:b/>
          <w:lang w:eastAsia="ar-SA"/>
        </w:rPr>
        <w:t>FAR:</w:t>
      </w:r>
      <w:r w:rsidRPr="00715453">
        <w:rPr>
          <w:lang w:eastAsia="ar-SA"/>
        </w:rPr>
        <w:t xml:space="preserve"> Floor Area Ratio</w:t>
      </w:r>
      <w:r>
        <w:t>.</w:t>
      </w:r>
      <w:r w:rsidRPr="001B7AC0">
        <w:t xml:space="preserve"> </w:t>
      </w:r>
    </w:p>
    <w:p w14:paraId="4C0692F9" w14:textId="77777777" w:rsidR="00C24184" w:rsidRPr="00715453" w:rsidRDefault="00C24184" w:rsidP="00C24184">
      <w:pPr>
        <w:pStyle w:val="MRPABody"/>
        <w:rPr>
          <w:b/>
          <w:lang w:eastAsia="ar-SA"/>
        </w:rPr>
      </w:pPr>
      <w:r w:rsidRPr="00715453">
        <w:rPr>
          <w:b/>
          <w:lang w:eastAsia="ar-SA"/>
        </w:rPr>
        <w:t xml:space="preserve">Special Project Category: </w:t>
      </w:r>
      <w:r w:rsidRPr="00715453">
        <w:rPr>
          <w:lang w:eastAsia="ar-SA"/>
        </w:rPr>
        <w:t>For each Special Project Category, indicate applicability. If a Category is applicable, list the specific criteria applied to determine applicability.</w:t>
      </w:r>
    </w:p>
    <w:p w14:paraId="334136FF" w14:textId="77777777" w:rsidR="00C24184" w:rsidRPr="00715453" w:rsidRDefault="00C24184" w:rsidP="00C24184">
      <w:pPr>
        <w:pStyle w:val="MRPABody"/>
        <w:rPr>
          <w:lang w:eastAsia="ar-SA"/>
        </w:rPr>
      </w:pPr>
      <w:r w:rsidRPr="00715453">
        <w:rPr>
          <w:b/>
          <w:lang w:eastAsia="ar-SA"/>
        </w:rPr>
        <w:t>LID Treatment Reduction Credit:</w:t>
      </w:r>
      <w:r w:rsidRPr="00715453">
        <w:rPr>
          <w:b/>
          <w:lang w:eastAsia="ar-SA"/>
        </w:rPr>
        <w:tab/>
      </w:r>
      <w:r w:rsidRPr="00715453">
        <w:rPr>
          <w:lang w:eastAsia="ar-SA"/>
        </w:rPr>
        <w:t xml:space="preserve">For each applicable Special Project Category, state the maximum total LID Treatment Reduction Credit available. For Category C Special Projects also list the individual </w:t>
      </w:r>
      <w:r>
        <w:rPr>
          <w:lang w:eastAsia="ar-SA"/>
        </w:rPr>
        <w:t xml:space="preserve">Affordable Housing, </w:t>
      </w:r>
      <w:r w:rsidRPr="00715453">
        <w:rPr>
          <w:lang w:eastAsia="ar-SA"/>
        </w:rPr>
        <w:t>Location, Density, and Minimized Surface Parking Credits available.</w:t>
      </w:r>
    </w:p>
    <w:p w14:paraId="44DB90AE" w14:textId="527D5414" w:rsidR="00F86896" w:rsidRPr="009C792A" w:rsidRDefault="00C24184" w:rsidP="00D40EB1">
      <w:pPr>
        <w:pStyle w:val="MRPABody"/>
        <w:rPr>
          <w:lang w:eastAsia="ar-SA"/>
        </w:rPr>
        <w:sectPr w:rsidR="00F86896" w:rsidRPr="009C792A" w:rsidSect="008210F1">
          <w:footerReference w:type="default" r:id="rId15"/>
          <w:headerReference w:type="first" r:id="rId16"/>
          <w:footerReference w:type="first" r:id="rId17"/>
          <w:pgSz w:w="15840" w:h="12240" w:orient="landscape"/>
          <w:pgMar w:top="1440" w:right="1440" w:bottom="1440" w:left="1440" w:header="720" w:footer="720" w:gutter="0"/>
          <w:cols w:space="720"/>
          <w:titlePg/>
          <w:docGrid w:linePitch="360"/>
        </w:sectPr>
      </w:pPr>
      <w:r w:rsidRPr="00715453">
        <w:rPr>
          <w:b/>
          <w:lang w:eastAsia="ar-SA"/>
        </w:rPr>
        <w:t xml:space="preserve">Stormwater Treatment Systems: </w:t>
      </w:r>
      <w:r w:rsidRPr="00715453">
        <w:rPr>
          <w:lang w:eastAsia="ar-SA"/>
        </w:rPr>
        <w:t>List all proposed stormwater treatment systems and the corresponding percentage of the total amount of runoff identified in Provision C.3.d. for the Project’s drainage area that will be treated by each treatment system.</w:t>
      </w:r>
    </w:p>
    <w:p w14:paraId="6EECF0DC" w14:textId="35E9A0BC" w:rsidR="00D605A9" w:rsidRDefault="00E56A25" w:rsidP="00D605A9">
      <w:pPr>
        <w:pStyle w:val="ListParagraph"/>
        <w:numPr>
          <w:ilvl w:val="0"/>
          <w:numId w:val="2"/>
        </w:numPr>
        <w:spacing w:after="120" w:line="240" w:lineRule="auto"/>
        <w:contextualSpacing w:val="0"/>
        <w:rPr>
          <w:rFonts w:ascii="Arial" w:hAnsi="Arial" w:cs="Arial"/>
          <w:sz w:val="24"/>
          <w:szCs w:val="24"/>
        </w:rPr>
      </w:pPr>
      <w:r>
        <w:rPr>
          <w:rFonts w:ascii="Arial" w:hAnsi="Arial" w:cs="Arial"/>
          <w:sz w:val="24"/>
          <w:szCs w:val="24"/>
        </w:rPr>
        <w:lastRenderedPageBreak/>
        <w:t xml:space="preserve">Section C.3.e.ii.(5) of Attachment A (Fact Sheet) of Order No. R2-2022-0018 is amended, as follows: </w:t>
      </w:r>
    </w:p>
    <w:p w14:paraId="024F45E9" w14:textId="24910795" w:rsidR="004950BA" w:rsidRPr="005B6139" w:rsidRDefault="004950BA" w:rsidP="008C18C9">
      <w:pPr>
        <w:pStyle w:val="MRP-FSProvRqmtBullet"/>
        <w:ind w:left="360"/>
        <w:rPr>
          <w:rFonts w:cs="Arial"/>
        </w:rPr>
      </w:pPr>
      <w:r w:rsidRPr="005B6139">
        <w:rPr>
          <w:rFonts w:cs="Arial"/>
          <w:b/>
        </w:rPr>
        <w:t>Provision C.3.e.ii. (Special Projects)</w:t>
      </w:r>
      <w:r w:rsidRPr="005B6139">
        <w:rPr>
          <w:rFonts w:cs="Arial"/>
        </w:rPr>
        <w:t xml:space="preserve"> </w:t>
      </w:r>
      <w:r w:rsidR="00A01BFB">
        <w:rPr>
          <w:rFonts w:cs="Arial"/>
        </w:rPr>
        <w:t>. . .</w:t>
      </w:r>
      <w:r w:rsidRPr="005B6139">
        <w:rPr>
          <w:rFonts w:cs="Arial"/>
        </w:rPr>
        <w:t xml:space="preserve"> </w:t>
      </w:r>
    </w:p>
    <w:p w14:paraId="3639BC9C" w14:textId="224620D9" w:rsidR="004950BA" w:rsidRPr="005B6139" w:rsidRDefault="004950BA" w:rsidP="00D76B36">
      <w:pPr>
        <w:pStyle w:val="MRP-FSProvRqmtBulletBody"/>
        <w:rPr>
          <w:rFonts w:cs="Arial"/>
        </w:rPr>
      </w:pPr>
      <w:r w:rsidRPr="005B6139">
        <w:rPr>
          <w:rFonts w:cs="Arial"/>
        </w:rPr>
        <w:t>Category C additionally includes affordable housing criteria for determining the total LID Treatment Reduction Credit available for Category C Special Projects. Affordable housing criteria are included in Category C, for two primary reasons. First,</w:t>
      </w:r>
      <w:r w:rsidRPr="005B6139" w:rsidDel="00A460FA">
        <w:rPr>
          <w:rFonts w:cs="Arial"/>
        </w:rPr>
        <w:t xml:space="preserve"> </w:t>
      </w:r>
      <w:r w:rsidRPr="005B6139">
        <w:rPr>
          <w:rFonts w:cs="Arial"/>
        </w:rPr>
        <w:t>affordable housing projects typically have high DUs/acre (as further incentivized by the Density Credits) and are typically located near public transportation (as further incentivized by the Location Credits), and thus they likely produce less automobile traffic (i.e., less pollutant loading to the MS4) compared to other development and redevelopment projects that do not have those characteristics. Second, affordable housing credited by this Provision will help reduce unsheltered homelessness, which will reduce</w:t>
      </w:r>
      <w:r w:rsidRPr="005B6139" w:rsidDel="003D093D">
        <w:rPr>
          <w:rFonts w:cs="Arial"/>
        </w:rPr>
        <w:t xml:space="preserve"> </w:t>
      </w:r>
      <w:r w:rsidRPr="005B6139">
        <w:rPr>
          <w:rFonts w:cs="Arial"/>
        </w:rPr>
        <w:t>pollutant discharges (e.g., of trash and sewage) from homeless encampments and other sources (e.g., RVs) into MS4s.</w:t>
      </w:r>
      <w:r w:rsidRPr="005B6139">
        <w:rPr>
          <w:rStyle w:val="FootnoteReference"/>
          <w:rFonts w:cs="Arial"/>
        </w:rPr>
        <w:footnoteReference w:id="12"/>
      </w:r>
      <w:r w:rsidRPr="005B6139">
        <w:rPr>
          <w:rFonts w:cs="Arial"/>
        </w:rPr>
        <w:t xml:space="preserve"> The Water Board recognizes that whether to allow for affordable housing is entirely within the Permittees</w:t>
      </w:r>
      <w:r w:rsidRPr="55F516CB">
        <w:rPr>
          <w:rFonts w:cs="Arial"/>
        </w:rPr>
        <w:t>’</w:t>
      </w:r>
      <w:r w:rsidRPr="005B6139">
        <w:rPr>
          <w:rFonts w:cs="Arial"/>
        </w:rPr>
        <w:t xml:space="preserve"> land use and zoning authority and discretion.</w:t>
      </w:r>
      <w:r w:rsidRPr="00EA2B44">
        <w:rPr>
          <w:rFonts w:cs="Arial"/>
          <w:u w:val="single"/>
        </w:rPr>
        <w:t xml:space="preserve"> The Water Board is not a land use agency and has not established an inclusionary housing policy in the Permit; instead, the Permit recognizes the indirect water quality benefit provided by housing development based on the level of affordability of their DUs, and accordingly provides an amount of non-LID credit proportional to that affordability.</w:t>
      </w:r>
      <w:r w:rsidRPr="005B6139">
        <w:rPr>
          <w:rFonts w:cs="Arial"/>
        </w:rPr>
        <w:t xml:space="preserve"> Since such development can reduce pollutants from MS4 systems, the Affordable Housing Credits are provided in the Permit</w:t>
      </w:r>
      <w:r w:rsidRPr="005D0BD1">
        <w:rPr>
          <w:rFonts w:cs="Arial"/>
          <w:strike/>
        </w:rPr>
        <w:t>. It will benefit the unhoused population,</w:t>
      </w:r>
      <w:r w:rsidRPr="005B6139">
        <w:rPr>
          <w:rFonts w:cs="Arial"/>
        </w:rPr>
        <w:t xml:space="preserve"> as follows: </w:t>
      </w:r>
      <w:r w:rsidRPr="00F53BE0">
        <w:rPr>
          <w:rFonts w:cs="Arial"/>
          <w:strike/>
        </w:rPr>
        <w:t xml:space="preserve">The affordable housing criteria are structured in such a way that </w:t>
      </w:r>
      <w:r w:rsidRPr="00230873">
        <w:rPr>
          <w:rFonts w:cs="Arial"/>
          <w:u w:val="single"/>
        </w:rPr>
        <w:t xml:space="preserve">greater flexibility is granted to </w:t>
      </w:r>
      <w:proofErr w:type="spellStart"/>
      <w:r w:rsidRPr="00230873">
        <w:rPr>
          <w:rFonts w:cs="Arial"/>
          <w:strike/>
        </w:rPr>
        <w:t>DUs</w:t>
      </w:r>
      <w:r w:rsidRPr="007B5426">
        <w:rPr>
          <w:rFonts w:cs="Arial"/>
          <w:u w:val="single"/>
        </w:rPr>
        <w:t>projects</w:t>
      </w:r>
      <w:proofErr w:type="spellEnd"/>
      <w:r w:rsidRPr="007B5426">
        <w:rPr>
          <w:rFonts w:cs="Arial"/>
          <w:u w:val="single"/>
        </w:rPr>
        <w:t xml:space="preserve"> with greater levels of </w:t>
      </w:r>
      <w:proofErr w:type="spellStart"/>
      <w:r w:rsidRPr="007B5426">
        <w:rPr>
          <w:rFonts w:cs="Arial"/>
          <w:u w:val="single"/>
        </w:rPr>
        <w:t>affordability.</w:t>
      </w:r>
      <w:r w:rsidRPr="00D50254">
        <w:rPr>
          <w:rFonts w:cs="Arial"/>
          <w:strike/>
        </w:rPr>
        <w:t>significant</w:t>
      </w:r>
      <w:proofErr w:type="spellEnd"/>
      <w:r w:rsidRPr="00D50254">
        <w:rPr>
          <w:rFonts w:cs="Arial"/>
          <w:strike/>
        </w:rPr>
        <w:t xml:space="preserve"> portions of the allowable</w:t>
      </w:r>
      <w:r w:rsidRPr="00D50254">
        <w:rPr>
          <w:rFonts w:cs="Arial"/>
          <w:u w:val="single"/>
        </w:rPr>
        <w:t xml:space="preserve"> DUs with</w:t>
      </w:r>
      <w:r w:rsidRPr="005B6139">
        <w:rPr>
          <w:rFonts w:cs="Arial"/>
        </w:rPr>
        <w:t xml:space="preserve"> rent/mortgage rates </w:t>
      </w:r>
      <w:proofErr w:type="spellStart"/>
      <w:r w:rsidRPr="00C1612F">
        <w:rPr>
          <w:rFonts w:cs="Arial"/>
          <w:strike/>
        </w:rPr>
        <w:t>are</w:t>
      </w:r>
      <w:r w:rsidRPr="005B6139">
        <w:rPr>
          <w:rFonts w:cs="Arial"/>
        </w:rPr>
        <w:t>capped</w:t>
      </w:r>
      <w:proofErr w:type="spellEnd"/>
      <w:r w:rsidRPr="005B6139">
        <w:rPr>
          <w:rFonts w:cs="Arial"/>
        </w:rPr>
        <w:t xml:space="preserve"> for </w:t>
      </w:r>
      <w:r w:rsidRPr="00C1612F">
        <w:rPr>
          <w:rFonts w:cs="Arial"/>
          <w:u w:val="single"/>
        </w:rPr>
        <w:t xml:space="preserve">Acutely Low income households (0-15% AMI) receive the greatest amount of credit, followed by </w:t>
      </w:r>
      <w:r w:rsidRPr="005B6139">
        <w:rPr>
          <w:rFonts w:cs="Arial"/>
        </w:rPr>
        <w:t>Extremely Low income households (</w:t>
      </w:r>
      <w:r w:rsidRPr="00C1612F">
        <w:rPr>
          <w:rFonts w:cs="Arial"/>
          <w:u w:val="single"/>
        </w:rPr>
        <w:t>16</w:t>
      </w:r>
      <w:r w:rsidRPr="005B6139">
        <w:rPr>
          <w:rFonts w:cs="Arial"/>
        </w:rPr>
        <w:t xml:space="preserve">-30% of AMI), Very Low income households (31-50% of AMI), </w:t>
      </w:r>
      <w:r w:rsidRPr="003119E8">
        <w:rPr>
          <w:rFonts w:cs="Arial"/>
          <w:strike/>
        </w:rPr>
        <w:t>and</w:t>
      </w:r>
      <w:r w:rsidRPr="55F516CB">
        <w:rPr>
          <w:rFonts w:cs="Arial"/>
        </w:rPr>
        <w:t xml:space="preserve"> </w:t>
      </w:r>
      <w:r w:rsidRPr="005B6139">
        <w:rPr>
          <w:rFonts w:cs="Arial"/>
        </w:rPr>
        <w:t xml:space="preserve">Low income households (51-80% of AMI), </w:t>
      </w:r>
      <w:r w:rsidRPr="007271CD">
        <w:rPr>
          <w:rFonts w:cs="Arial"/>
          <w:u w:val="single"/>
        </w:rPr>
        <w:t>and Moderate income households (81-120% of AMI).</w:t>
      </w:r>
      <w:r w:rsidRPr="00DE070A">
        <w:rPr>
          <w:rFonts w:cs="Arial"/>
          <w:strike/>
        </w:rPr>
        <w:t>,</w:t>
      </w:r>
      <w:r w:rsidRPr="55F516CB">
        <w:rPr>
          <w:rFonts w:cs="Arial"/>
        </w:rPr>
        <w:t xml:space="preserve"> </w:t>
      </w:r>
      <w:r w:rsidRPr="00DE070A">
        <w:rPr>
          <w:rFonts w:cs="Arial"/>
          <w:u w:val="single"/>
        </w:rPr>
        <w:t xml:space="preserve">The Permit takes this approach </w:t>
      </w:r>
      <w:r w:rsidRPr="005B6139">
        <w:rPr>
          <w:rFonts w:cs="Arial"/>
        </w:rPr>
        <w:t>rather than</w:t>
      </w:r>
      <w:r w:rsidRPr="00DE070A">
        <w:rPr>
          <w:rFonts w:cs="Arial"/>
          <w:u w:val="single"/>
        </w:rPr>
        <w:t>, for example, granting 100 percent credit to housing projects that have only a small number of DUs affordable to</w:t>
      </w:r>
      <w:r w:rsidRPr="00510FF1">
        <w:rPr>
          <w:rFonts w:cs="Arial"/>
          <w:strike/>
        </w:rPr>
        <w:t xml:space="preserve"> allowing all affordable housing units to qualify even if they only are affordable for</w:t>
      </w:r>
      <w:r w:rsidRPr="005B6139">
        <w:rPr>
          <w:rFonts w:cs="Arial"/>
        </w:rPr>
        <w:t xml:space="preserve"> Moderate income households</w:t>
      </w:r>
      <w:r w:rsidRPr="00510FF1">
        <w:rPr>
          <w:rFonts w:cs="Arial"/>
          <w:u w:val="single"/>
        </w:rPr>
        <w:t>,</w:t>
      </w:r>
      <w:r w:rsidRPr="005B6139">
        <w:rPr>
          <w:rFonts w:cs="Arial"/>
        </w:rPr>
        <w:t xml:space="preserve"> </w:t>
      </w:r>
      <w:r w:rsidRPr="00510FF1">
        <w:rPr>
          <w:rFonts w:cs="Arial"/>
          <w:strike/>
        </w:rPr>
        <w:t xml:space="preserve">(81-120% of AMI) </w:t>
      </w:r>
      <w:r>
        <w:rPr>
          <w:rFonts w:cs="Arial"/>
        </w:rPr>
        <w:t>which limit affordability to a significant portion of the population</w:t>
      </w:r>
      <w:r w:rsidRPr="005B6139">
        <w:rPr>
          <w:rFonts w:cs="Arial"/>
        </w:rPr>
        <w:t xml:space="preserve">. The link to water quality improvement is expected to decline as </w:t>
      </w:r>
      <w:r w:rsidRPr="005B6139">
        <w:rPr>
          <w:rFonts w:cs="Arial"/>
        </w:rPr>
        <w:lastRenderedPageBreak/>
        <w:t>rent/mortgage rates increase, as rent/mortgage rates as high as the Moderate level are likely to reduce unsheltered homelessness and its associated impacts at a much lower rate.</w:t>
      </w:r>
      <w:r w:rsidRPr="009D188A">
        <w:rPr>
          <w:rFonts w:cs="Arial"/>
          <w:u w:val="single"/>
        </w:rPr>
        <w:t xml:space="preserve"> </w:t>
      </w:r>
    </w:p>
    <w:p w14:paraId="600572A8" w14:textId="2ADA1B90" w:rsidR="004950BA" w:rsidRDefault="004950BA" w:rsidP="004950BA">
      <w:pPr>
        <w:pStyle w:val="MRP-FSProvRqmtBulletBody"/>
        <w:rPr>
          <w:rFonts w:cs="Arial"/>
        </w:rPr>
      </w:pPr>
      <w:r w:rsidRPr="005B6139">
        <w:rPr>
          <w:rFonts w:cs="Arial"/>
        </w:rPr>
        <w:t>The other Category C credits (location, density, and parking criteria) are maintained from the Previous Permit but reduced</w:t>
      </w:r>
      <w:r w:rsidRPr="00527409">
        <w:rPr>
          <w:rFonts w:cs="Arial"/>
          <w:u w:val="single"/>
        </w:rPr>
        <w:t>. This is</w:t>
      </w:r>
      <w:r w:rsidRPr="005B6139">
        <w:rPr>
          <w:rFonts w:cs="Arial"/>
        </w:rPr>
        <w:t xml:space="preserve"> so that Affordable Housing Credits are the dominant credit for Category C projects</w:t>
      </w:r>
      <w:r w:rsidRPr="00D74E9D">
        <w:rPr>
          <w:rFonts w:cs="Arial"/>
          <w:u w:val="single"/>
        </w:rPr>
        <w:t>,</w:t>
      </w:r>
      <w:r w:rsidRPr="005B6139">
        <w:rPr>
          <w:rFonts w:cs="Arial"/>
        </w:rPr>
        <w:t xml:space="preserve"> while still recognizing the benefits provided by location, density, and parking criteria, and so that the total possible credit available for Category C Special Projects remains 100 percent. </w:t>
      </w:r>
      <w:bookmarkStart w:id="4" w:name="_Hlk131606912"/>
      <w:r w:rsidRPr="005B6139">
        <w:rPr>
          <w:rFonts w:cs="Arial"/>
        </w:rPr>
        <w:t>Category C of the Previous Permit</w:t>
      </w:r>
      <w:r w:rsidRPr="005B6139" w:rsidDel="00E3656B">
        <w:rPr>
          <w:rFonts w:cs="Arial"/>
        </w:rPr>
        <w:t xml:space="preserve"> </w:t>
      </w:r>
      <w:r w:rsidRPr="005B6139">
        <w:rPr>
          <w:rFonts w:cs="Arial"/>
        </w:rPr>
        <w:t xml:space="preserve">primarily credited transit-oriented development (via Location Credits) and resulted in the treatment of </w:t>
      </w:r>
      <w:r w:rsidRPr="00B02056">
        <w:rPr>
          <w:rFonts w:cs="Arial"/>
          <w:strike/>
        </w:rPr>
        <w:t xml:space="preserve">approximately </w:t>
      </w:r>
      <w:r w:rsidRPr="00B02056">
        <w:rPr>
          <w:rFonts w:cs="Arial"/>
          <w:u w:val="single"/>
        </w:rPr>
        <w:t>414</w:t>
      </w:r>
      <w:r w:rsidRPr="00B02056">
        <w:rPr>
          <w:rFonts w:cs="Arial"/>
          <w:strike/>
        </w:rPr>
        <w:t>324</w:t>
      </w:r>
      <w:r w:rsidRPr="005B6139">
        <w:rPr>
          <w:rFonts w:cs="Arial"/>
        </w:rPr>
        <w:t xml:space="preserve"> acres of impervious surface by non-LID measures region-wide, most of which is attributable to projects for which the Permittees’ reporting did not clearly demonstrate that it would have been infeasible to incorporate onsite LID or contribute to offsite LID</w:t>
      </w:r>
      <w:r w:rsidRPr="00141CF4">
        <w:rPr>
          <w:rFonts w:cs="Arial"/>
          <w:u w:val="single"/>
        </w:rPr>
        <w:t>.</w:t>
      </w:r>
      <w:r w:rsidRPr="00141CF4">
        <w:rPr>
          <w:rFonts w:cs="Arial"/>
          <w:strike/>
        </w:rPr>
        <w:t>as allowed by Provision C.3.e.i.</w:t>
      </w:r>
      <w:r w:rsidRPr="005B6139">
        <w:rPr>
          <w:rFonts w:cs="Arial"/>
        </w:rPr>
        <w:t xml:space="preserve"> </w:t>
      </w:r>
    </w:p>
    <w:p w14:paraId="15C5BC01" w14:textId="0F76BAFE" w:rsidR="004950BA" w:rsidRPr="008D3550" w:rsidRDefault="004950BA" w:rsidP="004950BA">
      <w:pPr>
        <w:pStyle w:val="MRP-FSProvRqmtBulletBody"/>
        <w:rPr>
          <w:rFonts w:cs="Arial"/>
          <w:u w:val="single"/>
        </w:rPr>
      </w:pPr>
      <w:r w:rsidRPr="008D3550">
        <w:rPr>
          <w:rFonts w:cs="Arial"/>
          <w:u w:val="single"/>
        </w:rPr>
        <w:t xml:space="preserve">Water Board staff convened a Category C Special Projects / Affordable Housing Workgroup, which met seven times between September 2022 and April 2023, to discuss the Provision C.3.e.ii.(5) Category C Special Project Criteria (Affordable Housing). The Workgroup was co-led by Permittee staff and Water Board staff. Workgroup participants included non-profit/affordable housing advocates, for-profit housing advocates, municipal housing authorities, Permittees, MTC/ABAG, engineering consultants, and others. Presentations were given by various Workgroup participants on the following topics: 1) </w:t>
      </w:r>
      <w:r w:rsidR="00A101D1">
        <w:rPr>
          <w:rFonts w:cs="Arial"/>
          <w:u w:val="single"/>
        </w:rPr>
        <w:t xml:space="preserve">Definitions of </w:t>
      </w:r>
      <w:r w:rsidRPr="008D3550">
        <w:rPr>
          <w:rFonts w:cs="Arial"/>
          <w:u w:val="single"/>
        </w:rPr>
        <w:t xml:space="preserve">affordable housing; 2) </w:t>
      </w:r>
      <w:r w:rsidR="009A7DB9">
        <w:rPr>
          <w:rFonts w:cs="Arial"/>
          <w:u w:val="single"/>
        </w:rPr>
        <w:t>T</w:t>
      </w:r>
      <w:r w:rsidRPr="008D3550">
        <w:rPr>
          <w:rFonts w:cs="Arial"/>
          <w:u w:val="single"/>
        </w:rPr>
        <w:t xml:space="preserve">he kinds of projects implemented in the </w:t>
      </w:r>
      <w:r w:rsidR="00171B72">
        <w:rPr>
          <w:rFonts w:cs="Arial"/>
          <w:u w:val="single"/>
        </w:rPr>
        <w:t>r</w:t>
      </w:r>
      <w:r w:rsidRPr="008D3550">
        <w:rPr>
          <w:rFonts w:cs="Arial"/>
          <w:u w:val="single"/>
        </w:rPr>
        <w:t xml:space="preserve">egion that include affordable housing; 3) Concerns about how those affordable housing projects may be affected by the existing Category C Special Project Criteria; and 4) Recommended changes to Category C Special Projects. The Workgroup and Water Board work identified new information and Water Board review of that information led to modifications of the crediting criteria </w:t>
      </w:r>
      <w:r w:rsidR="00A443D5">
        <w:rPr>
          <w:rFonts w:cs="Arial"/>
          <w:u w:val="single"/>
        </w:rPr>
        <w:t xml:space="preserve">first adopted by the Water Board </w:t>
      </w:r>
      <w:r w:rsidRPr="008D3550">
        <w:rPr>
          <w:rFonts w:cs="Arial"/>
          <w:u w:val="single"/>
        </w:rPr>
        <w:t>to better align the criteria with the range of affordable housing projects being built in the Bay Area and their associated water quality benefits. The projects range from the fully affordable projects</w:t>
      </w:r>
      <w:r w:rsidR="00815D56">
        <w:rPr>
          <w:rFonts w:cs="Arial"/>
          <w:u w:val="single"/>
        </w:rPr>
        <w:t>,</w:t>
      </w:r>
      <w:r w:rsidRPr="008D3550">
        <w:rPr>
          <w:rFonts w:cs="Arial"/>
          <w:u w:val="single"/>
        </w:rPr>
        <w:t xml:space="preserve"> typically constructed by public agencies or non-profit entities, to projects with lesser amounts of affordability, typically constructed by for-profit developers. The revised criteria continue to grant the maximum amount of flexibility to fully affordable projects and “sliding scale” </w:t>
      </w:r>
      <w:r w:rsidR="00E87646">
        <w:rPr>
          <w:rFonts w:cs="Arial"/>
          <w:u w:val="single"/>
        </w:rPr>
        <w:t>flexibility</w:t>
      </w:r>
      <w:r w:rsidRPr="008D3550">
        <w:rPr>
          <w:rFonts w:cs="Arial"/>
          <w:u w:val="single"/>
        </w:rPr>
        <w:t xml:space="preserve"> to other projects, with more flexibility granted to projects that are more affordable. This recognizes that more</w:t>
      </w:r>
      <w:r w:rsidR="00E57D1A">
        <w:rPr>
          <w:rFonts w:cs="Arial"/>
          <w:u w:val="single"/>
        </w:rPr>
        <w:t xml:space="preserve"> </w:t>
      </w:r>
      <w:r w:rsidRPr="008D3550">
        <w:rPr>
          <w:rFonts w:cs="Arial"/>
          <w:u w:val="single"/>
        </w:rPr>
        <w:t>affordable projects have greater water quality benefit and can</w:t>
      </w:r>
      <w:r w:rsidR="008A6276">
        <w:rPr>
          <w:rFonts w:cs="Arial"/>
          <w:u w:val="single"/>
        </w:rPr>
        <w:t xml:space="preserve"> also</w:t>
      </w:r>
      <w:r w:rsidRPr="008D3550">
        <w:rPr>
          <w:rFonts w:cs="Arial"/>
          <w:u w:val="single"/>
        </w:rPr>
        <w:t xml:space="preserve"> be more challenging to construct because of the amount of money required to support the more</w:t>
      </w:r>
      <w:r w:rsidR="008A6276">
        <w:rPr>
          <w:rFonts w:cs="Arial"/>
          <w:u w:val="single"/>
        </w:rPr>
        <w:t xml:space="preserve"> </w:t>
      </w:r>
      <w:r w:rsidRPr="008D3550">
        <w:rPr>
          <w:rFonts w:cs="Arial"/>
          <w:u w:val="single"/>
        </w:rPr>
        <w:t>affordable units. Managers’ units</w:t>
      </w:r>
      <w:r w:rsidR="005C47C3">
        <w:rPr>
          <w:rFonts w:cs="Arial"/>
          <w:u w:val="single"/>
        </w:rPr>
        <w:t>, which are usually not income restricted,</w:t>
      </w:r>
      <w:r w:rsidRPr="008D3550">
        <w:rPr>
          <w:rFonts w:cs="Arial"/>
          <w:u w:val="single"/>
        </w:rPr>
        <w:t xml:space="preserve"> have been excluded from the calculation to avoid unintended adverse consequences of limiting flexibility for otherwise</w:t>
      </w:r>
      <w:r w:rsidR="006B7CB8">
        <w:rPr>
          <w:rFonts w:cs="Arial"/>
          <w:u w:val="single"/>
        </w:rPr>
        <w:t xml:space="preserve"> </w:t>
      </w:r>
      <w:r w:rsidRPr="008D3550">
        <w:rPr>
          <w:rFonts w:cs="Arial"/>
          <w:u w:val="single"/>
        </w:rPr>
        <w:t xml:space="preserve">affordable projects. </w:t>
      </w:r>
      <w:r w:rsidR="003D315B">
        <w:rPr>
          <w:rFonts w:cs="Arial"/>
          <w:u w:val="single"/>
        </w:rPr>
        <w:t xml:space="preserve">The </w:t>
      </w:r>
      <w:r w:rsidRPr="008D3550">
        <w:rPr>
          <w:rFonts w:cs="Arial"/>
          <w:u w:val="single"/>
        </w:rPr>
        <w:t xml:space="preserve">definition for “primarily residential projects” </w:t>
      </w:r>
      <w:r w:rsidR="003D315B">
        <w:rPr>
          <w:rFonts w:cs="Arial"/>
          <w:u w:val="single"/>
        </w:rPr>
        <w:t xml:space="preserve">in </w:t>
      </w:r>
      <w:r w:rsidRPr="008D3550">
        <w:rPr>
          <w:rFonts w:cs="Arial"/>
          <w:u w:val="single"/>
        </w:rPr>
        <w:t>Provision C.3.e.ii.(5)(</w:t>
      </w:r>
      <w:r w:rsidR="003D315B">
        <w:rPr>
          <w:rFonts w:cs="Arial"/>
          <w:u w:val="single"/>
        </w:rPr>
        <w:t>a)</w:t>
      </w:r>
      <w:r w:rsidRPr="008D3550">
        <w:rPr>
          <w:rFonts w:cs="Arial"/>
          <w:u w:val="single"/>
        </w:rPr>
        <w:t>(</w:t>
      </w:r>
      <w:proofErr w:type="spellStart"/>
      <w:r w:rsidRPr="008D3550">
        <w:rPr>
          <w:rFonts w:cs="Arial"/>
          <w:u w:val="single"/>
        </w:rPr>
        <w:t>i</w:t>
      </w:r>
      <w:proofErr w:type="spellEnd"/>
      <w:r w:rsidRPr="008D3550">
        <w:rPr>
          <w:rFonts w:cs="Arial"/>
          <w:u w:val="single"/>
        </w:rPr>
        <w:t>)</w:t>
      </w:r>
      <w:r w:rsidR="003D315B">
        <w:rPr>
          <w:rFonts w:cs="Arial"/>
          <w:u w:val="single"/>
        </w:rPr>
        <w:t xml:space="preserve"> is</w:t>
      </w:r>
      <w:r w:rsidRPr="008D3550">
        <w:rPr>
          <w:rFonts w:cs="Arial"/>
          <w:u w:val="single"/>
        </w:rPr>
        <w:t xml:space="preserve"> intended to facilitate implementation of that subprovision</w:t>
      </w:r>
      <w:r w:rsidR="00176635">
        <w:rPr>
          <w:rFonts w:cs="Arial"/>
          <w:u w:val="single"/>
        </w:rPr>
        <w:t xml:space="preserve"> </w:t>
      </w:r>
      <w:r w:rsidR="00832C09">
        <w:rPr>
          <w:rFonts w:cs="Arial"/>
          <w:u w:val="single"/>
        </w:rPr>
        <w:t xml:space="preserve">and requires </w:t>
      </w:r>
      <w:r w:rsidRPr="008D3550">
        <w:rPr>
          <w:rFonts w:cs="Arial"/>
          <w:u w:val="single"/>
        </w:rPr>
        <w:t>at least two-third</w:t>
      </w:r>
      <w:r w:rsidR="00FB275D">
        <w:rPr>
          <w:rFonts w:cs="Arial"/>
          <w:u w:val="single"/>
        </w:rPr>
        <w:t>s</w:t>
      </w:r>
      <w:r w:rsidRPr="008D3550">
        <w:rPr>
          <w:rFonts w:cs="Arial"/>
          <w:u w:val="single"/>
        </w:rPr>
        <w:t xml:space="preserve"> of the square footage </w:t>
      </w:r>
      <w:r w:rsidR="00654892">
        <w:rPr>
          <w:rFonts w:cs="Arial"/>
          <w:u w:val="single"/>
        </w:rPr>
        <w:t>to be</w:t>
      </w:r>
      <w:r w:rsidRPr="008D3550">
        <w:rPr>
          <w:rFonts w:cs="Arial"/>
          <w:u w:val="single"/>
        </w:rPr>
        <w:t xml:space="preserve"> residential</w:t>
      </w:r>
      <w:r w:rsidR="00654892">
        <w:rPr>
          <w:rFonts w:cs="Arial"/>
          <w:u w:val="single"/>
        </w:rPr>
        <w:t xml:space="preserve">, which </w:t>
      </w:r>
      <w:r w:rsidRPr="008D3550">
        <w:rPr>
          <w:rFonts w:cs="Arial"/>
          <w:u w:val="single"/>
        </w:rPr>
        <w:t xml:space="preserve">aligns with and is the definition </w:t>
      </w:r>
      <w:r w:rsidR="00D5780D">
        <w:rPr>
          <w:rFonts w:cs="Arial"/>
          <w:u w:val="single"/>
        </w:rPr>
        <w:lastRenderedPageBreak/>
        <w:t>of housing developments</w:t>
      </w:r>
      <w:r w:rsidRPr="008D3550">
        <w:rPr>
          <w:rFonts w:cs="Arial"/>
          <w:u w:val="single"/>
        </w:rPr>
        <w:t xml:space="preserve"> in Cal</w:t>
      </w:r>
      <w:r w:rsidR="00904CE4">
        <w:rPr>
          <w:rFonts w:cs="Arial"/>
          <w:u w:val="single"/>
        </w:rPr>
        <w:t>ifornia</w:t>
      </w:r>
      <w:r w:rsidRPr="008D3550">
        <w:rPr>
          <w:rFonts w:cs="Arial"/>
          <w:u w:val="single"/>
        </w:rPr>
        <w:t xml:space="preserve"> Gov</w:t>
      </w:r>
      <w:r w:rsidR="00904CE4">
        <w:rPr>
          <w:rFonts w:cs="Arial"/>
          <w:u w:val="single"/>
        </w:rPr>
        <w:t>ernment</w:t>
      </w:r>
      <w:r w:rsidRPr="008D3550">
        <w:rPr>
          <w:rFonts w:cs="Arial"/>
          <w:u w:val="single"/>
        </w:rPr>
        <w:t xml:space="preserve"> Code </w:t>
      </w:r>
      <w:r w:rsidR="00904CE4">
        <w:rPr>
          <w:rFonts w:cs="Arial"/>
          <w:u w:val="single"/>
        </w:rPr>
        <w:t>s</w:t>
      </w:r>
      <w:r w:rsidRPr="008D3550">
        <w:rPr>
          <w:rFonts w:cs="Arial"/>
          <w:u w:val="single"/>
        </w:rPr>
        <w:t>ection 65589.5</w:t>
      </w:r>
      <w:r w:rsidR="00B87B78">
        <w:rPr>
          <w:rFonts w:cs="Arial"/>
          <w:u w:val="single"/>
        </w:rPr>
        <w:t xml:space="preserve">, subdivision </w:t>
      </w:r>
      <w:r w:rsidRPr="008D3550">
        <w:rPr>
          <w:rFonts w:cs="Arial"/>
          <w:u w:val="single"/>
        </w:rPr>
        <w:t xml:space="preserve">(h)(2)(B). </w:t>
      </w:r>
    </w:p>
    <w:p w14:paraId="5DCA2ADC" w14:textId="2DDDFF0D" w:rsidR="004950BA" w:rsidRPr="005B6139" w:rsidRDefault="004950BA" w:rsidP="004950BA">
      <w:pPr>
        <w:pStyle w:val="MRP-FSProvRqmtBulletBody"/>
        <w:rPr>
          <w:rFonts w:cs="Arial"/>
        </w:rPr>
      </w:pPr>
      <w:r w:rsidRPr="005B6139">
        <w:rPr>
          <w:rFonts w:cs="Arial"/>
        </w:rPr>
        <w:t xml:space="preserve">Therefore, Category C </w:t>
      </w:r>
      <w:r w:rsidRPr="004A3858">
        <w:rPr>
          <w:rFonts w:cs="Arial"/>
          <w:strike/>
        </w:rPr>
        <w:t>has been revised to</w:t>
      </w:r>
      <w:r w:rsidRPr="005B6139">
        <w:rPr>
          <w:rFonts w:cs="Arial"/>
        </w:rPr>
        <w:t xml:space="preserve"> solely target</w:t>
      </w:r>
      <w:r w:rsidRPr="004A3858">
        <w:rPr>
          <w:rFonts w:cs="Arial"/>
          <w:u w:val="single"/>
        </w:rPr>
        <w:t>s</w:t>
      </w:r>
      <w:r w:rsidRPr="005B6139">
        <w:rPr>
          <w:rFonts w:cs="Arial"/>
        </w:rPr>
        <w:t xml:space="preserve"> affordable housing development and redevelopment projects, as Provision C.3.e.i in this Permit already provides sufficient flexibility for other non-affordable housing development and redevelopments that would have qualified as Category C Special Projects in the Previous Permit</w:t>
      </w:r>
      <w:bookmarkEnd w:id="4"/>
      <w:r w:rsidR="00D21AC7">
        <w:rPr>
          <w:rFonts w:cs="Arial"/>
        </w:rPr>
        <w:t>…</w:t>
      </w:r>
      <w:r w:rsidR="006538C1">
        <w:rPr>
          <w:rFonts w:cs="Arial"/>
        </w:rPr>
        <w:t xml:space="preserve">. </w:t>
      </w:r>
    </w:p>
    <w:p w14:paraId="39DDEE63" w14:textId="3DBDD84B" w:rsidR="004950BA" w:rsidRPr="00B7365D" w:rsidRDefault="004950BA" w:rsidP="004950BA">
      <w:pPr>
        <w:pStyle w:val="MRP-FSProvRqmtBulletBody"/>
        <w:rPr>
          <w:rFonts w:cs="Arial"/>
          <w:strike/>
        </w:rPr>
      </w:pPr>
      <w:r w:rsidRPr="005B6139">
        <w:rPr>
          <w:rFonts w:cs="Arial"/>
        </w:rPr>
        <w:t xml:space="preserve">To be considered a Category C Special Project, the Regulated Project must be primarily a residential development project, achieve at least a gross density of 40 DU/acre, and the project’s DUs must comply with the criteria outlined in Provision C.3.e.ii.(5)(c), which </w:t>
      </w:r>
      <w:r w:rsidRPr="008C3ABC">
        <w:rPr>
          <w:rFonts w:cs="Arial"/>
          <w:strike/>
        </w:rPr>
        <w:t>are</w:t>
      </w:r>
      <w:r w:rsidRPr="00B7365D">
        <w:rPr>
          <w:rFonts w:cs="Arial"/>
          <w:u w:val="single"/>
        </w:rPr>
        <w:t xml:space="preserve"> </w:t>
      </w:r>
      <w:r w:rsidR="00C35A24">
        <w:rPr>
          <w:rFonts w:cs="Arial"/>
          <w:u w:val="single"/>
        </w:rPr>
        <w:t>includes</w:t>
      </w:r>
      <w:r w:rsidRPr="00B7365D">
        <w:rPr>
          <w:rFonts w:cs="Arial"/>
          <w:u w:val="single"/>
        </w:rPr>
        <w:t xml:space="preserve"> two steps. In the first step, the percentage of the project’s DUs in each affordability category are multiplied by the respective </w:t>
      </w:r>
      <w:r w:rsidR="00035DE7">
        <w:rPr>
          <w:rFonts w:cs="Arial"/>
          <w:u w:val="single"/>
        </w:rPr>
        <w:t>c</w:t>
      </w:r>
      <w:r w:rsidRPr="00B7365D">
        <w:rPr>
          <w:rFonts w:cs="Arial"/>
          <w:u w:val="single"/>
        </w:rPr>
        <w:t xml:space="preserve">redit </w:t>
      </w:r>
      <w:r w:rsidR="00035DE7">
        <w:rPr>
          <w:rFonts w:cs="Arial"/>
          <w:u w:val="single"/>
        </w:rPr>
        <w:t>m</w:t>
      </w:r>
      <w:r w:rsidRPr="00B7365D">
        <w:rPr>
          <w:rFonts w:cs="Arial"/>
          <w:u w:val="single"/>
        </w:rPr>
        <w:t xml:space="preserve">ultipliers (0.20 for Moderate, 1.00 for Low, 2.00 for Very Low, 3.00 for Extremely Low, and 4.00 for Acutely Low) and rounded to the nearest whole number. In the second step, the credits generated by the multiplication in the first step are summed together to produce a weighted sum, and then Affordable Housing Credits are granted according to which range that </w:t>
      </w:r>
      <w:r w:rsidR="00AB5961">
        <w:rPr>
          <w:rFonts w:cs="Arial"/>
          <w:u w:val="single"/>
        </w:rPr>
        <w:t xml:space="preserve">weighted </w:t>
      </w:r>
      <w:r w:rsidRPr="00B7365D">
        <w:rPr>
          <w:rFonts w:cs="Arial"/>
          <w:u w:val="single"/>
        </w:rPr>
        <w:t xml:space="preserve">sum falls into. For example, if the </w:t>
      </w:r>
      <w:r w:rsidR="00AB5961">
        <w:rPr>
          <w:rFonts w:cs="Arial"/>
          <w:u w:val="single"/>
        </w:rPr>
        <w:t xml:space="preserve">weighted </w:t>
      </w:r>
      <w:r w:rsidRPr="00B7365D">
        <w:rPr>
          <w:rFonts w:cs="Arial"/>
          <w:u w:val="single"/>
        </w:rPr>
        <w:t xml:space="preserve">sum is 45 percent, that would fall into the 41-50 percent Affordable Housing Credit Tier range, and therefore the maximum allowable Affordable Housing Credit that the project could qualify for would be 50 percent. </w:t>
      </w:r>
      <w:r w:rsidR="005A0FCE">
        <w:rPr>
          <w:rFonts w:cs="Arial"/>
          <w:u w:val="single"/>
        </w:rPr>
        <w:t>T</w:t>
      </w:r>
      <w:r w:rsidRPr="00B7365D">
        <w:rPr>
          <w:rFonts w:cs="Arial"/>
          <w:u w:val="single"/>
        </w:rPr>
        <w:t xml:space="preserve">he </w:t>
      </w:r>
      <w:r w:rsidR="005B2A34">
        <w:rPr>
          <w:rFonts w:cs="Arial"/>
          <w:u w:val="single"/>
        </w:rPr>
        <w:t>c</w:t>
      </w:r>
      <w:r w:rsidRPr="00B7365D">
        <w:rPr>
          <w:rFonts w:cs="Arial"/>
          <w:u w:val="single"/>
        </w:rPr>
        <w:t xml:space="preserve">redit </w:t>
      </w:r>
      <w:r w:rsidR="005B2A34">
        <w:rPr>
          <w:rFonts w:cs="Arial"/>
          <w:u w:val="single"/>
        </w:rPr>
        <w:t>m</w:t>
      </w:r>
      <w:r w:rsidRPr="00B7365D">
        <w:rPr>
          <w:rFonts w:cs="Arial"/>
          <w:u w:val="single"/>
        </w:rPr>
        <w:t>ultipliers are structured to recognize the increasing benefit provided by increasing levels of affordability</w:t>
      </w:r>
      <w:r w:rsidR="008003A3">
        <w:rPr>
          <w:rFonts w:cs="Arial"/>
          <w:u w:val="single"/>
        </w:rPr>
        <w:t xml:space="preserve">. </w:t>
      </w:r>
      <w:r w:rsidR="008003A3" w:rsidRPr="002041A8">
        <w:rPr>
          <w:rStyle w:val="normaltextrun"/>
          <w:rFonts w:cs="Arial"/>
          <w:color w:val="000000" w:themeColor="text1"/>
          <w:u w:val="single"/>
        </w:rPr>
        <w:t>The result</w:t>
      </w:r>
      <w:r w:rsidRPr="00BC2289">
        <w:rPr>
          <w:rStyle w:val="normaltextrun"/>
          <w:rFonts w:cs="Arial"/>
          <w:color w:val="000000" w:themeColor="text1"/>
          <w:u w:val="single"/>
        </w:rPr>
        <w:t xml:space="preserve"> is </w:t>
      </w:r>
      <w:r w:rsidR="008003A3" w:rsidRPr="002041A8">
        <w:rPr>
          <w:rStyle w:val="normaltextrun"/>
          <w:rFonts w:cs="Arial"/>
          <w:color w:val="000000" w:themeColor="text1"/>
          <w:u w:val="single"/>
        </w:rPr>
        <w:t>that significantly affordable projects have maximum flexibility. However, less</w:t>
      </w:r>
      <w:r w:rsidR="00111174">
        <w:rPr>
          <w:rStyle w:val="normaltextrun"/>
          <w:rFonts w:cs="Arial"/>
          <w:color w:val="000000" w:themeColor="text1"/>
          <w:u w:val="single"/>
        </w:rPr>
        <w:t xml:space="preserve"> </w:t>
      </w:r>
      <w:r w:rsidR="008003A3" w:rsidRPr="002041A8">
        <w:rPr>
          <w:rStyle w:val="normaltextrun"/>
          <w:rFonts w:cs="Arial"/>
          <w:color w:val="000000" w:themeColor="text1"/>
          <w:u w:val="single"/>
        </w:rPr>
        <w:t xml:space="preserve">affordable projects are given </w:t>
      </w:r>
      <w:r w:rsidR="0008687F" w:rsidRPr="002041A8">
        <w:rPr>
          <w:rStyle w:val="normaltextrun"/>
          <w:rFonts w:cs="Arial"/>
          <w:color w:val="000000" w:themeColor="text1"/>
          <w:u w:val="single"/>
        </w:rPr>
        <w:t xml:space="preserve">“sliding scale” </w:t>
      </w:r>
      <w:r w:rsidR="008003A3" w:rsidRPr="002041A8">
        <w:rPr>
          <w:rStyle w:val="normaltextrun"/>
          <w:rFonts w:cs="Arial"/>
          <w:color w:val="000000" w:themeColor="text1"/>
          <w:u w:val="single"/>
        </w:rPr>
        <w:t>flexibility that recognizes their contribution to reductions in polluted discharges associated with unsheltered homelessness.</w:t>
      </w:r>
      <w:r w:rsidRPr="00B7365D">
        <w:rPr>
          <w:rFonts w:cs="Arial"/>
          <w:u w:val="single"/>
        </w:rPr>
        <w:t xml:space="preserve"> </w:t>
      </w:r>
      <w:r w:rsidR="0008687F">
        <w:rPr>
          <w:rFonts w:cs="Arial"/>
          <w:u w:val="single"/>
        </w:rPr>
        <w:t>T</w:t>
      </w:r>
      <w:r w:rsidRPr="00B7365D">
        <w:rPr>
          <w:rFonts w:cs="Arial"/>
          <w:u w:val="single"/>
        </w:rPr>
        <w:t xml:space="preserve">herefore, the </w:t>
      </w:r>
      <w:r w:rsidR="00AE6E52">
        <w:rPr>
          <w:rFonts w:cs="Arial"/>
          <w:u w:val="single"/>
        </w:rPr>
        <w:t>c</w:t>
      </w:r>
      <w:r w:rsidRPr="00B7365D">
        <w:rPr>
          <w:rFonts w:cs="Arial"/>
          <w:u w:val="single"/>
        </w:rPr>
        <w:t xml:space="preserve">redit </w:t>
      </w:r>
      <w:r w:rsidR="00AE6E52">
        <w:rPr>
          <w:rFonts w:cs="Arial"/>
          <w:u w:val="single"/>
        </w:rPr>
        <w:t>m</w:t>
      </w:r>
      <w:r w:rsidRPr="00B7365D">
        <w:rPr>
          <w:rFonts w:cs="Arial"/>
          <w:u w:val="single"/>
        </w:rPr>
        <w:t xml:space="preserve">ultiplier for </w:t>
      </w:r>
      <w:r w:rsidR="0035605C">
        <w:rPr>
          <w:rFonts w:cs="Arial"/>
          <w:u w:val="single"/>
        </w:rPr>
        <w:t xml:space="preserve">DUs </w:t>
      </w:r>
      <w:r w:rsidR="00A11FC5">
        <w:rPr>
          <w:rFonts w:cs="Arial"/>
          <w:u w:val="single"/>
        </w:rPr>
        <w:t xml:space="preserve">in the </w:t>
      </w:r>
      <w:r w:rsidRPr="00B7365D">
        <w:rPr>
          <w:rFonts w:cs="Arial"/>
          <w:u w:val="single"/>
        </w:rPr>
        <w:t xml:space="preserve">Extremely </w:t>
      </w:r>
      <w:proofErr w:type="gramStart"/>
      <w:r w:rsidRPr="00B7365D">
        <w:rPr>
          <w:rFonts w:cs="Arial"/>
          <w:u w:val="single"/>
        </w:rPr>
        <w:t xml:space="preserve">Low </w:t>
      </w:r>
      <w:r w:rsidR="00A14B25">
        <w:rPr>
          <w:rFonts w:cs="Arial"/>
          <w:u w:val="single"/>
        </w:rPr>
        <w:t>income</w:t>
      </w:r>
      <w:proofErr w:type="gramEnd"/>
      <w:r w:rsidR="00A14B25">
        <w:rPr>
          <w:rFonts w:cs="Arial"/>
          <w:u w:val="single"/>
        </w:rPr>
        <w:t xml:space="preserve"> </w:t>
      </w:r>
      <w:r w:rsidR="00133C62">
        <w:rPr>
          <w:rFonts w:cs="Arial"/>
          <w:u w:val="single"/>
        </w:rPr>
        <w:t>affordability</w:t>
      </w:r>
      <w:r w:rsidR="00A11FC5">
        <w:rPr>
          <w:rFonts w:cs="Arial"/>
          <w:u w:val="single"/>
        </w:rPr>
        <w:t xml:space="preserve"> category </w:t>
      </w:r>
      <w:r w:rsidRPr="00B7365D">
        <w:rPr>
          <w:rFonts w:cs="Arial"/>
          <w:u w:val="single"/>
        </w:rPr>
        <w:t xml:space="preserve">is greater than the </w:t>
      </w:r>
      <w:r w:rsidR="00803FDD">
        <w:rPr>
          <w:rFonts w:cs="Arial"/>
          <w:u w:val="single"/>
        </w:rPr>
        <w:t>c</w:t>
      </w:r>
      <w:r w:rsidRPr="00B7365D">
        <w:rPr>
          <w:rFonts w:cs="Arial"/>
          <w:u w:val="single"/>
        </w:rPr>
        <w:t xml:space="preserve">redit </w:t>
      </w:r>
      <w:r w:rsidR="00803FDD">
        <w:rPr>
          <w:rFonts w:cs="Arial"/>
          <w:u w:val="single"/>
        </w:rPr>
        <w:t>m</w:t>
      </w:r>
      <w:r w:rsidRPr="00B7365D">
        <w:rPr>
          <w:rFonts w:cs="Arial"/>
          <w:u w:val="single"/>
        </w:rPr>
        <w:t xml:space="preserve">ultiplier for </w:t>
      </w:r>
      <w:r w:rsidR="00A11FC5">
        <w:rPr>
          <w:rFonts w:cs="Arial"/>
          <w:u w:val="single"/>
        </w:rPr>
        <w:t xml:space="preserve">DUs in the </w:t>
      </w:r>
      <w:r w:rsidRPr="00B7365D">
        <w:rPr>
          <w:rFonts w:cs="Arial"/>
          <w:u w:val="single"/>
        </w:rPr>
        <w:t xml:space="preserve">Very Low </w:t>
      </w:r>
      <w:r w:rsidR="00CF3B76">
        <w:rPr>
          <w:rFonts w:cs="Arial"/>
          <w:u w:val="single"/>
        </w:rPr>
        <w:t xml:space="preserve">income </w:t>
      </w:r>
      <w:r w:rsidR="00133C62">
        <w:rPr>
          <w:rFonts w:cs="Arial"/>
          <w:u w:val="single"/>
        </w:rPr>
        <w:t>affordability</w:t>
      </w:r>
      <w:r w:rsidR="00A11FC5">
        <w:rPr>
          <w:rFonts w:cs="Arial"/>
          <w:u w:val="single"/>
        </w:rPr>
        <w:t xml:space="preserve"> category</w:t>
      </w:r>
      <w:r w:rsidRPr="00B7365D">
        <w:rPr>
          <w:rFonts w:cs="Arial"/>
          <w:u w:val="single"/>
        </w:rPr>
        <w:t xml:space="preserve">, and the </w:t>
      </w:r>
      <w:r w:rsidR="00803FDD">
        <w:rPr>
          <w:rFonts w:cs="Arial"/>
          <w:u w:val="single"/>
        </w:rPr>
        <w:t>c</w:t>
      </w:r>
      <w:r w:rsidRPr="00B7365D">
        <w:rPr>
          <w:rFonts w:cs="Arial"/>
          <w:u w:val="single"/>
        </w:rPr>
        <w:t xml:space="preserve">redit </w:t>
      </w:r>
      <w:r w:rsidR="00803FDD">
        <w:rPr>
          <w:rFonts w:cs="Arial"/>
          <w:u w:val="single"/>
        </w:rPr>
        <w:t>m</w:t>
      </w:r>
      <w:r w:rsidRPr="00B7365D">
        <w:rPr>
          <w:rFonts w:cs="Arial"/>
          <w:u w:val="single"/>
        </w:rPr>
        <w:t>ultiplier for</w:t>
      </w:r>
      <w:r w:rsidR="00121154">
        <w:rPr>
          <w:rFonts w:cs="Arial"/>
          <w:u w:val="single"/>
        </w:rPr>
        <w:t xml:space="preserve"> DUs in the</w:t>
      </w:r>
      <w:r w:rsidRPr="00B7365D">
        <w:rPr>
          <w:rFonts w:cs="Arial"/>
          <w:u w:val="single"/>
        </w:rPr>
        <w:t xml:space="preserve"> Acutely Low </w:t>
      </w:r>
      <w:r w:rsidR="00CF3B76">
        <w:rPr>
          <w:rFonts w:cs="Arial"/>
          <w:u w:val="single"/>
        </w:rPr>
        <w:t xml:space="preserve">income </w:t>
      </w:r>
      <w:r w:rsidR="000F7FDF">
        <w:rPr>
          <w:rFonts w:cs="Arial"/>
          <w:u w:val="single"/>
        </w:rPr>
        <w:t>affordability</w:t>
      </w:r>
      <w:r w:rsidR="00CF063B">
        <w:rPr>
          <w:rFonts w:cs="Arial"/>
          <w:u w:val="single"/>
        </w:rPr>
        <w:t xml:space="preserve"> </w:t>
      </w:r>
      <w:r w:rsidR="000F7FDF">
        <w:rPr>
          <w:rFonts w:cs="Arial"/>
          <w:u w:val="single"/>
        </w:rPr>
        <w:t>c</w:t>
      </w:r>
      <w:r w:rsidR="00CF063B">
        <w:rPr>
          <w:rFonts w:cs="Arial"/>
          <w:u w:val="single"/>
        </w:rPr>
        <w:t xml:space="preserve">ategory </w:t>
      </w:r>
      <w:r w:rsidRPr="00B7365D">
        <w:rPr>
          <w:rFonts w:cs="Arial"/>
          <w:u w:val="single"/>
        </w:rPr>
        <w:t xml:space="preserve">is greater than the </w:t>
      </w:r>
      <w:r w:rsidR="00803FDD">
        <w:rPr>
          <w:rFonts w:cs="Arial"/>
          <w:u w:val="single"/>
        </w:rPr>
        <w:t>c</w:t>
      </w:r>
      <w:r w:rsidRPr="00B7365D">
        <w:rPr>
          <w:rFonts w:cs="Arial"/>
          <w:u w:val="single"/>
        </w:rPr>
        <w:t xml:space="preserve">redit </w:t>
      </w:r>
      <w:r w:rsidR="00803FDD">
        <w:rPr>
          <w:rFonts w:cs="Arial"/>
          <w:u w:val="single"/>
        </w:rPr>
        <w:t>m</w:t>
      </w:r>
      <w:r w:rsidRPr="00B7365D">
        <w:rPr>
          <w:rFonts w:cs="Arial"/>
          <w:u w:val="single"/>
        </w:rPr>
        <w:t>ultiplier for</w:t>
      </w:r>
      <w:r w:rsidR="00CF063B">
        <w:rPr>
          <w:rFonts w:cs="Arial"/>
          <w:u w:val="single"/>
        </w:rPr>
        <w:t xml:space="preserve"> DUs in the</w:t>
      </w:r>
      <w:r w:rsidRPr="00B7365D">
        <w:rPr>
          <w:rFonts w:cs="Arial"/>
          <w:u w:val="single"/>
        </w:rPr>
        <w:t xml:space="preserve"> Extremely Low </w:t>
      </w:r>
      <w:r w:rsidR="00CF3B76">
        <w:rPr>
          <w:rFonts w:cs="Arial"/>
          <w:u w:val="single"/>
        </w:rPr>
        <w:t xml:space="preserve">income </w:t>
      </w:r>
      <w:r w:rsidR="000F7FDF">
        <w:rPr>
          <w:rFonts w:cs="Arial"/>
          <w:u w:val="single"/>
        </w:rPr>
        <w:t>affordability c</w:t>
      </w:r>
      <w:r w:rsidR="00CF063B">
        <w:rPr>
          <w:rFonts w:cs="Arial"/>
          <w:u w:val="single"/>
        </w:rPr>
        <w:t>ategory</w:t>
      </w:r>
      <w:r w:rsidRPr="00B7365D">
        <w:rPr>
          <w:rFonts w:cs="Arial"/>
          <w:u w:val="single"/>
        </w:rPr>
        <w:t xml:space="preserve">. The Affordable Housing Credit Tier ranges provide additional flexibility and simplicity by allowing projects to claim additional non-LID credit according to the range that the weighted sum falls into; for example, a project with a weighted sum as low as 21 percent could claim an Affordable Housing Non-LID Credit as high as 30 percent. </w:t>
      </w:r>
      <w:r w:rsidRPr="00B7365D">
        <w:rPr>
          <w:rFonts w:cs="Arial"/>
          <w:strike/>
        </w:rPr>
        <w:t xml:space="preserve">for 70 percent Affordable Housing Credit, 100 percent of the DUs within a Category C Special Project must have rent/mortgage rates (including utilities) no greater than 30 percent of the Moderate household income level (≤120 percent of AMI), 75 percent of the DUs must have rent/mortgage rates (including utilities) no greater than 30 percent of the Low household income level (≤80 percent of AMI), 50 percent of the DUs must have rent/mortgage rates (including utilities) no greater than 30 percent of the Very Low household income level (≤50 percent of AMI), and 25 percent of the DUs must have rent/mortgage rates (including utilities) no greater than 30 percent of the Extremely Low household income level (≤30 percent of AMI). Likewise, for 50 percent </w:t>
      </w:r>
      <w:r w:rsidRPr="00B7365D">
        <w:rPr>
          <w:rFonts w:cs="Arial"/>
          <w:strike/>
        </w:rPr>
        <w:lastRenderedPageBreak/>
        <w:t xml:space="preserve">Affordable Housing Credit, 75 percent of the affordable housing DUs must have rent/mortgage rates (including utilities) no greater than 30 percent of the Moderate household income level (≤120 percent of AMI), 50 percent must have rent/mortgage rates (including utilities) no greater than 30 percent of the Low household income level (≤80 percent of AMI), 25 percent must have rent/mortgage rates (including utilities) no greater than 30 percent of the Very Low household income level (≤50 percent of AMI), and 15 percent must have rent/mortgage rates (including utilities) no greater than 30 percent of the Extremely Low household income level (≤30 percent of AMI). These criteria, when implemented for Category C Special Projects, will reduce pollutant discharges from unhoused peoples into MS4s when they are housed by the </w:t>
      </w:r>
      <w:proofErr w:type="gramStart"/>
      <w:r w:rsidRPr="00B7365D">
        <w:rPr>
          <w:rFonts w:cs="Arial"/>
          <w:strike/>
        </w:rPr>
        <w:t>newly-provided</w:t>
      </w:r>
      <w:proofErr w:type="gramEnd"/>
      <w:r w:rsidRPr="00B7365D">
        <w:rPr>
          <w:rFonts w:cs="Arial"/>
          <w:strike/>
        </w:rPr>
        <w:t xml:space="preserve"> affordable housing. Finally, for 25 percent Affordable Housing Credit, 50 percent of the affordable housing DUs must have rent/mortgage rates (including utilities) no greater than 30 percent of the Moderate household income level (≤120 percent of AMI), 25 percent must have rent/mortgage rates (including utilities) no greater than 30 percent of the Low household income level (≤80 percent of AMI), 15 percent must have rent/mortgage rates (including utilities) no greater than 30 percent of the Very Low household income level (≤50 percent of AMI), and 5 percent must have rent/mortgage rates (including utilities) no greater than 30 percent of the Extremely Low household income level (≤30 percent of AMI).</w:t>
      </w:r>
    </w:p>
    <w:p w14:paraId="120F11F4" w14:textId="77777777" w:rsidR="004950BA" w:rsidRPr="009E59F9" w:rsidRDefault="004950BA" w:rsidP="004950BA">
      <w:pPr>
        <w:pStyle w:val="MRP-FSProvRqmtBulletBody"/>
        <w:rPr>
          <w:rFonts w:cs="Arial"/>
          <w:b/>
          <w:bCs w:val="0"/>
          <w:u w:val="single"/>
        </w:rPr>
      </w:pPr>
      <w:r w:rsidRPr="009E59F9">
        <w:rPr>
          <w:rFonts w:cs="Arial"/>
          <w:b/>
          <w:bCs w:val="0"/>
          <w:u w:val="single"/>
        </w:rPr>
        <w:t>Examples for Provision C.3.e.ii.(5) Category C Special Project Criteria (Affordable Housing)</w:t>
      </w:r>
    </w:p>
    <w:p w14:paraId="67307AC8" w14:textId="77777777" w:rsidR="004950BA" w:rsidRPr="009E59F9" w:rsidRDefault="004950BA" w:rsidP="004950BA">
      <w:pPr>
        <w:pStyle w:val="MRP-FSProvRqmtBulletBody"/>
        <w:ind w:left="720"/>
        <w:rPr>
          <w:rFonts w:cs="Arial"/>
          <w:u w:val="single"/>
        </w:rPr>
      </w:pPr>
      <w:r w:rsidRPr="009E59F9">
        <w:rPr>
          <w:rFonts w:cs="Arial"/>
          <w:b/>
          <w:bCs w:val="0"/>
          <w:u w:val="single"/>
        </w:rPr>
        <w:t>Example #1</w:t>
      </w:r>
      <w:r w:rsidRPr="009E59F9">
        <w:rPr>
          <w:rFonts w:cs="Arial"/>
          <w:u w:val="single"/>
        </w:rPr>
        <w:t xml:space="preserve">: A private project consisting of 100 DUs on 1 acre of land, with preserved housing with deed restrictions running at least 55 years, at rent/mortgage rates (including utilities) no greater than 30 percent of the total household income, with the following affordability for those DUs: </w:t>
      </w:r>
    </w:p>
    <w:p w14:paraId="49E32CE3" w14:textId="77777777" w:rsidR="004950BA" w:rsidRPr="009E59F9" w:rsidRDefault="004950BA" w:rsidP="004950BA">
      <w:pPr>
        <w:pStyle w:val="MRP-FSProvRqmtBulletBody"/>
        <w:ind w:left="720"/>
        <w:rPr>
          <w:rFonts w:cs="Arial"/>
          <w:u w:val="single"/>
        </w:rPr>
      </w:pPr>
      <w:r w:rsidRPr="009E59F9">
        <w:rPr>
          <w:rFonts w:cs="Arial"/>
          <w:u w:val="single"/>
        </w:rPr>
        <w:t xml:space="preserve">2 market-rate Managers’ DUs, </w:t>
      </w:r>
    </w:p>
    <w:p w14:paraId="2B3DDF53" w14:textId="77777777" w:rsidR="004950BA" w:rsidRPr="009E59F9" w:rsidRDefault="004950BA" w:rsidP="004950BA">
      <w:pPr>
        <w:pStyle w:val="MRP-FSProvRqmtBulletBody"/>
        <w:ind w:left="720"/>
        <w:rPr>
          <w:rFonts w:cs="Arial"/>
          <w:u w:val="single"/>
        </w:rPr>
      </w:pPr>
      <w:r w:rsidRPr="009E59F9">
        <w:rPr>
          <w:rFonts w:cs="Arial"/>
          <w:u w:val="single"/>
        </w:rPr>
        <w:t>13 market-rate non-Managers’ DUs,</w:t>
      </w:r>
    </w:p>
    <w:p w14:paraId="7FAD4B57" w14:textId="6EA4E61F" w:rsidR="004950BA" w:rsidRPr="009E59F9" w:rsidRDefault="004950BA" w:rsidP="004950BA">
      <w:pPr>
        <w:pStyle w:val="MRP-FSProvRqmtBulletBody"/>
        <w:ind w:left="720"/>
        <w:rPr>
          <w:rFonts w:cs="Arial"/>
          <w:u w:val="single"/>
        </w:rPr>
      </w:pPr>
      <w:r w:rsidRPr="009E59F9">
        <w:rPr>
          <w:rFonts w:cs="Arial"/>
          <w:u w:val="single"/>
        </w:rPr>
        <w:t xml:space="preserve">40 Moderate DUs (40/98 = 41%), </w:t>
      </w:r>
    </w:p>
    <w:p w14:paraId="363040CB" w14:textId="77777777" w:rsidR="004950BA" w:rsidRPr="009E59F9" w:rsidRDefault="004950BA" w:rsidP="004950BA">
      <w:pPr>
        <w:pStyle w:val="MRP-FSProvRqmtBulletBody"/>
        <w:ind w:left="720"/>
        <w:rPr>
          <w:rFonts w:cs="Arial"/>
          <w:u w:val="single"/>
        </w:rPr>
      </w:pPr>
      <w:r w:rsidRPr="009E59F9">
        <w:rPr>
          <w:rFonts w:cs="Arial"/>
          <w:u w:val="single"/>
        </w:rPr>
        <w:t xml:space="preserve">15 Low DUs (15/98 = 15%), </w:t>
      </w:r>
    </w:p>
    <w:p w14:paraId="74326CB5" w14:textId="77777777" w:rsidR="004950BA" w:rsidRPr="009E59F9" w:rsidRDefault="004950BA" w:rsidP="004950BA">
      <w:pPr>
        <w:pStyle w:val="MRP-FSProvRqmtBulletBody"/>
        <w:ind w:left="720"/>
        <w:rPr>
          <w:rFonts w:cs="Arial"/>
          <w:u w:val="single"/>
        </w:rPr>
      </w:pPr>
      <w:r w:rsidRPr="009E59F9">
        <w:rPr>
          <w:rFonts w:cs="Arial"/>
          <w:u w:val="single"/>
        </w:rPr>
        <w:t xml:space="preserve">20 Very Low DUs (20/98 = 20%), </w:t>
      </w:r>
    </w:p>
    <w:p w14:paraId="4D81481A" w14:textId="77777777" w:rsidR="004950BA" w:rsidRPr="009E59F9" w:rsidRDefault="004950BA" w:rsidP="004950BA">
      <w:pPr>
        <w:pStyle w:val="MRP-FSProvRqmtBulletBody"/>
        <w:ind w:left="720"/>
        <w:rPr>
          <w:rFonts w:cs="Arial"/>
          <w:u w:val="single"/>
        </w:rPr>
      </w:pPr>
      <w:r w:rsidRPr="009E59F9">
        <w:rPr>
          <w:rFonts w:cs="Arial"/>
          <w:u w:val="single"/>
        </w:rPr>
        <w:t>10 Extremely Low DUs (10/98 = 10%), and</w:t>
      </w:r>
    </w:p>
    <w:p w14:paraId="73B7DA18" w14:textId="77777777" w:rsidR="004950BA" w:rsidRPr="009E59F9" w:rsidRDefault="004950BA" w:rsidP="004950BA">
      <w:pPr>
        <w:pStyle w:val="MRP-FSProvRqmtBulletBody"/>
        <w:ind w:left="720"/>
        <w:rPr>
          <w:rFonts w:cs="Arial"/>
          <w:u w:val="single"/>
        </w:rPr>
      </w:pPr>
      <w:r w:rsidRPr="009E59F9">
        <w:rPr>
          <w:rFonts w:cs="Arial"/>
          <w:u w:val="single"/>
        </w:rPr>
        <w:t xml:space="preserve">0 Acutely Low DUs (0/98 = 0%). </w:t>
      </w:r>
    </w:p>
    <w:p w14:paraId="6F36C3F3" w14:textId="22ADA670" w:rsidR="004950BA" w:rsidRPr="009E59F9" w:rsidRDefault="004950BA" w:rsidP="004950BA">
      <w:pPr>
        <w:pStyle w:val="MRP-FSProvRqmtBulletBody"/>
        <w:ind w:left="720"/>
        <w:rPr>
          <w:rFonts w:cs="Arial"/>
          <w:u w:val="single"/>
        </w:rPr>
      </w:pPr>
      <w:r w:rsidRPr="009E59F9">
        <w:rPr>
          <w:rFonts w:cs="Arial"/>
          <w:u w:val="single"/>
        </w:rPr>
        <w:t xml:space="preserve">The percentages of DUs in each income category would be multiplied by the respective </w:t>
      </w:r>
      <w:r w:rsidR="003D3C36">
        <w:rPr>
          <w:rFonts w:cs="Arial"/>
          <w:u w:val="single"/>
        </w:rPr>
        <w:t>c</w:t>
      </w:r>
      <w:r w:rsidRPr="009E59F9">
        <w:rPr>
          <w:rFonts w:cs="Arial"/>
          <w:u w:val="single"/>
        </w:rPr>
        <w:t xml:space="preserve">redit </w:t>
      </w:r>
      <w:r w:rsidR="003D3C36">
        <w:rPr>
          <w:rFonts w:cs="Arial"/>
          <w:u w:val="single"/>
        </w:rPr>
        <w:t>m</w:t>
      </w:r>
      <w:r w:rsidRPr="009E59F9">
        <w:rPr>
          <w:rFonts w:cs="Arial"/>
          <w:u w:val="single"/>
        </w:rPr>
        <w:t xml:space="preserve">ultipliers, and summed together as follows: (0.20)*41% + (1.00)*15% + (2.00)*20% + (3.00)*10% + (4.00)*0% = 93%. That </w:t>
      </w:r>
      <w:r w:rsidR="003D3C36">
        <w:rPr>
          <w:rFonts w:cs="Arial"/>
          <w:u w:val="single"/>
        </w:rPr>
        <w:t>w</w:t>
      </w:r>
      <w:r w:rsidRPr="009E59F9">
        <w:rPr>
          <w:rFonts w:cs="Arial"/>
          <w:u w:val="single"/>
        </w:rPr>
        <w:t xml:space="preserve">eighted </w:t>
      </w:r>
      <w:r w:rsidR="003D3C36">
        <w:rPr>
          <w:rFonts w:cs="Arial"/>
          <w:u w:val="single"/>
        </w:rPr>
        <w:t>s</w:t>
      </w:r>
      <w:r w:rsidRPr="009E59F9">
        <w:rPr>
          <w:rFonts w:cs="Arial"/>
          <w:u w:val="single"/>
        </w:rPr>
        <w:t xml:space="preserve">um of 93% would fall into the following Affordable Housing Credit Tier: 90% &lt; 93% ≤ 100%. Therefore, this project could qualify for an Affordable Housing Credit of up to 100 percent. </w:t>
      </w:r>
    </w:p>
    <w:p w14:paraId="23083D96" w14:textId="77777777" w:rsidR="004950BA" w:rsidRPr="009E59F9" w:rsidRDefault="004950BA" w:rsidP="004950BA">
      <w:pPr>
        <w:pStyle w:val="MRP-FSProvRqmtBulletBody"/>
        <w:ind w:left="720"/>
        <w:rPr>
          <w:rFonts w:cs="Arial"/>
          <w:u w:val="single"/>
        </w:rPr>
      </w:pPr>
      <w:r w:rsidRPr="009E59F9">
        <w:rPr>
          <w:rFonts w:cs="Arial"/>
          <w:b/>
          <w:bCs w:val="0"/>
          <w:u w:val="single"/>
        </w:rPr>
        <w:lastRenderedPageBreak/>
        <w:t>Example #2</w:t>
      </w:r>
      <w:r w:rsidRPr="009E59F9">
        <w:rPr>
          <w:rFonts w:cs="Arial"/>
          <w:u w:val="single"/>
        </w:rPr>
        <w:t xml:space="preserve">: A private project consisting of 100 DUs on 1 acre of land, with preserved housing with deed restrictions running at least 55 years, at rent/mortgage rates (including utilities) no greater than 30 percent of the total household income, with the following affordability for those DUs: </w:t>
      </w:r>
    </w:p>
    <w:p w14:paraId="0E2F6429" w14:textId="77777777" w:rsidR="004950BA" w:rsidRPr="009E59F9" w:rsidRDefault="004950BA" w:rsidP="004950BA">
      <w:pPr>
        <w:pStyle w:val="MRP-FSProvRqmtBulletBody"/>
        <w:ind w:left="720"/>
        <w:rPr>
          <w:rFonts w:cs="Arial"/>
          <w:u w:val="single"/>
        </w:rPr>
      </w:pPr>
      <w:r w:rsidRPr="009E59F9">
        <w:rPr>
          <w:rFonts w:cs="Arial"/>
          <w:u w:val="single"/>
        </w:rPr>
        <w:t xml:space="preserve">3 market-rate Managers’ DUs, </w:t>
      </w:r>
    </w:p>
    <w:p w14:paraId="4B222301" w14:textId="77777777" w:rsidR="004950BA" w:rsidRPr="009E59F9" w:rsidRDefault="004950BA" w:rsidP="004950BA">
      <w:pPr>
        <w:pStyle w:val="MRP-FSProvRqmtBulletBody"/>
        <w:ind w:left="720"/>
        <w:rPr>
          <w:rFonts w:cs="Arial"/>
          <w:u w:val="single"/>
        </w:rPr>
      </w:pPr>
      <w:r w:rsidRPr="009E59F9">
        <w:rPr>
          <w:rFonts w:cs="Arial"/>
          <w:u w:val="single"/>
        </w:rPr>
        <w:t xml:space="preserve">22 market-rate non-Managers’ DUs, </w:t>
      </w:r>
    </w:p>
    <w:p w14:paraId="77A5BA59" w14:textId="77777777" w:rsidR="004950BA" w:rsidRPr="009E59F9" w:rsidRDefault="004950BA" w:rsidP="004950BA">
      <w:pPr>
        <w:pStyle w:val="MRP-FSProvRqmtBulletBody"/>
        <w:ind w:left="720"/>
        <w:rPr>
          <w:rFonts w:cs="Arial"/>
          <w:u w:val="single"/>
        </w:rPr>
      </w:pPr>
      <w:r w:rsidRPr="009E59F9">
        <w:rPr>
          <w:rFonts w:cs="Arial"/>
          <w:u w:val="single"/>
        </w:rPr>
        <w:t xml:space="preserve">40 Moderate DUs (40/97 = 41%), </w:t>
      </w:r>
    </w:p>
    <w:p w14:paraId="2BEAD222" w14:textId="77777777" w:rsidR="004950BA" w:rsidRPr="009E59F9" w:rsidRDefault="004950BA" w:rsidP="004950BA">
      <w:pPr>
        <w:pStyle w:val="MRP-FSProvRqmtBulletBody"/>
        <w:ind w:left="720"/>
        <w:rPr>
          <w:rFonts w:cs="Arial"/>
          <w:u w:val="single"/>
        </w:rPr>
      </w:pPr>
      <w:r w:rsidRPr="009E59F9">
        <w:rPr>
          <w:rFonts w:cs="Arial"/>
          <w:u w:val="single"/>
        </w:rPr>
        <w:t xml:space="preserve">20 Low DUs (20/97 = 21%), </w:t>
      </w:r>
    </w:p>
    <w:p w14:paraId="6A8C281C" w14:textId="77777777" w:rsidR="004950BA" w:rsidRPr="009E59F9" w:rsidRDefault="004950BA" w:rsidP="004950BA">
      <w:pPr>
        <w:pStyle w:val="MRP-FSProvRqmtBulletBody"/>
        <w:ind w:left="720"/>
        <w:rPr>
          <w:rFonts w:cs="Arial"/>
          <w:u w:val="single"/>
        </w:rPr>
      </w:pPr>
      <w:r w:rsidRPr="009E59F9">
        <w:rPr>
          <w:rFonts w:cs="Arial"/>
          <w:u w:val="single"/>
        </w:rPr>
        <w:t xml:space="preserve">10 Very Low DUs (10/97 = 10%), </w:t>
      </w:r>
    </w:p>
    <w:p w14:paraId="1DEB9822" w14:textId="77777777" w:rsidR="004950BA" w:rsidRPr="009E59F9" w:rsidRDefault="004950BA" w:rsidP="004950BA">
      <w:pPr>
        <w:pStyle w:val="MRP-FSProvRqmtBulletBody"/>
        <w:ind w:left="720"/>
        <w:rPr>
          <w:rFonts w:cs="Arial"/>
          <w:u w:val="single"/>
        </w:rPr>
      </w:pPr>
      <w:r w:rsidRPr="009E59F9">
        <w:rPr>
          <w:rFonts w:cs="Arial"/>
          <w:u w:val="single"/>
        </w:rPr>
        <w:t xml:space="preserve">5 Extremely Low DUs (5/97 = 5%), and </w:t>
      </w:r>
    </w:p>
    <w:p w14:paraId="723821A5" w14:textId="77777777" w:rsidR="004950BA" w:rsidRPr="009E59F9" w:rsidRDefault="004950BA" w:rsidP="004950BA">
      <w:pPr>
        <w:pStyle w:val="MRP-FSProvRqmtBulletBody"/>
        <w:ind w:left="720"/>
        <w:rPr>
          <w:rFonts w:cs="Arial"/>
          <w:u w:val="single"/>
        </w:rPr>
      </w:pPr>
      <w:r w:rsidRPr="009E59F9">
        <w:rPr>
          <w:rFonts w:cs="Arial"/>
          <w:u w:val="single"/>
        </w:rPr>
        <w:t xml:space="preserve">0 Acutely Low DUs (0/97 = 0%). </w:t>
      </w:r>
    </w:p>
    <w:p w14:paraId="6E6FBA37" w14:textId="70281846" w:rsidR="004950BA" w:rsidRPr="009E59F9" w:rsidRDefault="004950BA" w:rsidP="004950BA">
      <w:pPr>
        <w:pStyle w:val="MRP-FSProvRqmtBulletBody"/>
        <w:ind w:left="720"/>
        <w:rPr>
          <w:rFonts w:cs="Arial"/>
          <w:u w:val="single"/>
        </w:rPr>
      </w:pPr>
      <w:r w:rsidRPr="009E59F9">
        <w:rPr>
          <w:rFonts w:cs="Arial"/>
          <w:u w:val="single"/>
        </w:rPr>
        <w:t xml:space="preserve">The percentages of DUs in each income category would be multiplied by the respective </w:t>
      </w:r>
      <w:r w:rsidR="006C6EAF">
        <w:rPr>
          <w:rFonts w:cs="Arial"/>
          <w:u w:val="single"/>
        </w:rPr>
        <w:t>c</w:t>
      </w:r>
      <w:r w:rsidRPr="009E59F9">
        <w:rPr>
          <w:rFonts w:cs="Arial"/>
          <w:u w:val="single"/>
        </w:rPr>
        <w:t xml:space="preserve">redit </w:t>
      </w:r>
      <w:r w:rsidR="006C6EAF">
        <w:rPr>
          <w:rFonts w:cs="Arial"/>
          <w:u w:val="single"/>
        </w:rPr>
        <w:t>m</w:t>
      </w:r>
      <w:r w:rsidRPr="009E59F9">
        <w:rPr>
          <w:rFonts w:cs="Arial"/>
          <w:u w:val="single"/>
        </w:rPr>
        <w:t xml:space="preserve">ultipliers, and summed together as follows: (0.20)*41% + (1.00)*20% + (2.00)*10% + (3.00)*5% + (4.00)*0% = 64%. That </w:t>
      </w:r>
      <w:r w:rsidR="006C6EAF">
        <w:rPr>
          <w:rFonts w:cs="Arial"/>
          <w:u w:val="single"/>
        </w:rPr>
        <w:t>w</w:t>
      </w:r>
      <w:r w:rsidRPr="009E59F9">
        <w:rPr>
          <w:rFonts w:cs="Arial"/>
          <w:u w:val="single"/>
        </w:rPr>
        <w:t xml:space="preserve">eighted </w:t>
      </w:r>
      <w:r w:rsidR="006C6EAF">
        <w:rPr>
          <w:rFonts w:cs="Arial"/>
          <w:u w:val="single"/>
        </w:rPr>
        <w:t>su</w:t>
      </w:r>
      <w:r w:rsidRPr="009E59F9">
        <w:rPr>
          <w:rFonts w:cs="Arial"/>
          <w:u w:val="single"/>
        </w:rPr>
        <w:t xml:space="preserve">m of 64% would fall into the following Affordable Housing Credit Tier: 61% &lt; 64% ≤ 70%. Therefore, this Category C Special Project could qualify for an Affordable Housing credit of up to 70 percent. </w:t>
      </w:r>
    </w:p>
    <w:p w14:paraId="26FE691C" w14:textId="37D40404" w:rsidR="004950BA" w:rsidRPr="005B6139" w:rsidRDefault="004950BA" w:rsidP="008747A5">
      <w:pPr>
        <w:pStyle w:val="MRP-FSProvRqmtBulletBody"/>
        <w:ind w:left="720"/>
        <w:rPr>
          <w:rFonts w:cs="Arial"/>
        </w:rPr>
      </w:pPr>
      <w:r w:rsidRPr="009E59F9">
        <w:rPr>
          <w:rFonts w:cs="Arial"/>
          <w:u w:val="single"/>
        </w:rPr>
        <w:t>If combined with up to 10% Location Credit, 15% Density Credit, and 5% Minimized Surface Parking Credit, this Category C Special Project could qualify for up to 100% non-LID Treatment Reduction Credit (70% + 10% + 15% + 5% = 100%).</w:t>
      </w:r>
    </w:p>
    <w:p w14:paraId="676E9C8F" w14:textId="6842456D" w:rsidR="00E3622A" w:rsidRDefault="00E3622A" w:rsidP="00192FE2">
      <w:pPr>
        <w:pStyle w:val="ListParagraph"/>
        <w:numPr>
          <w:ilvl w:val="0"/>
          <w:numId w:val="2"/>
        </w:numPr>
        <w:spacing w:after="120" w:line="240" w:lineRule="auto"/>
        <w:contextualSpacing w:val="0"/>
        <w:rPr>
          <w:rFonts w:ascii="Arial" w:hAnsi="Arial" w:cs="Arial"/>
          <w:sz w:val="24"/>
          <w:szCs w:val="24"/>
        </w:rPr>
      </w:pPr>
      <w:r w:rsidRPr="000C4124">
        <w:rPr>
          <w:rFonts w:ascii="Arial" w:hAnsi="Arial" w:cs="Arial"/>
          <w:sz w:val="24"/>
          <w:szCs w:val="24"/>
        </w:rPr>
        <w:t>Order No. R2-2022-0018</w:t>
      </w:r>
      <w:r w:rsidRPr="00E3622A">
        <w:rPr>
          <w:rFonts w:ascii="Arial" w:hAnsi="Arial" w:cs="Arial"/>
          <w:sz w:val="24"/>
          <w:szCs w:val="24"/>
        </w:rPr>
        <w:t xml:space="preserve"> </w:t>
      </w:r>
      <w:r w:rsidRPr="0054023B">
        <w:rPr>
          <w:rFonts w:ascii="Arial" w:hAnsi="Arial" w:cs="Arial"/>
          <w:sz w:val="24"/>
          <w:szCs w:val="24"/>
        </w:rPr>
        <w:t>is hereby amended as shown in this Order</w:t>
      </w:r>
      <w:r w:rsidR="00B371F0">
        <w:rPr>
          <w:rFonts w:ascii="Arial" w:hAnsi="Arial" w:cs="Arial"/>
          <w:sz w:val="24"/>
          <w:szCs w:val="24"/>
        </w:rPr>
        <w:t>.</w:t>
      </w:r>
    </w:p>
    <w:p w14:paraId="792E92FF" w14:textId="16599D0D" w:rsidR="00DA4A5F" w:rsidRPr="00A97880" w:rsidRDefault="00DA4A5F" w:rsidP="00E21993">
      <w:pPr>
        <w:pStyle w:val="ListParagraph"/>
        <w:numPr>
          <w:ilvl w:val="0"/>
          <w:numId w:val="2"/>
        </w:numPr>
        <w:spacing w:after="120" w:line="240" w:lineRule="auto"/>
        <w:contextualSpacing w:val="0"/>
        <w:rPr>
          <w:rFonts w:ascii="Arial" w:hAnsi="Arial" w:cs="Arial"/>
          <w:sz w:val="24"/>
          <w:szCs w:val="24"/>
        </w:rPr>
      </w:pPr>
      <w:r w:rsidRPr="00A97880">
        <w:rPr>
          <w:rFonts w:ascii="Arial" w:hAnsi="Arial" w:cs="Arial"/>
          <w:sz w:val="24"/>
          <w:szCs w:val="24"/>
        </w:rPr>
        <w:t xml:space="preserve">This </w:t>
      </w:r>
      <w:r w:rsidR="002C6C61">
        <w:rPr>
          <w:rFonts w:ascii="Arial" w:hAnsi="Arial" w:cs="Arial"/>
          <w:sz w:val="24"/>
          <w:szCs w:val="24"/>
        </w:rPr>
        <w:t>O</w:t>
      </w:r>
      <w:r w:rsidRPr="00A97880">
        <w:rPr>
          <w:rFonts w:ascii="Arial" w:hAnsi="Arial" w:cs="Arial"/>
          <w:sz w:val="24"/>
          <w:szCs w:val="24"/>
        </w:rPr>
        <w:t xml:space="preserve">rder shall become effective on </w:t>
      </w:r>
      <w:r w:rsidR="008747A5" w:rsidRPr="00BC2289">
        <w:rPr>
          <w:rFonts w:ascii="Arial" w:hAnsi="Arial" w:cs="Arial"/>
          <w:sz w:val="24"/>
          <w:szCs w:val="24"/>
        </w:rPr>
        <w:t>November 1, 2023</w:t>
      </w:r>
      <w:r w:rsidR="0094059F">
        <w:rPr>
          <w:rFonts w:ascii="Arial" w:hAnsi="Arial" w:cs="Arial"/>
          <w:sz w:val="24"/>
          <w:szCs w:val="24"/>
        </w:rPr>
        <w:t>.</w:t>
      </w:r>
    </w:p>
    <w:p w14:paraId="35161346" w14:textId="77777777" w:rsidR="000770BA" w:rsidRDefault="000770BA" w:rsidP="00457F33">
      <w:pPr>
        <w:spacing w:after="120" w:line="240" w:lineRule="auto"/>
        <w:rPr>
          <w:rFonts w:ascii="Arial" w:hAnsi="Arial" w:cs="Arial"/>
          <w:sz w:val="24"/>
          <w:szCs w:val="24"/>
        </w:rPr>
      </w:pPr>
    </w:p>
    <w:p w14:paraId="3BB30EA8" w14:textId="64F2CCC6" w:rsidR="00934520" w:rsidRDefault="000770BA" w:rsidP="00457F33">
      <w:pPr>
        <w:spacing w:after="120" w:line="240" w:lineRule="auto"/>
        <w:rPr>
          <w:rFonts w:ascii="Arial" w:hAnsi="Arial" w:cs="Arial"/>
          <w:sz w:val="24"/>
          <w:szCs w:val="24"/>
        </w:rPr>
      </w:pPr>
      <w:r>
        <w:rPr>
          <w:rFonts w:ascii="Arial" w:hAnsi="Arial" w:cs="Arial"/>
          <w:sz w:val="24"/>
          <w:szCs w:val="24"/>
        </w:rPr>
        <w:t xml:space="preserve">I, </w:t>
      </w:r>
      <w:r w:rsidR="00D90D2A">
        <w:rPr>
          <w:rFonts w:ascii="Arial" w:hAnsi="Arial" w:cs="Arial"/>
          <w:sz w:val="24"/>
          <w:szCs w:val="24"/>
        </w:rPr>
        <w:t>Eileen White</w:t>
      </w:r>
      <w:r>
        <w:rPr>
          <w:rFonts w:ascii="Arial" w:hAnsi="Arial" w:cs="Arial"/>
          <w:sz w:val="24"/>
          <w:szCs w:val="24"/>
        </w:rPr>
        <w:t xml:space="preserve">, Executive Officer, do hereby certify that the foregoing is a full, true, and correct copy of an Order adopted by the California Regional Water Quality Control Board, San Francisco Bay Region, on </w:t>
      </w:r>
      <w:r w:rsidR="009112DD">
        <w:rPr>
          <w:rFonts w:ascii="Arial" w:hAnsi="Arial" w:cs="Arial"/>
          <w:sz w:val="24"/>
          <w:szCs w:val="24"/>
        </w:rPr>
        <w:t>October 11</w:t>
      </w:r>
      <w:r w:rsidR="00934520">
        <w:rPr>
          <w:rFonts w:ascii="Arial" w:hAnsi="Arial" w:cs="Arial"/>
          <w:sz w:val="24"/>
          <w:szCs w:val="24"/>
        </w:rPr>
        <w:t xml:space="preserve">, 2023. </w:t>
      </w:r>
    </w:p>
    <w:p w14:paraId="572F0AEB" w14:textId="77777777" w:rsidR="009138A7" w:rsidRPr="00BC2289" w:rsidRDefault="009138A7" w:rsidP="00457F33">
      <w:pPr>
        <w:spacing w:after="120" w:line="240" w:lineRule="auto"/>
        <w:rPr>
          <w:rFonts w:ascii="Arial" w:hAnsi="Arial" w:cs="Arial"/>
          <w:sz w:val="24"/>
          <w:szCs w:val="24"/>
        </w:rPr>
      </w:pPr>
    </w:p>
    <w:p w14:paraId="1D560523" w14:textId="77777777" w:rsidR="00934520" w:rsidRDefault="00934520" w:rsidP="00457F33">
      <w:pPr>
        <w:spacing w:after="120" w:line="240" w:lineRule="auto"/>
        <w:rPr>
          <w:rFonts w:ascii="Arial" w:hAnsi="Arial" w:cs="Arial"/>
          <w:sz w:val="24"/>
          <w:szCs w:val="24"/>
        </w:rPr>
      </w:pPr>
    </w:p>
    <w:p w14:paraId="63521758" w14:textId="77777777" w:rsidR="00934520" w:rsidRDefault="00934520" w:rsidP="00457F33">
      <w:pPr>
        <w:spacing w:after="120" w:line="240" w:lineRule="auto"/>
        <w:rPr>
          <w:rFonts w:ascii="Arial" w:hAnsi="Arial" w:cs="Arial"/>
          <w:sz w:val="24"/>
          <w:szCs w:val="24"/>
        </w:rPr>
      </w:pPr>
    </w:p>
    <w:p w14:paraId="68A1E679" w14:textId="723BCA74" w:rsidR="00934520" w:rsidRDefault="00934520" w:rsidP="00457F33">
      <w:pPr>
        <w:spacing w:after="12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w:t>
      </w:r>
    </w:p>
    <w:p w14:paraId="4E2F2F3B" w14:textId="75867ACE" w:rsidR="000E0D23" w:rsidRDefault="00934520" w:rsidP="005A5EDE">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E0D23">
        <w:rPr>
          <w:rFonts w:ascii="Arial" w:hAnsi="Arial" w:cs="Arial"/>
          <w:sz w:val="24"/>
          <w:szCs w:val="24"/>
        </w:rPr>
        <w:t>Eileen White</w:t>
      </w:r>
    </w:p>
    <w:p w14:paraId="5C9363FA" w14:textId="33C95784" w:rsidR="00934520" w:rsidRDefault="00934520" w:rsidP="000E0D23">
      <w:pPr>
        <w:spacing w:after="120" w:line="240" w:lineRule="auto"/>
        <w:ind w:left="5040" w:firstLine="720"/>
        <w:rPr>
          <w:rFonts w:ascii="Arial" w:hAnsi="Arial" w:cs="Arial"/>
          <w:sz w:val="24"/>
          <w:szCs w:val="24"/>
        </w:rPr>
      </w:pPr>
      <w:r>
        <w:rPr>
          <w:rFonts w:ascii="Arial" w:hAnsi="Arial" w:cs="Arial"/>
          <w:sz w:val="24"/>
          <w:szCs w:val="24"/>
        </w:rPr>
        <w:t>Executive Officer</w:t>
      </w:r>
    </w:p>
    <w:p w14:paraId="2031DB0B" w14:textId="77777777" w:rsidR="003500F9" w:rsidRDefault="003500F9" w:rsidP="00457F33">
      <w:pPr>
        <w:spacing w:after="120" w:line="240" w:lineRule="auto"/>
        <w:rPr>
          <w:rFonts w:ascii="Arial" w:hAnsi="Arial" w:cs="Arial"/>
          <w:sz w:val="24"/>
          <w:szCs w:val="24"/>
        </w:rPr>
      </w:pPr>
    </w:p>
    <w:p w14:paraId="7663FBEF" w14:textId="77777777" w:rsidR="00274F3D" w:rsidRDefault="00934520" w:rsidP="00543807">
      <w:pPr>
        <w:spacing w:after="120" w:line="240" w:lineRule="auto"/>
        <w:rPr>
          <w:rFonts w:ascii="Arial" w:hAnsi="Arial" w:cs="Arial"/>
          <w:sz w:val="24"/>
          <w:szCs w:val="24"/>
        </w:rPr>
        <w:sectPr w:rsidR="00274F3D" w:rsidSect="00D6128D">
          <w:footerReference w:type="default" r:id="rId18"/>
          <w:headerReference w:type="first" r:id="rId19"/>
          <w:footerReference w:type="first" r:id="rId20"/>
          <w:footnotePr>
            <w:numFmt w:val="lowerLetter"/>
          </w:footnotePr>
          <w:pgSz w:w="12240" w:h="15840"/>
          <w:pgMar w:top="1440" w:right="1440" w:bottom="1440" w:left="1440" w:header="720" w:footer="720" w:gutter="0"/>
          <w:cols w:space="720"/>
          <w:titlePg/>
          <w:docGrid w:linePitch="360"/>
        </w:sectPr>
      </w:pPr>
      <w:r>
        <w:rPr>
          <w:rFonts w:ascii="Arial" w:hAnsi="Arial" w:cs="Arial"/>
          <w:sz w:val="24"/>
          <w:szCs w:val="24"/>
        </w:rPr>
        <w:t>A</w:t>
      </w:r>
      <w:r w:rsidR="001A6D1C">
        <w:rPr>
          <w:rFonts w:ascii="Arial" w:hAnsi="Arial" w:cs="Arial"/>
          <w:sz w:val="24"/>
          <w:szCs w:val="24"/>
        </w:rPr>
        <w:t>ttachment</w:t>
      </w:r>
      <w:r>
        <w:rPr>
          <w:rFonts w:ascii="Arial" w:hAnsi="Arial" w:cs="Arial"/>
          <w:sz w:val="24"/>
          <w:szCs w:val="24"/>
        </w:rPr>
        <w:t xml:space="preserve"> I</w:t>
      </w:r>
      <w:r w:rsidR="00C03338">
        <w:rPr>
          <w:rFonts w:ascii="Arial" w:hAnsi="Arial" w:cs="Arial"/>
          <w:sz w:val="24"/>
          <w:szCs w:val="24"/>
        </w:rPr>
        <w:t xml:space="preserve"> – </w:t>
      </w:r>
      <w:r w:rsidR="00543807">
        <w:rPr>
          <w:rFonts w:ascii="Arial" w:hAnsi="Arial" w:cs="Arial"/>
          <w:sz w:val="24"/>
          <w:szCs w:val="24"/>
        </w:rPr>
        <w:t>Fact Sheet</w:t>
      </w:r>
    </w:p>
    <w:p w14:paraId="7A4A2BE5" w14:textId="6E1E8A77" w:rsidR="00447DEC" w:rsidRPr="004028B7" w:rsidRDefault="004028B7" w:rsidP="00132FA8">
      <w:pPr>
        <w:pStyle w:val="Heading4"/>
        <w:spacing w:after="120"/>
        <w:jc w:val="left"/>
        <w:rPr>
          <w:b w:val="0"/>
          <w:bCs w:val="0"/>
          <w:sz w:val="24"/>
          <w:szCs w:val="24"/>
        </w:rPr>
      </w:pPr>
      <w:bookmarkStart w:id="5" w:name="ATTACHMENT_I"/>
      <w:bookmarkEnd w:id="5"/>
      <w:r w:rsidRPr="00432518">
        <w:rPr>
          <w:sz w:val="24"/>
          <w:szCs w:val="24"/>
        </w:rPr>
        <w:lastRenderedPageBreak/>
        <w:t>ATTACHMENT I – FACT SHEET</w:t>
      </w:r>
    </w:p>
    <w:p w14:paraId="4B4CE0F6" w14:textId="6BACF31A" w:rsidR="00B102DA" w:rsidRDefault="004028B7" w:rsidP="00543807">
      <w:pPr>
        <w:spacing w:after="120" w:line="240" w:lineRule="auto"/>
        <w:rPr>
          <w:rFonts w:ascii="Arial" w:hAnsi="Arial" w:cs="Arial"/>
          <w:sz w:val="24"/>
          <w:szCs w:val="24"/>
        </w:rPr>
      </w:pPr>
      <w:r>
        <w:rPr>
          <w:rFonts w:ascii="Arial" w:hAnsi="Arial" w:cs="Arial"/>
          <w:sz w:val="24"/>
          <w:szCs w:val="24"/>
        </w:rPr>
        <w:t xml:space="preserve">This Fact Sheet describes the </w:t>
      </w:r>
      <w:r w:rsidR="00995B7A">
        <w:rPr>
          <w:rFonts w:ascii="Arial" w:hAnsi="Arial" w:cs="Arial"/>
          <w:sz w:val="24"/>
          <w:szCs w:val="24"/>
        </w:rPr>
        <w:t xml:space="preserve">additional </w:t>
      </w:r>
      <w:r>
        <w:rPr>
          <w:rFonts w:ascii="Arial" w:hAnsi="Arial" w:cs="Arial"/>
          <w:sz w:val="24"/>
          <w:szCs w:val="24"/>
        </w:rPr>
        <w:t xml:space="preserve">rationale </w:t>
      </w:r>
      <w:r w:rsidR="004C1A76">
        <w:rPr>
          <w:rFonts w:ascii="Arial" w:hAnsi="Arial" w:cs="Arial"/>
          <w:sz w:val="24"/>
          <w:szCs w:val="24"/>
        </w:rPr>
        <w:t xml:space="preserve">and </w:t>
      </w:r>
      <w:r>
        <w:rPr>
          <w:rFonts w:ascii="Arial" w:hAnsi="Arial" w:cs="Arial"/>
          <w:sz w:val="24"/>
          <w:szCs w:val="24"/>
        </w:rPr>
        <w:t>basis for this Order’s requirements</w:t>
      </w:r>
      <w:r w:rsidR="009A4BC7">
        <w:rPr>
          <w:rFonts w:ascii="Arial" w:hAnsi="Arial" w:cs="Arial"/>
          <w:sz w:val="24"/>
          <w:szCs w:val="24"/>
        </w:rPr>
        <w:t xml:space="preserve"> </w:t>
      </w:r>
      <w:r w:rsidR="00515A14">
        <w:rPr>
          <w:rFonts w:ascii="Arial" w:hAnsi="Arial" w:cs="Arial"/>
          <w:sz w:val="24"/>
          <w:szCs w:val="24"/>
        </w:rPr>
        <w:t>beyond thos</w:t>
      </w:r>
      <w:r w:rsidR="007C403D">
        <w:rPr>
          <w:rFonts w:ascii="Arial" w:hAnsi="Arial" w:cs="Arial"/>
          <w:sz w:val="24"/>
          <w:szCs w:val="24"/>
        </w:rPr>
        <w:t xml:space="preserve">e set forth in </w:t>
      </w:r>
      <w:r w:rsidR="00BA4AEC">
        <w:rPr>
          <w:rFonts w:ascii="Arial" w:hAnsi="Arial" w:cs="Arial"/>
          <w:sz w:val="24"/>
          <w:szCs w:val="24"/>
        </w:rPr>
        <w:t xml:space="preserve">the Fact Sheet </w:t>
      </w:r>
      <w:r w:rsidR="00BB40FC">
        <w:rPr>
          <w:rFonts w:ascii="Arial" w:hAnsi="Arial" w:cs="Arial"/>
          <w:sz w:val="24"/>
          <w:szCs w:val="24"/>
        </w:rPr>
        <w:t xml:space="preserve">for the </w:t>
      </w:r>
      <w:r w:rsidR="0034240E" w:rsidRPr="0034240E">
        <w:rPr>
          <w:rFonts w:ascii="Arial" w:hAnsi="Arial" w:cs="Arial"/>
          <w:sz w:val="24"/>
          <w:szCs w:val="24"/>
        </w:rPr>
        <w:t xml:space="preserve">San Francisco Bay Municipal Regional Stormwater Permit (MRP or Permit) </w:t>
      </w:r>
      <w:r w:rsidR="00BB40FC">
        <w:rPr>
          <w:rFonts w:ascii="Arial" w:hAnsi="Arial" w:cs="Arial"/>
          <w:sz w:val="24"/>
          <w:szCs w:val="24"/>
        </w:rPr>
        <w:t>(</w:t>
      </w:r>
      <w:r w:rsidR="00FF6690" w:rsidRPr="00FF6690">
        <w:rPr>
          <w:rFonts w:ascii="Arial" w:hAnsi="Arial" w:cs="Arial"/>
          <w:sz w:val="24"/>
          <w:szCs w:val="24"/>
        </w:rPr>
        <w:t>Order No. R2-2022-0018</w:t>
      </w:r>
      <w:r w:rsidR="00391EE4">
        <w:rPr>
          <w:rFonts w:ascii="Arial" w:hAnsi="Arial" w:cs="Arial"/>
          <w:sz w:val="24"/>
          <w:szCs w:val="24"/>
        </w:rPr>
        <w:t>,</w:t>
      </w:r>
      <w:r w:rsidR="00BB40FC">
        <w:rPr>
          <w:rFonts w:ascii="Arial" w:hAnsi="Arial" w:cs="Arial"/>
          <w:sz w:val="24"/>
          <w:szCs w:val="24"/>
        </w:rPr>
        <w:t xml:space="preserve"> </w:t>
      </w:r>
      <w:r w:rsidR="00032A1F" w:rsidRPr="00032A1F">
        <w:rPr>
          <w:rFonts w:ascii="Arial" w:hAnsi="Arial" w:cs="Arial"/>
          <w:sz w:val="24"/>
          <w:szCs w:val="24"/>
        </w:rPr>
        <w:t>NPDES Permit No. CAS612008</w:t>
      </w:r>
      <w:r w:rsidR="00BB40FC">
        <w:rPr>
          <w:rFonts w:ascii="Arial" w:hAnsi="Arial" w:cs="Arial"/>
          <w:sz w:val="24"/>
          <w:szCs w:val="24"/>
        </w:rPr>
        <w:t>)</w:t>
      </w:r>
      <w:r>
        <w:rPr>
          <w:rFonts w:ascii="Arial" w:hAnsi="Arial" w:cs="Arial"/>
          <w:sz w:val="24"/>
          <w:szCs w:val="24"/>
        </w:rPr>
        <w:t>.</w:t>
      </w:r>
      <w:r w:rsidR="002E15D0">
        <w:rPr>
          <w:rFonts w:ascii="Arial" w:hAnsi="Arial" w:cs="Arial"/>
          <w:sz w:val="24"/>
          <w:szCs w:val="24"/>
        </w:rPr>
        <w:t xml:space="preserve"> </w:t>
      </w:r>
    </w:p>
    <w:p w14:paraId="7F0AE7B9" w14:textId="31382234" w:rsidR="007E6696" w:rsidRDefault="007E6696" w:rsidP="00403046">
      <w:pPr>
        <w:pStyle w:val="Heading5"/>
        <w:rPr>
          <w:b w:val="0"/>
          <w:bCs w:val="0"/>
        </w:rPr>
      </w:pPr>
      <w:r w:rsidRPr="00403046">
        <w:t>Background</w:t>
      </w:r>
      <w:r w:rsidR="00490F7E">
        <w:t xml:space="preserve"> </w:t>
      </w:r>
    </w:p>
    <w:p w14:paraId="15D37E58" w14:textId="0F72B976" w:rsidR="007E6696" w:rsidRPr="007119D2" w:rsidRDefault="00C67513" w:rsidP="002E5F05">
      <w:pPr>
        <w:spacing w:after="120" w:line="240" w:lineRule="auto"/>
        <w:rPr>
          <w:rFonts w:ascii="Arial" w:hAnsi="Arial" w:cs="Arial"/>
          <w:sz w:val="24"/>
          <w:szCs w:val="24"/>
        </w:rPr>
      </w:pPr>
      <w:r>
        <w:rPr>
          <w:rFonts w:ascii="Arial" w:hAnsi="Arial" w:cs="Arial"/>
          <w:sz w:val="24"/>
          <w:szCs w:val="24"/>
        </w:rPr>
        <w:t xml:space="preserve">The </w:t>
      </w:r>
      <w:r w:rsidR="004E18F2">
        <w:rPr>
          <w:rFonts w:ascii="Arial" w:hAnsi="Arial" w:cs="Arial"/>
          <w:sz w:val="24"/>
          <w:szCs w:val="24"/>
        </w:rPr>
        <w:t xml:space="preserve">Water Board adopted the </w:t>
      </w:r>
      <w:r w:rsidR="0039670C" w:rsidRPr="0039670C">
        <w:rPr>
          <w:rFonts w:ascii="Arial" w:hAnsi="Arial" w:cs="Arial"/>
          <w:sz w:val="24"/>
          <w:szCs w:val="24"/>
        </w:rPr>
        <w:t>Permit</w:t>
      </w:r>
      <w:r>
        <w:rPr>
          <w:rFonts w:ascii="Arial" w:hAnsi="Arial" w:cs="Arial"/>
          <w:sz w:val="24"/>
          <w:szCs w:val="24"/>
        </w:rPr>
        <w:t xml:space="preserve"> </w:t>
      </w:r>
      <w:r w:rsidR="0039670C" w:rsidRPr="0039670C">
        <w:rPr>
          <w:rFonts w:ascii="Arial" w:hAnsi="Arial" w:cs="Arial"/>
          <w:sz w:val="24"/>
          <w:szCs w:val="24"/>
        </w:rPr>
        <w:t>at a public hearing on May 11, 2022</w:t>
      </w:r>
      <w:r w:rsidR="004E18F2">
        <w:rPr>
          <w:rFonts w:ascii="Arial" w:hAnsi="Arial" w:cs="Arial"/>
          <w:sz w:val="24"/>
          <w:szCs w:val="24"/>
        </w:rPr>
        <w:t>. The Permit</w:t>
      </w:r>
      <w:r w:rsidR="003E7A57">
        <w:rPr>
          <w:rFonts w:ascii="Arial" w:hAnsi="Arial" w:cs="Arial"/>
          <w:sz w:val="24"/>
          <w:szCs w:val="24"/>
        </w:rPr>
        <w:t xml:space="preserve"> regulates </w:t>
      </w:r>
      <w:r w:rsidR="0039670C" w:rsidRPr="0039670C">
        <w:rPr>
          <w:rFonts w:ascii="Arial" w:hAnsi="Arial" w:cs="Arial"/>
          <w:sz w:val="24"/>
          <w:szCs w:val="24"/>
        </w:rPr>
        <w:t>municipal stormwater discharges</w:t>
      </w:r>
      <w:r>
        <w:rPr>
          <w:rFonts w:ascii="Arial" w:hAnsi="Arial" w:cs="Arial"/>
          <w:sz w:val="24"/>
          <w:szCs w:val="24"/>
        </w:rPr>
        <w:t xml:space="preserve"> from those </w:t>
      </w:r>
      <w:r w:rsidR="00BA4193">
        <w:rPr>
          <w:rFonts w:ascii="Arial" w:hAnsi="Arial" w:cs="Arial"/>
          <w:sz w:val="24"/>
          <w:szCs w:val="24"/>
        </w:rPr>
        <w:t>dischargers (Permittees) lis</w:t>
      </w:r>
      <w:r w:rsidR="005F48EE">
        <w:rPr>
          <w:rFonts w:ascii="Arial" w:hAnsi="Arial" w:cs="Arial"/>
          <w:sz w:val="24"/>
          <w:szCs w:val="24"/>
        </w:rPr>
        <w:t>ted on page one of this Orde</w:t>
      </w:r>
      <w:r w:rsidR="004A312B">
        <w:rPr>
          <w:rFonts w:ascii="Arial" w:hAnsi="Arial" w:cs="Arial"/>
          <w:sz w:val="24"/>
          <w:szCs w:val="24"/>
        </w:rPr>
        <w:t>r and encompass</w:t>
      </w:r>
      <w:r w:rsidR="00060FEF">
        <w:rPr>
          <w:rFonts w:ascii="Arial" w:hAnsi="Arial" w:cs="Arial"/>
          <w:sz w:val="24"/>
          <w:szCs w:val="24"/>
        </w:rPr>
        <w:t>es</w:t>
      </w:r>
      <w:r w:rsidR="004A312B">
        <w:rPr>
          <w:rFonts w:ascii="Arial" w:hAnsi="Arial" w:cs="Arial"/>
          <w:sz w:val="24"/>
          <w:szCs w:val="24"/>
        </w:rPr>
        <w:t xml:space="preserve"> </w:t>
      </w:r>
      <w:r w:rsidR="00EC0CF5">
        <w:rPr>
          <w:rFonts w:ascii="Arial" w:hAnsi="Arial" w:cs="Arial"/>
          <w:sz w:val="24"/>
          <w:szCs w:val="24"/>
        </w:rPr>
        <w:t>Alameda, Contra Costa,</w:t>
      </w:r>
      <w:r w:rsidR="004A312B">
        <w:rPr>
          <w:rFonts w:ascii="Arial" w:hAnsi="Arial" w:cs="Arial"/>
          <w:sz w:val="24"/>
          <w:szCs w:val="24"/>
        </w:rPr>
        <w:t xml:space="preserve"> San </w:t>
      </w:r>
      <w:r w:rsidR="00EC0CF5">
        <w:rPr>
          <w:rFonts w:ascii="Arial" w:hAnsi="Arial" w:cs="Arial"/>
          <w:sz w:val="24"/>
          <w:szCs w:val="24"/>
        </w:rPr>
        <w:t>Mateo</w:t>
      </w:r>
      <w:r w:rsidR="00C941FE">
        <w:rPr>
          <w:rFonts w:ascii="Arial" w:hAnsi="Arial" w:cs="Arial"/>
          <w:sz w:val="24"/>
          <w:szCs w:val="24"/>
        </w:rPr>
        <w:t>, Santa Clara, and Solano</w:t>
      </w:r>
      <w:r w:rsidR="004A312B">
        <w:rPr>
          <w:rFonts w:ascii="Arial" w:hAnsi="Arial" w:cs="Arial"/>
          <w:sz w:val="24"/>
          <w:szCs w:val="24"/>
        </w:rPr>
        <w:t xml:space="preserve"> counties in the San Francisco Bay region</w:t>
      </w:r>
      <w:r w:rsidR="005F48EE">
        <w:rPr>
          <w:rFonts w:ascii="Arial" w:hAnsi="Arial" w:cs="Arial"/>
          <w:sz w:val="24"/>
          <w:szCs w:val="24"/>
        </w:rPr>
        <w:t xml:space="preserve">. </w:t>
      </w:r>
      <w:r w:rsidR="00BC4D25">
        <w:rPr>
          <w:rFonts w:ascii="Arial" w:hAnsi="Arial" w:cs="Arial"/>
          <w:sz w:val="24"/>
          <w:szCs w:val="24"/>
        </w:rPr>
        <w:t xml:space="preserve">In adopting the Permit, the Water Board asked staff to </w:t>
      </w:r>
      <w:r w:rsidR="00F06F7A">
        <w:rPr>
          <w:rFonts w:ascii="Arial" w:hAnsi="Arial" w:cs="Arial"/>
          <w:sz w:val="24"/>
          <w:szCs w:val="24"/>
        </w:rPr>
        <w:t>report</w:t>
      </w:r>
      <w:r w:rsidR="0096340C">
        <w:rPr>
          <w:rFonts w:ascii="Arial" w:hAnsi="Arial" w:cs="Arial"/>
          <w:sz w:val="24"/>
          <w:szCs w:val="24"/>
        </w:rPr>
        <w:t xml:space="preserve"> back on certain </w:t>
      </w:r>
      <w:r w:rsidR="00605BBD">
        <w:rPr>
          <w:rFonts w:ascii="Arial" w:hAnsi="Arial" w:cs="Arial"/>
          <w:sz w:val="24"/>
          <w:szCs w:val="24"/>
        </w:rPr>
        <w:t xml:space="preserve">Permit </w:t>
      </w:r>
      <w:r w:rsidR="0096340C">
        <w:rPr>
          <w:rFonts w:ascii="Arial" w:hAnsi="Arial" w:cs="Arial"/>
          <w:sz w:val="24"/>
          <w:szCs w:val="24"/>
        </w:rPr>
        <w:t>topics</w:t>
      </w:r>
      <w:r w:rsidR="006571EF">
        <w:rPr>
          <w:rFonts w:ascii="Arial" w:hAnsi="Arial" w:cs="Arial"/>
          <w:sz w:val="24"/>
          <w:szCs w:val="24"/>
        </w:rPr>
        <w:t xml:space="preserve">, </w:t>
      </w:r>
      <w:r w:rsidR="004A1BA4">
        <w:rPr>
          <w:rFonts w:ascii="Arial" w:hAnsi="Arial" w:cs="Arial"/>
          <w:sz w:val="24"/>
          <w:szCs w:val="24"/>
        </w:rPr>
        <w:t xml:space="preserve">such as </w:t>
      </w:r>
      <w:r w:rsidR="00433523" w:rsidRPr="00433523">
        <w:rPr>
          <w:rFonts w:ascii="Arial" w:hAnsi="Arial" w:cs="Arial"/>
          <w:sz w:val="24"/>
          <w:szCs w:val="24"/>
        </w:rPr>
        <w:t xml:space="preserve">the inclusion of low impact development (LID) or alternative treatment measures </w:t>
      </w:r>
      <w:r w:rsidR="00505CE3">
        <w:rPr>
          <w:rFonts w:ascii="Arial" w:hAnsi="Arial" w:cs="Arial"/>
          <w:sz w:val="24"/>
          <w:szCs w:val="24"/>
        </w:rPr>
        <w:t>in R</w:t>
      </w:r>
      <w:r w:rsidR="00535529">
        <w:rPr>
          <w:rFonts w:ascii="Arial" w:hAnsi="Arial" w:cs="Arial"/>
          <w:sz w:val="24"/>
          <w:szCs w:val="24"/>
        </w:rPr>
        <w:t xml:space="preserve">egulated Projects, as that term is defined in the Permit, </w:t>
      </w:r>
      <w:r w:rsidR="009A5DB1">
        <w:rPr>
          <w:rFonts w:ascii="Arial" w:hAnsi="Arial" w:cs="Arial"/>
          <w:sz w:val="24"/>
          <w:szCs w:val="24"/>
        </w:rPr>
        <w:t xml:space="preserve">and </w:t>
      </w:r>
      <w:r w:rsidR="0072114D">
        <w:rPr>
          <w:rFonts w:ascii="Arial" w:hAnsi="Arial" w:cs="Arial"/>
          <w:sz w:val="24"/>
          <w:szCs w:val="24"/>
        </w:rPr>
        <w:t xml:space="preserve">a </w:t>
      </w:r>
      <w:r w:rsidR="003D091B" w:rsidRPr="003D091B">
        <w:rPr>
          <w:rFonts w:ascii="Arial" w:hAnsi="Arial" w:cs="Arial"/>
          <w:sz w:val="24"/>
          <w:szCs w:val="24"/>
        </w:rPr>
        <w:t xml:space="preserve">review </w:t>
      </w:r>
      <w:r w:rsidR="006571EF">
        <w:rPr>
          <w:rFonts w:ascii="Arial" w:hAnsi="Arial" w:cs="Arial"/>
          <w:sz w:val="24"/>
          <w:szCs w:val="24"/>
        </w:rPr>
        <w:t xml:space="preserve">of </w:t>
      </w:r>
      <w:r w:rsidR="003D091B" w:rsidRPr="003D091B">
        <w:rPr>
          <w:rFonts w:ascii="Arial" w:hAnsi="Arial" w:cs="Arial"/>
          <w:sz w:val="24"/>
          <w:szCs w:val="24"/>
        </w:rPr>
        <w:t xml:space="preserve">Provision C.3.e.ii.(5) Category C Special Project (Affordable Housing) criteria and </w:t>
      </w:r>
      <w:r w:rsidR="0072114D">
        <w:rPr>
          <w:rFonts w:ascii="Arial" w:hAnsi="Arial" w:cs="Arial"/>
          <w:sz w:val="24"/>
          <w:szCs w:val="24"/>
        </w:rPr>
        <w:t xml:space="preserve">its </w:t>
      </w:r>
      <w:r w:rsidR="003D091B" w:rsidRPr="003D091B">
        <w:rPr>
          <w:rFonts w:ascii="Arial" w:hAnsi="Arial" w:cs="Arial"/>
          <w:sz w:val="24"/>
          <w:szCs w:val="24"/>
        </w:rPr>
        <w:t>potential impacts on housing costs.</w:t>
      </w:r>
      <w:r w:rsidR="00193BC9">
        <w:rPr>
          <w:rFonts w:ascii="Arial" w:hAnsi="Arial" w:cs="Arial"/>
          <w:sz w:val="24"/>
          <w:szCs w:val="24"/>
        </w:rPr>
        <w:t xml:space="preserve"> </w:t>
      </w:r>
      <w:r w:rsidR="006D3667">
        <w:rPr>
          <w:rFonts w:ascii="Arial" w:hAnsi="Arial" w:cs="Arial"/>
          <w:sz w:val="24"/>
          <w:szCs w:val="24"/>
        </w:rPr>
        <w:t>In response, t</w:t>
      </w:r>
      <w:r w:rsidR="00193BC9">
        <w:rPr>
          <w:rFonts w:ascii="Arial" w:hAnsi="Arial" w:cs="Arial"/>
          <w:sz w:val="24"/>
          <w:szCs w:val="24"/>
        </w:rPr>
        <w:t xml:space="preserve">he Water Board staff </w:t>
      </w:r>
      <w:r w:rsidR="006D3667">
        <w:rPr>
          <w:rFonts w:ascii="Arial" w:hAnsi="Arial" w:cs="Arial"/>
          <w:sz w:val="24"/>
          <w:szCs w:val="24"/>
        </w:rPr>
        <w:t xml:space="preserve">convened several workgroups on these and other topics. Through these workgroups, </w:t>
      </w:r>
      <w:r w:rsidR="00297F4A">
        <w:rPr>
          <w:rFonts w:ascii="Arial" w:hAnsi="Arial" w:cs="Arial"/>
          <w:sz w:val="24"/>
          <w:szCs w:val="24"/>
        </w:rPr>
        <w:t xml:space="preserve">the Water Board received and reviewed </w:t>
      </w:r>
      <w:r w:rsidR="006D3667">
        <w:rPr>
          <w:rFonts w:ascii="Arial" w:hAnsi="Arial" w:cs="Arial"/>
          <w:sz w:val="24"/>
          <w:szCs w:val="24"/>
        </w:rPr>
        <w:t xml:space="preserve">new information </w:t>
      </w:r>
      <w:r w:rsidR="00CF1628">
        <w:rPr>
          <w:rFonts w:ascii="Arial" w:hAnsi="Arial" w:cs="Arial"/>
          <w:sz w:val="24"/>
          <w:szCs w:val="24"/>
        </w:rPr>
        <w:t xml:space="preserve">related to alternative treatment systems and Category C Special Projects </w:t>
      </w:r>
      <w:r w:rsidR="009C20EE">
        <w:rPr>
          <w:rFonts w:ascii="Arial" w:hAnsi="Arial" w:cs="Arial"/>
          <w:sz w:val="24"/>
          <w:szCs w:val="24"/>
        </w:rPr>
        <w:t xml:space="preserve">that gave </w:t>
      </w:r>
      <w:r w:rsidR="006D3667">
        <w:rPr>
          <w:rFonts w:ascii="Arial" w:hAnsi="Arial" w:cs="Arial"/>
          <w:sz w:val="24"/>
          <w:szCs w:val="24"/>
        </w:rPr>
        <w:t xml:space="preserve">cause to modify the Permit. </w:t>
      </w:r>
    </w:p>
    <w:p w14:paraId="2281C3F2" w14:textId="56664F13" w:rsidR="003A17AC" w:rsidRPr="00994D20" w:rsidRDefault="009F451A" w:rsidP="003A17AC">
      <w:pPr>
        <w:spacing w:after="120" w:line="240" w:lineRule="auto"/>
        <w:rPr>
          <w:rFonts w:ascii="Arial" w:hAnsi="Arial" w:cs="Arial"/>
          <w:sz w:val="24"/>
          <w:szCs w:val="24"/>
        </w:rPr>
      </w:pPr>
      <w:r>
        <w:rPr>
          <w:rFonts w:ascii="Arial" w:hAnsi="Arial" w:cs="Arial"/>
          <w:sz w:val="24"/>
          <w:szCs w:val="24"/>
        </w:rPr>
        <w:t>Specifically, t</w:t>
      </w:r>
      <w:r w:rsidR="00CF0BA4">
        <w:rPr>
          <w:rFonts w:ascii="Arial" w:hAnsi="Arial" w:cs="Arial"/>
          <w:sz w:val="24"/>
          <w:szCs w:val="24"/>
        </w:rPr>
        <w:t xml:space="preserve">his Order amends </w:t>
      </w:r>
      <w:r w:rsidR="00032A1F">
        <w:rPr>
          <w:rFonts w:ascii="Arial" w:hAnsi="Arial" w:cs="Arial"/>
          <w:sz w:val="24"/>
          <w:szCs w:val="24"/>
        </w:rPr>
        <w:t>the</w:t>
      </w:r>
      <w:r w:rsidR="00356AD8">
        <w:rPr>
          <w:rFonts w:ascii="Arial" w:hAnsi="Arial" w:cs="Arial"/>
          <w:sz w:val="24"/>
          <w:szCs w:val="24"/>
        </w:rPr>
        <w:t xml:space="preserve"> </w:t>
      </w:r>
      <w:r w:rsidR="00ED40D0">
        <w:rPr>
          <w:rFonts w:ascii="Arial" w:hAnsi="Arial" w:cs="Arial"/>
          <w:sz w:val="24"/>
          <w:szCs w:val="24"/>
        </w:rPr>
        <w:t>Permit</w:t>
      </w:r>
      <w:r w:rsidR="00CF0BA4">
        <w:rPr>
          <w:rFonts w:ascii="Arial" w:hAnsi="Arial" w:cs="Arial"/>
          <w:sz w:val="24"/>
          <w:szCs w:val="24"/>
        </w:rPr>
        <w:t xml:space="preserve"> </w:t>
      </w:r>
      <w:r w:rsidR="006031FB">
        <w:rPr>
          <w:rFonts w:ascii="Arial" w:hAnsi="Arial" w:cs="Arial"/>
          <w:sz w:val="24"/>
          <w:szCs w:val="24"/>
        </w:rPr>
        <w:t>by</w:t>
      </w:r>
      <w:r w:rsidR="003A1D82">
        <w:rPr>
          <w:rFonts w:ascii="Arial" w:hAnsi="Arial" w:cs="Arial"/>
          <w:sz w:val="24"/>
          <w:szCs w:val="24"/>
        </w:rPr>
        <w:t xml:space="preserve"> </w:t>
      </w:r>
      <w:r w:rsidR="003A17AC" w:rsidRPr="00994D20">
        <w:rPr>
          <w:rFonts w:ascii="Arial" w:hAnsi="Arial" w:cs="Arial"/>
          <w:sz w:val="24"/>
          <w:szCs w:val="24"/>
        </w:rPr>
        <w:t>add</w:t>
      </w:r>
      <w:r w:rsidR="006031FB">
        <w:rPr>
          <w:rFonts w:ascii="Arial" w:hAnsi="Arial" w:cs="Arial"/>
          <w:sz w:val="24"/>
          <w:szCs w:val="24"/>
        </w:rPr>
        <w:t>ing</w:t>
      </w:r>
      <w:r w:rsidR="003A17AC" w:rsidRPr="00994D20">
        <w:rPr>
          <w:rFonts w:ascii="Arial" w:hAnsi="Arial" w:cs="Arial"/>
          <w:sz w:val="24"/>
          <w:szCs w:val="24"/>
        </w:rPr>
        <w:t xml:space="preserve"> Provision C.3.c.i.(2)(c)(iii) Alternative Treatment Systems to the Permit to allow certain Regulated Projects </w:t>
      </w:r>
      <w:r w:rsidR="003A17AC" w:rsidRPr="00994D20" w:rsidDel="00F54A84">
        <w:rPr>
          <w:rFonts w:ascii="Arial" w:hAnsi="Arial" w:cs="Arial"/>
          <w:sz w:val="24"/>
          <w:szCs w:val="24"/>
        </w:rPr>
        <w:t xml:space="preserve">to </w:t>
      </w:r>
      <w:r w:rsidR="003A17AC" w:rsidRPr="00994D20">
        <w:rPr>
          <w:rFonts w:ascii="Arial" w:hAnsi="Arial" w:cs="Arial"/>
          <w:sz w:val="24"/>
          <w:szCs w:val="24"/>
        </w:rPr>
        <w:t xml:space="preserve">treat runoff using an alternative treatment system. Those Regulated Projects for which it is technically infeasible to treat a portion of the Provision C.3.d design volume and/or flow via LID may use alternative treatment systems for that portion, </w:t>
      </w:r>
      <w:proofErr w:type="gramStart"/>
      <w:r w:rsidR="003A17AC" w:rsidRPr="00994D20">
        <w:rPr>
          <w:rFonts w:ascii="Arial" w:hAnsi="Arial" w:cs="Arial"/>
          <w:sz w:val="24"/>
          <w:szCs w:val="24"/>
        </w:rPr>
        <w:t>as long as</w:t>
      </w:r>
      <w:proofErr w:type="gramEnd"/>
      <w:r w:rsidR="003A17AC" w:rsidRPr="00994D20">
        <w:rPr>
          <w:rFonts w:ascii="Arial" w:hAnsi="Arial" w:cs="Arial"/>
          <w:sz w:val="24"/>
          <w:szCs w:val="24"/>
        </w:rPr>
        <w:t xml:space="preserve"> those systems meet the </w:t>
      </w:r>
      <w:r w:rsidR="00154DBC">
        <w:rPr>
          <w:rFonts w:ascii="Arial" w:hAnsi="Arial" w:cs="Arial"/>
          <w:sz w:val="24"/>
          <w:szCs w:val="24"/>
        </w:rPr>
        <w:t xml:space="preserve">alternative treatment system </w:t>
      </w:r>
      <w:r w:rsidR="003A17AC" w:rsidRPr="00994D20">
        <w:rPr>
          <w:rFonts w:ascii="Arial" w:hAnsi="Arial" w:cs="Arial"/>
          <w:sz w:val="24"/>
          <w:szCs w:val="24"/>
        </w:rPr>
        <w:t xml:space="preserve">requirements of </w:t>
      </w:r>
      <w:r w:rsidR="00913FB2" w:rsidRPr="00913FB2">
        <w:rPr>
          <w:rFonts w:ascii="Arial" w:hAnsi="Arial" w:cs="Arial"/>
          <w:sz w:val="24"/>
          <w:szCs w:val="24"/>
        </w:rPr>
        <w:t>Provision C.3.c.i.(2)(c)(iii)</w:t>
      </w:r>
      <w:r w:rsidR="00521E39">
        <w:rPr>
          <w:rFonts w:ascii="Arial" w:hAnsi="Arial" w:cs="Arial"/>
          <w:sz w:val="24"/>
          <w:szCs w:val="24"/>
        </w:rPr>
        <w:t xml:space="preserve">. </w:t>
      </w:r>
      <w:r w:rsidR="007C35EE">
        <w:rPr>
          <w:rFonts w:ascii="Arial" w:hAnsi="Arial" w:cs="Arial"/>
          <w:sz w:val="24"/>
          <w:szCs w:val="24"/>
        </w:rPr>
        <w:t>Among other requirements, t</w:t>
      </w:r>
      <w:r w:rsidR="00521E39">
        <w:rPr>
          <w:rFonts w:ascii="Arial" w:hAnsi="Arial" w:cs="Arial"/>
          <w:sz w:val="24"/>
          <w:szCs w:val="24"/>
        </w:rPr>
        <w:t xml:space="preserve">his includes </w:t>
      </w:r>
      <w:r w:rsidR="00BA4E2C">
        <w:rPr>
          <w:rFonts w:ascii="Arial" w:hAnsi="Arial" w:cs="Arial"/>
          <w:sz w:val="24"/>
          <w:szCs w:val="24"/>
        </w:rPr>
        <w:t xml:space="preserve">providing a demonstration of technical infeasibility of LID </w:t>
      </w:r>
      <w:r w:rsidR="00697228">
        <w:rPr>
          <w:rFonts w:ascii="Arial" w:hAnsi="Arial" w:cs="Arial"/>
          <w:sz w:val="24"/>
          <w:szCs w:val="24"/>
        </w:rPr>
        <w:t>treatment systems</w:t>
      </w:r>
      <w:r w:rsidR="00682822">
        <w:rPr>
          <w:rFonts w:ascii="Arial" w:hAnsi="Arial" w:cs="Arial"/>
          <w:sz w:val="24"/>
          <w:szCs w:val="24"/>
        </w:rPr>
        <w:t xml:space="preserve"> and</w:t>
      </w:r>
      <w:r w:rsidR="00356334">
        <w:rPr>
          <w:rFonts w:ascii="Arial" w:hAnsi="Arial" w:cs="Arial"/>
          <w:sz w:val="24"/>
          <w:szCs w:val="24"/>
        </w:rPr>
        <w:t xml:space="preserve"> a demonstration of commensurate benefit</w:t>
      </w:r>
      <w:r w:rsidR="009C47AF">
        <w:rPr>
          <w:rFonts w:ascii="Arial" w:hAnsi="Arial" w:cs="Arial"/>
          <w:sz w:val="24"/>
          <w:szCs w:val="24"/>
        </w:rPr>
        <w:t>.</w:t>
      </w:r>
      <w:r w:rsidR="003A17AC" w:rsidRPr="00994D20">
        <w:rPr>
          <w:rFonts w:ascii="Arial" w:hAnsi="Arial" w:cs="Arial"/>
          <w:sz w:val="24"/>
          <w:szCs w:val="24"/>
        </w:rPr>
        <w:t xml:space="preserve"> </w:t>
      </w:r>
      <w:r w:rsidR="009C47AF">
        <w:rPr>
          <w:rFonts w:ascii="Arial" w:hAnsi="Arial" w:cs="Arial"/>
          <w:sz w:val="24"/>
          <w:szCs w:val="24"/>
        </w:rPr>
        <w:t>Commensurate benefit</w:t>
      </w:r>
      <w:r w:rsidR="00682822">
        <w:rPr>
          <w:rFonts w:ascii="Arial" w:hAnsi="Arial" w:cs="Arial"/>
          <w:sz w:val="24"/>
          <w:szCs w:val="24"/>
        </w:rPr>
        <w:t xml:space="preserve"> includes</w:t>
      </w:r>
      <w:r w:rsidR="007C35EE">
        <w:rPr>
          <w:rFonts w:ascii="Arial" w:hAnsi="Arial" w:cs="Arial"/>
          <w:sz w:val="24"/>
          <w:szCs w:val="24"/>
        </w:rPr>
        <w:t xml:space="preserve"> </w:t>
      </w:r>
      <w:r w:rsidR="00582028">
        <w:rPr>
          <w:rFonts w:ascii="Arial" w:hAnsi="Arial" w:cs="Arial"/>
          <w:sz w:val="24"/>
          <w:szCs w:val="24"/>
        </w:rPr>
        <w:t xml:space="preserve">combining </w:t>
      </w:r>
      <w:r w:rsidR="00464F89">
        <w:rPr>
          <w:rFonts w:ascii="Arial" w:hAnsi="Arial" w:cs="Arial"/>
          <w:sz w:val="24"/>
          <w:szCs w:val="24"/>
        </w:rPr>
        <w:t xml:space="preserve">alternative treatment controls </w:t>
      </w:r>
      <w:r w:rsidR="003A17AC" w:rsidRPr="00994D20">
        <w:rPr>
          <w:rFonts w:ascii="Arial" w:hAnsi="Arial" w:cs="Arial"/>
          <w:sz w:val="24"/>
          <w:szCs w:val="24"/>
        </w:rPr>
        <w:t xml:space="preserve">with flow controls so that the </w:t>
      </w:r>
      <w:r w:rsidR="00AD76B6">
        <w:rPr>
          <w:rFonts w:ascii="Arial" w:hAnsi="Arial" w:cs="Arial"/>
          <w:sz w:val="24"/>
          <w:szCs w:val="24"/>
        </w:rPr>
        <w:t>alternative treatment system’s</w:t>
      </w:r>
      <w:r w:rsidR="003A17AC" w:rsidRPr="00994D20">
        <w:rPr>
          <w:rFonts w:ascii="Arial" w:hAnsi="Arial" w:cs="Arial"/>
          <w:sz w:val="24"/>
          <w:szCs w:val="24"/>
        </w:rPr>
        <w:t xml:space="preserve"> water quality benefits </w:t>
      </w:r>
      <w:r w:rsidR="00246DC4">
        <w:rPr>
          <w:rFonts w:ascii="Arial" w:hAnsi="Arial" w:cs="Arial"/>
          <w:sz w:val="24"/>
          <w:szCs w:val="24"/>
        </w:rPr>
        <w:t>(</w:t>
      </w:r>
      <w:r w:rsidR="00F544CA">
        <w:rPr>
          <w:rFonts w:ascii="Arial" w:hAnsi="Arial" w:cs="Arial"/>
          <w:sz w:val="24"/>
          <w:szCs w:val="24"/>
        </w:rPr>
        <w:t>i.e.,</w:t>
      </w:r>
      <w:r w:rsidR="003A17AC" w:rsidRPr="00994D20">
        <w:rPr>
          <w:rFonts w:ascii="Arial" w:hAnsi="Arial" w:cs="Arial"/>
          <w:sz w:val="24"/>
          <w:szCs w:val="24"/>
        </w:rPr>
        <w:t xml:space="preserve"> improvements to runoff quality and hydrologic benefits that benefit downstream water quality</w:t>
      </w:r>
      <w:r w:rsidR="00732619">
        <w:rPr>
          <w:rFonts w:ascii="Arial" w:hAnsi="Arial" w:cs="Arial"/>
          <w:sz w:val="24"/>
          <w:szCs w:val="24"/>
        </w:rPr>
        <w:t>)</w:t>
      </w:r>
      <w:r w:rsidR="003A17AC" w:rsidRPr="00994D20">
        <w:rPr>
          <w:rFonts w:ascii="Arial" w:hAnsi="Arial" w:cs="Arial"/>
          <w:sz w:val="24"/>
          <w:szCs w:val="24"/>
        </w:rPr>
        <w:t xml:space="preserve"> are consistent with those provided by the Permit’s LID standard. To ensure this is the case, the area where alternative treatment systems are allowed is limited to areas where LID’s broader water quality benefits are relatively more limited, and the benefits provided by alternative treatment systems are comparable to LID.</w:t>
      </w:r>
    </w:p>
    <w:p w14:paraId="72280D1F" w14:textId="09090619" w:rsidR="003A17AC" w:rsidRDefault="00EB187A" w:rsidP="00543807">
      <w:pPr>
        <w:spacing w:after="120" w:line="240" w:lineRule="auto"/>
        <w:rPr>
          <w:rFonts w:ascii="Arial" w:hAnsi="Arial" w:cs="Arial"/>
          <w:sz w:val="24"/>
          <w:szCs w:val="24"/>
        </w:rPr>
      </w:pPr>
      <w:r>
        <w:rPr>
          <w:rFonts w:ascii="Arial" w:hAnsi="Arial" w:cs="Arial"/>
          <w:sz w:val="24"/>
          <w:szCs w:val="24"/>
        </w:rPr>
        <w:t xml:space="preserve">This Order </w:t>
      </w:r>
      <w:r w:rsidRPr="007B6633">
        <w:rPr>
          <w:rFonts w:ascii="Arial" w:hAnsi="Arial" w:cs="Arial"/>
          <w:sz w:val="24"/>
          <w:szCs w:val="24"/>
        </w:rPr>
        <w:t xml:space="preserve">also </w:t>
      </w:r>
      <w:r w:rsidR="007B6633" w:rsidRPr="007B6633">
        <w:rPr>
          <w:rFonts w:ascii="Arial" w:hAnsi="Arial" w:cs="Arial"/>
          <w:sz w:val="24"/>
          <w:szCs w:val="24"/>
        </w:rPr>
        <w:t xml:space="preserve">modifies </w:t>
      </w:r>
      <w:r w:rsidR="00F554C3">
        <w:rPr>
          <w:rFonts w:ascii="Arial" w:hAnsi="Arial" w:cs="Arial"/>
          <w:sz w:val="24"/>
          <w:szCs w:val="24"/>
        </w:rPr>
        <w:t xml:space="preserve">Permit </w:t>
      </w:r>
      <w:r w:rsidR="007B6633" w:rsidRPr="007B6633">
        <w:rPr>
          <w:rFonts w:ascii="Arial" w:hAnsi="Arial" w:cs="Arial"/>
          <w:sz w:val="24"/>
          <w:szCs w:val="24"/>
        </w:rPr>
        <w:t>Provision C.3.e.ii.(5) Special Projects: Category C to better align it with how affordable housing projects are planned and built</w:t>
      </w:r>
      <w:r w:rsidR="00EA63FE">
        <w:rPr>
          <w:rFonts w:ascii="Arial" w:hAnsi="Arial" w:cs="Arial"/>
          <w:sz w:val="24"/>
          <w:szCs w:val="24"/>
        </w:rPr>
        <w:t xml:space="preserve"> in the region</w:t>
      </w:r>
      <w:r w:rsidR="007B6633" w:rsidRPr="007B6633">
        <w:rPr>
          <w:rFonts w:ascii="Arial" w:hAnsi="Arial" w:cs="Arial"/>
          <w:sz w:val="24"/>
          <w:szCs w:val="24"/>
        </w:rPr>
        <w:t>. The modification better facilitates the construction of affordable housing that reduces water quality impacts associated with unsheltered homelessness.</w:t>
      </w:r>
    </w:p>
    <w:p w14:paraId="5E35099A" w14:textId="246D8EA9" w:rsidR="00D869E4" w:rsidRPr="00D869E4" w:rsidRDefault="00D869E4" w:rsidP="00403046">
      <w:pPr>
        <w:pStyle w:val="Heading5"/>
        <w:rPr>
          <w:b w:val="0"/>
          <w:bCs w:val="0"/>
        </w:rPr>
      </w:pPr>
      <w:r w:rsidRPr="00BC2289">
        <w:t>Authority to Amend</w:t>
      </w:r>
      <w:r w:rsidRPr="00AC2D0E">
        <w:t xml:space="preserve"> </w:t>
      </w:r>
      <w:r w:rsidR="00FA516A" w:rsidRPr="00AC2D0E">
        <w:t xml:space="preserve">the </w:t>
      </w:r>
      <w:r w:rsidRPr="00AC2D0E">
        <w:t>Permit</w:t>
      </w:r>
    </w:p>
    <w:p w14:paraId="2210D268" w14:textId="22DE1CEE" w:rsidR="00D869E4" w:rsidRDefault="00B20DB2" w:rsidP="00543807">
      <w:pPr>
        <w:spacing w:after="120" w:line="240" w:lineRule="auto"/>
        <w:rPr>
          <w:rFonts w:ascii="Arial" w:hAnsi="Arial" w:cs="Arial"/>
          <w:sz w:val="24"/>
          <w:szCs w:val="24"/>
        </w:rPr>
      </w:pPr>
      <w:r>
        <w:rPr>
          <w:rFonts w:ascii="Arial" w:hAnsi="Arial" w:cs="Arial"/>
          <w:sz w:val="24"/>
          <w:szCs w:val="24"/>
        </w:rPr>
        <w:t>The Water Board may amend the Permit</w:t>
      </w:r>
      <w:r w:rsidR="00BA62F7">
        <w:rPr>
          <w:rFonts w:ascii="Arial" w:hAnsi="Arial" w:cs="Arial"/>
          <w:sz w:val="24"/>
          <w:szCs w:val="24"/>
        </w:rPr>
        <w:t xml:space="preserve"> with good cause pursuant to 40 C.F.R</w:t>
      </w:r>
      <w:r w:rsidR="00A85287">
        <w:rPr>
          <w:rFonts w:ascii="Arial" w:hAnsi="Arial" w:cs="Arial"/>
          <w:sz w:val="24"/>
          <w:szCs w:val="24"/>
        </w:rPr>
        <w:t>.</w:t>
      </w:r>
      <w:r w:rsidR="00BA62F7">
        <w:rPr>
          <w:rFonts w:ascii="Arial" w:hAnsi="Arial" w:cs="Arial"/>
          <w:sz w:val="24"/>
          <w:szCs w:val="24"/>
        </w:rPr>
        <w:t xml:space="preserve"> </w:t>
      </w:r>
      <w:r w:rsidR="0021003D">
        <w:rPr>
          <w:rFonts w:ascii="Arial" w:hAnsi="Arial" w:cs="Arial"/>
          <w:sz w:val="24"/>
          <w:szCs w:val="24"/>
        </w:rPr>
        <w:t>§122.62(a)(2)</w:t>
      </w:r>
      <w:r w:rsidR="00A233AD">
        <w:rPr>
          <w:rFonts w:ascii="Arial" w:hAnsi="Arial" w:cs="Arial"/>
          <w:sz w:val="24"/>
          <w:szCs w:val="24"/>
        </w:rPr>
        <w:t xml:space="preserve">, if it receives new information that was not available at the time of the Permit’s issuance </w:t>
      </w:r>
      <w:r w:rsidR="00905569" w:rsidRPr="00905569">
        <w:rPr>
          <w:rFonts w:ascii="Arial" w:hAnsi="Arial" w:cs="Arial"/>
          <w:sz w:val="24"/>
          <w:szCs w:val="24"/>
        </w:rPr>
        <w:t>(other than revised regulations, guidance, or test methods) and would have justified the application of different permit conditions at the time of issuance</w:t>
      </w:r>
      <w:r w:rsidR="0021003D">
        <w:rPr>
          <w:rFonts w:ascii="Arial" w:hAnsi="Arial" w:cs="Arial"/>
          <w:sz w:val="24"/>
          <w:szCs w:val="24"/>
        </w:rPr>
        <w:t>.</w:t>
      </w:r>
      <w:r w:rsidR="007B1B29">
        <w:rPr>
          <w:rFonts w:ascii="Arial" w:hAnsi="Arial" w:cs="Arial"/>
          <w:sz w:val="24"/>
          <w:szCs w:val="24"/>
        </w:rPr>
        <w:t xml:space="preserve"> </w:t>
      </w:r>
      <w:r w:rsidR="00423273" w:rsidRPr="00B56091">
        <w:rPr>
          <w:rFonts w:ascii="Arial" w:hAnsi="Arial" w:cs="Arial"/>
          <w:sz w:val="24"/>
          <w:szCs w:val="24"/>
        </w:rPr>
        <w:t>After</w:t>
      </w:r>
      <w:r w:rsidR="00B56091" w:rsidRPr="00B56091">
        <w:rPr>
          <w:rFonts w:ascii="Arial" w:hAnsi="Arial" w:cs="Arial"/>
          <w:sz w:val="24"/>
          <w:szCs w:val="24"/>
        </w:rPr>
        <w:t xml:space="preserve"> </w:t>
      </w:r>
      <w:r w:rsidR="00B56091" w:rsidRPr="00B56091">
        <w:rPr>
          <w:rFonts w:ascii="Arial" w:hAnsi="Arial" w:cs="Arial"/>
          <w:sz w:val="24"/>
          <w:szCs w:val="24"/>
        </w:rPr>
        <w:lastRenderedPageBreak/>
        <w:t xml:space="preserve">the Permit’s May 2022 issuance, the Water Board obtained new </w:t>
      </w:r>
      <w:r w:rsidR="002F1186">
        <w:rPr>
          <w:rFonts w:ascii="Arial" w:hAnsi="Arial" w:cs="Arial"/>
          <w:sz w:val="24"/>
          <w:szCs w:val="24"/>
        </w:rPr>
        <w:t>information,</w:t>
      </w:r>
      <w:r w:rsidR="00B56091" w:rsidRPr="00B56091">
        <w:rPr>
          <w:rFonts w:ascii="Arial" w:hAnsi="Arial" w:cs="Arial"/>
          <w:sz w:val="24"/>
          <w:szCs w:val="24"/>
        </w:rPr>
        <w:t xml:space="preserve"> as described below</w:t>
      </w:r>
      <w:r w:rsidR="002F1186">
        <w:rPr>
          <w:rFonts w:ascii="Arial" w:hAnsi="Arial" w:cs="Arial"/>
          <w:sz w:val="24"/>
          <w:szCs w:val="24"/>
        </w:rPr>
        <w:t>,</w:t>
      </w:r>
      <w:r w:rsidR="00B56091">
        <w:rPr>
          <w:rFonts w:ascii="Arial" w:hAnsi="Arial" w:cs="Arial"/>
          <w:sz w:val="24"/>
          <w:szCs w:val="24"/>
        </w:rPr>
        <w:t xml:space="preserve"> </w:t>
      </w:r>
      <w:r w:rsidR="006948BB">
        <w:rPr>
          <w:rFonts w:ascii="Arial" w:hAnsi="Arial" w:cs="Arial"/>
          <w:sz w:val="24"/>
          <w:szCs w:val="24"/>
        </w:rPr>
        <w:t xml:space="preserve">that </w:t>
      </w:r>
      <w:r w:rsidR="00F65589">
        <w:rPr>
          <w:rFonts w:ascii="Arial" w:hAnsi="Arial" w:cs="Arial"/>
          <w:sz w:val="24"/>
          <w:szCs w:val="24"/>
        </w:rPr>
        <w:t xml:space="preserve">would have justified revised Permit conditions if </w:t>
      </w:r>
      <w:r w:rsidR="00FC2DFC">
        <w:rPr>
          <w:rFonts w:ascii="Arial" w:hAnsi="Arial" w:cs="Arial"/>
          <w:sz w:val="24"/>
          <w:szCs w:val="24"/>
        </w:rPr>
        <w:t xml:space="preserve">the information was </w:t>
      </w:r>
      <w:r w:rsidR="00F65589">
        <w:rPr>
          <w:rFonts w:ascii="Arial" w:hAnsi="Arial" w:cs="Arial"/>
          <w:sz w:val="24"/>
          <w:szCs w:val="24"/>
        </w:rPr>
        <w:t xml:space="preserve">available </w:t>
      </w:r>
      <w:r w:rsidR="00E979E2">
        <w:rPr>
          <w:rFonts w:ascii="Arial" w:hAnsi="Arial" w:cs="Arial"/>
          <w:sz w:val="24"/>
          <w:szCs w:val="24"/>
        </w:rPr>
        <w:t>at the time of the Permit’s issuance</w:t>
      </w:r>
      <w:r w:rsidR="00F65589">
        <w:rPr>
          <w:rFonts w:ascii="Arial" w:hAnsi="Arial" w:cs="Arial"/>
          <w:sz w:val="24"/>
          <w:szCs w:val="24"/>
        </w:rPr>
        <w:t xml:space="preserve">. </w:t>
      </w:r>
      <w:r w:rsidR="00363E26">
        <w:rPr>
          <w:rFonts w:ascii="Arial" w:hAnsi="Arial" w:cs="Arial"/>
          <w:sz w:val="24"/>
          <w:szCs w:val="24"/>
        </w:rPr>
        <w:t>T</w:t>
      </w:r>
      <w:r w:rsidR="00CC2190">
        <w:rPr>
          <w:rFonts w:ascii="Arial" w:hAnsi="Arial" w:cs="Arial"/>
          <w:sz w:val="24"/>
          <w:szCs w:val="24"/>
        </w:rPr>
        <w:t xml:space="preserve">he Water Board </w:t>
      </w:r>
      <w:r w:rsidR="00650287" w:rsidRPr="00650287">
        <w:rPr>
          <w:rFonts w:ascii="Arial" w:hAnsi="Arial" w:cs="Arial"/>
          <w:sz w:val="24"/>
          <w:szCs w:val="24"/>
        </w:rPr>
        <w:t xml:space="preserve">developed </w:t>
      </w:r>
      <w:r w:rsidR="00CC2190">
        <w:rPr>
          <w:rFonts w:ascii="Arial" w:hAnsi="Arial" w:cs="Arial"/>
          <w:sz w:val="24"/>
          <w:szCs w:val="24"/>
        </w:rPr>
        <w:t xml:space="preserve">the amendments to the Permit </w:t>
      </w:r>
      <w:r w:rsidR="00650287" w:rsidRPr="00650287">
        <w:rPr>
          <w:rFonts w:ascii="Arial" w:hAnsi="Arial" w:cs="Arial"/>
          <w:sz w:val="24"/>
          <w:szCs w:val="24"/>
        </w:rPr>
        <w:t xml:space="preserve">consistent with the new information and the Permit’s existing structure.  </w:t>
      </w:r>
    </w:p>
    <w:p w14:paraId="258F5A49" w14:textId="4BC4630C" w:rsidR="00A63C0D" w:rsidRPr="00C90F67" w:rsidRDefault="007D0F69" w:rsidP="00403046">
      <w:pPr>
        <w:pStyle w:val="Heading5"/>
      </w:pPr>
      <w:r w:rsidRPr="00BC2289">
        <w:t xml:space="preserve">New </w:t>
      </w:r>
      <w:r w:rsidRPr="00661E03">
        <w:t xml:space="preserve">Information </w:t>
      </w:r>
      <w:r w:rsidR="00764261" w:rsidRPr="00661E03">
        <w:t xml:space="preserve">Regarding the Equivalency of Alternate Treatment Systems </w:t>
      </w:r>
      <w:r w:rsidR="007C4222" w:rsidRPr="00661E03">
        <w:t xml:space="preserve">Justifying </w:t>
      </w:r>
      <w:r w:rsidR="00764261" w:rsidRPr="00661E03">
        <w:t xml:space="preserve">the </w:t>
      </w:r>
      <w:r w:rsidR="00050441">
        <w:t>Addition of</w:t>
      </w:r>
      <w:r w:rsidR="00764261" w:rsidRPr="00661E03">
        <w:t xml:space="preserve"> </w:t>
      </w:r>
      <w:r w:rsidR="00A63C0D" w:rsidRPr="00661E03">
        <w:t>Provision C.3.c.i.(2)(c)(iii) Alternative Treatment Systems</w:t>
      </w:r>
    </w:p>
    <w:p w14:paraId="42BEFCA3" w14:textId="20DED525" w:rsidR="00BA37E4" w:rsidRPr="000546F1" w:rsidRDefault="00BA37E4" w:rsidP="001951D5">
      <w:pPr>
        <w:rPr>
          <w:rFonts w:ascii="Arial" w:hAnsi="Arial" w:cs="Arial"/>
          <w:sz w:val="24"/>
          <w:szCs w:val="24"/>
        </w:rPr>
      </w:pPr>
      <w:r w:rsidRPr="000546F1">
        <w:rPr>
          <w:rFonts w:ascii="Arial" w:hAnsi="Arial" w:cs="Arial"/>
          <w:sz w:val="24"/>
          <w:szCs w:val="24"/>
        </w:rPr>
        <w:t>In August 2022, following the Permit’s reissuance in May 2022, Water Board staff convened an Alternative Treatment Systems Workgroup</w:t>
      </w:r>
      <w:r w:rsidR="00C21249">
        <w:rPr>
          <w:rFonts w:ascii="Arial" w:hAnsi="Arial" w:cs="Arial"/>
          <w:sz w:val="24"/>
          <w:szCs w:val="24"/>
        </w:rPr>
        <w:t>, which</w:t>
      </w:r>
      <w:r w:rsidRPr="000546F1">
        <w:rPr>
          <w:rFonts w:ascii="Arial" w:hAnsi="Arial" w:cs="Arial"/>
          <w:sz w:val="24"/>
          <w:szCs w:val="24"/>
        </w:rPr>
        <w:t xml:space="preserve"> met seven times through April 2023. Presentations and discussions in this workgroup produced new information which led to th</w:t>
      </w:r>
      <w:r w:rsidR="007056BE">
        <w:rPr>
          <w:rFonts w:ascii="Arial" w:hAnsi="Arial" w:cs="Arial"/>
          <w:sz w:val="24"/>
          <w:szCs w:val="24"/>
        </w:rPr>
        <w:t xml:space="preserve">is Order’s addition of </w:t>
      </w:r>
      <w:r w:rsidRPr="000546F1">
        <w:rPr>
          <w:rFonts w:ascii="Arial" w:hAnsi="Arial" w:cs="Arial"/>
          <w:sz w:val="24"/>
          <w:szCs w:val="24"/>
        </w:rPr>
        <w:t>Provision C.3.c.i.(2)(c)(iii)</w:t>
      </w:r>
      <w:r w:rsidR="007056BE">
        <w:rPr>
          <w:rFonts w:ascii="Arial" w:hAnsi="Arial" w:cs="Arial"/>
          <w:sz w:val="24"/>
          <w:szCs w:val="24"/>
        </w:rPr>
        <w:t xml:space="preserve"> </w:t>
      </w:r>
      <w:r w:rsidR="00F323B7">
        <w:rPr>
          <w:rFonts w:ascii="Arial" w:hAnsi="Arial" w:cs="Arial"/>
          <w:sz w:val="24"/>
          <w:szCs w:val="24"/>
        </w:rPr>
        <w:t xml:space="preserve">related to </w:t>
      </w:r>
      <w:r w:rsidR="005D4A1E">
        <w:rPr>
          <w:rFonts w:ascii="Arial" w:hAnsi="Arial" w:cs="Arial"/>
          <w:sz w:val="24"/>
          <w:szCs w:val="24"/>
        </w:rPr>
        <w:t>alternative tre</w:t>
      </w:r>
      <w:r w:rsidR="00514858">
        <w:rPr>
          <w:rFonts w:ascii="Arial" w:hAnsi="Arial" w:cs="Arial"/>
          <w:sz w:val="24"/>
          <w:szCs w:val="24"/>
        </w:rPr>
        <w:t>atment systems</w:t>
      </w:r>
      <w:r w:rsidRPr="000546F1">
        <w:rPr>
          <w:rFonts w:ascii="Arial" w:hAnsi="Arial" w:cs="Arial"/>
          <w:sz w:val="24"/>
          <w:szCs w:val="24"/>
        </w:rPr>
        <w:t>. This new information, which we elaborate on below, included the following: (1) analysis of the equivalency of water quality benefits (including flow control) and urban greening benefits provided by LID systems and by alternative treatment systems; (2) identification of geographic areas in which flow control benefits are relatively less significant than in other geographic areas, thereby warranting in those areas allowance of alternative treatment systems in combination with systems providing flow control benefit; and</w:t>
      </w:r>
      <w:r w:rsidRPr="000546F1" w:rsidDel="00935196">
        <w:rPr>
          <w:rFonts w:ascii="Arial" w:hAnsi="Arial" w:cs="Arial"/>
          <w:sz w:val="24"/>
          <w:szCs w:val="24"/>
        </w:rPr>
        <w:t xml:space="preserve"> </w:t>
      </w:r>
      <w:r w:rsidRPr="000546F1">
        <w:rPr>
          <w:rFonts w:ascii="Arial" w:hAnsi="Arial" w:cs="Arial"/>
          <w:sz w:val="24"/>
          <w:szCs w:val="24"/>
        </w:rPr>
        <w:t>(3) analogous requirements in other relevant MS4 NPDES permits, in particular the Washington State Department of Ecology’s (Ecology) series of MS4 NPDES permits and their use of Ecology’s Technology Assessment Protocol – Ecology (TAPE) program,</w:t>
      </w:r>
      <w:r w:rsidRPr="43002A99">
        <w:rPr>
          <w:rStyle w:val="FootnoteReference"/>
          <w:rFonts w:cs="Arial"/>
        </w:rPr>
        <w:footnoteReference w:id="13"/>
      </w:r>
      <w:r w:rsidRPr="000546F1">
        <w:rPr>
          <w:rFonts w:ascii="Arial" w:hAnsi="Arial" w:cs="Arial"/>
          <w:sz w:val="24"/>
          <w:szCs w:val="24"/>
        </w:rPr>
        <w:t xml:space="preserve"> which </w:t>
      </w:r>
      <w:r w:rsidR="00905418">
        <w:rPr>
          <w:rFonts w:ascii="Arial" w:hAnsi="Arial" w:cs="Arial"/>
          <w:sz w:val="24"/>
          <w:szCs w:val="24"/>
        </w:rPr>
        <w:t>informed the Order’s</w:t>
      </w:r>
      <w:r w:rsidRPr="000546F1">
        <w:rPr>
          <w:rFonts w:ascii="Arial" w:hAnsi="Arial" w:cs="Arial"/>
          <w:sz w:val="24"/>
          <w:szCs w:val="24"/>
        </w:rPr>
        <w:t xml:space="preserve"> </w:t>
      </w:r>
      <w:r w:rsidR="007A3C1A">
        <w:rPr>
          <w:rFonts w:ascii="Arial" w:hAnsi="Arial" w:cs="Arial"/>
          <w:sz w:val="24"/>
          <w:szCs w:val="24"/>
        </w:rPr>
        <w:t>use of the TAPE certification</w:t>
      </w:r>
      <w:r w:rsidRPr="000546F1">
        <w:rPr>
          <w:rFonts w:ascii="Arial" w:hAnsi="Arial" w:cs="Arial"/>
          <w:sz w:val="24"/>
          <w:szCs w:val="24"/>
        </w:rPr>
        <w:t xml:space="preserve"> and</w:t>
      </w:r>
      <w:r w:rsidR="00661B82">
        <w:rPr>
          <w:rFonts w:ascii="Arial" w:hAnsi="Arial" w:cs="Arial"/>
          <w:sz w:val="24"/>
          <w:szCs w:val="24"/>
        </w:rPr>
        <w:t>,</w:t>
      </w:r>
      <w:r w:rsidRPr="000546F1">
        <w:rPr>
          <w:rFonts w:ascii="Arial" w:hAnsi="Arial" w:cs="Arial"/>
          <w:sz w:val="24"/>
          <w:szCs w:val="24"/>
        </w:rPr>
        <w:t xml:space="preserve"> in part</w:t>
      </w:r>
      <w:r w:rsidR="00661B82">
        <w:rPr>
          <w:rFonts w:ascii="Arial" w:hAnsi="Arial" w:cs="Arial"/>
          <w:sz w:val="24"/>
          <w:szCs w:val="24"/>
        </w:rPr>
        <w:t>,</w:t>
      </w:r>
      <w:r w:rsidRPr="000546F1">
        <w:rPr>
          <w:rFonts w:ascii="Arial" w:hAnsi="Arial" w:cs="Arial"/>
          <w:sz w:val="24"/>
          <w:szCs w:val="24"/>
        </w:rPr>
        <w:t xml:space="preserve"> the </w:t>
      </w:r>
      <w:r w:rsidR="00661B82">
        <w:rPr>
          <w:rFonts w:ascii="Arial" w:hAnsi="Arial" w:cs="Arial"/>
          <w:sz w:val="24"/>
          <w:szCs w:val="24"/>
        </w:rPr>
        <w:t xml:space="preserve">Order’s </w:t>
      </w:r>
      <w:r w:rsidRPr="000546F1">
        <w:rPr>
          <w:rFonts w:ascii="Arial" w:hAnsi="Arial" w:cs="Arial"/>
          <w:sz w:val="24"/>
          <w:szCs w:val="24"/>
        </w:rPr>
        <w:t>commensurate benefit approach. This new information resulted in a framework for where and how alternative treatment systems could be considered to provide commensurate water quality benefit as LID. The new information would have justified allowing alternative treatment systems in the manner allowed under this Order when the Permit was issued.</w:t>
      </w:r>
    </w:p>
    <w:p w14:paraId="33EEC9D7" w14:textId="141B5F76" w:rsidR="00BA37E4" w:rsidRPr="000546F1" w:rsidRDefault="00BA37E4" w:rsidP="001951D5">
      <w:pPr>
        <w:spacing w:after="120"/>
        <w:rPr>
          <w:rFonts w:ascii="Arial" w:hAnsi="Arial" w:cs="Arial"/>
          <w:sz w:val="24"/>
          <w:szCs w:val="24"/>
        </w:rPr>
      </w:pPr>
      <w:r w:rsidRPr="000546F1">
        <w:rPr>
          <w:rFonts w:ascii="Arial" w:hAnsi="Arial" w:cs="Arial"/>
          <w:sz w:val="24"/>
          <w:szCs w:val="24"/>
        </w:rPr>
        <w:t>New information showed that alternative treatment systems, in combination with flow controls, have the potential to provide a commensurate water quality benefit as compared to LID systems. For example, the recent analysis of the 2018 San Francisco Estuary Institute (SFEI) study,</w:t>
      </w:r>
      <w:r w:rsidRPr="43002A99">
        <w:rPr>
          <w:rStyle w:val="FootnoteReference"/>
          <w:rFonts w:cs="Arial"/>
        </w:rPr>
        <w:footnoteReference w:id="14"/>
      </w:r>
      <w:r w:rsidRPr="000546F1">
        <w:rPr>
          <w:rFonts w:ascii="Arial" w:hAnsi="Arial" w:cs="Arial"/>
          <w:sz w:val="24"/>
          <w:szCs w:val="24"/>
        </w:rPr>
        <w:t xml:space="preserve"> which looked at performance both by LID systems and by non-LID media filters, supports this.</w:t>
      </w:r>
      <w:r w:rsidRPr="43002A99">
        <w:rPr>
          <w:rStyle w:val="FootnoteReference"/>
          <w:rFonts w:cs="Arial"/>
        </w:rPr>
        <w:footnoteReference w:id="15"/>
      </w:r>
      <w:r w:rsidRPr="000546F1">
        <w:rPr>
          <w:rFonts w:ascii="Arial" w:hAnsi="Arial" w:cs="Arial"/>
          <w:sz w:val="24"/>
          <w:szCs w:val="24"/>
        </w:rPr>
        <w:t xml:space="preserve"> In addition, new information showed that the </w:t>
      </w:r>
      <w:r w:rsidRPr="000546F1">
        <w:rPr>
          <w:rFonts w:ascii="Arial" w:hAnsi="Arial" w:cs="Arial"/>
          <w:sz w:val="24"/>
          <w:szCs w:val="24"/>
        </w:rPr>
        <w:lastRenderedPageBreak/>
        <w:t xml:space="preserve">flow control benefits of LID systems are relatively less significant in certain geographic areas in the </w:t>
      </w:r>
      <w:r w:rsidR="000D2B66">
        <w:rPr>
          <w:rFonts w:ascii="Arial" w:hAnsi="Arial" w:cs="Arial"/>
          <w:sz w:val="24"/>
          <w:szCs w:val="24"/>
        </w:rPr>
        <w:t>r</w:t>
      </w:r>
      <w:r w:rsidRPr="000546F1">
        <w:rPr>
          <w:rFonts w:ascii="Arial" w:hAnsi="Arial" w:cs="Arial"/>
          <w:sz w:val="24"/>
          <w:szCs w:val="24"/>
        </w:rPr>
        <w:t>egion, namely areas draining stormwater to channels that are hardened continuously from the point of discharge to San Francisco Bay or the Pacific Ocean or that drain stormwater directly into San Francisco Bay, the Pacific Ocean, or other tidal waters.</w:t>
      </w:r>
      <w:r w:rsidRPr="43002A99">
        <w:rPr>
          <w:rStyle w:val="FootnoteReference"/>
          <w:rFonts w:cs="Arial"/>
        </w:rPr>
        <w:footnoteReference w:id="16"/>
      </w:r>
      <w:r w:rsidRPr="000546F1">
        <w:rPr>
          <w:rFonts w:ascii="Arial" w:hAnsi="Arial" w:cs="Arial"/>
          <w:sz w:val="24"/>
          <w:szCs w:val="24"/>
        </w:rPr>
        <w:t xml:space="preserve"> Accordingly, the Permit amendment limits alternative treatment systems to these areas.</w:t>
      </w:r>
    </w:p>
    <w:p w14:paraId="6AC201AA" w14:textId="68331F72" w:rsidR="00BA37E4" w:rsidRPr="000546F1" w:rsidRDefault="00BA37E4" w:rsidP="008A619A">
      <w:pPr>
        <w:spacing w:after="120"/>
        <w:rPr>
          <w:rFonts w:ascii="Arial" w:hAnsi="Arial" w:cs="Arial"/>
          <w:sz w:val="24"/>
          <w:szCs w:val="24"/>
        </w:rPr>
      </w:pPr>
      <w:r w:rsidRPr="000546F1">
        <w:rPr>
          <w:rFonts w:ascii="Arial" w:hAnsi="Arial" w:cs="Arial"/>
          <w:sz w:val="24"/>
          <w:szCs w:val="24"/>
        </w:rPr>
        <w:t>New information on the analogous requirements in other relevant MS4 NPDES permits included the Western Washington Phase II MS4 Permit (and the Washington State Phase I MS4 Permit),</w:t>
      </w:r>
      <w:r w:rsidRPr="43002A99">
        <w:rPr>
          <w:rStyle w:val="FootnoteReference"/>
          <w:rFonts w:cs="Arial"/>
        </w:rPr>
        <w:footnoteReference w:id="17"/>
      </w:r>
      <w:r w:rsidRPr="000546F1">
        <w:rPr>
          <w:rFonts w:ascii="Arial" w:hAnsi="Arial" w:cs="Arial"/>
          <w:sz w:val="24"/>
          <w:szCs w:val="24"/>
        </w:rPr>
        <w:t xml:space="preserve"> which incorporates the TAPE program, under which </w:t>
      </w:r>
      <w:r w:rsidRPr="000546F1" w:rsidDel="00CC6B09">
        <w:rPr>
          <w:rFonts w:ascii="Arial" w:hAnsi="Arial" w:cs="Arial"/>
          <w:sz w:val="24"/>
          <w:szCs w:val="24"/>
        </w:rPr>
        <w:t>Ecology</w:t>
      </w:r>
      <w:r w:rsidRPr="000546F1">
        <w:rPr>
          <w:rFonts w:ascii="Arial" w:hAnsi="Arial" w:cs="Arial"/>
          <w:sz w:val="24"/>
          <w:szCs w:val="24"/>
        </w:rPr>
        <w:t xml:space="preserve"> reviews and certifies the performance (with respect to reductions in concentration) of alternative treatment systems. The Water Board received new information that the TAPE program ensures certified systems meet a minimum level of performance that is comparable to the Permit’s bioretention media performance in terms of pollutant concentration reductions at specified influent concentration ranges. New information on analogous requirements of other relevant MS4 NPDES permits includes</w:t>
      </w:r>
      <w:r w:rsidR="001F0C1F">
        <w:rPr>
          <w:rFonts w:ascii="Arial" w:hAnsi="Arial" w:cs="Arial"/>
          <w:sz w:val="24"/>
          <w:szCs w:val="24"/>
        </w:rPr>
        <w:t xml:space="preserve"> the following</w:t>
      </w:r>
      <w:r w:rsidRPr="000546F1">
        <w:rPr>
          <w:rFonts w:ascii="Arial" w:hAnsi="Arial" w:cs="Arial"/>
          <w:sz w:val="24"/>
          <w:szCs w:val="24"/>
        </w:rPr>
        <w:t xml:space="preserve">: the North Coast Regional Water </w:t>
      </w:r>
      <w:r w:rsidR="00CF0A5C">
        <w:rPr>
          <w:rFonts w:ascii="Arial" w:hAnsi="Arial" w:cs="Arial"/>
          <w:sz w:val="24"/>
          <w:szCs w:val="24"/>
        </w:rPr>
        <w:t xml:space="preserve">Quality Control </w:t>
      </w:r>
      <w:r w:rsidRPr="000546F1">
        <w:rPr>
          <w:rFonts w:ascii="Arial" w:hAnsi="Arial" w:cs="Arial"/>
          <w:sz w:val="24"/>
          <w:szCs w:val="24"/>
        </w:rPr>
        <w:t>Board’s Phase I MS4 Permit, which includes an onsite LID retention requirement and only allows onsite alternative treatment systems when onsite LID is determined to be technically infeasible and requires Executive Officer approval for implementation of offsite treatment measures; the</w:t>
      </w:r>
      <w:r w:rsidRPr="000546F1" w:rsidDel="00992226">
        <w:rPr>
          <w:rFonts w:ascii="Arial" w:hAnsi="Arial" w:cs="Arial"/>
          <w:sz w:val="24"/>
          <w:szCs w:val="24"/>
        </w:rPr>
        <w:t xml:space="preserve"> </w:t>
      </w:r>
      <w:r w:rsidRPr="000546F1">
        <w:rPr>
          <w:rFonts w:ascii="Arial" w:hAnsi="Arial" w:cs="Arial"/>
          <w:sz w:val="24"/>
          <w:szCs w:val="24"/>
        </w:rPr>
        <w:t>Central Coast Regional Water</w:t>
      </w:r>
      <w:r w:rsidR="00C019FD">
        <w:rPr>
          <w:rFonts w:ascii="Arial" w:hAnsi="Arial" w:cs="Arial"/>
          <w:sz w:val="24"/>
          <w:szCs w:val="24"/>
        </w:rPr>
        <w:t xml:space="preserve"> Quality Control</w:t>
      </w:r>
      <w:r w:rsidRPr="000546F1">
        <w:rPr>
          <w:rFonts w:ascii="Arial" w:hAnsi="Arial" w:cs="Arial"/>
          <w:sz w:val="24"/>
          <w:szCs w:val="24"/>
        </w:rPr>
        <w:t xml:space="preserve"> Board’s Phase I MS4 Permit, which includes an onsite LID retention requirement for nine out of ten watershed management zones; and the</w:t>
      </w:r>
      <w:r w:rsidRPr="000546F1" w:rsidDel="009319F0">
        <w:rPr>
          <w:rFonts w:ascii="Arial" w:hAnsi="Arial" w:cs="Arial"/>
          <w:sz w:val="24"/>
          <w:szCs w:val="24"/>
        </w:rPr>
        <w:t xml:space="preserve"> </w:t>
      </w:r>
      <w:r w:rsidRPr="000546F1">
        <w:rPr>
          <w:rFonts w:ascii="Arial" w:hAnsi="Arial" w:cs="Arial"/>
          <w:sz w:val="24"/>
          <w:szCs w:val="24"/>
        </w:rPr>
        <w:t>Los Angeles Regional Water</w:t>
      </w:r>
      <w:r w:rsidR="00C019FD">
        <w:rPr>
          <w:rFonts w:ascii="Arial" w:hAnsi="Arial" w:cs="Arial"/>
          <w:sz w:val="24"/>
          <w:szCs w:val="24"/>
        </w:rPr>
        <w:t xml:space="preserve"> Quality Control</w:t>
      </w:r>
      <w:r w:rsidRPr="000546F1">
        <w:rPr>
          <w:rFonts w:ascii="Arial" w:hAnsi="Arial" w:cs="Arial"/>
          <w:sz w:val="24"/>
          <w:szCs w:val="24"/>
        </w:rPr>
        <w:t xml:space="preserve"> Board’s Phase I MS4 Permit, which includes an onsite LID retention requirement and only allows onsite alternative treatment systems when onsite LID is determined to be technically infeasible, subject to Executive Officer approval. Water Board staff also met with San Diego Regional Water</w:t>
      </w:r>
      <w:r w:rsidR="00342B05">
        <w:rPr>
          <w:rFonts w:ascii="Arial" w:hAnsi="Arial" w:cs="Arial"/>
          <w:sz w:val="24"/>
          <w:szCs w:val="24"/>
        </w:rPr>
        <w:t xml:space="preserve"> Quality Control</w:t>
      </w:r>
      <w:r w:rsidRPr="000546F1">
        <w:rPr>
          <w:rFonts w:ascii="Arial" w:hAnsi="Arial" w:cs="Arial"/>
          <w:sz w:val="24"/>
          <w:szCs w:val="24"/>
        </w:rPr>
        <w:t xml:space="preserve"> Board staff regarding their Phase I municipal regional stormwater permit,</w:t>
      </w:r>
      <w:r w:rsidRPr="43002A99">
        <w:rPr>
          <w:rStyle w:val="FootnoteReference"/>
          <w:rFonts w:cs="Arial"/>
        </w:rPr>
        <w:footnoteReference w:id="18"/>
      </w:r>
      <w:r w:rsidRPr="000546F1">
        <w:rPr>
          <w:rFonts w:ascii="Arial" w:hAnsi="Arial" w:cs="Arial"/>
          <w:sz w:val="24"/>
          <w:szCs w:val="24"/>
        </w:rPr>
        <w:t xml:space="preserve"> including that permit’s onsite retention requirement and its allowance of implementation of onsite non-LID only if the project provides offsite mitigation with equivalent retention. </w:t>
      </w:r>
    </w:p>
    <w:p w14:paraId="2FC6B851" w14:textId="1E600124" w:rsidR="00BA37E4" w:rsidRPr="000546F1" w:rsidRDefault="00BA37E4" w:rsidP="008A619A">
      <w:pPr>
        <w:spacing w:after="120"/>
        <w:rPr>
          <w:rFonts w:ascii="Arial" w:hAnsi="Arial" w:cs="Arial"/>
          <w:sz w:val="24"/>
          <w:szCs w:val="24"/>
        </w:rPr>
      </w:pPr>
      <w:r w:rsidRPr="000546F1">
        <w:rPr>
          <w:rFonts w:ascii="Arial" w:hAnsi="Arial" w:cs="Arial"/>
          <w:sz w:val="24"/>
          <w:szCs w:val="24"/>
        </w:rPr>
        <w:t>Finally,</w:t>
      </w:r>
      <w:r w:rsidRPr="000546F1" w:rsidDel="003C5B32">
        <w:rPr>
          <w:rFonts w:ascii="Arial" w:hAnsi="Arial" w:cs="Arial"/>
          <w:sz w:val="24"/>
          <w:szCs w:val="24"/>
        </w:rPr>
        <w:t xml:space="preserve"> </w:t>
      </w:r>
      <w:r w:rsidRPr="000546F1">
        <w:rPr>
          <w:rFonts w:ascii="Arial" w:hAnsi="Arial" w:cs="Arial"/>
          <w:sz w:val="24"/>
          <w:szCs w:val="24"/>
        </w:rPr>
        <w:t xml:space="preserve">the Water Board considered other jurisdictions’ requirements for onsite retention of a certain quantity of stormwater since onsite retention prevents </w:t>
      </w:r>
      <w:r w:rsidR="004F6AF7">
        <w:rPr>
          <w:rFonts w:ascii="Arial" w:hAnsi="Arial" w:cs="Arial"/>
          <w:sz w:val="24"/>
          <w:szCs w:val="24"/>
        </w:rPr>
        <w:t xml:space="preserve">pollutants </w:t>
      </w:r>
      <w:r w:rsidRPr="000546F1">
        <w:rPr>
          <w:rFonts w:ascii="Arial" w:hAnsi="Arial" w:cs="Arial"/>
          <w:sz w:val="24"/>
          <w:szCs w:val="24"/>
        </w:rPr>
        <w:t>in th</w:t>
      </w:r>
      <w:r w:rsidR="0014250A">
        <w:rPr>
          <w:rFonts w:ascii="Arial" w:hAnsi="Arial" w:cs="Arial"/>
          <w:sz w:val="24"/>
          <w:szCs w:val="24"/>
        </w:rPr>
        <w:t>e</w:t>
      </w:r>
      <w:r w:rsidRPr="000546F1">
        <w:rPr>
          <w:rFonts w:ascii="Arial" w:hAnsi="Arial" w:cs="Arial"/>
          <w:sz w:val="24"/>
          <w:szCs w:val="24"/>
        </w:rPr>
        <w:t xml:space="preserve"> </w:t>
      </w:r>
      <w:r w:rsidR="006E35AA">
        <w:rPr>
          <w:rFonts w:ascii="Arial" w:hAnsi="Arial" w:cs="Arial"/>
          <w:sz w:val="24"/>
          <w:szCs w:val="24"/>
        </w:rPr>
        <w:lastRenderedPageBreak/>
        <w:t>retained</w:t>
      </w:r>
      <w:r w:rsidRPr="000546F1">
        <w:rPr>
          <w:rFonts w:ascii="Arial" w:hAnsi="Arial" w:cs="Arial"/>
          <w:sz w:val="24"/>
          <w:szCs w:val="24"/>
        </w:rPr>
        <w:t xml:space="preserve"> runoff</w:t>
      </w:r>
      <w:r w:rsidR="006E35AA">
        <w:rPr>
          <w:rFonts w:ascii="Arial" w:hAnsi="Arial" w:cs="Arial"/>
          <w:sz w:val="24"/>
          <w:szCs w:val="24"/>
        </w:rPr>
        <w:t xml:space="preserve"> </w:t>
      </w:r>
      <w:r w:rsidRPr="000546F1">
        <w:rPr>
          <w:rFonts w:ascii="Arial" w:hAnsi="Arial" w:cs="Arial"/>
          <w:sz w:val="24"/>
          <w:szCs w:val="24"/>
        </w:rPr>
        <w:t xml:space="preserve">from being discharged to receiving waters and mitigates its hydromodification effects. While some of this information was available at the time of Permit issuance, other information (e.g., Pennsylvania’s work to update its stormwater manual) was received </w:t>
      </w:r>
      <w:r w:rsidR="00404A94">
        <w:rPr>
          <w:rFonts w:ascii="Arial" w:hAnsi="Arial" w:cs="Arial"/>
          <w:sz w:val="24"/>
          <w:szCs w:val="24"/>
        </w:rPr>
        <w:t>after</w:t>
      </w:r>
      <w:r w:rsidRPr="000546F1">
        <w:rPr>
          <w:rFonts w:ascii="Arial" w:hAnsi="Arial" w:cs="Arial"/>
          <w:sz w:val="24"/>
          <w:szCs w:val="24"/>
        </w:rPr>
        <w:t xml:space="preserve"> the issuance. All </w:t>
      </w:r>
      <w:r w:rsidR="00094D64">
        <w:rPr>
          <w:rFonts w:ascii="Arial" w:hAnsi="Arial" w:cs="Arial"/>
          <w:sz w:val="24"/>
          <w:szCs w:val="24"/>
        </w:rPr>
        <w:t xml:space="preserve">the information </w:t>
      </w:r>
      <w:r w:rsidRPr="000546F1">
        <w:rPr>
          <w:rFonts w:ascii="Arial" w:hAnsi="Arial" w:cs="Arial"/>
          <w:sz w:val="24"/>
          <w:szCs w:val="24"/>
        </w:rPr>
        <w:t>was newly contextualized with consideration of the role that alternative treatment systems could play:</w:t>
      </w:r>
    </w:p>
    <w:p w14:paraId="7599C1EE" w14:textId="77777777" w:rsidR="00BA37E4" w:rsidRPr="000546F1" w:rsidRDefault="00BA37E4" w:rsidP="00A63C0D">
      <w:pPr>
        <w:pStyle w:val="MRP-FSProvRqmtBullet"/>
        <w:numPr>
          <w:ilvl w:val="0"/>
          <w:numId w:val="6"/>
        </w:numPr>
        <w:ind w:left="990"/>
        <w:rPr>
          <w:rFonts w:cs="Arial"/>
          <w:szCs w:val="24"/>
        </w:rPr>
      </w:pPr>
      <w:r w:rsidRPr="43002A99">
        <w:rPr>
          <w:rFonts w:cs="Arial"/>
        </w:rPr>
        <w:t>Anacostia, Washington, D.C.: Retain onsite the first one inch of rainfall and provide water quality treatment for rainfall up to the two-year storm volume; offsite mitigation is allowed when onsite retention is infeasible, but only at a ratio of either 1:1.5 (for physical offsets) or 1:2 (for in-lieu fee payments);</w:t>
      </w:r>
      <w:r w:rsidRPr="43002A99">
        <w:rPr>
          <w:rStyle w:val="FootnoteReference"/>
          <w:rFonts w:cs="Arial"/>
        </w:rPr>
        <w:footnoteReference w:id="19"/>
      </w:r>
    </w:p>
    <w:p w14:paraId="26B1C4BE" w14:textId="1FFE8374" w:rsidR="00BA37E4" w:rsidRPr="000546F1" w:rsidRDefault="00BA37E4" w:rsidP="00A63C0D">
      <w:pPr>
        <w:pStyle w:val="MRP-FSProvRqmtBullet"/>
        <w:numPr>
          <w:ilvl w:val="0"/>
          <w:numId w:val="6"/>
        </w:numPr>
        <w:ind w:left="990"/>
        <w:rPr>
          <w:rFonts w:cs="Arial"/>
          <w:szCs w:val="24"/>
        </w:rPr>
      </w:pPr>
      <w:r w:rsidRPr="43002A99">
        <w:rPr>
          <w:rFonts w:cs="Arial"/>
        </w:rPr>
        <w:t>Central Coast, California (R</w:t>
      </w:r>
      <w:r w:rsidR="0040061D" w:rsidRPr="43002A99">
        <w:rPr>
          <w:rFonts w:cs="Arial"/>
        </w:rPr>
        <w:t>egional Water Board</w:t>
      </w:r>
      <w:r w:rsidRPr="43002A99">
        <w:rPr>
          <w:rFonts w:cs="Arial"/>
        </w:rPr>
        <w:t xml:space="preserve">, Phase II): Limit </w:t>
      </w:r>
      <w:r w:rsidR="008B0EBA">
        <w:rPr>
          <w:rFonts w:cs="Arial"/>
        </w:rPr>
        <w:t>effective impervious area</w:t>
      </w:r>
      <w:r w:rsidRPr="43002A99">
        <w:rPr>
          <w:rFonts w:cs="Arial"/>
        </w:rPr>
        <w:t xml:space="preserve"> </w:t>
      </w:r>
      <w:r w:rsidR="00E74027">
        <w:rPr>
          <w:rFonts w:cs="Arial"/>
        </w:rPr>
        <w:t>(</w:t>
      </w:r>
      <w:r w:rsidRPr="43002A99">
        <w:rPr>
          <w:rFonts w:cs="Arial"/>
        </w:rPr>
        <w:t>EIA</w:t>
      </w:r>
      <w:r w:rsidR="00E74027">
        <w:rPr>
          <w:rFonts w:cs="Arial"/>
        </w:rPr>
        <w:t>)</w:t>
      </w:r>
      <w:r w:rsidRPr="43002A99">
        <w:rPr>
          <w:rFonts w:cs="Arial"/>
        </w:rPr>
        <w:t xml:space="preserve"> at development projects to no more than 5</w:t>
      </w:r>
      <w:r w:rsidR="0074569D">
        <w:rPr>
          <w:rFonts w:cs="Arial"/>
        </w:rPr>
        <w:t xml:space="preserve"> percent</w:t>
      </w:r>
      <w:r w:rsidRPr="43002A99">
        <w:rPr>
          <w:rFonts w:cs="Arial"/>
        </w:rPr>
        <w:t xml:space="preserve"> of total project area (interim criteria); establish an EIA limitation between 3 and 10</w:t>
      </w:r>
      <w:r w:rsidR="0074569D">
        <w:rPr>
          <w:rFonts w:cs="Arial"/>
        </w:rPr>
        <w:t xml:space="preserve"> percent</w:t>
      </w:r>
      <w:r w:rsidRPr="43002A99">
        <w:rPr>
          <w:rFonts w:cs="Arial"/>
        </w:rPr>
        <w:t xml:space="preserve"> in local stormwater management plans (permanent criteria);</w:t>
      </w:r>
      <w:r w:rsidRPr="43002A99">
        <w:rPr>
          <w:rStyle w:val="FootnoteReference"/>
          <w:rFonts w:cs="Arial"/>
        </w:rPr>
        <w:footnoteReference w:id="20"/>
      </w:r>
    </w:p>
    <w:p w14:paraId="0CD57B7A" w14:textId="36A1EE9F" w:rsidR="00BA37E4" w:rsidRPr="000546F1" w:rsidRDefault="00BA37E4" w:rsidP="00A63C0D">
      <w:pPr>
        <w:pStyle w:val="MRP-FSProvRqmtBullet"/>
        <w:numPr>
          <w:ilvl w:val="0"/>
          <w:numId w:val="6"/>
        </w:numPr>
        <w:ind w:left="990"/>
        <w:rPr>
          <w:rFonts w:cs="Arial"/>
          <w:szCs w:val="24"/>
        </w:rPr>
      </w:pPr>
      <w:r w:rsidRPr="000546F1">
        <w:rPr>
          <w:rFonts w:cs="Arial"/>
          <w:szCs w:val="24"/>
        </w:rPr>
        <w:t xml:space="preserve">Federal Buildings over 5,000 square feet (under </w:t>
      </w:r>
      <w:r w:rsidR="00C90F67">
        <w:rPr>
          <w:rFonts w:cs="Arial"/>
          <w:szCs w:val="24"/>
        </w:rPr>
        <w:t xml:space="preserve">U.S. </w:t>
      </w:r>
      <w:r w:rsidRPr="000546F1">
        <w:rPr>
          <w:rFonts w:cs="Arial"/>
          <w:szCs w:val="24"/>
        </w:rPr>
        <w:t xml:space="preserve">EPA’s draft guidance for implementation of the Energy Independence and Security Act of 2007): Manage onsite (i.e., prevent the offsite discharge of) the 95th percentile storm through infiltration, harvesting, and/or </w:t>
      </w:r>
      <w:proofErr w:type="gramStart"/>
      <w:r w:rsidRPr="000546F1">
        <w:rPr>
          <w:rFonts w:cs="Arial"/>
          <w:szCs w:val="24"/>
        </w:rPr>
        <w:t>evapotranspiration;</w:t>
      </w:r>
      <w:proofErr w:type="gramEnd"/>
    </w:p>
    <w:p w14:paraId="74EEB19D" w14:textId="77777777" w:rsidR="00BA37E4" w:rsidRPr="000546F1" w:rsidRDefault="00BA37E4" w:rsidP="00A63C0D">
      <w:pPr>
        <w:pStyle w:val="MRP-FSProvRqmtBullet"/>
        <w:numPr>
          <w:ilvl w:val="0"/>
          <w:numId w:val="6"/>
        </w:numPr>
        <w:ind w:left="990"/>
        <w:rPr>
          <w:rFonts w:cs="Arial"/>
          <w:szCs w:val="24"/>
        </w:rPr>
      </w:pPr>
      <w:r w:rsidRPr="43002A99">
        <w:rPr>
          <w:rFonts w:cs="Arial"/>
        </w:rPr>
        <w:t>Pennsylvania: Capture at least the first two inches of rainfall from all impervious surfaces and retain onsite at least the first one inch of runoff (through reuse, evaporation, transpiration, and/or infiltration); at least 0.5 inch must be infiltrated;</w:t>
      </w:r>
      <w:r w:rsidRPr="43002A99">
        <w:rPr>
          <w:rStyle w:val="FootnoteReference"/>
          <w:rFonts w:cs="Arial"/>
        </w:rPr>
        <w:footnoteReference w:id="21"/>
      </w:r>
    </w:p>
    <w:p w14:paraId="0420BA04" w14:textId="77777777" w:rsidR="00BA37E4" w:rsidRPr="000546F1" w:rsidRDefault="00BA37E4" w:rsidP="00A63C0D">
      <w:pPr>
        <w:pStyle w:val="MRP-FSProvRqmtBullet"/>
        <w:numPr>
          <w:ilvl w:val="0"/>
          <w:numId w:val="6"/>
        </w:numPr>
        <w:ind w:left="990"/>
        <w:rPr>
          <w:rFonts w:cs="Arial"/>
          <w:szCs w:val="24"/>
        </w:rPr>
      </w:pPr>
      <w:r w:rsidRPr="43002A99">
        <w:rPr>
          <w:rFonts w:cs="Arial"/>
        </w:rPr>
        <w:t>Philadelphia, Pennsylvania: Infiltrate the first one inch of rainfall from all impervious surfaces; if onsite infiltration is infeasible, the same performance must be achieved offsite;</w:t>
      </w:r>
      <w:r w:rsidRPr="43002A99">
        <w:rPr>
          <w:rStyle w:val="FootnoteReference"/>
          <w:rFonts w:cs="Arial"/>
        </w:rPr>
        <w:footnoteReference w:id="22"/>
      </w:r>
      <w:r w:rsidRPr="43002A99">
        <w:rPr>
          <w:rFonts w:cs="Arial"/>
        </w:rPr>
        <w:t xml:space="preserve"> and</w:t>
      </w:r>
    </w:p>
    <w:p w14:paraId="768CE72B" w14:textId="77777777" w:rsidR="00BA37E4" w:rsidRPr="000546F1" w:rsidRDefault="00BA37E4" w:rsidP="00A63C0D">
      <w:pPr>
        <w:pStyle w:val="MRP-FSProvRqmtBullet"/>
        <w:numPr>
          <w:ilvl w:val="0"/>
          <w:numId w:val="6"/>
        </w:numPr>
        <w:ind w:left="990"/>
        <w:rPr>
          <w:rFonts w:cs="Arial"/>
          <w:szCs w:val="24"/>
        </w:rPr>
      </w:pPr>
      <w:r w:rsidRPr="43002A99">
        <w:rPr>
          <w:rFonts w:cs="Arial"/>
        </w:rPr>
        <w:lastRenderedPageBreak/>
        <w:t>West Virginia: Retain onsite the first one inch of rainfall from a 24-hour storm preceded by 48 hours of no measurable precipitation.</w:t>
      </w:r>
      <w:r w:rsidRPr="43002A99">
        <w:rPr>
          <w:rStyle w:val="FootnoteReference"/>
          <w:rFonts w:cs="Arial"/>
        </w:rPr>
        <w:footnoteReference w:id="23"/>
      </w:r>
      <w:r w:rsidRPr="43002A99">
        <w:rPr>
          <w:rFonts w:cs="Arial"/>
        </w:rPr>
        <w:t xml:space="preserve"> </w:t>
      </w:r>
    </w:p>
    <w:p w14:paraId="7DD22449" w14:textId="55856582" w:rsidR="00510C9A" w:rsidRPr="006B34F9" w:rsidRDefault="00FF5F48" w:rsidP="00403046">
      <w:pPr>
        <w:pStyle w:val="Heading5"/>
        <w:rPr>
          <w:bCs w:val="0"/>
        </w:rPr>
      </w:pPr>
      <w:r w:rsidRPr="008D63DE">
        <w:rPr>
          <w:rStyle w:val="normaltextrun"/>
        </w:rPr>
        <w:t>Rationale</w:t>
      </w:r>
      <w:r w:rsidRPr="006B34F9">
        <w:rPr>
          <w:bCs w:val="0"/>
        </w:rPr>
        <w:t xml:space="preserve"> </w:t>
      </w:r>
      <w:r w:rsidR="0029582E" w:rsidRPr="006B34F9">
        <w:rPr>
          <w:bCs w:val="0"/>
        </w:rPr>
        <w:t xml:space="preserve">and Basis </w:t>
      </w:r>
      <w:r w:rsidRPr="006B34F9">
        <w:rPr>
          <w:bCs w:val="0"/>
        </w:rPr>
        <w:t xml:space="preserve">for </w:t>
      </w:r>
      <w:r w:rsidR="004910BA" w:rsidRPr="006B34F9">
        <w:rPr>
          <w:bCs w:val="0"/>
        </w:rPr>
        <w:t xml:space="preserve">the </w:t>
      </w:r>
      <w:r w:rsidR="00894EB8">
        <w:rPr>
          <w:bCs w:val="0"/>
        </w:rPr>
        <w:t>Addition of</w:t>
      </w:r>
      <w:r w:rsidR="009959C0" w:rsidRPr="006B34F9">
        <w:rPr>
          <w:bCs w:val="0"/>
        </w:rPr>
        <w:t xml:space="preserve"> </w:t>
      </w:r>
      <w:bookmarkStart w:id="6" w:name="_Hlk138239139"/>
      <w:r w:rsidR="004910BA" w:rsidRPr="006B34F9">
        <w:rPr>
          <w:bCs w:val="0"/>
        </w:rPr>
        <w:t xml:space="preserve">Provision C.3.c.i.(2)(c)(iii) </w:t>
      </w:r>
      <w:bookmarkEnd w:id="6"/>
      <w:r w:rsidR="004910BA" w:rsidRPr="006B34F9">
        <w:rPr>
          <w:bCs w:val="0"/>
        </w:rPr>
        <w:t>Alternative Treatment Systems</w:t>
      </w:r>
      <w:r w:rsidR="00C74881" w:rsidRPr="006B34F9">
        <w:rPr>
          <w:bCs w:val="0"/>
        </w:rPr>
        <w:t xml:space="preserve"> </w:t>
      </w:r>
    </w:p>
    <w:p w14:paraId="5F63A539" w14:textId="53EAA44F" w:rsidR="002B1D40" w:rsidRPr="000546F1" w:rsidRDefault="002B1D40" w:rsidP="00AE1A89">
      <w:pPr>
        <w:pStyle w:val="MRP-FSProvRqmtBullet"/>
        <w:rPr>
          <w:rFonts w:cs="Arial"/>
          <w:szCs w:val="24"/>
        </w:rPr>
      </w:pPr>
      <w:r w:rsidRPr="000546F1">
        <w:rPr>
          <w:rFonts w:cs="Arial"/>
          <w:szCs w:val="24"/>
        </w:rPr>
        <w:t xml:space="preserve">The modifications </w:t>
      </w:r>
      <w:r w:rsidR="0090098E">
        <w:rPr>
          <w:rFonts w:cs="Arial"/>
          <w:szCs w:val="24"/>
        </w:rPr>
        <w:t>in the Order</w:t>
      </w:r>
      <w:r w:rsidRPr="000546F1">
        <w:rPr>
          <w:rFonts w:cs="Arial"/>
          <w:szCs w:val="24"/>
        </w:rPr>
        <w:t xml:space="preserve"> allow certain Regulated Projects </w:t>
      </w:r>
      <w:r w:rsidRPr="000546F1" w:rsidDel="00F54A84">
        <w:rPr>
          <w:rFonts w:cs="Arial"/>
          <w:szCs w:val="24"/>
        </w:rPr>
        <w:t xml:space="preserve">to </w:t>
      </w:r>
      <w:r w:rsidRPr="000546F1">
        <w:rPr>
          <w:rFonts w:cs="Arial"/>
          <w:szCs w:val="24"/>
        </w:rPr>
        <w:t>treat runoff using an alternative treatment system</w:t>
      </w:r>
      <w:r w:rsidR="009C2868">
        <w:rPr>
          <w:rFonts w:cs="Arial"/>
          <w:szCs w:val="24"/>
        </w:rPr>
        <w:t xml:space="preserve"> </w:t>
      </w:r>
      <w:r w:rsidR="00ED1140">
        <w:rPr>
          <w:rFonts w:cs="Arial"/>
          <w:szCs w:val="24"/>
        </w:rPr>
        <w:t xml:space="preserve">that </w:t>
      </w:r>
      <w:r w:rsidR="00E26D7D">
        <w:rPr>
          <w:rFonts w:cs="Arial"/>
          <w:szCs w:val="24"/>
        </w:rPr>
        <w:t xml:space="preserve">has a </w:t>
      </w:r>
      <w:r w:rsidR="00ED1140">
        <w:rPr>
          <w:rFonts w:cs="Arial"/>
          <w:szCs w:val="24"/>
        </w:rPr>
        <w:t xml:space="preserve">commensurate </w:t>
      </w:r>
      <w:r w:rsidR="00E26D7D">
        <w:rPr>
          <w:rFonts w:cs="Arial"/>
          <w:szCs w:val="24"/>
        </w:rPr>
        <w:t xml:space="preserve">benefit </w:t>
      </w:r>
      <w:r w:rsidR="006216EC">
        <w:rPr>
          <w:rFonts w:cs="Arial"/>
          <w:szCs w:val="24"/>
        </w:rPr>
        <w:t>with</w:t>
      </w:r>
      <w:r w:rsidR="00ED1140">
        <w:rPr>
          <w:rFonts w:cs="Arial"/>
          <w:szCs w:val="24"/>
        </w:rPr>
        <w:t xml:space="preserve"> </w:t>
      </w:r>
      <w:r w:rsidR="00D44371">
        <w:rPr>
          <w:rFonts w:cs="Arial"/>
          <w:szCs w:val="24"/>
        </w:rPr>
        <w:t>LID treatment measures</w:t>
      </w:r>
      <w:r w:rsidR="00F05BDF">
        <w:rPr>
          <w:rFonts w:cs="Arial"/>
          <w:szCs w:val="24"/>
        </w:rPr>
        <w:t xml:space="preserve"> if LID treatment is infeasible and other requirements are met</w:t>
      </w:r>
      <w:r w:rsidR="0003237F">
        <w:rPr>
          <w:rFonts w:cs="Arial"/>
          <w:szCs w:val="24"/>
        </w:rPr>
        <w:t>. This is consistent with</w:t>
      </w:r>
      <w:r w:rsidR="00A36929">
        <w:rPr>
          <w:rFonts w:cs="Arial"/>
          <w:szCs w:val="24"/>
        </w:rPr>
        <w:t xml:space="preserve"> </w:t>
      </w:r>
      <w:r w:rsidR="00D600D6">
        <w:rPr>
          <w:rFonts w:cs="Arial"/>
          <w:szCs w:val="24"/>
        </w:rPr>
        <w:t xml:space="preserve">the </w:t>
      </w:r>
      <w:r w:rsidR="006C1EF7">
        <w:rPr>
          <w:rFonts w:cs="Arial"/>
          <w:szCs w:val="24"/>
        </w:rPr>
        <w:t xml:space="preserve">requirement in </w:t>
      </w:r>
      <w:r w:rsidR="00102648">
        <w:rPr>
          <w:rFonts w:cs="Arial"/>
          <w:szCs w:val="24"/>
        </w:rPr>
        <w:t>CWA</w:t>
      </w:r>
      <w:r w:rsidR="004A02C4">
        <w:rPr>
          <w:rFonts w:cs="Arial"/>
          <w:szCs w:val="24"/>
        </w:rPr>
        <w:t xml:space="preserve"> section 402</w:t>
      </w:r>
      <w:r w:rsidR="00F0158B">
        <w:rPr>
          <w:rFonts w:cs="Arial"/>
          <w:szCs w:val="24"/>
        </w:rPr>
        <w:t>(p)(</w:t>
      </w:r>
      <w:r w:rsidR="00CD6392">
        <w:rPr>
          <w:rFonts w:cs="Arial"/>
          <w:szCs w:val="24"/>
        </w:rPr>
        <w:t>3)(B</w:t>
      </w:r>
      <w:r w:rsidR="001701CB">
        <w:rPr>
          <w:rFonts w:cs="Arial"/>
          <w:szCs w:val="24"/>
        </w:rPr>
        <w:t xml:space="preserve">)(ii) to reduce the discharge of pollutants to the </w:t>
      </w:r>
      <w:r w:rsidR="00D600D6">
        <w:rPr>
          <w:rFonts w:cs="Arial"/>
          <w:szCs w:val="24"/>
        </w:rPr>
        <w:t>maximum extent practicable</w:t>
      </w:r>
      <w:r w:rsidRPr="000546F1">
        <w:rPr>
          <w:rFonts w:cs="Arial"/>
          <w:szCs w:val="24"/>
        </w:rPr>
        <w:t xml:space="preserve">. </w:t>
      </w:r>
      <w:r w:rsidR="00C52B5F">
        <w:rPr>
          <w:rFonts w:cs="Arial"/>
          <w:szCs w:val="24"/>
        </w:rPr>
        <w:t xml:space="preserve"> Among other requirements, alternative treatment systems must </w:t>
      </w:r>
      <w:r w:rsidRPr="000546F1">
        <w:rPr>
          <w:rFonts w:cs="Arial"/>
          <w:szCs w:val="24"/>
        </w:rPr>
        <w:t>be combined with flow controls so that their water quality benefits</w:t>
      </w:r>
      <w:r w:rsidR="00856A47">
        <w:rPr>
          <w:rFonts w:cs="Arial"/>
          <w:szCs w:val="24"/>
        </w:rPr>
        <w:t>—</w:t>
      </w:r>
      <w:r w:rsidRPr="000546F1">
        <w:rPr>
          <w:rFonts w:cs="Arial"/>
          <w:szCs w:val="24"/>
        </w:rPr>
        <w:t>improvements to runoff quality and hydrologic benefits that benefit downstream water quality</w:t>
      </w:r>
      <w:r w:rsidR="00856A47">
        <w:rPr>
          <w:rFonts w:cs="Arial"/>
          <w:szCs w:val="24"/>
        </w:rPr>
        <w:t>—</w:t>
      </w:r>
      <w:r w:rsidRPr="000546F1">
        <w:rPr>
          <w:rFonts w:cs="Arial"/>
          <w:szCs w:val="24"/>
        </w:rPr>
        <w:t>are consistent with those provided by the Permit’s LID standard. To ensure this is the case, the area</w:t>
      </w:r>
      <w:r w:rsidR="00937595">
        <w:rPr>
          <w:rFonts w:cs="Arial"/>
          <w:szCs w:val="24"/>
        </w:rPr>
        <w:t>s</w:t>
      </w:r>
      <w:r w:rsidRPr="000546F1">
        <w:rPr>
          <w:rFonts w:cs="Arial"/>
          <w:szCs w:val="24"/>
        </w:rPr>
        <w:t xml:space="preserve"> where alternative treatment systems are allowed </w:t>
      </w:r>
      <w:r w:rsidR="00937595">
        <w:rPr>
          <w:rFonts w:cs="Arial"/>
          <w:szCs w:val="24"/>
        </w:rPr>
        <w:t>are</w:t>
      </w:r>
      <w:r w:rsidRPr="000546F1">
        <w:rPr>
          <w:rFonts w:cs="Arial"/>
          <w:szCs w:val="24"/>
        </w:rPr>
        <w:t xml:space="preserve"> limited to areas where LID’s broader water quality benefits are relatively </w:t>
      </w:r>
      <w:proofErr w:type="gramStart"/>
      <w:r w:rsidRPr="000546F1">
        <w:rPr>
          <w:rFonts w:cs="Arial"/>
          <w:szCs w:val="24"/>
        </w:rPr>
        <w:t>limited</w:t>
      </w:r>
      <w:proofErr w:type="gramEnd"/>
      <w:r w:rsidRPr="000546F1">
        <w:rPr>
          <w:rFonts w:cs="Arial"/>
          <w:szCs w:val="24"/>
        </w:rPr>
        <w:t xml:space="preserve"> and the benefits provided by alternative treatment systems are relatively comparable to LID. </w:t>
      </w:r>
    </w:p>
    <w:p w14:paraId="0CC6522D" w14:textId="75688F1B" w:rsidR="002B1D40" w:rsidRPr="000546F1" w:rsidRDefault="002B1D40" w:rsidP="00AE1A89">
      <w:pPr>
        <w:pStyle w:val="MRP-FSProvRqmtBullet"/>
        <w:rPr>
          <w:rFonts w:cs="Arial"/>
          <w:szCs w:val="24"/>
        </w:rPr>
      </w:pPr>
      <w:r w:rsidRPr="000546F1">
        <w:rPr>
          <w:rFonts w:cs="Arial"/>
          <w:szCs w:val="24"/>
        </w:rPr>
        <w:t>The modifications provide additional flexibility to ensure that in the rare situation when it is infeasible for a project to fully implement LID, the Regulated Project may provide water quality benefit</w:t>
      </w:r>
      <w:r w:rsidR="00F82DCE">
        <w:rPr>
          <w:rFonts w:cs="Arial"/>
          <w:szCs w:val="24"/>
        </w:rPr>
        <w:t>s</w:t>
      </w:r>
      <w:r w:rsidRPr="000546F1">
        <w:rPr>
          <w:rFonts w:cs="Arial"/>
          <w:szCs w:val="24"/>
        </w:rPr>
        <w:t xml:space="preserve"> consistent with the LID standard by completing a combination of other measures. </w:t>
      </w:r>
    </w:p>
    <w:p w14:paraId="2F4B535A" w14:textId="5D9A7C6B" w:rsidR="002B1D40" w:rsidRPr="000546F1" w:rsidRDefault="008B0489" w:rsidP="00AE1A89">
      <w:pPr>
        <w:pStyle w:val="MRP-FSProvRqmtBullet"/>
        <w:rPr>
          <w:rFonts w:cs="Arial"/>
          <w:szCs w:val="24"/>
        </w:rPr>
      </w:pPr>
      <w:r w:rsidRPr="008B0489">
        <w:rPr>
          <w:rFonts w:cs="Arial"/>
          <w:szCs w:val="24"/>
        </w:rPr>
        <w:t>Provision C.3.c.i.(2)(c)(iii)</w:t>
      </w:r>
      <w:r>
        <w:rPr>
          <w:rFonts w:cs="Arial"/>
          <w:szCs w:val="24"/>
        </w:rPr>
        <w:t xml:space="preserve"> </w:t>
      </w:r>
      <w:r w:rsidR="002B1D40" w:rsidRPr="000546F1">
        <w:rPr>
          <w:rFonts w:cs="Arial"/>
          <w:szCs w:val="24"/>
        </w:rPr>
        <w:t xml:space="preserve">requires projects to establish the need to implement alternative treatment systems and ensures consistent water quality benefits by requiring the submittal of a Demonstration of Infeasibility and a Demonstration of Comparable Benefit, respectively. In addition, </w:t>
      </w:r>
      <w:r w:rsidR="00A06F3F">
        <w:rPr>
          <w:rFonts w:cs="Arial"/>
          <w:szCs w:val="24"/>
        </w:rPr>
        <w:t>as a prerequisite to the implementation of</w:t>
      </w:r>
      <w:r w:rsidR="00C73052">
        <w:rPr>
          <w:rFonts w:cs="Arial"/>
          <w:szCs w:val="24"/>
        </w:rPr>
        <w:t xml:space="preserve"> </w:t>
      </w:r>
      <w:r w:rsidR="002B1D40" w:rsidRPr="000546F1">
        <w:rPr>
          <w:rFonts w:cs="Arial"/>
          <w:szCs w:val="24"/>
        </w:rPr>
        <w:t>this provision</w:t>
      </w:r>
      <w:r w:rsidR="00C73052">
        <w:rPr>
          <w:rFonts w:cs="Arial"/>
          <w:szCs w:val="24"/>
        </w:rPr>
        <w:t>,</w:t>
      </w:r>
      <w:r w:rsidR="002B1D40" w:rsidRPr="000546F1">
        <w:rPr>
          <w:rFonts w:cs="Arial"/>
          <w:szCs w:val="24"/>
        </w:rPr>
        <w:t xml:space="preserve"> Permittees </w:t>
      </w:r>
      <w:r w:rsidR="00C73052">
        <w:rPr>
          <w:rFonts w:cs="Arial"/>
          <w:szCs w:val="24"/>
        </w:rPr>
        <w:t xml:space="preserve">are required </w:t>
      </w:r>
      <w:r w:rsidR="002B1D40" w:rsidRPr="000546F1">
        <w:rPr>
          <w:rFonts w:cs="Arial"/>
          <w:szCs w:val="24"/>
        </w:rPr>
        <w:t xml:space="preserve">to submit a Regional Guidance Document that guides preparation of the </w:t>
      </w:r>
      <w:r w:rsidR="000924BA">
        <w:rPr>
          <w:rFonts w:cs="Arial"/>
          <w:szCs w:val="24"/>
        </w:rPr>
        <w:t>d</w:t>
      </w:r>
      <w:r w:rsidR="002B1D40" w:rsidRPr="000546F1">
        <w:rPr>
          <w:rFonts w:cs="Arial"/>
          <w:szCs w:val="24"/>
        </w:rPr>
        <w:t xml:space="preserve">emonstrations and facilitates project compliance with the alternative treatment system requirements. </w:t>
      </w:r>
    </w:p>
    <w:p w14:paraId="77C976B6" w14:textId="0728D7FE" w:rsidR="002B1D40" w:rsidRPr="000546F1" w:rsidRDefault="002B1D40" w:rsidP="00AE1A89">
      <w:pPr>
        <w:pStyle w:val="MRP-FSProvRqmtBullet"/>
        <w:rPr>
          <w:rFonts w:cs="Arial"/>
          <w:szCs w:val="24"/>
        </w:rPr>
      </w:pPr>
      <w:r w:rsidRPr="000546F1">
        <w:rPr>
          <w:rFonts w:cs="Arial"/>
          <w:szCs w:val="24"/>
        </w:rPr>
        <w:t>Alternative treatment systems allow</w:t>
      </w:r>
      <w:r w:rsidR="006B429C">
        <w:rPr>
          <w:rFonts w:cs="Arial"/>
          <w:szCs w:val="24"/>
        </w:rPr>
        <w:t>ed</w:t>
      </w:r>
      <w:r w:rsidRPr="000546F1">
        <w:rPr>
          <w:rFonts w:cs="Arial"/>
          <w:szCs w:val="24"/>
        </w:rPr>
        <w:t xml:space="preserve"> under this provision are non-LID systems, such as high flow rate media filters, that have obtained an active General Use Level Designation certification for Enhanced Treatment from Ecology’s TAPE Program. This certification is intended to ensure a level of performance with respect to pollutant</w:t>
      </w:r>
      <w:r w:rsidR="008F4E95">
        <w:rPr>
          <w:rFonts w:cs="Arial"/>
          <w:szCs w:val="24"/>
        </w:rPr>
        <w:t>-</w:t>
      </w:r>
      <w:r w:rsidRPr="000546F1">
        <w:rPr>
          <w:rFonts w:cs="Arial"/>
          <w:szCs w:val="24"/>
        </w:rPr>
        <w:t xml:space="preserve"> concentration reduction, which when combined with flow control commensurate with that which is provided by LID, provides total water quality benefit that is comparable to the Permit’s LID standard. It was chosen in part because of the relative robustness of the TAPE Program, the TAPE Program’s applicability to urban runoff and controls in California, where removal mechanisms and conditions are similar, and California has </w:t>
      </w:r>
      <w:r w:rsidRPr="000546F1">
        <w:rPr>
          <w:rFonts w:cs="Arial"/>
          <w:szCs w:val="24"/>
        </w:rPr>
        <w:lastRenderedPageBreak/>
        <w:t>not established its own similarly robust certification program and is unlikely to</w:t>
      </w:r>
      <w:r w:rsidR="00C934F0">
        <w:rPr>
          <w:rFonts w:cs="Arial"/>
          <w:szCs w:val="24"/>
        </w:rPr>
        <w:t xml:space="preserve"> do so</w:t>
      </w:r>
      <w:r w:rsidRPr="000546F1">
        <w:rPr>
          <w:rFonts w:cs="Arial"/>
          <w:szCs w:val="24"/>
        </w:rPr>
        <w:t xml:space="preserve"> in the foreseeable future.</w:t>
      </w:r>
    </w:p>
    <w:p w14:paraId="06DC2E37" w14:textId="2371F60B" w:rsidR="002B1D40" w:rsidRPr="000546F1" w:rsidRDefault="002B1D40" w:rsidP="00AE1A89">
      <w:pPr>
        <w:pStyle w:val="MRP-FSProvRqmtBullet"/>
        <w:rPr>
          <w:rFonts w:cs="Arial"/>
          <w:szCs w:val="24"/>
        </w:rPr>
      </w:pPr>
      <w:r w:rsidRPr="000546F1">
        <w:rPr>
          <w:rFonts w:cs="Arial"/>
          <w:szCs w:val="24"/>
        </w:rPr>
        <w:t xml:space="preserve">Alternative treatment systems are </w:t>
      </w:r>
      <w:proofErr w:type="gramStart"/>
      <w:r w:rsidRPr="000546F1">
        <w:rPr>
          <w:rFonts w:cs="Arial"/>
          <w:szCs w:val="24"/>
        </w:rPr>
        <w:t>similar to</w:t>
      </w:r>
      <w:proofErr w:type="gramEnd"/>
      <w:r w:rsidRPr="000546F1">
        <w:rPr>
          <w:rFonts w:cs="Arial"/>
          <w:szCs w:val="24"/>
        </w:rPr>
        <w:t xml:space="preserve"> the Permit’s LID standard</w:t>
      </w:r>
      <w:r w:rsidR="00FA6325">
        <w:rPr>
          <w:rFonts w:cs="Arial"/>
          <w:szCs w:val="24"/>
        </w:rPr>
        <w:t xml:space="preserve"> in that</w:t>
      </w:r>
      <w:r w:rsidRPr="000546F1">
        <w:rPr>
          <w:rFonts w:cs="Arial"/>
          <w:szCs w:val="24"/>
        </w:rPr>
        <w:t xml:space="preserve"> they contain media similar to the bioretention media allowed pursuant to Provision </w:t>
      </w:r>
      <w:bookmarkStart w:id="7" w:name="_bookmark1"/>
      <w:bookmarkStart w:id="8" w:name="_bookmark0"/>
      <w:bookmarkEnd w:id="7"/>
      <w:bookmarkEnd w:id="8"/>
      <w:r w:rsidRPr="000546F1">
        <w:rPr>
          <w:rFonts w:cs="Arial"/>
          <w:szCs w:val="24"/>
        </w:rPr>
        <w:t>C.3.c.i.(2)(c)(ii) that has similar unit processes for pollutant removal, including filtration, adsorption, and degradation over time of certain pollutants. However, there are</w:t>
      </w:r>
      <w:r w:rsidRPr="000546F1" w:rsidDel="00D7054B">
        <w:rPr>
          <w:rFonts w:cs="Arial"/>
          <w:szCs w:val="24"/>
        </w:rPr>
        <w:t xml:space="preserve"> </w:t>
      </w:r>
      <w:r w:rsidRPr="000546F1">
        <w:rPr>
          <w:rFonts w:cs="Arial"/>
          <w:szCs w:val="24"/>
        </w:rPr>
        <w:t>differences between the alternative treatment systems and the Permit’s LID approach. Alternative treatment system media is typically contained within an impervious or largely impervious vault and is designed to have substantially higher flow rates of water through the media. As compared to bioretention cells, typically the most</w:t>
      </w:r>
      <w:r w:rsidR="00D769F1">
        <w:rPr>
          <w:rFonts w:cs="Arial"/>
          <w:szCs w:val="24"/>
        </w:rPr>
        <w:t xml:space="preserve"> </w:t>
      </w:r>
      <w:r w:rsidRPr="000546F1">
        <w:rPr>
          <w:rFonts w:cs="Arial"/>
          <w:szCs w:val="24"/>
        </w:rPr>
        <w:t xml:space="preserve">used water quality control within the LID framework, alternative treatment systems have limited to negligible flow control benefits due to limited storage within the device and minimal time and space for water to be detained prior to infiltration. This reduces pollutant load losses associated with the control because runoff that would infiltrate into the soil, be retained within the control, or evapotranspire </w:t>
      </w:r>
      <w:r w:rsidR="00EF4F7B">
        <w:rPr>
          <w:rFonts w:cs="Arial"/>
          <w:szCs w:val="24"/>
        </w:rPr>
        <w:t xml:space="preserve">in LID </w:t>
      </w:r>
      <w:r w:rsidR="00EC3F7D">
        <w:rPr>
          <w:rFonts w:cs="Arial"/>
          <w:szCs w:val="24"/>
        </w:rPr>
        <w:t>systems is</w:t>
      </w:r>
      <w:r w:rsidR="00FC03E5">
        <w:rPr>
          <w:rFonts w:cs="Arial"/>
          <w:szCs w:val="24"/>
        </w:rPr>
        <w:t>, in an alternative treatment system,</w:t>
      </w:r>
      <w:r w:rsidR="00EC3F7D">
        <w:rPr>
          <w:rFonts w:cs="Arial"/>
          <w:szCs w:val="24"/>
        </w:rPr>
        <w:t xml:space="preserve"> </w:t>
      </w:r>
      <w:r w:rsidRPr="000546F1">
        <w:rPr>
          <w:rFonts w:cs="Arial"/>
          <w:szCs w:val="24"/>
        </w:rPr>
        <w:t xml:space="preserve">instead discharged through the media and back into the MS4 or to a receiving water. An additional result is reduced effectiveness of hydromodification management. To provide comparable benefit, alternative treatment systems must be supplemented with systems that provide flow control benefits at least equivalent to those provided by LID systems. </w:t>
      </w:r>
    </w:p>
    <w:p w14:paraId="47E59E77" w14:textId="6BF03FC4" w:rsidR="002B1D40" w:rsidRPr="000546F1" w:rsidRDefault="002B1D40" w:rsidP="00AE1A89">
      <w:pPr>
        <w:pStyle w:val="MRP-FSProvRqmtBullet"/>
        <w:rPr>
          <w:rFonts w:cs="Arial"/>
          <w:szCs w:val="24"/>
        </w:rPr>
      </w:pPr>
      <w:r w:rsidRPr="43002A99">
        <w:rPr>
          <w:rFonts w:cs="Arial"/>
        </w:rPr>
        <w:t>LID systems provide hydromodification management and associated water quality benefits via measures that include retention (e.g., via infiltration, evapotranspiration, and retention in an LID control’s media) and detention. Determining a comparable benefit between LID systems and alternative treatment systems is complicated because alternative treatment systems typically have negligible retention. In addition, while the flow control benefits of LID systems have been documented, the range of those benefits</w:t>
      </w:r>
      <w:r w:rsidR="00663952">
        <w:rPr>
          <w:rFonts w:cs="Arial"/>
        </w:rPr>
        <w:t>—</w:t>
      </w:r>
      <w:r w:rsidRPr="43002A99">
        <w:rPr>
          <w:rFonts w:cs="Arial"/>
        </w:rPr>
        <w:t>including from infiltration into less</w:t>
      </w:r>
      <w:r w:rsidR="005A47E7">
        <w:rPr>
          <w:rFonts w:cs="Arial"/>
        </w:rPr>
        <w:t xml:space="preserve"> </w:t>
      </w:r>
      <w:r w:rsidRPr="43002A99">
        <w:rPr>
          <w:rFonts w:cs="Arial"/>
        </w:rPr>
        <w:t>infiltrative soils and horizontal infiltration</w:t>
      </w:r>
      <w:r w:rsidR="00663952">
        <w:rPr>
          <w:rFonts w:cs="Arial"/>
        </w:rPr>
        <w:t>—</w:t>
      </w:r>
      <w:r w:rsidRPr="43002A99">
        <w:rPr>
          <w:rFonts w:cs="Arial"/>
        </w:rPr>
        <w:t>is not yet well quantified from monitoring data and field studies</w:t>
      </w:r>
      <w:r w:rsidR="00010CD9">
        <w:rPr>
          <w:rFonts w:cs="Arial"/>
        </w:rPr>
        <w:t>.</w:t>
      </w:r>
      <w:r w:rsidR="00E738DC" w:rsidRPr="43002A99">
        <w:rPr>
          <w:rStyle w:val="FootnoteReference"/>
          <w:rFonts w:cs="Arial"/>
        </w:rPr>
        <w:footnoteReference w:id="24"/>
      </w:r>
      <w:r w:rsidRPr="43002A99">
        <w:rPr>
          <w:rFonts w:cs="Arial"/>
        </w:rPr>
        <w:t xml:space="preserve"> </w:t>
      </w:r>
      <w:r w:rsidR="00010CD9">
        <w:rPr>
          <w:rFonts w:cs="Arial"/>
        </w:rPr>
        <w:t>S</w:t>
      </w:r>
      <w:r w:rsidRPr="43002A99">
        <w:rPr>
          <w:rFonts w:cs="Arial"/>
        </w:rPr>
        <w:t>tudies have</w:t>
      </w:r>
      <w:r w:rsidR="00010CD9">
        <w:rPr>
          <w:rFonts w:cs="Arial"/>
        </w:rPr>
        <w:t>, however,</w:t>
      </w:r>
      <w:r w:rsidRPr="43002A99">
        <w:rPr>
          <w:rFonts w:cs="Arial"/>
        </w:rPr>
        <w:t xml:space="preserve"> found greater benefit than would be expected from textbook infiltration values.</w:t>
      </w:r>
      <w:r w:rsidRPr="43002A99">
        <w:rPr>
          <w:rStyle w:val="FootnoteReference"/>
          <w:rFonts w:cs="Arial"/>
        </w:rPr>
        <w:footnoteReference w:id="25"/>
      </w:r>
      <w:r w:rsidRPr="43002A99">
        <w:rPr>
          <w:rFonts w:cs="Arial"/>
        </w:rPr>
        <w:t xml:space="preserve"> </w:t>
      </w:r>
      <w:r w:rsidRPr="43002A99">
        <w:rPr>
          <w:rFonts w:cs="Arial"/>
        </w:rPr>
        <w:lastRenderedPageBreak/>
        <w:t>Currently, approaches to quantify the flow control benefits are primarily hydrologic models that are imprecise and can be biased by the use of potentially non-conservative or inaccurate assumptions.</w:t>
      </w:r>
    </w:p>
    <w:p w14:paraId="4EFD14B2" w14:textId="483D4D88" w:rsidR="002B1D40" w:rsidRPr="000546F1" w:rsidRDefault="002B1D40" w:rsidP="00AE1A89">
      <w:pPr>
        <w:pStyle w:val="MRP-FSProvRqmtBullet"/>
        <w:rPr>
          <w:rFonts w:cs="Arial"/>
          <w:szCs w:val="24"/>
        </w:rPr>
      </w:pPr>
      <w:r w:rsidRPr="000546F1">
        <w:rPr>
          <w:rFonts w:cs="Arial"/>
          <w:szCs w:val="24"/>
        </w:rPr>
        <w:t>To address the potential consequences of that imprecision, the Permit limits the application of non-LID systems to two geographic areas in which LID systems have relatively less flow control benefit; that is, to areas where there is likely to be relatively less difference</w:t>
      </w:r>
      <w:r w:rsidR="00EC17EB">
        <w:rPr>
          <w:rFonts w:cs="Arial"/>
          <w:szCs w:val="24"/>
        </w:rPr>
        <w:t xml:space="preserve"> in flow control</w:t>
      </w:r>
      <w:r w:rsidRPr="000546F1">
        <w:rPr>
          <w:rFonts w:cs="Arial"/>
          <w:szCs w:val="24"/>
        </w:rPr>
        <w:t xml:space="preserve"> between LID systems and alternative treatment systems. If, in the future, the flow control benefits of LID systems are sufficiently studied and quantified in monitoring and field studies, such that their hydrologic benefits can be more reliably translated into flow control requirements including onsite retention and detention, the Water Board may consider incorporating the results of those studies into a future Permit. This would be done by specifying the required flow control benefits, including retention, that must be provided by flow control systems that are paired with media filters</w:t>
      </w:r>
      <w:r w:rsidR="0050172D">
        <w:rPr>
          <w:rFonts w:cs="Arial"/>
          <w:szCs w:val="24"/>
        </w:rPr>
        <w:t xml:space="preserve"> for alternative treatment systems</w:t>
      </w:r>
      <w:r w:rsidRPr="000546F1">
        <w:rPr>
          <w:rFonts w:cs="Arial"/>
          <w:szCs w:val="24"/>
        </w:rPr>
        <w:t xml:space="preserve">. This could allow consideration of implementing those paired systems in a broader set of geographic areas. Work being done to advance the understanding of the flow control benefits of LID systems includes Provision C.8.d Low Impact Development Monitoring as well as studies elsewhere in the U.S. </w:t>
      </w:r>
    </w:p>
    <w:p w14:paraId="5E0FC5DB" w14:textId="066180D4" w:rsidR="002B1D40" w:rsidRPr="000546F1" w:rsidRDefault="002B1D40" w:rsidP="00AE1A89">
      <w:pPr>
        <w:pStyle w:val="MRP-FSProvRqmtBullet"/>
        <w:rPr>
          <w:rFonts w:cs="Arial"/>
          <w:szCs w:val="24"/>
        </w:rPr>
      </w:pPr>
      <w:r w:rsidRPr="000546F1">
        <w:rPr>
          <w:rFonts w:cs="Arial"/>
          <w:szCs w:val="24"/>
        </w:rPr>
        <w:t>The recognition that urban runoff water quality impacts are comprised of both pollutants directly in runoff and hydromodification that results in pollutant discharges and associated impacts is a significant issue and has informed the Permit’s design, which uses a three-part approach to address polluted runoff from new and redevelopment projects. The Permit requires</w:t>
      </w:r>
      <w:r w:rsidR="003F663D">
        <w:rPr>
          <w:rFonts w:cs="Arial"/>
          <w:szCs w:val="24"/>
        </w:rPr>
        <w:t>:</w:t>
      </w:r>
      <w:r w:rsidRPr="000546F1">
        <w:rPr>
          <w:rFonts w:cs="Arial"/>
          <w:szCs w:val="24"/>
        </w:rPr>
        <w:t xml:space="preserve"> </w:t>
      </w:r>
      <w:r w:rsidR="002406C9">
        <w:rPr>
          <w:rFonts w:cs="Arial"/>
          <w:szCs w:val="24"/>
        </w:rPr>
        <w:t>(1)</w:t>
      </w:r>
      <w:r w:rsidRPr="000546F1" w:rsidDel="003F663D">
        <w:rPr>
          <w:rFonts w:cs="Arial"/>
          <w:szCs w:val="24"/>
        </w:rPr>
        <w:t xml:space="preserve"> </w:t>
      </w:r>
      <w:r w:rsidR="00E237DC">
        <w:rPr>
          <w:rFonts w:cs="Arial"/>
          <w:szCs w:val="24"/>
        </w:rPr>
        <w:t>design measures t</w:t>
      </w:r>
      <w:r w:rsidR="006A0F53">
        <w:rPr>
          <w:rFonts w:cs="Arial"/>
          <w:szCs w:val="24"/>
        </w:rPr>
        <w:t xml:space="preserve">hat provide source control of pollutants and </w:t>
      </w:r>
      <w:r w:rsidR="00E237DC">
        <w:rPr>
          <w:rFonts w:cs="Arial"/>
          <w:szCs w:val="24"/>
        </w:rPr>
        <w:t xml:space="preserve">reduce </w:t>
      </w:r>
      <w:r w:rsidR="00C419D4">
        <w:rPr>
          <w:rFonts w:cs="Arial"/>
          <w:szCs w:val="24"/>
        </w:rPr>
        <w:t>impervious surface</w:t>
      </w:r>
      <w:r w:rsidR="002406C9">
        <w:rPr>
          <w:rFonts w:cs="Arial"/>
          <w:szCs w:val="24"/>
        </w:rPr>
        <w:t xml:space="preserve">s and associated discharges of pollutants and </w:t>
      </w:r>
      <w:r w:rsidR="00B70C83">
        <w:rPr>
          <w:rFonts w:cs="Arial"/>
          <w:szCs w:val="24"/>
        </w:rPr>
        <w:t>hydromodification</w:t>
      </w:r>
      <w:r w:rsidR="00C86111">
        <w:rPr>
          <w:rFonts w:cs="Arial"/>
          <w:szCs w:val="24"/>
        </w:rPr>
        <w:t xml:space="preserve">, which is </w:t>
      </w:r>
      <w:r w:rsidR="00A55F82">
        <w:rPr>
          <w:rFonts w:cs="Arial"/>
          <w:szCs w:val="24"/>
        </w:rPr>
        <w:t xml:space="preserve">the </w:t>
      </w:r>
      <w:r w:rsidR="00B70C83">
        <w:rPr>
          <w:rFonts w:cs="Arial"/>
          <w:szCs w:val="24"/>
        </w:rPr>
        <w:t>change</w:t>
      </w:r>
      <w:r w:rsidR="002406C9">
        <w:rPr>
          <w:rFonts w:cs="Arial"/>
          <w:szCs w:val="24"/>
        </w:rPr>
        <w:t xml:space="preserve"> in </w:t>
      </w:r>
      <w:r w:rsidR="004E366B">
        <w:rPr>
          <w:rFonts w:cs="Arial"/>
          <w:szCs w:val="24"/>
        </w:rPr>
        <w:t xml:space="preserve">flows </w:t>
      </w:r>
      <w:r w:rsidR="00D76B07">
        <w:rPr>
          <w:rFonts w:cs="Arial"/>
          <w:szCs w:val="24"/>
        </w:rPr>
        <w:t>that can result in pollutant dis</w:t>
      </w:r>
      <w:r w:rsidR="00982182">
        <w:rPr>
          <w:rFonts w:cs="Arial"/>
          <w:szCs w:val="24"/>
        </w:rPr>
        <w:t>c</w:t>
      </w:r>
      <w:r w:rsidR="00D76B07">
        <w:rPr>
          <w:rFonts w:cs="Arial"/>
          <w:szCs w:val="24"/>
        </w:rPr>
        <w:t>harges</w:t>
      </w:r>
      <w:r w:rsidR="003F663D">
        <w:rPr>
          <w:rFonts w:cs="Arial"/>
          <w:szCs w:val="24"/>
        </w:rPr>
        <w:t>; (2)</w:t>
      </w:r>
      <w:r w:rsidRPr="000546F1">
        <w:rPr>
          <w:rFonts w:cs="Arial"/>
          <w:szCs w:val="24"/>
        </w:rPr>
        <w:t xml:space="preserve"> controls that treat or remove pollutants and that also protect water quality by reducing hydromodification</w:t>
      </w:r>
      <w:r w:rsidR="001E4442">
        <w:rPr>
          <w:rFonts w:cs="Arial"/>
          <w:szCs w:val="24"/>
        </w:rPr>
        <w:t xml:space="preserve">; and </w:t>
      </w:r>
      <w:r w:rsidR="008C5919">
        <w:rPr>
          <w:rFonts w:cs="Arial"/>
          <w:szCs w:val="24"/>
        </w:rPr>
        <w:t xml:space="preserve">(3) </w:t>
      </w:r>
      <w:r w:rsidR="00426343">
        <w:rPr>
          <w:rFonts w:cs="Arial"/>
          <w:szCs w:val="24"/>
        </w:rPr>
        <w:t xml:space="preserve">specific hydromodification management controls for projects that </w:t>
      </w:r>
      <w:r w:rsidR="003165A7">
        <w:rPr>
          <w:rFonts w:cs="Arial"/>
          <w:szCs w:val="24"/>
        </w:rPr>
        <w:t xml:space="preserve">create </w:t>
      </w:r>
      <w:r w:rsidR="00B51E7E">
        <w:rPr>
          <w:rFonts w:cs="Arial"/>
          <w:szCs w:val="24"/>
        </w:rPr>
        <w:t xml:space="preserve">or replace </w:t>
      </w:r>
      <w:r w:rsidR="003E4F6A">
        <w:rPr>
          <w:rFonts w:cs="Arial"/>
          <w:szCs w:val="24"/>
        </w:rPr>
        <w:t>an acre or more of impervious surface</w:t>
      </w:r>
      <w:r w:rsidR="00337477">
        <w:rPr>
          <w:rFonts w:cs="Arial"/>
          <w:szCs w:val="24"/>
        </w:rPr>
        <w:t>.</w:t>
      </w:r>
      <w:r w:rsidRPr="000546F1">
        <w:rPr>
          <w:rFonts w:cs="Arial"/>
          <w:szCs w:val="24"/>
        </w:rPr>
        <w:t xml:space="preserve"> </w:t>
      </w:r>
      <w:r w:rsidR="007C40C5">
        <w:rPr>
          <w:rFonts w:cs="Arial"/>
          <w:szCs w:val="24"/>
        </w:rPr>
        <w:t>Thus, h</w:t>
      </w:r>
      <w:r w:rsidRPr="000546F1">
        <w:rPr>
          <w:rFonts w:cs="Arial"/>
          <w:szCs w:val="24"/>
        </w:rPr>
        <w:t xml:space="preserve">ydromodification management is in two parts: the general benefit from LID systems, </w:t>
      </w:r>
      <w:r w:rsidR="00227D88">
        <w:rPr>
          <w:rFonts w:cs="Arial"/>
          <w:szCs w:val="24"/>
        </w:rPr>
        <w:t xml:space="preserve">which applies to all Regulated Projects, </w:t>
      </w:r>
      <w:r w:rsidRPr="000546F1">
        <w:rPr>
          <w:rFonts w:cs="Arial"/>
          <w:szCs w:val="24"/>
        </w:rPr>
        <w:t xml:space="preserve">and </w:t>
      </w:r>
      <w:r w:rsidR="00227D88">
        <w:rPr>
          <w:rFonts w:cs="Arial"/>
          <w:szCs w:val="24"/>
        </w:rPr>
        <w:t>the</w:t>
      </w:r>
      <w:r w:rsidRPr="000546F1">
        <w:rPr>
          <w:rFonts w:cs="Arial"/>
          <w:szCs w:val="24"/>
        </w:rPr>
        <w:t xml:space="preserve"> controls required in Provision C.3.g, Hydromodification Management</w:t>
      </w:r>
      <w:r w:rsidR="002221F3">
        <w:rPr>
          <w:rFonts w:cs="Arial"/>
          <w:szCs w:val="24"/>
        </w:rPr>
        <w:t xml:space="preserve">, which apply to </w:t>
      </w:r>
      <w:r w:rsidR="0043326F">
        <w:rPr>
          <w:rFonts w:cs="Arial"/>
          <w:szCs w:val="24"/>
        </w:rPr>
        <w:t>Regulated Projects that create or replace an acre or more of impervious surface and increase the amount of impervious surface at the project site</w:t>
      </w:r>
      <w:r w:rsidRPr="000546F1">
        <w:rPr>
          <w:rFonts w:cs="Arial"/>
          <w:szCs w:val="24"/>
        </w:rPr>
        <w:t>. This three-part approach was developed in part due to input into past permits from stakeholders, including U.S. EPA, the Natural Resources Defense Council (NRDC), and Baykeeper, who supported the Permit’s LID system approach and expressed concern that allowing alternative systems would result in less</w:t>
      </w:r>
      <w:r w:rsidR="00327935">
        <w:rPr>
          <w:rFonts w:cs="Arial"/>
          <w:szCs w:val="24"/>
        </w:rPr>
        <w:t>-</w:t>
      </w:r>
      <w:r w:rsidRPr="000546F1">
        <w:rPr>
          <w:rFonts w:cs="Arial"/>
          <w:szCs w:val="24"/>
        </w:rPr>
        <w:t>effective water quality benefits with respect to direct pollutant reduction and flow control. NRDC and Baykeeper noted, for example:</w:t>
      </w:r>
    </w:p>
    <w:p w14:paraId="1E26508E" w14:textId="77777777" w:rsidR="002B1D40" w:rsidRPr="000546F1" w:rsidRDefault="002B1D40" w:rsidP="004E27D2">
      <w:pPr>
        <w:pStyle w:val="MRP-FSProvRqmtBullet"/>
        <w:ind w:left="1080"/>
        <w:rPr>
          <w:rFonts w:cs="Arial"/>
          <w:szCs w:val="24"/>
        </w:rPr>
      </w:pPr>
      <w:r w:rsidRPr="43002A99">
        <w:rPr>
          <w:rFonts w:cs="Arial"/>
        </w:rPr>
        <w:t xml:space="preserve">…there is substantial history, precedent, and justification for requiring LID as the MEP control for the treatment of stormwater runoff from new and redevelopment projects; deviations from this standard must be </w:t>
      </w:r>
      <w:proofErr w:type="gramStart"/>
      <w:r w:rsidRPr="43002A99">
        <w:rPr>
          <w:rFonts w:cs="Arial"/>
        </w:rPr>
        <w:t xml:space="preserve">carefully </w:t>
      </w:r>
      <w:r w:rsidRPr="43002A99">
        <w:rPr>
          <w:rFonts w:cs="Arial"/>
        </w:rPr>
        <w:lastRenderedPageBreak/>
        <w:t>scrutinized</w:t>
      </w:r>
      <w:proofErr w:type="gramEnd"/>
      <w:r w:rsidRPr="43002A99">
        <w:rPr>
          <w:rFonts w:cs="Arial"/>
        </w:rPr>
        <w:t xml:space="preserve"> to ensure the avoidance of unintended adverse impacts. These comments also emphasize the importance of flow control via discharge to vegetated areas, which is provided by LID systems.</w:t>
      </w:r>
      <w:r w:rsidRPr="43002A99">
        <w:rPr>
          <w:rStyle w:val="FootnoteReference"/>
          <w:rFonts w:cs="Arial"/>
        </w:rPr>
        <w:footnoteReference w:id="26"/>
      </w:r>
      <w:r w:rsidRPr="43002A99">
        <w:rPr>
          <w:rFonts w:cs="Arial"/>
        </w:rPr>
        <w:t xml:space="preserve"> </w:t>
      </w:r>
    </w:p>
    <w:p w14:paraId="3EED23F0" w14:textId="77777777" w:rsidR="002B1D40" w:rsidRPr="000546F1" w:rsidRDefault="002B1D40" w:rsidP="00A712C2">
      <w:pPr>
        <w:pStyle w:val="MRPA1ai1aia"/>
        <w:rPr>
          <w:rFonts w:cs="Arial"/>
        </w:rPr>
      </w:pPr>
      <w:r w:rsidRPr="000546F1">
        <w:rPr>
          <w:rFonts w:cs="Arial"/>
        </w:rPr>
        <w:t>Both have noted that where there was a deviation from the LID systems approach, it should be based on the technical infeasibility of both on- and off-site LID systems.</w:t>
      </w:r>
    </w:p>
    <w:p w14:paraId="2A888B8D" w14:textId="77777777" w:rsidR="002B1D40" w:rsidRPr="000546F1" w:rsidRDefault="002B1D40" w:rsidP="00A712C2">
      <w:pPr>
        <w:pStyle w:val="MRPA1ai1aia"/>
        <w:rPr>
          <w:rFonts w:cs="Arial"/>
        </w:rPr>
      </w:pPr>
      <w:r w:rsidRPr="000546F1">
        <w:rPr>
          <w:rFonts w:cs="Arial"/>
        </w:rPr>
        <w:t>Similarly, U.S. EPA stated:</w:t>
      </w:r>
    </w:p>
    <w:p w14:paraId="535E6023" w14:textId="7036AFD2" w:rsidR="002B1D40" w:rsidRPr="000546F1" w:rsidRDefault="002B1D40" w:rsidP="004E27D2">
      <w:pPr>
        <w:pStyle w:val="MRPA1ai1aia"/>
        <w:ind w:left="1080"/>
        <w:rPr>
          <w:rFonts w:cs="Arial"/>
        </w:rPr>
      </w:pPr>
      <w:r w:rsidRPr="000546F1">
        <w:rPr>
          <w:rFonts w:cs="Arial"/>
        </w:rPr>
        <w:t>EPA is today emphasizing LID (also called “green infrastructure”) as a preferable approach to treating and reducing stormwater flow to MS4s</w:t>
      </w:r>
      <w:r w:rsidRPr="000546F1">
        <w:rPr>
          <w:rStyle w:val="FootnoteReference"/>
          <w:rFonts w:cs="Arial"/>
        </w:rPr>
        <w:footnoteReference w:id="27"/>
      </w:r>
      <w:r w:rsidRPr="000546F1">
        <w:rPr>
          <w:rFonts w:cs="Arial"/>
        </w:rPr>
        <w:t xml:space="preserve"> and its inclusion in provisions of MS4 permits. EPA believes that LID is an approach to storm water management that is cost-effective, sustainable, and environmentally-sound. The effectiveness of landscape-based treatment for stormwater is generally superior to the “conventional” treatment addressed in section C.3.d of the proposed permit because landscape-based treatment can remove a broader range of pollutants in a more robust and redundant fashion, and can achieve multiple environmental and economic benefits in addition to reducing downstream water quality impacts, such as enhanced water supplies, cleaner air, reduced urban temperatures, increased energy efficiency and other community benefits such as aesthetics, recreation, and wildlife areas.</w:t>
      </w:r>
      <w:r w:rsidRPr="000546F1">
        <w:rPr>
          <w:rStyle w:val="FootnoteReference"/>
          <w:rFonts w:cs="Arial"/>
        </w:rPr>
        <w:footnoteReference w:id="28"/>
      </w:r>
    </w:p>
    <w:p w14:paraId="669AF63B" w14:textId="5A96C6F7" w:rsidR="002B1D40" w:rsidRPr="000546F1" w:rsidRDefault="002B1D40" w:rsidP="00477DA3">
      <w:pPr>
        <w:pStyle w:val="MRPA1ai1aia"/>
        <w:rPr>
          <w:rFonts w:cs="Arial"/>
        </w:rPr>
      </w:pPr>
      <w:r w:rsidRPr="000546F1">
        <w:rPr>
          <w:rFonts w:cs="Arial"/>
        </w:rPr>
        <w:t>Additionally, LID measures are likely to be more resilient to failure over time than alternative treatment systems. All urban runoff water quality treatment controls are subject to potential failure due to causes such as improper design, installation, or operation and maintenance. Because alternative treatment systems with high-flow-rate media expose media to higher amounts of flow per unit area and volume, and because some vault-based systems may not be visible without removing a maintenance cover, potential failures (e.g., clogging of media by trash or sediment, breakthrough of pollutants) may be more significant and less likely to be timely addressed. The Permit addresses this by requiring Permittees to ensure appropriate design, installation, and operation and maintenance of all systems. However, this also supports the Permit’s continued prioritization of LID systems to provide water quality benefits.</w:t>
      </w:r>
    </w:p>
    <w:p w14:paraId="61E51544" w14:textId="23D2366C" w:rsidR="002B1D40" w:rsidRPr="000546F1" w:rsidRDefault="002B1D40" w:rsidP="00477DA3">
      <w:pPr>
        <w:pStyle w:val="MRPA1ai1aia"/>
        <w:rPr>
          <w:rFonts w:cs="Arial"/>
        </w:rPr>
      </w:pPr>
      <w:r w:rsidRPr="000546F1">
        <w:rPr>
          <w:rFonts w:cs="Arial"/>
        </w:rPr>
        <w:t>To ensure alternative treatment systems are appropriately comparable to the Permit’s LID standard, the implementation of alternative treatment systems is contingent on Permittee submittal of two demonstrations to the Water Board</w:t>
      </w:r>
      <w:r w:rsidR="00FF3577">
        <w:rPr>
          <w:rFonts w:cs="Arial"/>
        </w:rPr>
        <w:t>:</w:t>
      </w:r>
      <w:r w:rsidRPr="000546F1">
        <w:rPr>
          <w:rFonts w:cs="Arial"/>
        </w:rPr>
        <w:t xml:space="preserve"> </w:t>
      </w:r>
      <w:proofErr w:type="gramStart"/>
      <w:r w:rsidRPr="000546F1">
        <w:rPr>
          <w:rFonts w:cs="Arial"/>
        </w:rPr>
        <w:t>a</w:t>
      </w:r>
      <w:proofErr w:type="gramEnd"/>
      <w:r w:rsidRPr="000546F1">
        <w:rPr>
          <w:rFonts w:cs="Arial"/>
        </w:rPr>
        <w:t xml:space="preserve"> Demonstration of Technical Infeasibility and a Demonstration of Commensurate Benefit. The requirements for these demonstrations are in Provisions C.3.c.i.(2)(c)(iii)c and </w:t>
      </w:r>
      <w:r w:rsidRPr="000546F1">
        <w:rPr>
          <w:rFonts w:cs="Arial"/>
        </w:rPr>
        <w:lastRenderedPageBreak/>
        <w:t>C.3.c.i.(2)(c)(iii)d, respectively. Examples are included at the end of this section in Attachment A. Permittees must also re-submit the applicable portions of their Countywide Hydromodification Applicability Map to accurately identify the two geographic areas in which alternative treatment systems are allowed under the Permit.</w:t>
      </w:r>
    </w:p>
    <w:p w14:paraId="2C6DB7C2" w14:textId="10744D2B" w:rsidR="002B1D40" w:rsidRPr="000546F1" w:rsidRDefault="002B1D40" w:rsidP="00477DA3">
      <w:pPr>
        <w:pStyle w:val="MRPA1ai1aia"/>
        <w:rPr>
          <w:rFonts w:cs="Arial"/>
        </w:rPr>
      </w:pPr>
      <w:r w:rsidRPr="000546F1">
        <w:rPr>
          <w:rFonts w:cs="Arial"/>
        </w:rPr>
        <w:t xml:space="preserve">Because guidance for these demonstrations has not yet been prepared, Permittees may implement this Provision only upon Executive Officer acceptance of a Regional Guidance Document submitted collectively by the Permittees to the Water Board. This document will also facilitate Permittee and project compliance with the Demonstration of Technical Infeasibility and the Demonstration of Commensurate Benefit. </w:t>
      </w:r>
      <w:r w:rsidR="00A769DF" w:rsidRPr="000546F1">
        <w:rPr>
          <w:rFonts w:cs="Arial"/>
        </w:rPr>
        <w:t>If the Executive Officer determines that the Regional Guidance Document is sufficiently detailed to enable Permittee review</w:t>
      </w:r>
      <w:r w:rsidR="00A769DF">
        <w:rPr>
          <w:rFonts w:cs="Arial"/>
        </w:rPr>
        <w:t xml:space="preserve"> of</w:t>
      </w:r>
      <w:r w:rsidR="00A769DF" w:rsidRPr="000546F1">
        <w:rPr>
          <w:rFonts w:cs="Arial"/>
        </w:rPr>
        <w:t xml:space="preserve"> demonstrations of technical infeasibility and commensurate benefits for Regulated Projects</w:t>
      </w:r>
      <w:r w:rsidR="15B2035B" w:rsidRPr="06205A1B">
        <w:rPr>
          <w:rFonts w:cs="Arial"/>
        </w:rPr>
        <w:t xml:space="preserve"> in a consistent, objective, and rigorous manner</w:t>
      </w:r>
      <w:r w:rsidR="00A769DF" w:rsidRPr="000546F1">
        <w:rPr>
          <w:rFonts w:cs="Arial"/>
        </w:rPr>
        <w:t>, the Executive Officer may allow Permittees</w:t>
      </w:r>
      <w:bookmarkStart w:id="9" w:name="_Ref137808636"/>
      <w:r w:rsidR="00A769DF" w:rsidRPr="000546F1">
        <w:rPr>
          <w:rStyle w:val="FootnoteReference"/>
          <w:rFonts w:cs="Arial"/>
        </w:rPr>
        <w:footnoteReference w:id="29"/>
      </w:r>
      <w:bookmarkEnd w:id="9"/>
      <w:r w:rsidR="00A769DF" w:rsidRPr="000546F1">
        <w:rPr>
          <w:rFonts w:cs="Arial"/>
        </w:rPr>
        <w:t xml:space="preserve"> to approve the Demonstration of Technical Infeasibility and the Demonstration of Commensurate Benefit for those Regulated Projects, in lieu of the requirement to receive Executive Officer approval of both demonstrations, contingent on Permittees implementing the approved Regional Guidance Document for those Regulated Projects. </w:t>
      </w:r>
      <w:r w:rsidR="258AA296" w:rsidRPr="05B9DE06">
        <w:rPr>
          <w:rFonts w:cs="Arial"/>
        </w:rPr>
        <w:t xml:space="preserve">In future Permits, the Water Board may consider increasing flexibility for the implementation of alternative treatment systems depending on the Permittees' success in implementing this Provision and the state of knowledge about the equivalency of alternative treatment systems relative to LID systems. </w:t>
      </w:r>
    </w:p>
    <w:p w14:paraId="082F5017" w14:textId="0ED3E3BF" w:rsidR="002B1D40" w:rsidRPr="000546F1" w:rsidRDefault="002B1D40" w:rsidP="00477DA3">
      <w:pPr>
        <w:pStyle w:val="MRPA1ai1aia"/>
        <w:rPr>
          <w:rFonts w:cs="Arial"/>
        </w:rPr>
      </w:pPr>
      <w:r w:rsidRPr="000546F1">
        <w:rPr>
          <w:rFonts w:cs="Arial"/>
        </w:rPr>
        <w:t>The level of documentation submitted for each demonstration should reflect the significance and complexity of the proposed project. The Water Board does not anticipate the same level of evaluation will be necessary for each demonstration for all projects, since there is likely a correlation between the scope of the evaluation, demonstrated equivalency, and the potential extent of adverse impacts.</w:t>
      </w:r>
    </w:p>
    <w:p w14:paraId="1A204831" w14:textId="6C5E5085" w:rsidR="002B1D40" w:rsidRPr="000546F1" w:rsidRDefault="002B1D40" w:rsidP="00477DA3">
      <w:pPr>
        <w:pStyle w:val="MRPA1ai1aia"/>
        <w:rPr>
          <w:rFonts w:cs="Arial"/>
        </w:rPr>
      </w:pPr>
      <w:r w:rsidRPr="000546F1">
        <w:rPr>
          <w:rFonts w:cs="Arial"/>
        </w:rPr>
        <w:t xml:space="preserve">Reporting </w:t>
      </w:r>
      <w:r w:rsidR="009432AC">
        <w:rPr>
          <w:rFonts w:cs="Arial"/>
        </w:rPr>
        <w:t xml:space="preserve">requirements have been added in the Order </w:t>
      </w:r>
      <w:r w:rsidRPr="000546F1" w:rsidDel="00D2788B">
        <w:rPr>
          <w:rFonts w:cs="Arial"/>
        </w:rPr>
        <w:t>on</w:t>
      </w:r>
      <w:r w:rsidRPr="000546F1">
        <w:rPr>
          <w:rFonts w:cs="Arial"/>
        </w:rPr>
        <w:t xml:space="preserve"> the use of alternative treatment systems </w:t>
      </w:r>
      <w:r w:rsidR="00D2788B">
        <w:rPr>
          <w:rFonts w:cs="Arial"/>
        </w:rPr>
        <w:t>and are</w:t>
      </w:r>
      <w:r w:rsidRPr="000546F1" w:rsidDel="00D2788B">
        <w:rPr>
          <w:rFonts w:cs="Arial"/>
        </w:rPr>
        <w:t xml:space="preserve"> </w:t>
      </w:r>
      <w:r w:rsidRPr="000546F1">
        <w:rPr>
          <w:rFonts w:cs="Arial"/>
        </w:rPr>
        <w:t>required pursuant to Clean Water Act section 308(a) and Water Code section 13383.</w:t>
      </w:r>
    </w:p>
    <w:p w14:paraId="637E3E5D" w14:textId="09CFE1D0" w:rsidR="002B1D40" w:rsidRPr="000546F1" w:rsidRDefault="002B1D40" w:rsidP="004E27D2">
      <w:pPr>
        <w:spacing w:after="120"/>
        <w:ind w:left="720"/>
        <w:rPr>
          <w:rFonts w:ascii="Arial" w:hAnsi="Arial" w:cs="Arial"/>
          <w:b/>
          <w:sz w:val="24"/>
          <w:szCs w:val="24"/>
        </w:rPr>
      </w:pPr>
      <w:r w:rsidRPr="000546F1">
        <w:rPr>
          <w:rFonts w:ascii="Arial" w:hAnsi="Arial" w:cs="Arial"/>
          <w:b/>
          <w:sz w:val="24"/>
          <w:szCs w:val="24"/>
        </w:rPr>
        <w:t>Examples of Technical Infeasibility</w:t>
      </w:r>
    </w:p>
    <w:p w14:paraId="7D2B6952" w14:textId="77777777" w:rsidR="002B1D40" w:rsidRPr="000546F1" w:rsidRDefault="002B1D40" w:rsidP="004E27D2">
      <w:pPr>
        <w:spacing w:after="120"/>
        <w:ind w:left="720"/>
        <w:rPr>
          <w:rFonts w:ascii="Arial" w:hAnsi="Arial" w:cs="Arial"/>
          <w:b/>
          <w:sz w:val="24"/>
          <w:szCs w:val="24"/>
        </w:rPr>
      </w:pPr>
      <w:r w:rsidRPr="000546F1">
        <w:rPr>
          <w:rFonts w:ascii="Arial" w:hAnsi="Arial" w:cs="Arial"/>
          <w:sz w:val="24"/>
          <w:szCs w:val="24"/>
        </w:rPr>
        <w:t>The following are examples of technical infeasibility which may aid Permittees’ preparation of the Demonstration of Technical Infeasibility required by Provision C.3.c.i.(2)(c)(iii).</w:t>
      </w:r>
    </w:p>
    <w:p w14:paraId="05747271" w14:textId="77777777" w:rsidR="002B1D40" w:rsidRPr="000546F1" w:rsidRDefault="002B1D40" w:rsidP="004E27D2">
      <w:pPr>
        <w:pStyle w:val="ListParagraph"/>
        <w:numPr>
          <w:ilvl w:val="0"/>
          <w:numId w:val="8"/>
        </w:numPr>
        <w:spacing w:after="120" w:line="240" w:lineRule="auto"/>
        <w:ind w:left="1080"/>
        <w:contextualSpacing w:val="0"/>
        <w:rPr>
          <w:rFonts w:ascii="Arial" w:hAnsi="Arial" w:cs="Arial"/>
          <w:sz w:val="24"/>
          <w:szCs w:val="24"/>
        </w:rPr>
      </w:pPr>
      <w:r w:rsidRPr="000546F1">
        <w:rPr>
          <w:rFonts w:ascii="Arial" w:hAnsi="Arial" w:cs="Arial"/>
          <w:sz w:val="24"/>
          <w:szCs w:val="24"/>
        </w:rPr>
        <w:t xml:space="preserve">Examples of on-site technical infeasibility which are potentially acceptable: </w:t>
      </w:r>
    </w:p>
    <w:p w14:paraId="5F571212" w14:textId="77777777" w:rsidR="002B1D40" w:rsidRPr="000546F1" w:rsidRDefault="002B1D40" w:rsidP="004E27D2">
      <w:pPr>
        <w:pStyle w:val="ListParagraph"/>
        <w:numPr>
          <w:ilvl w:val="1"/>
          <w:numId w:val="8"/>
        </w:numPr>
        <w:spacing w:after="120" w:line="240" w:lineRule="auto"/>
        <w:ind w:left="1800"/>
        <w:contextualSpacing w:val="0"/>
        <w:rPr>
          <w:rFonts w:ascii="Arial" w:hAnsi="Arial" w:cs="Arial"/>
          <w:sz w:val="24"/>
          <w:szCs w:val="24"/>
        </w:rPr>
      </w:pPr>
      <w:r w:rsidRPr="000546F1">
        <w:rPr>
          <w:rFonts w:ascii="Arial" w:hAnsi="Arial" w:cs="Arial"/>
          <w:sz w:val="24"/>
          <w:szCs w:val="24"/>
        </w:rPr>
        <w:t xml:space="preserve">The project is a “zero lot line” development with no landscaping at ground level or at any other level; the project includes no open space that could incorporate LID measures; the roof slope is so great (e.g., 50 percent) that it precludes implementation of a green roof; the roof </w:t>
      </w:r>
      <w:r w:rsidRPr="000546F1">
        <w:rPr>
          <w:rFonts w:ascii="Arial" w:hAnsi="Arial" w:cs="Arial"/>
          <w:sz w:val="24"/>
          <w:szCs w:val="24"/>
        </w:rPr>
        <w:lastRenderedPageBreak/>
        <w:t xml:space="preserve">must be covered in solar panels and therefore cannot be designed as a green roof; stormwater runoff can be harvested from the site, but there is no feasible use for the harvested stormwater. </w:t>
      </w:r>
    </w:p>
    <w:p w14:paraId="2A5D1F25" w14:textId="77777777" w:rsidR="002B1D40" w:rsidRPr="000546F1" w:rsidRDefault="002B1D40" w:rsidP="004E27D2">
      <w:pPr>
        <w:pStyle w:val="ListParagraph"/>
        <w:numPr>
          <w:ilvl w:val="0"/>
          <w:numId w:val="8"/>
        </w:numPr>
        <w:spacing w:after="120" w:line="240" w:lineRule="auto"/>
        <w:ind w:left="1080"/>
        <w:contextualSpacing w:val="0"/>
        <w:rPr>
          <w:rFonts w:ascii="Arial" w:hAnsi="Arial" w:cs="Arial"/>
          <w:sz w:val="24"/>
          <w:szCs w:val="24"/>
        </w:rPr>
      </w:pPr>
      <w:r w:rsidRPr="000546F1">
        <w:rPr>
          <w:rFonts w:ascii="Arial" w:hAnsi="Arial" w:cs="Arial"/>
          <w:sz w:val="24"/>
          <w:szCs w:val="24"/>
        </w:rPr>
        <w:t>Examples of on-site technical infeasibility which are likely not acceptable:</w:t>
      </w:r>
    </w:p>
    <w:p w14:paraId="5180A9C7" w14:textId="77777777" w:rsidR="002B1D40" w:rsidRPr="000546F1" w:rsidRDefault="002B1D40" w:rsidP="004E27D2">
      <w:pPr>
        <w:pStyle w:val="ListParagraph"/>
        <w:numPr>
          <w:ilvl w:val="1"/>
          <w:numId w:val="8"/>
        </w:numPr>
        <w:spacing w:after="120" w:line="240" w:lineRule="auto"/>
        <w:ind w:left="1800"/>
        <w:contextualSpacing w:val="0"/>
        <w:rPr>
          <w:rFonts w:ascii="Arial" w:hAnsi="Arial" w:cs="Arial"/>
          <w:sz w:val="24"/>
          <w:szCs w:val="24"/>
        </w:rPr>
      </w:pPr>
      <w:r w:rsidRPr="000546F1">
        <w:rPr>
          <w:rFonts w:ascii="Arial" w:hAnsi="Arial" w:cs="Arial"/>
          <w:i/>
          <w:sz w:val="24"/>
          <w:szCs w:val="24"/>
        </w:rPr>
        <w:t>It is technically infeasible to treat 100 percent of the C.3.d volume/flow with on-site LID measures; therefore, no on-site LID will be included.</w:t>
      </w:r>
      <w:r w:rsidRPr="000546F1">
        <w:rPr>
          <w:rFonts w:ascii="Arial" w:hAnsi="Arial" w:cs="Arial"/>
          <w:sz w:val="24"/>
          <w:szCs w:val="24"/>
        </w:rPr>
        <w:t xml:space="preserve"> On-site LID must be maximized; it is not a binary option where there is either 100 percent LID treatment or no LID treatment. </w:t>
      </w:r>
    </w:p>
    <w:p w14:paraId="4FFE213E" w14:textId="77777777" w:rsidR="002B1D40" w:rsidRPr="000546F1" w:rsidRDefault="002B1D40" w:rsidP="004E27D2">
      <w:pPr>
        <w:pStyle w:val="ListParagraph"/>
        <w:numPr>
          <w:ilvl w:val="1"/>
          <w:numId w:val="8"/>
        </w:numPr>
        <w:spacing w:after="120" w:line="240" w:lineRule="auto"/>
        <w:ind w:left="1800"/>
        <w:contextualSpacing w:val="0"/>
        <w:rPr>
          <w:rFonts w:ascii="Arial" w:hAnsi="Arial" w:cs="Arial"/>
          <w:sz w:val="24"/>
          <w:szCs w:val="24"/>
        </w:rPr>
      </w:pPr>
      <w:r w:rsidRPr="000546F1">
        <w:rPr>
          <w:rFonts w:ascii="Arial" w:hAnsi="Arial" w:cs="Arial"/>
          <w:i/>
          <w:sz w:val="24"/>
          <w:szCs w:val="24"/>
        </w:rPr>
        <w:t xml:space="preserve">The site is too flat to route stormwater runoff to LID treatment measures. </w:t>
      </w:r>
      <w:r w:rsidRPr="000546F1">
        <w:rPr>
          <w:rFonts w:ascii="Arial" w:hAnsi="Arial" w:cs="Arial"/>
          <w:sz w:val="24"/>
          <w:szCs w:val="24"/>
        </w:rPr>
        <w:t>Different areas of the site could be graded as needed to direct stormwater runoff to LID treatment measures. If graded overland/sheet flow cannot provide sufficient hydraulic head, bubblers can be used. If neither graded overland/sheet flow nor bubblers can provide sufficient head, pumping should be considered.</w:t>
      </w:r>
    </w:p>
    <w:p w14:paraId="634E1B37" w14:textId="77777777" w:rsidR="002B1D40" w:rsidRPr="000546F1" w:rsidRDefault="002B1D40" w:rsidP="004E27D2">
      <w:pPr>
        <w:pStyle w:val="ListParagraph"/>
        <w:numPr>
          <w:ilvl w:val="1"/>
          <w:numId w:val="8"/>
        </w:numPr>
        <w:spacing w:after="120" w:line="240" w:lineRule="auto"/>
        <w:ind w:left="1800"/>
        <w:contextualSpacing w:val="0"/>
        <w:rPr>
          <w:rFonts w:ascii="Arial" w:hAnsi="Arial" w:cs="Arial"/>
          <w:sz w:val="24"/>
          <w:szCs w:val="24"/>
        </w:rPr>
      </w:pPr>
      <w:r w:rsidRPr="000546F1">
        <w:rPr>
          <w:rFonts w:ascii="Arial" w:hAnsi="Arial" w:cs="Arial"/>
          <w:i/>
          <w:sz w:val="24"/>
          <w:szCs w:val="24"/>
        </w:rPr>
        <w:t>Long lengths of plumbing from the podium/courtyard level within the retail spaces to the frontage are impracticable.</w:t>
      </w:r>
      <w:r w:rsidRPr="000546F1">
        <w:rPr>
          <w:rFonts w:ascii="Arial" w:hAnsi="Arial" w:cs="Arial"/>
          <w:sz w:val="24"/>
          <w:szCs w:val="24"/>
        </w:rPr>
        <w:t xml:space="preserve"> This does not provide enough detail to explain why this is infeasible. </w:t>
      </w:r>
    </w:p>
    <w:p w14:paraId="46770910" w14:textId="71D4D8B2" w:rsidR="002B1D40" w:rsidRPr="000546F1" w:rsidRDefault="002B1D40" w:rsidP="004E27D2">
      <w:pPr>
        <w:pStyle w:val="ListParagraph"/>
        <w:numPr>
          <w:ilvl w:val="1"/>
          <w:numId w:val="8"/>
        </w:numPr>
        <w:spacing w:after="120" w:line="240" w:lineRule="auto"/>
        <w:ind w:left="1800"/>
        <w:contextualSpacing w:val="0"/>
        <w:rPr>
          <w:rFonts w:ascii="Arial" w:hAnsi="Arial" w:cs="Arial"/>
          <w:sz w:val="24"/>
          <w:szCs w:val="24"/>
        </w:rPr>
      </w:pPr>
      <w:r w:rsidRPr="000546F1">
        <w:rPr>
          <w:rFonts w:ascii="Arial" w:hAnsi="Arial" w:cs="Arial"/>
          <w:i/>
          <w:sz w:val="24"/>
          <w:szCs w:val="24"/>
        </w:rPr>
        <w:t>Due to the dynamic nature of retail spaces and limited frontage space, placing ground-level planters in front of retail spaces imposes a heavy constraint on retail door locations.</w:t>
      </w:r>
      <w:r w:rsidRPr="000546F1">
        <w:rPr>
          <w:rFonts w:ascii="Arial" w:hAnsi="Arial" w:cs="Arial"/>
          <w:sz w:val="24"/>
          <w:szCs w:val="24"/>
        </w:rPr>
        <w:t xml:space="preserve"> To the extent that retail door locations may change over time, the constraint of being limited to existing door locations is commensurate with the water quality benefit provided by the LID treatment measures. LID measure locations may also be modified as door locations and their associated entry paths are moved.</w:t>
      </w:r>
    </w:p>
    <w:p w14:paraId="5FA37CDB" w14:textId="77777777" w:rsidR="002B1D40" w:rsidRPr="000546F1" w:rsidRDefault="002B1D40" w:rsidP="004E27D2">
      <w:pPr>
        <w:pStyle w:val="ListParagraph"/>
        <w:numPr>
          <w:ilvl w:val="1"/>
          <w:numId w:val="8"/>
        </w:numPr>
        <w:spacing w:after="120" w:line="240" w:lineRule="auto"/>
        <w:ind w:left="1800"/>
        <w:contextualSpacing w:val="0"/>
        <w:rPr>
          <w:rFonts w:ascii="Arial" w:hAnsi="Arial" w:cs="Arial"/>
          <w:sz w:val="24"/>
          <w:szCs w:val="24"/>
        </w:rPr>
      </w:pPr>
      <w:r w:rsidRPr="000546F1">
        <w:rPr>
          <w:rFonts w:ascii="Arial" w:hAnsi="Arial" w:cs="Arial"/>
          <w:i/>
          <w:sz w:val="24"/>
          <w:szCs w:val="24"/>
        </w:rPr>
        <w:t>This landscaping strip is too narrow to be designed as bioretention.</w:t>
      </w:r>
      <w:r w:rsidRPr="000546F1">
        <w:rPr>
          <w:rFonts w:ascii="Arial" w:hAnsi="Arial" w:cs="Arial"/>
          <w:sz w:val="24"/>
          <w:szCs w:val="24"/>
        </w:rPr>
        <w:t xml:space="preserve"> Because there are many examples of bioretention designed in narrow strips, this does not provide enough detail to explain why this is infeasible, and additional justification is required.</w:t>
      </w:r>
    </w:p>
    <w:p w14:paraId="1DF9D9CB" w14:textId="77777777" w:rsidR="002B1D40" w:rsidRPr="000546F1" w:rsidRDefault="002B1D40" w:rsidP="004E27D2">
      <w:pPr>
        <w:pStyle w:val="ListParagraph"/>
        <w:numPr>
          <w:ilvl w:val="0"/>
          <w:numId w:val="8"/>
        </w:numPr>
        <w:spacing w:after="120" w:line="240" w:lineRule="auto"/>
        <w:ind w:left="1080"/>
        <w:contextualSpacing w:val="0"/>
        <w:rPr>
          <w:rFonts w:ascii="Arial" w:hAnsi="Arial" w:cs="Arial"/>
          <w:sz w:val="24"/>
          <w:szCs w:val="24"/>
        </w:rPr>
      </w:pPr>
      <w:r w:rsidRPr="000546F1">
        <w:rPr>
          <w:rFonts w:ascii="Arial" w:hAnsi="Arial" w:cs="Arial"/>
          <w:sz w:val="24"/>
          <w:szCs w:val="24"/>
        </w:rPr>
        <w:t xml:space="preserve">Examples of off-site technical infeasibility which are potentially acceptable: </w:t>
      </w:r>
    </w:p>
    <w:p w14:paraId="1524FA5E" w14:textId="77777777" w:rsidR="002B1D40" w:rsidRPr="000546F1" w:rsidRDefault="002B1D40" w:rsidP="004E27D2">
      <w:pPr>
        <w:pStyle w:val="ListParagraph"/>
        <w:numPr>
          <w:ilvl w:val="1"/>
          <w:numId w:val="8"/>
        </w:numPr>
        <w:spacing w:after="120" w:line="240" w:lineRule="auto"/>
        <w:ind w:left="1800"/>
        <w:contextualSpacing w:val="0"/>
        <w:rPr>
          <w:rFonts w:ascii="Arial" w:hAnsi="Arial" w:cs="Arial"/>
          <w:sz w:val="24"/>
          <w:szCs w:val="24"/>
        </w:rPr>
      </w:pPr>
      <w:r w:rsidRPr="000546F1">
        <w:rPr>
          <w:rFonts w:ascii="Arial" w:hAnsi="Arial" w:cs="Arial"/>
          <w:sz w:val="24"/>
          <w:szCs w:val="24"/>
        </w:rPr>
        <w:t xml:space="preserve">There are no opportunities in the adjacent public right-of-way (ROW) to implement LID measures that would treat the Provision C.3.d volume/flow from the project; there are no opportunities in the adjacent/nearby public ROW to implement (or contribute to the implementation of) LID measures that would treat the Provision C.3.d volume/flow from the project and potentially also from other projects and portions of the public ROW; there are no opportunities elsewhere within the city or county, including other municipalities within the county, to implement LID systems that would treat an amount of stormwater runoff (from an equally-polluting tributary drainage area) that is no less than the Provision C.3.d volume/flow for the project; there are no opportunities to contribute commensurate </w:t>
      </w:r>
      <w:r w:rsidRPr="000546F1">
        <w:rPr>
          <w:rFonts w:ascii="Arial" w:hAnsi="Arial" w:cs="Arial"/>
          <w:sz w:val="24"/>
          <w:szCs w:val="24"/>
        </w:rPr>
        <w:lastRenderedPageBreak/>
        <w:t>funding/resources to a project identified in a city’s or county’s Green Stormwater Infrastructure Plan.</w:t>
      </w:r>
    </w:p>
    <w:p w14:paraId="46A5B5C6" w14:textId="77777777" w:rsidR="002B1D40" w:rsidRPr="000546F1" w:rsidRDefault="002B1D40" w:rsidP="004E27D2">
      <w:pPr>
        <w:pStyle w:val="ListParagraph"/>
        <w:numPr>
          <w:ilvl w:val="0"/>
          <w:numId w:val="8"/>
        </w:numPr>
        <w:spacing w:after="120" w:line="240" w:lineRule="auto"/>
        <w:ind w:left="1080"/>
        <w:contextualSpacing w:val="0"/>
        <w:rPr>
          <w:rFonts w:ascii="Arial" w:hAnsi="Arial" w:cs="Arial"/>
          <w:sz w:val="24"/>
          <w:szCs w:val="24"/>
        </w:rPr>
      </w:pPr>
      <w:r w:rsidRPr="000546F1">
        <w:rPr>
          <w:rFonts w:ascii="Arial" w:hAnsi="Arial" w:cs="Arial"/>
          <w:sz w:val="24"/>
          <w:szCs w:val="24"/>
        </w:rPr>
        <w:t>Examples of off-site technical infeasibility which are likely not acceptable:</w:t>
      </w:r>
    </w:p>
    <w:p w14:paraId="5E3B4DA9" w14:textId="77777777" w:rsidR="002B1D40" w:rsidRPr="000546F1" w:rsidRDefault="002B1D40" w:rsidP="004E27D2">
      <w:pPr>
        <w:pStyle w:val="ListParagraph"/>
        <w:numPr>
          <w:ilvl w:val="1"/>
          <w:numId w:val="8"/>
        </w:numPr>
        <w:spacing w:after="120" w:line="240" w:lineRule="auto"/>
        <w:ind w:left="1800"/>
        <w:contextualSpacing w:val="0"/>
        <w:rPr>
          <w:rFonts w:ascii="Arial" w:hAnsi="Arial" w:cs="Arial"/>
          <w:sz w:val="24"/>
          <w:szCs w:val="24"/>
        </w:rPr>
      </w:pPr>
      <w:r w:rsidRPr="000546F1">
        <w:rPr>
          <w:rFonts w:ascii="Arial" w:hAnsi="Arial" w:cs="Arial"/>
          <w:i/>
          <w:sz w:val="24"/>
          <w:szCs w:val="24"/>
        </w:rPr>
        <w:t>The project proponent does not own or otherwise control land within the same watershed of the project that can accommodate off-site bioretention facilities adequately sized to treat the required Provision C.3.d volume/flow.</w:t>
      </w:r>
      <w:r w:rsidRPr="000546F1">
        <w:rPr>
          <w:rFonts w:ascii="Arial" w:hAnsi="Arial" w:cs="Arial"/>
          <w:sz w:val="24"/>
          <w:szCs w:val="24"/>
        </w:rPr>
        <w:t xml:space="preserve"> The project proponent could contribute to a planned/potential project on land owned or controlled by another party (e.g., the city, county, or other municipalities within the county). </w:t>
      </w:r>
    </w:p>
    <w:p w14:paraId="241F3958" w14:textId="77777777" w:rsidR="002B1D40" w:rsidRPr="000546F1" w:rsidRDefault="002B1D40" w:rsidP="004E27D2">
      <w:pPr>
        <w:pStyle w:val="ListParagraph"/>
        <w:numPr>
          <w:ilvl w:val="1"/>
          <w:numId w:val="8"/>
        </w:numPr>
        <w:spacing w:after="120" w:line="240" w:lineRule="auto"/>
        <w:ind w:left="1800"/>
        <w:contextualSpacing w:val="0"/>
        <w:rPr>
          <w:rFonts w:ascii="Arial" w:hAnsi="Arial" w:cs="Arial"/>
          <w:sz w:val="24"/>
          <w:szCs w:val="24"/>
        </w:rPr>
      </w:pPr>
      <w:r w:rsidRPr="000546F1">
        <w:rPr>
          <w:rFonts w:ascii="Arial" w:hAnsi="Arial" w:cs="Arial"/>
          <w:i/>
          <w:sz w:val="24"/>
          <w:szCs w:val="24"/>
        </w:rPr>
        <w:t>There is no county/regional LID stormwater mitigation program available to the project for in-lieu Provision C.3 compliance.</w:t>
      </w:r>
      <w:r w:rsidRPr="000546F1">
        <w:rPr>
          <w:rFonts w:ascii="Arial" w:hAnsi="Arial" w:cs="Arial"/>
          <w:sz w:val="24"/>
          <w:szCs w:val="24"/>
        </w:rPr>
        <w:t xml:space="preserve"> The project proponent could come to agreement with the city, county, or other municipalities within the county, on a “one-off” project (e.g., in the adjacent/nearby public ROW) as a condition of project approval. </w:t>
      </w:r>
    </w:p>
    <w:p w14:paraId="5CE79C7D" w14:textId="77777777" w:rsidR="002B1D40" w:rsidRPr="000546F1" w:rsidRDefault="002B1D40" w:rsidP="004E27D2">
      <w:pPr>
        <w:pStyle w:val="ListParagraph"/>
        <w:numPr>
          <w:ilvl w:val="1"/>
          <w:numId w:val="8"/>
        </w:numPr>
        <w:spacing w:after="120" w:line="240" w:lineRule="auto"/>
        <w:ind w:left="1800"/>
        <w:contextualSpacing w:val="0"/>
        <w:rPr>
          <w:rFonts w:ascii="Arial" w:hAnsi="Arial" w:cs="Arial"/>
          <w:sz w:val="24"/>
          <w:szCs w:val="24"/>
        </w:rPr>
      </w:pPr>
      <w:r w:rsidRPr="000546F1">
        <w:rPr>
          <w:rFonts w:ascii="Arial" w:hAnsi="Arial" w:cs="Arial"/>
          <w:i/>
          <w:sz w:val="24"/>
          <w:szCs w:val="24"/>
        </w:rPr>
        <w:t>The City does not want to be responsible for a Regulated Project’s Provision C.3 compliance on its public ROW, because it restricts what the City can do with that section of ROW</w:t>
      </w:r>
      <w:r w:rsidRPr="000546F1">
        <w:rPr>
          <w:rFonts w:ascii="Arial" w:hAnsi="Arial" w:cs="Arial"/>
          <w:sz w:val="24"/>
          <w:szCs w:val="24"/>
        </w:rPr>
        <w:t>. Municipalities routinely require extensive reconstruction of the adjacent public ROW as a condition of approval on private redevelopment projects; if such a project did include LID measure(s) in the reconstruction public ROW, it is unlikely that the municipality would want to change the ROW in such a way that would require removal of the LID measure(s) located in that ROW. Regardless, this provision is optional, and municipalities may choose to require project proponents to implement on-site LID treatment in lieu of off-site LID treatment.</w:t>
      </w:r>
    </w:p>
    <w:p w14:paraId="3C6B581A" w14:textId="0D8A1B5B" w:rsidR="002B1D40" w:rsidRPr="000546F1" w:rsidRDefault="002B1D40" w:rsidP="008208C0">
      <w:pPr>
        <w:spacing w:after="120"/>
        <w:ind w:firstLine="720"/>
        <w:rPr>
          <w:rFonts w:ascii="Arial" w:hAnsi="Arial" w:cs="Arial"/>
          <w:b/>
          <w:sz w:val="24"/>
          <w:szCs w:val="24"/>
        </w:rPr>
      </w:pPr>
      <w:r w:rsidRPr="000546F1">
        <w:rPr>
          <w:rFonts w:ascii="Arial" w:hAnsi="Arial" w:cs="Arial"/>
          <w:b/>
          <w:sz w:val="24"/>
          <w:szCs w:val="24"/>
        </w:rPr>
        <w:t>Examples of Commensurate Benefit:</w:t>
      </w:r>
    </w:p>
    <w:p w14:paraId="7D1FBE79" w14:textId="4B9BBA57" w:rsidR="002B1D40" w:rsidRPr="000546F1" w:rsidRDefault="002B1D40" w:rsidP="004E27D2">
      <w:pPr>
        <w:spacing w:after="120"/>
        <w:ind w:left="720"/>
        <w:rPr>
          <w:rFonts w:ascii="Arial" w:hAnsi="Arial" w:cs="Arial"/>
          <w:b/>
          <w:sz w:val="24"/>
          <w:szCs w:val="24"/>
        </w:rPr>
      </w:pPr>
      <w:r w:rsidRPr="000546F1">
        <w:rPr>
          <w:rFonts w:ascii="Arial" w:hAnsi="Arial" w:cs="Arial"/>
          <w:sz w:val="24"/>
          <w:szCs w:val="24"/>
        </w:rPr>
        <w:t xml:space="preserve">The following are examples of types of BMPs and projects </w:t>
      </w:r>
      <w:r w:rsidR="00E816EA">
        <w:rPr>
          <w:rFonts w:ascii="Arial" w:hAnsi="Arial" w:cs="Arial"/>
          <w:sz w:val="24"/>
          <w:szCs w:val="24"/>
        </w:rPr>
        <w:t>that</w:t>
      </w:r>
      <w:r w:rsidRPr="000546F1">
        <w:rPr>
          <w:rFonts w:ascii="Arial" w:hAnsi="Arial" w:cs="Arial"/>
          <w:sz w:val="24"/>
          <w:szCs w:val="24"/>
        </w:rPr>
        <w:t xml:space="preserve"> could be used to achieve commensurate flow control and urban greening benefit (i.e., an equivalent amount of that benefit as would have been provided by the project if the project were to implement LID), which may aid Permittees’ preparation of the Demonstration of Commensurate Benefit required by Provision C.3.c.i.(2)(c)(iii).</w:t>
      </w:r>
    </w:p>
    <w:p w14:paraId="45DB30C7" w14:textId="77777777" w:rsidR="002B1D40" w:rsidRPr="000546F1" w:rsidRDefault="002B1D40" w:rsidP="004E27D2">
      <w:pPr>
        <w:pStyle w:val="ListParagraph"/>
        <w:numPr>
          <w:ilvl w:val="0"/>
          <w:numId w:val="8"/>
        </w:numPr>
        <w:spacing w:after="120" w:line="240" w:lineRule="auto"/>
        <w:ind w:left="1080"/>
        <w:contextualSpacing w:val="0"/>
        <w:rPr>
          <w:rFonts w:ascii="Arial" w:hAnsi="Arial" w:cs="Arial"/>
          <w:sz w:val="24"/>
          <w:szCs w:val="24"/>
        </w:rPr>
      </w:pPr>
      <w:r w:rsidRPr="000546F1">
        <w:rPr>
          <w:rFonts w:ascii="Arial" w:hAnsi="Arial" w:cs="Arial"/>
          <w:sz w:val="24"/>
          <w:szCs w:val="24"/>
        </w:rPr>
        <w:t xml:space="preserve">Examples of flow control systems that could be used to achieve commensurate flow control benefit, that are potentially acceptable: </w:t>
      </w:r>
    </w:p>
    <w:p w14:paraId="04EB0FD9" w14:textId="06481AC0" w:rsidR="002B1D40" w:rsidRPr="000546F1" w:rsidRDefault="002B1D40" w:rsidP="004E27D2">
      <w:pPr>
        <w:pStyle w:val="ListParagraph"/>
        <w:numPr>
          <w:ilvl w:val="1"/>
          <w:numId w:val="8"/>
        </w:numPr>
        <w:spacing w:after="120" w:line="240" w:lineRule="auto"/>
        <w:ind w:left="1800"/>
        <w:contextualSpacing w:val="0"/>
        <w:rPr>
          <w:rFonts w:ascii="Arial" w:hAnsi="Arial" w:cs="Arial"/>
          <w:sz w:val="24"/>
          <w:szCs w:val="24"/>
        </w:rPr>
      </w:pPr>
      <w:r w:rsidRPr="000546F1">
        <w:rPr>
          <w:rFonts w:ascii="Arial" w:hAnsi="Arial" w:cs="Arial"/>
          <w:sz w:val="24"/>
          <w:szCs w:val="24"/>
        </w:rPr>
        <w:t>Harvesting and use; systems that provide sufficient retention; systems that provide sufficient infiltration.</w:t>
      </w:r>
    </w:p>
    <w:p w14:paraId="48CBAB3C" w14:textId="77777777" w:rsidR="002B1D40" w:rsidRPr="000546F1" w:rsidRDefault="002B1D40" w:rsidP="004E27D2">
      <w:pPr>
        <w:pStyle w:val="ListParagraph"/>
        <w:numPr>
          <w:ilvl w:val="0"/>
          <w:numId w:val="8"/>
        </w:numPr>
        <w:spacing w:after="120" w:line="240" w:lineRule="auto"/>
        <w:ind w:left="1080"/>
        <w:contextualSpacing w:val="0"/>
        <w:rPr>
          <w:rFonts w:ascii="Arial" w:hAnsi="Arial" w:cs="Arial"/>
          <w:sz w:val="24"/>
          <w:szCs w:val="24"/>
        </w:rPr>
      </w:pPr>
      <w:r w:rsidRPr="000546F1">
        <w:rPr>
          <w:rFonts w:ascii="Arial" w:hAnsi="Arial" w:cs="Arial"/>
          <w:sz w:val="24"/>
          <w:szCs w:val="24"/>
        </w:rPr>
        <w:t xml:space="preserve">Examples of flow control systems that could be used to achieve commensurate flow control benefit that are likely not acceptable: </w:t>
      </w:r>
    </w:p>
    <w:p w14:paraId="3540CBCE" w14:textId="5A1592ED" w:rsidR="00F37F74" w:rsidRPr="00320EFE" w:rsidRDefault="002B1D40" w:rsidP="006C0CD7">
      <w:pPr>
        <w:pStyle w:val="ListParagraph"/>
        <w:numPr>
          <w:ilvl w:val="1"/>
          <w:numId w:val="8"/>
        </w:numPr>
        <w:spacing w:after="120" w:line="240" w:lineRule="auto"/>
        <w:ind w:left="1800"/>
        <w:contextualSpacing w:val="0"/>
        <w:rPr>
          <w:rFonts w:ascii="Arial" w:hAnsi="Arial" w:cs="Arial"/>
          <w:sz w:val="24"/>
          <w:szCs w:val="24"/>
        </w:rPr>
      </w:pPr>
      <w:r w:rsidRPr="000546F1">
        <w:rPr>
          <w:rFonts w:ascii="Arial" w:hAnsi="Arial" w:cs="Arial"/>
          <w:sz w:val="24"/>
          <w:szCs w:val="24"/>
        </w:rPr>
        <w:t xml:space="preserve">Systems that inappropriately assume highly infiltrative native soils. </w:t>
      </w:r>
    </w:p>
    <w:p w14:paraId="0B5FD300" w14:textId="77777777" w:rsidR="00833DD6" w:rsidRDefault="00833DD6">
      <w:pPr>
        <w:rPr>
          <w:rFonts w:ascii="Arial" w:hAnsi="Arial" w:cs="Arial"/>
          <w:b/>
          <w:bCs/>
          <w:sz w:val="24"/>
          <w:szCs w:val="24"/>
          <w:u w:val="single"/>
        </w:rPr>
      </w:pPr>
      <w:r>
        <w:br w:type="page"/>
      </w:r>
    </w:p>
    <w:p w14:paraId="0E033419" w14:textId="68B88F56" w:rsidR="004D4440" w:rsidRPr="00652647" w:rsidRDefault="004D4440" w:rsidP="00403046">
      <w:pPr>
        <w:pStyle w:val="Heading5"/>
      </w:pPr>
      <w:r w:rsidRPr="00BC2289">
        <w:lastRenderedPageBreak/>
        <w:t xml:space="preserve">New Information Justifying, and Rationale and Basis for, Amendments to </w:t>
      </w:r>
      <w:r w:rsidRPr="00652647">
        <w:t>Provision C.3.e.ii.(5) Category C Special Projects</w:t>
      </w:r>
    </w:p>
    <w:p w14:paraId="6E0EF3EC" w14:textId="74B6413C" w:rsidR="00495C96" w:rsidRDefault="00495C96" w:rsidP="00495C96">
      <w:pPr>
        <w:rPr>
          <w:rFonts w:ascii="Arial" w:hAnsi="Arial" w:cs="Arial"/>
          <w:sz w:val="24"/>
          <w:szCs w:val="24"/>
        </w:rPr>
      </w:pPr>
      <w:r w:rsidRPr="43A11A4F">
        <w:rPr>
          <w:rFonts w:ascii="Arial" w:hAnsi="Arial" w:cs="Arial"/>
          <w:sz w:val="24"/>
          <w:szCs w:val="24"/>
        </w:rPr>
        <w:t xml:space="preserve">As </w:t>
      </w:r>
      <w:r>
        <w:rPr>
          <w:rFonts w:ascii="Arial" w:hAnsi="Arial" w:cs="Arial"/>
          <w:sz w:val="24"/>
          <w:szCs w:val="24"/>
        </w:rPr>
        <w:t xml:space="preserve">stated earlier, when the </w:t>
      </w:r>
      <w:r w:rsidRPr="43A11A4F">
        <w:rPr>
          <w:rFonts w:ascii="Arial" w:hAnsi="Arial" w:cs="Arial"/>
          <w:sz w:val="24"/>
          <w:szCs w:val="24"/>
        </w:rPr>
        <w:t xml:space="preserve">Water Board </w:t>
      </w:r>
      <w:r>
        <w:rPr>
          <w:rFonts w:ascii="Arial" w:hAnsi="Arial" w:cs="Arial"/>
          <w:sz w:val="24"/>
          <w:szCs w:val="24"/>
        </w:rPr>
        <w:t xml:space="preserve">adopted the Permit, it </w:t>
      </w:r>
      <w:r w:rsidRPr="43A11A4F">
        <w:rPr>
          <w:rFonts w:ascii="Arial" w:hAnsi="Arial" w:cs="Arial"/>
          <w:sz w:val="24"/>
          <w:szCs w:val="24"/>
        </w:rPr>
        <w:t>asked staff to review Provision C.3.e.ii.(5) Category C Special Project (Affordable Housing) criteria and potential impacts on housing costs. Additionally, the Board received comments expressing concern that the criteria were too prescriptive, or otherwise did not mesh well with the range of affordable projects being built and had the potential to conflict with incentive programs that had been established to support affordable housing production. In response, the Water Board staff convened a workgroup to consider those issues and received and reviewed new information to better inform the Water Board’s understanding of how the criteria work with the range of affordable housing projects being built.</w:t>
      </w:r>
      <w:r w:rsidRPr="00BC2289">
        <w:rPr>
          <w:rFonts w:ascii="Arial" w:hAnsi="Arial" w:cs="Arial"/>
        </w:rPr>
        <w:t xml:space="preserve"> </w:t>
      </w:r>
      <w:r w:rsidRPr="43A11A4F">
        <w:rPr>
          <w:rFonts w:ascii="Arial" w:hAnsi="Arial" w:cs="Arial"/>
          <w:sz w:val="24"/>
          <w:szCs w:val="24"/>
        </w:rPr>
        <w:t xml:space="preserve">Specifically, in September 2022, Water Board staff convened a Category C Special Projects/Affordable Housing Workgroup, which met seven times between September 2022 and April 2023, to discuss Category C Special Project criteria. The Workgroup was co-led by Permittees’ staff and Water Board staff. Workgroup participants included non-profit/affordable housing advocates, for-profit housing advocates, municipal housing authorities, Permittees, Metropolitan Transportation Commission (MTC)/Association of Bay Area Governments (ABAG), engineering consultants, business groups, and others. Workgroup participants gave presentations on the following topics: 1) Definitions of affordable housing; 2) The kinds of projects implemented in the region that include affordable housing; 3) Concerns about how those affordable housing projects may be affected by the Permit’s Category C Special Project Criteria; and 4) Recommended changes to Category C Special Projects. The Workgroup additionally considered potential effects of </w:t>
      </w:r>
      <w:r w:rsidR="009E7D79" w:rsidRPr="009E7D79">
        <w:rPr>
          <w:rFonts w:ascii="Arial" w:hAnsi="Arial" w:cs="Arial"/>
          <w:sz w:val="24"/>
          <w:szCs w:val="24"/>
        </w:rPr>
        <w:t xml:space="preserve">Provision C.3.e.ii.(5) </w:t>
      </w:r>
      <w:r w:rsidRPr="43A11A4F">
        <w:rPr>
          <w:rFonts w:ascii="Arial" w:hAnsi="Arial" w:cs="Arial"/>
          <w:sz w:val="24"/>
          <w:szCs w:val="24"/>
        </w:rPr>
        <w:t>on housing generally, including infill housing.</w:t>
      </w:r>
    </w:p>
    <w:p w14:paraId="4EB0A430" w14:textId="75DBB88C" w:rsidR="00495C96" w:rsidRDefault="00495C96" w:rsidP="00495C96">
      <w:pPr>
        <w:rPr>
          <w:rFonts w:ascii="Arial" w:hAnsi="Arial" w:cs="Arial"/>
          <w:sz w:val="24"/>
        </w:rPr>
      </w:pPr>
      <w:r>
        <w:rPr>
          <w:rFonts w:ascii="Arial" w:hAnsi="Arial" w:cs="Arial"/>
          <w:sz w:val="24"/>
        </w:rPr>
        <w:t xml:space="preserve">The new information presented at the Workgroup and reviewed by Water Board staff did not identify a cost impact from the Permit’s LID standard that was different from the cost of alternative treatment systems. Additionally, Workgroup discussions and the Water Board’s review of incentive programs and related information determined that there was not a conflict with the incentive programs. However, the information demonstrated that the Category C criteria in the Permit, as issued, would in practice apply primarily </w:t>
      </w:r>
      <w:r w:rsidR="009725BF">
        <w:rPr>
          <w:rFonts w:ascii="Arial" w:hAnsi="Arial" w:cs="Arial"/>
          <w:sz w:val="24"/>
        </w:rPr>
        <w:t xml:space="preserve">to </w:t>
      </w:r>
      <w:r>
        <w:rPr>
          <w:rFonts w:ascii="Arial" w:hAnsi="Arial" w:cs="Arial"/>
          <w:sz w:val="24"/>
        </w:rPr>
        <w:t>fully affordable projects constructed by public or non-profit entities. The criteria had the effect of excluding from potential flexibility certain projects (primarily for-profit projects) that provided affordable housing but were not fully affordable. That was not the intent and, thus, there was an opportunity to better align the Category C criteria with the full range of affordable projects being built in the region and their associated water quality benefits</w:t>
      </w:r>
      <w:r w:rsidR="00AC4167">
        <w:rPr>
          <w:rFonts w:ascii="Arial" w:hAnsi="Arial" w:cs="Arial"/>
          <w:sz w:val="24"/>
        </w:rPr>
        <w:t>,</w:t>
      </w:r>
      <w:r>
        <w:rPr>
          <w:rFonts w:ascii="Arial" w:hAnsi="Arial" w:cs="Arial"/>
          <w:sz w:val="24"/>
        </w:rPr>
        <w:t xml:space="preserve"> while still focusing on maximizing flexibility </w:t>
      </w:r>
      <w:r w:rsidR="005257A2">
        <w:rPr>
          <w:rFonts w:ascii="Arial" w:hAnsi="Arial" w:cs="Arial"/>
          <w:sz w:val="24"/>
        </w:rPr>
        <w:t>(</w:t>
      </w:r>
      <w:r>
        <w:rPr>
          <w:rFonts w:ascii="Arial" w:hAnsi="Arial" w:cs="Arial"/>
          <w:sz w:val="24"/>
        </w:rPr>
        <w:t>through credits</w:t>
      </w:r>
      <w:r w:rsidR="005257A2">
        <w:rPr>
          <w:rFonts w:ascii="Arial" w:hAnsi="Arial" w:cs="Arial"/>
          <w:sz w:val="24"/>
        </w:rPr>
        <w:t>)</w:t>
      </w:r>
      <w:r>
        <w:rPr>
          <w:rFonts w:ascii="Arial" w:hAnsi="Arial" w:cs="Arial"/>
          <w:sz w:val="24"/>
        </w:rPr>
        <w:t xml:space="preserve"> for the most affordable housing. The result is that the criteria were modified to provide maximum flexibility for the fully</w:t>
      </w:r>
      <w:r w:rsidR="00193781">
        <w:rPr>
          <w:rFonts w:ascii="Arial" w:hAnsi="Arial" w:cs="Arial"/>
          <w:sz w:val="24"/>
        </w:rPr>
        <w:t xml:space="preserve"> </w:t>
      </w:r>
      <w:r>
        <w:rPr>
          <w:rFonts w:ascii="Arial" w:hAnsi="Arial" w:cs="Arial"/>
          <w:sz w:val="24"/>
        </w:rPr>
        <w:t xml:space="preserve">affordable projects being built by public and non-profit entities, and to give sliding-scale flexibility for projects with lesser amounts of affordable housing—more typically projects built by for-profit developers. “Sliding-scale flexibility” means that the more a project that is affordable and the more a project’s affordable units are </w:t>
      </w:r>
      <w:r>
        <w:rPr>
          <w:rFonts w:ascii="Arial" w:hAnsi="Arial" w:cs="Arial"/>
          <w:sz w:val="24"/>
        </w:rPr>
        <w:lastRenderedPageBreak/>
        <w:t>targeted to residents in lower-income categories, the greater flexibility is provided. This is appropriate because of how costs are apportioned across projects (projects that are more affordable are generally harder to build) and because projects targeted to residents in lower-income categories are more likely to provide a water quality benefit by shifting residents into housing from being unsheltered.</w:t>
      </w:r>
    </w:p>
    <w:p w14:paraId="69979E3A" w14:textId="5BD44A17" w:rsidR="00495C96" w:rsidRDefault="00495C96" w:rsidP="00495C96">
      <w:pPr>
        <w:rPr>
          <w:rFonts w:ascii="Arial" w:hAnsi="Arial" w:cs="Arial"/>
          <w:sz w:val="24"/>
        </w:rPr>
      </w:pPr>
      <w:r>
        <w:rPr>
          <w:rFonts w:ascii="Arial" w:hAnsi="Arial" w:cs="Arial"/>
          <w:sz w:val="24"/>
        </w:rPr>
        <w:t>Water Board staff reviewed additional information, including state, regional, and local laws, policies, and programs regarding affordable housing. These included MTC’s Housing-Oriented Transit Fund, Housing Incentive Pool, One Bay Area Grant Program, Bay Area Preservation Pilot Fund, and the Regional Housing Needs Allocation (RHNA). They also included Senate</w:t>
      </w:r>
      <w:r w:rsidRPr="002D5733">
        <w:rPr>
          <w:rFonts w:ascii="Arial" w:hAnsi="Arial" w:cs="Arial"/>
          <w:sz w:val="24"/>
        </w:rPr>
        <w:t xml:space="preserve"> Bill 35, which allows developers’ applications for housing projects to receive streamlined ministerial review and approval, bypassing the local municipality’s requirements for discretionary approval, provided that the local municipality has not achieved its RHNA</w:t>
      </w:r>
      <w:r>
        <w:rPr>
          <w:rFonts w:ascii="Arial" w:hAnsi="Arial" w:cs="Arial"/>
          <w:sz w:val="24"/>
        </w:rPr>
        <w:t xml:space="preserve">; Assembly Bill 2011, which allows developers to build residential projects in areas zoned commercial, and allows California Environmental Quality Act exemptions for projects that are 100 percent affordable; Senate Bill 9, which allows homeowners to subdivide single-family residential lots into up to four units; and the California Density Bonus Law, which </w:t>
      </w:r>
      <w:r w:rsidRPr="000065DD">
        <w:rPr>
          <w:rFonts w:ascii="Arial" w:hAnsi="Arial" w:cs="Arial"/>
          <w:sz w:val="24"/>
        </w:rPr>
        <w:t xml:space="preserve">provides housing developers with a density bonus and additional incentives and concessions based on the amount of affordable </w:t>
      </w:r>
      <w:r>
        <w:rPr>
          <w:rFonts w:ascii="Arial" w:hAnsi="Arial" w:cs="Arial"/>
          <w:sz w:val="24"/>
        </w:rPr>
        <w:t>dwelling units (</w:t>
      </w:r>
      <w:r w:rsidRPr="000065DD">
        <w:rPr>
          <w:rFonts w:ascii="Arial" w:hAnsi="Arial" w:cs="Arial"/>
          <w:sz w:val="24"/>
        </w:rPr>
        <w:t>DUs</w:t>
      </w:r>
      <w:r>
        <w:rPr>
          <w:rFonts w:ascii="Arial" w:hAnsi="Arial" w:cs="Arial"/>
          <w:sz w:val="24"/>
        </w:rPr>
        <w:t>)</w:t>
      </w:r>
      <w:r w:rsidRPr="000065DD">
        <w:rPr>
          <w:rFonts w:ascii="Arial" w:hAnsi="Arial" w:cs="Arial"/>
          <w:sz w:val="24"/>
        </w:rPr>
        <w:t xml:space="preserve"> includ</w:t>
      </w:r>
      <w:r w:rsidR="00261199">
        <w:rPr>
          <w:rFonts w:ascii="Arial" w:hAnsi="Arial" w:cs="Arial"/>
          <w:sz w:val="24"/>
        </w:rPr>
        <w:t>ed</w:t>
      </w:r>
      <w:r w:rsidRPr="000065DD">
        <w:rPr>
          <w:rFonts w:ascii="Arial" w:hAnsi="Arial" w:cs="Arial"/>
          <w:sz w:val="24"/>
        </w:rPr>
        <w:t xml:space="preserve"> in housing projects.</w:t>
      </w:r>
      <w:r>
        <w:rPr>
          <w:rFonts w:ascii="Arial" w:hAnsi="Arial" w:cs="Arial"/>
          <w:sz w:val="24"/>
        </w:rPr>
        <w:t xml:space="preserve"> This review informed how </w:t>
      </w:r>
      <w:r w:rsidR="00D51C31">
        <w:rPr>
          <w:rFonts w:ascii="Arial" w:hAnsi="Arial" w:cs="Arial"/>
          <w:sz w:val="24"/>
        </w:rPr>
        <w:t>the Permit</w:t>
      </w:r>
      <w:r>
        <w:rPr>
          <w:rFonts w:ascii="Arial" w:hAnsi="Arial" w:cs="Arial"/>
          <w:sz w:val="24"/>
        </w:rPr>
        <w:t xml:space="preserve"> structure</w:t>
      </w:r>
      <w:r w:rsidR="00D51C31">
        <w:rPr>
          <w:rFonts w:ascii="Arial" w:hAnsi="Arial" w:cs="Arial"/>
          <w:sz w:val="24"/>
        </w:rPr>
        <w:t>s</w:t>
      </w:r>
      <w:r>
        <w:rPr>
          <w:rFonts w:ascii="Arial" w:hAnsi="Arial" w:cs="Arial"/>
          <w:sz w:val="24"/>
        </w:rPr>
        <w:t xml:space="preserve"> the flexibility criteria to better address the range of affordable projects being built and confirmed that the Order’s flexibility criteria, which are consistent with the approach in the California Density Bonus Law, were not in conflict with existing affordable housing laws, policies, </w:t>
      </w:r>
      <w:r w:rsidR="0054116E">
        <w:rPr>
          <w:rFonts w:ascii="Arial" w:hAnsi="Arial" w:cs="Arial"/>
          <w:sz w:val="24"/>
        </w:rPr>
        <w:t>or</w:t>
      </w:r>
      <w:r>
        <w:rPr>
          <w:rFonts w:ascii="Arial" w:hAnsi="Arial" w:cs="Arial"/>
          <w:sz w:val="24"/>
        </w:rPr>
        <w:t xml:space="preserve"> programs.</w:t>
      </w:r>
    </w:p>
    <w:p w14:paraId="789DFA46" w14:textId="045F96B7" w:rsidR="00495C96" w:rsidRDefault="00495C96" w:rsidP="00495C96">
      <w:pPr>
        <w:pStyle w:val="MRP-FSProvRqmtBulletBody"/>
        <w:ind w:left="0"/>
        <w:rPr>
          <w:rFonts w:cs="Arial"/>
          <w:szCs w:val="24"/>
        </w:rPr>
      </w:pPr>
      <w:r>
        <w:rPr>
          <w:rFonts w:cs="Arial"/>
        </w:rPr>
        <w:t>The Workgroup discussed local</w:t>
      </w:r>
      <w:r w:rsidR="009448FE">
        <w:rPr>
          <w:rFonts w:cs="Arial"/>
        </w:rPr>
        <w:t>-</w:t>
      </w:r>
      <w:r>
        <w:rPr>
          <w:rFonts w:cs="Arial"/>
        </w:rPr>
        <w:t>level implementation of affordable housing plans, policies, and guidance. At the local level, many municipalities have established their own definitions of affordable housing and their own ordinances, policies, and programs to incentivize affordable housing. For example, the City of Oakland’s Construction Innovation and Expanded Housing Options Ordinance</w:t>
      </w:r>
      <w:r>
        <w:rPr>
          <w:rStyle w:val="FootnoteReference"/>
          <w:rFonts w:cs="Arial"/>
        </w:rPr>
        <w:footnoteReference w:id="30"/>
      </w:r>
      <w:r>
        <w:rPr>
          <w:rFonts w:cs="Arial"/>
        </w:rPr>
        <w:t xml:space="preserve"> allows residential occupancy of recreational vehicles (RVs) and tiny homes on wheels (“Vehicular Residential Facilities”) on private property and allows mobile homes and manufactured homes in all zoning districts where residential uses are permitted.</w:t>
      </w:r>
      <w:r w:rsidRPr="43002A99">
        <w:rPr>
          <w:rStyle w:val="FootnoteReference"/>
          <w:rFonts w:cs="Arial"/>
        </w:rPr>
        <w:footnoteReference w:id="31"/>
      </w:r>
      <w:r w:rsidRPr="43002A99">
        <w:rPr>
          <w:rFonts w:cs="Arial"/>
        </w:rPr>
        <w:t xml:space="preserve"> This new information reinforced that public and non-profit entities typically are those who are building fully affordable projects, while private investors typically are building projects for which only a portion of the project’s dwelling units are affordable. </w:t>
      </w:r>
      <w:r w:rsidR="001F1B86">
        <w:rPr>
          <w:rFonts w:cs="Arial"/>
        </w:rPr>
        <w:t>The new information</w:t>
      </w:r>
      <w:r w:rsidRPr="43002A99">
        <w:rPr>
          <w:rFonts w:cs="Arial"/>
        </w:rPr>
        <w:t xml:space="preserve"> supported both the need for revised criteria that apply to the range of affordable projects being built in the region and </w:t>
      </w:r>
      <w:r w:rsidR="00BB62B4">
        <w:rPr>
          <w:rFonts w:cs="Arial"/>
        </w:rPr>
        <w:t xml:space="preserve">the decision to provide </w:t>
      </w:r>
      <w:r w:rsidRPr="43002A99">
        <w:rPr>
          <w:rFonts w:cs="Arial"/>
        </w:rPr>
        <w:t>more flexibility to projects that are relatively more affordable.</w:t>
      </w:r>
    </w:p>
    <w:p w14:paraId="5F973C26" w14:textId="1BA740E0" w:rsidR="00495C96" w:rsidRDefault="00495C96" w:rsidP="00495C96">
      <w:pPr>
        <w:pStyle w:val="MRP-FSProvRqmtBulletBody"/>
        <w:ind w:left="0"/>
        <w:rPr>
          <w:rFonts w:cs="Arial"/>
        </w:rPr>
      </w:pPr>
      <w:r>
        <w:rPr>
          <w:rFonts w:cs="Arial"/>
        </w:rPr>
        <w:t xml:space="preserve">In addition, staff </w:t>
      </w:r>
      <w:r>
        <w:rPr>
          <w:rFonts w:cs="Arial"/>
          <w:szCs w:val="24"/>
        </w:rPr>
        <w:t xml:space="preserve">reviewed the California Tax Credit Allocation Committee’s (CTCAC’s) database of qualifying projects that have received tax credits through the federal and </w:t>
      </w:r>
      <w:r>
        <w:rPr>
          <w:rFonts w:cs="Arial"/>
          <w:szCs w:val="24"/>
        </w:rPr>
        <w:lastRenderedPageBreak/>
        <w:t xml:space="preserve">state Low-Income Housing Tax Credit Programs, which were created to promote private investment in affordable rental housing for low-income Californians. Using the database, data were summarized for qualifying affordable housing projects in Alameda, Contra Costa, San Mateo, Santa Clara, and Solano counties between 1990 and 2022, and the results indicate that nearly 100 percent of those projects that received State or Federal affordable housing tax credits would qualify for the maximum non-LID Affordable Housing Credit in the proposed amendment to Category C. These data are summarized </w:t>
      </w:r>
      <w:r w:rsidR="005174A5">
        <w:rPr>
          <w:rFonts w:cs="Arial"/>
          <w:szCs w:val="24"/>
        </w:rPr>
        <w:t>i</w:t>
      </w:r>
      <w:r>
        <w:rPr>
          <w:rFonts w:cs="Arial"/>
          <w:szCs w:val="24"/>
        </w:rPr>
        <w:t>n the figure below; “below-moderate DUs” refers to dwelling units that are restricted to households with incomes less than or equal to 80% of area median household income (AMI). In other words, fully affordable housing projects and nearly-fully affordable housing projects will receive the full flexibility of Category C.</w:t>
      </w:r>
    </w:p>
    <w:p w14:paraId="47EB6D39" w14:textId="77777777" w:rsidR="00495C96" w:rsidRDefault="00495C96" w:rsidP="00495C96">
      <w:pPr>
        <w:pStyle w:val="MRP-FSProvRqmtBulletBody"/>
        <w:rPr>
          <w:rFonts w:cs="Arial"/>
        </w:rPr>
      </w:pPr>
      <w:r w:rsidRPr="00BC2289">
        <w:rPr>
          <w:rFonts w:cs="Arial"/>
          <w:noProof/>
          <w:szCs w:val="24"/>
        </w:rPr>
        <w:drawing>
          <wp:inline distT="0" distB="0" distL="0" distR="0" wp14:anchorId="54ACB73C" wp14:editId="65D27104">
            <wp:extent cx="4607560" cy="3159125"/>
            <wp:effectExtent l="0" t="0" r="2540" b="3175"/>
            <wp:docPr id="326453742" name="Picture 326453742" descr="percent below-moderate dwelling units in MRP counties (CT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453742" name="Picture 326453742" descr="percent below-moderate dwelling units in MRP counties (CTAC)"/>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07560" cy="3159125"/>
                    </a:xfrm>
                    <a:prstGeom prst="rect">
                      <a:avLst/>
                    </a:prstGeom>
                    <a:noFill/>
                    <a:ln>
                      <a:noFill/>
                    </a:ln>
                  </pic:spPr>
                </pic:pic>
              </a:graphicData>
            </a:graphic>
          </wp:inline>
        </w:drawing>
      </w:r>
    </w:p>
    <w:p w14:paraId="2DCA015E" w14:textId="77777777" w:rsidR="00495C96" w:rsidRDefault="00495C96" w:rsidP="00495C96">
      <w:pPr>
        <w:pStyle w:val="MRP-FSProvRqmtBulletBody"/>
        <w:rPr>
          <w:rFonts w:cs="Arial"/>
        </w:rPr>
      </w:pPr>
    </w:p>
    <w:p w14:paraId="39A34EF0" w14:textId="77777777" w:rsidR="00495C96" w:rsidRPr="00693D32" w:rsidRDefault="00495C96" w:rsidP="00495C96">
      <w:pPr>
        <w:pStyle w:val="MRP-FSProvRqmtBulletBody"/>
        <w:ind w:left="0"/>
        <w:rPr>
          <w:rFonts w:cs="Arial"/>
        </w:rPr>
      </w:pPr>
      <w:r>
        <w:rPr>
          <w:rFonts w:cs="Arial"/>
          <w:szCs w:val="24"/>
        </w:rPr>
        <w:t xml:space="preserve">This review of more than thirty years of subsidized projects supports the Order’s focus in providing the maximum flexibility to those projects that are most affordable and confirms that the surveyed projects would qualify for that flexibility.  </w:t>
      </w:r>
    </w:p>
    <w:p w14:paraId="49181438" w14:textId="77777777" w:rsidR="00495C96" w:rsidRDefault="00495C96" w:rsidP="00495C96">
      <w:pPr>
        <w:rPr>
          <w:rFonts w:ascii="Arial" w:hAnsi="Arial" w:cs="Arial"/>
          <w:sz w:val="24"/>
        </w:rPr>
      </w:pPr>
      <w:r>
        <w:rPr>
          <w:rFonts w:ascii="Arial" w:hAnsi="Arial" w:cs="Arial"/>
          <w:sz w:val="24"/>
          <w:szCs w:val="24"/>
        </w:rPr>
        <w:t xml:space="preserve">The Workgroup discussed </w:t>
      </w:r>
      <w:r w:rsidRPr="003819A4">
        <w:rPr>
          <w:rFonts w:ascii="Arial" w:hAnsi="Arial" w:cs="Arial"/>
          <w:sz w:val="24"/>
          <w:szCs w:val="24"/>
        </w:rPr>
        <w:t xml:space="preserve">comments on </w:t>
      </w:r>
      <w:r>
        <w:rPr>
          <w:rFonts w:ascii="Arial" w:hAnsi="Arial" w:cs="Arial"/>
          <w:sz w:val="24"/>
          <w:szCs w:val="24"/>
        </w:rPr>
        <w:t>a draft of the Permit</w:t>
      </w:r>
      <w:r w:rsidRPr="00782E6C">
        <w:rPr>
          <w:rFonts w:ascii="Arial" w:hAnsi="Arial" w:cs="Arial"/>
          <w:sz w:val="24"/>
          <w:szCs w:val="24"/>
        </w:rPr>
        <w:t xml:space="preserve"> </w:t>
      </w:r>
      <w:r>
        <w:rPr>
          <w:rFonts w:ascii="Arial" w:hAnsi="Arial" w:cs="Arial"/>
          <w:sz w:val="24"/>
          <w:szCs w:val="24"/>
        </w:rPr>
        <w:t xml:space="preserve">that expressed general concern that the approach could conflict with affordable housing expectations in state law or could be perceived as intended to drive state policies on affordable housing. Through the Workgroup, the Water Board received new information about the range of programs on affordable housing, the limited coordination of those programs, and the perception of Sacramento policymakers that a regional stormwater permit provision providing flexibility on clean water requirements relative to a project’s affordability could instead be viewed as a driver of housing policy statewide. As a result, revised criteria were developed as described herein, to better align with the range of affordable housing </w:t>
      </w:r>
      <w:r>
        <w:rPr>
          <w:rFonts w:ascii="Arial" w:hAnsi="Arial" w:cs="Arial"/>
          <w:sz w:val="24"/>
          <w:szCs w:val="24"/>
        </w:rPr>
        <w:lastRenderedPageBreak/>
        <w:t xml:space="preserve">projects being built in the region. In addition, a statement is added to the Permit’s existing Fact Sheet clarifying that the Water Board is not a local land use agency, and that Permit flexibility is intended to be applied to projects as they appear, not to drive housing policy.  </w:t>
      </w:r>
    </w:p>
    <w:p w14:paraId="3BCC89AD" w14:textId="38146F12" w:rsidR="00495C96" w:rsidRDefault="00495C96" w:rsidP="00495C96">
      <w:pPr>
        <w:rPr>
          <w:rFonts w:ascii="Arial" w:hAnsi="Arial" w:cs="Arial"/>
          <w:sz w:val="24"/>
        </w:rPr>
      </w:pPr>
      <w:r>
        <w:rPr>
          <w:rFonts w:ascii="Arial" w:hAnsi="Arial" w:cs="Arial"/>
          <w:sz w:val="24"/>
        </w:rPr>
        <w:t xml:space="preserve">Finally, Water Board staff reviewed reports of housing production in Permittee </w:t>
      </w:r>
      <w:r w:rsidR="00C1083C">
        <w:rPr>
          <w:rFonts w:ascii="Arial" w:hAnsi="Arial" w:cs="Arial"/>
          <w:sz w:val="24"/>
        </w:rPr>
        <w:t>j</w:t>
      </w:r>
      <w:r>
        <w:rPr>
          <w:rFonts w:ascii="Arial" w:hAnsi="Arial" w:cs="Arial"/>
          <w:sz w:val="24"/>
        </w:rPr>
        <w:t xml:space="preserve">urisdictions and how it was meeting </w:t>
      </w:r>
      <w:r w:rsidR="00E7640F">
        <w:rPr>
          <w:rFonts w:ascii="Arial" w:hAnsi="Arial" w:cs="Arial"/>
          <w:sz w:val="24"/>
        </w:rPr>
        <w:t>the Regional Housing Needs Allocation (</w:t>
      </w:r>
      <w:r>
        <w:rPr>
          <w:rFonts w:ascii="Arial" w:hAnsi="Arial" w:cs="Arial"/>
          <w:sz w:val="24"/>
        </w:rPr>
        <w:t>RHNA</w:t>
      </w:r>
      <w:r w:rsidR="00E7640F">
        <w:rPr>
          <w:rFonts w:ascii="Arial" w:hAnsi="Arial" w:cs="Arial"/>
          <w:sz w:val="24"/>
        </w:rPr>
        <w:t>)</w:t>
      </w:r>
      <w:r>
        <w:rPr>
          <w:rFonts w:ascii="Arial" w:hAnsi="Arial" w:cs="Arial"/>
          <w:sz w:val="24"/>
        </w:rPr>
        <w:t xml:space="preserve"> goals, along with information provided by the building industry on average </w:t>
      </w:r>
      <w:r w:rsidR="00113386">
        <w:rPr>
          <w:rFonts w:ascii="Arial" w:hAnsi="Arial" w:cs="Arial"/>
          <w:sz w:val="24"/>
        </w:rPr>
        <w:t xml:space="preserve">profits for </w:t>
      </w:r>
      <w:r>
        <w:rPr>
          <w:rFonts w:ascii="Arial" w:hAnsi="Arial" w:cs="Arial"/>
          <w:sz w:val="24"/>
        </w:rPr>
        <w:t>for-profit single-family housing projects during the Great Recession. This was done in part to consider whether Category C should be expanded to include “market-rate” projects that did not have any affordable units.</w:t>
      </w:r>
    </w:p>
    <w:p w14:paraId="6515D3D7" w14:textId="087CFF62" w:rsidR="00495C96" w:rsidRPr="00417C86" w:rsidRDefault="00495C96" w:rsidP="00417C86">
      <w:pPr>
        <w:spacing w:after="240"/>
        <w:textAlignment w:val="baseline"/>
        <w:rPr>
          <w:rFonts w:ascii="Arial" w:eastAsia="Times New Roman" w:hAnsi="Arial" w:cs="Arial"/>
          <w:sz w:val="24"/>
          <w:szCs w:val="24"/>
        </w:rPr>
      </w:pPr>
      <w:r>
        <w:rPr>
          <w:rFonts w:ascii="Arial" w:eastAsia="Times New Roman" w:hAnsi="Arial" w:cs="Arial"/>
          <w:sz w:val="24"/>
          <w:szCs w:val="24"/>
        </w:rPr>
        <w:t>According to t</w:t>
      </w:r>
      <w:r w:rsidRPr="00B9521C">
        <w:rPr>
          <w:rFonts w:ascii="Arial" w:eastAsia="Times New Roman" w:hAnsi="Arial" w:cs="Arial"/>
          <w:sz w:val="24"/>
          <w:szCs w:val="24"/>
        </w:rPr>
        <w:t>he California Department of Housing and Community Development’s Housing Element Implementation and A</w:t>
      </w:r>
      <w:r>
        <w:rPr>
          <w:rFonts w:ascii="Arial" w:eastAsia="Times New Roman" w:hAnsi="Arial" w:cs="Arial"/>
          <w:sz w:val="24"/>
          <w:szCs w:val="24"/>
        </w:rPr>
        <w:t xml:space="preserve">nnual </w:t>
      </w:r>
      <w:r w:rsidRPr="00B9521C">
        <w:rPr>
          <w:rFonts w:ascii="Arial" w:eastAsia="Times New Roman" w:hAnsi="Arial" w:cs="Arial"/>
          <w:sz w:val="24"/>
          <w:szCs w:val="24"/>
        </w:rPr>
        <w:t>P</w:t>
      </w:r>
      <w:r>
        <w:rPr>
          <w:rFonts w:ascii="Arial" w:eastAsia="Times New Roman" w:hAnsi="Arial" w:cs="Arial"/>
          <w:sz w:val="24"/>
          <w:szCs w:val="24"/>
        </w:rPr>
        <w:t xml:space="preserve">rogress </w:t>
      </w:r>
      <w:r w:rsidRPr="00B9521C">
        <w:rPr>
          <w:rFonts w:ascii="Arial" w:eastAsia="Times New Roman" w:hAnsi="Arial" w:cs="Arial"/>
          <w:sz w:val="24"/>
          <w:szCs w:val="24"/>
        </w:rPr>
        <w:t>R</w:t>
      </w:r>
      <w:r>
        <w:rPr>
          <w:rFonts w:ascii="Arial" w:eastAsia="Times New Roman" w:hAnsi="Arial" w:cs="Arial"/>
          <w:sz w:val="24"/>
          <w:szCs w:val="24"/>
        </w:rPr>
        <w:t>eport</w:t>
      </w:r>
      <w:r w:rsidRPr="00B9521C">
        <w:rPr>
          <w:rFonts w:ascii="Arial" w:eastAsia="Times New Roman" w:hAnsi="Arial" w:cs="Arial"/>
          <w:sz w:val="24"/>
          <w:szCs w:val="24"/>
        </w:rPr>
        <w:t xml:space="preserve"> Dashboard,</w:t>
      </w:r>
      <w:r w:rsidRPr="43002A99">
        <w:rPr>
          <w:rStyle w:val="FootnoteReference"/>
          <w:rFonts w:eastAsia="Times New Roman" w:cs="Arial"/>
        </w:rPr>
        <w:footnoteReference w:id="32"/>
      </w:r>
      <w:r w:rsidRPr="00B9521C">
        <w:rPr>
          <w:rFonts w:ascii="Arial" w:eastAsia="Times New Roman" w:hAnsi="Arial" w:cs="Arial"/>
          <w:sz w:val="24"/>
          <w:szCs w:val="24"/>
        </w:rPr>
        <w:t xml:space="preserve"> for the fifth RHNA cycle (2015-2022)</w:t>
      </w:r>
      <w:r>
        <w:rPr>
          <w:rFonts w:ascii="Arial" w:eastAsia="Times New Roman" w:hAnsi="Arial" w:cs="Arial"/>
          <w:sz w:val="24"/>
          <w:szCs w:val="24"/>
        </w:rPr>
        <w:t xml:space="preserve">, statewide, Bay Area, and countywide RHNA attainment numbers are as shown in the table below. </w:t>
      </w:r>
      <w:r w:rsidRPr="00B9521C">
        <w:rPr>
          <w:rFonts w:ascii="Arial" w:eastAsia="Times New Roman" w:hAnsi="Arial" w:cs="Arial"/>
          <w:sz w:val="24"/>
          <w:szCs w:val="24"/>
        </w:rPr>
        <w:t>Taken together, th</w:t>
      </w:r>
      <w:r>
        <w:rPr>
          <w:rFonts w:ascii="Arial" w:eastAsia="Times New Roman" w:hAnsi="Arial" w:cs="Arial"/>
          <w:sz w:val="24"/>
          <w:szCs w:val="24"/>
        </w:rPr>
        <w:t>ese</w:t>
      </w:r>
      <w:r w:rsidRPr="00B9521C">
        <w:rPr>
          <w:rFonts w:ascii="Arial" w:eastAsia="Times New Roman" w:hAnsi="Arial" w:cs="Arial"/>
          <w:sz w:val="24"/>
          <w:szCs w:val="24"/>
        </w:rPr>
        <w:t xml:space="preserve"> data suggest that </w:t>
      </w:r>
      <w:r>
        <w:rPr>
          <w:rFonts w:ascii="Arial" w:eastAsia="Times New Roman" w:hAnsi="Arial" w:cs="Arial"/>
          <w:sz w:val="24"/>
          <w:szCs w:val="24"/>
        </w:rPr>
        <w:t xml:space="preserve">MRP Permittees are producing market-rate units significantly </w:t>
      </w:r>
      <w:proofErr w:type="gramStart"/>
      <w:r>
        <w:rPr>
          <w:rFonts w:ascii="Arial" w:eastAsia="Times New Roman" w:hAnsi="Arial" w:cs="Arial"/>
          <w:sz w:val="24"/>
          <w:szCs w:val="24"/>
        </w:rPr>
        <w:t>in excess of</w:t>
      </w:r>
      <w:proofErr w:type="gramEnd"/>
      <w:r>
        <w:rPr>
          <w:rFonts w:ascii="Arial" w:eastAsia="Times New Roman" w:hAnsi="Arial" w:cs="Arial"/>
          <w:sz w:val="24"/>
          <w:szCs w:val="24"/>
        </w:rPr>
        <w:t xml:space="preserve"> their identified RHNA targets. </w:t>
      </w:r>
      <w:r w:rsidRPr="00B9521C">
        <w:rPr>
          <w:rFonts w:ascii="Arial" w:eastAsia="Times New Roman" w:hAnsi="Arial" w:cs="Arial"/>
          <w:sz w:val="24"/>
          <w:szCs w:val="24"/>
        </w:rPr>
        <w:t xml:space="preserve">However, it </w:t>
      </w:r>
      <w:r>
        <w:rPr>
          <w:rFonts w:ascii="Arial" w:eastAsia="Times New Roman" w:hAnsi="Arial" w:cs="Arial"/>
          <w:sz w:val="24"/>
          <w:szCs w:val="24"/>
        </w:rPr>
        <w:t xml:space="preserve">indicates </w:t>
      </w:r>
      <w:r w:rsidRPr="00B9521C">
        <w:rPr>
          <w:rFonts w:ascii="Arial" w:eastAsia="Times New Roman" w:hAnsi="Arial" w:cs="Arial"/>
          <w:sz w:val="24"/>
          <w:szCs w:val="24"/>
        </w:rPr>
        <w:t xml:space="preserve">that there is a shortage of affordable units, </w:t>
      </w:r>
      <w:r>
        <w:rPr>
          <w:rFonts w:ascii="Arial" w:eastAsia="Times New Roman" w:hAnsi="Arial" w:cs="Arial"/>
          <w:sz w:val="24"/>
          <w:szCs w:val="24"/>
        </w:rPr>
        <w:t>with a worse</w:t>
      </w:r>
      <w:r w:rsidRPr="00B9521C">
        <w:rPr>
          <w:rFonts w:ascii="Arial" w:eastAsia="Times New Roman" w:hAnsi="Arial" w:cs="Arial"/>
          <w:sz w:val="24"/>
          <w:szCs w:val="24"/>
        </w:rPr>
        <w:t xml:space="preserve"> </w:t>
      </w:r>
      <w:r>
        <w:rPr>
          <w:rFonts w:ascii="Arial" w:eastAsia="Times New Roman" w:hAnsi="Arial" w:cs="Arial"/>
          <w:sz w:val="24"/>
          <w:szCs w:val="24"/>
        </w:rPr>
        <w:t xml:space="preserve">shortage </w:t>
      </w:r>
      <w:r w:rsidRPr="00B9521C">
        <w:rPr>
          <w:rFonts w:ascii="Arial" w:eastAsia="Times New Roman" w:hAnsi="Arial" w:cs="Arial"/>
          <w:sz w:val="24"/>
          <w:szCs w:val="24"/>
        </w:rPr>
        <w:t>for the lower income brackets, which are the income brackets more likely to experience homelessness.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rhna fifth cycle"/>
        <w:tblDescription w:val="rhna fifth cycle"/>
      </w:tblPr>
      <w:tblGrid>
        <w:gridCol w:w="1979"/>
        <w:gridCol w:w="1980"/>
        <w:gridCol w:w="1845"/>
        <w:gridCol w:w="1830"/>
        <w:gridCol w:w="1710"/>
      </w:tblGrid>
      <w:tr w:rsidR="00495C96" w:rsidRPr="00B9521C" w14:paraId="16DFA0F9" w14:textId="77777777">
        <w:trPr>
          <w:trHeight w:val="300"/>
        </w:trPr>
        <w:tc>
          <w:tcPr>
            <w:tcW w:w="9345"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116CD2CC" w14:textId="77777777" w:rsidR="00495C96" w:rsidRPr="00BC2289" w:rsidRDefault="00495C96">
            <w:pPr>
              <w:jc w:val="center"/>
              <w:textAlignment w:val="baseline"/>
              <w:rPr>
                <w:rFonts w:ascii="Arial" w:eastAsia="Times New Roman" w:hAnsi="Arial" w:cs="Arial"/>
                <w:sz w:val="24"/>
                <w:szCs w:val="24"/>
              </w:rPr>
            </w:pPr>
            <w:r w:rsidRPr="00B9521C">
              <w:rPr>
                <w:rFonts w:ascii="Arial" w:eastAsia="Times New Roman" w:hAnsi="Arial" w:cs="Arial"/>
                <w:sz w:val="24"/>
                <w:szCs w:val="24"/>
              </w:rPr>
              <w:t>RHNA 5</w:t>
            </w:r>
            <w:r w:rsidRPr="00B9521C">
              <w:rPr>
                <w:rFonts w:ascii="Arial" w:eastAsia="Times New Roman" w:hAnsi="Arial" w:cs="Arial"/>
                <w:sz w:val="19"/>
                <w:szCs w:val="19"/>
                <w:vertAlign w:val="superscript"/>
              </w:rPr>
              <w:t>th</w:t>
            </w:r>
            <w:r w:rsidRPr="00B9521C">
              <w:rPr>
                <w:rFonts w:ascii="Arial" w:eastAsia="Times New Roman" w:hAnsi="Arial" w:cs="Arial"/>
                <w:sz w:val="24"/>
                <w:szCs w:val="24"/>
              </w:rPr>
              <w:t xml:space="preserve"> Cycle (2015-2022) </w:t>
            </w:r>
          </w:p>
        </w:tc>
      </w:tr>
      <w:tr w:rsidR="00495C96" w:rsidRPr="00B9521C" w14:paraId="4E82E892" w14:textId="77777777">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C2F212A"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 </w:t>
            </w:r>
          </w:p>
        </w:tc>
        <w:tc>
          <w:tcPr>
            <w:tcW w:w="7350"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5717FE48" w14:textId="77777777" w:rsidR="00495C96" w:rsidRPr="00BC2289" w:rsidRDefault="00495C96">
            <w:pPr>
              <w:jc w:val="center"/>
              <w:textAlignment w:val="baseline"/>
              <w:rPr>
                <w:rFonts w:ascii="Arial" w:eastAsia="Times New Roman" w:hAnsi="Arial" w:cs="Arial"/>
                <w:sz w:val="24"/>
                <w:szCs w:val="24"/>
              </w:rPr>
            </w:pPr>
            <w:r w:rsidRPr="00B9521C">
              <w:rPr>
                <w:rFonts w:ascii="Arial" w:eastAsia="Times New Roman" w:hAnsi="Arial" w:cs="Arial"/>
                <w:sz w:val="24"/>
                <w:szCs w:val="24"/>
              </w:rPr>
              <w:t>RHNA Attainment </w:t>
            </w:r>
          </w:p>
        </w:tc>
      </w:tr>
      <w:tr w:rsidR="00495C96" w:rsidRPr="00B9521C" w14:paraId="5B1E4782" w14:textId="77777777">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F210FC5"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County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266AD2C"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Above-Moderate Units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380E11BB"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Moderate Units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ECAF4E0"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Low Units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1B20F9DD"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Very Low units </w:t>
            </w:r>
          </w:p>
        </w:tc>
      </w:tr>
      <w:tr w:rsidR="00495C96" w:rsidRPr="00B9521C" w14:paraId="2164E2D6" w14:textId="77777777">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3AA3738"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Alameda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41535E3"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227%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5CC1176F"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22%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6ACF295"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38%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63E34898"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40% </w:t>
            </w:r>
          </w:p>
        </w:tc>
      </w:tr>
      <w:tr w:rsidR="00495C96" w:rsidRPr="00B9521C" w14:paraId="1EB40FD9" w14:textId="77777777">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65EE9A2"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Contra Costa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235C709"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218%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1421A6A6"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68%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A02E3E0"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58%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0BED03B6"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23% </w:t>
            </w:r>
          </w:p>
        </w:tc>
      </w:tr>
      <w:tr w:rsidR="00495C96" w:rsidRPr="00B9521C" w14:paraId="5A9F5FA3" w14:textId="77777777">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CD0AA2E"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San Mateo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6C1DA94F"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194%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48F52C9E"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48%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0BD790D"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85%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7FD99E6B"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44% </w:t>
            </w:r>
          </w:p>
        </w:tc>
      </w:tr>
      <w:tr w:rsidR="00495C96" w:rsidRPr="00B9521C" w14:paraId="33BB33C8" w14:textId="77777777">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F24E3D5"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Santa Clara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5452045"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186%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37F3D241"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69%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FD5E3A1"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30%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6B8A4D0F"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25% </w:t>
            </w:r>
          </w:p>
        </w:tc>
      </w:tr>
      <w:tr w:rsidR="00495C96" w:rsidRPr="00B9521C" w14:paraId="2A6DFC54" w14:textId="77777777">
        <w:trPr>
          <w:trHeight w:val="300"/>
        </w:trPr>
        <w:tc>
          <w:tcPr>
            <w:tcW w:w="1980" w:type="dxa"/>
            <w:tcBorders>
              <w:top w:val="single" w:sz="6" w:space="0" w:color="auto"/>
              <w:left w:val="single" w:sz="6" w:space="0" w:color="auto"/>
              <w:bottom w:val="single" w:sz="18" w:space="0" w:color="auto"/>
              <w:right w:val="single" w:sz="6" w:space="0" w:color="auto"/>
            </w:tcBorders>
            <w:shd w:val="clear" w:color="auto" w:fill="auto"/>
            <w:hideMark/>
          </w:tcPr>
          <w:p w14:paraId="2FBE58E6"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Solano </w:t>
            </w:r>
          </w:p>
        </w:tc>
        <w:tc>
          <w:tcPr>
            <w:tcW w:w="1980" w:type="dxa"/>
            <w:tcBorders>
              <w:top w:val="single" w:sz="6" w:space="0" w:color="auto"/>
              <w:left w:val="single" w:sz="6" w:space="0" w:color="auto"/>
              <w:bottom w:val="single" w:sz="18" w:space="0" w:color="auto"/>
              <w:right w:val="single" w:sz="6" w:space="0" w:color="auto"/>
            </w:tcBorders>
            <w:shd w:val="clear" w:color="auto" w:fill="auto"/>
            <w:hideMark/>
          </w:tcPr>
          <w:p w14:paraId="34652FD8"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245% </w:t>
            </w:r>
          </w:p>
        </w:tc>
        <w:tc>
          <w:tcPr>
            <w:tcW w:w="1845" w:type="dxa"/>
            <w:tcBorders>
              <w:top w:val="single" w:sz="6" w:space="0" w:color="auto"/>
              <w:left w:val="single" w:sz="6" w:space="0" w:color="auto"/>
              <w:bottom w:val="single" w:sz="18" w:space="0" w:color="auto"/>
              <w:right w:val="single" w:sz="6" w:space="0" w:color="auto"/>
            </w:tcBorders>
            <w:shd w:val="clear" w:color="auto" w:fill="auto"/>
            <w:hideMark/>
          </w:tcPr>
          <w:p w14:paraId="28E94577"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132% </w:t>
            </w:r>
          </w:p>
        </w:tc>
        <w:tc>
          <w:tcPr>
            <w:tcW w:w="1830" w:type="dxa"/>
            <w:tcBorders>
              <w:top w:val="single" w:sz="6" w:space="0" w:color="auto"/>
              <w:left w:val="single" w:sz="6" w:space="0" w:color="auto"/>
              <w:bottom w:val="single" w:sz="18" w:space="0" w:color="auto"/>
              <w:right w:val="single" w:sz="6" w:space="0" w:color="auto"/>
            </w:tcBorders>
            <w:shd w:val="clear" w:color="auto" w:fill="auto"/>
            <w:hideMark/>
          </w:tcPr>
          <w:p w14:paraId="181AB176"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66% </w:t>
            </w:r>
          </w:p>
        </w:tc>
        <w:tc>
          <w:tcPr>
            <w:tcW w:w="1665" w:type="dxa"/>
            <w:tcBorders>
              <w:top w:val="single" w:sz="6" w:space="0" w:color="auto"/>
              <w:left w:val="single" w:sz="6" w:space="0" w:color="auto"/>
              <w:bottom w:val="single" w:sz="18" w:space="0" w:color="auto"/>
              <w:right w:val="single" w:sz="6" w:space="0" w:color="auto"/>
            </w:tcBorders>
            <w:shd w:val="clear" w:color="auto" w:fill="auto"/>
            <w:hideMark/>
          </w:tcPr>
          <w:p w14:paraId="5316BD6E"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18% </w:t>
            </w:r>
          </w:p>
        </w:tc>
      </w:tr>
      <w:tr w:rsidR="00495C96" w:rsidRPr="00B9521C" w14:paraId="0E6BB52C" w14:textId="77777777">
        <w:trPr>
          <w:trHeight w:val="300"/>
        </w:trPr>
        <w:tc>
          <w:tcPr>
            <w:tcW w:w="1980" w:type="dxa"/>
            <w:tcBorders>
              <w:top w:val="single" w:sz="18" w:space="0" w:color="auto"/>
              <w:left w:val="single" w:sz="6" w:space="0" w:color="auto"/>
              <w:bottom w:val="single" w:sz="6" w:space="0" w:color="auto"/>
              <w:right w:val="single" w:sz="6" w:space="0" w:color="auto"/>
            </w:tcBorders>
            <w:shd w:val="clear" w:color="auto" w:fill="auto"/>
            <w:hideMark/>
          </w:tcPr>
          <w:p w14:paraId="5875F469" w14:textId="28E283CB"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5-County Total</w:t>
            </w:r>
            <w:r w:rsidR="0084301A">
              <w:rPr>
                <w:rStyle w:val="FootnoteReference"/>
                <w:rFonts w:eastAsia="Times New Roman" w:cs="Arial"/>
                <w:szCs w:val="24"/>
              </w:rPr>
              <w:footnoteReference w:id="33"/>
            </w:r>
          </w:p>
        </w:tc>
        <w:tc>
          <w:tcPr>
            <w:tcW w:w="1980" w:type="dxa"/>
            <w:tcBorders>
              <w:top w:val="single" w:sz="18" w:space="0" w:color="auto"/>
              <w:left w:val="single" w:sz="6" w:space="0" w:color="auto"/>
              <w:bottom w:val="single" w:sz="6" w:space="0" w:color="auto"/>
              <w:right w:val="single" w:sz="6" w:space="0" w:color="auto"/>
            </w:tcBorders>
            <w:shd w:val="clear" w:color="auto" w:fill="auto"/>
            <w:hideMark/>
          </w:tcPr>
          <w:p w14:paraId="402E4E70"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208% </w:t>
            </w:r>
          </w:p>
        </w:tc>
        <w:tc>
          <w:tcPr>
            <w:tcW w:w="1845" w:type="dxa"/>
            <w:tcBorders>
              <w:top w:val="single" w:sz="18" w:space="0" w:color="auto"/>
              <w:left w:val="single" w:sz="6" w:space="0" w:color="auto"/>
              <w:bottom w:val="single" w:sz="6" w:space="0" w:color="auto"/>
              <w:right w:val="single" w:sz="6" w:space="0" w:color="auto"/>
            </w:tcBorders>
            <w:shd w:val="clear" w:color="auto" w:fill="auto"/>
            <w:hideMark/>
          </w:tcPr>
          <w:p w14:paraId="4B8406EA"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55% </w:t>
            </w:r>
          </w:p>
        </w:tc>
        <w:tc>
          <w:tcPr>
            <w:tcW w:w="1830" w:type="dxa"/>
            <w:tcBorders>
              <w:top w:val="single" w:sz="18" w:space="0" w:color="auto"/>
              <w:left w:val="single" w:sz="6" w:space="0" w:color="auto"/>
              <w:bottom w:val="single" w:sz="6" w:space="0" w:color="auto"/>
              <w:right w:val="single" w:sz="6" w:space="0" w:color="auto"/>
            </w:tcBorders>
            <w:shd w:val="clear" w:color="auto" w:fill="auto"/>
            <w:hideMark/>
          </w:tcPr>
          <w:p w14:paraId="230A0BE3"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44% </w:t>
            </w:r>
          </w:p>
        </w:tc>
        <w:tc>
          <w:tcPr>
            <w:tcW w:w="1665" w:type="dxa"/>
            <w:tcBorders>
              <w:top w:val="single" w:sz="18" w:space="0" w:color="auto"/>
              <w:left w:val="single" w:sz="6" w:space="0" w:color="auto"/>
              <w:bottom w:val="single" w:sz="6" w:space="0" w:color="auto"/>
              <w:right w:val="single" w:sz="6" w:space="0" w:color="auto"/>
            </w:tcBorders>
            <w:shd w:val="clear" w:color="auto" w:fill="auto"/>
            <w:hideMark/>
          </w:tcPr>
          <w:p w14:paraId="5376C4E0"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31% </w:t>
            </w:r>
          </w:p>
        </w:tc>
      </w:tr>
      <w:tr w:rsidR="00495C96" w:rsidRPr="00B9521C" w14:paraId="700531F2" w14:textId="77777777">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5120CC2" w14:textId="6540926C"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9-County Total</w:t>
            </w:r>
            <w:r w:rsidR="0084301A">
              <w:rPr>
                <w:rStyle w:val="FootnoteReference"/>
                <w:rFonts w:eastAsia="Times New Roman" w:cs="Arial"/>
                <w:szCs w:val="24"/>
              </w:rPr>
              <w:footnoteReference w:id="34"/>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0805C06"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202%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47571B16"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57%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3B6EAB7"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52%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4B575282"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37% </w:t>
            </w:r>
          </w:p>
        </w:tc>
      </w:tr>
      <w:tr w:rsidR="00495C96" w:rsidRPr="00B9521C" w14:paraId="2B14B692" w14:textId="77777777">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25A0043"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lastRenderedPageBreak/>
              <w:t>California Total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1C8BAD2"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143%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2CB3D1C6"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55%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9835759"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30%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0EBAB093"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20% </w:t>
            </w:r>
          </w:p>
        </w:tc>
      </w:tr>
    </w:tbl>
    <w:p w14:paraId="77188C67" w14:textId="77777777" w:rsidR="00495C96" w:rsidRDefault="00495C96" w:rsidP="006C0CD7">
      <w:pPr>
        <w:spacing w:after="120" w:line="240" w:lineRule="auto"/>
        <w:rPr>
          <w:rFonts w:ascii="Arial" w:hAnsi="Arial" w:cs="Arial"/>
          <w:sz w:val="24"/>
          <w:szCs w:val="24"/>
          <w:highlight w:val="yellow"/>
        </w:rPr>
      </w:pPr>
    </w:p>
    <w:p w14:paraId="0BB8D264" w14:textId="77777777" w:rsidR="004D4440" w:rsidRDefault="004D4440" w:rsidP="004D4440">
      <w:pPr>
        <w:pStyle w:val="MRP-FSProvRqmtBullet"/>
        <w:rPr>
          <w:rFonts w:cs="Arial"/>
          <w:szCs w:val="24"/>
        </w:rPr>
      </w:pPr>
      <w:r>
        <w:rPr>
          <w:rFonts w:cs="Arial"/>
          <w:szCs w:val="24"/>
        </w:rPr>
        <w:t xml:space="preserve">Permit </w:t>
      </w:r>
      <w:r w:rsidRPr="007B04C8">
        <w:rPr>
          <w:rFonts w:cs="Arial"/>
          <w:szCs w:val="24"/>
        </w:rPr>
        <w:t xml:space="preserve">Provision C.3.e.ii.(5) </w:t>
      </w:r>
      <w:r>
        <w:rPr>
          <w:rFonts w:cs="Arial"/>
          <w:szCs w:val="24"/>
        </w:rPr>
        <w:t xml:space="preserve">allows </w:t>
      </w:r>
      <w:r w:rsidRPr="00782E6C">
        <w:rPr>
          <w:rFonts w:cs="Arial"/>
          <w:szCs w:val="24"/>
        </w:rPr>
        <w:t>certain Regulated Projects</w:t>
      </w:r>
      <w:r>
        <w:rPr>
          <w:rFonts w:cs="Arial"/>
          <w:szCs w:val="24"/>
        </w:rPr>
        <w:t xml:space="preserve"> that provide affordable housing</w:t>
      </w:r>
      <w:r w:rsidRPr="00782E6C">
        <w:rPr>
          <w:rFonts w:cs="Arial"/>
          <w:szCs w:val="24"/>
        </w:rPr>
        <w:t xml:space="preserve"> </w:t>
      </w:r>
      <w:r w:rsidRPr="00782E6C" w:rsidDel="00F54A84">
        <w:rPr>
          <w:rFonts w:cs="Arial"/>
          <w:szCs w:val="24"/>
        </w:rPr>
        <w:t xml:space="preserve">to </w:t>
      </w:r>
      <w:r w:rsidRPr="00782E6C">
        <w:rPr>
          <w:rFonts w:cs="Arial"/>
          <w:szCs w:val="24"/>
        </w:rPr>
        <w:t>treat runoff using an alternative treatment system</w:t>
      </w:r>
      <w:r>
        <w:rPr>
          <w:rFonts w:cs="Arial"/>
          <w:szCs w:val="24"/>
        </w:rPr>
        <w:t xml:space="preserve"> consisting of either a high flow rate tree well filter or a high flow rate media filter. This Order’s modifications retain that structure, which continues to allow additional flexibility for a project’s density, location near transit, and minimized surface parking. However, the modifications:</w:t>
      </w:r>
    </w:p>
    <w:p w14:paraId="4C6BF216" w14:textId="744A6E8D" w:rsidR="004D4440" w:rsidRDefault="004D4440" w:rsidP="004D4440">
      <w:pPr>
        <w:pStyle w:val="MRP-FSProvRqmtBullet"/>
        <w:rPr>
          <w:rFonts w:cs="Arial"/>
          <w:szCs w:val="24"/>
        </w:rPr>
      </w:pPr>
      <w:r>
        <w:rPr>
          <w:rFonts w:cs="Arial"/>
          <w:szCs w:val="24"/>
        </w:rPr>
        <w:t xml:space="preserve">(1) align the calculation of affordable housing alternative treatment system flexibility relative to the amount of affordable housing in a project, so that the provision better achieves its intended goal of providing flexibility for the range of affordable housing projects being constructed while still protecting water </w:t>
      </w:r>
      <w:proofErr w:type="gramStart"/>
      <w:r>
        <w:rPr>
          <w:rFonts w:cs="Arial"/>
          <w:szCs w:val="24"/>
        </w:rPr>
        <w:t>quality;</w:t>
      </w:r>
      <w:proofErr w:type="gramEnd"/>
      <w:r>
        <w:rPr>
          <w:rFonts w:cs="Arial"/>
          <w:szCs w:val="24"/>
        </w:rPr>
        <w:t xml:space="preserve"> </w:t>
      </w:r>
    </w:p>
    <w:p w14:paraId="643312D4" w14:textId="2BA463C6" w:rsidR="004D4440" w:rsidRDefault="004D4440" w:rsidP="004D4440">
      <w:pPr>
        <w:pStyle w:val="MRP-FSProvRqmtBullet"/>
        <w:rPr>
          <w:rFonts w:cs="Arial"/>
          <w:szCs w:val="24"/>
        </w:rPr>
      </w:pPr>
      <w:r>
        <w:rPr>
          <w:rFonts w:cs="Arial"/>
          <w:szCs w:val="24"/>
        </w:rPr>
        <w:t xml:space="preserve">(2) maximize the alternative treatment system benefits for projects that are fully affordable to lower-income residents, thus </w:t>
      </w:r>
      <w:r w:rsidR="00DB6F1A">
        <w:rPr>
          <w:rFonts w:cs="Arial"/>
          <w:szCs w:val="24"/>
        </w:rPr>
        <w:t xml:space="preserve">providing </w:t>
      </w:r>
      <w:r>
        <w:rPr>
          <w:rFonts w:cs="Arial"/>
          <w:szCs w:val="24"/>
        </w:rPr>
        <w:t xml:space="preserve">the most flexibility to those projects that provide the greatest potential water quality benefit. This is facilitated in part by adding the “acutely low” income category to the criteria and flexibility calculation, which recognizes those projects for which all or a component are targeted to that income </w:t>
      </w:r>
      <w:proofErr w:type="gramStart"/>
      <w:r>
        <w:rPr>
          <w:rFonts w:cs="Arial"/>
          <w:szCs w:val="24"/>
        </w:rPr>
        <w:t>category;</w:t>
      </w:r>
      <w:proofErr w:type="gramEnd"/>
      <w:r>
        <w:rPr>
          <w:rFonts w:cs="Arial"/>
          <w:szCs w:val="24"/>
        </w:rPr>
        <w:t xml:space="preserve"> </w:t>
      </w:r>
    </w:p>
    <w:p w14:paraId="16662AE1" w14:textId="10513668" w:rsidR="004D4440" w:rsidRDefault="004D4440" w:rsidP="004D4440">
      <w:pPr>
        <w:pStyle w:val="MRP-FSProvRqmtBullet"/>
        <w:rPr>
          <w:rFonts w:cs="Arial"/>
          <w:szCs w:val="24"/>
        </w:rPr>
      </w:pPr>
      <w:r>
        <w:rPr>
          <w:rFonts w:cs="Arial"/>
          <w:szCs w:val="24"/>
        </w:rPr>
        <w:t xml:space="preserve">(3) recognize that managers’ </w:t>
      </w:r>
      <w:r w:rsidR="00B82C4B">
        <w:rPr>
          <w:rFonts w:cs="Arial"/>
          <w:szCs w:val="24"/>
        </w:rPr>
        <w:t xml:space="preserve">dwelling </w:t>
      </w:r>
      <w:r>
        <w:rPr>
          <w:rFonts w:cs="Arial"/>
          <w:szCs w:val="24"/>
        </w:rPr>
        <w:t xml:space="preserve">units typically are not targeted as affordable, but are present in otherwise affordable projects, and so excludes them from deed restriction requirements and for the purposes of considering a project’s affordability and the flexibility provided under this </w:t>
      </w:r>
      <w:proofErr w:type="gramStart"/>
      <w:r>
        <w:rPr>
          <w:rFonts w:cs="Arial"/>
          <w:szCs w:val="24"/>
        </w:rPr>
        <w:t>provision;</w:t>
      </w:r>
      <w:proofErr w:type="gramEnd"/>
      <w:r>
        <w:rPr>
          <w:rFonts w:cs="Arial"/>
          <w:szCs w:val="24"/>
        </w:rPr>
        <w:t xml:space="preserve"> </w:t>
      </w:r>
    </w:p>
    <w:p w14:paraId="6887C7BD" w14:textId="6F936369" w:rsidR="004D4440" w:rsidRDefault="004D4440" w:rsidP="004D4440">
      <w:pPr>
        <w:pStyle w:val="MRP-FSProvRqmtBullet"/>
        <w:rPr>
          <w:rFonts w:cs="Arial"/>
          <w:szCs w:val="24"/>
        </w:rPr>
      </w:pPr>
      <w:r>
        <w:rPr>
          <w:rFonts w:cs="Arial"/>
          <w:szCs w:val="24"/>
        </w:rPr>
        <w:t>(4) define what a “primarily residential” project is for the purposes of determining whether it qualifies for the affordable housing flexibility</w:t>
      </w:r>
      <w:r w:rsidR="006666C3">
        <w:rPr>
          <w:rFonts w:cs="Arial"/>
          <w:szCs w:val="24"/>
        </w:rPr>
        <w:t xml:space="preserve"> in a manner that</w:t>
      </w:r>
      <w:r>
        <w:rPr>
          <w:rFonts w:cs="Arial"/>
          <w:szCs w:val="24"/>
        </w:rPr>
        <w:t xml:space="preserve"> is consistent with the definition of housing development in Government Code section </w:t>
      </w:r>
      <w:proofErr w:type="gramStart"/>
      <w:r>
        <w:rPr>
          <w:rFonts w:cs="Arial"/>
          <w:szCs w:val="24"/>
        </w:rPr>
        <w:t>65589.5(h);</w:t>
      </w:r>
      <w:proofErr w:type="gramEnd"/>
      <w:r>
        <w:rPr>
          <w:rFonts w:cs="Arial"/>
          <w:szCs w:val="24"/>
        </w:rPr>
        <w:t xml:space="preserve"> </w:t>
      </w:r>
    </w:p>
    <w:p w14:paraId="3C067ADF" w14:textId="07CA73B6" w:rsidR="004D4440" w:rsidRDefault="004D4440" w:rsidP="004D4440">
      <w:pPr>
        <w:pStyle w:val="MRP-FSProvRqmtBullet"/>
        <w:rPr>
          <w:rFonts w:cs="Arial"/>
          <w:szCs w:val="24"/>
        </w:rPr>
      </w:pPr>
      <w:r>
        <w:rPr>
          <w:rFonts w:cs="Arial"/>
          <w:szCs w:val="24"/>
        </w:rPr>
        <w:t>(5) state that the “…total maximum LID Treatment Reduction Credit for any Category C Special Project may not exceed 100 percent.” This is not a substantive change, but rather a clarification made to avoid potential confusion. Since a project must treat 100 percent of the amount of runoff required to be treated under the Permit, the maximum flexibility necessarily is also 100 percent</w:t>
      </w:r>
      <w:r w:rsidRPr="00782E6C">
        <w:rPr>
          <w:rFonts w:cs="Arial"/>
          <w:szCs w:val="24"/>
        </w:rPr>
        <w:t>.</w:t>
      </w:r>
      <w:r>
        <w:rPr>
          <w:rFonts w:cs="Arial"/>
          <w:szCs w:val="24"/>
        </w:rPr>
        <w:t xml:space="preserve"> To have a greater amount would be meaningless; and </w:t>
      </w:r>
    </w:p>
    <w:p w14:paraId="5FA4955A" w14:textId="38C479BE" w:rsidR="004D4440" w:rsidRDefault="004D4440" w:rsidP="004D4440">
      <w:pPr>
        <w:pStyle w:val="MRP-FSProvRqmtBullet"/>
        <w:rPr>
          <w:rFonts w:cs="Arial"/>
          <w:szCs w:val="24"/>
        </w:rPr>
      </w:pPr>
      <w:r>
        <w:rPr>
          <w:rFonts w:cs="Arial"/>
          <w:szCs w:val="24"/>
        </w:rPr>
        <w:t xml:space="preserve">(6) correct, pursuant to 40 CFR section 122.62(a)(15), the Fact Sheet with information available after the Permit was reissued regarding the total acreage of projects that used Category C under the previous Permit, changing it to 414 acres from “approximately 324 acres.” </w:t>
      </w:r>
    </w:p>
    <w:p w14:paraId="48027D74" w14:textId="2E1EB5E8" w:rsidR="004D4440" w:rsidRDefault="004D4440" w:rsidP="004D4440">
      <w:pPr>
        <w:pStyle w:val="MRP-FSProvRqmtBullet"/>
        <w:rPr>
          <w:rFonts w:cs="Arial"/>
          <w:szCs w:val="24"/>
        </w:rPr>
      </w:pPr>
      <w:r>
        <w:rPr>
          <w:rFonts w:cs="Arial"/>
          <w:szCs w:val="24"/>
        </w:rPr>
        <w:t>The Order also modifies r</w:t>
      </w:r>
      <w:r w:rsidRPr="00282943">
        <w:rPr>
          <w:rFonts w:cs="Arial"/>
          <w:szCs w:val="24"/>
        </w:rPr>
        <w:t xml:space="preserve">eporting requirements </w:t>
      </w:r>
      <w:r>
        <w:rPr>
          <w:rFonts w:cs="Arial"/>
          <w:szCs w:val="24"/>
        </w:rPr>
        <w:t xml:space="preserve">in line with the changes to the Category C Special Projects provision and </w:t>
      </w:r>
      <w:r w:rsidRPr="00282943">
        <w:rPr>
          <w:rFonts w:cs="Arial"/>
          <w:szCs w:val="24"/>
        </w:rPr>
        <w:t xml:space="preserve">are required pursuant to </w:t>
      </w:r>
      <w:r w:rsidR="00D86129">
        <w:rPr>
          <w:rFonts w:cs="Arial"/>
          <w:szCs w:val="24"/>
        </w:rPr>
        <w:t>CWA</w:t>
      </w:r>
      <w:r w:rsidRPr="00282943">
        <w:rPr>
          <w:rFonts w:cs="Arial"/>
          <w:szCs w:val="24"/>
        </w:rPr>
        <w:t xml:space="preserve"> section 308(a) and Water Code section 13383.</w:t>
      </w:r>
    </w:p>
    <w:p w14:paraId="2293AA3A" w14:textId="52F37A48" w:rsidR="004D4440" w:rsidRDefault="004D4440" w:rsidP="004D4440">
      <w:pPr>
        <w:pStyle w:val="MRP-FSProvRqmtBullet"/>
        <w:rPr>
          <w:rFonts w:cs="Arial"/>
          <w:szCs w:val="24"/>
        </w:rPr>
      </w:pPr>
      <w:r w:rsidRPr="43002A99">
        <w:rPr>
          <w:rFonts w:cs="Arial"/>
        </w:rPr>
        <w:lastRenderedPageBreak/>
        <w:t xml:space="preserve">Provision C.3.e.ii.5.(c) revises the Permit’s Affordable Housing Credit calculation to provide greater benefit to projects that </w:t>
      </w:r>
      <w:r w:rsidR="00212AEC" w:rsidRPr="43002A99">
        <w:rPr>
          <w:rFonts w:cs="Arial"/>
        </w:rPr>
        <w:t xml:space="preserve">are </w:t>
      </w:r>
      <w:r w:rsidRPr="43002A99">
        <w:rPr>
          <w:rFonts w:cs="Arial"/>
        </w:rPr>
        <w:t xml:space="preserve">relatively more affordable and are </w:t>
      </w:r>
      <w:r w:rsidR="009436ED">
        <w:rPr>
          <w:rFonts w:cs="Arial"/>
        </w:rPr>
        <w:t>made up</w:t>
      </w:r>
      <w:r w:rsidRPr="43002A99">
        <w:rPr>
          <w:rFonts w:cs="Arial"/>
        </w:rPr>
        <w:t xml:space="preserve"> of a relatively greater percentage of affordable housing. It provides the most flexibility to projects that are fully affordable. The modifications continue to be justified based on the water quality benefit provided by housing residents who are unsheltered, and thus reducing the substantial discharges of pollutants, including trash and sewage, from unsheltered residents. The result is that significantly affordable projects, and essentially all public and non-profit projects, have maximum flexibility. However, less-affordable projects are still given flexibility that recognizes their contribution to reductions in polluted discharges associated with unsheltered homelessness. These revisions were made in consultation with Workgroup participants, including Permittees and non-profits providing affordable housing, to better reflect the range of projects constructed in the region and to recognize that the most affordable projects </w:t>
      </w:r>
      <w:r w:rsidR="00B76A89">
        <w:rPr>
          <w:rFonts w:cs="Arial"/>
        </w:rPr>
        <w:t>(</w:t>
      </w:r>
      <w:r w:rsidRPr="43002A99">
        <w:rPr>
          <w:rFonts w:cs="Arial"/>
        </w:rPr>
        <w:t>which provide the greatest potential water quality benefit</w:t>
      </w:r>
      <w:r w:rsidR="00B76A89">
        <w:rPr>
          <w:rFonts w:cs="Arial"/>
        </w:rPr>
        <w:t>)</w:t>
      </w:r>
      <w:r w:rsidRPr="43002A99">
        <w:rPr>
          <w:rFonts w:cs="Arial"/>
        </w:rPr>
        <w:t xml:space="preserve"> may also have the greatest barriers to being built. In addition, the Water Board consulted with </w:t>
      </w:r>
      <w:r w:rsidR="0050658D">
        <w:rPr>
          <w:rFonts w:cs="Arial"/>
        </w:rPr>
        <w:t>Association of Bay Area Governments</w:t>
      </w:r>
      <w:r w:rsidR="0046510B">
        <w:rPr>
          <w:rFonts w:cs="Arial"/>
        </w:rPr>
        <w:t xml:space="preserve"> (</w:t>
      </w:r>
      <w:r w:rsidRPr="43002A99">
        <w:rPr>
          <w:rFonts w:cs="Arial"/>
        </w:rPr>
        <w:t>ABAG</w:t>
      </w:r>
      <w:r w:rsidR="008908A2">
        <w:rPr>
          <w:rFonts w:cs="Arial"/>
        </w:rPr>
        <w:t>)</w:t>
      </w:r>
      <w:r w:rsidRPr="43002A99">
        <w:rPr>
          <w:rFonts w:cs="Arial"/>
        </w:rPr>
        <w:t>/</w:t>
      </w:r>
      <w:r w:rsidR="008908A2">
        <w:rPr>
          <w:rFonts w:cs="Arial"/>
        </w:rPr>
        <w:t>Metrop</w:t>
      </w:r>
      <w:r w:rsidR="00EE39D1">
        <w:rPr>
          <w:rFonts w:cs="Arial"/>
        </w:rPr>
        <w:t>olitan Transportation Commission (</w:t>
      </w:r>
      <w:r w:rsidRPr="43002A99">
        <w:rPr>
          <w:rFonts w:cs="Arial"/>
        </w:rPr>
        <w:t>MTC</w:t>
      </w:r>
      <w:r w:rsidR="00EE39D1">
        <w:rPr>
          <w:rFonts w:cs="Arial"/>
        </w:rPr>
        <w:t>)</w:t>
      </w:r>
      <w:r w:rsidRPr="43002A99">
        <w:rPr>
          <w:rFonts w:cs="Arial"/>
        </w:rPr>
        <w:t xml:space="preserve"> staff on Plan Bay Area </w:t>
      </w:r>
      <w:r w:rsidR="0008354E">
        <w:rPr>
          <w:rFonts w:cs="Arial"/>
        </w:rPr>
        <w:t>and</w:t>
      </w:r>
      <w:r w:rsidRPr="43002A99">
        <w:rPr>
          <w:rFonts w:cs="Arial"/>
        </w:rPr>
        <w:t xml:space="preserve"> the Regional Housing Needs Analysis and considered the California Tax Credit Allocation Committee’s (CTCAC’s) database of qualifying projects that have received tax credits through the federal and state Low-Income Housing Tax Credit Programs, which were created to promote private investment in affordable rental housing for low-income Californians.</w:t>
      </w:r>
      <w:r w:rsidRPr="43002A99">
        <w:rPr>
          <w:rStyle w:val="FootnoteReference"/>
          <w:rFonts w:cs="Arial"/>
        </w:rPr>
        <w:footnoteReference w:id="35"/>
      </w:r>
      <w:r w:rsidRPr="43002A99">
        <w:rPr>
          <w:rFonts w:cs="Arial"/>
        </w:rPr>
        <w:t xml:space="preserve"> The results indicate that for the five Bay Area MRP counties, nearly 100 percent of the projects that received state or federal affordable housing tax credits would qualify for the maximum non-LID Affordable Housing Credit in the amendment. That indicates the revisions are appropriately targeting the maximum flexibility to those projects that provide the maximum potential water quality benefit. Additionally, the Water Board reviewed housing laws including the California Density Bonus Law and retained the provision’s sliding scale of benefits for projects that are relatively more affordable, although the scale was simplified to facilitate its use and give flexibility to projects (typically for-profit projects) that have a more</w:t>
      </w:r>
      <w:r w:rsidR="0039333A">
        <w:rPr>
          <w:rFonts w:cs="Arial"/>
        </w:rPr>
        <w:t xml:space="preserve"> </w:t>
      </w:r>
      <w:r w:rsidRPr="43002A99">
        <w:rPr>
          <w:rFonts w:cs="Arial"/>
        </w:rPr>
        <w:t xml:space="preserve">modest </w:t>
      </w:r>
      <w:proofErr w:type="gramStart"/>
      <w:r w:rsidRPr="43002A99">
        <w:rPr>
          <w:rFonts w:cs="Arial"/>
        </w:rPr>
        <w:t>amount</w:t>
      </w:r>
      <w:proofErr w:type="gramEnd"/>
      <w:r w:rsidRPr="43002A99">
        <w:rPr>
          <w:rFonts w:cs="Arial"/>
        </w:rPr>
        <w:t xml:space="preserve"> of affordable units</w:t>
      </w:r>
      <w:r w:rsidR="007B12C9">
        <w:rPr>
          <w:rFonts w:cs="Arial"/>
        </w:rPr>
        <w:t>,</w:t>
      </w:r>
      <w:r w:rsidRPr="43002A99">
        <w:rPr>
          <w:rFonts w:cs="Arial"/>
        </w:rPr>
        <w:t xml:space="preserve"> but are still expected to provide water quality benefit. The information regarding affordability needed to use this</w:t>
      </w:r>
      <w:r w:rsidR="0039333A">
        <w:rPr>
          <w:rFonts w:cs="Arial"/>
        </w:rPr>
        <w:t xml:space="preserve"> </w:t>
      </w:r>
      <w:r w:rsidRPr="43002A99">
        <w:rPr>
          <w:rFonts w:cs="Arial"/>
        </w:rPr>
        <w:t xml:space="preserve">provision (e.g., number of units, relative affordability, deed restrictions) is already typically used as a part of laws including the Density Bonus Law. As such, it should be readily available to use to calculate </w:t>
      </w:r>
      <w:r w:rsidR="007A2CFD">
        <w:rPr>
          <w:rFonts w:cs="Arial"/>
        </w:rPr>
        <w:t>the Affordable Housing Credit</w:t>
      </w:r>
      <w:r w:rsidRPr="43002A99">
        <w:rPr>
          <w:rFonts w:cs="Arial"/>
        </w:rPr>
        <w:t>.</w:t>
      </w:r>
    </w:p>
    <w:p w14:paraId="15F639CE" w14:textId="5F22F714" w:rsidR="004D4440" w:rsidRDefault="004D4440" w:rsidP="004D4440">
      <w:pPr>
        <w:pStyle w:val="MRP-FSProvRqmtBullet"/>
        <w:rPr>
          <w:rFonts w:cs="Arial"/>
          <w:szCs w:val="24"/>
        </w:rPr>
      </w:pPr>
      <w:r>
        <w:rPr>
          <w:rFonts w:cs="Arial"/>
          <w:szCs w:val="24"/>
        </w:rPr>
        <w:t xml:space="preserve">Provision C.3.e.ii.5.(c) allows for up to three managers’ </w:t>
      </w:r>
      <w:r w:rsidR="004B6700">
        <w:rPr>
          <w:rFonts w:cs="Arial"/>
          <w:szCs w:val="24"/>
        </w:rPr>
        <w:t xml:space="preserve">dwelling </w:t>
      </w:r>
      <w:r>
        <w:rPr>
          <w:rFonts w:cs="Arial"/>
          <w:szCs w:val="24"/>
        </w:rPr>
        <w:t xml:space="preserve">units to be excluded from deed restriction requirements. This is to recognize that while managers’ </w:t>
      </w:r>
      <w:r w:rsidR="004B6700">
        <w:rPr>
          <w:rFonts w:cs="Arial"/>
          <w:szCs w:val="24"/>
        </w:rPr>
        <w:t xml:space="preserve">dwelling </w:t>
      </w:r>
      <w:r>
        <w:rPr>
          <w:rFonts w:cs="Arial"/>
          <w:szCs w:val="24"/>
        </w:rPr>
        <w:t>units are necessary to support larger affordable housing projects, they are typically not deed-restricted affordable units, which</w:t>
      </w:r>
      <w:r w:rsidR="00DF1E08">
        <w:rPr>
          <w:rFonts w:cs="Arial"/>
          <w:szCs w:val="24"/>
        </w:rPr>
        <w:t xml:space="preserve"> is</w:t>
      </w:r>
      <w:r>
        <w:rPr>
          <w:rFonts w:cs="Arial"/>
          <w:szCs w:val="24"/>
        </w:rPr>
        <w:t xml:space="preserve"> information the Water Board did not have at the time of Permit issuance. It is reasonable to exclude them because they are necessary to the operation of certain affordable housing projects and excluding them </w:t>
      </w:r>
      <w:r>
        <w:rPr>
          <w:rFonts w:cs="Arial"/>
          <w:szCs w:val="24"/>
        </w:rPr>
        <w:lastRenderedPageBreak/>
        <w:t>supports the measure’s intended goal of supporting affordable housing by providing flexibility relative to a project’s overall affordability.</w:t>
      </w:r>
    </w:p>
    <w:p w14:paraId="0A33407C" w14:textId="475ED4C3" w:rsidR="0049255D" w:rsidRPr="00403046" w:rsidRDefault="004D4440" w:rsidP="00403046">
      <w:pPr>
        <w:pStyle w:val="MRP-FSProvRqmtBullet"/>
        <w:rPr>
          <w:rFonts w:cs="Arial"/>
          <w:szCs w:val="24"/>
        </w:rPr>
      </w:pPr>
      <w:r>
        <w:rPr>
          <w:rFonts w:cs="Arial"/>
          <w:szCs w:val="24"/>
        </w:rPr>
        <w:t>Provision C.3.e.ii.5.(a)(</w:t>
      </w:r>
      <w:proofErr w:type="spellStart"/>
      <w:r>
        <w:rPr>
          <w:rFonts w:cs="Arial"/>
          <w:szCs w:val="24"/>
        </w:rPr>
        <w:t>i</w:t>
      </w:r>
      <w:proofErr w:type="spellEnd"/>
      <w:r>
        <w:rPr>
          <w:rFonts w:cs="Arial"/>
          <w:szCs w:val="24"/>
        </w:rPr>
        <w:t xml:space="preserve">) has been revised to clarify the definition of primarily residential projects, based on new information provided during the Workgroup participants that affordable housing projects are facilitated through allowing mixed uses. The modification allows projects that provide affordable housing, and thus associated water quality benefits, to benefit from allowed flexibility, even if up to one-third of their square footage is dedicated to other uses (e.g., commercial). It appropriately recognizes that affordable housing projects are not exclusively </w:t>
      </w:r>
      <w:proofErr w:type="gramStart"/>
      <w:r>
        <w:rPr>
          <w:rFonts w:cs="Arial"/>
          <w:szCs w:val="24"/>
        </w:rPr>
        <w:t>single-use</w:t>
      </w:r>
      <w:proofErr w:type="gramEnd"/>
      <w:r>
        <w:rPr>
          <w:rFonts w:cs="Arial"/>
          <w:szCs w:val="24"/>
        </w:rPr>
        <w:t xml:space="preserve"> (i.e., residential), and sets a reasonable threshold for mixed use to retain the provision’s affordable housing focus and ensure water quality remains appropriately protected.</w:t>
      </w:r>
    </w:p>
    <w:p w14:paraId="3B42BB77" w14:textId="1E1054CC" w:rsidR="00FF5F48" w:rsidRPr="008A11B2" w:rsidRDefault="00FF5F48" w:rsidP="00403046">
      <w:pPr>
        <w:pStyle w:val="Heading5"/>
        <w:rPr>
          <w:b w:val="0"/>
          <w:bCs w:val="0"/>
        </w:rPr>
      </w:pPr>
      <w:r w:rsidRPr="00BC2289">
        <w:t>Antidegradation</w:t>
      </w:r>
    </w:p>
    <w:p w14:paraId="34352A51" w14:textId="34A0260D" w:rsidR="008A11B2" w:rsidRPr="008A11B2" w:rsidRDefault="00D424B1" w:rsidP="008A11B2">
      <w:pPr>
        <w:autoSpaceDE w:val="0"/>
        <w:autoSpaceDN w:val="0"/>
        <w:adjustRightInd w:val="0"/>
        <w:spacing w:after="240"/>
        <w:rPr>
          <w:rFonts w:ascii="Arial" w:hAnsi="Arial" w:cs="Arial"/>
          <w:sz w:val="24"/>
          <w:szCs w:val="24"/>
        </w:rPr>
      </w:pPr>
      <w:r>
        <w:rPr>
          <w:rFonts w:ascii="Arial" w:hAnsi="Arial" w:cs="Arial"/>
          <w:sz w:val="24"/>
          <w:szCs w:val="24"/>
        </w:rPr>
        <w:t xml:space="preserve">Federal and state </w:t>
      </w:r>
      <w:r w:rsidR="00E16271" w:rsidRPr="00E16271">
        <w:rPr>
          <w:rFonts w:ascii="Arial" w:hAnsi="Arial" w:cs="Arial"/>
          <w:sz w:val="24"/>
          <w:szCs w:val="24"/>
        </w:rPr>
        <w:t>antidegradation p</w:t>
      </w:r>
      <w:r>
        <w:rPr>
          <w:rFonts w:ascii="Arial" w:hAnsi="Arial" w:cs="Arial"/>
          <w:sz w:val="24"/>
          <w:szCs w:val="24"/>
        </w:rPr>
        <w:t>olicies at</w:t>
      </w:r>
      <w:r w:rsidR="00E16271" w:rsidRPr="00E16271">
        <w:rPr>
          <w:rFonts w:ascii="Arial" w:hAnsi="Arial" w:cs="Arial"/>
          <w:sz w:val="24"/>
          <w:szCs w:val="24"/>
        </w:rPr>
        <w:t xml:space="preserve"> 40 CFR section 131.12 </w:t>
      </w:r>
      <w:r w:rsidR="00B411D0">
        <w:rPr>
          <w:rFonts w:ascii="Arial" w:hAnsi="Arial" w:cs="Arial"/>
          <w:sz w:val="24"/>
          <w:szCs w:val="24"/>
        </w:rPr>
        <w:t xml:space="preserve">(federal antidegradation policy) </w:t>
      </w:r>
      <w:r w:rsidR="00E16271" w:rsidRPr="00E16271">
        <w:rPr>
          <w:rFonts w:ascii="Arial" w:hAnsi="Arial" w:cs="Arial"/>
          <w:sz w:val="24"/>
          <w:szCs w:val="24"/>
        </w:rPr>
        <w:t>and State Water Board Resolution No. 68-16</w:t>
      </w:r>
      <w:r w:rsidR="00962A61">
        <w:rPr>
          <w:rFonts w:ascii="Arial" w:hAnsi="Arial" w:cs="Arial"/>
          <w:sz w:val="24"/>
          <w:szCs w:val="24"/>
        </w:rPr>
        <w:t xml:space="preserve"> </w:t>
      </w:r>
      <w:r w:rsidR="00B411D0">
        <w:rPr>
          <w:rFonts w:ascii="Arial" w:hAnsi="Arial" w:cs="Arial"/>
          <w:sz w:val="24"/>
          <w:szCs w:val="24"/>
        </w:rPr>
        <w:t xml:space="preserve">(state antidegradation policy) </w:t>
      </w:r>
      <w:r w:rsidR="00E16271" w:rsidRPr="00E16271">
        <w:rPr>
          <w:rFonts w:ascii="Arial" w:hAnsi="Arial" w:cs="Arial"/>
          <w:sz w:val="24"/>
          <w:szCs w:val="24"/>
        </w:rPr>
        <w:t>require that</w:t>
      </w:r>
      <w:r w:rsidR="00575CD6">
        <w:rPr>
          <w:rFonts w:ascii="Arial" w:hAnsi="Arial" w:cs="Arial"/>
          <w:sz w:val="24"/>
          <w:szCs w:val="24"/>
        </w:rPr>
        <w:t xml:space="preserve"> </w:t>
      </w:r>
      <w:r w:rsidR="00575CD6" w:rsidRPr="00575CD6">
        <w:rPr>
          <w:rFonts w:ascii="Arial" w:hAnsi="Arial" w:cs="Arial"/>
          <w:sz w:val="24"/>
          <w:szCs w:val="24"/>
        </w:rPr>
        <w:t>high quality waters be maintained unless degradation is justified based on specific findings</w:t>
      </w:r>
      <w:r w:rsidR="0034186F">
        <w:rPr>
          <w:rFonts w:ascii="Arial" w:hAnsi="Arial" w:cs="Arial"/>
          <w:sz w:val="24"/>
          <w:szCs w:val="24"/>
        </w:rPr>
        <w:t>.</w:t>
      </w:r>
      <w:r w:rsidR="004C5DA6">
        <w:rPr>
          <w:rFonts w:ascii="Arial" w:hAnsi="Arial" w:cs="Arial"/>
          <w:sz w:val="24"/>
          <w:szCs w:val="24"/>
        </w:rPr>
        <w:t xml:space="preserve"> </w:t>
      </w:r>
      <w:r w:rsidR="00D508A1">
        <w:rPr>
          <w:rFonts w:ascii="Arial" w:hAnsi="Arial" w:cs="Arial"/>
          <w:sz w:val="24"/>
          <w:szCs w:val="24"/>
        </w:rPr>
        <w:t xml:space="preserve">The federal </w:t>
      </w:r>
      <w:r w:rsidR="00B411D0">
        <w:rPr>
          <w:rFonts w:ascii="Arial" w:hAnsi="Arial" w:cs="Arial"/>
          <w:sz w:val="24"/>
          <w:szCs w:val="24"/>
        </w:rPr>
        <w:t xml:space="preserve">antidegradation policy </w:t>
      </w:r>
      <w:r w:rsidR="00D508A1">
        <w:rPr>
          <w:rFonts w:ascii="Arial" w:hAnsi="Arial" w:cs="Arial"/>
          <w:sz w:val="24"/>
          <w:szCs w:val="24"/>
        </w:rPr>
        <w:t>also require</w:t>
      </w:r>
      <w:r w:rsidR="00B411D0">
        <w:rPr>
          <w:rFonts w:ascii="Arial" w:hAnsi="Arial" w:cs="Arial"/>
          <w:sz w:val="24"/>
          <w:szCs w:val="24"/>
        </w:rPr>
        <w:t>s</w:t>
      </w:r>
      <w:r w:rsidR="00D508A1">
        <w:rPr>
          <w:rFonts w:ascii="Arial" w:hAnsi="Arial" w:cs="Arial"/>
          <w:sz w:val="24"/>
          <w:szCs w:val="24"/>
        </w:rPr>
        <w:t xml:space="preserve"> </w:t>
      </w:r>
      <w:r w:rsidR="00170EDD">
        <w:rPr>
          <w:rFonts w:ascii="Arial" w:hAnsi="Arial" w:cs="Arial"/>
          <w:sz w:val="24"/>
          <w:szCs w:val="24"/>
        </w:rPr>
        <w:t xml:space="preserve">existing instream uses </w:t>
      </w:r>
      <w:r w:rsidR="00E11AA6">
        <w:rPr>
          <w:rFonts w:ascii="Arial" w:hAnsi="Arial" w:cs="Arial"/>
          <w:sz w:val="24"/>
          <w:szCs w:val="24"/>
        </w:rPr>
        <w:t>and</w:t>
      </w:r>
      <w:r w:rsidR="00170EDD">
        <w:rPr>
          <w:rFonts w:ascii="Arial" w:hAnsi="Arial" w:cs="Arial"/>
          <w:sz w:val="24"/>
          <w:szCs w:val="24"/>
        </w:rPr>
        <w:t xml:space="preserve"> the level of water quality </w:t>
      </w:r>
      <w:r w:rsidR="00BB0F88">
        <w:rPr>
          <w:rFonts w:ascii="Arial" w:hAnsi="Arial" w:cs="Arial"/>
          <w:sz w:val="24"/>
          <w:szCs w:val="24"/>
        </w:rPr>
        <w:t>necessary to protect those uses be main</w:t>
      </w:r>
      <w:r w:rsidR="009B42F8">
        <w:rPr>
          <w:rFonts w:ascii="Arial" w:hAnsi="Arial" w:cs="Arial"/>
          <w:sz w:val="24"/>
          <w:szCs w:val="24"/>
        </w:rPr>
        <w:t xml:space="preserve">tained and protected. </w:t>
      </w:r>
      <w:r w:rsidR="00BD53AF">
        <w:rPr>
          <w:rFonts w:ascii="Arial" w:hAnsi="Arial" w:cs="Arial"/>
          <w:sz w:val="24"/>
          <w:szCs w:val="24"/>
        </w:rPr>
        <w:t>Here, t</w:t>
      </w:r>
      <w:r w:rsidR="008B4E8D">
        <w:rPr>
          <w:rFonts w:ascii="Arial" w:hAnsi="Arial" w:cs="Arial"/>
          <w:sz w:val="24"/>
          <w:szCs w:val="24"/>
        </w:rPr>
        <w:t xml:space="preserve">he baseline water quality </w:t>
      </w:r>
      <w:r w:rsidR="00577DC9">
        <w:rPr>
          <w:rFonts w:ascii="Arial" w:hAnsi="Arial" w:cs="Arial"/>
          <w:sz w:val="24"/>
          <w:szCs w:val="24"/>
        </w:rPr>
        <w:t>against which any potential degradation</w:t>
      </w:r>
      <w:r w:rsidR="003E4241">
        <w:rPr>
          <w:rFonts w:ascii="Arial" w:hAnsi="Arial" w:cs="Arial"/>
          <w:sz w:val="24"/>
          <w:szCs w:val="24"/>
        </w:rPr>
        <w:t xml:space="preserve"> </w:t>
      </w:r>
      <w:r w:rsidR="0092768B">
        <w:rPr>
          <w:rFonts w:ascii="Arial" w:hAnsi="Arial" w:cs="Arial"/>
          <w:sz w:val="24"/>
          <w:szCs w:val="24"/>
        </w:rPr>
        <w:t xml:space="preserve">resulting </w:t>
      </w:r>
      <w:r w:rsidR="003E4241">
        <w:rPr>
          <w:rFonts w:ascii="Arial" w:hAnsi="Arial" w:cs="Arial"/>
          <w:sz w:val="24"/>
          <w:szCs w:val="24"/>
        </w:rPr>
        <w:t>from this Order</w:t>
      </w:r>
      <w:r w:rsidR="00577DC9">
        <w:rPr>
          <w:rFonts w:ascii="Arial" w:hAnsi="Arial" w:cs="Arial"/>
          <w:sz w:val="24"/>
          <w:szCs w:val="24"/>
        </w:rPr>
        <w:t xml:space="preserve"> is measured is the </w:t>
      </w:r>
      <w:r w:rsidR="00F822B0">
        <w:rPr>
          <w:rFonts w:ascii="Arial" w:hAnsi="Arial" w:cs="Arial"/>
          <w:sz w:val="24"/>
          <w:szCs w:val="24"/>
        </w:rPr>
        <w:t>level authorized in the Permit</w:t>
      </w:r>
      <w:r w:rsidR="00EE72AA">
        <w:rPr>
          <w:rFonts w:ascii="Arial" w:hAnsi="Arial" w:cs="Arial"/>
          <w:sz w:val="24"/>
          <w:szCs w:val="24"/>
        </w:rPr>
        <w:t>.</w:t>
      </w:r>
      <w:r w:rsidR="00EE1A7F">
        <w:rPr>
          <w:rStyle w:val="FootnoteReference"/>
          <w:rFonts w:cs="Arial"/>
          <w:szCs w:val="24"/>
        </w:rPr>
        <w:footnoteReference w:id="36"/>
      </w:r>
      <w:r w:rsidR="00EE72AA">
        <w:rPr>
          <w:rFonts w:ascii="Arial" w:hAnsi="Arial" w:cs="Arial"/>
          <w:sz w:val="24"/>
          <w:szCs w:val="24"/>
        </w:rPr>
        <w:t xml:space="preserve"> </w:t>
      </w:r>
      <w:r w:rsidR="00444BE5">
        <w:rPr>
          <w:rFonts w:ascii="Arial" w:hAnsi="Arial" w:cs="Arial"/>
          <w:sz w:val="24"/>
          <w:szCs w:val="24"/>
        </w:rPr>
        <w:t>The modifications</w:t>
      </w:r>
      <w:r w:rsidR="00444BE5" w:rsidDel="006428CD">
        <w:rPr>
          <w:rFonts w:ascii="Arial" w:hAnsi="Arial" w:cs="Arial"/>
          <w:sz w:val="24"/>
          <w:szCs w:val="24"/>
        </w:rPr>
        <w:t xml:space="preserve"> </w:t>
      </w:r>
      <w:r w:rsidR="006428CD">
        <w:rPr>
          <w:rFonts w:ascii="Arial" w:hAnsi="Arial" w:cs="Arial"/>
          <w:sz w:val="24"/>
          <w:szCs w:val="24"/>
        </w:rPr>
        <w:t>in this Order</w:t>
      </w:r>
      <w:r w:rsidR="00444BE5">
        <w:rPr>
          <w:rFonts w:ascii="Arial" w:hAnsi="Arial" w:cs="Arial"/>
          <w:sz w:val="24"/>
          <w:szCs w:val="24"/>
        </w:rPr>
        <w:t xml:space="preserve"> </w:t>
      </w:r>
      <w:r w:rsidR="007B748F">
        <w:rPr>
          <w:rFonts w:ascii="Arial" w:hAnsi="Arial" w:cs="Arial"/>
          <w:sz w:val="24"/>
          <w:szCs w:val="24"/>
        </w:rPr>
        <w:t>do</w:t>
      </w:r>
      <w:r w:rsidR="00C55FAE">
        <w:rPr>
          <w:rFonts w:ascii="Arial" w:hAnsi="Arial" w:cs="Arial"/>
          <w:sz w:val="24"/>
          <w:szCs w:val="24"/>
        </w:rPr>
        <w:t xml:space="preserve"> not authorize any lowering </w:t>
      </w:r>
      <w:r w:rsidR="000E418F">
        <w:rPr>
          <w:rFonts w:ascii="Arial" w:hAnsi="Arial" w:cs="Arial"/>
          <w:sz w:val="24"/>
          <w:szCs w:val="24"/>
        </w:rPr>
        <w:t xml:space="preserve">water quality </w:t>
      </w:r>
      <w:r w:rsidR="00FA2ECA">
        <w:rPr>
          <w:rFonts w:ascii="Arial" w:hAnsi="Arial" w:cs="Arial"/>
          <w:sz w:val="24"/>
          <w:szCs w:val="24"/>
        </w:rPr>
        <w:t xml:space="preserve">as compared to the Permit </w:t>
      </w:r>
      <w:r w:rsidR="00A778DF" w:rsidRPr="00A778DF">
        <w:rPr>
          <w:rFonts w:ascii="Arial" w:hAnsi="Arial" w:cs="Arial"/>
          <w:sz w:val="24"/>
          <w:szCs w:val="24"/>
        </w:rPr>
        <w:t>such that no antidegradation analysis is required. The Administrative Procedures Update, Antidegradation Policy Implementation for NPDES Permitting, 90-004 (APU 90-004), provides that no antidegradation analysis is required where the regional water board has no expectation that water quality will be reduced by the permitting action.</w:t>
      </w:r>
      <w:r w:rsidR="003A570E">
        <w:rPr>
          <w:rFonts w:ascii="Arial" w:hAnsi="Arial" w:cs="Arial"/>
          <w:sz w:val="24"/>
          <w:szCs w:val="24"/>
        </w:rPr>
        <w:t xml:space="preserve"> That is the case here. Th</w:t>
      </w:r>
      <w:r w:rsidR="00E00BED">
        <w:rPr>
          <w:rFonts w:ascii="Arial" w:hAnsi="Arial" w:cs="Arial"/>
          <w:sz w:val="24"/>
          <w:szCs w:val="24"/>
        </w:rPr>
        <w:t xml:space="preserve">is Order’s modification </w:t>
      </w:r>
      <w:r w:rsidR="005E7F81">
        <w:rPr>
          <w:rFonts w:ascii="Arial" w:hAnsi="Arial" w:cs="Arial"/>
          <w:sz w:val="24"/>
          <w:szCs w:val="24"/>
        </w:rPr>
        <w:t xml:space="preserve">to </w:t>
      </w:r>
      <w:r w:rsidR="00AD05D2">
        <w:rPr>
          <w:rFonts w:ascii="Arial" w:hAnsi="Arial" w:cs="Arial"/>
          <w:sz w:val="24"/>
          <w:szCs w:val="24"/>
        </w:rPr>
        <w:t xml:space="preserve">allow </w:t>
      </w:r>
      <w:r w:rsidR="00B11DB4">
        <w:rPr>
          <w:rFonts w:ascii="Arial" w:hAnsi="Arial" w:cs="Arial"/>
          <w:sz w:val="24"/>
          <w:szCs w:val="24"/>
        </w:rPr>
        <w:t>a</w:t>
      </w:r>
      <w:r w:rsidR="00AD05D2">
        <w:rPr>
          <w:rFonts w:ascii="Arial" w:hAnsi="Arial" w:cs="Arial"/>
          <w:sz w:val="24"/>
          <w:szCs w:val="24"/>
        </w:rPr>
        <w:t xml:space="preserve">lternative </w:t>
      </w:r>
      <w:r w:rsidR="00B11DB4">
        <w:rPr>
          <w:rFonts w:ascii="Arial" w:hAnsi="Arial" w:cs="Arial"/>
          <w:sz w:val="24"/>
          <w:szCs w:val="24"/>
        </w:rPr>
        <w:t>t</w:t>
      </w:r>
      <w:r w:rsidR="00AD05D2">
        <w:rPr>
          <w:rFonts w:ascii="Arial" w:hAnsi="Arial" w:cs="Arial"/>
          <w:sz w:val="24"/>
          <w:szCs w:val="24"/>
        </w:rPr>
        <w:t xml:space="preserve">reatment </w:t>
      </w:r>
      <w:r w:rsidR="00B11DB4">
        <w:rPr>
          <w:rFonts w:ascii="Arial" w:hAnsi="Arial" w:cs="Arial"/>
          <w:sz w:val="24"/>
          <w:szCs w:val="24"/>
        </w:rPr>
        <w:t>s</w:t>
      </w:r>
      <w:r w:rsidR="00AD05D2">
        <w:rPr>
          <w:rFonts w:ascii="Arial" w:hAnsi="Arial" w:cs="Arial"/>
          <w:sz w:val="24"/>
          <w:szCs w:val="24"/>
        </w:rPr>
        <w:t xml:space="preserve">ystems </w:t>
      </w:r>
      <w:r w:rsidR="009614D9">
        <w:rPr>
          <w:rFonts w:ascii="Arial" w:hAnsi="Arial" w:cs="Arial"/>
          <w:sz w:val="24"/>
          <w:szCs w:val="24"/>
        </w:rPr>
        <w:t xml:space="preserve">will not result in </w:t>
      </w:r>
      <w:r w:rsidR="002F248A">
        <w:rPr>
          <w:rFonts w:ascii="Arial" w:hAnsi="Arial" w:cs="Arial"/>
          <w:sz w:val="24"/>
          <w:szCs w:val="24"/>
        </w:rPr>
        <w:t xml:space="preserve">lower water </w:t>
      </w:r>
      <w:r w:rsidR="00C30180">
        <w:rPr>
          <w:rFonts w:ascii="Arial" w:hAnsi="Arial" w:cs="Arial"/>
          <w:sz w:val="24"/>
          <w:szCs w:val="24"/>
        </w:rPr>
        <w:t xml:space="preserve">quality because </w:t>
      </w:r>
      <w:r w:rsidR="00B37D14">
        <w:rPr>
          <w:rFonts w:ascii="Arial" w:hAnsi="Arial" w:cs="Arial"/>
          <w:sz w:val="24"/>
          <w:szCs w:val="24"/>
        </w:rPr>
        <w:t>th</w:t>
      </w:r>
      <w:r w:rsidR="00285EE1">
        <w:rPr>
          <w:rFonts w:ascii="Arial" w:hAnsi="Arial" w:cs="Arial"/>
          <w:sz w:val="24"/>
          <w:szCs w:val="24"/>
        </w:rPr>
        <w:t>eir use</w:t>
      </w:r>
      <w:r w:rsidR="004053A1">
        <w:rPr>
          <w:rFonts w:ascii="Arial" w:hAnsi="Arial" w:cs="Arial"/>
          <w:sz w:val="24"/>
          <w:szCs w:val="24"/>
        </w:rPr>
        <w:t xml:space="preserve"> </w:t>
      </w:r>
      <w:r w:rsidR="00285EE1">
        <w:rPr>
          <w:rFonts w:ascii="Arial" w:hAnsi="Arial" w:cs="Arial"/>
          <w:sz w:val="24"/>
          <w:szCs w:val="24"/>
        </w:rPr>
        <w:t xml:space="preserve">is </w:t>
      </w:r>
      <w:r w:rsidR="005816D0">
        <w:rPr>
          <w:rFonts w:ascii="Arial" w:hAnsi="Arial" w:cs="Arial"/>
          <w:sz w:val="24"/>
          <w:szCs w:val="24"/>
        </w:rPr>
        <w:t>limited</w:t>
      </w:r>
      <w:r w:rsidR="008666AE">
        <w:rPr>
          <w:rFonts w:ascii="Arial" w:hAnsi="Arial" w:cs="Arial"/>
          <w:sz w:val="24"/>
          <w:szCs w:val="24"/>
        </w:rPr>
        <w:t xml:space="preserve"> </w:t>
      </w:r>
      <w:r w:rsidR="00390D65">
        <w:rPr>
          <w:rFonts w:ascii="Arial" w:hAnsi="Arial" w:cs="Arial"/>
          <w:sz w:val="24"/>
          <w:szCs w:val="24"/>
        </w:rPr>
        <w:t xml:space="preserve">to </w:t>
      </w:r>
      <w:r w:rsidR="00EA030C">
        <w:rPr>
          <w:rFonts w:ascii="Arial" w:hAnsi="Arial" w:cs="Arial"/>
          <w:sz w:val="24"/>
          <w:szCs w:val="24"/>
        </w:rPr>
        <w:t>situations where</w:t>
      </w:r>
      <w:r w:rsidR="00390D65">
        <w:rPr>
          <w:rFonts w:ascii="Arial" w:hAnsi="Arial" w:cs="Arial"/>
          <w:sz w:val="24"/>
          <w:szCs w:val="24"/>
        </w:rPr>
        <w:t xml:space="preserve"> </w:t>
      </w:r>
      <w:r w:rsidR="00CB7B81">
        <w:rPr>
          <w:rFonts w:ascii="Arial" w:hAnsi="Arial" w:cs="Arial"/>
          <w:sz w:val="24"/>
          <w:szCs w:val="24"/>
        </w:rPr>
        <w:t xml:space="preserve">LID </w:t>
      </w:r>
      <w:r w:rsidR="00390D65">
        <w:rPr>
          <w:rFonts w:ascii="Arial" w:hAnsi="Arial" w:cs="Arial"/>
          <w:sz w:val="24"/>
          <w:szCs w:val="24"/>
        </w:rPr>
        <w:t xml:space="preserve">measures </w:t>
      </w:r>
      <w:r w:rsidR="00EA030C">
        <w:rPr>
          <w:rFonts w:ascii="Arial" w:hAnsi="Arial" w:cs="Arial"/>
          <w:sz w:val="24"/>
          <w:szCs w:val="24"/>
        </w:rPr>
        <w:t xml:space="preserve">are infeasible </w:t>
      </w:r>
      <w:r w:rsidR="00390D65">
        <w:rPr>
          <w:rFonts w:ascii="Arial" w:hAnsi="Arial" w:cs="Arial"/>
          <w:sz w:val="24"/>
          <w:szCs w:val="24"/>
        </w:rPr>
        <w:t xml:space="preserve">and </w:t>
      </w:r>
      <w:r w:rsidR="008666AE">
        <w:rPr>
          <w:rFonts w:ascii="Arial" w:hAnsi="Arial" w:cs="Arial"/>
          <w:sz w:val="24"/>
          <w:szCs w:val="24"/>
        </w:rPr>
        <w:t>backstopped by</w:t>
      </w:r>
      <w:r w:rsidR="007E15F4">
        <w:rPr>
          <w:rFonts w:ascii="Arial" w:hAnsi="Arial" w:cs="Arial"/>
          <w:sz w:val="24"/>
          <w:szCs w:val="24"/>
        </w:rPr>
        <w:t xml:space="preserve"> </w:t>
      </w:r>
      <w:r w:rsidR="00454EA7">
        <w:rPr>
          <w:rFonts w:ascii="Arial" w:hAnsi="Arial" w:cs="Arial"/>
          <w:sz w:val="24"/>
          <w:szCs w:val="24"/>
        </w:rPr>
        <w:t xml:space="preserve">a </w:t>
      </w:r>
      <w:r w:rsidR="008666AE">
        <w:rPr>
          <w:rFonts w:ascii="Arial" w:hAnsi="Arial" w:cs="Arial"/>
          <w:sz w:val="24"/>
          <w:szCs w:val="24"/>
        </w:rPr>
        <w:t xml:space="preserve">requirement </w:t>
      </w:r>
      <w:r w:rsidR="00232EE1">
        <w:rPr>
          <w:rFonts w:ascii="Arial" w:hAnsi="Arial" w:cs="Arial"/>
          <w:sz w:val="24"/>
          <w:szCs w:val="24"/>
        </w:rPr>
        <w:t xml:space="preserve">to </w:t>
      </w:r>
      <w:r w:rsidR="006C4DAA">
        <w:rPr>
          <w:rFonts w:ascii="Arial" w:hAnsi="Arial" w:cs="Arial"/>
          <w:sz w:val="24"/>
          <w:szCs w:val="24"/>
        </w:rPr>
        <w:t xml:space="preserve">demonstrate </w:t>
      </w:r>
      <w:r w:rsidR="005B1D67">
        <w:rPr>
          <w:rFonts w:ascii="Arial" w:hAnsi="Arial" w:cs="Arial"/>
          <w:sz w:val="24"/>
          <w:szCs w:val="24"/>
        </w:rPr>
        <w:t xml:space="preserve">commensurate </w:t>
      </w:r>
      <w:r w:rsidR="006C37DB">
        <w:rPr>
          <w:rFonts w:ascii="Arial" w:hAnsi="Arial" w:cs="Arial"/>
          <w:sz w:val="24"/>
          <w:szCs w:val="24"/>
        </w:rPr>
        <w:t xml:space="preserve">benefit </w:t>
      </w:r>
      <w:r w:rsidR="008520B0">
        <w:rPr>
          <w:rFonts w:ascii="Arial" w:hAnsi="Arial" w:cs="Arial"/>
          <w:sz w:val="24"/>
          <w:szCs w:val="24"/>
        </w:rPr>
        <w:t>to</w:t>
      </w:r>
      <w:r w:rsidR="006C4DAA">
        <w:rPr>
          <w:rFonts w:ascii="Arial" w:hAnsi="Arial" w:cs="Arial"/>
          <w:sz w:val="24"/>
          <w:szCs w:val="24"/>
        </w:rPr>
        <w:t xml:space="preserve"> </w:t>
      </w:r>
      <w:r w:rsidR="00CB7B81">
        <w:rPr>
          <w:rFonts w:ascii="Arial" w:hAnsi="Arial" w:cs="Arial"/>
          <w:sz w:val="24"/>
          <w:szCs w:val="24"/>
        </w:rPr>
        <w:t xml:space="preserve">LID measures. </w:t>
      </w:r>
      <w:r w:rsidR="00C84167">
        <w:rPr>
          <w:rFonts w:ascii="Arial" w:hAnsi="Arial" w:cs="Arial"/>
          <w:sz w:val="24"/>
          <w:szCs w:val="24"/>
        </w:rPr>
        <w:t xml:space="preserve">In addition, their use </w:t>
      </w:r>
      <w:r w:rsidR="00C310AD">
        <w:rPr>
          <w:rFonts w:ascii="Arial" w:hAnsi="Arial" w:cs="Arial"/>
          <w:sz w:val="24"/>
          <w:szCs w:val="24"/>
        </w:rPr>
        <w:t xml:space="preserve">is </w:t>
      </w:r>
      <w:r w:rsidR="00B37D14">
        <w:rPr>
          <w:rFonts w:ascii="Arial" w:hAnsi="Arial" w:cs="Arial"/>
          <w:sz w:val="24"/>
          <w:szCs w:val="24"/>
        </w:rPr>
        <w:t>li</w:t>
      </w:r>
      <w:r w:rsidR="00DD5F57">
        <w:rPr>
          <w:rFonts w:ascii="Arial" w:hAnsi="Arial" w:cs="Arial"/>
          <w:sz w:val="24"/>
          <w:szCs w:val="24"/>
        </w:rPr>
        <w:t xml:space="preserve">mited </w:t>
      </w:r>
      <w:r w:rsidR="000B2FDC">
        <w:rPr>
          <w:rFonts w:ascii="Arial" w:hAnsi="Arial" w:cs="Arial"/>
          <w:sz w:val="24"/>
          <w:szCs w:val="24"/>
        </w:rPr>
        <w:t>geographically</w:t>
      </w:r>
      <w:r w:rsidR="00DD5F57">
        <w:rPr>
          <w:rFonts w:ascii="Arial" w:hAnsi="Arial" w:cs="Arial"/>
          <w:sz w:val="24"/>
          <w:szCs w:val="24"/>
        </w:rPr>
        <w:t xml:space="preserve"> to </w:t>
      </w:r>
      <w:r w:rsidR="00C310AD">
        <w:rPr>
          <w:rFonts w:ascii="Arial" w:hAnsi="Arial" w:cs="Arial"/>
          <w:sz w:val="24"/>
          <w:szCs w:val="24"/>
        </w:rPr>
        <w:t xml:space="preserve">stormwater discharges </w:t>
      </w:r>
      <w:r w:rsidR="00F8678D">
        <w:rPr>
          <w:rFonts w:ascii="Arial" w:hAnsi="Arial" w:cs="Arial"/>
          <w:sz w:val="24"/>
          <w:szCs w:val="24"/>
        </w:rPr>
        <w:t xml:space="preserve">that drain </w:t>
      </w:r>
      <w:r w:rsidR="00C310AD">
        <w:rPr>
          <w:rFonts w:ascii="Arial" w:hAnsi="Arial" w:cs="Arial"/>
          <w:sz w:val="24"/>
          <w:szCs w:val="24"/>
        </w:rPr>
        <w:t xml:space="preserve">into continuously hardened channels </w:t>
      </w:r>
      <w:r w:rsidR="00D05372">
        <w:rPr>
          <w:rFonts w:ascii="Arial" w:hAnsi="Arial" w:cs="Arial"/>
          <w:sz w:val="24"/>
          <w:szCs w:val="24"/>
        </w:rPr>
        <w:t xml:space="preserve">or </w:t>
      </w:r>
      <w:r w:rsidR="00E371F5">
        <w:rPr>
          <w:rFonts w:ascii="Arial" w:hAnsi="Arial" w:cs="Arial"/>
          <w:sz w:val="24"/>
          <w:szCs w:val="24"/>
        </w:rPr>
        <w:t>that drain</w:t>
      </w:r>
      <w:r w:rsidR="00D05372">
        <w:rPr>
          <w:rFonts w:ascii="Arial" w:hAnsi="Arial" w:cs="Arial"/>
          <w:sz w:val="24"/>
          <w:szCs w:val="24"/>
        </w:rPr>
        <w:t xml:space="preserve"> directly into San Francisco Bay, the Pacific Ocean, or other tidal waters</w:t>
      </w:r>
      <w:r w:rsidR="00FC048F">
        <w:rPr>
          <w:rFonts w:ascii="Arial" w:hAnsi="Arial" w:cs="Arial"/>
          <w:sz w:val="24"/>
          <w:szCs w:val="24"/>
        </w:rPr>
        <w:t>,</w:t>
      </w:r>
      <w:r w:rsidR="00403906">
        <w:rPr>
          <w:rFonts w:ascii="Arial" w:hAnsi="Arial" w:cs="Arial"/>
          <w:sz w:val="24"/>
          <w:szCs w:val="24"/>
        </w:rPr>
        <w:t xml:space="preserve"> </w:t>
      </w:r>
      <w:r w:rsidR="001224D8">
        <w:rPr>
          <w:rFonts w:ascii="Arial" w:hAnsi="Arial" w:cs="Arial"/>
          <w:sz w:val="24"/>
          <w:szCs w:val="24"/>
        </w:rPr>
        <w:t xml:space="preserve">and </w:t>
      </w:r>
      <w:r w:rsidR="00EE2BAF">
        <w:rPr>
          <w:rFonts w:ascii="Arial" w:hAnsi="Arial" w:cs="Arial"/>
          <w:sz w:val="24"/>
          <w:szCs w:val="24"/>
        </w:rPr>
        <w:t xml:space="preserve">includes flow controls commensurate with those provided by LID systems, so that </w:t>
      </w:r>
      <w:r w:rsidR="00403906">
        <w:rPr>
          <w:rFonts w:ascii="Arial" w:hAnsi="Arial" w:cs="Arial"/>
          <w:sz w:val="24"/>
          <w:szCs w:val="24"/>
        </w:rPr>
        <w:t>stormwater flows</w:t>
      </w:r>
      <w:r w:rsidR="006B5A61">
        <w:rPr>
          <w:rFonts w:ascii="Arial" w:hAnsi="Arial" w:cs="Arial"/>
          <w:sz w:val="24"/>
          <w:szCs w:val="24"/>
        </w:rPr>
        <w:t xml:space="preserve"> </w:t>
      </w:r>
      <w:r w:rsidR="00EE2BAF">
        <w:rPr>
          <w:rFonts w:ascii="Arial" w:hAnsi="Arial" w:cs="Arial"/>
          <w:sz w:val="24"/>
          <w:szCs w:val="24"/>
        </w:rPr>
        <w:t xml:space="preserve">will not </w:t>
      </w:r>
      <w:r w:rsidR="004A41BF">
        <w:rPr>
          <w:rFonts w:ascii="Arial" w:hAnsi="Arial" w:cs="Arial"/>
          <w:sz w:val="24"/>
          <w:szCs w:val="24"/>
        </w:rPr>
        <w:t xml:space="preserve">cause </w:t>
      </w:r>
      <w:r w:rsidR="009F2FC5">
        <w:rPr>
          <w:rFonts w:ascii="Arial" w:hAnsi="Arial" w:cs="Arial"/>
          <w:sz w:val="24"/>
          <w:szCs w:val="24"/>
        </w:rPr>
        <w:t xml:space="preserve">downstream </w:t>
      </w:r>
      <w:r w:rsidR="004A41BF">
        <w:rPr>
          <w:rFonts w:ascii="Arial" w:hAnsi="Arial" w:cs="Arial"/>
          <w:sz w:val="24"/>
          <w:szCs w:val="24"/>
        </w:rPr>
        <w:t xml:space="preserve">erosion and </w:t>
      </w:r>
      <w:r w:rsidR="009F2FC5">
        <w:rPr>
          <w:rFonts w:ascii="Arial" w:hAnsi="Arial" w:cs="Arial"/>
          <w:sz w:val="24"/>
          <w:szCs w:val="24"/>
        </w:rPr>
        <w:t xml:space="preserve">mobilize sediments </w:t>
      </w:r>
      <w:r w:rsidR="001C4107">
        <w:rPr>
          <w:rFonts w:ascii="Arial" w:hAnsi="Arial" w:cs="Arial"/>
          <w:sz w:val="24"/>
          <w:szCs w:val="24"/>
        </w:rPr>
        <w:t xml:space="preserve">and pollutants. </w:t>
      </w:r>
      <w:r w:rsidR="00911F03">
        <w:rPr>
          <w:rFonts w:ascii="Arial" w:hAnsi="Arial" w:cs="Arial"/>
          <w:sz w:val="24"/>
          <w:szCs w:val="24"/>
        </w:rPr>
        <w:t>The</w:t>
      </w:r>
      <w:r w:rsidR="006459A7">
        <w:rPr>
          <w:rFonts w:ascii="Arial" w:hAnsi="Arial" w:cs="Arial"/>
          <w:sz w:val="24"/>
          <w:szCs w:val="24"/>
        </w:rPr>
        <w:t xml:space="preserve"> </w:t>
      </w:r>
      <w:r w:rsidR="00E00370">
        <w:rPr>
          <w:rFonts w:ascii="Arial" w:hAnsi="Arial" w:cs="Arial"/>
          <w:sz w:val="24"/>
          <w:szCs w:val="24"/>
        </w:rPr>
        <w:t xml:space="preserve">non-LID component of the </w:t>
      </w:r>
      <w:r w:rsidR="00776C49">
        <w:rPr>
          <w:rFonts w:ascii="Arial" w:hAnsi="Arial" w:cs="Arial"/>
          <w:sz w:val="24"/>
          <w:szCs w:val="24"/>
        </w:rPr>
        <w:t xml:space="preserve">alternative treatment </w:t>
      </w:r>
      <w:r w:rsidR="006459A7">
        <w:rPr>
          <w:rFonts w:ascii="Arial" w:hAnsi="Arial" w:cs="Arial"/>
          <w:sz w:val="24"/>
          <w:szCs w:val="24"/>
        </w:rPr>
        <w:t>system</w:t>
      </w:r>
      <w:r w:rsidR="00E00370">
        <w:rPr>
          <w:rFonts w:ascii="Arial" w:hAnsi="Arial" w:cs="Arial"/>
          <w:sz w:val="24"/>
          <w:szCs w:val="24"/>
        </w:rPr>
        <w:t xml:space="preserve"> </w:t>
      </w:r>
      <w:r w:rsidR="00776C49">
        <w:rPr>
          <w:rFonts w:ascii="Arial" w:hAnsi="Arial" w:cs="Arial"/>
          <w:sz w:val="24"/>
          <w:szCs w:val="24"/>
        </w:rPr>
        <w:t xml:space="preserve">also </w:t>
      </w:r>
      <w:r w:rsidR="003B4F62">
        <w:rPr>
          <w:rFonts w:ascii="Arial" w:hAnsi="Arial" w:cs="Arial"/>
          <w:sz w:val="24"/>
          <w:szCs w:val="24"/>
        </w:rPr>
        <w:t>must</w:t>
      </w:r>
      <w:r w:rsidR="00776C49">
        <w:rPr>
          <w:rFonts w:ascii="Arial" w:hAnsi="Arial" w:cs="Arial"/>
          <w:sz w:val="24"/>
          <w:szCs w:val="24"/>
        </w:rPr>
        <w:t xml:space="preserve"> be </w:t>
      </w:r>
      <w:r w:rsidR="008B0411">
        <w:rPr>
          <w:rFonts w:ascii="Arial" w:hAnsi="Arial" w:cs="Arial"/>
          <w:sz w:val="24"/>
          <w:szCs w:val="24"/>
        </w:rPr>
        <w:t>TAPE-</w:t>
      </w:r>
      <w:r w:rsidR="00776C49">
        <w:rPr>
          <w:rFonts w:ascii="Arial" w:hAnsi="Arial" w:cs="Arial"/>
          <w:sz w:val="24"/>
          <w:szCs w:val="24"/>
        </w:rPr>
        <w:t>certified</w:t>
      </w:r>
      <w:r w:rsidR="006C1C15">
        <w:rPr>
          <w:rFonts w:ascii="Arial" w:hAnsi="Arial" w:cs="Arial"/>
          <w:sz w:val="24"/>
          <w:szCs w:val="24"/>
        </w:rPr>
        <w:t xml:space="preserve">, which </w:t>
      </w:r>
      <w:r w:rsidR="006C1C15" w:rsidRPr="006C1C15">
        <w:rPr>
          <w:rFonts w:ascii="Arial" w:hAnsi="Arial" w:cs="Arial"/>
          <w:sz w:val="24"/>
          <w:szCs w:val="24"/>
        </w:rPr>
        <w:t xml:space="preserve">ensures a minimum level of performance that is comparable to the Permit’s </w:t>
      </w:r>
      <w:r w:rsidR="00144400">
        <w:rPr>
          <w:rFonts w:ascii="Arial" w:hAnsi="Arial" w:cs="Arial"/>
          <w:sz w:val="24"/>
          <w:szCs w:val="24"/>
        </w:rPr>
        <w:t xml:space="preserve">LID </w:t>
      </w:r>
      <w:r w:rsidR="006C1C15" w:rsidRPr="006C1C15">
        <w:rPr>
          <w:rFonts w:ascii="Arial" w:hAnsi="Arial" w:cs="Arial"/>
          <w:sz w:val="24"/>
          <w:szCs w:val="24"/>
        </w:rPr>
        <w:t>performance in terms of pollutant concentration reductions</w:t>
      </w:r>
      <w:r w:rsidR="0091398B">
        <w:rPr>
          <w:rFonts w:ascii="Arial" w:hAnsi="Arial" w:cs="Arial"/>
          <w:sz w:val="24"/>
          <w:szCs w:val="24"/>
        </w:rPr>
        <w:t xml:space="preserve">. </w:t>
      </w:r>
      <w:r w:rsidR="00B33C0F">
        <w:rPr>
          <w:rFonts w:ascii="Arial" w:hAnsi="Arial" w:cs="Arial"/>
          <w:sz w:val="24"/>
          <w:szCs w:val="24"/>
        </w:rPr>
        <w:t>Collectively, the</w:t>
      </w:r>
      <w:r w:rsidR="00852079">
        <w:rPr>
          <w:rFonts w:ascii="Arial" w:hAnsi="Arial" w:cs="Arial"/>
          <w:sz w:val="24"/>
          <w:szCs w:val="24"/>
        </w:rPr>
        <w:t>se</w:t>
      </w:r>
      <w:r w:rsidR="00B33C0F">
        <w:rPr>
          <w:rFonts w:ascii="Arial" w:hAnsi="Arial" w:cs="Arial"/>
          <w:sz w:val="24"/>
          <w:szCs w:val="24"/>
        </w:rPr>
        <w:t xml:space="preserve"> requirements prevent </w:t>
      </w:r>
      <w:r w:rsidR="00813154">
        <w:rPr>
          <w:rFonts w:ascii="Arial" w:hAnsi="Arial" w:cs="Arial"/>
          <w:sz w:val="24"/>
          <w:szCs w:val="24"/>
        </w:rPr>
        <w:t xml:space="preserve">lowering </w:t>
      </w:r>
      <w:r w:rsidR="006E47B7">
        <w:rPr>
          <w:rFonts w:ascii="Arial" w:hAnsi="Arial" w:cs="Arial"/>
          <w:sz w:val="24"/>
          <w:szCs w:val="24"/>
        </w:rPr>
        <w:t xml:space="preserve">of water quality. </w:t>
      </w:r>
    </w:p>
    <w:p w14:paraId="422205CD" w14:textId="7DF9DE21" w:rsidR="004D2041" w:rsidRDefault="004D2041" w:rsidP="008747A5">
      <w:pPr>
        <w:autoSpaceDE w:val="0"/>
        <w:autoSpaceDN w:val="0"/>
        <w:adjustRightInd w:val="0"/>
        <w:spacing w:after="240"/>
        <w:rPr>
          <w:rFonts w:ascii="Arial" w:hAnsi="Arial" w:cs="Arial"/>
          <w:sz w:val="24"/>
          <w:szCs w:val="24"/>
        </w:rPr>
      </w:pPr>
      <w:r w:rsidRPr="004D2041">
        <w:rPr>
          <w:rFonts w:ascii="Arial" w:hAnsi="Arial" w:cs="Arial"/>
          <w:sz w:val="24"/>
          <w:szCs w:val="24"/>
        </w:rPr>
        <w:lastRenderedPageBreak/>
        <w:t>This Order’s modification to the Permit’s Category C Special Projects will similarly not result in lower water quality in receiving waters. Category C Special Projects employing alternative treatment systems will account for a very small footprint, because the systems can only be used after establishing the infeasibility of treating 100 percent of the amount of runoff identified in Provision C.3.d (Numeric Sizing Criteria for Stormwater Treatment Systems) for the Regulated Project’s drainage area with LID treatment measures onsite, offsite, through paying in-lieu fees, or a combination thereof. LID treatment measures are highly achievable and cost-effective such that they can be employed in most instances. The Order changes the method for calculating</w:t>
      </w:r>
      <w:r w:rsidRPr="004D2041" w:rsidDel="00815CD0">
        <w:rPr>
          <w:rFonts w:ascii="Arial" w:hAnsi="Arial" w:cs="Arial"/>
          <w:sz w:val="24"/>
          <w:szCs w:val="24"/>
        </w:rPr>
        <w:t xml:space="preserve"> </w:t>
      </w:r>
      <w:r w:rsidR="00815CD0">
        <w:rPr>
          <w:rFonts w:ascii="Arial" w:hAnsi="Arial" w:cs="Arial"/>
          <w:sz w:val="24"/>
          <w:szCs w:val="24"/>
        </w:rPr>
        <w:t>affordable housing</w:t>
      </w:r>
      <w:r w:rsidRPr="004D2041">
        <w:rPr>
          <w:rFonts w:ascii="Arial" w:hAnsi="Arial" w:cs="Arial"/>
          <w:sz w:val="24"/>
          <w:szCs w:val="24"/>
        </w:rPr>
        <w:t xml:space="preserve"> credits from fixed credits to a sliding scale of credits, with the maximum credits granted to affordable housing projects with dwelling units for acutely low household incomes. This revised method will slightly increase allowed drainage area that may be treated with non-LID measures as compared to the area allowed by the original method. However, the allowed non-LID treatment systems are alternative treatment systems, which new information shows are as effective as LID measures in reducing pollutant</w:t>
      </w:r>
      <w:r w:rsidR="008025C3">
        <w:rPr>
          <w:rFonts w:ascii="Arial" w:hAnsi="Arial" w:cs="Arial"/>
          <w:sz w:val="24"/>
          <w:szCs w:val="24"/>
        </w:rPr>
        <w:t xml:space="preserve"> concentrations</w:t>
      </w:r>
      <w:r w:rsidRPr="004D2041">
        <w:rPr>
          <w:rFonts w:ascii="Arial" w:hAnsi="Arial" w:cs="Arial"/>
          <w:sz w:val="24"/>
          <w:szCs w:val="24"/>
        </w:rPr>
        <w:t xml:space="preserve">. Any potential water quality impacts from the slight increase in the drainage area treated with alternative treatment systems would be minor and offset by the benefits of implementing Category C Special Projects. First, as determined by the Water Board in each of the regional municipal stormwater permits issued to date, when considered on a watershed scale, certain smart </w:t>
      </w:r>
      <w:proofErr w:type="gramStart"/>
      <w:r w:rsidRPr="004D2041">
        <w:rPr>
          <w:rFonts w:ascii="Arial" w:hAnsi="Arial" w:cs="Arial"/>
          <w:sz w:val="24"/>
          <w:szCs w:val="24"/>
        </w:rPr>
        <w:t>growth</w:t>
      </w:r>
      <w:proofErr w:type="gramEnd"/>
      <w:r w:rsidRPr="004D2041">
        <w:rPr>
          <w:rFonts w:ascii="Arial" w:hAnsi="Arial" w:cs="Arial"/>
          <w:sz w:val="24"/>
          <w:szCs w:val="24"/>
        </w:rPr>
        <w:t xml:space="preserve"> or high-density projects—like Category C Special Projects—can reduce existing impervious surfaces or create less accessory impervious areas and car-related pollutant impacts, all of which reduce the discharge of stormwater pollutants into waters. Because of this, the Water Board established incentive LID treatment reduction credits for certain special projects like Category C Special Projects. Second, the projects that qualify for Category C credits will provide housing that will reduce unsheltered homelessness and its associated non-stormwater discharges into receiving waters within Permittee jurisdictions, thereby improving water quality. Significant impacts to water quality can </w:t>
      </w:r>
      <w:r w:rsidR="006B5860">
        <w:rPr>
          <w:rFonts w:ascii="Arial" w:hAnsi="Arial" w:cs="Arial"/>
          <w:sz w:val="24"/>
          <w:szCs w:val="24"/>
        </w:rPr>
        <w:t xml:space="preserve">occur </w:t>
      </w:r>
      <w:r w:rsidRPr="004D2041">
        <w:rPr>
          <w:rFonts w:ascii="Arial" w:hAnsi="Arial" w:cs="Arial"/>
          <w:sz w:val="24"/>
          <w:szCs w:val="24"/>
        </w:rPr>
        <w:t>and has occurred from unsheltered homelessness in the region</w:t>
      </w:r>
      <w:r w:rsidR="008C1A19">
        <w:rPr>
          <w:rFonts w:ascii="Arial" w:hAnsi="Arial" w:cs="Arial"/>
          <w:sz w:val="24"/>
          <w:szCs w:val="24"/>
        </w:rPr>
        <w:t xml:space="preserve"> (e.g., </w:t>
      </w:r>
      <w:r w:rsidR="00620A20">
        <w:rPr>
          <w:rFonts w:ascii="Arial" w:hAnsi="Arial" w:cs="Arial"/>
          <w:sz w:val="24"/>
          <w:szCs w:val="24"/>
        </w:rPr>
        <w:t xml:space="preserve">from </w:t>
      </w:r>
      <w:r w:rsidR="008C1A19">
        <w:rPr>
          <w:rFonts w:ascii="Arial" w:hAnsi="Arial" w:cs="Arial"/>
          <w:sz w:val="24"/>
          <w:szCs w:val="24"/>
        </w:rPr>
        <w:t>trash and raw sewage)</w:t>
      </w:r>
      <w:r w:rsidRPr="004D2041">
        <w:rPr>
          <w:rFonts w:ascii="Arial" w:hAnsi="Arial" w:cs="Arial"/>
          <w:sz w:val="24"/>
          <w:szCs w:val="24"/>
        </w:rPr>
        <w:t>.</w:t>
      </w:r>
      <w:r w:rsidR="00DB3F75" w:rsidRPr="00BC2289">
        <w:rPr>
          <w:rFonts w:ascii="Arial" w:hAnsi="Arial" w:cs="Arial"/>
        </w:rPr>
        <w:t xml:space="preserve"> </w:t>
      </w:r>
    </w:p>
    <w:p w14:paraId="2137D34F" w14:textId="54C4FC07" w:rsidR="00FF5F48" w:rsidRPr="00061517" w:rsidRDefault="00FF5F48" w:rsidP="00403046">
      <w:pPr>
        <w:pStyle w:val="Heading5"/>
        <w:rPr>
          <w:b w:val="0"/>
          <w:bCs w:val="0"/>
        </w:rPr>
      </w:pPr>
      <w:proofErr w:type="spellStart"/>
      <w:r w:rsidRPr="00BC2289">
        <w:t>Antibacksliding</w:t>
      </w:r>
      <w:proofErr w:type="spellEnd"/>
    </w:p>
    <w:p w14:paraId="412E3704" w14:textId="38BDE243" w:rsidR="008E11FE" w:rsidRDefault="00A019A7" w:rsidP="00E02559">
      <w:pPr>
        <w:spacing w:after="120" w:line="240" w:lineRule="auto"/>
        <w:rPr>
          <w:rFonts w:ascii="Arial" w:hAnsi="Arial" w:cs="Arial"/>
          <w:sz w:val="24"/>
          <w:szCs w:val="24"/>
        </w:rPr>
      </w:pPr>
      <w:r w:rsidRPr="00A019A7">
        <w:rPr>
          <w:rFonts w:ascii="Arial" w:hAnsi="Arial" w:cs="Arial"/>
          <w:sz w:val="24"/>
          <w:szCs w:val="24"/>
        </w:rPr>
        <w:t xml:space="preserve">This Order complies with the anti-backsliding provisions of </w:t>
      </w:r>
      <w:r w:rsidR="00D62F5D">
        <w:rPr>
          <w:rFonts w:ascii="Arial" w:hAnsi="Arial" w:cs="Arial"/>
          <w:sz w:val="24"/>
          <w:szCs w:val="24"/>
        </w:rPr>
        <w:t>CWA</w:t>
      </w:r>
      <w:r w:rsidR="00451BFE">
        <w:rPr>
          <w:rFonts w:ascii="Arial" w:hAnsi="Arial" w:cs="Arial"/>
          <w:sz w:val="24"/>
          <w:szCs w:val="24"/>
        </w:rPr>
        <w:t>,</w:t>
      </w:r>
      <w:r w:rsidRPr="00A019A7">
        <w:rPr>
          <w:rFonts w:ascii="Arial" w:hAnsi="Arial" w:cs="Arial"/>
          <w:sz w:val="24"/>
          <w:szCs w:val="24"/>
        </w:rPr>
        <w:t xml:space="preserve"> which generally require</w:t>
      </w:r>
      <w:r w:rsidR="00C92334">
        <w:rPr>
          <w:rFonts w:ascii="Arial" w:hAnsi="Arial" w:cs="Arial"/>
          <w:sz w:val="24"/>
          <w:szCs w:val="24"/>
        </w:rPr>
        <w:t>s</w:t>
      </w:r>
      <w:r w:rsidRPr="00A019A7">
        <w:rPr>
          <w:rFonts w:ascii="Arial" w:hAnsi="Arial" w:cs="Arial"/>
          <w:sz w:val="24"/>
          <w:szCs w:val="24"/>
        </w:rPr>
        <w:t xml:space="preserve"> new effluent limitations to be as stringent as those in the previous order. </w:t>
      </w:r>
      <w:r w:rsidR="009D4B89">
        <w:rPr>
          <w:rFonts w:ascii="Arial" w:hAnsi="Arial" w:cs="Arial"/>
          <w:sz w:val="24"/>
          <w:szCs w:val="24"/>
        </w:rPr>
        <w:t xml:space="preserve">CWA section </w:t>
      </w:r>
      <w:r w:rsidR="001015FA">
        <w:rPr>
          <w:rFonts w:ascii="Arial" w:hAnsi="Arial" w:cs="Arial"/>
          <w:sz w:val="24"/>
          <w:szCs w:val="24"/>
        </w:rPr>
        <w:t>402(o) p</w:t>
      </w:r>
      <w:r w:rsidR="009D4B89" w:rsidRPr="009D4B89">
        <w:rPr>
          <w:rFonts w:ascii="Arial" w:hAnsi="Arial" w:cs="Arial"/>
          <w:sz w:val="24"/>
          <w:szCs w:val="24"/>
        </w:rPr>
        <w:t xml:space="preserve">rohibits revising an existing effluent limitation that was established on a case-by-case basis using best professional judgment under </w:t>
      </w:r>
      <w:r w:rsidR="00A82C81">
        <w:rPr>
          <w:rFonts w:ascii="Arial" w:hAnsi="Arial" w:cs="Arial"/>
          <w:sz w:val="24"/>
          <w:szCs w:val="24"/>
        </w:rPr>
        <w:t xml:space="preserve">CWA </w:t>
      </w:r>
      <w:r w:rsidR="009D4B89" w:rsidRPr="009D4B89">
        <w:rPr>
          <w:rFonts w:ascii="Arial" w:hAnsi="Arial" w:cs="Arial"/>
          <w:sz w:val="24"/>
          <w:szCs w:val="24"/>
        </w:rPr>
        <w:t>section 402(a)(1)(B) to an effluent limitation that reflects subsequently promulgated, less stringent effluent guidelines</w:t>
      </w:r>
      <w:r w:rsidR="00A82C81">
        <w:rPr>
          <w:rFonts w:ascii="Arial" w:hAnsi="Arial" w:cs="Arial"/>
          <w:sz w:val="24"/>
          <w:szCs w:val="24"/>
        </w:rPr>
        <w:t>. It also</w:t>
      </w:r>
      <w:r w:rsidR="008F5471" w:rsidRPr="00BC2289">
        <w:rPr>
          <w:rFonts w:ascii="Arial" w:hAnsi="Arial" w:cs="Arial"/>
        </w:rPr>
        <w:t xml:space="preserve"> </w:t>
      </w:r>
      <w:r w:rsidR="008F5471">
        <w:rPr>
          <w:rFonts w:ascii="Arial" w:hAnsi="Arial" w:cs="Arial"/>
          <w:sz w:val="24"/>
          <w:szCs w:val="24"/>
        </w:rPr>
        <w:t>p</w:t>
      </w:r>
      <w:r w:rsidR="008F5471" w:rsidRPr="008F5471">
        <w:rPr>
          <w:rFonts w:ascii="Arial" w:hAnsi="Arial" w:cs="Arial"/>
          <w:sz w:val="24"/>
          <w:szCs w:val="24"/>
        </w:rPr>
        <w:t xml:space="preserve">rohibits relaxing an existing effluent limitation established pursuant to </w:t>
      </w:r>
      <w:r w:rsidR="008F5471">
        <w:rPr>
          <w:rFonts w:ascii="Arial" w:hAnsi="Arial" w:cs="Arial"/>
          <w:sz w:val="24"/>
          <w:szCs w:val="24"/>
        </w:rPr>
        <w:t xml:space="preserve">CWA sections </w:t>
      </w:r>
      <w:r w:rsidR="008F5471" w:rsidRPr="008F5471">
        <w:rPr>
          <w:rFonts w:ascii="Arial" w:hAnsi="Arial" w:cs="Arial"/>
          <w:sz w:val="24"/>
          <w:szCs w:val="24"/>
        </w:rPr>
        <w:t>301(b)(1)(C) or 303(d) or (e)</w:t>
      </w:r>
      <w:r w:rsidR="008F5471">
        <w:rPr>
          <w:rFonts w:ascii="Arial" w:hAnsi="Arial" w:cs="Arial"/>
          <w:sz w:val="24"/>
          <w:szCs w:val="24"/>
        </w:rPr>
        <w:t>. CWA s</w:t>
      </w:r>
      <w:r w:rsidR="009A4C3B">
        <w:rPr>
          <w:rFonts w:ascii="Arial" w:hAnsi="Arial" w:cs="Arial"/>
          <w:sz w:val="24"/>
          <w:szCs w:val="24"/>
        </w:rPr>
        <w:t xml:space="preserve">ection 402(o) </w:t>
      </w:r>
      <w:r w:rsidR="00196B21">
        <w:rPr>
          <w:rFonts w:ascii="Arial" w:hAnsi="Arial" w:cs="Arial"/>
          <w:sz w:val="24"/>
          <w:szCs w:val="24"/>
        </w:rPr>
        <w:t xml:space="preserve">does not </w:t>
      </w:r>
      <w:r w:rsidR="00E02559" w:rsidRPr="00E02559">
        <w:rPr>
          <w:rFonts w:ascii="Arial" w:hAnsi="Arial" w:cs="Arial"/>
          <w:sz w:val="24"/>
          <w:szCs w:val="24"/>
        </w:rPr>
        <w:t xml:space="preserve">apply </w:t>
      </w:r>
      <w:r w:rsidR="008F5471">
        <w:rPr>
          <w:rFonts w:ascii="Arial" w:hAnsi="Arial" w:cs="Arial"/>
          <w:sz w:val="24"/>
          <w:szCs w:val="24"/>
        </w:rPr>
        <w:t xml:space="preserve">here </w:t>
      </w:r>
      <w:r w:rsidR="00D73248">
        <w:rPr>
          <w:rFonts w:ascii="Arial" w:hAnsi="Arial" w:cs="Arial"/>
          <w:sz w:val="24"/>
          <w:szCs w:val="24"/>
        </w:rPr>
        <w:t>because the</w:t>
      </w:r>
      <w:r w:rsidR="00E02559" w:rsidRPr="00E02559">
        <w:rPr>
          <w:rFonts w:ascii="Arial" w:hAnsi="Arial" w:cs="Arial"/>
          <w:sz w:val="24"/>
          <w:szCs w:val="24"/>
        </w:rPr>
        <w:t xml:space="preserve"> </w:t>
      </w:r>
      <w:r w:rsidR="00FC2395">
        <w:rPr>
          <w:rFonts w:ascii="Arial" w:hAnsi="Arial" w:cs="Arial"/>
          <w:sz w:val="24"/>
          <w:szCs w:val="24"/>
        </w:rPr>
        <w:t>changes to the Permit</w:t>
      </w:r>
      <w:r w:rsidR="0082707A">
        <w:rPr>
          <w:rFonts w:ascii="Arial" w:hAnsi="Arial" w:cs="Arial"/>
          <w:sz w:val="24"/>
          <w:szCs w:val="24"/>
        </w:rPr>
        <w:t xml:space="preserve"> in this Order </w:t>
      </w:r>
      <w:r w:rsidR="00E02559" w:rsidRPr="00E02559">
        <w:rPr>
          <w:rFonts w:ascii="Arial" w:hAnsi="Arial" w:cs="Arial"/>
          <w:sz w:val="24"/>
          <w:szCs w:val="24"/>
        </w:rPr>
        <w:t xml:space="preserve">are not based on </w:t>
      </w:r>
      <w:r w:rsidR="001219A8">
        <w:rPr>
          <w:rFonts w:ascii="Arial" w:hAnsi="Arial" w:cs="Arial"/>
          <w:sz w:val="24"/>
          <w:szCs w:val="24"/>
        </w:rPr>
        <w:t xml:space="preserve">either </w:t>
      </w:r>
      <w:r w:rsidR="00E02559" w:rsidRPr="00E02559">
        <w:rPr>
          <w:rFonts w:ascii="Arial" w:hAnsi="Arial" w:cs="Arial"/>
          <w:sz w:val="24"/>
          <w:szCs w:val="24"/>
        </w:rPr>
        <w:t>revised effluent limitation guideline</w:t>
      </w:r>
      <w:r w:rsidR="00E46F5E">
        <w:rPr>
          <w:rFonts w:ascii="Arial" w:hAnsi="Arial" w:cs="Arial"/>
          <w:sz w:val="24"/>
          <w:szCs w:val="24"/>
        </w:rPr>
        <w:t>s</w:t>
      </w:r>
      <w:r w:rsidR="00E02559" w:rsidRPr="00E02559">
        <w:rPr>
          <w:rFonts w:ascii="Arial" w:hAnsi="Arial" w:cs="Arial"/>
          <w:sz w:val="24"/>
          <w:szCs w:val="24"/>
        </w:rPr>
        <w:t xml:space="preserve"> </w:t>
      </w:r>
      <w:r w:rsidR="001219A8">
        <w:rPr>
          <w:rFonts w:ascii="Arial" w:hAnsi="Arial" w:cs="Arial"/>
          <w:sz w:val="24"/>
          <w:szCs w:val="24"/>
        </w:rPr>
        <w:t xml:space="preserve">or CWA </w:t>
      </w:r>
      <w:r w:rsidR="00E02559" w:rsidRPr="00E02559">
        <w:rPr>
          <w:rFonts w:ascii="Arial" w:hAnsi="Arial" w:cs="Arial"/>
          <w:sz w:val="24"/>
          <w:szCs w:val="24"/>
        </w:rPr>
        <w:t>section 301(b)(1)(C) or section 303(d) or (e</w:t>
      </w:r>
      <w:r w:rsidR="001219A8">
        <w:rPr>
          <w:rFonts w:ascii="Arial" w:hAnsi="Arial" w:cs="Arial"/>
          <w:sz w:val="24"/>
          <w:szCs w:val="24"/>
        </w:rPr>
        <w:t xml:space="preserve">); rather, they are based on CWA </w:t>
      </w:r>
      <w:r w:rsidR="00E02559" w:rsidRPr="00E02559">
        <w:rPr>
          <w:rFonts w:ascii="Arial" w:hAnsi="Arial" w:cs="Arial"/>
          <w:sz w:val="24"/>
          <w:szCs w:val="24"/>
        </w:rPr>
        <w:t>section 402(p)(3)(B).</w:t>
      </w:r>
      <w:r w:rsidR="00867955">
        <w:rPr>
          <w:rFonts w:ascii="Arial" w:hAnsi="Arial" w:cs="Arial"/>
          <w:sz w:val="24"/>
          <w:szCs w:val="24"/>
        </w:rPr>
        <w:t xml:space="preserve"> </w:t>
      </w:r>
    </w:p>
    <w:p w14:paraId="0B71137F" w14:textId="5323F63C" w:rsidR="004E602C" w:rsidRDefault="00867955" w:rsidP="00AE7161">
      <w:pPr>
        <w:spacing w:after="120" w:line="240" w:lineRule="auto"/>
        <w:rPr>
          <w:rFonts w:ascii="Arial" w:hAnsi="Arial" w:cs="Arial"/>
          <w:sz w:val="24"/>
          <w:szCs w:val="24"/>
        </w:rPr>
      </w:pPr>
      <w:r w:rsidRPr="6C66117B">
        <w:rPr>
          <w:rFonts w:ascii="Arial" w:hAnsi="Arial" w:cs="Arial"/>
          <w:sz w:val="24"/>
          <w:szCs w:val="24"/>
        </w:rPr>
        <w:t xml:space="preserve">It is </w:t>
      </w:r>
      <w:r w:rsidR="002822C2" w:rsidRPr="6C66117B">
        <w:rPr>
          <w:rFonts w:ascii="Arial" w:hAnsi="Arial" w:cs="Arial"/>
          <w:sz w:val="24"/>
          <w:szCs w:val="24"/>
        </w:rPr>
        <w:t>un</w:t>
      </w:r>
      <w:r w:rsidR="00E02559" w:rsidRPr="6C66117B">
        <w:rPr>
          <w:rFonts w:ascii="Arial" w:hAnsi="Arial" w:cs="Arial"/>
          <w:sz w:val="24"/>
          <w:szCs w:val="24"/>
        </w:rPr>
        <w:t xml:space="preserve">clear if </w:t>
      </w:r>
      <w:r w:rsidR="00F444EB" w:rsidRPr="6C66117B">
        <w:rPr>
          <w:rFonts w:ascii="Arial" w:hAnsi="Arial" w:cs="Arial"/>
          <w:sz w:val="24"/>
          <w:szCs w:val="24"/>
        </w:rPr>
        <w:t xml:space="preserve">the </w:t>
      </w:r>
      <w:r w:rsidR="00E02559" w:rsidRPr="6C66117B">
        <w:rPr>
          <w:rFonts w:ascii="Arial" w:hAnsi="Arial" w:cs="Arial"/>
          <w:sz w:val="24"/>
          <w:szCs w:val="24"/>
        </w:rPr>
        <w:t xml:space="preserve">regulatory anti-backsliding </w:t>
      </w:r>
      <w:r w:rsidR="00F444EB" w:rsidRPr="6C66117B">
        <w:rPr>
          <w:rFonts w:ascii="Arial" w:hAnsi="Arial" w:cs="Arial"/>
          <w:sz w:val="24"/>
          <w:szCs w:val="24"/>
        </w:rPr>
        <w:t xml:space="preserve">prohibition </w:t>
      </w:r>
      <w:r w:rsidR="00E02559" w:rsidRPr="6C66117B">
        <w:rPr>
          <w:rFonts w:ascii="Arial" w:hAnsi="Arial" w:cs="Arial"/>
          <w:sz w:val="24"/>
          <w:szCs w:val="24"/>
        </w:rPr>
        <w:t xml:space="preserve">at 40 CFR </w:t>
      </w:r>
      <w:r w:rsidRPr="6C66117B">
        <w:rPr>
          <w:rFonts w:ascii="Arial" w:hAnsi="Arial" w:cs="Arial"/>
          <w:sz w:val="24"/>
          <w:szCs w:val="24"/>
        </w:rPr>
        <w:t xml:space="preserve">section </w:t>
      </w:r>
      <w:r w:rsidR="00E02559" w:rsidRPr="6C66117B">
        <w:rPr>
          <w:rFonts w:ascii="Arial" w:hAnsi="Arial" w:cs="Arial"/>
          <w:sz w:val="24"/>
          <w:szCs w:val="24"/>
        </w:rPr>
        <w:t xml:space="preserve">122.44(l) applies to municipal </w:t>
      </w:r>
      <w:r w:rsidR="00E02559" w:rsidRPr="00BC2289">
        <w:rPr>
          <w:rFonts w:ascii="Arial" w:hAnsi="Arial" w:cs="Arial"/>
          <w:sz w:val="24"/>
          <w:szCs w:val="24"/>
        </w:rPr>
        <w:t>stormwater</w:t>
      </w:r>
      <w:r w:rsidR="00E02559" w:rsidRPr="6C66117B">
        <w:rPr>
          <w:rFonts w:ascii="Arial" w:hAnsi="Arial" w:cs="Arial"/>
          <w:sz w:val="24"/>
          <w:szCs w:val="24"/>
        </w:rPr>
        <w:t xml:space="preserve"> permits. </w:t>
      </w:r>
      <w:r w:rsidR="004E751B" w:rsidRPr="6C66117B">
        <w:rPr>
          <w:rFonts w:ascii="Arial" w:hAnsi="Arial" w:cs="Arial"/>
          <w:sz w:val="24"/>
          <w:szCs w:val="24"/>
        </w:rPr>
        <w:t xml:space="preserve">This </w:t>
      </w:r>
      <w:r w:rsidR="005F6E58" w:rsidRPr="6C66117B">
        <w:rPr>
          <w:rFonts w:ascii="Arial" w:hAnsi="Arial" w:cs="Arial"/>
          <w:sz w:val="24"/>
          <w:szCs w:val="24"/>
        </w:rPr>
        <w:t>is u</w:t>
      </w:r>
      <w:r w:rsidR="00E02559" w:rsidRPr="6C66117B">
        <w:rPr>
          <w:rFonts w:ascii="Arial" w:hAnsi="Arial" w:cs="Arial"/>
          <w:sz w:val="24"/>
          <w:szCs w:val="24"/>
        </w:rPr>
        <w:t xml:space="preserve">nnecessary to resolve </w:t>
      </w:r>
      <w:r w:rsidR="005F6E58" w:rsidRPr="6C66117B">
        <w:rPr>
          <w:rFonts w:ascii="Arial" w:hAnsi="Arial" w:cs="Arial"/>
          <w:sz w:val="24"/>
          <w:szCs w:val="24"/>
        </w:rPr>
        <w:t>beca</w:t>
      </w:r>
      <w:r w:rsidR="00286AC5" w:rsidRPr="6C66117B">
        <w:rPr>
          <w:rFonts w:ascii="Arial" w:hAnsi="Arial" w:cs="Arial"/>
          <w:sz w:val="24"/>
          <w:szCs w:val="24"/>
        </w:rPr>
        <w:t>us</w:t>
      </w:r>
      <w:r w:rsidR="005F6E58" w:rsidRPr="6C66117B">
        <w:rPr>
          <w:rFonts w:ascii="Arial" w:hAnsi="Arial" w:cs="Arial"/>
          <w:sz w:val="24"/>
          <w:szCs w:val="24"/>
        </w:rPr>
        <w:t>e</w:t>
      </w:r>
      <w:r w:rsidR="00E02559" w:rsidRPr="6C66117B">
        <w:rPr>
          <w:rFonts w:ascii="Arial" w:hAnsi="Arial" w:cs="Arial"/>
          <w:sz w:val="24"/>
          <w:szCs w:val="24"/>
        </w:rPr>
        <w:t xml:space="preserve"> </w:t>
      </w:r>
      <w:r w:rsidR="00E02559" w:rsidRPr="6C66117B">
        <w:rPr>
          <w:rFonts w:ascii="Arial" w:hAnsi="Arial" w:cs="Arial"/>
          <w:sz w:val="24"/>
          <w:szCs w:val="24"/>
        </w:rPr>
        <w:lastRenderedPageBreak/>
        <w:t>assuming for the sake of argument that it applies</w:t>
      </w:r>
      <w:r w:rsidR="00644B11">
        <w:rPr>
          <w:rFonts w:ascii="Arial" w:hAnsi="Arial" w:cs="Arial"/>
          <w:sz w:val="24"/>
          <w:szCs w:val="24"/>
        </w:rPr>
        <w:t>,</w:t>
      </w:r>
      <w:r w:rsidR="00C63150" w:rsidRPr="6C66117B">
        <w:rPr>
          <w:rFonts w:ascii="Arial" w:hAnsi="Arial" w:cs="Arial"/>
          <w:sz w:val="24"/>
          <w:szCs w:val="24"/>
        </w:rPr>
        <w:t xml:space="preserve"> </w:t>
      </w:r>
      <w:r w:rsidR="00872F3E" w:rsidRPr="6C66117B">
        <w:rPr>
          <w:rFonts w:ascii="Arial" w:hAnsi="Arial" w:cs="Arial"/>
          <w:sz w:val="24"/>
          <w:szCs w:val="24"/>
        </w:rPr>
        <w:t xml:space="preserve">even though </w:t>
      </w:r>
      <w:r w:rsidR="00C63150" w:rsidRPr="6C66117B">
        <w:rPr>
          <w:rFonts w:ascii="Arial" w:hAnsi="Arial" w:cs="Arial"/>
          <w:sz w:val="24"/>
          <w:szCs w:val="24"/>
        </w:rPr>
        <w:t>this Order</w:t>
      </w:r>
      <w:r w:rsidR="00DD42F5">
        <w:rPr>
          <w:rFonts w:ascii="Arial" w:hAnsi="Arial" w:cs="Arial"/>
          <w:sz w:val="24"/>
          <w:szCs w:val="24"/>
        </w:rPr>
        <w:t>’</w:t>
      </w:r>
      <w:r w:rsidR="00C232DA">
        <w:rPr>
          <w:rFonts w:ascii="Arial" w:hAnsi="Arial" w:cs="Arial"/>
          <w:sz w:val="24"/>
          <w:szCs w:val="24"/>
        </w:rPr>
        <w:t>s</w:t>
      </w:r>
      <w:r w:rsidR="00C63150" w:rsidRPr="6C66117B">
        <w:rPr>
          <w:rFonts w:ascii="Arial" w:hAnsi="Arial" w:cs="Arial"/>
          <w:sz w:val="24"/>
          <w:szCs w:val="24"/>
        </w:rPr>
        <w:t xml:space="preserve"> </w:t>
      </w:r>
      <w:r w:rsidR="00EB0DF7">
        <w:rPr>
          <w:rFonts w:ascii="Arial" w:hAnsi="Arial" w:cs="Arial"/>
          <w:sz w:val="24"/>
          <w:szCs w:val="24"/>
        </w:rPr>
        <w:t xml:space="preserve">changes </w:t>
      </w:r>
      <w:r w:rsidR="00C63150" w:rsidRPr="6C66117B">
        <w:rPr>
          <w:rFonts w:ascii="Arial" w:hAnsi="Arial" w:cs="Arial"/>
          <w:sz w:val="24"/>
          <w:szCs w:val="24"/>
        </w:rPr>
        <w:t xml:space="preserve">are </w:t>
      </w:r>
      <w:r w:rsidR="0098418A" w:rsidRPr="6C66117B">
        <w:rPr>
          <w:rFonts w:ascii="Arial" w:hAnsi="Arial" w:cs="Arial"/>
          <w:sz w:val="24"/>
          <w:szCs w:val="24"/>
        </w:rPr>
        <w:t>not</w:t>
      </w:r>
      <w:r w:rsidR="003642A0" w:rsidRPr="6C66117B">
        <w:rPr>
          <w:rFonts w:ascii="Arial" w:hAnsi="Arial" w:cs="Arial"/>
          <w:sz w:val="24"/>
          <w:szCs w:val="24"/>
        </w:rPr>
        <w:t xml:space="preserve"> necessarily</w:t>
      </w:r>
      <w:r w:rsidR="0098418A" w:rsidRPr="6C66117B">
        <w:rPr>
          <w:rFonts w:ascii="Arial" w:hAnsi="Arial" w:cs="Arial"/>
          <w:sz w:val="24"/>
          <w:szCs w:val="24"/>
        </w:rPr>
        <w:t xml:space="preserve"> less stringent</w:t>
      </w:r>
      <w:r w:rsidR="00E02559" w:rsidRPr="6C66117B">
        <w:rPr>
          <w:rFonts w:ascii="Arial" w:hAnsi="Arial" w:cs="Arial"/>
          <w:sz w:val="24"/>
          <w:szCs w:val="24"/>
        </w:rPr>
        <w:t>, the changes qualify for an exception to backsliding.</w:t>
      </w:r>
      <w:r w:rsidR="003077DF" w:rsidRPr="6C66117B">
        <w:rPr>
          <w:rFonts w:ascii="Arial" w:hAnsi="Arial" w:cs="Arial"/>
          <w:sz w:val="24"/>
          <w:szCs w:val="24"/>
        </w:rPr>
        <w:t xml:space="preserve"> </w:t>
      </w:r>
      <w:r w:rsidR="002C002D" w:rsidRPr="6C66117B">
        <w:rPr>
          <w:rFonts w:ascii="Arial" w:hAnsi="Arial" w:cs="Arial"/>
          <w:sz w:val="24"/>
          <w:szCs w:val="24"/>
        </w:rPr>
        <w:t>Both t</w:t>
      </w:r>
      <w:r w:rsidR="00E02559" w:rsidRPr="6C66117B">
        <w:rPr>
          <w:rFonts w:ascii="Arial" w:hAnsi="Arial" w:cs="Arial"/>
          <w:sz w:val="24"/>
          <w:szCs w:val="24"/>
        </w:rPr>
        <w:t xml:space="preserve">he </w:t>
      </w:r>
      <w:r w:rsidR="00445664" w:rsidRPr="6C66117B">
        <w:rPr>
          <w:rFonts w:ascii="Arial" w:hAnsi="Arial" w:cs="Arial"/>
          <w:sz w:val="24"/>
          <w:szCs w:val="24"/>
        </w:rPr>
        <w:t xml:space="preserve">CWA </w:t>
      </w:r>
      <w:r w:rsidR="00E02559" w:rsidRPr="6C66117B">
        <w:rPr>
          <w:rFonts w:ascii="Arial" w:hAnsi="Arial" w:cs="Arial"/>
          <w:sz w:val="24"/>
          <w:szCs w:val="24"/>
        </w:rPr>
        <w:t>and federal regulations contain exceptions to the anti-backsliding requirements where new information is available to the permitting authority that was not available at the time of the issuance of the prior permit and that would have justified the imposition of less stringent effluent limitations at that time. See 33 US</w:t>
      </w:r>
      <w:r w:rsidR="00FC65DE">
        <w:rPr>
          <w:rFonts w:ascii="Arial" w:hAnsi="Arial" w:cs="Arial"/>
          <w:sz w:val="24"/>
          <w:szCs w:val="24"/>
        </w:rPr>
        <w:t>C</w:t>
      </w:r>
      <w:r w:rsidR="00E02559" w:rsidRPr="6C66117B">
        <w:rPr>
          <w:rFonts w:ascii="Arial" w:hAnsi="Arial" w:cs="Arial"/>
          <w:sz w:val="24"/>
          <w:szCs w:val="24"/>
        </w:rPr>
        <w:t xml:space="preserve"> § 1342(o)(2)(B)(</w:t>
      </w:r>
      <w:proofErr w:type="spellStart"/>
      <w:r w:rsidR="00E02559" w:rsidRPr="6C66117B">
        <w:rPr>
          <w:rFonts w:ascii="Arial" w:hAnsi="Arial" w:cs="Arial"/>
          <w:sz w:val="24"/>
          <w:szCs w:val="24"/>
        </w:rPr>
        <w:t>i</w:t>
      </w:r>
      <w:proofErr w:type="spellEnd"/>
      <w:r w:rsidR="00E02559" w:rsidRPr="6C66117B">
        <w:rPr>
          <w:rFonts w:ascii="Arial" w:hAnsi="Arial" w:cs="Arial"/>
          <w:sz w:val="24"/>
          <w:szCs w:val="24"/>
        </w:rPr>
        <w:t>); 40 CFR § 122.44(l)(1) anti-backsliding does not apply if the circumstances on which the previous permit was based have materially and substantially changed and would constitute cause for permit modification under 40 CFR section 122.62</w:t>
      </w:r>
      <w:r w:rsidR="003D2FE3" w:rsidRPr="6C66117B">
        <w:rPr>
          <w:rFonts w:ascii="Arial" w:hAnsi="Arial" w:cs="Arial"/>
          <w:sz w:val="24"/>
          <w:szCs w:val="24"/>
        </w:rPr>
        <w:t xml:space="preserve"> [e.g., where </w:t>
      </w:r>
      <w:r w:rsidR="00E02559" w:rsidRPr="6C66117B">
        <w:rPr>
          <w:rFonts w:ascii="Arial" w:hAnsi="Arial" w:cs="Arial"/>
          <w:sz w:val="24"/>
          <w:szCs w:val="24"/>
        </w:rPr>
        <w:t xml:space="preserve">new information </w:t>
      </w:r>
      <w:r w:rsidR="00AA28F7" w:rsidRPr="6C66117B">
        <w:rPr>
          <w:rFonts w:ascii="Arial" w:hAnsi="Arial" w:cs="Arial"/>
          <w:sz w:val="24"/>
          <w:szCs w:val="24"/>
        </w:rPr>
        <w:t xml:space="preserve">that was </w:t>
      </w:r>
      <w:r w:rsidR="00E02559" w:rsidRPr="6C66117B">
        <w:rPr>
          <w:rFonts w:ascii="Arial" w:hAnsi="Arial" w:cs="Arial"/>
          <w:sz w:val="24"/>
          <w:szCs w:val="24"/>
        </w:rPr>
        <w:t xml:space="preserve">not available at the time the previous permit was issued </w:t>
      </w:r>
      <w:r w:rsidR="009C48BD" w:rsidRPr="6C66117B">
        <w:rPr>
          <w:rFonts w:ascii="Arial" w:hAnsi="Arial" w:cs="Arial"/>
          <w:sz w:val="24"/>
          <w:szCs w:val="24"/>
        </w:rPr>
        <w:t xml:space="preserve">and would have </w:t>
      </w:r>
      <w:r w:rsidR="00976114" w:rsidRPr="6C66117B">
        <w:rPr>
          <w:rFonts w:ascii="Arial" w:hAnsi="Arial" w:cs="Arial"/>
          <w:sz w:val="24"/>
          <w:szCs w:val="24"/>
        </w:rPr>
        <w:t>justified the different requirements</w:t>
      </w:r>
      <w:r w:rsidR="00B05612" w:rsidRPr="6C66117B">
        <w:rPr>
          <w:rFonts w:ascii="Arial" w:hAnsi="Arial" w:cs="Arial"/>
          <w:sz w:val="24"/>
          <w:szCs w:val="24"/>
        </w:rPr>
        <w:t>]</w:t>
      </w:r>
      <w:r w:rsidR="00E02559" w:rsidRPr="6C66117B">
        <w:rPr>
          <w:rFonts w:ascii="Arial" w:hAnsi="Arial" w:cs="Arial"/>
          <w:sz w:val="24"/>
          <w:szCs w:val="24"/>
        </w:rPr>
        <w:t>; see also 40 CFR §122.44(l)(2)(</w:t>
      </w:r>
      <w:proofErr w:type="spellStart"/>
      <w:r w:rsidR="00E02559" w:rsidRPr="6C66117B">
        <w:rPr>
          <w:rFonts w:ascii="Arial" w:hAnsi="Arial" w:cs="Arial"/>
          <w:sz w:val="24"/>
          <w:szCs w:val="24"/>
        </w:rPr>
        <w:t>i</w:t>
      </w:r>
      <w:proofErr w:type="spellEnd"/>
      <w:r w:rsidR="00E02559" w:rsidRPr="6C66117B">
        <w:rPr>
          <w:rFonts w:ascii="Arial" w:hAnsi="Arial" w:cs="Arial"/>
          <w:sz w:val="24"/>
          <w:szCs w:val="24"/>
        </w:rPr>
        <w:t>)(B)(1).</w:t>
      </w:r>
      <w:r w:rsidR="008E7D63" w:rsidRPr="6C66117B">
        <w:rPr>
          <w:rFonts w:ascii="Arial" w:hAnsi="Arial" w:cs="Arial"/>
          <w:sz w:val="24"/>
          <w:szCs w:val="24"/>
        </w:rPr>
        <w:t xml:space="preserve"> </w:t>
      </w:r>
      <w:r w:rsidR="00411A65" w:rsidRPr="6C66117B">
        <w:rPr>
          <w:rFonts w:ascii="Arial" w:hAnsi="Arial" w:cs="Arial"/>
          <w:sz w:val="24"/>
          <w:szCs w:val="24"/>
        </w:rPr>
        <w:t>A</w:t>
      </w:r>
      <w:r w:rsidR="002E63AD" w:rsidRPr="6C66117B">
        <w:rPr>
          <w:rFonts w:ascii="Arial" w:hAnsi="Arial" w:cs="Arial"/>
          <w:sz w:val="24"/>
          <w:szCs w:val="24"/>
        </w:rPr>
        <w:t>s explained elsewhere in this Fact She</w:t>
      </w:r>
      <w:r w:rsidR="002436FD" w:rsidRPr="6C66117B">
        <w:rPr>
          <w:rFonts w:ascii="Arial" w:hAnsi="Arial" w:cs="Arial"/>
          <w:sz w:val="24"/>
          <w:szCs w:val="24"/>
        </w:rPr>
        <w:t xml:space="preserve">et, </w:t>
      </w:r>
      <w:r w:rsidR="00586D50" w:rsidRPr="6C66117B">
        <w:rPr>
          <w:rFonts w:ascii="Arial" w:hAnsi="Arial" w:cs="Arial"/>
          <w:sz w:val="24"/>
          <w:szCs w:val="24"/>
        </w:rPr>
        <w:t xml:space="preserve">there </w:t>
      </w:r>
      <w:r w:rsidR="00894220" w:rsidRPr="6C66117B">
        <w:rPr>
          <w:rFonts w:ascii="Arial" w:hAnsi="Arial" w:cs="Arial"/>
          <w:sz w:val="24"/>
          <w:szCs w:val="24"/>
        </w:rPr>
        <w:t xml:space="preserve">is new information </w:t>
      </w:r>
      <w:r w:rsidR="00F415BE" w:rsidRPr="6C66117B">
        <w:rPr>
          <w:rFonts w:ascii="Arial" w:hAnsi="Arial" w:cs="Arial"/>
          <w:sz w:val="24"/>
          <w:szCs w:val="24"/>
        </w:rPr>
        <w:t xml:space="preserve">that </w:t>
      </w:r>
      <w:r w:rsidR="009F584D" w:rsidRPr="6C66117B">
        <w:rPr>
          <w:rFonts w:ascii="Arial" w:hAnsi="Arial" w:cs="Arial"/>
          <w:sz w:val="24"/>
          <w:szCs w:val="24"/>
        </w:rPr>
        <w:t xml:space="preserve">was not available at the time of the Permit’s adoption </w:t>
      </w:r>
      <w:r w:rsidR="00BE5374" w:rsidRPr="6C66117B">
        <w:rPr>
          <w:rFonts w:ascii="Arial" w:hAnsi="Arial" w:cs="Arial"/>
          <w:sz w:val="24"/>
          <w:szCs w:val="24"/>
        </w:rPr>
        <w:t xml:space="preserve">that would have justified the application of </w:t>
      </w:r>
      <w:r w:rsidR="691AC696" w:rsidRPr="6C66117B">
        <w:rPr>
          <w:rFonts w:ascii="Arial" w:hAnsi="Arial" w:cs="Arial"/>
          <w:sz w:val="24"/>
          <w:szCs w:val="24"/>
        </w:rPr>
        <w:t xml:space="preserve">different </w:t>
      </w:r>
      <w:r w:rsidR="00470175" w:rsidRPr="6C66117B">
        <w:rPr>
          <w:rFonts w:ascii="Arial" w:hAnsi="Arial" w:cs="Arial"/>
          <w:sz w:val="24"/>
          <w:szCs w:val="24"/>
        </w:rPr>
        <w:t>requirements at that time.</w:t>
      </w:r>
    </w:p>
    <w:p w14:paraId="3BCBC52A" w14:textId="774910EA" w:rsidR="00C343F7" w:rsidRDefault="00C343F7" w:rsidP="00403046">
      <w:pPr>
        <w:pStyle w:val="Heading5"/>
      </w:pPr>
      <w:r w:rsidRPr="008D63DE">
        <w:t>Public</w:t>
      </w:r>
      <w:r w:rsidRPr="004E4333">
        <w:t xml:space="preserve"> Participation</w:t>
      </w:r>
    </w:p>
    <w:p w14:paraId="4A15E7CB" w14:textId="669E8307" w:rsidR="00A035F4" w:rsidRDefault="00C343F7" w:rsidP="008747A5">
      <w:pPr>
        <w:spacing w:after="120" w:line="240" w:lineRule="auto"/>
        <w:ind w:left="270" w:hanging="270"/>
        <w:rPr>
          <w:rFonts w:ascii="Arial" w:hAnsi="Arial" w:cs="Arial"/>
          <w:sz w:val="24"/>
          <w:szCs w:val="24"/>
        </w:rPr>
      </w:pPr>
      <w:r w:rsidRPr="00497090">
        <w:rPr>
          <w:rFonts w:ascii="Arial" w:hAnsi="Arial" w:cs="Arial"/>
          <w:sz w:val="24"/>
          <w:szCs w:val="24"/>
        </w:rPr>
        <w:t>A.</w:t>
      </w:r>
      <w:r w:rsidRPr="00765E7E">
        <w:rPr>
          <w:rFonts w:ascii="Arial" w:hAnsi="Arial" w:cs="Arial"/>
          <w:b/>
          <w:bCs/>
          <w:sz w:val="24"/>
          <w:szCs w:val="24"/>
        </w:rPr>
        <w:t xml:space="preserve"> Notification of Interested Parties</w:t>
      </w:r>
      <w:r w:rsidRPr="00C343F7">
        <w:rPr>
          <w:rFonts w:ascii="Arial" w:hAnsi="Arial" w:cs="Arial"/>
          <w:sz w:val="24"/>
          <w:szCs w:val="24"/>
        </w:rPr>
        <w:t xml:space="preserve">. The Water Board notified the </w:t>
      </w:r>
      <w:r>
        <w:rPr>
          <w:rFonts w:ascii="Arial" w:hAnsi="Arial" w:cs="Arial"/>
          <w:sz w:val="24"/>
          <w:szCs w:val="24"/>
        </w:rPr>
        <w:t xml:space="preserve">Permittees </w:t>
      </w:r>
      <w:r w:rsidRPr="00C343F7">
        <w:rPr>
          <w:rFonts w:ascii="Arial" w:hAnsi="Arial" w:cs="Arial"/>
          <w:sz w:val="24"/>
          <w:szCs w:val="24"/>
        </w:rPr>
        <w:t xml:space="preserve">and interested agencies and persons of its intent to amend the Permit </w:t>
      </w:r>
      <w:r w:rsidR="00401C5E">
        <w:rPr>
          <w:rFonts w:ascii="Arial" w:hAnsi="Arial" w:cs="Arial"/>
          <w:sz w:val="24"/>
          <w:szCs w:val="24"/>
        </w:rPr>
        <w:t xml:space="preserve">with this Order </w:t>
      </w:r>
      <w:r w:rsidRPr="00C343F7">
        <w:rPr>
          <w:rFonts w:ascii="Arial" w:hAnsi="Arial" w:cs="Arial"/>
          <w:sz w:val="24"/>
          <w:szCs w:val="24"/>
        </w:rPr>
        <w:t xml:space="preserve">and provided an opportunity to submit written comments. The public had access to the agenda and any changes in dates and locations through the Water Board’s website at http://www.waterboards.ca.gov/sanfranciscobay. </w:t>
      </w:r>
      <w:r w:rsidR="003F593E" w:rsidRPr="000C79F9">
        <w:rPr>
          <w:rFonts w:ascii="Arial" w:hAnsi="Arial" w:cs="Arial"/>
          <w:sz w:val="24"/>
          <w:szCs w:val="24"/>
        </w:rPr>
        <w:t>The Water Board also notified potentially affected disadvantaged</w:t>
      </w:r>
      <w:r w:rsidR="003F593E">
        <w:rPr>
          <w:rFonts w:ascii="Arial" w:hAnsi="Arial" w:cs="Arial"/>
          <w:sz w:val="24"/>
          <w:szCs w:val="24"/>
        </w:rPr>
        <w:t xml:space="preserve"> communities</w:t>
      </w:r>
      <w:r w:rsidR="003F593E" w:rsidRPr="000C79F9">
        <w:rPr>
          <w:rFonts w:ascii="Arial" w:hAnsi="Arial" w:cs="Arial"/>
          <w:sz w:val="24"/>
          <w:szCs w:val="24"/>
        </w:rPr>
        <w:t xml:space="preserve"> and tribal communities of this Order and provided them with an opportunity to engage prior to the public comment period.</w:t>
      </w:r>
    </w:p>
    <w:p w14:paraId="21A6B571" w14:textId="579FBC3C" w:rsidR="008C7307" w:rsidRDefault="00C343F7" w:rsidP="008747A5">
      <w:pPr>
        <w:spacing w:after="120" w:line="240" w:lineRule="auto"/>
        <w:ind w:left="270" w:hanging="270"/>
        <w:rPr>
          <w:rFonts w:ascii="Arial" w:hAnsi="Arial" w:cs="Arial"/>
          <w:sz w:val="24"/>
          <w:szCs w:val="24"/>
        </w:rPr>
      </w:pPr>
      <w:r w:rsidRPr="00C343F7">
        <w:rPr>
          <w:rFonts w:ascii="Arial" w:hAnsi="Arial" w:cs="Arial"/>
          <w:sz w:val="24"/>
          <w:szCs w:val="24"/>
        </w:rPr>
        <w:t xml:space="preserve">B. </w:t>
      </w:r>
      <w:r w:rsidRPr="00765E7E">
        <w:rPr>
          <w:rFonts w:ascii="Arial" w:hAnsi="Arial" w:cs="Arial"/>
          <w:b/>
          <w:bCs/>
          <w:sz w:val="24"/>
          <w:szCs w:val="24"/>
        </w:rPr>
        <w:t>Written Comments</w:t>
      </w:r>
      <w:r w:rsidRPr="00C343F7">
        <w:rPr>
          <w:rFonts w:ascii="Arial" w:hAnsi="Arial" w:cs="Arial"/>
          <w:sz w:val="24"/>
          <w:szCs w:val="24"/>
        </w:rPr>
        <w:t xml:space="preserve">. Interested persons were invited to submit written comments concerning the </w:t>
      </w:r>
      <w:r w:rsidR="006E3D80">
        <w:rPr>
          <w:rFonts w:ascii="Arial" w:hAnsi="Arial" w:cs="Arial"/>
          <w:sz w:val="24"/>
          <w:szCs w:val="24"/>
        </w:rPr>
        <w:t xml:space="preserve">draft Order </w:t>
      </w:r>
      <w:r w:rsidRPr="00C343F7">
        <w:rPr>
          <w:rFonts w:ascii="Arial" w:hAnsi="Arial" w:cs="Arial"/>
          <w:sz w:val="24"/>
          <w:szCs w:val="24"/>
        </w:rPr>
        <w:t xml:space="preserve">as explained through the notification process. Comments were to be submitted </w:t>
      </w:r>
      <w:r w:rsidR="00D133EC">
        <w:rPr>
          <w:rFonts w:ascii="Arial" w:hAnsi="Arial" w:cs="Arial"/>
          <w:sz w:val="24"/>
          <w:szCs w:val="24"/>
        </w:rPr>
        <w:t xml:space="preserve">to </w:t>
      </w:r>
      <w:hyperlink r:id="rId22" w:history="1">
        <w:r w:rsidR="007474FA" w:rsidRPr="007474FA">
          <w:rPr>
            <w:rStyle w:val="Hyperlink"/>
            <w:rFonts w:ascii="Arial" w:hAnsi="Arial" w:cs="Arial"/>
            <w:sz w:val="24"/>
            <w:szCs w:val="24"/>
          </w:rPr>
          <w:t>RB2-MRP@waterboards.ca.gov</w:t>
        </w:r>
      </w:hyperlink>
      <w:r w:rsidR="003A4489">
        <w:rPr>
          <w:rFonts w:ascii="Arial" w:hAnsi="Arial" w:cs="Arial"/>
          <w:sz w:val="24"/>
          <w:szCs w:val="24"/>
        </w:rPr>
        <w:t xml:space="preserve"> or </w:t>
      </w:r>
      <w:r w:rsidR="00FD0E15">
        <w:rPr>
          <w:rFonts w:ascii="Arial" w:hAnsi="Arial" w:cs="Arial"/>
          <w:sz w:val="24"/>
          <w:szCs w:val="24"/>
        </w:rPr>
        <w:t>to</w:t>
      </w:r>
      <w:r w:rsidR="005430B6">
        <w:rPr>
          <w:rFonts w:ascii="Arial" w:hAnsi="Arial" w:cs="Arial"/>
          <w:sz w:val="24"/>
          <w:szCs w:val="24"/>
        </w:rPr>
        <w:t xml:space="preserve"> </w:t>
      </w:r>
      <w:r w:rsidRPr="00C343F7">
        <w:rPr>
          <w:rFonts w:ascii="Arial" w:hAnsi="Arial" w:cs="Arial"/>
          <w:sz w:val="24"/>
          <w:szCs w:val="24"/>
        </w:rPr>
        <w:t>the Water Board at 1515 Clay Street, Suite 1400, Oakland, California, to the attention of</w:t>
      </w:r>
      <w:r w:rsidR="00D133EC">
        <w:rPr>
          <w:rFonts w:ascii="Arial" w:hAnsi="Arial" w:cs="Arial"/>
          <w:sz w:val="24"/>
          <w:szCs w:val="24"/>
        </w:rPr>
        <w:t xml:space="preserve"> </w:t>
      </w:r>
      <w:r w:rsidR="00FD0E15">
        <w:rPr>
          <w:rFonts w:ascii="Arial" w:hAnsi="Arial" w:cs="Arial"/>
          <w:sz w:val="24"/>
          <w:szCs w:val="24"/>
        </w:rPr>
        <w:t>Derek Beauduy.</w:t>
      </w:r>
      <w:r w:rsidRPr="00C343F7">
        <w:rPr>
          <w:rFonts w:ascii="Arial" w:hAnsi="Arial" w:cs="Arial"/>
          <w:sz w:val="24"/>
          <w:szCs w:val="24"/>
        </w:rPr>
        <w:t xml:space="preserve"> For Water Board consideration, the written comments were due </w:t>
      </w:r>
      <w:r w:rsidR="006129F8">
        <w:rPr>
          <w:rFonts w:ascii="Arial" w:hAnsi="Arial" w:cs="Arial"/>
          <w:sz w:val="24"/>
          <w:szCs w:val="24"/>
        </w:rPr>
        <w:t>via email</w:t>
      </w:r>
      <w:r w:rsidR="00F72DD7">
        <w:rPr>
          <w:rFonts w:ascii="Arial" w:hAnsi="Arial" w:cs="Arial"/>
          <w:sz w:val="24"/>
          <w:szCs w:val="24"/>
        </w:rPr>
        <w:t xml:space="preserve"> or </w:t>
      </w:r>
      <w:r w:rsidRPr="00C343F7">
        <w:rPr>
          <w:rFonts w:ascii="Arial" w:hAnsi="Arial" w:cs="Arial"/>
          <w:sz w:val="24"/>
          <w:szCs w:val="24"/>
        </w:rPr>
        <w:t>at the Water Board office by 5:00 p.m. on</w:t>
      </w:r>
      <w:r w:rsidR="008C7307">
        <w:rPr>
          <w:rFonts w:ascii="Arial" w:hAnsi="Arial" w:cs="Arial"/>
          <w:sz w:val="24"/>
          <w:szCs w:val="24"/>
        </w:rPr>
        <w:t xml:space="preserve"> </w:t>
      </w:r>
      <w:r w:rsidR="00F72DD7">
        <w:rPr>
          <w:rFonts w:ascii="Arial" w:hAnsi="Arial" w:cs="Arial"/>
          <w:sz w:val="24"/>
          <w:szCs w:val="24"/>
        </w:rPr>
        <w:t>August</w:t>
      </w:r>
      <w:r w:rsidR="002B79A3" w:rsidRPr="00B923D5">
        <w:rPr>
          <w:rFonts w:ascii="Arial" w:hAnsi="Arial" w:cs="Arial"/>
          <w:sz w:val="24"/>
          <w:szCs w:val="24"/>
        </w:rPr>
        <w:t xml:space="preserve"> 21, 2023</w:t>
      </w:r>
      <w:r w:rsidRPr="00C343F7">
        <w:rPr>
          <w:rFonts w:ascii="Arial" w:hAnsi="Arial" w:cs="Arial"/>
          <w:sz w:val="24"/>
          <w:szCs w:val="24"/>
        </w:rPr>
        <w:t xml:space="preserve">. </w:t>
      </w:r>
    </w:p>
    <w:p w14:paraId="3CB169C4" w14:textId="67618204" w:rsidR="00C343F7" w:rsidRDefault="00C343F7" w:rsidP="008747A5">
      <w:pPr>
        <w:tabs>
          <w:tab w:val="left" w:pos="360"/>
        </w:tabs>
        <w:spacing w:after="120" w:line="240" w:lineRule="auto"/>
        <w:ind w:left="360" w:hanging="360"/>
        <w:rPr>
          <w:rFonts w:ascii="Arial" w:hAnsi="Arial" w:cs="Arial"/>
          <w:sz w:val="24"/>
          <w:szCs w:val="24"/>
        </w:rPr>
      </w:pPr>
      <w:r w:rsidRPr="00C343F7">
        <w:rPr>
          <w:rFonts w:ascii="Arial" w:hAnsi="Arial" w:cs="Arial"/>
          <w:sz w:val="24"/>
          <w:szCs w:val="24"/>
        </w:rPr>
        <w:t xml:space="preserve">C. </w:t>
      </w:r>
      <w:r w:rsidRPr="008C7307">
        <w:rPr>
          <w:rFonts w:ascii="Arial" w:hAnsi="Arial" w:cs="Arial"/>
          <w:b/>
          <w:bCs/>
          <w:sz w:val="24"/>
          <w:szCs w:val="24"/>
        </w:rPr>
        <w:t>Public Hearing</w:t>
      </w:r>
      <w:r w:rsidRPr="00C343F7">
        <w:rPr>
          <w:rFonts w:ascii="Arial" w:hAnsi="Arial" w:cs="Arial"/>
          <w:sz w:val="24"/>
          <w:szCs w:val="24"/>
        </w:rPr>
        <w:t xml:space="preserve">. The Water Board held a public hearing on the </w:t>
      </w:r>
      <w:r w:rsidR="00406ACB">
        <w:rPr>
          <w:rFonts w:ascii="Arial" w:hAnsi="Arial" w:cs="Arial"/>
          <w:sz w:val="24"/>
          <w:szCs w:val="24"/>
        </w:rPr>
        <w:t xml:space="preserve">Order </w:t>
      </w:r>
      <w:r w:rsidRPr="00C343F7">
        <w:rPr>
          <w:rFonts w:ascii="Arial" w:hAnsi="Arial" w:cs="Arial"/>
          <w:sz w:val="24"/>
          <w:szCs w:val="24"/>
        </w:rPr>
        <w:t>during its regular meeting at the following date</w:t>
      </w:r>
      <w:r w:rsidR="00A648D8">
        <w:rPr>
          <w:rFonts w:ascii="Arial" w:hAnsi="Arial" w:cs="Arial"/>
          <w:sz w:val="24"/>
          <w:szCs w:val="24"/>
        </w:rPr>
        <w:t xml:space="preserve">, </w:t>
      </w:r>
      <w:r w:rsidRPr="00C343F7">
        <w:rPr>
          <w:rFonts w:ascii="Arial" w:hAnsi="Arial" w:cs="Arial"/>
          <w:sz w:val="24"/>
          <w:szCs w:val="24"/>
        </w:rPr>
        <w:t>time, and location:</w:t>
      </w:r>
    </w:p>
    <w:p w14:paraId="136D4CA6" w14:textId="7ECD63CF" w:rsidR="00202CCD" w:rsidRDefault="0024355B" w:rsidP="00C01A32">
      <w:pPr>
        <w:spacing w:after="120" w:line="240" w:lineRule="auto"/>
        <w:ind w:firstLine="720"/>
        <w:rPr>
          <w:rFonts w:ascii="Arial" w:hAnsi="Arial" w:cs="Arial"/>
          <w:sz w:val="24"/>
          <w:szCs w:val="24"/>
        </w:rPr>
      </w:pPr>
      <w:r w:rsidRPr="0024355B">
        <w:rPr>
          <w:rFonts w:ascii="Arial" w:hAnsi="Arial" w:cs="Arial"/>
          <w:sz w:val="24"/>
          <w:szCs w:val="24"/>
        </w:rPr>
        <w:t xml:space="preserve">Date: </w:t>
      </w:r>
      <w:r w:rsidR="00202CCD">
        <w:rPr>
          <w:rFonts w:ascii="Arial" w:hAnsi="Arial" w:cs="Arial"/>
          <w:sz w:val="24"/>
          <w:szCs w:val="24"/>
        </w:rPr>
        <w:tab/>
      </w:r>
      <w:r w:rsidR="00202CCD">
        <w:rPr>
          <w:rFonts w:ascii="Arial" w:hAnsi="Arial" w:cs="Arial"/>
          <w:sz w:val="24"/>
          <w:szCs w:val="24"/>
        </w:rPr>
        <w:tab/>
      </w:r>
      <w:r w:rsidR="00F36E16">
        <w:rPr>
          <w:rFonts w:ascii="Arial" w:hAnsi="Arial" w:cs="Arial"/>
          <w:sz w:val="24"/>
          <w:szCs w:val="24"/>
        </w:rPr>
        <w:t>October</w:t>
      </w:r>
      <w:r w:rsidR="00386E2A">
        <w:rPr>
          <w:rFonts w:ascii="Arial" w:hAnsi="Arial" w:cs="Arial"/>
          <w:sz w:val="24"/>
          <w:szCs w:val="24"/>
        </w:rPr>
        <w:t xml:space="preserve"> </w:t>
      </w:r>
      <w:r w:rsidR="00F36E16">
        <w:rPr>
          <w:rFonts w:ascii="Arial" w:hAnsi="Arial" w:cs="Arial"/>
          <w:sz w:val="24"/>
          <w:szCs w:val="24"/>
        </w:rPr>
        <w:t>11</w:t>
      </w:r>
      <w:r w:rsidR="00F347CE">
        <w:rPr>
          <w:rFonts w:ascii="Arial" w:hAnsi="Arial" w:cs="Arial"/>
          <w:sz w:val="24"/>
          <w:szCs w:val="24"/>
        </w:rPr>
        <w:t>, 2023</w:t>
      </w:r>
      <w:r w:rsidRPr="0024355B">
        <w:rPr>
          <w:rFonts w:ascii="Arial" w:hAnsi="Arial" w:cs="Arial"/>
          <w:sz w:val="24"/>
          <w:szCs w:val="24"/>
        </w:rPr>
        <w:t xml:space="preserve"> </w:t>
      </w:r>
    </w:p>
    <w:p w14:paraId="7F6DB156" w14:textId="77777777" w:rsidR="008A2699" w:rsidRDefault="0024355B" w:rsidP="00C01A32">
      <w:pPr>
        <w:spacing w:after="120" w:line="240" w:lineRule="auto"/>
        <w:ind w:firstLine="720"/>
        <w:rPr>
          <w:rFonts w:ascii="Arial" w:hAnsi="Arial" w:cs="Arial"/>
          <w:sz w:val="24"/>
          <w:szCs w:val="24"/>
        </w:rPr>
      </w:pPr>
      <w:r w:rsidRPr="0024355B">
        <w:rPr>
          <w:rFonts w:ascii="Arial" w:hAnsi="Arial" w:cs="Arial"/>
          <w:sz w:val="24"/>
          <w:szCs w:val="24"/>
        </w:rPr>
        <w:t xml:space="preserve">Time: </w:t>
      </w:r>
      <w:r w:rsidR="00202CCD">
        <w:rPr>
          <w:rFonts w:ascii="Arial" w:hAnsi="Arial" w:cs="Arial"/>
          <w:sz w:val="24"/>
          <w:szCs w:val="24"/>
        </w:rPr>
        <w:tab/>
      </w:r>
      <w:r w:rsidR="008A2699">
        <w:rPr>
          <w:rFonts w:ascii="Arial" w:hAnsi="Arial" w:cs="Arial"/>
          <w:sz w:val="24"/>
          <w:szCs w:val="24"/>
        </w:rPr>
        <w:tab/>
      </w:r>
      <w:r w:rsidRPr="0024355B">
        <w:rPr>
          <w:rFonts w:ascii="Arial" w:hAnsi="Arial" w:cs="Arial"/>
          <w:sz w:val="24"/>
          <w:szCs w:val="24"/>
        </w:rPr>
        <w:t xml:space="preserve">9:00 a.m. </w:t>
      </w:r>
    </w:p>
    <w:p w14:paraId="1E00CFDB" w14:textId="77777777" w:rsidR="008A2699" w:rsidRDefault="0024355B" w:rsidP="008A2699">
      <w:pPr>
        <w:spacing w:after="120" w:line="240" w:lineRule="auto"/>
        <w:ind w:firstLine="720"/>
        <w:rPr>
          <w:rFonts w:ascii="Arial" w:hAnsi="Arial" w:cs="Arial"/>
          <w:sz w:val="24"/>
          <w:szCs w:val="24"/>
        </w:rPr>
      </w:pPr>
      <w:r w:rsidRPr="0024355B">
        <w:rPr>
          <w:rFonts w:ascii="Arial" w:hAnsi="Arial" w:cs="Arial"/>
          <w:sz w:val="24"/>
          <w:szCs w:val="24"/>
        </w:rPr>
        <w:t xml:space="preserve">Location: </w:t>
      </w:r>
      <w:r w:rsidR="008A2699">
        <w:rPr>
          <w:rFonts w:ascii="Arial" w:hAnsi="Arial" w:cs="Arial"/>
          <w:sz w:val="24"/>
          <w:szCs w:val="24"/>
        </w:rPr>
        <w:tab/>
      </w:r>
      <w:r w:rsidRPr="0024355B">
        <w:rPr>
          <w:rFonts w:ascii="Arial" w:hAnsi="Arial" w:cs="Arial"/>
          <w:sz w:val="24"/>
          <w:szCs w:val="24"/>
        </w:rPr>
        <w:t xml:space="preserve">Elihu Harris State Office Building </w:t>
      </w:r>
    </w:p>
    <w:p w14:paraId="642620BE" w14:textId="77777777" w:rsidR="008A2699" w:rsidRDefault="0024355B" w:rsidP="008A2699">
      <w:pPr>
        <w:spacing w:after="120" w:line="240" w:lineRule="auto"/>
        <w:ind w:left="1440" w:firstLine="720"/>
        <w:rPr>
          <w:rFonts w:ascii="Arial" w:hAnsi="Arial" w:cs="Arial"/>
          <w:sz w:val="24"/>
          <w:szCs w:val="24"/>
        </w:rPr>
      </w:pPr>
      <w:r w:rsidRPr="0024355B">
        <w:rPr>
          <w:rFonts w:ascii="Arial" w:hAnsi="Arial" w:cs="Arial"/>
          <w:sz w:val="24"/>
          <w:szCs w:val="24"/>
        </w:rPr>
        <w:t xml:space="preserve">1515 Clay Street, 1st Floor Auditorium </w:t>
      </w:r>
    </w:p>
    <w:p w14:paraId="20F377E5" w14:textId="77777777" w:rsidR="008A2699" w:rsidRDefault="0024355B" w:rsidP="008A2699">
      <w:pPr>
        <w:spacing w:after="120" w:line="240" w:lineRule="auto"/>
        <w:ind w:left="1440" w:firstLine="720"/>
        <w:rPr>
          <w:rFonts w:ascii="Arial" w:hAnsi="Arial" w:cs="Arial"/>
          <w:sz w:val="24"/>
          <w:szCs w:val="24"/>
        </w:rPr>
      </w:pPr>
      <w:r w:rsidRPr="0024355B">
        <w:rPr>
          <w:rFonts w:ascii="Arial" w:hAnsi="Arial" w:cs="Arial"/>
          <w:sz w:val="24"/>
          <w:szCs w:val="24"/>
        </w:rPr>
        <w:t xml:space="preserve">Oakland, CA 94612 </w:t>
      </w:r>
    </w:p>
    <w:p w14:paraId="1028E32C" w14:textId="36BE5680" w:rsidR="008747A5" w:rsidRDefault="0024355B" w:rsidP="00765E7E">
      <w:pPr>
        <w:spacing w:after="120" w:line="240" w:lineRule="auto"/>
        <w:ind w:left="2160" w:hanging="1440"/>
        <w:rPr>
          <w:rFonts w:ascii="Arial" w:hAnsi="Arial" w:cs="Arial"/>
          <w:sz w:val="24"/>
          <w:szCs w:val="24"/>
        </w:rPr>
      </w:pPr>
      <w:r w:rsidRPr="0024355B">
        <w:rPr>
          <w:rFonts w:ascii="Arial" w:hAnsi="Arial" w:cs="Arial"/>
          <w:sz w:val="24"/>
          <w:szCs w:val="24"/>
        </w:rPr>
        <w:t xml:space="preserve">Contact: </w:t>
      </w:r>
      <w:r w:rsidR="008A2699">
        <w:rPr>
          <w:rFonts w:ascii="Arial" w:hAnsi="Arial" w:cs="Arial"/>
          <w:sz w:val="24"/>
          <w:szCs w:val="24"/>
        </w:rPr>
        <w:tab/>
      </w:r>
      <w:r w:rsidR="002453F8">
        <w:rPr>
          <w:rFonts w:ascii="Arial" w:hAnsi="Arial" w:cs="Arial"/>
          <w:sz w:val="24"/>
          <w:szCs w:val="24"/>
        </w:rPr>
        <w:t>Derek Beauduy</w:t>
      </w:r>
      <w:r w:rsidRPr="0024355B">
        <w:rPr>
          <w:rFonts w:ascii="Arial" w:hAnsi="Arial" w:cs="Arial"/>
          <w:sz w:val="24"/>
          <w:szCs w:val="24"/>
        </w:rPr>
        <w:t>, (510) 622</w:t>
      </w:r>
      <w:r w:rsidR="002453F8">
        <w:rPr>
          <w:rFonts w:ascii="Arial" w:hAnsi="Arial" w:cs="Arial"/>
          <w:sz w:val="24"/>
          <w:szCs w:val="24"/>
        </w:rPr>
        <w:t>-</w:t>
      </w:r>
      <w:r w:rsidR="00CD642C">
        <w:rPr>
          <w:rFonts w:ascii="Arial" w:hAnsi="Arial" w:cs="Arial"/>
          <w:sz w:val="24"/>
          <w:szCs w:val="24"/>
        </w:rPr>
        <w:t>2</w:t>
      </w:r>
      <w:r w:rsidR="00897731">
        <w:rPr>
          <w:rFonts w:ascii="Arial" w:hAnsi="Arial" w:cs="Arial"/>
          <w:sz w:val="24"/>
          <w:szCs w:val="24"/>
        </w:rPr>
        <w:t>348</w:t>
      </w:r>
      <w:r w:rsidR="00CD642C">
        <w:rPr>
          <w:rFonts w:ascii="Arial" w:hAnsi="Arial" w:cs="Arial"/>
          <w:sz w:val="24"/>
          <w:szCs w:val="24"/>
        </w:rPr>
        <w:t xml:space="preserve"> </w:t>
      </w:r>
      <w:hyperlink r:id="rId23" w:history="1">
        <w:r w:rsidR="008747A5" w:rsidRPr="00D47A22">
          <w:rPr>
            <w:rStyle w:val="Hyperlink"/>
            <w:rFonts w:ascii="Arial" w:hAnsi="Arial" w:cs="Arial"/>
            <w:sz w:val="24"/>
            <w:szCs w:val="24"/>
          </w:rPr>
          <w:t>derek.beauduy@waterboards.ca.gov</w:t>
        </w:r>
      </w:hyperlink>
    </w:p>
    <w:p w14:paraId="6D987156" w14:textId="0D1C98EE" w:rsidR="00EA2944" w:rsidRDefault="0024355B" w:rsidP="008747A5">
      <w:pPr>
        <w:spacing w:after="120" w:line="240" w:lineRule="auto"/>
        <w:ind w:left="360"/>
        <w:rPr>
          <w:rFonts w:ascii="Arial" w:hAnsi="Arial" w:cs="Arial"/>
          <w:sz w:val="24"/>
          <w:szCs w:val="24"/>
        </w:rPr>
      </w:pPr>
      <w:r w:rsidRPr="0024355B">
        <w:rPr>
          <w:rFonts w:ascii="Arial" w:hAnsi="Arial" w:cs="Arial"/>
          <w:sz w:val="24"/>
          <w:szCs w:val="24"/>
        </w:rPr>
        <w:t xml:space="preserve">Interested persons were invited to attend. At the public hearing, the Water Board heard testimony pertinent to the </w:t>
      </w:r>
      <w:r w:rsidR="00120AB2">
        <w:rPr>
          <w:rFonts w:ascii="Arial" w:hAnsi="Arial" w:cs="Arial"/>
          <w:sz w:val="24"/>
          <w:szCs w:val="24"/>
        </w:rPr>
        <w:t>Order</w:t>
      </w:r>
      <w:r w:rsidRPr="0024355B">
        <w:rPr>
          <w:rFonts w:ascii="Arial" w:hAnsi="Arial" w:cs="Arial"/>
          <w:sz w:val="24"/>
          <w:szCs w:val="24"/>
        </w:rPr>
        <w:t xml:space="preserve">. </w:t>
      </w:r>
    </w:p>
    <w:p w14:paraId="3E573C9D" w14:textId="58B0D04D" w:rsidR="0059436A" w:rsidRDefault="0024355B" w:rsidP="008747A5">
      <w:pPr>
        <w:spacing w:after="120" w:line="240" w:lineRule="auto"/>
        <w:ind w:left="360"/>
        <w:rPr>
          <w:rFonts w:ascii="Arial" w:hAnsi="Arial" w:cs="Arial"/>
          <w:sz w:val="24"/>
          <w:szCs w:val="24"/>
        </w:rPr>
      </w:pPr>
      <w:r w:rsidRPr="0024355B">
        <w:rPr>
          <w:rFonts w:ascii="Arial" w:hAnsi="Arial" w:cs="Arial"/>
          <w:sz w:val="24"/>
          <w:szCs w:val="24"/>
        </w:rPr>
        <w:t xml:space="preserve">The Water Board web address is http://www.waterboards.ca.gov/sanfranciscobay, where one could access the current agenda for changes in dates and locations. </w:t>
      </w:r>
    </w:p>
    <w:p w14:paraId="18C22F56" w14:textId="41D73BF9" w:rsidR="009073CB" w:rsidRDefault="0024355B" w:rsidP="008747A5">
      <w:pPr>
        <w:spacing w:after="120" w:line="240" w:lineRule="auto"/>
        <w:ind w:left="360" w:hanging="360"/>
        <w:rPr>
          <w:rFonts w:ascii="Arial" w:hAnsi="Arial" w:cs="Arial"/>
          <w:sz w:val="24"/>
          <w:szCs w:val="24"/>
        </w:rPr>
      </w:pPr>
      <w:r w:rsidRPr="0024355B">
        <w:rPr>
          <w:rFonts w:ascii="Arial" w:hAnsi="Arial" w:cs="Arial"/>
          <w:sz w:val="24"/>
          <w:szCs w:val="24"/>
        </w:rPr>
        <w:lastRenderedPageBreak/>
        <w:t xml:space="preserve">D. </w:t>
      </w:r>
      <w:r w:rsidRPr="00765E7E">
        <w:rPr>
          <w:rFonts w:ascii="Arial" w:hAnsi="Arial" w:cs="Arial"/>
          <w:b/>
          <w:bCs/>
          <w:sz w:val="24"/>
          <w:szCs w:val="24"/>
        </w:rPr>
        <w:t>Reconsideration of Amendment</w:t>
      </w:r>
      <w:r w:rsidRPr="0024355B">
        <w:rPr>
          <w:rFonts w:ascii="Arial" w:hAnsi="Arial" w:cs="Arial"/>
          <w:sz w:val="24"/>
          <w:szCs w:val="24"/>
        </w:rPr>
        <w:t xml:space="preserve">. Any aggrieved person may petition the State Water Board to review the Water Board decision regarding </w:t>
      </w:r>
      <w:r w:rsidR="00D808A1">
        <w:rPr>
          <w:rFonts w:ascii="Arial" w:hAnsi="Arial" w:cs="Arial"/>
          <w:sz w:val="24"/>
          <w:szCs w:val="24"/>
        </w:rPr>
        <w:t>this Order</w:t>
      </w:r>
      <w:r w:rsidRPr="0024355B">
        <w:rPr>
          <w:rFonts w:ascii="Arial" w:hAnsi="Arial" w:cs="Arial"/>
          <w:sz w:val="24"/>
          <w:szCs w:val="24"/>
        </w:rPr>
        <w:t xml:space="preserve">. </w:t>
      </w:r>
    </w:p>
    <w:p w14:paraId="15FFA5F5" w14:textId="1E347359" w:rsidR="0035122F" w:rsidRDefault="0024355B" w:rsidP="008747A5">
      <w:pPr>
        <w:spacing w:after="120" w:line="240" w:lineRule="auto"/>
        <w:ind w:left="360"/>
        <w:rPr>
          <w:rFonts w:ascii="Arial" w:hAnsi="Arial" w:cs="Arial"/>
          <w:sz w:val="24"/>
          <w:szCs w:val="24"/>
        </w:rPr>
      </w:pPr>
      <w:r w:rsidRPr="0024355B">
        <w:rPr>
          <w:rFonts w:ascii="Arial" w:hAnsi="Arial" w:cs="Arial"/>
          <w:sz w:val="24"/>
          <w:szCs w:val="24"/>
        </w:rPr>
        <w:t xml:space="preserve">For instructions on how to file a petition review, see </w:t>
      </w:r>
      <w:hyperlink r:id="rId24" w:history="1">
        <w:r w:rsidR="0035122F" w:rsidRPr="00D44A02">
          <w:rPr>
            <w:rStyle w:val="Hyperlink"/>
            <w:rFonts w:ascii="Arial" w:hAnsi="Arial" w:cs="Arial"/>
            <w:sz w:val="24"/>
            <w:szCs w:val="24"/>
          </w:rPr>
          <w:t>www.waterboards.ca.gov/public</w:t>
        </w:r>
        <w:r w:rsidR="0035122F" w:rsidRPr="008747A5">
          <w:rPr>
            <w:rStyle w:val="Hyperlink"/>
            <w:rFonts w:ascii="Arial" w:hAnsi="Arial" w:cs="Arial"/>
            <w:sz w:val="14"/>
            <w:szCs w:val="14"/>
          </w:rPr>
          <w:t>_</w:t>
        </w:r>
        <w:r w:rsidR="0035122F" w:rsidRPr="00D44A02">
          <w:rPr>
            <w:rStyle w:val="Hyperlink"/>
            <w:rFonts w:ascii="Arial" w:hAnsi="Arial" w:cs="Arial"/>
            <w:sz w:val="24"/>
            <w:szCs w:val="24"/>
          </w:rPr>
          <w:t>notices/petitions/water</w:t>
        </w:r>
        <w:r w:rsidR="0035122F" w:rsidRPr="008747A5">
          <w:rPr>
            <w:rStyle w:val="Hyperlink"/>
            <w:rFonts w:ascii="Arial" w:hAnsi="Arial" w:cs="Arial"/>
            <w:sz w:val="14"/>
            <w:szCs w:val="14"/>
          </w:rPr>
          <w:t>_</w:t>
        </w:r>
        <w:r w:rsidR="0035122F" w:rsidRPr="00D44A02">
          <w:rPr>
            <w:rStyle w:val="Hyperlink"/>
            <w:rFonts w:ascii="Arial" w:hAnsi="Arial" w:cs="Arial"/>
            <w:sz w:val="24"/>
            <w:szCs w:val="24"/>
          </w:rPr>
          <w:t>quality/wqpetition</w:t>
        </w:r>
        <w:r w:rsidR="0035122F" w:rsidRPr="008747A5">
          <w:rPr>
            <w:rStyle w:val="Hyperlink"/>
            <w:rFonts w:ascii="Arial" w:hAnsi="Arial" w:cs="Arial"/>
            <w:sz w:val="16"/>
            <w:szCs w:val="16"/>
          </w:rPr>
          <w:t>_</w:t>
        </w:r>
        <w:r w:rsidR="0035122F" w:rsidRPr="00D44A02">
          <w:rPr>
            <w:rStyle w:val="Hyperlink"/>
            <w:rFonts w:ascii="Arial" w:hAnsi="Arial" w:cs="Arial"/>
            <w:sz w:val="24"/>
            <w:szCs w:val="24"/>
          </w:rPr>
          <w:t>instr.shtml</w:t>
        </w:r>
      </w:hyperlink>
      <w:r w:rsidRPr="0024355B">
        <w:rPr>
          <w:rFonts w:ascii="Arial" w:hAnsi="Arial" w:cs="Arial"/>
          <w:sz w:val="24"/>
          <w:szCs w:val="24"/>
        </w:rPr>
        <w:t>.</w:t>
      </w:r>
      <w:r w:rsidRPr="008747A5">
        <w:rPr>
          <w:rFonts w:ascii="Arial" w:hAnsi="Arial" w:cs="Arial"/>
          <w:sz w:val="28"/>
          <w:szCs w:val="28"/>
        </w:rPr>
        <w:t xml:space="preserve"> </w:t>
      </w:r>
    </w:p>
    <w:p w14:paraId="4BB8C59B" w14:textId="173D5A43" w:rsidR="00A5627D" w:rsidRDefault="0024355B" w:rsidP="008747A5">
      <w:pPr>
        <w:tabs>
          <w:tab w:val="left" w:pos="360"/>
        </w:tabs>
        <w:spacing w:after="120" w:line="240" w:lineRule="auto"/>
        <w:ind w:left="360" w:hanging="360"/>
        <w:rPr>
          <w:rFonts w:ascii="Arial" w:hAnsi="Arial" w:cs="Arial"/>
          <w:sz w:val="24"/>
          <w:szCs w:val="24"/>
        </w:rPr>
      </w:pPr>
      <w:r w:rsidRPr="0024355B">
        <w:rPr>
          <w:rFonts w:ascii="Arial" w:hAnsi="Arial" w:cs="Arial"/>
          <w:sz w:val="24"/>
          <w:szCs w:val="24"/>
        </w:rPr>
        <w:t xml:space="preserve">E. </w:t>
      </w:r>
      <w:r w:rsidRPr="00765E7E">
        <w:rPr>
          <w:rFonts w:ascii="Arial" w:hAnsi="Arial" w:cs="Arial"/>
          <w:b/>
          <w:bCs/>
          <w:sz w:val="24"/>
          <w:szCs w:val="24"/>
        </w:rPr>
        <w:t>Information and Copying</w:t>
      </w:r>
      <w:r w:rsidRPr="0024355B">
        <w:rPr>
          <w:rFonts w:ascii="Arial" w:hAnsi="Arial" w:cs="Arial"/>
          <w:sz w:val="24"/>
          <w:szCs w:val="24"/>
        </w:rPr>
        <w:t xml:space="preserve">. Supporting documents and comments received are on file and may </w:t>
      </w:r>
      <w:r w:rsidR="001C1BE9">
        <w:rPr>
          <w:rFonts w:ascii="Arial" w:hAnsi="Arial" w:cs="Arial"/>
          <w:sz w:val="24"/>
          <w:szCs w:val="24"/>
        </w:rPr>
        <w:t xml:space="preserve">be </w:t>
      </w:r>
      <w:r w:rsidRPr="0024355B">
        <w:rPr>
          <w:rFonts w:ascii="Arial" w:hAnsi="Arial" w:cs="Arial"/>
          <w:sz w:val="24"/>
          <w:szCs w:val="24"/>
        </w:rPr>
        <w:t xml:space="preserve">inspected at the address above between 9:00 a.m. and 5:00 p.m., Monday through Friday. Copying of documents may be arranged by calling (510) 622-2300. </w:t>
      </w:r>
    </w:p>
    <w:p w14:paraId="09C3FABA" w14:textId="34A85142" w:rsidR="00FF5F48" w:rsidRDefault="0024355B" w:rsidP="008747A5">
      <w:pPr>
        <w:spacing w:after="120" w:line="240" w:lineRule="auto"/>
        <w:ind w:left="360" w:hanging="360"/>
        <w:rPr>
          <w:rFonts w:ascii="Arial" w:hAnsi="Arial" w:cs="Arial"/>
          <w:sz w:val="24"/>
          <w:szCs w:val="24"/>
        </w:rPr>
      </w:pPr>
      <w:r w:rsidRPr="0024355B">
        <w:rPr>
          <w:rFonts w:ascii="Arial" w:hAnsi="Arial" w:cs="Arial"/>
          <w:sz w:val="24"/>
          <w:szCs w:val="24"/>
        </w:rPr>
        <w:t xml:space="preserve">G. </w:t>
      </w:r>
      <w:r w:rsidRPr="00765E7E">
        <w:rPr>
          <w:rFonts w:ascii="Arial" w:hAnsi="Arial" w:cs="Arial"/>
          <w:b/>
          <w:bCs/>
          <w:sz w:val="24"/>
          <w:szCs w:val="24"/>
        </w:rPr>
        <w:t>Additional Information</w:t>
      </w:r>
      <w:r w:rsidRPr="0024355B">
        <w:rPr>
          <w:rFonts w:ascii="Arial" w:hAnsi="Arial" w:cs="Arial"/>
          <w:sz w:val="24"/>
          <w:szCs w:val="24"/>
        </w:rPr>
        <w:t xml:space="preserve">. Requests for additional information or questions regarding this Order should be directed to </w:t>
      </w:r>
      <w:r w:rsidR="0071620D">
        <w:rPr>
          <w:rFonts w:ascii="Arial" w:hAnsi="Arial" w:cs="Arial"/>
          <w:sz w:val="24"/>
          <w:szCs w:val="24"/>
        </w:rPr>
        <w:t>Derek Beauduy</w:t>
      </w:r>
      <w:r w:rsidR="00460025">
        <w:rPr>
          <w:rFonts w:ascii="Arial" w:hAnsi="Arial" w:cs="Arial"/>
          <w:sz w:val="24"/>
          <w:szCs w:val="24"/>
        </w:rPr>
        <w:t xml:space="preserve"> </w:t>
      </w:r>
      <w:r w:rsidRPr="0024355B">
        <w:rPr>
          <w:rFonts w:ascii="Arial" w:hAnsi="Arial" w:cs="Arial"/>
          <w:sz w:val="24"/>
          <w:szCs w:val="24"/>
        </w:rPr>
        <w:t>at (510) 622-</w:t>
      </w:r>
      <w:r w:rsidR="0071620D">
        <w:rPr>
          <w:rFonts w:ascii="Arial" w:hAnsi="Arial" w:cs="Arial"/>
          <w:sz w:val="24"/>
          <w:szCs w:val="24"/>
        </w:rPr>
        <w:t>2348</w:t>
      </w:r>
      <w:r w:rsidR="00421406">
        <w:rPr>
          <w:rFonts w:ascii="Arial" w:hAnsi="Arial" w:cs="Arial"/>
          <w:sz w:val="24"/>
          <w:szCs w:val="24"/>
        </w:rPr>
        <w:t xml:space="preserve"> </w:t>
      </w:r>
      <w:r w:rsidRPr="0024355B">
        <w:rPr>
          <w:rFonts w:ascii="Arial" w:hAnsi="Arial" w:cs="Arial"/>
          <w:sz w:val="24"/>
          <w:szCs w:val="24"/>
        </w:rPr>
        <w:t xml:space="preserve">or </w:t>
      </w:r>
      <w:hyperlink r:id="rId25" w:history="1">
        <w:r w:rsidR="008747A5" w:rsidRPr="00D47A22">
          <w:rPr>
            <w:rStyle w:val="Hyperlink"/>
            <w:rFonts w:ascii="Arial" w:hAnsi="Arial" w:cs="Arial"/>
            <w:sz w:val="24"/>
            <w:szCs w:val="24"/>
          </w:rPr>
          <w:t>derek.beauduy@waterboards.ca.gov</w:t>
        </w:r>
      </w:hyperlink>
      <w:r w:rsidR="008747A5">
        <w:rPr>
          <w:rFonts w:ascii="Arial" w:hAnsi="Arial" w:cs="Arial"/>
          <w:sz w:val="24"/>
          <w:szCs w:val="24"/>
        </w:rPr>
        <w:t>.</w:t>
      </w:r>
    </w:p>
    <w:p w14:paraId="03B2244A" w14:textId="77777777" w:rsidR="008747A5" w:rsidRDefault="008747A5" w:rsidP="008747A5">
      <w:pPr>
        <w:spacing w:after="120" w:line="240" w:lineRule="auto"/>
        <w:ind w:left="360" w:hanging="360"/>
        <w:rPr>
          <w:rFonts w:ascii="Arial" w:hAnsi="Arial" w:cs="Arial"/>
          <w:sz w:val="24"/>
          <w:szCs w:val="24"/>
        </w:rPr>
      </w:pPr>
    </w:p>
    <w:p w14:paraId="66C09DD6" w14:textId="77777777" w:rsidR="00FF5F48" w:rsidRPr="000770BA" w:rsidRDefault="00FF5F48" w:rsidP="008747A5">
      <w:pPr>
        <w:spacing w:after="120" w:line="240" w:lineRule="auto"/>
        <w:ind w:left="360" w:hanging="360"/>
        <w:rPr>
          <w:rFonts w:ascii="Arial" w:hAnsi="Arial" w:cs="Arial"/>
          <w:sz w:val="24"/>
          <w:szCs w:val="24"/>
        </w:rPr>
      </w:pPr>
    </w:p>
    <w:sectPr w:rsidR="00FF5F48" w:rsidRPr="000770BA" w:rsidSect="009F474A">
      <w:headerReference w:type="default" r:id="rId26"/>
      <w:footerReference w:type="default" r:id="rId27"/>
      <w:footerReference w:type="first" r:id="rId28"/>
      <w:footnotePr>
        <w:numRestart w:val="eachSect"/>
      </w:foot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998E1" w14:textId="77777777" w:rsidR="00A42C8F" w:rsidRDefault="00A42C8F" w:rsidP="00D6128D">
      <w:pPr>
        <w:spacing w:after="0" w:line="240" w:lineRule="auto"/>
      </w:pPr>
      <w:r>
        <w:separator/>
      </w:r>
    </w:p>
  </w:endnote>
  <w:endnote w:type="continuationSeparator" w:id="0">
    <w:p w14:paraId="0D1B28C4" w14:textId="77777777" w:rsidR="00A42C8F" w:rsidRDefault="00A42C8F" w:rsidP="00D6128D">
      <w:pPr>
        <w:spacing w:after="0" w:line="240" w:lineRule="auto"/>
      </w:pPr>
      <w:r>
        <w:continuationSeparator/>
      </w:r>
    </w:p>
  </w:endnote>
  <w:endnote w:type="continuationNotice" w:id="1">
    <w:p w14:paraId="66F5D6E1" w14:textId="77777777" w:rsidR="00A42C8F" w:rsidRDefault="00A42C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0000001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0D083" w14:textId="195338C1" w:rsidR="00D6128D" w:rsidRPr="00D6128D" w:rsidRDefault="003E3B36" w:rsidP="00282656">
    <w:pPr>
      <w:pStyle w:val="Footer"/>
      <w:tabs>
        <w:tab w:val="clear" w:pos="9360"/>
      </w:tabs>
      <w:rPr>
        <w:rFonts w:ascii="Arial" w:hAnsi="Arial" w:cs="Arial"/>
      </w:rPr>
    </w:pPr>
    <w:r>
      <w:rPr>
        <w:rFonts w:ascii="Arial" w:hAnsi="Arial" w:cs="Arial"/>
      </w:rPr>
      <w:t xml:space="preserve">July 21, </w:t>
    </w:r>
    <w:proofErr w:type="gramStart"/>
    <w:r>
      <w:rPr>
        <w:rFonts w:ascii="Arial" w:hAnsi="Arial" w:cs="Arial"/>
      </w:rPr>
      <w:t>2023</w:t>
    </w:r>
    <w:proofErr w:type="gramEnd"/>
    <w:r w:rsidR="00D6128D" w:rsidRPr="00D6128D">
      <w:rPr>
        <w:rFonts w:ascii="Arial" w:hAnsi="Arial" w:cs="Arial"/>
      </w:rPr>
      <w:tab/>
    </w:r>
    <w:r w:rsidR="00D6128D" w:rsidRPr="00D6128D">
      <w:rPr>
        <w:rFonts w:ascii="Arial" w:hAnsi="Arial" w:cs="Arial"/>
      </w:rPr>
      <w:tab/>
    </w:r>
    <w:r w:rsidR="00C01FAF">
      <w:rPr>
        <w:rFonts w:ascii="Arial" w:hAnsi="Arial" w:cs="Arial"/>
      </w:rPr>
      <w:tab/>
    </w:r>
    <w:r w:rsidR="00C01FAF">
      <w:rPr>
        <w:rFonts w:ascii="Arial" w:hAnsi="Arial" w:cs="Arial"/>
      </w:rPr>
      <w:tab/>
    </w:r>
    <w:r w:rsidR="00C01FAF">
      <w:rPr>
        <w:rFonts w:ascii="Arial" w:hAnsi="Arial" w:cs="Arial"/>
      </w:rPr>
      <w:tab/>
    </w:r>
    <w:r w:rsidR="00C01FAF">
      <w:rPr>
        <w:rFonts w:ascii="Arial" w:hAnsi="Arial" w:cs="Arial"/>
      </w:rPr>
      <w:tab/>
    </w:r>
    <w:r w:rsidR="00D6128D" w:rsidRPr="00D6128D">
      <w:rPr>
        <w:rFonts w:ascii="Arial" w:hAnsi="Arial" w:cs="Arial"/>
      </w:rPr>
      <w:t xml:space="preserve">Page </w:t>
    </w:r>
    <w:r w:rsidR="00D6128D" w:rsidRPr="00D6128D">
      <w:rPr>
        <w:rFonts w:ascii="Arial" w:hAnsi="Arial" w:cs="Arial"/>
      </w:rPr>
      <w:fldChar w:fldCharType="begin"/>
    </w:r>
    <w:r w:rsidR="00D6128D" w:rsidRPr="00D6128D">
      <w:rPr>
        <w:rFonts w:ascii="Arial" w:hAnsi="Arial" w:cs="Arial"/>
      </w:rPr>
      <w:instrText xml:space="preserve"> PAGE   \* MERGEFORMAT </w:instrText>
    </w:r>
    <w:r w:rsidR="00D6128D" w:rsidRPr="00D6128D">
      <w:rPr>
        <w:rFonts w:ascii="Arial" w:hAnsi="Arial" w:cs="Arial"/>
      </w:rPr>
      <w:fldChar w:fldCharType="separate"/>
    </w:r>
    <w:r w:rsidR="00D6128D" w:rsidRPr="00D6128D">
      <w:rPr>
        <w:rFonts w:ascii="Arial" w:hAnsi="Arial" w:cs="Arial"/>
        <w:noProof/>
      </w:rPr>
      <w:t>1</w:t>
    </w:r>
    <w:r w:rsidR="00D6128D" w:rsidRPr="00D6128D">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184F1" w14:textId="0DB0D097" w:rsidR="00040699" w:rsidRPr="00AF1F07" w:rsidRDefault="00B4451C" w:rsidP="00282656">
    <w:pPr>
      <w:pStyle w:val="Footer"/>
      <w:tabs>
        <w:tab w:val="clear" w:pos="9360"/>
      </w:tabs>
      <w:rPr>
        <w:rFonts w:ascii="Arial" w:hAnsi="Arial" w:cs="Arial"/>
      </w:rPr>
    </w:pPr>
    <w:r>
      <w:rPr>
        <w:rFonts w:ascii="Arial" w:hAnsi="Arial" w:cs="Arial"/>
      </w:rPr>
      <w:t xml:space="preserve">July 21, </w:t>
    </w:r>
    <w:proofErr w:type="gramStart"/>
    <w:r>
      <w:rPr>
        <w:rFonts w:ascii="Arial" w:hAnsi="Arial" w:cs="Arial"/>
      </w:rPr>
      <w:t>2023</w:t>
    </w:r>
    <w:proofErr w:type="gramEnd"/>
    <w:r w:rsidR="00040699" w:rsidRPr="00AF1F07">
      <w:rPr>
        <w:rFonts w:ascii="Arial" w:hAnsi="Arial" w:cs="Arial"/>
      </w:rPr>
      <w:tab/>
    </w:r>
    <w:r w:rsidR="00040699" w:rsidRPr="00AF1F07">
      <w:rPr>
        <w:rFonts w:ascii="Arial" w:hAnsi="Arial" w:cs="Arial"/>
      </w:rPr>
      <w:tab/>
    </w:r>
    <w:r w:rsidR="00040699" w:rsidRPr="00AF1F07">
      <w:rPr>
        <w:rFonts w:ascii="Arial" w:hAnsi="Arial" w:cs="Arial"/>
      </w:rPr>
      <w:tab/>
    </w:r>
    <w:r w:rsidR="00040699" w:rsidRPr="00AF1F07">
      <w:rPr>
        <w:rFonts w:ascii="Arial" w:hAnsi="Arial" w:cs="Arial"/>
      </w:rPr>
      <w:tab/>
    </w:r>
    <w:r w:rsidR="00040699" w:rsidRPr="00AF1F07">
      <w:rPr>
        <w:rFonts w:ascii="Arial" w:hAnsi="Arial" w:cs="Arial"/>
      </w:rPr>
      <w:tab/>
    </w:r>
    <w:r w:rsidR="00040699" w:rsidRPr="00AF1F07">
      <w:rPr>
        <w:rFonts w:ascii="Arial" w:hAnsi="Arial" w:cs="Arial"/>
      </w:rPr>
      <w:tab/>
    </w:r>
    <w:r w:rsidR="00611B62">
      <w:rPr>
        <w:rFonts w:ascii="Arial" w:hAnsi="Arial" w:cs="Arial"/>
      </w:rPr>
      <w:t xml:space="preserve">      </w:t>
    </w:r>
    <w:r w:rsidR="008B5E21">
      <w:rPr>
        <w:rFonts w:ascii="Arial" w:hAnsi="Arial" w:cs="Arial"/>
      </w:rPr>
      <w:tab/>
    </w:r>
    <w:r w:rsidR="008B5E21">
      <w:rPr>
        <w:rFonts w:ascii="Arial" w:hAnsi="Arial" w:cs="Arial"/>
      </w:rPr>
      <w:tab/>
    </w:r>
    <w:r w:rsidR="008B5E21">
      <w:rPr>
        <w:rFonts w:ascii="Arial" w:hAnsi="Arial" w:cs="Arial"/>
      </w:rPr>
      <w:tab/>
    </w:r>
    <w:r w:rsidR="008B5E21">
      <w:rPr>
        <w:rFonts w:ascii="Arial" w:hAnsi="Arial" w:cs="Arial"/>
      </w:rPr>
      <w:tab/>
    </w:r>
    <w:r w:rsidR="008B5E21">
      <w:rPr>
        <w:rFonts w:ascii="Arial" w:hAnsi="Arial" w:cs="Arial"/>
      </w:rPr>
      <w:tab/>
    </w:r>
    <w:r w:rsidR="00040699" w:rsidRPr="00AF1F07">
      <w:rPr>
        <w:rFonts w:ascii="Arial" w:hAnsi="Arial" w:cs="Arial"/>
      </w:rPr>
      <w:t xml:space="preserve">Page </w:t>
    </w:r>
    <w:r w:rsidR="00040699" w:rsidRPr="00AF1F07">
      <w:rPr>
        <w:rFonts w:ascii="Arial" w:hAnsi="Arial" w:cs="Arial"/>
      </w:rPr>
      <w:fldChar w:fldCharType="begin"/>
    </w:r>
    <w:r w:rsidR="00040699" w:rsidRPr="00AF1F07">
      <w:rPr>
        <w:rFonts w:ascii="Arial" w:hAnsi="Arial" w:cs="Arial"/>
      </w:rPr>
      <w:instrText xml:space="preserve"> PAGE   \* MERGEFORMAT </w:instrText>
    </w:r>
    <w:r w:rsidR="00040699" w:rsidRPr="00AF1F07">
      <w:rPr>
        <w:rFonts w:ascii="Arial" w:hAnsi="Arial" w:cs="Arial"/>
      </w:rPr>
      <w:fldChar w:fldCharType="separate"/>
    </w:r>
    <w:r w:rsidR="00040699" w:rsidRPr="00AF1F07">
      <w:rPr>
        <w:rFonts w:ascii="Arial" w:hAnsi="Arial" w:cs="Arial"/>
        <w:noProof/>
      </w:rPr>
      <w:t>1</w:t>
    </w:r>
    <w:r w:rsidR="00040699" w:rsidRPr="00AF1F07">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22FAF" w14:textId="76D97630" w:rsidR="00040699" w:rsidRPr="004C0CBF" w:rsidRDefault="004C501D">
    <w:pPr>
      <w:pStyle w:val="Footer"/>
      <w:rPr>
        <w:rFonts w:ascii="Arial" w:hAnsi="Arial" w:cs="Arial"/>
      </w:rPr>
    </w:pPr>
    <w:r>
      <w:rPr>
        <w:rFonts w:ascii="Arial" w:hAnsi="Arial" w:cs="Arial"/>
      </w:rPr>
      <w:t xml:space="preserve">July 21, </w:t>
    </w:r>
    <w:proofErr w:type="gramStart"/>
    <w:r>
      <w:rPr>
        <w:rFonts w:ascii="Arial" w:hAnsi="Arial" w:cs="Arial"/>
      </w:rPr>
      <w:t>2023</w:t>
    </w:r>
    <w:proofErr w:type="gramEnd"/>
    <w:r w:rsidR="002135B0" w:rsidRPr="004C0CBF">
      <w:rPr>
        <w:rFonts w:ascii="Arial" w:hAnsi="Arial" w:cs="Arial"/>
      </w:rPr>
      <w:tab/>
    </w:r>
    <w:r w:rsidR="008B5E21">
      <w:rPr>
        <w:rFonts w:ascii="Arial" w:hAnsi="Arial" w:cs="Arial"/>
      </w:rPr>
      <w:tab/>
    </w:r>
    <w:r w:rsidR="008B5E21">
      <w:rPr>
        <w:rFonts w:ascii="Arial" w:hAnsi="Arial" w:cs="Arial"/>
      </w:rPr>
      <w:tab/>
    </w:r>
    <w:r w:rsidR="008B5E21">
      <w:rPr>
        <w:rFonts w:ascii="Arial" w:hAnsi="Arial" w:cs="Arial"/>
      </w:rPr>
      <w:tab/>
    </w:r>
    <w:r w:rsidR="008B5E21">
      <w:rPr>
        <w:rFonts w:ascii="Arial" w:hAnsi="Arial" w:cs="Arial"/>
      </w:rPr>
      <w:tab/>
    </w:r>
    <w:r w:rsidR="00040699" w:rsidRPr="004C0CBF">
      <w:rPr>
        <w:rFonts w:ascii="Arial" w:hAnsi="Arial" w:cs="Arial"/>
      </w:rPr>
      <w:t xml:space="preserve">Page </w:t>
    </w:r>
    <w:sdt>
      <w:sdtPr>
        <w:rPr>
          <w:rFonts w:ascii="Arial" w:hAnsi="Arial" w:cs="Arial"/>
        </w:rPr>
        <w:id w:val="-1818259039"/>
        <w:docPartObj>
          <w:docPartGallery w:val="Page Numbers (Bottom of Page)"/>
          <w:docPartUnique/>
        </w:docPartObj>
      </w:sdtPr>
      <w:sdtEndPr>
        <w:rPr>
          <w:noProof/>
        </w:rPr>
      </w:sdtEndPr>
      <w:sdtContent>
        <w:r w:rsidR="00040699" w:rsidRPr="004C0CBF">
          <w:rPr>
            <w:rFonts w:ascii="Arial" w:hAnsi="Arial" w:cs="Arial"/>
          </w:rPr>
          <w:fldChar w:fldCharType="begin"/>
        </w:r>
        <w:r w:rsidR="00040699" w:rsidRPr="004C0CBF">
          <w:rPr>
            <w:rFonts w:ascii="Arial" w:hAnsi="Arial" w:cs="Arial"/>
          </w:rPr>
          <w:instrText xml:space="preserve"> PAGE   \* MERGEFORMAT </w:instrText>
        </w:r>
        <w:r w:rsidR="00040699" w:rsidRPr="004C0CBF">
          <w:rPr>
            <w:rFonts w:ascii="Arial" w:hAnsi="Arial" w:cs="Arial"/>
          </w:rPr>
          <w:fldChar w:fldCharType="separate"/>
        </w:r>
        <w:r w:rsidR="00040699" w:rsidRPr="004C0CBF">
          <w:rPr>
            <w:rFonts w:ascii="Arial" w:hAnsi="Arial" w:cs="Arial"/>
            <w:noProof/>
          </w:rPr>
          <w:t>2</w:t>
        </w:r>
        <w:r w:rsidR="00040699" w:rsidRPr="004C0CBF">
          <w:rPr>
            <w:rFonts w:ascii="Arial" w:hAnsi="Arial" w:cs="Arial"/>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73C69" w14:textId="41102D6B" w:rsidR="00D6128D" w:rsidRPr="00D6128D" w:rsidRDefault="00097B57" w:rsidP="00282656">
    <w:pPr>
      <w:pStyle w:val="Footer"/>
      <w:tabs>
        <w:tab w:val="clear" w:pos="9360"/>
      </w:tabs>
      <w:rPr>
        <w:rFonts w:ascii="Arial" w:hAnsi="Arial" w:cs="Arial"/>
      </w:rPr>
    </w:pPr>
    <w:r>
      <w:rPr>
        <w:rFonts w:ascii="Arial" w:hAnsi="Arial" w:cs="Arial"/>
      </w:rPr>
      <w:t xml:space="preserve">July 21, </w:t>
    </w:r>
    <w:proofErr w:type="gramStart"/>
    <w:r>
      <w:rPr>
        <w:rFonts w:ascii="Arial" w:hAnsi="Arial" w:cs="Arial"/>
      </w:rPr>
      <w:t>2023</w:t>
    </w:r>
    <w:proofErr w:type="gramEnd"/>
    <w:r w:rsidR="00D6128D" w:rsidRPr="00D6128D">
      <w:rPr>
        <w:rFonts w:ascii="Arial" w:hAnsi="Arial" w:cs="Arial"/>
      </w:rPr>
      <w:tab/>
    </w:r>
    <w:r w:rsidR="00D6128D" w:rsidRPr="00D6128D">
      <w:rPr>
        <w:rFonts w:ascii="Arial" w:hAnsi="Arial" w:cs="Arial"/>
      </w:rPr>
      <w:tab/>
    </w:r>
    <w:r w:rsidR="0016306D" w:rsidRPr="00AF1F07">
      <w:rPr>
        <w:rFonts w:ascii="Arial" w:hAnsi="Arial" w:cs="Arial"/>
      </w:rPr>
      <w:tab/>
    </w:r>
    <w:r w:rsidR="0016306D" w:rsidRPr="00AF1F07">
      <w:rPr>
        <w:rFonts w:ascii="Arial" w:hAnsi="Arial" w:cs="Arial"/>
      </w:rPr>
      <w:tab/>
    </w:r>
    <w:r w:rsidR="0016306D" w:rsidRPr="00AF1F07">
      <w:rPr>
        <w:rFonts w:ascii="Arial" w:hAnsi="Arial" w:cs="Arial"/>
      </w:rPr>
      <w:tab/>
    </w:r>
    <w:r w:rsidR="0016306D" w:rsidRPr="00AF1F07">
      <w:rPr>
        <w:rFonts w:ascii="Arial" w:hAnsi="Arial" w:cs="Arial"/>
      </w:rPr>
      <w:tab/>
    </w:r>
    <w:r w:rsidR="0016306D">
      <w:rPr>
        <w:rFonts w:ascii="Arial" w:hAnsi="Arial" w:cs="Arial"/>
      </w:rPr>
      <w:t xml:space="preserve">      </w:t>
    </w:r>
    <w:r w:rsidR="00D6128D" w:rsidRPr="00D6128D">
      <w:rPr>
        <w:rFonts w:ascii="Arial" w:hAnsi="Arial" w:cs="Arial"/>
      </w:rPr>
      <w:t xml:space="preserve">Page </w:t>
    </w:r>
    <w:r w:rsidR="00D6128D" w:rsidRPr="00D6128D">
      <w:rPr>
        <w:rFonts w:ascii="Arial" w:hAnsi="Arial" w:cs="Arial"/>
      </w:rPr>
      <w:fldChar w:fldCharType="begin"/>
    </w:r>
    <w:r w:rsidR="00D6128D" w:rsidRPr="00D6128D">
      <w:rPr>
        <w:rFonts w:ascii="Arial" w:hAnsi="Arial" w:cs="Arial"/>
      </w:rPr>
      <w:instrText xml:space="preserve"> PAGE   \* MERGEFORMAT </w:instrText>
    </w:r>
    <w:r w:rsidR="00D6128D" w:rsidRPr="00D6128D">
      <w:rPr>
        <w:rFonts w:ascii="Arial" w:hAnsi="Arial" w:cs="Arial"/>
      </w:rPr>
      <w:fldChar w:fldCharType="separate"/>
    </w:r>
    <w:r w:rsidR="00D6128D" w:rsidRPr="00D6128D">
      <w:rPr>
        <w:rFonts w:ascii="Arial" w:hAnsi="Arial" w:cs="Arial"/>
        <w:noProof/>
      </w:rPr>
      <w:t>1</w:t>
    </w:r>
    <w:r w:rsidR="00D6128D" w:rsidRPr="00D6128D">
      <w:rPr>
        <w:rFonts w:ascii="Arial" w:hAnsi="Arial" w:cs="Arial"/>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58F05" w14:textId="585F8FAD" w:rsidR="00966EC8" w:rsidRPr="004C0CBF" w:rsidRDefault="00E32476">
    <w:pPr>
      <w:pStyle w:val="Footer"/>
      <w:rPr>
        <w:rFonts w:ascii="Arial" w:hAnsi="Arial" w:cs="Arial"/>
      </w:rPr>
    </w:pPr>
    <w:r>
      <w:rPr>
        <w:rFonts w:ascii="Arial" w:hAnsi="Arial" w:cs="Arial"/>
      </w:rPr>
      <w:t xml:space="preserve">July 21, </w:t>
    </w:r>
    <w:proofErr w:type="gramStart"/>
    <w:r>
      <w:rPr>
        <w:rFonts w:ascii="Arial" w:hAnsi="Arial" w:cs="Arial"/>
      </w:rPr>
      <w:t>2023</w:t>
    </w:r>
    <w:proofErr w:type="gramEnd"/>
    <w:r w:rsidR="0016306D" w:rsidRPr="004C0CBF">
      <w:rPr>
        <w:rFonts w:ascii="Arial" w:hAnsi="Arial" w:cs="Arial"/>
      </w:rPr>
      <w:tab/>
    </w:r>
    <w:r w:rsidR="0016306D" w:rsidRPr="004C0CBF">
      <w:rPr>
        <w:rFonts w:ascii="Arial" w:hAnsi="Arial" w:cs="Arial"/>
      </w:rPr>
      <w:tab/>
      <w:t xml:space="preserve">Page </w:t>
    </w:r>
    <w:sdt>
      <w:sdtPr>
        <w:rPr>
          <w:rFonts w:ascii="Arial" w:hAnsi="Arial" w:cs="Arial"/>
        </w:rPr>
        <w:id w:val="1345441059"/>
        <w:docPartObj>
          <w:docPartGallery w:val="Page Numbers (Bottom of Page)"/>
          <w:docPartUnique/>
        </w:docPartObj>
      </w:sdtPr>
      <w:sdtEndPr>
        <w:rPr>
          <w:noProof/>
        </w:rPr>
      </w:sdtEndPr>
      <w:sdtContent>
        <w:r w:rsidR="0016306D" w:rsidRPr="004C0CBF">
          <w:rPr>
            <w:rFonts w:ascii="Arial" w:hAnsi="Arial" w:cs="Arial"/>
          </w:rPr>
          <w:fldChar w:fldCharType="begin"/>
        </w:r>
        <w:r w:rsidR="0016306D" w:rsidRPr="004C0CBF">
          <w:rPr>
            <w:rFonts w:ascii="Arial" w:hAnsi="Arial" w:cs="Arial"/>
          </w:rPr>
          <w:instrText xml:space="preserve"> PAGE   \* MERGEFORMAT </w:instrText>
        </w:r>
        <w:r w:rsidR="0016306D" w:rsidRPr="004C0CBF">
          <w:rPr>
            <w:rFonts w:ascii="Arial" w:hAnsi="Arial" w:cs="Arial"/>
          </w:rPr>
          <w:fldChar w:fldCharType="separate"/>
        </w:r>
        <w:r w:rsidR="0016306D" w:rsidRPr="004C0CBF">
          <w:rPr>
            <w:rFonts w:ascii="Arial" w:hAnsi="Arial" w:cs="Arial"/>
            <w:noProof/>
          </w:rPr>
          <w:t>2</w:t>
        </w:r>
        <w:r w:rsidR="0016306D" w:rsidRPr="004C0CBF">
          <w:rPr>
            <w:rFonts w:ascii="Arial" w:hAnsi="Arial" w:cs="Arial"/>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C07DD" w14:textId="3AFC5440" w:rsidR="00D6128D" w:rsidRPr="00D6128D" w:rsidRDefault="00C9115E" w:rsidP="00D562B5">
    <w:pPr>
      <w:pStyle w:val="Footer"/>
      <w:tabs>
        <w:tab w:val="left" w:pos="352"/>
      </w:tabs>
      <w:rPr>
        <w:rFonts w:ascii="Arial" w:hAnsi="Arial" w:cs="Arial"/>
      </w:rPr>
    </w:pPr>
    <w:r>
      <w:rPr>
        <w:rFonts w:ascii="Arial" w:hAnsi="Arial" w:cs="Arial"/>
      </w:rPr>
      <w:t xml:space="preserve">July 21, </w:t>
    </w:r>
    <w:proofErr w:type="gramStart"/>
    <w:r>
      <w:rPr>
        <w:rFonts w:ascii="Arial" w:hAnsi="Arial" w:cs="Arial"/>
      </w:rPr>
      <w:t>2023</w:t>
    </w:r>
    <w:proofErr w:type="gramEnd"/>
    <w:r w:rsidR="00D562B5">
      <w:rPr>
        <w:rFonts w:ascii="Arial" w:hAnsi="Arial" w:cs="Arial"/>
      </w:rPr>
      <w:tab/>
    </w:r>
    <w:r w:rsidR="00D562B5">
      <w:rPr>
        <w:rFonts w:ascii="Arial" w:hAnsi="Arial" w:cs="Arial"/>
      </w:rPr>
      <w:tab/>
    </w:r>
    <w:r w:rsidR="009640A3" w:rsidRPr="009640A3">
      <w:rPr>
        <w:rFonts w:ascii="Arial" w:hAnsi="Arial" w:cs="Arial"/>
      </w:rPr>
      <w:t xml:space="preserve">Page </w:t>
    </w:r>
    <w:r w:rsidR="008747A5">
      <w:rPr>
        <w:rFonts w:ascii="Arial" w:hAnsi="Arial" w:cs="Arial"/>
      </w:rPr>
      <w:t>A-</w:t>
    </w:r>
    <w:sdt>
      <w:sdtPr>
        <w:rPr>
          <w:rFonts w:ascii="Arial" w:hAnsi="Arial" w:cs="Arial"/>
        </w:rPr>
        <w:id w:val="792634029"/>
        <w:docPartObj>
          <w:docPartGallery w:val="Page Numbers (Bottom of Page)"/>
          <w:docPartUnique/>
        </w:docPartObj>
      </w:sdtPr>
      <w:sdtEndPr>
        <w:rPr>
          <w:noProof/>
        </w:rPr>
      </w:sdtEndPr>
      <w:sdtContent>
        <w:r w:rsidR="00D6128D" w:rsidRPr="00D6128D">
          <w:rPr>
            <w:rFonts w:ascii="Arial" w:hAnsi="Arial" w:cs="Arial"/>
          </w:rPr>
          <w:fldChar w:fldCharType="begin"/>
        </w:r>
        <w:r w:rsidR="00D6128D" w:rsidRPr="00D6128D">
          <w:rPr>
            <w:rFonts w:ascii="Arial" w:hAnsi="Arial" w:cs="Arial"/>
          </w:rPr>
          <w:instrText xml:space="preserve"> PAGE   \* MERGEFORMAT </w:instrText>
        </w:r>
        <w:r w:rsidR="00D6128D" w:rsidRPr="00D6128D">
          <w:rPr>
            <w:rFonts w:ascii="Arial" w:hAnsi="Arial" w:cs="Arial"/>
          </w:rPr>
          <w:fldChar w:fldCharType="separate"/>
        </w:r>
        <w:r w:rsidR="009640A3" w:rsidRPr="009640A3">
          <w:rPr>
            <w:rFonts w:ascii="Arial" w:hAnsi="Arial" w:cs="Arial"/>
            <w:noProof/>
          </w:rPr>
          <w:t>2</w:t>
        </w:r>
        <w:r w:rsidR="00D6128D" w:rsidRPr="00D6128D">
          <w:rPr>
            <w:rFonts w:ascii="Arial" w:hAnsi="Arial" w:cs="Arial"/>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24E29" w14:textId="7F528B9B" w:rsidR="00966EC8" w:rsidRPr="004C0CBF" w:rsidRDefault="0016306D">
    <w:pPr>
      <w:pStyle w:val="Footer"/>
      <w:rPr>
        <w:rFonts w:ascii="Arial" w:hAnsi="Arial" w:cs="Arial"/>
      </w:rPr>
    </w:pPr>
    <w:r w:rsidRPr="004C0CBF">
      <w:rPr>
        <w:rFonts w:ascii="Arial" w:hAnsi="Arial" w:cs="Arial"/>
      </w:rPr>
      <w:fldChar w:fldCharType="begin"/>
    </w:r>
    <w:r w:rsidRPr="004C0CBF">
      <w:rPr>
        <w:rFonts w:ascii="Arial" w:hAnsi="Arial" w:cs="Arial"/>
      </w:rPr>
      <w:instrText xml:space="preserve"> DATE \@ "MMMM d, yyyy" </w:instrText>
    </w:r>
    <w:r w:rsidRPr="004C0CBF">
      <w:rPr>
        <w:rFonts w:ascii="Arial" w:hAnsi="Arial" w:cs="Arial"/>
      </w:rPr>
      <w:fldChar w:fldCharType="separate"/>
    </w:r>
    <w:r w:rsidR="00E24DF0">
      <w:rPr>
        <w:rFonts w:ascii="Arial" w:hAnsi="Arial" w:cs="Arial"/>
        <w:noProof/>
      </w:rPr>
      <w:t>July 21, 2023</w:t>
    </w:r>
    <w:r w:rsidRPr="004C0CBF">
      <w:rPr>
        <w:rFonts w:ascii="Arial" w:hAnsi="Arial" w:cs="Arial"/>
      </w:rPr>
      <w:fldChar w:fldCharType="end"/>
    </w:r>
    <w:r w:rsidRPr="004C0CBF">
      <w:rPr>
        <w:rFonts w:ascii="Arial" w:hAnsi="Arial" w:cs="Arial"/>
      </w:rPr>
      <w:tab/>
    </w:r>
    <w:r w:rsidRPr="004C0CBF">
      <w:rPr>
        <w:rFonts w:ascii="Arial" w:hAnsi="Arial" w:cs="Arial"/>
      </w:rPr>
      <w:tab/>
      <w:t xml:space="preserve">Page </w:t>
    </w:r>
    <w:sdt>
      <w:sdtPr>
        <w:id w:val="-1798358242"/>
        <w:docPartObj>
          <w:docPartGallery w:val="Page Numbers (Bottom of Page)"/>
          <w:docPartUnique/>
        </w:docPartObj>
      </w:sdtPr>
      <w:sdtEndPr>
        <w:rPr>
          <w:rFonts w:ascii="Arial" w:hAnsi="Arial" w:cs="Arial"/>
          <w:noProof/>
        </w:rPr>
      </w:sdtEndPr>
      <w:sdtContent>
        <w:r w:rsidRPr="004C0CBF">
          <w:rPr>
            <w:rFonts w:ascii="Arial" w:hAnsi="Arial" w:cs="Arial"/>
          </w:rPr>
          <w:fldChar w:fldCharType="begin"/>
        </w:r>
        <w:r w:rsidRPr="004C0CBF">
          <w:rPr>
            <w:rFonts w:ascii="Arial" w:hAnsi="Arial" w:cs="Arial"/>
          </w:rPr>
          <w:instrText xml:space="preserve"> PAGE   \* MERGEFORMAT </w:instrText>
        </w:r>
        <w:r w:rsidRPr="004C0CBF">
          <w:rPr>
            <w:rFonts w:ascii="Arial" w:hAnsi="Arial" w:cs="Arial"/>
          </w:rPr>
          <w:fldChar w:fldCharType="separate"/>
        </w:r>
        <w:r w:rsidRPr="004C0CBF">
          <w:rPr>
            <w:rFonts w:ascii="Arial" w:hAnsi="Arial" w:cs="Arial"/>
            <w:noProof/>
          </w:rPr>
          <w:t>2</w:t>
        </w:r>
        <w:r w:rsidRPr="004C0CBF">
          <w:rPr>
            <w:rFonts w:ascii="Arial" w:hAnsi="Arial" w:cs="Arial"/>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154FC" w14:textId="77777777" w:rsidR="00A42C8F" w:rsidRDefault="00A42C8F" w:rsidP="00D6128D">
      <w:pPr>
        <w:spacing w:after="0" w:line="240" w:lineRule="auto"/>
      </w:pPr>
      <w:r>
        <w:separator/>
      </w:r>
    </w:p>
  </w:footnote>
  <w:footnote w:type="continuationSeparator" w:id="0">
    <w:p w14:paraId="7C8B730C" w14:textId="77777777" w:rsidR="00A42C8F" w:rsidRDefault="00A42C8F" w:rsidP="00D6128D">
      <w:pPr>
        <w:spacing w:after="0" w:line="240" w:lineRule="auto"/>
      </w:pPr>
      <w:r>
        <w:continuationSeparator/>
      </w:r>
    </w:p>
  </w:footnote>
  <w:footnote w:type="continuationNotice" w:id="1">
    <w:p w14:paraId="2BB8F270" w14:textId="77777777" w:rsidR="00A42C8F" w:rsidRDefault="00A42C8F">
      <w:pPr>
        <w:spacing w:after="0" w:line="240" w:lineRule="auto"/>
      </w:pPr>
    </w:p>
  </w:footnote>
  <w:footnote w:id="2">
    <w:p w14:paraId="3F8604D3" w14:textId="77777777" w:rsidR="00EC6919" w:rsidRPr="00B45252" w:rsidRDefault="00EC6919" w:rsidP="008367FA">
      <w:pPr>
        <w:pStyle w:val="FootnoteText"/>
        <w:spacing w:after="120"/>
        <w:rPr>
          <w:rFonts w:cs="Arial"/>
          <w:u w:val="single"/>
        </w:rPr>
      </w:pPr>
      <w:r w:rsidRPr="00B45252">
        <w:rPr>
          <w:rStyle w:val="FootnoteReference"/>
          <w:rFonts w:cs="Arial"/>
          <w:sz w:val="20"/>
          <w:u w:val="single"/>
        </w:rPr>
        <w:footnoteRef/>
      </w:r>
      <w:r w:rsidRPr="00B45252">
        <w:rPr>
          <w:rFonts w:cs="Arial"/>
          <w:u w:val="single"/>
        </w:rPr>
        <w:t xml:space="preserve"> The Approved Portion is the portion of the Provision C.3.d design volume/flow that may be treated using non-LID treatment measures, as substantiated in the Demonstration of Technical Infeasibility and Demonstration of Commensurate Benefit that have been approved by the Executive Officer. </w:t>
      </w:r>
    </w:p>
  </w:footnote>
  <w:footnote w:id="3">
    <w:p w14:paraId="1373F5A3" w14:textId="77777777" w:rsidR="00EC6919" w:rsidRPr="00B45252" w:rsidRDefault="00EC6919" w:rsidP="008367FA">
      <w:pPr>
        <w:pStyle w:val="FootnoteText"/>
        <w:spacing w:after="120"/>
        <w:rPr>
          <w:rFonts w:cs="Arial"/>
          <w:u w:val="single"/>
        </w:rPr>
      </w:pPr>
      <w:r w:rsidRPr="00B45252">
        <w:rPr>
          <w:rStyle w:val="FootnoteReference"/>
          <w:rFonts w:cs="Arial"/>
          <w:sz w:val="20"/>
          <w:u w:val="single"/>
        </w:rPr>
        <w:footnoteRef/>
      </w:r>
      <w:r w:rsidRPr="00B45252">
        <w:rPr>
          <w:rFonts w:cs="Arial"/>
          <w:u w:val="single"/>
        </w:rPr>
        <w:t xml:space="preserve"> </w:t>
      </w:r>
      <w:hyperlink r:id="rId1" w:history="1">
        <w:r w:rsidRPr="00B45252">
          <w:rPr>
            <w:rStyle w:val="Hyperlink"/>
            <w:rFonts w:cs="Arial"/>
          </w:rPr>
          <w:t>https://ecology.wa.gov/Regulations-Permits/Guidance-technical-assistance/Stormwater-permittee-guidance-resources/Emerging-stormwater-treatment-technologies</w:t>
        </w:r>
      </w:hyperlink>
      <w:r w:rsidRPr="00B45252">
        <w:rPr>
          <w:rFonts w:cs="Arial"/>
          <w:u w:val="single"/>
        </w:rPr>
        <w:t xml:space="preserve"> </w:t>
      </w:r>
    </w:p>
  </w:footnote>
  <w:footnote w:id="4">
    <w:p w14:paraId="29DBB2C1" w14:textId="77777777" w:rsidR="00EC6919" w:rsidRPr="00B45252" w:rsidRDefault="00EC6919" w:rsidP="008367FA">
      <w:pPr>
        <w:spacing w:after="120" w:line="240" w:lineRule="auto"/>
        <w:rPr>
          <w:rFonts w:ascii="Arial" w:hAnsi="Arial" w:cs="Arial"/>
          <w:b/>
          <w:bCs/>
          <w:sz w:val="20"/>
          <w:szCs w:val="20"/>
          <w:u w:val="single"/>
        </w:rPr>
      </w:pPr>
      <w:r w:rsidRPr="00B45252">
        <w:rPr>
          <w:rStyle w:val="FootnoteReference"/>
          <w:rFonts w:cs="Arial"/>
          <w:sz w:val="20"/>
          <w:szCs w:val="20"/>
          <w:u w:val="single"/>
        </w:rPr>
        <w:footnoteRef/>
      </w:r>
      <w:r w:rsidRPr="00B45252">
        <w:rPr>
          <w:rFonts w:ascii="Arial" w:hAnsi="Arial" w:cs="Arial"/>
          <w:sz w:val="20"/>
          <w:szCs w:val="20"/>
          <w:u w:val="single"/>
        </w:rPr>
        <w:t xml:space="preserve"> Examples for the Demonstrations of Technical Infeasibility and Commensurate Benefit are provided in the Fact Sheet.</w:t>
      </w:r>
    </w:p>
  </w:footnote>
  <w:footnote w:id="5">
    <w:p w14:paraId="2702B877" w14:textId="05F28F51" w:rsidR="00EC6919" w:rsidRPr="00B45252" w:rsidRDefault="00EC6919" w:rsidP="008367FA">
      <w:pPr>
        <w:pStyle w:val="FootnoteText"/>
        <w:spacing w:after="120"/>
        <w:rPr>
          <w:rFonts w:cs="Arial"/>
          <w:u w:val="single"/>
        </w:rPr>
      </w:pPr>
      <w:r w:rsidRPr="00B45252">
        <w:rPr>
          <w:rStyle w:val="FootnoteReference"/>
          <w:rFonts w:cs="Arial"/>
          <w:sz w:val="20"/>
          <w:u w:val="single"/>
        </w:rPr>
        <w:footnoteRef/>
      </w:r>
      <w:r w:rsidRPr="00B45252">
        <w:rPr>
          <w:rFonts w:cs="Arial"/>
          <w:u w:val="single"/>
        </w:rPr>
        <w:t xml:space="preserve"> </w:t>
      </w:r>
      <w:r w:rsidR="003407D5">
        <w:rPr>
          <w:rFonts w:cs="Arial"/>
          <w:u w:val="single"/>
        </w:rPr>
        <w:t>Landscap</w:t>
      </w:r>
      <w:r w:rsidR="007042FC">
        <w:rPr>
          <w:rFonts w:cs="Arial"/>
          <w:u w:val="single"/>
        </w:rPr>
        <w:t>ing opportunities i</w:t>
      </w:r>
      <w:r w:rsidRPr="00B45252">
        <w:rPr>
          <w:rFonts w:cs="Arial"/>
          <w:u w:val="single"/>
        </w:rPr>
        <w:t>nclud</w:t>
      </w:r>
      <w:r w:rsidR="007042FC">
        <w:rPr>
          <w:rFonts w:cs="Arial"/>
          <w:u w:val="single"/>
        </w:rPr>
        <w:t>e</w:t>
      </w:r>
      <w:r w:rsidR="00F12995">
        <w:rPr>
          <w:rFonts w:cs="Arial"/>
          <w:u w:val="single"/>
        </w:rPr>
        <w:t>,</w:t>
      </w:r>
      <w:r w:rsidRPr="00B45252">
        <w:rPr>
          <w:rFonts w:cs="Arial"/>
          <w:u w:val="single"/>
        </w:rPr>
        <w:t xml:space="preserve"> but </w:t>
      </w:r>
      <w:r w:rsidR="007042FC">
        <w:rPr>
          <w:rFonts w:cs="Arial"/>
          <w:u w:val="single"/>
        </w:rPr>
        <w:t>are</w:t>
      </w:r>
      <w:r w:rsidRPr="00B45252">
        <w:rPr>
          <w:rFonts w:cs="Arial"/>
          <w:u w:val="single"/>
        </w:rPr>
        <w:t xml:space="preserve"> not limited to: roofs, terraces, patios, courtyards, plazas, quadrangles, athletics areas, outdoor pool areas, playgrounds, parks, bike-separation strips, </w:t>
      </w:r>
      <w:r w:rsidR="00C01ED9">
        <w:rPr>
          <w:rFonts w:cs="Arial"/>
          <w:u w:val="single"/>
        </w:rPr>
        <w:t>and</w:t>
      </w:r>
      <w:r w:rsidRPr="00B45252">
        <w:rPr>
          <w:rFonts w:cs="Arial"/>
          <w:u w:val="single"/>
        </w:rPr>
        <w:t xml:space="preserve"> adjacent public sidewalks, roads, and rights of way (ROWs).</w:t>
      </w:r>
    </w:p>
  </w:footnote>
  <w:footnote w:id="6">
    <w:p w14:paraId="2E6B82CD" w14:textId="77777777" w:rsidR="00EC6919" w:rsidRPr="008F6FAD" w:rsidRDefault="00EC6919" w:rsidP="008367FA">
      <w:pPr>
        <w:pStyle w:val="FootnoteText"/>
        <w:spacing w:after="120"/>
        <w:rPr>
          <w:rFonts w:cs="Arial"/>
        </w:rPr>
      </w:pPr>
      <w:r w:rsidRPr="00B45252">
        <w:rPr>
          <w:rStyle w:val="FootnoteReference"/>
          <w:rFonts w:cs="Arial"/>
          <w:sz w:val="20"/>
          <w:u w:val="single"/>
        </w:rPr>
        <w:footnoteRef/>
      </w:r>
      <w:r w:rsidRPr="00B45252">
        <w:rPr>
          <w:rFonts w:cs="Arial"/>
          <w:u w:val="single"/>
        </w:rPr>
        <w:t xml:space="preserve"> “Implement” in this paragraph is defined to include not only direct implementation by the project proponent, but also indirect implementation via contribution of funding and/or resources to another entity which will construct and/or maintain an equivalent amount of LID.</w:t>
      </w:r>
      <w:r w:rsidRPr="008F6FAD">
        <w:rPr>
          <w:rFonts w:cs="Arial"/>
        </w:rPr>
        <w:t xml:space="preserve"> </w:t>
      </w:r>
    </w:p>
  </w:footnote>
  <w:footnote w:id="7">
    <w:p w14:paraId="0B5FE7EF" w14:textId="77777777" w:rsidR="001674B7" w:rsidRPr="008F6FAD" w:rsidRDefault="001674B7" w:rsidP="001674B7">
      <w:pPr>
        <w:pStyle w:val="FootnoteText"/>
        <w:spacing w:after="120"/>
        <w:rPr>
          <w:rFonts w:cs="Arial"/>
        </w:rPr>
      </w:pPr>
      <w:r w:rsidRPr="000834A3">
        <w:rPr>
          <w:rStyle w:val="FootnoteReference"/>
          <w:rFonts w:cs="Arial"/>
          <w:sz w:val="20"/>
          <w:u w:val="single"/>
        </w:rPr>
        <w:footnoteRef/>
      </w:r>
      <w:r w:rsidRPr="000834A3">
        <w:rPr>
          <w:rFonts w:cs="Arial"/>
          <w:u w:val="single"/>
        </w:rPr>
        <w:t xml:space="preserve"> The Permittee in whose jurisdiction the project is located. </w:t>
      </w:r>
    </w:p>
  </w:footnote>
  <w:footnote w:id="8">
    <w:p w14:paraId="754D659E" w14:textId="77777777" w:rsidR="00D11820" w:rsidRPr="008F6FAD" w:rsidRDefault="00D11820" w:rsidP="008367FA">
      <w:pPr>
        <w:pStyle w:val="FootnoteText"/>
        <w:spacing w:after="120"/>
      </w:pPr>
      <w:r w:rsidRPr="008F6FAD">
        <w:rPr>
          <w:rStyle w:val="FootnoteReference"/>
          <w:sz w:val="20"/>
        </w:rPr>
        <w:footnoteRef/>
      </w:r>
      <w:r w:rsidRPr="008F6FAD">
        <w:t xml:space="preserve"> </w:t>
      </w:r>
      <w:r w:rsidRPr="00FF0FDD">
        <w:rPr>
          <w:u w:val="single"/>
        </w:rPr>
        <w:t>At least two-thirds of the square footage of the project must be designated for residential use.</w:t>
      </w:r>
      <w:r w:rsidRPr="008F6FAD">
        <w:t xml:space="preserve"> </w:t>
      </w:r>
    </w:p>
  </w:footnote>
  <w:footnote w:id="9">
    <w:p w14:paraId="3540620C" w14:textId="77777777" w:rsidR="00D11820" w:rsidRPr="008F6FAD" w:rsidRDefault="00D11820" w:rsidP="008367FA">
      <w:pPr>
        <w:pStyle w:val="MRPFootnote"/>
        <w:spacing w:after="120" w:line="240" w:lineRule="auto"/>
        <w:rPr>
          <w:szCs w:val="20"/>
        </w:rPr>
      </w:pPr>
      <w:r w:rsidRPr="008F6FAD">
        <w:rPr>
          <w:rStyle w:val="FootnoteReference"/>
          <w:sz w:val="20"/>
          <w:szCs w:val="20"/>
        </w:rPr>
        <w:footnoteRef/>
      </w:r>
      <w:r w:rsidRPr="008F6FAD">
        <w:rPr>
          <w:szCs w:val="20"/>
        </w:rPr>
        <w:t xml:space="preserve"> https://www.hcd.ca.gov/grants-funding/income-limits/state-and-federal-income-limits.shtml</w:t>
      </w:r>
    </w:p>
  </w:footnote>
  <w:footnote w:id="10">
    <w:p w14:paraId="01FE45BF" w14:textId="77777777" w:rsidR="00D11820" w:rsidRPr="008F6FAD" w:rsidRDefault="00D11820" w:rsidP="008367FA">
      <w:pPr>
        <w:pStyle w:val="MRPFootnote"/>
        <w:spacing w:after="120" w:line="240" w:lineRule="auto"/>
        <w:rPr>
          <w:szCs w:val="20"/>
        </w:rPr>
      </w:pPr>
      <w:r w:rsidRPr="008F6FAD">
        <w:rPr>
          <w:rStyle w:val="FootnoteReference"/>
          <w:sz w:val="20"/>
          <w:szCs w:val="20"/>
        </w:rPr>
        <w:footnoteRef/>
      </w:r>
      <w:r w:rsidRPr="008F6FAD">
        <w:rPr>
          <w:szCs w:val="20"/>
        </w:rPr>
        <w:t xml:space="preserve"> As of December 31, 2021, they are: https://www.hcd.ca.gov/grants-funding/income-limits/state-and-federal-income-limits/docs/income-limits-2021.pdf</w:t>
      </w:r>
    </w:p>
  </w:footnote>
  <w:footnote w:id="11">
    <w:p w14:paraId="12C66CA2" w14:textId="77777777" w:rsidR="00D11820" w:rsidRPr="00B36BAF" w:rsidRDefault="00D11820" w:rsidP="008367FA">
      <w:pPr>
        <w:pStyle w:val="FootnoteText"/>
        <w:spacing w:after="120"/>
        <w:rPr>
          <w:u w:val="single"/>
        </w:rPr>
      </w:pPr>
      <w:r w:rsidRPr="00B36BAF">
        <w:rPr>
          <w:rStyle w:val="FootnoteReference"/>
          <w:sz w:val="20"/>
          <w:u w:val="single"/>
        </w:rPr>
        <w:footnoteRef/>
      </w:r>
      <w:r w:rsidRPr="00B36BAF">
        <w:rPr>
          <w:u w:val="single"/>
        </w:rPr>
        <w:t xml:space="preserve"> DUs that are free to tenants, i.e., that do not charge tenants any rent/mortgage, are included in this category. </w:t>
      </w:r>
    </w:p>
  </w:footnote>
  <w:footnote w:id="12">
    <w:p w14:paraId="122A545C" w14:textId="77777777" w:rsidR="004950BA" w:rsidRDefault="004950BA" w:rsidP="004950BA">
      <w:pPr>
        <w:pStyle w:val="MRPFootnote"/>
      </w:pPr>
      <w:r w:rsidRPr="0055669D">
        <w:rPr>
          <w:rStyle w:val="FootnoteReference"/>
        </w:rPr>
        <w:footnoteRef/>
      </w:r>
      <w:r w:rsidRPr="0055669D">
        <w:t xml:space="preserve"> Batko, Oneto, and Shroyer, Dec. 2020. Unsheltered Homelessness: Trends, Characteristics, and Homeless Histories. Urban Institute, pp. 12-13.</w:t>
      </w:r>
    </w:p>
    <w:p w14:paraId="1DBA9895" w14:textId="62983685" w:rsidR="00523559" w:rsidRPr="002E575F" w:rsidRDefault="003F4F8C" w:rsidP="002E575F">
      <w:pPr>
        <w:pStyle w:val="NormalWeb"/>
        <w:rPr>
          <w:rFonts w:ascii="Arial" w:hAnsi="Arial" w:cs="Arial"/>
          <w:sz w:val="20"/>
          <w:szCs w:val="20"/>
          <w:u w:val="single"/>
        </w:rPr>
      </w:pPr>
      <w:r>
        <w:rPr>
          <w:rFonts w:ascii="Arial" w:hAnsi="Arial" w:cs="Arial"/>
          <w:sz w:val="20"/>
          <w:szCs w:val="20"/>
          <w:u w:val="single"/>
        </w:rPr>
        <w:t>Kushel, Moore, et al.</w:t>
      </w:r>
      <w:r w:rsidR="00DE6081" w:rsidRPr="002E575F">
        <w:rPr>
          <w:rFonts w:ascii="Arial" w:hAnsi="Arial" w:cs="Arial"/>
          <w:sz w:val="20"/>
          <w:szCs w:val="20"/>
          <w:u w:val="single"/>
        </w:rPr>
        <w:t xml:space="preserve">, June 2023. </w:t>
      </w:r>
      <w:r w:rsidR="00E3339A" w:rsidRPr="002E575F">
        <w:rPr>
          <w:rFonts w:ascii="Arial" w:hAnsi="Arial" w:cs="Arial"/>
          <w:sz w:val="20"/>
          <w:szCs w:val="20"/>
          <w:u w:val="single"/>
        </w:rPr>
        <w:t>Toward a new understanding: The Cali</w:t>
      </w:r>
      <w:r w:rsidR="00230EC5" w:rsidRPr="002E575F">
        <w:rPr>
          <w:rFonts w:ascii="Arial" w:hAnsi="Arial" w:cs="Arial"/>
          <w:sz w:val="20"/>
          <w:szCs w:val="20"/>
          <w:u w:val="single"/>
        </w:rPr>
        <w:t>fornia statewide study of people experiencing homelessness</w:t>
      </w:r>
      <w:r w:rsidR="006E56C2">
        <w:rPr>
          <w:rFonts w:ascii="Arial" w:hAnsi="Arial" w:cs="Arial"/>
          <w:sz w:val="20"/>
          <w:szCs w:val="20"/>
          <w:u w:val="single"/>
        </w:rPr>
        <w:t>.</w:t>
      </w:r>
      <w:r w:rsidR="00217ED4" w:rsidRPr="002E575F">
        <w:rPr>
          <w:rFonts w:ascii="Arial" w:hAnsi="Arial" w:cs="Arial"/>
          <w:sz w:val="20"/>
          <w:szCs w:val="20"/>
          <w:u w:val="single"/>
        </w:rPr>
        <w:t xml:space="preserve"> </w:t>
      </w:r>
      <w:r>
        <w:rPr>
          <w:rFonts w:ascii="Arial" w:hAnsi="Arial" w:cs="Arial"/>
          <w:sz w:val="20"/>
          <w:szCs w:val="20"/>
          <w:u w:val="single"/>
        </w:rPr>
        <w:t xml:space="preserve">UCSF. </w:t>
      </w:r>
      <w:r w:rsidR="006E56C2">
        <w:rPr>
          <w:rFonts w:ascii="Arial" w:hAnsi="Arial" w:cs="Arial"/>
          <w:sz w:val="20"/>
          <w:szCs w:val="20"/>
          <w:u w:val="single"/>
        </w:rPr>
        <w:t>I</w:t>
      </w:r>
      <w:r w:rsidR="00217ED4" w:rsidRPr="002E575F">
        <w:rPr>
          <w:rFonts w:ascii="Arial" w:hAnsi="Arial" w:cs="Arial"/>
          <w:sz w:val="20"/>
          <w:szCs w:val="20"/>
          <w:u w:val="single"/>
        </w:rPr>
        <w:t>ncl. pp. 83-84</w:t>
      </w:r>
      <w:r w:rsidR="00230EC5" w:rsidRPr="002E575F">
        <w:rPr>
          <w:rFonts w:ascii="Arial" w:hAnsi="Arial" w:cs="Arial"/>
          <w:sz w:val="20"/>
          <w:szCs w:val="20"/>
          <w:u w:val="single"/>
        </w:rPr>
        <w:t xml:space="preserve">. </w:t>
      </w:r>
    </w:p>
    <w:p w14:paraId="7CF306BD" w14:textId="57E5E5C6" w:rsidR="004950BA" w:rsidRPr="004A17D9" w:rsidRDefault="004950BA" w:rsidP="004950BA">
      <w:pPr>
        <w:pStyle w:val="MRPFootnote"/>
        <w:rPr>
          <w:u w:val="single"/>
        </w:rPr>
      </w:pPr>
      <w:r w:rsidRPr="004A17D9">
        <w:rPr>
          <w:u w:val="single"/>
        </w:rPr>
        <w:t>See also Fact Sheet Sections C.10-5(4) (Attachment A – 234), C.10.f.ii (Attachment A, p. A-247), and C.17 (Attachment A, p. A-326) for discussion of the adverse water quality impacts of unsheltered homelessness.</w:t>
      </w:r>
    </w:p>
  </w:footnote>
  <w:footnote w:id="13">
    <w:p w14:paraId="5BB72A17" w14:textId="77777777" w:rsidR="00BA37E4" w:rsidRPr="003B1735" w:rsidRDefault="00BA37E4" w:rsidP="00BA37E4">
      <w:pPr>
        <w:pStyle w:val="FootnoteText"/>
        <w:spacing w:after="120"/>
        <w:rPr>
          <w:rFonts w:cs="Arial"/>
        </w:rPr>
      </w:pPr>
      <w:r w:rsidRPr="003B1735">
        <w:rPr>
          <w:rStyle w:val="FootnoteReference"/>
          <w:rFonts w:cs="Arial"/>
          <w:sz w:val="20"/>
        </w:rPr>
        <w:footnoteRef/>
      </w:r>
      <w:r w:rsidRPr="003B1735">
        <w:rPr>
          <w:rFonts w:cs="Arial"/>
        </w:rPr>
        <w:t xml:space="preserve">  </w:t>
      </w:r>
      <w:hyperlink r:id="rId2" w:history="1">
        <w:hyperlink r:id="rId3" w:history="1">
          <w:r w:rsidRPr="008F6FAD">
            <w:rPr>
              <w:rStyle w:val="Hyperlink"/>
              <w:rFonts w:cs="Arial"/>
            </w:rPr>
            <w:t>https://ecology.wa.gov/Regulations-Permits/Guidance-technical-assistance/Stormwater-permittee-guidance-resources/Emerging-stormwater-treatment-technologies</w:t>
          </w:r>
        </w:hyperlink>
      </w:hyperlink>
      <w:r w:rsidRPr="003B1735">
        <w:rPr>
          <w:rFonts w:cs="Arial"/>
        </w:rPr>
        <w:t xml:space="preserve"> </w:t>
      </w:r>
    </w:p>
  </w:footnote>
  <w:footnote w:id="14">
    <w:p w14:paraId="1CD6A1C1" w14:textId="30B3CAA9" w:rsidR="00BA37E4" w:rsidRPr="003B1735" w:rsidRDefault="00BA37E4" w:rsidP="00BA37E4">
      <w:pPr>
        <w:pStyle w:val="FootnoteText"/>
        <w:spacing w:after="120"/>
        <w:rPr>
          <w:rFonts w:cs="Arial"/>
        </w:rPr>
      </w:pPr>
      <w:r w:rsidRPr="003B1735">
        <w:rPr>
          <w:rStyle w:val="FootnoteReference"/>
          <w:rFonts w:cs="Arial"/>
          <w:sz w:val="20"/>
        </w:rPr>
        <w:footnoteRef/>
      </w:r>
      <w:r w:rsidRPr="003B1735">
        <w:rPr>
          <w:rFonts w:cs="Arial"/>
        </w:rPr>
        <w:t xml:space="preserve"> Gilbreath, A.; Pearce, S.; Shimabuku, I.; McKee, L. 2018. Bay Area Green Infrastructure Water Quality Synthesis. SFEI Contribution No. 922. San Francisco Estuary Institute: Richmond, CA. https://www.sfei.org/documents/bay-area-green-infrastructure-water-quality-synthesis</w:t>
      </w:r>
    </w:p>
  </w:footnote>
  <w:footnote w:id="15">
    <w:p w14:paraId="71082414" w14:textId="77777777" w:rsidR="00BA37E4" w:rsidRPr="003B1735" w:rsidRDefault="00BA37E4" w:rsidP="00BA37E4">
      <w:pPr>
        <w:pStyle w:val="FootnoteText"/>
        <w:spacing w:after="120"/>
        <w:rPr>
          <w:rFonts w:cs="Arial"/>
        </w:rPr>
      </w:pPr>
      <w:r w:rsidRPr="003B1735">
        <w:rPr>
          <w:rStyle w:val="FootnoteReference"/>
          <w:rFonts w:cs="Arial"/>
          <w:sz w:val="20"/>
        </w:rPr>
        <w:footnoteRef/>
      </w:r>
      <w:r w:rsidRPr="003B1735">
        <w:rPr>
          <w:rFonts w:cs="Arial"/>
        </w:rPr>
        <w:t xml:space="preserve"> Water Board review of 2018 SFEI study “Bay Area Green Infrastructure Water Quality Synthesis,” May 2023. The Water Board analysis of the 2018 SFEI study indicates that it is not clear that media filters have significantly greater performance than LID systems, given the small sample size of media filters (2) compared to LID facilities (8) in the study, the range of influent concentrations for each monitored system, and the study’s self-identified limitations.</w:t>
      </w:r>
    </w:p>
  </w:footnote>
  <w:footnote w:id="16">
    <w:p w14:paraId="605D1198" w14:textId="77777777" w:rsidR="00BA37E4" w:rsidRPr="003B1735" w:rsidRDefault="00BA37E4" w:rsidP="00BA37E4">
      <w:pPr>
        <w:pStyle w:val="FootnoteText"/>
        <w:spacing w:after="120"/>
        <w:rPr>
          <w:rFonts w:cs="Arial"/>
        </w:rPr>
      </w:pPr>
      <w:r w:rsidRPr="003B1735">
        <w:rPr>
          <w:rStyle w:val="FootnoteReference"/>
          <w:rFonts w:cs="Arial"/>
          <w:sz w:val="20"/>
        </w:rPr>
        <w:footnoteRef/>
      </w:r>
      <w:r w:rsidRPr="003B1735">
        <w:rPr>
          <w:rFonts w:cs="Arial"/>
        </w:rPr>
        <w:t xml:space="preserve"> While not new information, the Water Board also considered general information regarding potential increases to near-Bay groundwater elevations associated with rising tides, because higher groundwater levels can reduce infiltration from a treatment control into the surrounding ground when they are close to the bottom of the control.</w:t>
      </w:r>
    </w:p>
  </w:footnote>
  <w:footnote w:id="17">
    <w:p w14:paraId="6D78D7A5" w14:textId="77777777" w:rsidR="00BA37E4" w:rsidRPr="008F6FAD" w:rsidRDefault="00BA37E4" w:rsidP="00BA37E4">
      <w:pPr>
        <w:pStyle w:val="FootnoteText"/>
        <w:spacing w:after="120"/>
        <w:rPr>
          <w:rFonts w:cs="Arial"/>
        </w:rPr>
      </w:pPr>
      <w:r w:rsidRPr="003B1735">
        <w:rPr>
          <w:rStyle w:val="FootnoteReference"/>
          <w:rFonts w:cs="Arial"/>
          <w:sz w:val="20"/>
        </w:rPr>
        <w:footnoteRef/>
      </w:r>
      <w:r w:rsidRPr="003B1735">
        <w:rPr>
          <w:rFonts w:cs="Arial"/>
        </w:rPr>
        <w:t xml:space="preserve"> </w:t>
      </w:r>
      <w:hyperlink r:id="rId4" w:history="1">
        <w:r w:rsidRPr="008F6FAD">
          <w:rPr>
            <w:rStyle w:val="Hyperlink"/>
            <w:rFonts w:cs="Arial"/>
          </w:rPr>
          <w:t>https://ecology.wa.gov/Regulations-Permits/Permits-certifications/Stormwater-general-permits/Municipal-stormwater-general-permits</w:t>
        </w:r>
      </w:hyperlink>
      <w:r w:rsidRPr="003B1735">
        <w:rPr>
          <w:rFonts w:cs="Arial"/>
        </w:rPr>
        <w:t xml:space="preserve"> The Phase II MS4 Permit thresholds that trigger the requirement to include onsite treatment control measures are significantly lower than the MRP’s thresholds, and a baseline expectation that post-construction discharge rates match the pre-development condition (i.e., “make it better”). This contrasts with the MRP’s baseline less-stringent expectation that post-construction discharge rates only match the pre-construction condition (i.e., “don’t make it worse”).</w:t>
      </w:r>
    </w:p>
  </w:footnote>
  <w:footnote w:id="18">
    <w:p w14:paraId="4FF5D691" w14:textId="77777777" w:rsidR="00BA37E4" w:rsidRPr="003B1735" w:rsidRDefault="00BA37E4" w:rsidP="00BA37E4">
      <w:pPr>
        <w:pStyle w:val="FootnoteText"/>
        <w:spacing w:after="120"/>
        <w:rPr>
          <w:rFonts w:cs="Arial"/>
        </w:rPr>
      </w:pPr>
      <w:r w:rsidRPr="003B1735">
        <w:rPr>
          <w:rStyle w:val="FootnoteReference"/>
          <w:rFonts w:cs="Arial"/>
          <w:sz w:val="20"/>
        </w:rPr>
        <w:footnoteRef/>
      </w:r>
      <w:r w:rsidRPr="003B1735">
        <w:rPr>
          <w:rFonts w:cs="Arial"/>
        </w:rPr>
        <w:t xml:space="preserve"> </w:t>
      </w:r>
      <w:hyperlink r:id="rId5" w:history="1">
        <w:r w:rsidRPr="008F6FAD">
          <w:rPr>
            <w:rStyle w:val="Hyperlink"/>
            <w:rFonts w:cs="Arial"/>
          </w:rPr>
          <w:t>https://www.waterboards.ca.gov/sandiego/water_issues/programs/stormwater/</w:t>
        </w:r>
      </w:hyperlink>
      <w:r w:rsidRPr="003B1735">
        <w:rPr>
          <w:rFonts w:cs="Arial"/>
        </w:rPr>
        <w:t xml:space="preserve"> </w:t>
      </w:r>
    </w:p>
  </w:footnote>
  <w:footnote w:id="19">
    <w:p w14:paraId="25355BCF" w14:textId="1ED7DC24" w:rsidR="00BA37E4" w:rsidRPr="008F6FAD" w:rsidRDefault="00BA37E4" w:rsidP="00BA37E4">
      <w:pPr>
        <w:pStyle w:val="FootnoteText"/>
        <w:spacing w:after="120"/>
        <w:rPr>
          <w:rFonts w:cs="Arial"/>
        </w:rPr>
      </w:pPr>
      <w:r w:rsidRPr="003B1735">
        <w:rPr>
          <w:rStyle w:val="FootnoteReference"/>
          <w:rFonts w:cs="Arial"/>
          <w:sz w:val="20"/>
        </w:rPr>
        <w:footnoteRef/>
      </w:r>
      <w:r w:rsidRPr="003B1735">
        <w:rPr>
          <w:rFonts w:cs="Arial"/>
        </w:rPr>
        <w:t xml:space="preserve"> Anacostia Waterfront Corporation (June 1, 2007) Final Environmental Standards, </w:t>
      </w:r>
      <w:r w:rsidR="00CC6574" w:rsidRPr="003B1735">
        <w:rPr>
          <w:rFonts w:cs="Arial"/>
        </w:rPr>
        <w:t>p.</w:t>
      </w:r>
      <w:r w:rsidRPr="003B1735">
        <w:rPr>
          <w:rFonts w:cs="Arial"/>
        </w:rPr>
        <w:t xml:space="preserve"> 16; </w:t>
      </w:r>
      <w:r w:rsidRPr="003B1735">
        <w:rPr>
          <w:rFonts w:cs="Arial"/>
          <w:i/>
        </w:rPr>
        <w:t>See also</w:t>
      </w:r>
      <w:r w:rsidRPr="003B1735">
        <w:rPr>
          <w:rFonts w:cs="Arial"/>
        </w:rPr>
        <w:t>, State Water Resources Control Board (December 2007) A Review of Low Impact Development Policies: Removing Institutional Barriers to Adoption, at 20-21.</w:t>
      </w:r>
      <w:r w:rsidRPr="008F6FAD">
        <w:rPr>
          <w:rFonts w:cs="Arial"/>
        </w:rPr>
        <w:t xml:space="preserve">  </w:t>
      </w:r>
    </w:p>
  </w:footnote>
  <w:footnote w:id="20">
    <w:p w14:paraId="0B0FD398" w14:textId="3CF6AF20" w:rsidR="00BA37E4" w:rsidRPr="003B1735" w:rsidRDefault="00BA37E4" w:rsidP="00BA37E4">
      <w:pPr>
        <w:pStyle w:val="FootnoteText"/>
        <w:spacing w:after="120"/>
        <w:rPr>
          <w:rFonts w:cs="Arial"/>
        </w:rPr>
      </w:pPr>
      <w:r w:rsidRPr="003B1735">
        <w:rPr>
          <w:rStyle w:val="FootnoteReference"/>
          <w:rFonts w:cs="Arial"/>
          <w:sz w:val="20"/>
        </w:rPr>
        <w:footnoteRef/>
      </w:r>
      <w:r w:rsidRPr="003B1735">
        <w:rPr>
          <w:rFonts w:cs="Arial"/>
        </w:rPr>
        <w:t xml:space="preserve"> Central Coast Regional Water Quality Control Board, Letter from Roger Briggs re</w:t>
      </w:r>
      <w:r w:rsidR="00D81106" w:rsidRPr="003B1735">
        <w:rPr>
          <w:rFonts w:cs="Arial"/>
        </w:rPr>
        <w:t>:</w:t>
      </w:r>
      <w:r w:rsidRPr="003B1735">
        <w:rPr>
          <w:rFonts w:cs="Arial"/>
        </w:rPr>
        <w:t xml:space="preserve"> Notification to Traditional, Small MS4s on Process for Enrolling under the State’s General NPDES Permit for Storm Water Discharges (Feb. 15, 2008).  </w:t>
      </w:r>
    </w:p>
  </w:footnote>
  <w:footnote w:id="21">
    <w:p w14:paraId="793514F4" w14:textId="1E8FF736" w:rsidR="00BA37E4" w:rsidRPr="003B1735" w:rsidRDefault="00BA37E4" w:rsidP="00BA37E4">
      <w:pPr>
        <w:pStyle w:val="FootnoteText"/>
        <w:spacing w:after="120"/>
        <w:rPr>
          <w:rFonts w:cs="Arial"/>
        </w:rPr>
      </w:pPr>
      <w:r w:rsidRPr="003B1735">
        <w:rPr>
          <w:rStyle w:val="FootnoteReference"/>
          <w:rFonts w:cs="Arial"/>
          <w:sz w:val="20"/>
        </w:rPr>
        <w:footnoteRef/>
      </w:r>
      <w:r w:rsidRPr="003B1735">
        <w:rPr>
          <w:rFonts w:cs="Arial"/>
        </w:rPr>
        <w:t xml:space="preserve"> Pennsylvania Department of Environmental Protection (December 30, 2006) </w:t>
      </w:r>
      <w:r w:rsidRPr="003B1735">
        <w:rPr>
          <w:rFonts w:cs="Arial"/>
          <w:i/>
        </w:rPr>
        <w:t>Pennsylvania Stormwater Best Management Practices Manual</w:t>
      </w:r>
      <w:r w:rsidRPr="003B1735">
        <w:rPr>
          <w:rFonts w:cs="Arial"/>
        </w:rPr>
        <w:t xml:space="preserve">, Chapter 3, p.7. Additionally, Pennsylvania is currently completing an update to the Manual (in draft as of Dec. 2022) that continues to focus on management of volume as a key component of water quality and recognizes the increased importance of that aspect as the result of climate-change-driven changes in precipitation intensity, depth, and frequency. Furjanic, Traver, Bowen, and Hess, Nov. 2022. PA DEP Stormwater Manual Updates (slide presentation). </w:t>
      </w:r>
    </w:p>
  </w:footnote>
  <w:footnote w:id="22">
    <w:p w14:paraId="0471D153" w14:textId="77777777" w:rsidR="00BA37E4" w:rsidRPr="003B1735" w:rsidRDefault="00BA37E4" w:rsidP="00BA37E4">
      <w:pPr>
        <w:pStyle w:val="FootnoteText"/>
        <w:spacing w:after="120"/>
        <w:rPr>
          <w:rFonts w:cs="Arial"/>
        </w:rPr>
      </w:pPr>
      <w:r w:rsidRPr="003B1735">
        <w:rPr>
          <w:rStyle w:val="FootnoteReference"/>
          <w:rFonts w:cs="Arial"/>
          <w:sz w:val="20"/>
        </w:rPr>
        <w:footnoteRef/>
      </w:r>
      <w:r w:rsidRPr="003B1735">
        <w:rPr>
          <w:rFonts w:cs="Arial"/>
        </w:rPr>
        <w:t xml:space="preserve"> City of Philadelphia, Philadelphia Stormwater Regulations § 600.5; City of Philadelphia (2006) </w:t>
      </w:r>
      <w:r w:rsidRPr="003B1735">
        <w:rPr>
          <w:rFonts w:cs="Arial"/>
          <w:i/>
        </w:rPr>
        <w:t>Philadelphia Stormwater Management Guidance Manual: Version 2.0</w:t>
      </w:r>
      <w:r w:rsidRPr="003B1735">
        <w:rPr>
          <w:rFonts w:cs="Arial"/>
        </w:rPr>
        <w:t xml:space="preserve">, Section 1-1, Appendix F.4.1.  </w:t>
      </w:r>
    </w:p>
  </w:footnote>
  <w:footnote w:id="23">
    <w:p w14:paraId="1D781A39" w14:textId="77777777" w:rsidR="00BA37E4" w:rsidRPr="008F6FAD" w:rsidRDefault="00BA37E4" w:rsidP="00BA37E4">
      <w:pPr>
        <w:pStyle w:val="FootnoteText"/>
        <w:spacing w:after="120"/>
        <w:rPr>
          <w:rFonts w:cs="Arial"/>
        </w:rPr>
      </w:pPr>
      <w:r w:rsidRPr="003B1735">
        <w:rPr>
          <w:rStyle w:val="FootnoteReference"/>
          <w:rFonts w:cs="Arial"/>
          <w:sz w:val="20"/>
        </w:rPr>
        <w:footnoteRef/>
      </w:r>
      <w:r w:rsidRPr="003B1735">
        <w:rPr>
          <w:rFonts w:cs="Arial"/>
        </w:rPr>
        <w:t xml:space="preserve"> State of West Virginia (December 11, 2008) Department of Environmental Protection, Division of Water and Waste Management, Draft General National Pollution Discharge Elimination System Water Pollution Control Permit, NPDES Permit No. WV0116025, pp. 13-14.</w:t>
      </w:r>
      <w:r w:rsidRPr="008F6FAD">
        <w:rPr>
          <w:rFonts w:cs="Arial"/>
        </w:rPr>
        <w:t xml:space="preserve">  </w:t>
      </w:r>
    </w:p>
  </w:footnote>
  <w:footnote w:id="24">
    <w:p w14:paraId="025E78F8" w14:textId="77777777" w:rsidR="00E738DC" w:rsidRPr="003B1735" w:rsidRDefault="00E738DC" w:rsidP="00E738DC">
      <w:pPr>
        <w:pStyle w:val="FootnoteText"/>
        <w:spacing w:after="120"/>
        <w:rPr>
          <w:rFonts w:cs="Arial"/>
        </w:rPr>
      </w:pPr>
      <w:r w:rsidRPr="003B1735">
        <w:rPr>
          <w:rStyle w:val="FootnoteReference"/>
          <w:rFonts w:cs="Arial"/>
          <w:sz w:val="20"/>
        </w:rPr>
        <w:footnoteRef/>
      </w:r>
      <w:r w:rsidRPr="003B1735">
        <w:rPr>
          <w:rFonts w:cs="Arial"/>
        </w:rPr>
        <w:t xml:space="preserve"> Geosyntec and Wright Water Engineers, January 2011. International Stormwater BMP Database Technical Summary: Volume Reduction (www.bmpdatabase.org).</w:t>
      </w:r>
    </w:p>
    <w:p w14:paraId="7D537C3C" w14:textId="77777777" w:rsidR="00E738DC" w:rsidRPr="003B1735" w:rsidRDefault="00E738DC" w:rsidP="00E738DC">
      <w:pPr>
        <w:pStyle w:val="FootnoteText"/>
        <w:spacing w:after="120"/>
        <w:rPr>
          <w:rFonts w:cs="Arial"/>
        </w:rPr>
      </w:pPr>
      <w:r w:rsidRPr="003B1735">
        <w:rPr>
          <w:rFonts w:cs="Arial"/>
        </w:rPr>
        <w:t>Geosyntec and Wright Water Engineers, May 2012. International Stormwater BMP Database Addendum 1 to Volume Reduction Technical Summary (January 2011). Expanded Analysis of Volume Reduction in Bioretention BMPs (www.bmpdatabase.org).</w:t>
      </w:r>
    </w:p>
    <w:p w14:paraId="06D20835" w14:textId="77777777" w:rsidR="00E738DC" w:rsidRPr="003B1735" w:rsidRDefault="00E738DC" w:rsidP="00E738DC">
      <w:pPr>
        <w:pStyle w:val="FootnoteText"/>
        <w:spacing w:after="120"/>
        <w:rPr>
          <w:rFonts w:cs="Arial"/>
        </w:rPr>
      </w:pPr>
      <w:r w:rsidRPr="003B1735">
        <w:rPr>
          <w:rFonts w:cs="Arial"/>
        </w:rPr>
        <w:t>Braswell, et al., Oct. 2018. Hydrologic and water quality performance of permeable pavement with internal water storage over a clay soil in Durham, North Carolina. J. Environmental Mgmt. 224:277-287.</w:t>
      </w:r>
    </w:p>
    <w:p w14:paraId="42918DC7" w14:textId="77777777" w:rsidR="00E738DC" w:rsidRPr="003B1735" w:rsidRDefault="00E738DC" w:rsidP="00E738DC">
      <w:pPr>
        <w:pStyle w:val="FootnoteText"/>
        <w:spacing w:after="120"/>
        <w:rPr>
          <w:rFonts w:cs="Arial"/>
        </w:rPr>
      </w:pPr>
      <w:r w:rsidRPr="003B1735">
        <w:rPr>
          <w:rFonts w:cs="Arial"/>
        </w:rPr>
        <w:t>Contra Costa Clean Water Program, September 15, 2013. IMP Monitoring Report, chapters 6-7.</w:t>
      </w:r>
    </w:p>
    <w:p w14:paraId="64F8F1CB" w14:textId="77777777" w:rsidR="00E738DC" w:rsidRPr="008F6FAD" w:rsidRDefault="00E738DC" w:rsidP="00E738DC">
      <w:pPr>
        <w:pStyle w:val="FootnoteText"/>
        <w:spacing w:after="120"/>
        <w:rPr>
          <w:rFonts w:cs="Arial"/>
        </w:rPr>
      </w:pPr>
      <w:r w:rsidRPr="003B1735">
        <w:rPr>
          <w:rFonts w:cs="Arial"/>
        </w:rPr>
        <w:t>Winston, et al., May 2016. Quantifying volume reduction and peak flow mitigation for three bioretention cells in clay soils in northeast Ohio. Science of the Total Environment 553:83-95.</w:t>
      </w:r>
      <w:r w:rsidRPr="008F6FAD">
        <w:rPr>
          <w:rFonts w:cs="Arial"/>
        </w:rPr>
        <w:t xml:space="preserve"> </w:t>
      </w:r>
    </w:p>
  </w:footnote>
  <w:footnote w:id="25">
    <w:p w14:paraId="6423E9AD" w14:textId="7607F8E4" w:rsidR="002B1D40" w:rsidRPr="003B1735" w:rsidRDefault="002B1D40" w:rsidP="002B1D40">
      <w:pPr>
        <w:pStyle w:val="FootnoteText"/>
        <w:spacing w:after="120"/>
        <w:rPr>
          <w:rFonts w:cs="Arial"/>
        </w:rPr>
      </w:pPr>
      <w:r w:rsidRPr="003B1735">
        <w:rPr>
          <w:rStyle w:val="FootnoteReference"/>
          <w:rFonts w:cs="Arial"/>
          <w:sz w:val="20"/>
        </w:rPr>
        <w:footnoteRef/>
      </w:r>
      <w:r w:rsidRPr="003B1735">
        <w:rPr>
          <w:rFonts w:cs="Arial"/>
        </w:rPr>
        <w:t xml:space="preserve"> </w:t>
      </w:r>
      <w:r w:rsidR="00E738DC">
        <w:rPr>
          <w:rFonts w:cs="Arial"/>
        </w:rPr>
        <w:t>Ibid.</w:t>
      </w:r>
    </w:p>
    <w:p w14:paraId="5085920E" w14:textId="24785C7E" w:rsidR="002B1D40" w:rsidRPr="008F6FAD" w:rsidRDefault="002B1D40" w:rsidP="002B1D40">
      <w:pPr>
        <w:pStyle w:val="FootnoteText"/>
        <w:spacing w:after="120"/>
        <w:rPr>
          <w:rFonts w:cs="Arial"/>
        </w:rPr>
      </w:pPr>
    </w:p>
  </w:footnote>
  <w:footnote w:id="26">
    <w:p w14:paraId="2F410E9C" w14:textId="77777777" w:rsidR="002B1D40" w:rsidRPr="003B1735" w:rsidRDefault="002B1D40" w:rsidP="002B1D40">
      <w:pPr>
        <w:pStyle w:val="FootnoteText"/>
        <w:spacing w:after="120"/>
        <w:rPr>
          <w:rFonts w:cs="Arial"/>
        </w:rPr>
      </w:pPr>
      <w:r w:rsidRPr="003B1735">
        <w:rPr>
          <w:rStyle w:val="FootnoteReference"/>
          <w:rFonts w:cs="Arial"/>
          <w:sz w:val="20"/>
        </w:rPr>
        <w:footnoteRef/>
      </w:r>
      <w:r w:rsidRPr="003B1735">
        <w:rPr>
          <w:rFonts w:cs="Arial"/>
        </w:rPr>
        <w:t xml:space="preserve"> NRDC and Baykeeper comment letter on the Revised Tentative Order for MRP 1, April 3, 2009.</w:t>
      </w:r>
    </w:p>
  </w:footnote>
  <w:footnote w:id="27">
    <w:p w14:paraId="6DDA433F" w14:textId="7BB97538" w:rsidR="002B1D40" w:rsidRPr="000312DF" w:rsidRDefault="002B1D40" w:rsidP="002B1D40">
      <w:pPr>
        <w:spacing w:after="120" w:line="240" w:lineRule="auto"/>
        <w:rPr>
          <w:rFonts w:ascii="Arial" w:hAnsi="Arial" w:cs="Arial"/>
          <w:sz w:val="20"/>
          <w:szCs w:val="20"/>
          <w:u w:val="single"/>
        </w:rPr>
      </w:pPr>
      <w:r w:rsidRPr="003B1735">
        <w:rPr>
          <w:rStyle w:val="FootnoteReference"/>
          <w:rFonts w:cs="Arial"/>
          <w:sz w:val="20"/>
          <w:szCs w:val="20"/>
        </w:rPr>
        <w:footnoteRef/>
      </w:r>
      <w:r w:rsidR="003B1735">
        <w:rPr>
          <w:rFonts w:ascii="Arial" w:hAnsi="Arial" w:cs="Arial"/>
          <w:sz w:val="20"/>
          <w:szCs w:val="20"/>
        </w:rPr>
        <w:t xml:space="preserve"> </w:t>
      </w:r>
      <w:r w:rsidRPr="003B1735">
        <w:rPr>
          <w:rFonts w:ascii="Arial" w:hAnsi="Arial" w:cs="Arial"/>
          <w:sz w:val="20"/>
          <w:szCs w:val="20"/>
        </w:rPr>
        <w:t>EPA et al., Green Infrastructure Statement of Intent, April 19, 2007, available at</w:t>
      </w:r>
      <w:r w:rsidRPr="000312DF">
        <w:rPr>
          <w:rFonts w:ascii="Arial" w:hAnsi="Arial" w:cs="Arial"/>
          <w:sz w:val="20"/>
          <w:szCs w:val="20"/>
          <w:u w:val="single"/>
        </w:rPr>
        <w:t xml:space="preserve"> </w:t>
      </w:r>
      <w:hyperlink r:id="rId6" w:history="1">
        <w:r w:rsidRPr="008F6FAD">
          <w:rPr>
            <w:rStyle w:val="Hyperlink"/>
            <w:rFonts w:ascii="Arial" w:hAnsi="Arial" w:cs="Arial"/>
            <w:sz w:val="20"/>
            <w:szCs w:val="20"/>
          </w:rPr>
          <w:t>http://www.msdgc.org/downloads/wetweather/greenreport/Files/Green_Report_Exhibit_A.pdf</w:t>
        </w:r>
      </w:hyperlink>
    </w:p>
  </w:footnote>
  <w:footnote w:id="28">
    <w:p w14:paraId="6952BA26" w14:textId="77777777" w:rsidR="002B1D40" w:rsidRPr="008F6FAD" w:rsidRDefault="002B1D40" w:rsidP="002B1D40">
      <w:pPr>
        <w:pStyle w:val="FootnoteText"/>
        <w:spacing w:after="120"/>
        <w:rPr>
          <w:rFonts w:cs="Arial"/>
        </w:rPr>
      </w:pPr>
      <w:r w:rsidRPr="00EF65FA">
        <w:rPr>
          <w:rStyle w:val="FootnoteReference"/>
          <w:rFonts w:cs="Arial"/>
          <w:sz w:val="20"/>
        </w:rPr>
        <w:footnoteRef/>
      </w:r>
      <w:r w:rsidRPr="00EF65FA">
        <w:rPr>
          <w:rFonts w:cs="Arial"/>
        </w:rPr>
        <w:t xml:space="preserve"> U.S. EPA Region 9, comment letter on the Revised Tentative Order for MRP 1, April 3, 2009.</w:t>
      </w:r>
      <w:r w:rsidRPr="008F6FAD">
        <w:rPr>
          <w:rFonts w:cs="Arial"/>
        </w:rPr>
        <w:t xml:space="preserve"> </w:t>
      </w:r>
    </w:p>
  </w:footnote>
  <w:footnote w:id="29">
    <w:p w14:paraId="25DE1113" w14:textId="77777777" w:rsidR="004624B1" w:rsidRPr="00EF65FA" w:rsidRDefault="00A769DF" w:rsidP="002B1D40">
      <w:pPr>
        <w:pStyle w:val="FootnoteText"/>
        <w:spacing w:after="120"/>
        <w:rPr>
          <w:rFonts w:cs="Arial"/>
        </w:rPr>
      </w:pPr>
      <w:r w:rsidRPr="00EF65FA">
        <w:rPr>
          <w:rStyle w:val="FootnoteReference"/>
          <w:rFonts w:cs="Arial"/>
          <w:sz w:val="20"/>
        </w:rPr>
        <w:footnoteRef/>
      </w:r>
      <w:r w:rsidRPr="00EF65FA">
        <w:rPr>
          <w:rFonts w:cs="Arial"/>
        </w:rPr>
        <w:t xml:space="preserve"> The Permittee in whose jurisdiction the project is located.</w:t>
      </w:r>
    </w:p>
  </w:footnote>
  <w:footnote w:id="30">
    <w:p w14:paraId="6627AE28" w14:textId="77777777" w:rsidR="00495C96" w:rsidRPr="0055669D" w:rsidRDefault="00495C96" w:rsidP="00495C96">
      <w:pPr>
        <w:pStyle w:val="FootnoteText"/>
      </w:pPr>
      <w:r w:rsidRPr="0055669D">
        <w:rPr>
          <w:rStyle w:val="FootnoteReference"/>
        </w:rPr>
        <w:footnoteRef/>
      </w:r>
      <w:r w:rsidRPr="0055669D">
        <w:t xml:space="preserve"> </w:t>
      </w:r>
      <w:hyperlink r:id="rId7" w:history="1">
        <w:r w:rsidRPr="0055669D">
          <w:rPr>
            <w:rStyle w:val="Hyperlink"/>
          </w:rPr>
          <w:t>https://www.oaklandca.gov/news/2021/oakland-construction-innovation-and-expanded-housing-options-ordinance</w:t>
        </w:r>
      </w:hyperlink>
      <w:r w:rsidRPr="0055669D">
        <w:t xml:space="preserve"> </w:t>
      </w:r>
    </w:p>
  </w:footnote>
  <w:footnote w:id="31">
    <w:p w14:paraId="1B512DD8" w14:textId="77777777" w:rsidR="00495C96" w:rsidRPr="0055669D" w:rsidRDefault="00495C96" w:rsidP="00495C96">
      <w:pPr>
        <w:pStyle w:val="FootnoteText"/>
        <w:rPr>
          <w:rFonts w:cs="Arial"/>
        </w:rPr>
      </w:pPr>
      <w:r w:rsidRPr="0055669D">
        <w:rPr>
          <w:rStyle w:val="FootnoteReference"/>
          <w:rFonts w:cs="Arial"/>
        </w:rPr>
        <w:footnoteRef/>
      </w:r>
      <w:r w:rsidRPr="0055669D">
        <w:rPr>
          <w:rFonts w:cs="Arial"/>
        </w:rPr>
        <w:t xml:space="preserve"> </w:t>
      </w:r>
      <w:hyperlink r:id="rId8" w:history="1">
        <w:r w:rsidRPr="0055669D">
          <w:rPr>
            <w:rStyle w:val="Hyperlink"/>
            <w:rFonts w:cs="Arial"/>
          </w:rPr>
          <w:t>https://www.treasurer.ca.gov/ctcac/projects.asp</w:t>
        </w:r>
      </w:hyperlink>
      <w:r w:rsidRPr="0055669D">
        <w:rPr>
          <w:rFonts w:cs="Arial"/>
        </w:rPr>
        <w:t xml:space="preserve"> </w:t>
      </w:r>
    </w:p>
  </w:footnote>
  <w:footnote w:id="32">
    <w:p w14:paraId="14586DDF" w14:textId="77777777" w:rsidR="00495C96" w:rsidRDefault="00495C96" w:rsidP="00495C96">
      <w:pPr>
        <w:pStyle w:val="FootnoteText"/>
      </w:pPr>
      <w:r>
        <w:rPr>
          <w:rStyle w:val="FootnoteReference"/>
        </w:rPr>
        <w:footnoteRef/>
      </w:r>
      <w:r>
        <w:t xml:space="preserve"> </w:t>
      </w:r>
      <w:hyperlink r:id="rId9" w:history="1">
        <w:r w:rsidRPr="004F07F0">
          <w:rPr>
            <w:rStyle w:val="Hyperlink"/>
            <w:rFonts w:cs="Arial"/>
          </w:rPr>
          <w:t>https://www.hcd.ca.gov/planning-and-community-development/housing-open-data-tools/housing-element-implementation-and-apr-dashboard</w:t>
        </w:r>
      </w:hyperlink>
      <w:r>
        <w:rPr>
          <w:rStyle w:val="Hyperlink"/>
          <w:rFonts w:cs="Arial"/>
        </w:rPr>
        <w:t xml:space="preserve"> </w:t>
      </w:r>
    </w:p>
  </w:footnote>
  <w:footnote w:id="33">
    <w:p w14:paraId="553C4F28" w14:textId="3A80AAE6" w:rsidR="0084301A" w:rsidRDefault="0084301A">
      <w:pPr>
        <w:pStyle w:val="FootnoteText"/>
      </w:pPr>
      <w:r>
        <w:rPr>
          <w:rStyle w:val="FootnoteReference"/>
        </w:rPr>
        <w:footnoteRef/>
      </w:r>
      <w:r>
        <w:t xml:space="preserve"> Alameda, Contra Costa, San Mateo, Santa Clara, and Solano Counties.</w:t>
      </w:r>
    </w:p>
  </w:footnote>
  <w:footnote w:id="34">
    <w:p w14:paraId="793E2713" w14:textId="3907870E" w:rsidR="0084301A" w:rsidRDefault="0084301A">
      <w:pPr>
        <w:pStyle w:val="FootnoteText"/>
      </w:pPr>
      <w:r>
        <w:rPr>
          <w:rStyle w:val="FootnoteReference"/>
        </w:rPr>
        <w:footnoteRef/>
      </w:r>
      <w:r>
        <w:t xml:space="preserve"> </w:t>
      </w:r>
      <w:r w:rsidR="00A25497">
        <w:t xml:space="preserve">Alameda, Contra Costa, Marin, Napa, San Francisco, San Mateo, Santa Clara, Solano, and Sonoma Counties. </w:t>
      </w:r>
    </w:p>
  </w:footnote>
  <w:footnote w:id="35">
    <w:p w14:paraId="5BEDD8FD" w14:textId="77777777" w:rsidR="004D4440" w:rsidRPr="0055669D" w:rsidRDefault="004D4440" w:rsidP="004D4440">
      <w:pPr>
        <w:pStyle w:val="FootnoteText"/>
        <w:rPr>
          <w:rFonts w:cs="Arial"/>
        </w:rPr>
      </w:pPr>
      <w:r w:rsidRPr="0055669D">
        <w:rPr>
          <w:rStyle w:val="FootnoteReference"/>
          <w:rFonts w:cs="Arial"/>
        </w:rPr>
        <w:footnoteRef/>
      </w:r>
      <w:r w:rsidRPr="0055669D">
        <w:rPr>
          <w:rFonts w:cs="Arial"/>
        </w:rPr>
        <w:t xml:space="preserve"> </w:t>
      </w:r>
      <w:hyperlink r:id="rId10" w:history="1">
        <w:r w:rsidRPr="0055669D">
          <w:rPr>
            <w:rStyle w:val="Hyperlink"/>
            <w:rFonts w:cs="Arial"/>
          </w:rPr>
          <w:t>https://www.treasurer.ca.gov/ctcac/projects.asp</w:t>
        </w:r>
      </w:hyperlink>
      <w:r w:rsidRPr="0055669D">
        <w:rPr>
          <w:rFonts w:cs="Arial"/>
        </w:rPr>
        <w:t xml:space="preserve"> </w:t>
      </w:r>
    </w:p>
  </w:footnote>
  <w:footnote w:id="36">
    <w:p w14:paraId="16117B45" w14:textId="178C4BA7" w:rsidR="00EE1A7F" w:rsidRDefault="00EE1A7F">
      <w:pPr>
        <w:pStyle w:val="FootnoteText"/>
      </w:pPr>
      <w:r>
        <w:rPr>
          <w:rStyle w:val="FootnoteReference"/>
        </w:rPr>
        <w:footnoteRef/>
      </w:r>
      <w:r>
        <w:t xml:space="preserve"> See </w:t>
      </w:r>
      <w:r w:rsidRPr="00EE1A7F">
        <w:t>Administrative Procedures Update, Antidegradation Policy Implementation for NPDES Permitting, 90-004</w:t>
      </w:r>
      <w:r>
        <w:t>, p. 4</w:t>
      </w:r>
      <w:r w:rsidR="00A57BE4">
        <w:t xml:space="preserve"> (baseline water quality is the best </w:t>
      </w:r>
      <w:r w:rsidR="0066693D">
        <w:t xml:space="preserve">quality </w:t>
      </w:r>
      <w:r w:rsidR="00AC0174">
        <w:t xml:space="preserve">of </w:t>
      </w:r>
      <w:r w:rsidR="00F140DE">
        <w:t xml:space="preserve">the </w:t>
      </w:r>
      <w:r w:rsidR="00AC0174">
        <w:t>rece</w:t>
      </w:r>
      <w:r w:rsidR="00F140DE">
        <w:t xml:space="preserve">iving water since 1969 considering the state antidegradation policy or 1975 considering the federal antidegradation policy, unless subsequent lowering </w:t>
      </w:r>
      <w:r w:rsidR="00B85642">
        <w:t xml:space="preserve">was </w:t>
      </w:r>
      <w:r w:rsidR="001D24A9">
        <w:t xml:space="preserve">authorized consistent with </w:t>
      </w:r>
      <w:r w:rsidR="006C2965">
        <w:t>these policies).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0B1CA" w14:textId="77777777" w:rsidR="00D6128D" w:rsidRPr="00D6128D" w:rsidRDefault="00D6128D" w:rsidP="00247A54">
    <w:pPr>
      <w:pStyle w:val="Header"/>
      <w:tabs>
        <w:tab w:val="clear" w:pos="9360"/>
        <w:tab w:val="right" w:pos="14310"/>
      </w:tabs>
      <w:rPr>
        <w:rFonts w:ascii="Arial" w:hAnsi="Arial" w:cs="Arial"/>
        <w:b/>
        <w:bCs/>
      </w:rPr>
    </w:pPr>
    <w:r w:rsidRPr="00D6128D">
      <w:rPr>
        <w:rFonts w:ascii="Arial" w:hAnsi="Arial" w:cs="Arial"/>
        <w:b/>
        <w:bCs/>
      </w:rPr>
      <w:t>Municipal Regional Stormwater Permit</w:t>
    </w:r>
    <w:r w:rsidRPr="00D6128D">
      <w:rPr>
        <w:rFonts w:ascii="Arial" w:hAnsi="Arial" w:cs="Arial"/>
        <w:b/>
        <w:bCs/>
      </w:rPr>
      <w:tab/>
    </w:r>
    <w:r w:rsidRPr="00D6128D">
      <w:rPr>
        <w:rFonts w:ascii="Arial" w:hAnsi="Arial" w:cs="Arial"/>
        <w:b/>
        <w:bCs/>
      </w:rPr>
      <w:tab/>
      <w:t>NPDES No. CAS612008</w:t>
    </w:r>
  </w:p>
  <w:p w14:paraId="3D117E48" w14:textId="77777777" w:rsidR="00D6128D" w:rsidRPr="00D6128D" w:rsidRDefault="00202E2B" w:rsidP="00247A54">
    <w:pPr>
      <w:pStyle w:val="Header"/>
      <w:tabs>
        <w:tab w:val="clear" w:pos="9360"/>
        <w:tab w:val="right" w:pos="14310"/>
      </w:tabs>
      <w:rPr>
        <w:rFonts w:ascii="Arial" w:hAnsi="Arial" w:cs="Arial"/>
        <w:b/>
        <w:bCs/>
      </w:rPr>
    </w:pPr>
    <w:r>
      <w:rPr>
        <w:rFonts w:ascii="Arial" w:hAnsi="Arial" w:cs="Arial"/>
        <w:b/>
        <w:bCs/>
      </w:rPr>
      <w:t xml:space="preserve">Order No. </w:t>
    </w:r>
    <w:r w:rsidRPr="00202E2B">
      <w:rPr>
        <w:rFonts w:ascii="Arial" w:hAnsi="Arial" w:cs="Arial"/>
        <w:b/>
        <w:bCs/>
        <w:highlight w:val="yellow"/>
      </w:rPr>
      <w:t xml:space="preserve">&lt;insert order </w:t>
    </w:r>
    <w:r w:rsidR="00E11BA2">
      <w:rPr>
        <w:rFonts w:ascii="Arial" w:hAnsi="Arial" w:cs="Arial"/>
        <w:b/>
        <w:bCs/>
        <w:highlight w:val="yellow"/>
      </w:rPr>
      <w:t xml:space="preserve"># </w:t>
    </w:r>
    <w:r w:rsidRPr="00202E2B">
      <w:rPr>
        <w:rFonts w:ascii="Arial" w:hAnsi="Arial" w:cs="Arial"/>
        <w:b/>
        <w:bCs/>
        <w:highlight w:val="yellow"/>
      </w:rPr>
      <w:t>here&gt;</w:t>
    </w:r>
    <w:r w:rsidR="00D6128D" w:rsidRPr="00D6128D">
      <w:rPr>
        <w:rFonts w:ascii="Arial" w:hAnsi="Arial" w:cs="Arial"/>
        <w:b/>
        <w:bCs/>
      </w:rPr>
      <w:tab/>
    </w:r>
    <w:r w:rsidR="00D6128D" w:rsidRPr="00D6128D">
      <w:rPr>
        <w:rFonts w:ascii="Arial" w:hAnsi="Arial" w:cs="Arial"/>
        <w:b/>
        <w:bCs/>
      </w:rPr>
      <w:tab/>
    </w:r>
    <w:r>
      <w:rPr>
        <w:rFonts w:ascii="Arial" w:hAnsi="Arial" w:cs="Arial"/>
        <w:b/>
        <w:bCs/>
      </w:rPr>
      <w:t>Tentative Order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B2C79" w14:textId="77777777" w:rsidR="00072FFD" w:rsidRDefault="00072FFD" w:rsidP="00072FFD">
    <w:pPr>
      <w:pStyle w:val="Header"/>
      <w:tabs>
        <w:tab w:val="clear" w:pos="9360"/>
        <w:tab w:val="right" w:pos="14310"/>
      </w:tabs>
      <w:rPr>
        <w:rFonts w:ascii="Arial" w:hAnsi="Arial" w:cs="Arial"/>
        <w:b/>
        <w:bCs/>
      </w:rPr>
    </w:pPr>
    <w:r w:rsidRPr="00D6128D">
      <w:rPr>
        <w:rFonts w:ascii="Arial" w:hAnsi="Arial" w:cs="Arial"/>
        <w:b/>
        <w:bCs/>
      </w:rPr>
      <w:t xml:space="preserve">Municipal Regional Stormwater </w:t>
    </w:r>
    <w:r>
      <w:rPr>
        <w:rFonts w:ascii="Arial" w:hAnsi="Arial" w:cs="Arial"/>
        <w:b/>
        <w:bCs/>
      </w:rPr>
      <w:tab/>
    </w:r>
    <w:r>
      <w:rPr>
        <w:rFonts w:ascii="Arial" w:hAnsi="Arial" w:cs="Arial"/>
        <w:b/>
        <w:bCs/>
      </w:rPr>
      <w:tab/>
    </w:r>
    <w:r w:rsidRPr="00D575BB">
      <w:rPr>
        <w:rFonts w:ascii="Arial" w:hAnsi="Arial" w:cs="Arial"/>
        <w:b/>
        <w:bCs/>
      </w:rPr>
      <w:t>NPDES Permit No. CAS612008</w:t>
    </w:r>
    <w:r>
      <w:rPr>
        <w:rFonts w:ascii="Arial" w:hAnsi="Arial" w:cs="Arial"/>
        <w:b/>
        <w:bCs/>
      </w:rPr>
      <w:t xml:space="preserve">                                                                                                         </w:t>
    </w:r>
  </w:p>
  <w:p w14:paraId="393F1012" w14:textId="0333E35F" w:rsidR="001E5A54" w:rsidRDefault="00072FFD">
    <w:pPr>
      <w:pStyle w:val="Header"/>
    </w:pPr>
    <w:r w:rsidRPr="00D6128D">
      <w:rPr>
        <w:rFonts w:ascii="Arial" w:hAnsi="Arial" w:cs="Arial"/>
        <w:b/>
        <w:bCs/>
      </w:rPr>
      <w:t>Permit</w:t>
    </w:r>
    <w:r>
      <w:rPr>
        <w:rFonts w:ascii="Arial" w:hAnsi="Arial" w:cs="Arial"/>
        <w:b/>
        <w:bCs/>
      </w:rPr>
      <w:t xml:space="preserve"> Amendment                                                             </w:t>
    </w:r>
    <w:r w:rsidRPr="00D575BB">
      <w:rPr>
        <w:rFonts w:ascii="Arial" w:hAnsi="Arial" w:cs="Arial"/>
        <w:b/>
        <w:bCs/>
      </w:rPr>
      <w:t>Tentative Order</w:t>
    </w:r>
    <w:r>
      <w:rPr>
        <w:rFonts w:ascii="Arial" w:hAnsi="Arial" w:cs="Arial"/>
        <w:b/>
        <w:bCs/>
      </w:rPr>
      <w:t xml:space="preserve"> No. R2-2023-00</w:t>
    </w:r>
    <w:r w:rsidRPr="00692D13">
      <w:rPr>
        <w:rFonts w:ascii="Arial" w:hAnsi="Arial" w:cs="Arial"/>
        <w:b/>
        <w:bCs/>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D059" w14:textId="36E6AFCD" w:rsidR="0042333D" w:rsidRDefault="00D6389C" w:rsidP="00247A54">
    <w:pPr>
      <w:pStyle w:val="Header"/>
      <w:tabs>
        <w:tab w:val="clear" w:pos="9360"/>
        <w:tab w:val="right" w:pos="14310"/>
      </w:tabs>
      <w:rPr>
        <w:rFonts w:ascii="Arial" w:hAnsi="Arial" w:cs="Arial"/>
        <w:b/>
        <w:bCs/>
      </w:rPr>
    </w:pPr>
    <w:r w:rsidRPr="00D6128D">
      <w:rPr>
        <w:rFonts w:ascii="Arial" w:hAnsi="Arial" w:cs="Arial"/>
        <w:b/>
        <w:bCs/>
      </w:rPr>
      <w:t xml:space="preserve">Municipal Regional Stormwater </w:t>
    </w:r>
    <w:r w:rsidR="00D575BB">
      <w:rPr>
        <w:rFonts w:ascii="Arial" w:hAnsi="Arial" w:cs="Arial"/>
        <w:b/>
        <w:bCs/>
      </w:rPr>
      <w:tab/>
    </w:r>
    <w:r w:rsidR="00D6399A">
      <w:rPr>
        <w:rFonts w:ascii="Arial" w:hAnsi="Arial" w:cs="Arial"/>
        <w:b/>
        <w:bCs/>
      </w:rPr>
      <w:t xml:space="preserve">                  </w:t>
    </w:r>
    <w:r w:rsidR="00D6399A">
      <w:rPr>
        <w:rFonts w:ascii="Arial" w:hAnsi="Arial" w:cs="Arial"/>
        <w:b/>
        <w:bCs/>
      </w:rPr>
      <w:tab/>
    </w:r>
    <w:r w:rsidR="00D575BB" w:rsidRPr="00D575BB">
      <w:rPr>
        <w:rFonts w:ascii="Arial" w:hAnsi="Arial" w:cs="Arial"/>
        <w:b/>
        <w:bCs/>
      </w:rPr>
      <w:t>NPDES Permit No. CAS612008</w:t>
    </w:r>
  </w:p>
  <w:p w14:paraId="05418D07" w14:textId="360BD377" w:rsidR="00D6389C" w:rsidRPr="00D6128D" w:rsidRDefault="00D6389C" w:rsidP="00247A54">
    <w:pPr>
      <w:pStyle w:val="Header"/>
      <w:tabs>
        <w:tab w:val="clear" w:pos="9360"/>
        <w:tab w:val="right" w:pos="14310"/>
      </w:tabs>
      <w:rPr>
        <w:rFonts w:ascii="Arial" w:hAnsi="Arial" w:cs="Arial"/>
        <w:b/>
        <w:bCs/>
      </w:rPr>
    </w:pPr>
    <w:r w:rsidRPr="00D6128D">
      <w:rPr>
        <w:rFonts w:ascii="Arial" w:hAnsi="Arial" w:cs="Arial"/>
        <w:b/>
        <w:bCs/>
      </w:rPr>
      <w:t>Permit</w:t>
    </w:r>
    <w:r w:rsidR="005670AD">
      <w:rPr>
        <w:rFonts w:ascii="Arial" w:hAnsi="Arial" w:cs="Arial"/>
        <w:b/>
        <w:bCs/>
      </w:rPr>
      <w:t xml:space="preserve"> Amen</w:t>
    </w:r>
    <w:r w:rsidR="00F62687">
      <w:rPr>
        <w:rFonts w:ascii="Arial" w:hAnsi="Arial" w:cs="Arial"/>
        <w:b/>
        <w:bCs/>
      </w:rPr>
      <w:t>dmen</w:t>
    </w:r>
    <w:r w:rsidR="00ED7735">
      <w:rPr>
        <w:rFonts w:ascii="Arial" w:hAnsi="Arial" w:cs="Arial"/>
        <w:b/>
        <w:bCs/>
      </w:rPr>
      <w:t>t</w:t>
    </w:r>
    <w:r w:rsidR="00D575BB">
      <w:rPr>
        <w:rFonts w:ascii="Arial" w:hAnsi="Arial" w:cs="Arial"/>
        <w:b/>
        <w:bCs/>
      </w:rPr>
      <w:t xml:space="preserve">                                                             </w:t>
    </w:r>
    <w:r w:rsidR="00AD2961" w:rsidRPr="00BC2289">
      <w:rPr>
        <w:rFonts w:ascii="Arial" w:hAnsi="Arial" w:cs="Arial"/>
        <w:b/>
        <w:bCs/>
      </w:rPr>
      <w:tab/>
    </w:r>
    <w:r w:rsidR="00D575BB" w:rsidRPr="00D575BB">
      <w:rPr>
        <w:rFonts w:ascii="Arial" w:hAnsi="Arial" w:cs="Arial"/>
        <w:b/>
        <w:bCs/>
      </w:rPr>
      <w:t>Tentative Order</w:t>
    </w:r>
    <w:r w:rsidR="00C13F05">
      <w:rPr>
        <w:rFonts w:ascii="Arial" w:hAnsi="Arial" w:cs="Arial"/>
        <w:b/>
        <w:bCs/>
      </w:rPr>
      <w:t xml:space="preserve"> No. </w:t>
    </w:r>
    <w:r w:rsidR="009D6432">
      <w:rPr>
        <w:rFonts w:ascii="Arial" w:hAnsi="Arial" w:cs="Arial"/>
        <w:b/>
        <w:bCs/>
      </w:rPr>
      <w:t>R2</w:t>
    </w:r>
    <w:r w:rsidR="00565537">
      <w:rPr>
        <w:rFonts w:ascii="Arial" w:hAnsi="Arial" w:cs="Arial"/>
        <w:b/>
        <w:bCs/>
      </w:rPr>
      <w:t>-2023-</w:t>
    </w:r>
    <w:r w:rsidR="0010794B">
      <w:rPr>
        <w:rFonts w:ascii="Arial" w:hAnsi="Arial" w:cs="Arial"/>
        <w:b/>
        <w:bCs/>
      </w:rPr>
      <w:t>00</w:t>
    </w:r>
    <w:r w:rsidR="0010794B" w:rsidRPr="00B923D5">
      <w:rPr>
        <w:rFonts w:ascii="Arial" w:hAnsi="Arial" w:cs="Arial"/>
        <w:b/>
        <w:bCs/>
      </w:rPr>
      <w:t>XX</w:t>
    </w:r>
  </w:p>
  <w:p w14:paraId="49497895" w14:textId="7311D885" w:rsidR="00D6389C" w:rsidRPr="00D6128D" w:rsidRDefault="00F555C8" w:rsidP="00247A54">
    <w:pPr>
      <w:pStyle w:val="Header"/>
      <w:tabs>
        <w:tab w:val="clear" w:pos="9360"/>
        <w:tab w:val="right" w:pos="14310"/>
      </w:tabs>
      <w:rPr>
        <w:rFonts w:ascii="Arial" w:hAnsi="Arial" w:cs="Arial"/>
        <w:b/>
        <w:bCs/>
      </w:rPr>
    </w:pPr>
    <w:r>
      <w:rPr>
        <w:rFonts w:ascii="Arial" w:hAnsi="Arial" w:cs="Arial"/>
        <w:b/>
        <w:bC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8A8D2" w14:textId="77777777" w:rsidR="00C21D50" w:rsidRDefault="00C21D50" w:rsidP="00072FFD">
    <w:pPr>
      <w:pStyle w:val="Header"/>
      <w:tabs>
        <w:tab w:val="clear" w:pos="9360"/>
        <w:tab w:val="right" w:pos="14310"/>
      </w:tabs>
      <w:rPr>
        <w:rFonts w:ascii="Arial" w:hAnsi="Arial" w:cs="Arial"/>
        <w:b/>
        <w:bCs/>
      </w:rPr>
    </w:pPr>
    <w:r w:rsidRPr="00D6128D">
      <w:rPr>
        <w:rFonts w:ascii="Arial" w:hAnsi="Arial" w:cs="Arial"/>
        <w:b/>
        <w:bCs/>
      </w:rPr>
      <w:t xml:space="preserve">Municipal Regional Stormwater </w:t>
    </w:r>
    <w:r>
      <w:rPr>
        <w:rFonts w:ascii="Arial" w:hAnsi="Arial" w:cs="Arial"/>
        <w:b/>
        <w:bCs/>
      </w:rPr>
      <w:tab/>
    </w:r>
    <w:r>
      <w:rPr>
        <w:rFonts w:ascii="Arial" w:hAnsi="Arial" w:cs="Arial"/>
        <w:b/>
        <w:bCs/>
      </w:rPr>
      <w:tab/>
    </w:r>
    <w:r w:rsidRPr="00D575BB">
      <w:rPr>
        <w:rFonts w:ascii="Arial" w:hAnsi="Arial" w:cs="Arial"/>
        <w:b/>
        <w:bCs/>
      </w:rPr>
      <w:t>NPDES Permit No. CAS612008</w:t>
    </w:r>
    <w:r>
      <w:rPr>
        <w:rFonts w:ascii="Arial" w:hAnsi="Arial" w:cs="Arial"/>
        <w:b/>
        <w:bCs/>
      </w:rPr>
      <w:t xml:space="preserve">                                                                                                         </w:t>
    </w:r>
  </w:p>
  <w:p w14:paraId="6BB39B85" w14:textId="77777777" w:rsidR="00D33734" w:rsidRDefault="00C21D50">
    <w:pPr>
      <w:pStyle w:val="Header"/>
    </w:pPr>
    <w:r w:rsidRPr="00D6128D">
      <w:rPr>
        <w:rFonts w:ascii="Arial" w:hAnsi="Arial" w:cs="Arial"/>
        <w:b/>
        <w:bCs/>
      </w:rPr>
      <w:t>Permit</w:t>
    </w:r>
    <w:r>
      <w:rPr>
        <w:rFonts w:ascii="Arial" w:hAnsi="Arial" w:cs="Arial"/>
        <w:b/>
        <w:bCs/>
      </w:rPr>
      <w:t xml:space="preserve"> Amendment                                                             </w:t>
    </w:r>
    <w:r>
      <w:rPr>
        <w:rFonts w:ascii="Arial" w:hAnsi="Arial" w:cs="Arial"/>
        <w:b/>
        <w:bCs/>
      </w:rPr>
      <w:tab/>
      <w:t xml:space="preserve">                                                           </w:t>
    </w:r>
    <w:r w:rsidRPr="00D575BB">
      <w:rPr>
        <w:rFonts w:ascii="Arial" w:hAnsi="Arial" w:cs="Arial"/>
        <w:b/>
        <w:bCs/>
      </w:rPr>
      <w:t>Tentative Order</w:t>
    </w:r>
    <w:r>
      <w:rPr>
        <w:rFonts w:ascii="Arial" w:hAnsi="Arial" w:cs="Arial"/>
        <w:b/>
        <w:bCs/>
      </w:rPr>
      <w:t xml:space="preserve"> No. R2-2023-00</w:t>
    </w:r>
    <w:r w:rsidRPr="00B923D5">
      <w:rPr>
        <w:rFonts w:ascii="Arial" w:hAnsi="Arial" w:cs="Arial"/>
        <w:b/>
        <w:bCs/>
      </w:rPr>
      <w:t>XX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3E190" w14:textId="77777777" w:rsidR="00F00023" w:rsidRDefault="00F00023" w:rsidP="00072FFD">
    <w:pPr>
      <w:pStyle w:val="Header"/>
      <w:tabs>
        <w:tab w:val="clear" w:pos="9360"/>
        <w:tab w:val="right" w:pos="14310"/>
      </w:tabs>
      <w:rPr>
        <w:rFonts w:ascii="Arial" w:hAnsi="Arial" w:cs="Arial"/>
        <w:b/>
        <w:bCs/>
      </w:rPr>
    </w:pPr>
    <w:r w:rsidRPr="00D6128D">
      <w:rPr>
        <w:rFonts w:ascii="Arial" w:hAnsi="Arial" w:cs="Arial"/>
        <w:b/>
        <w:bCs/>
      </w:rPr>
      <w:t xml:space="preserve">Municipal Regional Stormwater </w:t>
    </w:r>
    <w:r>
      <w:rPr>
        <w:rFonts w:ascii="Arial" w:hAnsi="Arial" w:cs="Arial"/>
        <w:b/>
        <w:bCs/>
      </w:rPr>
      <w:tab/>
    </w:r>
    <w:r>
      <w:rPr>
        <w:rFonts w:ascii="Arial" w:hAnsi="Arial" w:cs="Arial"/>
        <w:b/>
        <w:bCs/>
      </w:rPr>
      <w:tab/>
    </w:r>
    <w:r w:rsidRPr="00D575BB">
      <w:rPr>
        <w:rFonts w:ascii="Arial" w:hAnsi="Arial" w:cs="Arial"/>
        <w:b/>
        <w:bCs/>
      </w:rPr>
      <w:t>NPDES Permit No. CAS612008</w:t>
    </w:r>
    <w:r>
      <w:rPr>
        <w:rFonts w:ascii="Arial" w:hAnsi="Arial" w:cs="Arial"/>
        <w:b/>
        <w:bCs/>
      </w:rPr>
      <w:t xml:space="preserve">                                                                                                         </w:t>
    </w:r>
  </w:p>
  <w:p w14:paraId="42B12E00" w14:textId="138C84D8" w:rsidR="00B31720" w:rsidRDefault="00F00023">
    <w:pPr>
      <w:pStyle w:val="Header"/>
    </w:pPr>
    <w:r w:rsidRPr="00D6128D">
      <w:rPr>
        <w:rFonts w:ascii="Arial" w:hAnsi="Arial" w:cs="Arial"/>
        <w:b/>
        <w:bCs/>
      </w:rPr>
      <w:t>Permit</w:t>
    </w:r>
    <w:r>
      <w:rPr>
        <w:rFonts w:ascii="Arial" w:hAnsi="Arial" w:cs="Arial"/>
        <w:b/>
        <w:bCs/>
      </w:rPr>
      <w:t xml:space="preserve"> Amendment                                                             </w:t>
    </w:r>
    <w:r>
      <w:rPr>
        <w:rFonts w:ascii="Arial" w:hAnsi="Arial" w:cs="Arial"/>
        <w:b/>
        <w:bCs/>
      </w:rPr>
      <w:tab/>
    </w:r>
    <w:r w:rsidRPr="00D575BB">
      <w:rPr>
        <w:rFonts w:ascii="Arial" w:hAnsi="Arial" w:cs="Arial"/>
        <w:b/>
        <w:bCs/>
      </w:rPr>
      <w:t>Tentative Order</w:t>
    </w:r>
    <w:r>
      <w:rPr>
        <w:rFonts w:ascii="Arial" w:hAnsi="Arial" w:cs="Arial"/>
        <w:b/>
        <w:bCs/>
      </w:rPr>
      <w:t xml:space="preserve"> No. R2-2023-00</w:t>
    </w:r>
    <w:r w:rsidRPr="00B923D5">
      <w:rPr>
        <w:rFonts w:ascii="Arial" w:hAnsi="Arial" w:cs="Arial"/>
        <w:b/>
        <w:bCs/>
      </w:rPr>
      <w:t>XX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B3F96" w14:textId="160CCC10" w:rsidR="00BE1BBD" w:rsidRDefault="0027338D" w:rsidP="00247A54">
    <w:pPr>
      <w:pStyle w:val="Header"/>
      <w:tabs>
        <w:tab w:val="clear" w:pos="9360"/>
        <w:tab w:val="right" w:pos="14310"/>
      </w:tabs>
      <w:rPr>
        <w:rFonts w:ascii="Arial" w:hAnsi="Arial" w:cs="Arial"/>
        <w:b/>
        <w:bCs/>
      </w:rPr>
    </w:pPr>
    <w:r>
      <w:rPr>
        <w:rFonts w:ascii="Arial" w:hAnsi="Arial" w:cs="Arial"/>
        <w:b/>
        <w:bCs/>
      </w:rPr>
      <w:t>MRP Amendment</w:t>
    </w:r>
    <w:r w:rsidR="00BE1BBD" w:rsidRPr="00D6128D">
      <w:rPr>
        <w:rFonts w:ascii="Arial" w:hAnsi="Arial" w:cs="Arial"/>
        <w:b/>
        <w:bCs/>
      </w:rPr>
      <w:t xml:space="preserve"> </w:t>
    </w:r>
    <w:r w:rsidR="00BE1BBD">
      <w:rPr>
        <w:rFonts w:ascii="Arial" w:hAnsi="Arial" w:cs="Arial"/>
        <w:b/>
        <w:bCs/>
      </w:rPr>
      <w:tab/>
    </w:r>
    <w:r w:rsidR="00BE1BBD">
      <w:rPr>
        <w:rFonts w:ascii="Arial" w:hAnsi="Arial" w:cs="Arial"/>
        <w:b/>
        <w:bCs/>
      </w:rPr>
      <w:tab/>
    </w:r>
    <w:r w:rsidR="00BE1BBD" w:rsidRPr="00D575BB">
      <w:rPr>
        <w:rFonts w:ascii="Arial" w:hAnsi="Arial" w:cs="Arial"/>
        <w:b/>
        <w:bCs/>
      </w:rPr>
      <w:t>NPDES Permit No. CAS612008</w:t>
    </w:r>
    <w:r w:rsidR="00BE1BBD">
      <w:rPr>
        <w:rFonts w:ascii="Arial" w:hAnsi="Arial" w:cs="Arial"/>
        <w:b/>
        <w:bCs/>
      </w:rPr>
      <w:t xml:space="preserve">                                                                                                        </w:t>
    </w:r>
  </w:p>
  <w:p w14:paraId="511333BC" w14:textId="6C881A5C" w:rsidR="00BE1BBD" w:rsidRPr="00D6128D" w:rsidRDefault="0027338D" w:rsidP="00247A54">
    <w:pPr>
      <w:pStyle w:val="Header"/>
      <w:tabs>
        <w:tab w:val="clear" w:pos="9360"/>
        <w:tab w:val="right" w:pos="14310"/>
      </w:tabs>
      <w:rPr>
        <w:rFonts w:ascii="Arial" w:hAnsi="Arial" w:cs="Arial"/>
        <w:b/>
        <w:bCs/>
      </w:rPr>
    </w:pPr>
    <w:r>
      <w:rPr>
        <w:rFonts w:ascii="Arial" w:hAnsi="Arial" w:cs="Arial"/>
        <w:b/>
        <w:bCs/>
      </w:rPr>
      <w:t>Attachment I – Fact Sheet</w:t>
    </w:r>
    <w:r w:rsidR="00BE1BBD">
      <w:rPr>
        <w:rFonts w:ascii="Arial" w:hAnsi="Arial" w:cs="Arial"/>
        <w:b/>
        <w:bCs/>
      </w:rPr>
      <w:t xml:space="preserve">                                                  </w:t>
    </w:r>
    <w:r w:rsidR="00BE1BBD" w:rsidRPr="00D575BB">
      <w:rPr>
        <w:rFonts w:ascii="Arial" w:hAnsi="Arial" w:cs="Arial"/>
        <w:b/>
        <w:bCs/>
      </w:rPr>
      <w:t>Tentative Order</w:t>
    </w:r>
    <w:r w:rsidR="00BE1BBD">
      <w:rPr>
        <w:rFonts w:ascii="Arial" w:hAnsi="Arial" w:cs="Arial"/>
        <w:b/>
        <w:bCs/>
      </w:rPr>
      <w:t xml:space="preserve"> No. R2-2023-00</w:t>
    </w:r>
    <w:r w:rsidR="00BE1BBD" w:rsidRPr="00B923D5">
      <w:rPr>
        <w:rFonts w:ascii="Arial" w:hAnsi="Arial" w:cs="Arial"/>
        <w:b/>
        <w:bCs/>
      </w:rPr>
      <w:t>XX</w:t>
    </w:r>
    <w:r w:rsidR="00BE1BBD" w:rsidRPr="00D6128D">
      <w:rPr>
        <w:rFonts w:ascii="Arial" w:hAnsi="Arial" w:cs="Arial"/>
        <w:b/>
        <w:bCs/>
      </w:rPr>
      <w:tab/>
    </w:r>
  </w:p>
  <w:p w14:paraId="18BF57B7" w14:textId="77777777" w:rsidR="001E5A54" w:rsidRPr="00D6128D" w:rsidRDefault="00BE1BBD" w:rsidP="00247A54">
    <w:pPr>
      <w:pStyle w:val="Header"/>
      <w:tabs>
        <w:tab w:val="clear" w:pos="9360"/>
        <w:tab w:val="right" w:pos="14310"/>
      </w:tabs>
      <w:rPr>
        <w:rFonts w:ascii="Arial" w:hAnsi="Arial" w:cs="Arial"/>
        <w:b/>
      </w:rPr>
    </w:pPr>
    <w:r>
      <w:rPr>
        <w:rFonts w:ascii="Arial" w:hAnsi="Arial" w:cs="Arial"/>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21D0"/>
    <w:multiLevelType w:val="multilevel"/>
    <w:tmpl w:val="65889224"/>
    <w:lvl w:ilvl="0">
      <w:start w:val="1"/>
      <w:numFmt w:val="decimal"/>
      <w:pStyle w:val="MRP-FSProvRqmtList"/>
      <w:lvlText w:val="(%1)"/>
      <w:lvlJc w:val="left"/>
      <w:pPr>
        <w:ind w:left="792" w:hanging="432"/>
      </w:pPr>
    </w:lvl>
    <w:lvl w:ilvl="1">
      <w:start w:val="1"/>
      <w:numFmt w:val="lowerLetter"/>
      <w:lvlText w:val="(%2)"/>
      <w:lvlJc w:val="left"/>
      <w:pPr>
        <w:ind w:left="1224" w:hanging="432"/>
      </w:pPr>
      <w:rPr>
        <w:rFonts w:ascii="Arial" w:hAnsi="Arial" w:cs="Arial" w:hint="default"/>
        <w:b w:val="0"/>
        <w:bCs/>
        <w:i w:val="0"/>
        <w:iCs w:val="0"/>
        <w:cap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lowerRoman"/>
      <w:lvlText w:val="%3."/>
      <w:lvlJc w:val="left"/>
      <w:pPr>
        <w:tabs>
          <w:tab w:val="num" w:pos="7200"/>
        </w:tabs>
        <w:ind w:left="1656" w:hanging="432"/>
      </w:pPr>
      <w:rPr>
        <w:rFonts w:ascii="Segoe UI" w:hAnsi="Segoe UI" w:hint="default"/>
        <w:b w:val="0"/>
        <w:bCs w:val="0"/>
        <w:i w:val="0"/>
        <w:sz w:val="24"/>
      </w:rPr>
    </w:lvl>
    <w:lvl w:ilvl="3">
      <w:start w:val="1"/>
      <w:numFmt w:val="lowerLetter"/>
      <w:lvlText w:val="%4."/>
      <w:lvlJc w:val="left"/>
      <w:pPr>
        <w:tabs>
          <w:tab w:val="num" w:pos="7200"/>
        </w:tabs>
        <w:ind w:left="2016" w:hanging="360"/>
      </w:pPr>
      <w:rPr>
        <w:rFonts w:ascii="Segoe UI" w:hAnsi="Segoe UI" w:hint="default"/>
        <w:b w:val="0"/>
        <w:bCs/>
        <w:i w:val="0"/>
        <w:sz w:val="24"/>
      </w:rPr>
    </w:lvl>
    <w:lvl w:ilvl="4">
      <w:start w:val="1"/>
      <w:numFmt w:val="lowerRoman"/>
      <w:lvlText w:val="%5."/>
      <w:lvlJc w:val="left"/>
      <w:pPr>
        <w:tabs>
          <w:tab w:val="num" w:pos="14400"/>
        </w:tabs>
        <w:ind w:left="1296" w:hanging="360"/>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5">
      <w:start w:val="1"/>
      <w:numFmt w:val="decimal"/>
      <w:lvlText w:val="(%6)"/>
      <w:lvlJc w:val="left"/>
      <w:pPr>
        <w:ind w:left="1656" w:hanging="360"/>
      </w:pPr>
      <w:rPr>
        <w:rFonts w:ascii="Segoe UI" w:hAnsi="Segoe UI" w:hint="default"/>
        <w:b w:val="0"/>
        <w:i w:val="0"/>
        <w:sz w:val="24"/>
      </w:rPr>
    </w:lvl>
    <w:lvl w:ilvl="6">
      <w:start w:val="1"/>
      <w:numFmt w:val="lowerLetter"/>
      <w:lvlText w:val="(%7)"/>
      <w:lvlJc w:val="left"/>
      <w:pPr>
        <w:ind w:left="2016" w:hanging="360"/>
      </w:pPr>
      <w:rPr>
        <w:rFonts w:hint="default"/>
      </w:rPr>
    </w:lvl>
    <w:lvl w:ilvl="7">
      <w:start w:val="1"/>
      <w:numFmt w:val="lowerRoman"/>
      <w:lvlText w:val="%8."/>
      <w:lvlJc w:val="left"/>
      <w:pPr>
        <w:tabs>
          <w:tab w:val="num" w:pos="2376"/>
        </w:tabs>
        <w:ind w:left="2376" w:hanging="360"/>
      </w:pPr>
      <w:rPr>
        <w:rFonts w:hint="default"/>
      </w:rPr>
    </w:lvl>
    <w:lvl w:ilvl="8">
      <w:start w:val="1"/>
      <w:numFmt w:val="lowerLetter"/>
      <w:lvlText w:val="%9."/>
      <w:lvlJc w:val="left"/>
      <w:pPr>
        <w:tabs>
          <w:tab w:val="num" w:pos="2736"/>
        </w:tabs>
        <w:ind w:left="2736" w:hanging="360"/>
      </w:pPr>
      <w:rPr>
        <w:rFonts w:ascii="Segoe UI" w:hAnsi="Segoe UI" w:hint="default"/>
        <w:b w:val="0"/>
        <w:i w:val="0"/>
        <w:sz w:val="24"/>
      </w:rPr>
    </w:lvl>
  </w:abstractNum>
  <w:abstractNum w:abstractNumId="1" w15:restartNumberingAfterBreak="0">
    <w:nsid w:val="06547210"/>
    <w:multiLevelType w:val="multilevel"/>
    <w:tmpl w:val="6972A580"/>
    <w:lvl w:ilvl="0">
      <w:start w:val="1"/>
      <w:numFmt w:val="upperLetter"/>
      <w:lvlText w:val="%1."/>
      <w:lvlJc w:val="left"/>
      <w:pPr>
        <w:ind w:left="432" w:hanging="432"/>
      </w:pPr>
      <w:rPr>
        <w:rFonts w:hint="default"/>
        <w:b/>
        <w:bCs/>
        <w:sz w:val="28"/>
        <w:szCs w:val="28"/>
      </w:rPr>
    </w:lvl>
    <w:lvl w:ilvl="1">
      <w:start w:val="1"/>
      <w:numFmt w:val="decimal"/>
      <w:lvlText w:val="%1.%2."/>
      <w:lvlJc w:val="left"/>
      <w:pPr>
        <w:ind w:left="720" w:hanging="720"/>
      </w:pPr>
      <w:rPr>
        <w:rFonts w:hint="default"/>
        <w:b/>
        <w:bCs w:val="0"/>
        <w:sz w:val="28"/>
        <w:szCs w:val="28"/>
      </w:rPr>
    </w:lvl>
    <w:lvl w:ilvl="2">
      <w:start w:val="1"/>
      <w:numFmt w:val="lowerLetter"/>
      <w:lvlText w:val="%1.%2.%3."/>
      <w:lvlJc w:val="left"/>
      <w:pPr>
        <w:ind w:left="1008" w:hanging="864"/>
      </w:pPr>
      <w:rPr>
        <w:rFonts w:hint="default"/>
        <w:b/>
        <w:bCs w:val="0"/>
      </w:rPr>
    </w:lvl>
    <w:lvl w:ilvl="3">
      <w:start w:val="1"/>
      <w:numFmt w:val="lowerRoman"/>
      <w:lvlText w:val="%4."/>
      <w:lvlJc w:val="center"/>
      <w:pPr>
        <w:ind w:left="1008" w:hanging="288"/>
      </w:pPr>
      <w:rPr>
        <w:rFonts w:ascii="Arial" w:hAnsi="Arial" w:cs="Arial" w:hint="default"/>
        <w:b/>
        <w:bCs/>
        <w:sz w:val="24"/>
        <w:szCs w:val="24"/>
      </w:rPr>
    </w:lvl>
    <w:lvl w:ilvl="4">
      <w:start w:val="1"/>
      <w:numFmt w:val="decimal"/>
      <w:lvlText w:val="(%5)"/>
      <w:lvlJc w:val="left"/>
      <w:pPr>
        <w:ind w:left="1440" w:hanging="432"/>
      </w:pPr>
      <w:rPr>
        <w:rFonts w:hint="default"/>
      </w:rPr>
    </w:lvl>
    <w:lvl w:ilvl="5">
      <w:start w:val="1"/>
      <w:numFmt w:val="lowerLetter"/>
      <w:lvlText w:val="(%6)"/>
      <w:lvlJc w:val="left"/>
      <w:pPr>
        <w:ind w:left="1872" w:hanging="432"/>
      </w:pPr>
      <w:rPr>
        <w:rFonts w:ascii="Arial" w:hAnsi="Arial" w:hint="default"/>
        <w:b w:val="0"/>
        <w:i w:val="0"/>
        <w:sz w:val="24"/>
      </w:rPr>
    </w:lvl>
    <w:lvl w:ilvl="6">
      <w:start w:val="1"/>
      <w:numFmt w:val="decimal"/>
      <w:lvlText w:val="%7."/>
      <w:lvlJc w:val="left"/>
      <w:pPr>
        <w:ind w:left="720" w:hanging="360"/>
      </w:pPr>
    </w:lvl>
    <w:lvl w:ilvl="7">
      <w:start w:val="1"/>
      <w:numFmt w:val="lowerLetter"/>
      <w:lvlText w:val="%8."/>
      <w:lvlJc w:val="left"/>
      <w:pPr>
        <w:ind w:left="2736" w:hanging="360"/>
      </w:pPr>
      <w:rPr>
        <w:rFonts w:hint="default"/>
      </w:rPr>
    </w:lvl>
    <w:lvl w:ilvl="8">
      <w:start w:val="1"/>
      <w:numFmt w:val="bullet"/>
      <w:lvlText w:val=""/>
      <w:lvlJc w:val="left"/>
      <w:pPr>
        <w:ind w:left="2808" w:hanging="216"/>
      </w:pPr>
      <w:rPr>
        <w:rFonts w:ascii="Symbol" w:hAnsi="Symbol" w:hint="default"/>
        <w:b w:val="0"/>
        <w:i w:val="0"/>
        <w:color w:val="auto"/>
        <w:sz w:val="24"/>
      </w:rPr>
    </w:lvl>
  </w:abstractNum>
  <w:abstractNum w:abstractNumId="2" w15:restartNumberingAfterBreak="0">
    <w:nsid w:val="0DB33557"/>
    <w:multiLevelType w:val="multilevel"/>
    <w:tmpl w:val="4A7CDDF6"/>
    <w:lvl w:ilvl="0">
      <w:start w:val="1"/>
      <w:numFmt w:val="upperLetter"/>
      <w:lvlText w:val="%1."/>
      <w:lvlJc w:val="left"/>
      <w:pPr>
        <w:ind w:left="432" w:hanging="432"/>
      </w:pPr>
      <w:rPr>
        <w:rFonts w:hint="default"/>
        <w:b/>
        <w:bCs/>
        <w:sz w:val="28"/>
        <w:szCs w:val="28"/>
      </w:rPr>
    </w:lvl>
    <w:lvl w:ilvl="1">
      <w:start w:val="1"/>
      <w:numFmt w:val="decimal"/>
      <w:lvlText w:val="%1.%2."/>
      <w:lvlJc w:val="left"/>
      <w:pPr>
        <w:ind w:left="720" w:hanging="720"/>
      </w:pPr>
      <w:rPr>
        <w:rFonts w:hint="default"/>
        <w:b/>
        <w:bCs w:val="0"/>
        <w:sz w:val="28"/>
        <w:szCs w:val="28"/>
      </w:rPr>
    </w:lvl>
    <w:lvl w:ilvl="2">
      <w:start w:val="1"/>
      <w:numFmt w:val="lowerLetter"/>
      <w:lvlText w:val="%1.%2.%3."/>
      <w:lvlJc w:val="left"/>
      <w:pPr>
        <w:ind w:left="1008" w:hanging="864"/>
      </w:pPr>
      <w:rPr>
        <w:rFonts w:hint="default"/>
        <w:b/>
        <w:bCs w:val="0"/>
      </w:rPr>
    </w:lvl>
    <w:lvl w:ilvl="3">
      <w:start w:val="1"/>
      <w:numFmt w:val="lowerRoman"/>
      <w:lvlText w:val="%4."/>
      <w:lvlJc w:val="center"/>
      <w:pPr>
        <w:ind w:left="1008" w:hanging="288"/>
      </w:pPr>
      <w:rPr>
        <w:rFonts w:ascii="Arial" w:hAnsi="Arial" w:cs="Arial" w:hint="default"/>
        <w:b/>
        <w:bCs/>
        <w:sz w:val="24"/>
        <w:szCs w:val="24"/>
      </w:rPr>
    </w:lvl>
    <w:lvl w:ilvl="4">
      <w:start w:val="1"/>
      <w:numFmt w:val="decimal"/>
      <w:lvlText w:val="(%5)"/>
      <w:lvlJc w:val="left"/>
      <w:pPr>
        <w:ind w:left="1440" w:hanging="432"/>
      </w:pPr>
      <w:rPr>
        <w:rFonts w:hint="default"/>
      </w:rPr>
    </w:lvl>
    <w:lvl w:ilvl="5">
      <w:start w:val="1"/>
      <w:numFmt w:val="lowerLetter"/>
      <w:lvlText w:val="(%6)"/>
      <w:lvlJc w:val="left"/>
      <w:pPr>
        <w:ind w:left="1872" w:hanging="432"/>
      </w:pPr>
      <w:rPr>
        <w:rFonts w:ascii="Arial" w:hAnsi="Arial" w:hint="default"/>
        <w:b w:val="0"/>
        <w:i w:val="0"/>
        <w:sz w:val="24"/>
      </w:rPr>
    </w:lvl>
    <w:lvl w:ilvl="6">
      <w:start w:val="3"/>
      <w:numFmt w:val="lowerRoman"/>
      <w:lvlText w:val="(%7)"/>
      <w:lvlJc w:val="left"/>
      <w:pPr>
        <w:ind w:left="2376" w:hanging="504"/>
      </w:pPr>
      <w:rPr>
        <w:rFonts w:hint="default"/>
      </w:rPr>
    </w:lvl>
    <w:lvl w:ilvl="7">
      <w:start w:val="1"/>
      <w:numFmt w:val="lowerLetter"/>
      <w:lvlText w:val="%8."/>
      <w:lvlJc w:val="left"/>
      <w:pPr>
        <w:ind w:left="2736" w:hanging="360"/>
      </w:pPr>
      <w:rPr>
        <w:rFonts w:hint="default"/>
      </w:rPr>
    </w:lvl>
    <w:lvl w:ilvl="8">
      <w:start w:val="1"/>
      <w:numFmt w:val="bullet"/>
      <w:lvlText w:val=""/>
      <w:lvlJc w:val="left"/>
      <w:pPr>
        <w:ind w:left="2808" w:hanging="216"/>
      </w:pPr>
      <w:rPr>
        <w:rFonts w:ascii="Symbol" w:hAnsi="Symbol" w:hint="default"/>
        <w:b w:val="0"/>
        <w:i w:val="0"/>
        <w:color w:val="auto"/>
        <w:sz w:val="24"/>
      </w:rPr>
    </w:lvl>
  </w:abstractNum>
  <w:abstractNum w:abstractNumId="3" w15:restartNumberingAfterBreak="0">
    <w:nsid w:val="0F2F327B"/>
    <w:multiLevelType w:val="multilevel"/>
    <w:tmpl w:val="5C629A54"/>
    <w:lvl w:ilvl="0">
      <w:start w:val="1"/>
      <w:numFmt w:val="decimal"/>
      <w:lvlText w:val="(%1)"/>
      <w:lvlJc w:val="left"/>
      <w:rPr>
        <w:rFonts w:ascii="Arial" w:hAnsi="Arial" w:cs="Arial" w:hint="default"/>
        <w:b w:val="0"/>
        <w:bCs w:val="0"/>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rPr>
        <w:rFonts w:ascii="Segoe UI" w:hAnsi="Segoe UI" w:cs="Segoe UI" w:hint="default"/>
        <w:b w:val="0"/>
        <w:bCs/>
        <w:i w:val="0"/>
        <w:iCs w:val="0"/>
        <w:cap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lowerRoman"/>
      <w:lvlText w:val="%3."/>
      <w:lvlJc w:val="left"/>
      <w:pPr>
        <w:tabs>
          <w:tab w:val="num" w:pos="7200"/>
        </w:tabs>
        <w:ind w:left="1656" w:hanging="432"/>
      </w:pPr>
      <w:rPr>
        <w:rFonts w:ascii="Segoe UI" w:hAnsi="Segoe UI" w:hint="default"/>
        <w:b w:val="0"/>
        <w:bCs w:val="0"/>
        <w:i w:val="0"/>
        <w:sz w:val="24"/>
      </w:rPr>
    </w:lvl>
    <w:lvl w:ilvl="3">
      <w:start w:val="1"/>
      <w:numFmt w:val="lowerLetter"/>
      <w:lvlText w:val="%4."/>
      <w:lvlJc w:val="left"/>
      <w:pPr>
        <w:tabs>
          <w:tab w:val="num" w:pos="7200"/>
        </w:tabs>
        <w:ind w:left="2016" w:hanging="360"/>
      </w:pPr>
      <w:rPr>
        <w:rFonts w:ascii="Segoe UI" w:hAnsi="Segoe UI" w:hint="default"/>
        <w:b w:val="0"/>
        <w:bCs/>
        <w:i w:val="0"/>
        <w:sz w:val="24"/>
      </w:rPr>
    </w:lvl>
    <w:lvl w:ilvl="4">
      <w:start w:val="1"/>
      <w:numFmt w:val="lowerRoman"/>
      <w:lvlText w:val="%5."/>
      <w:lvlJc w:val="left"/>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5">
      <w:start w:val="1"/>
      <w:numFmt w:val="decimal"/>
      <w:lvlText w:val="(%6)"/>
      <w:lvlJc w:val="left"/>
      <w:pPr>
        <w:ind w:left="1656" w:hanging="360"/>
      </w:pPr>
      <w:rPr>
        <w:rFonts w:ascii="Segoe UI" w:hAnsi="Segoe UI" w:hint="default"/>
        <w:b w:val="0"/>
        <w:i w:val="0"/>
        <w:sz w:val="24"/>
      </w:rPr>
    </w:lvl>
    <w:lvl w:ilvl="6">
      <w:start w:val="1"/>
      <w:numFmt w:val="lowerLetter"/>
      <w:lvlText w:val="(%7)"/>
      <w:lvlJc w:val="left"/>
      <w:pPr>
        <w:ind w:left="2016" w:hanging="360"/>
      </w:pPr>
      <w:rPr>
        <w:rFonts w:hint="default"/>
      </w:rPr>
    </w:lvl>
    <w:lvl w:ilvl="7">
      <w:start w:val="1"/>
      <w:numFmt w:val="lowerRoman"/>
      <w:lvlText w:val="%8."/>
      <w:lvlJc w:val="left"/>
      <w:pPr>
        <w:tabs>
          <w:tab w:val="num" w:pos="2376"/>
        </w:tabs>
        <w:ind w:left="2376" w:hanging="360"/>
      </w:pPr>
      <w:rPr>
        <w:rFonts w:hint="default"/>
      </w:rPr>
    </w:lvl>
    <w:lvl w:ilvl="8">
      <w:start w:val="1"/>
      <w:numFmt w:val="lowerLetter"/>
      <w:lvlText w:val="%9."/>
      <w:lvlJc w:val="left"/>
      <w:pPr>
        <w:tabs>
          <w:tab w:val="num" w:pos="2736"/>
        </w:tabs>
        <w:ind w:left="2736" w:hanging="360"/>
      </w:pPr>
      <w:rPr>
        <w:rFonts w:ascii="Segoe UI" w:hAnsi="Segoe UI" w:hint="default"/>
        <w:b w:val="0"/>
        <w:i w:val="0"/>
        <w:sz w:val="24"/>
      </w:rPr>
    </w:lvl>
  </w:abstractNum>
  <w:abstractNum w:abstractNumId="4" w15:restartNumberingAfterBreak="0">
    <w:nsid w:val="13A379FD"/>
    <w:multiLevelType w:val="hybridMultilevel"/>
    <w:tmpl w:val="4232DDD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A840201"/>
    <w:multiLevelType w:val="hybridMultilevel"/>
    <w:tmpl w:val="1814F8C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BAD620C"/>
    <w:multiLevelType w:val="hybridMultilevel"/>
    <w:tmpl w:val="3DE61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4219B5"/>
    <w:multiLevelType w:val="multilevel"/>
    <w:tmpl w:val="333870AC"/>
    <w:lvl w:ilvl="0">
      <w:start w:val="1"/>
      <w:numFmt w:val="decimal"/>
      <w:lvlText w:val="%1."/>
      <w:lvlJc w:val="left"/>
      <w:pPr>
        <w:ind w:left="360" w:hanging="216"/>
      </w:pPr>
      <w:rPr>
        <w:rFonts w:hint="default"/>
      </w:rPr>
    </w:lvl>
    <w:lvl w:ilvl="1">
      <w:start w:val="1"/>
      <w:numFmt w:val="bullet"/>
      <w:lvlText w:val=""/>
      <w:lvlJc w:val="left"/>
      <w:pPr>
        <w:ind w:left="720" w:hanging="216"/>
      </w:pPr>
      <w:rPr>
        <w:rFonts w:ascii="Monotype Sorts" w:hAnsi="Monotype Sorts" w:hint="default"/>
      </w:rPr>
    </w:lvl>
    <w:lvl w:ilvl="2">
      <w:start w:val="1"/>
      <w:numFmt w:val="bullet"/>
      <w:lvlText w:val=""/>
      <w:lvlJc w:val="left"/>
      <w:pPr>
        <w:ind w:left="2160" w:hanging="360"/>
      </w:pPr>
      <w:rPr>
        <w:rFonts w:ascii="Arial Rounded MT Bold" w:hAnsi="Arial Rounded MT Bold" w:hint="default"/>
      </w:rPr>
    </w:lvl>
    <w:lvl w:ilvl="3">
      <w:start w:val="1"/>
      <w:numFmt w:val="bullet"/>
      <w:lvlText w:val=""/>
      <w:lvlJc w:val="left"/>
      <w:pPr>
        <w:ind w:left="2880" w:hanging="360"/>
      </w:pPr>
      <w:rPr>
        <w:rFonts w:ascii="Univers" w:hAnsi="Univers" w:hint="default"/>
      </w:rPr>
    </w:lvl>
    <w:lvl w:ilvl="4">
      <w:start w:val="1"/>
      <w:numFmt w:val="bullet"/>
      <w:lvlText w:val="o"/>
      <w:lvlJc w:val="left"/>
      <w:pPr>
        <w:ind w:left="3600" w:hanging="360"/>
      </w:pPr>
      <w:rPr>
        <w:rFonts w:ascii="Monotype Sorts" w:hAnsi="Monotype Sorts" w:cs="Monotype Sorts" w:hint="default"/>
      </w:rPr>
    </w:lvl>
    <w:lvl w:ilvl="5">
      <w:start w:val="1"/>
      <w:numFmt w:val="bullet"/>
      <w:lvlText w:val=""/>
      <w:lvlJc w:val="left"/>
      <w:pPr>
        <w:ind w:left="4320" w:hanging="360"/>
      </w:pPr>
      <w:rPr>
        <w:rFonts w:ascii="Arial Rounded MT Bold" w:hAnsi="Arial Rounded MT Bold" w:hint="default"/>
      </w:rPr>
    </w:lvl>
    <w:lvl w:ilvl="6">
      <w:start w:val="1"/>
      <w:numFmt w:val="bullet"/>
      <w:lvlText w:val=""/>
      <w:lvlJc w:val="left"/>
      <w:pPr>
        <w:ind w:left="5040" w:hanging="360"/>
      </w:pPr>
      <w:rPr>
        <w:rFonts w:ascii="Univers" w:hAnsi="Univers" w:hint="default"/>
      </w:rPr>
    </w:lvl>
    <w:lvl w:ilvl="7">
      <w:start w:val="1"/>
      <w:numFmt w:val="bullet"/>
      <w:lvlText w:val="o"/>
      <w:lvlJc w:val="left"/>
      <w:pPr>
        <w:ind w:left="5760" w:hanging="360"/>
      </w:pPr>
      <w:rPr>
        <w:rFonts w:ascii="Monotype Sorts" w:hAnsi="Monotype Sorts" w:cs="Monotype Sorts" w:hint="default"/>
      </w:rPr>
    </w:lvl>
    <w:lvl w:ilvl="8">
      <w:start w:val="1"/>
      <w:numFmt w:val="bullet"/>
      <w:lvlText w:val=""/>
      <w:lvlJc w:val="left"/>
      <w:pPr>
        <w:ind w:left="6480" w:hanging="360"/>
      </w:pPr>
      <w:rPr>
        <w:rFonts w:ascii="Arial Rounded MT Bold" w:hAnsi="Arial Rounded MT Bold" w:hint="default"/>
      </w:rPr>
    </w:lvl>
  </w:abstractNum>
  <w:abstractNum w:abstractNumId="8" w15:restartNumberingAfterBreak="0">
    <w:nsid w:val="24EC1925"/>
    <w:multiLevelType w:val="hybridMultilevel"/>
    <w:tmpl w:val="3DE61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7534882"/>
    <w:multiLevelType w:val="hybridMultilevel"/>
    <w:tmpl w:val="257459C2"/>
    <w:lvl w:ilvl="0" w:tplc="261E8FBC">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F3B4C864">
      <w:start w:val="1"/>
      <w:numFmt w:val="lowerLetter"/>
      <w:pStyle w:val="MRPA1ai1a"/>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382844"/>
    <w:multiLevelType w:val="hybridMultilevel"/>
    <w:tmpl w:val="3D08C612"/>
    <w:lvl w:ilvl="0" w:tplc="32844766">
      <w:start w:val="1"/>
      <w:numFmt w:val="decimal"/>
      <w:lvlText w:val="(%1)"/>
      <w:lvlJc w:val="left"/>
      <w:pPr>
        <w:ind w:left="720" w:hanging="360"/>
      </w:pPr>
      <w:rPr>
        <w:rFonts w:hint="default"/>
      </w:rPr>
    </w:lvl>
    <w:lvl w:ilvl="1" w:tplc="A3625E3C">
      <w:start w:val="5"/>
      <w:numFmt w:val="decimal"/>
      <w:pStyle w:val="MRPA1ai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530DD9"/>
    <w:multiLevelType w:val="hybridMultilevel"/>
    <w:tmpl w:val="33083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3F1C85F2">
      <w:start w:val="1"/>
      <w:numFmt w:val="lowerRoman"/>
      <w:pStyle w:val="MRP-FSProvRqmtListBody-a"/>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93066C"/>
    <w:multiLevelType w:val="multilevel"/>
    <w:tmpl w:val="4A7CDDF6"/>
    <w:lvl w:ilvl="0">
      <w:start w:val="1"/>
      <w:numFmt w:val="upperLetter"/>
      <w:lvlText w:val="%1."/>
      <w:lvlJc w:val="left"/>
      <w:pPr>
        <w:ind w:left="432" w:hanging="432"/>
      </w:pPr>
      <w:rPr>
        <w:rFonts w:hint="default"/>
        <w:b/>
        <w:bCs/>
        <w:sz w:val="28"/>
        <w:szCs w:val="28"/>
        <w:specVanish w:val="0"/>
      </w:rPr>
    </w:lvl>
    <w:lvl w:ilvl="1">
      <w:start w:val="1"/>
      <w:numFmt w:val="decimal"/>
      <w:lvlText w:val="%1.%2."/>
      <w:lvlJc w:val="left"/>
      <w:pPr>
        <w:ind w:left="720" w:hanging="720"/>
      </w:pPr>
      <w:rPr>
        <w:rFonts w:hint="default"/>
        <w:b/>
        <w:bCs w:val="0"/>
        <w:sz w:val="28"/>
        <w:szCs w:val="28"/>
        <w:specVanish w:val="0"/>
      </w:rPr>
    </w:lvl>
    <w:lvl w:ilvl="2">
      <w:start w:val="1"/>
      <w:numFmt w:val="lowerLetter"/>
      <w:lvlText w:val="%1.%2.%3."/>
      <w:lvlJc w:val="left"/>
      <w:pPr>
        <w:ind w:left="1008" w:hanging="864"/>
      </w:pPr>
      <w:rPr>
        <w:rFonts w:hint="default"/>
        <w:b/>
        <w:bCs w:val="0"/>
      </w:rPr>
    </w:lvl>
    <w:lvl w:ilvl="3">
      <w:start w:val="1"/>
      <w:numFmt w:val="lowerRoman"/>
      <w:lvlText w:val="%4."/>
      <w:lvlJc w:val="center"/>
      <w:pPr>
        <w:ind w:left="1008" w:hanging="288"/>
      </w:pPr>
      <w:rPr>
        <w:rFonts w:ascii="Arial" w:hAnsi="Arial" w:cs="Arial" w:hint="default"/>
        <w:b/>
        <w:bCs/>
        <w:sz w:val="24"/>
        <w:szCs w:val="24"/>
      </w:rPr>
    </w:lvl>
    <w:lvl w:ilvl="4">
      <w:start w:val="1"/>
      <w:numFmt w:val="decimal"/>
      <w:lvlText w:val="(%5)"/>
      <w:lvlJc w:val="left"/>
      <w:pPr>
        <w:ind w:left="1440" w:hanging="432"/>
      </w:pPr>
      <w:rPr>
        <w:rFonts w:hint="default"/>
        <w:lang w:bidi="x-none"/>
        <w:specVanish w:val="0"/>
      </w:rPr>
    </w:lvl>
    <w:lvl w:ilvl="5">
      <w:start w:val="1"/>
      <w:numFmt w:val="lowerLetter"/>
      <w:lvlText w:val="(%6)"/>
      <w:lvlJc w:val="left"/>
      <w:pPr>
        <w:ind w:left="1872" w:hanging="432"/>
      </w:pPr>
      <w:rPr>
        <w:rFonts w:ascii="Arial" w:hAnsi="Arial" w:hint="default"/>
        <w:b w:val="0"/>
        <w:i w:val="0"/>
        <w:sz w:val="24"/>
      </w:rPr>
    </w:lvl>
    <w:lvl w:ilvl="6">
      <w:start w:val="3"/>
      <w:numFmt w:val="lowerRoman"/>
      <w:lvlText w:val="(%7)"/>
      <w:lvlJc w:val="left"/>
      <w:pPr>
        <w:ind w:left="2376" w:hanging="504"/>
      </w:pPr>
      <w:rPr>
        <w:rFonts w:hint="default"/>
      </w:rPr>
    </w:lvl>
    <w:lvl w:ilvl="7">
      <w:start w:val="1"/>
      <w:numFmt w:val="lowerLetter"/>
      <w:lvlText w:val="%8."/>
      <w:lvlJc w:val="left"/>
      <w:pPr>
        <w:ind w:left="2736" w:hanging="360"/>
      </w:pPr>
      <w:rPr>
        <w:rFonts w:hint="default"/>
      </w:rPr>
    </w:lvl>
    <w:lvl w:ilvl="8">
      <w:start w:val="1"/>
      <w:numFmt w:val="bullet"/>
      <w:lvlText w:val=""/>
      <w:lvlJc w:val="left"/>
      <w:pPr>
        <w:ind w:left="2808" w:hanging="216"/>
      </w:pPr>
      <w:rPr>
        <w:rFonts w:ascii="Symbol" w:hAnsi="Symbol" w:hint="default"/>
        <w:b w:val="0"/>
        <w:i w:val="0"/>
        <w:color w:val="auto"/>
        <w:sz w:val="24"/>
      </w:rPr>
    </w:lvl>
  </w:abstractNum>
  <w:abstractNum w:abstractNumId="13" w15:restartNumberingAfterBreak="0">
    <w:nsid w:val="4FCC1AC4"/>
    <w:multiLevelType w:val="hybridMultilevel"/>
    <w:tmpl w:val="2B2821F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30A7FB5"/>
    <w:multiLevelType w:val="hybridMultilevel"/>
    <w:tmpl w:val="C26EA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625D6B"/>
    <w:multiLevelType w:val="hybridMultilevel"/>
    <w:tmpl w:val="4074FF16"/>
    <w:lvl w:ilvl="0" w:tplc="BBECDE98">
      <w:start w:val="1"/>
      <w:numFmt w:val="decimal"/>
      <w:pStyle w:val="MRPA1ai1aia1"/>
      <w:lvlText w:val="%1."/>
      <w:lvlJc w:val="left"/>
      <w:pPr>
        <w:ind w:left="3096" w:hanging="360"/>
      </w:pPr>
    </w:lvl>
    <w:lvl w:ilvl="1" w:tplc="FFFFFFFF" w:tentative="1">
      <w:start w:val="1"/>
      <w:numFmt w:val="lowerLetter"/>
      <w:lvlText w:val="%2."/>
      <w:lvlJc w:val="left"/>
      <w:pPr>
        <w:ind w:left="3816" w:hanging="360"/>
      </w:pPr>
    </w:lvl>
    <w:lvl w:ilvl="2" w:tplc="FFFFFFFF" w:tentative="1">
      <w:start w:val="1"/>
      <w:numFmt w:val="lowerRoman"/>
      <w:lvlText w:val="%3."/>
      <w:lvlJc w:val="right"/>
      <w:pPr>
        <w:ind w:left="4536" w:hanging="180"/>
      </w:pPr>
    </w:lvl>
    <w:lvl w:ilvl="3" w:tplc="FFFFFFFF" w:tentative="1">
      <w:start w:val="1"/>
      <w:numFmt w:val="decimal"/>
      <w:lvlText w:val="%4."/>
      <w:lvlJc w:val="left"/>
      <w:pPr>
        <w:ind w:left="5256" w:hanging="360"/>
      </w:pPr>
    </w:lvl>
    <w:lvl w:ilvl="4" w:tplc="FFFFFFFF" w:tentative="1">
      <w:start w:val="1"/>
      <w:numFmt w:val="lowerLetter"/>
      <w:lvlText w:val="%5."/>
      <w:lvlJc w:val="left"/>
      <w:pPr>
        <w:ind w:left="5976" w:hanging="360"/>
      </w:pPr>
    </w:lvl>
    <w:lvl w:ilvl="5" w:tplc="FFFFFFFF" w:tentative="1">
      <w:start w:val="1"/>
      <w:numFmt w:val="lowerRoman"/>
      <w:lvlText w:val="%6."/>
      <w:lvlJc w:val="right"/>
      <w:pPr>
        <w:ind w:left="6696" w:hanging="180"/>
      </w:pPr>
    </w:lvl>
    <w:lvl w:ilvl="6" w:tplc="FFFFFFFF" w:tentative="1">
      <w:start w:val="1"/>
      <w:numFmt w:val="decimal"/>
      <w:lvlText w:val="%7."/>
      <w:lvlJc w:val="left"/>
      <w:pPr>
        <w:ind w:left="7416" w:hanging="360"/>
      </w:pPr>
    </w:lvl>
    <w:lvl w:ilvl="7" w:tplc="FFFFFFFF" w:tentative="1">
      <w:start w:val="1"/>
      <w:numFmt w:val="lowerLetter"/>
      <w:lvlText w:val="%8."/>
      <w:lvlJc w:val="left"/>
      <w:pPr>
        <w:ind w:left="8136" w:hanging="360"/>
      </w:pPr>
    </w:lvl>
    <w:lvl w:ilvl="8" w:tplc="FFFFFFFF" w:tentative="1">
      <w:start w:val="1"/>
      <w:numFmt w:val="lowerRoman"/>
      <w:lvlText w:val="%9."/>
      <w:lvlJc w:val="right"/>
      <w:pPr>
        <w:ind w:left="8856" w:hanging="180"/>
      </w:pPr>
    </w:lvl>
  </w:abstractNum>
  <w:abstractNum w:abstractNumId="16" w15:restartNumberingAfterBreak="0">
    <w:nsid w:val="5A6768C4"/>
    <w:multiLevelType w:val="hybridMultilevel"/>
    <w:tmpl w:val="520282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F0E791C"/>
    <w:multiLevelType w:val="hybridMultilevel"/>
    <w:tmpl w:val="E272EE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C055680"/>
    <w:multiLevelType w:val="hybridMultilevel"/>
    <w:tmpl w:val="AC4C6FF4"/>
    <w:lvl w:ilvl="0" w:tplc="55E6D4AA">
      <w:start w:val="1"/>
      <w:numFmt w:val="bullet"/>
      <w:pStyle w:val="MRPA1aiBullet"/>
      <w:lvlText w:val=""/>
      <w:lvlJc w:val="left"/>
      <w:pPr>
        <w:ind w:left="1872" w:hanging="360"/>
      </w:pPr>
      <w:rPr>
        <w:rFonts w:ascii="Symbol" w:hAnsi="Symbol" w:hint="default"/>
      </w:rPr>
    </w:lvl>
    <w:lvl w:ilvl="1" w:tplc="04090003">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start w:val="1"/>
      <w:numFmt w:val="bullet"/>
      <w:lvlText w:val=""/>
      <w:lvlJc w:val="left"/>
      <w:pPr>
        <w:ind w:left="5472" w:hanging="360"/>
      </w:pPr>
      <w:rPr>
        <w:rFonts w:ascii="Wingdings" w:hAnsi="Wingdings" w:hint="default"/>
      </w:rPr>
    </w:lvl>
    <w:lvl w:ilvl="6" w:tplc="04090001">
      <w:start w:val="1"/>
      <w:numFmt w:val="bullet"/>
      <w:pStyle w:val="MRPA1ai1aia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9" w15:restartNumberingAfterBreak="0">
    <w:nsid w:val="6CB2403D"/>
    <w:multiLevelType w:val="hybridMultilevel"/>
    <w:tmpl w:val="520282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43D13A0"/>
    <w:multiLevelType w:val="hybridMultilevel"/>
    <w:tmpl w:val="D9B21A42"/>
    <w:lvl w:ilvl="0" w:tplc="BEF07DCE">
      <w:start w:val="1"/>
      <w:numFmt w:val="lowerRoman"/>
      <w:pStyle w:val="MRPA1ai1ai"/>
      <w:lvlText w:val="(%1)"/>
      <w:lvlJc w:val="left"/>
      <w:pPr>
        <w:ind w:left="2592" w:hanging="360"/>
      </w:pPr>
      <w:rPr>
        <w:rFonts w:hint="default"/>
      </w:rPr>
    </w:lvl>
    <w:lvl w:ilvl="1" w:tplc="04090019" w:tentative="1">
      <w:start w:val="1"/>
      <w:numFmt w:val="lowerLetter"/>
      <w:lvlText w:val="%2."/>
      <w:lvlJc w:val="left"/>
      <w:pPr>
        <w:ind w:left="3312" w:hanging="360"/>
      </w:pPr>
    </w:lvl>
    <w:lvl w:ilvl="2" w:tplc="0409001B" w:tentative="1">
      <w:start w:val="1"/>
      <w:numFmt w:val="lowerRoman"/>
      <w:lvlText w:val="%3."/>
      <w:lvlJc w:val="right"/>
      <w:pPr>
        <w:ind w:left="4032" w:hanging="180"/>
      </w:pPr>
    </w:lvl>
    <w:lvl w:ilvl="3" w:tplc="0409000F" w:tentative="1">
      <w:start w:val="1"/>
      <w:numFmt w:val="decimal"/>
      <w:lvlText w:val="%4."/>
      <w:lvlJc w:val="left"/>
      <w:pPr>
        <w:ind w:left="4752" w:hanging="360"/>
      </w:pPr>
    </w:lvl>
    <w:lvl w:ilvl="4" w:tplc="04090019" w:tentative="1">
      <w:start w:val="1"/>
      <w:numFmt w:val="lowerLetter"/>
      <w:lvlText w:val="%5."/>
      <w:lvlJc w:val="left"/>
      <w:pPr>
        <w:ind w:left="5472" w:hanging="360"/>
      </w:pPr>
    </w:lvl>
    <w:lvl w:ilvl="5" w:tplc="0409001B" w:tentative="1">
      <w:start w:val="1"/>
      <w:numFmt w:val="lowerRoman"/>
      <w:lvlText w:val="%6."/>
      <w:lvlJc w:val="right"/>
      <w:pPr>
        <w:ind w:left="6192" w:hanging="180"/>
      </w:pPr>
    </w:lvl>
    <w:lvl w:ilvl="6" w:tplc="0409000F" w:tentative="1">
      <w:start w:val="1"/>
      <w:numFmt w:val="decimal"/>
      <w:lvlText w:val="%7."/>
      <w:lvlJc w:val="left"/>
      <w:pPr>
        <w:ind w:left="6912" w:hanging="360"/>
      </w:pPr>
    </w:lvl>
    <w:lvl w:ilvl="7" w:tplc="04090019" w:tentative="1">
      <w:start w:val="1"/>
      <w:numFmt w:val="lowerLetter"/>
      <w:lvlText w:val="%8."/>
      <w:lvlJc w:val="left"/>
      <w:pPr>
        <w:ind w:left="7632" w:hanging="360"/>
      </w:pPr>
    </w:lvl>
    <w:lvl w:ilvl="8" w:tplc="0409001B" w:tentative="1">
      <w:start w:val="1"/>
      <w:numFmt w:val="lowerRoman"/>
      <w:lvlText w:val="%9."/>
      <w:lvlJc w:val="right"/>
      <w:pPr>
        <w:ind w:left="8352" w:hanging="180"/>
      </w:pPr>
    </w:lvl>
  </w:abstractNum>
  <w:num w:numId="1" w16cid:durableId="1880701624">
    <w:abstractNumId w:val="14"/>
  </w:num>
  <w:num w:numId="2" w16cid:durableId="701708911">
    <w:abstractNumId w:val="19"/>
  </w:num>
  <w:num w:numId="3" w16cid:durableId="1613130930">
    <w:abstractNumId w:val="8"/>
  </w:num>
  <w:num w:numId="4" w16cid:durableId="806555642">
    <w:abstractNumId w:val="6"/>
  </w:num>
  <w:num w:numId="5" w16cid:durableId="1733624452">
    <w:abstractNumId w:val="16"/>
  </w:num>
  <w:num w:numId="6" w16cid:durableId="1876186610">
    <w:abstractNumId w:val="7"/>
  </w:num>
  <w:num w:numId="7" w16cid:durableId="4661238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66343635">
    <w:abstractNumId w:val="17"/>
  </w:num>
  <w:num w:numId="9" w16cid:durableId="1949583380">
    <w:abstractNumId w:val="18"/>
  </w:num>
  <w:num w:numId="10" w16cid:durableId="1706325237">
    <w:abstractNumId w:val="12"/>
  </w:num>
  <w:num w:numId="11" w16cid:durableId="458761757">
    <w:abstractNumId w:val="12"/>
    <w:lvlOverride w:ilvl="0">
      <w:startOverride w:val="3"/>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3301647">
    <w:abstractNumId w:val="15"/>
  </w:num>
  <w:num w:numId="13" w16cid:durableId="1495295446">
    <w:abstractNumId w:val="15"/>
    <w:lvlOverride w:ilvl="0">
      <w:startOverride w:val="1"/>
    </w:lvlOverride>
  </w:num>
  <w:num w:numId="14" w16cid:durableId="25910248">
    <w:abstractNumId w:val="15"/>
    <w:lvlOverride w:ilvl="0">
      <w:startOverride w:val="1"/>
    </w:lvlOverride>
  </w:num>
  <w:num w:numId="15" w16cid:durableId="157231919">
    <w:abstractNumId w:val="15"/>
    <w:lvlOverride w:ilvl="0">
      <w:startOverride w:val="1"/>
    </w:lvlOverride>
  </w:num>
  <w:num w:numId="16" w16cid:durableId="46271406">
    <w:abstractNumId w:val="2"/>
  </w:num>
  <w:num w:numId="17" w16cid:durableId="1201741098">
    <w:abstractNumId w:val="1"/>
  </w:num>
  <w:num w:numId="18" w16cid:durableId="422267183">
    <w:abstractNumId w:val="10"/>
  </w:num>
  <w:num w:numId="19" w16cid:durableId="1572538229">
    <w:abstractNumId w:val="9"/>
  </w:num>
  <w:num w:numId="20" w16cid:durableId="1435857069">
    <w:abstractNumId w:val="20"/>
  </w:num>
  <w:num w:numId="21" w16cid:durableId="543833042">
    <w:abstractNumId w:val="20"/>
    <w:lvlOverride w:ilvl="0">
      <w:startOverride w:val="1"/>
    </w:lvlOverride>
  </w:num>
  <w:num w:numId="22" w16cid:durableId="332074146">
    <w:abstractNumId w:val="15"/>
  </w:num>
  <w:num w:numId="23" w16cid:durableId="2063677109">
    <w:abstractNumId w:val="15"/>
  </w:num>
  <w:num w:numId="24" w16cid:durableId="2092040751">
    <w:abstractNumId w:val="4"/>
  </w:num>
  <w:num w:numId="25" w16cid:durableId="10955200">
    <w:abstractNumId w:val="13"/>
  </w:num>
  <w:num w:numId="26" w16cid:durableId="1742825939">
    <w:abstractNumId w:val="5"/>
  </w:num>
  <w:num w:numId="27" w16cid:durableId="16547931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051600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06244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CB0121"/>
    <w:rsid w:val="00001B2D"/>
    <w:rsid w:val="000023F9"/>
    <w:rsid w:val="00002B1C"/>
    <w:rsid w:val="00004653"/>
    <w:rsid w:val="00005151"/>
    <w:rsid w:val="00005799"/>
    <w:rsid w:val="00005C1F"/>
    <w:rsid w:val="000069C4"/>
    <w:rsid w:val="00006DBD"/>
    <w:rsid w:val="000075E9"/>
    <w:rsid w:val="00007E52"/>
    <w:rsid w:val="0001031C"/>
    <w:rsid w:val="0001061D"/>
    <w:rsid w:val="000106FA"/>
    <w:rsid w:val="00010A0C"/>
    <w:rsid w:val="00010AFA"/>
    <w:rsid w:val="00010C93"/>
    <w:rsid w:val="00010CD9"/>
    <w:rsid w:val="00012044"/>
    <w:rsid w:val="000130CC"/>
    <w:rsid w:val="0001591C"/>
    <w:rsid w:val="00015F82"/>
    <w:rsid w:val="000177FC"/>
    <w:rsid w:val="000206C7"/>
    <w:rsid w:val="00020DFD"/>
    <w:rsid w:val="00021310"/>
    <w:rsid w:val="00021406"/>
    <w:rsid w:val="00021B4A"/>
    <w:rsid w:val="00022525"/>
    <w:rsid w:val="000227CA"/>
    <w:rsid w:val="000229D7"/>
    <w:rsid w:val="000235D2"/>
    <w:rsid w:val="00023D4D"/>
    <w:rsid w:val="00023DF5"/>
    <w:rsid w:val="00023E5B"/>
    <w:rsid w:val="00024386"/>
    <w:rsid w:val="00025036"/>
    <w:rsid w:val="000252DB"/>
    <w:rsid w:val="0002565A"/>
    <w:rsid w:val="00025D1C"/>
    <w:rsid w:val="000270E0"/>
    <w:rsid w:val="00027623"/>
    <w:rsid w:val="00027A44"/>
    <w:rsid w:val="00027A9C"/>
    <w:rsid w:val="00030F17"/>
    <w:rsid w:val="000312DF"/>
    <w:rsid w:val="00031376"/>
    <w:rsid w:val="00032198"/>
    <w:rsid w:val="0003237F"/>
    <w:rsid w:val="000325E1"/>
    <w:rsid w:val="000327A0"/>
    <w:rsid w:val="00032A1F"/>
    <w:rsid w:val="00032A71"/>
    <w:rsid w:val="000336C1"/>
    <w:rsid w:val="00033BD7"/>
    <w:rsid w:val="00033F07"/>
    <w:rsid w:val="000340A3"/>
    <w:rsid w:val="00034EB1"/>
    <w:rsid w:val="00035862"/>
    <w:rsid w:val="00035A8F"/>
    <w:rsid w:val="00035C6E"/>
    <w:rsid w:val="00035DE7"/>
    <w:rsid w:val="00036319"/>
    <w:rsid w:val="00036A2F"/>
    <w:rsid w:val="00036A72"/>
    <w:rsid w:val="00036C2A"/>
    <w:rsid w:val="00036DAC"/>
    <w:rsid w:val="0003746F"/>
    <w:rsid w:val="00037DE9"/>
    <w:rsid w:val="00040086"/>
    <w:rsid w:val="00040699"/>
    <w:rsid w:val="00041A96"/>
    <w:rsid w:val="00042028"/>
    <w:rsid w:val="0004220A"/>
    <w:rsid w:val="00042756"/>
    <w:rsid w:val="00044F26"/>
    <w:rsid w:val="0004501E"/>
    <w:rsid w:val="0004507C"/>
    <w:rsid w:val="000469FA"/>
    <w:rsid w:val="0004703B"/>
    <w:rsid w:val="000474BE"/>
    <w:rsid w:val="00050441"/>
    <w:rsid w:val="0005083F"/>
    <w:rsid w:val="00051D58"/>
    <w:rsid w:val="0005241C"/>
    <w:rsid w:val="00052800"/>
    <w:rsid w:val="0005282B"/>
    <w:rsid w:val="00052B27"/>
    <w:rsid w:val="00052BA9"/>
    <w:rsid w:val="00052C06"/>
    <w:rsid w:val="000533DA"/>
    <w:rsid w:val="0005398E"/>
    <w:rsid w:val="00053ED5"/>
    <w:rsid w:val="00053F7B"/>
    <w:rsid w:val="000546F1"/>
    <w:rsid w:val="00054B8B"/>
    <w:rsid w:val="000551A8"/>
    <w:rsid w:val="00055298"/>
    <w:rsid w:val="00055C37"/>
    <w:rsid w:val="000561DD"/>
    <w:rsid w:val="0005642C"/>
    <w:rsid w:val="000569F5"/>
    <w:rsid w:val="00056C7E"/>
    <w:rsid w:val="0005708C"/>
    <w:rsid w:val="00057A6C"/>
    <w:rsid w:val="00060356"/>
    <w:rsid w:val="00060763"/>
    <w:rsid w:val="00060878"/>
    <w:rsid w:val="00060FEF"/>
    <w:rsid w:val="00061517"/>
    <w:rsid w:val="00061B28"/>
    <w:rsid w:val="00063354"/>
    <w:rsid w:val="000645AB"/>
    <w:rsid w:val="0006463E"/>
    <w:rsid w:val="000649DB"/>
    <w:rsid w:val="000658D0"/>
    <w:rsid w:val="00065C0E"/>
    <w:rsid w:val="00066E2B"/>
    <w:rsid w:val="00067946"/>
    <w:rsid w:val="000717FB"/>
    <w:rsid w:val="00072918"/>
    <w:rsid w:val="00072AA1"/>
    <w:rsid w:val="00072C4E"/>
    <w:rsid w:val="00072FFD"/>
    <w:rsid w:val="00073574"/>
    <w:rsid w:val="00073E3B"/>
    <w:rsid w:val="00074096"/>
    <w:rsid w:val="00074192"/>
    <w:rsid w:val="000752D6"/>
    <w:rsid w:val="00075549"/>
    <w:rsid w:val="00075B6F"/>
    <w:rsid w:val="00076D36"/>
    <w:rsid w:val="00076F56"/>
    <w:rsid w:val="000770BA"/>
    <w:rsid w:val="0007742C"/>
    <w:rsid w:val="00080838"/>
    <w:rsid w:val="00080BBF"/>
    <w:rsid w:val="0008126F"/>
    <w:rsid w:val="00081361"/>
    <w:rsid w:val="00081447"/>
    <w:rsid w:val="0008153D"/>
    <w:rsid w:val="000828F9"/>
    <w:rsid w:val="00082D1B"/>
    <w:rsid w:val="000834A3"/>
    <w:rsid w:val="0008354E"/>
    <w:rsid w:val="00084A3E"/>
    <w:rsid w:val="00085C3D"/>
    <w:rsid w:val="00085D3B"/>
    <w:rsid w:val="0008633A"/>
    <w:rsid w:val="000863AB"/>
    <w:rsid w:val="000866DD"/>
    <w:rsid w:val="0008687F"/>
    <w:rsid w:val="00086BCC"/>
    <w:rsid w:val="00086E73"/>
    <w:rsid w:val="000900B8"/>
    <w:rsid w:val="00090418"/>
    <w:rsid w:val="00090E9B"/>
    <w:rsid w:val="000911D7"/>
    <w:rsid w:val="000911EF"/>
    <w:rsid w:val="000915A4"/>
    <w:rsid w:val="000924BA"/>
    <w:rsid w:val="0009366E"/>
    <w:rsid w:val="000949AB"/>
    <w:rsid w:val="00094CCD"/>
    <w:rsid w:val="00094D64"/>
    <w:rsid w:val="000965E2"/>
    <w:rsid w:val="000969C6"/>
    <w:rsid w:val="0009711F"/>
    <w:rsid w:val="0009738B"/>
    <w:rsid w:val="00097B57"/>
    <w:rsid w:val="000A0756"/>
    <w:rsid w:val="000A07FD"/>
    <w:rsid w:val="000A10FE"/>
    <w:rsid w:val="000A1717"/>
    <w:rsid w:val="000A17C0"/>
    <w:rsid w:val="000A4013"/>
    <w:rsid w:val="000A4115"/>
    <w:rsid w:val="000A573F"/>
    <w:rsid w:val="000A6116"/>
    <w:rsid w:val="000A64FF"/>
    <w:rsid w:val="000A6623"/>
    <w:rsid w:val="000A673F"/>
    <w:rsid w:val="000A6C06"/>
    <w:rsid w:val="000A6FD2"/>
    <w:rsid w:val="000A75E3"/>
    <w:rsid w:val="000A7824"/>
    <w:rsid w:val="000A7A1C"/>
    <w:rsid w:val="000B05F4"/>
    <w:rsid w:val="000B0B61"/>
    <w:rsid w:val="000B12A2"/>
    <w:rsid w:val="000B1A3C"/>
    <w:rsid w:val="000B2171"/>
    <w:rsid w:val="000B2FDC"/>
    <w:rsid w:val="000B3025"/>
    <w:rsid w:val="000B3200"/>
    <w:rsid w:val="000B333E"/>
    <w:rsid w:val="000B407D"/>
    <w:rsid w:val="000B445D"/>
    <w:rsid w:val="000B45FC"/>
    <w:rsid w:val="000B4960"/>
    <w:rsid w:val="000B507A"/>
    <w:rsid w:val="000B5673"/>
    <w:rsid w:val="000B5829"/>
    <w:rsid w:val="000B67CE"/>
    <w:rsid w:val="000B7D29"/>
    <w:rsid w:val="000C1402"/>
    <w:rsid w:val="000C176C"/>
    <w:rsid w:val="000C2B79"/>
    <w:rsid w:val="000C5178"/>
    <w:rsid w:val="000C5762"/>
    <w:rsid w:val="000C651B"/>
    <w:rsid w:val="000C79F9"/>
    <w:rsid w:val="000D0A6C"/>
    <w:rsid w:val="000D0C06"/>
    <w:rsid w:val="000D0DD5"/>
    <w:rsid w:val="000D0E9B"/>
    <w:rsid w:val="000D0F9F"/>
    <w:rsid w:val="000D150D"/>
    <w:rsid w:val="000D1785"/>
    <w:rsid w:val="000D2489"/>
    <w:rsid w:val="000D2B66"/>
    <w:rsid w:val="000D430F"/>
    <w:rsid w:val="000D4491"/>
    <w:rsid w:val="000D4911"/>
    <w:rsid w:val="000D6042"/>
    <w:rsid w:val="000D6126"/>
    <w:rsid w:val="000D6B7D"/>
    <w:rsid w:val="000E093C"/>
    <w:rsid w:val="000E0A7C"/>
    <w:rsid w:val="000E0D23"/>
    <w:rsid w:val="000E152F"/>
    <w:rsid w:val="000E15FE"/>
    <w:rsid w:val="000E1B4C"/>
    <w:rsid w:val="000E1BAC"/>
    <w:rsid w:val="000E1E2B"/>
    <w:rsid w:val="000E1EF0"/>
    <w:rsid w:val="000E30D1"/>
    <w:rsid w:val="000E33AD"/>
    <w:rsid w:val="000E3B97"/>
    <w:rsid w:val="000E403A"/>
    <w:rsid w:val="000E418F"/>
    <w:rsid w:val="000E4630"/>
    <w:rsid w:val="000E4660"/>
    <w:rsid w:val="000E4E26"/>
    <w:rsid w:val="000E4F6F"/>
    <w:rsid w:val="000E50FD"/>
    <w:rsid w:val="000E5250"/>
    <w:rsid w:val="000E5A49"/>
    <w:rsid w:val="000E689F"/>
    <w:rsid w:val="000E77FA"/>
    <w:rsid w:val="000F0804"/>
    <w:rsid w:val="000F2A6F"/>
    <w:rsid w:val="000F2B48"/>
    <w:rsid w:val="000F2BC3"/>
    <w:rsid w:val="000F3441"/>
    <w:rsid w:val="000F4D44"/>
    <w:rsid w:val="000F54DB"/>
    <w:rsid w:val="000F5A59"/>
    <w:rsid w:val="000F6EA4"/>
    <w:rsid w:val="000F741B"/>
    <w:rsid w:val="000F7FDF"/>
    <w:rsid w:val="001009A5"/>
    <w:rsid w:val="0010104E"/>
    <w:rsid w:val="001015FA"/>
    <w:rsid w:val="001016F0"/>
    <w:rsid w:val="00102648"/>
    <w:rsid w:val="00102757"/>
    <w:rsid w:val="00102C2C"/>
    <w:rsid w:val="001031A5"/>
    <w:rsid w:val="00103DD5"/>
    <w:rsid w:val="00103E28"/>
    <w:rsid w:val="00103FFB"/>
    <w:rsid w:val="00104917"/>
    <w:rsid w:val="001054CB"/>
    <w:rsid w:val="00105800"/>
    <w:rsid w:val="00105B7D"/>
    <w:rsid w:val="00106280"/>
    <w:rsid w:val="001065D5"/>
    <w:rsid w:val="001066EA"/>
    <w:rsid w:val="00106949"/>
    <w:rsid w:val="00106D47"/>
    <w:rsid w:val="00106EE9"/>
    <w:rsid w:val="00106FB0"/>
    <w:rsid w:val="001070B4"/>
    <w:rsid w:val="0010794B"/>
    <w:rsid w:val="001101A0"/>
    <w:rsid w:val="0011032B"/>
    <w:rsid w:val="00111174"/>
    <w:rsid w:val="0011258A"/>
    <w:rsid w:val="001128DD"/>
    <w:rsid w:val="00113386"/>
    <w:rsid w:val="00113CE8"/>
    <w:rsid w:val="001140CF"/>
    <w:rsid w:val="00114C14"/>
    <w:rsid w:val="00115048"/>
    <w:rsid w:val="001154E7"/>
    <w:rsid w:val="0011664A"/>
    <w:rsid w:val="00116ABA"/>
    <w:rsid w:val="0011782A"/>
    <w:rsid w:val="00120896"/>
    <w:rsid w:val="00120AB2"/>
    <w:rsid w:val="00121154"/>
    <w:rsid w:val="001217BE"/>
    <w:rsid w:val="001219A8"/>
    <w:rsid w:val="00122218"/>
    <w:rsid w:val="001224D8"/>
    <w:rsid w:val="00123251"/>
    <w:rsid w:val="00123467"/>
    <w:rsid w:val="00124700"/>
    <w:rsid w:val="00124799"/>
    <w:rsid w:val="00124AB4"/>
    <w:rsid w:val="001262A4"/>
    <w:rsid w:val="00127485"/>
    <w:rsid w:val="00130C5A"/>
    <w:rsid w:val="001313E0"/>
    <w:rsid w:val="00131CB0"/>
    <w:rsid w:val="00132076"/>
    <w:rsid w:val="0013244E"/>
    <w:rsid w:val="00132FA8"/>
    <w:rsid w:val="00133C62"/>
    <w:rsid w:val="00135064"/>
    <w:rsid w:val="00135165"/>
    <w:rsid w:val="0013565B"/>
    <w:rsid w:val="001362E1"/>
    <w:rsid w:val="0013654A"/>
    <w:rsid w:val="0013711A"/>
    <w:rsid w:val="001375B4"/>
    <w:rsid w:val="001410E7"/>
    <w:rsid w:val="00141CF4"/>
    <w:rsid w:val="0014250A"/>
    <w:rsid w:val="00142CBD"/>
    <w:rsid w:val="00143413"/>
    <w:rsid w:val="00143843"/>
    <w:rsid w:val="00144400"/>
    <w:rsid w:val="001447A0"/>
    <w:rsid w:val="00144BC3"/>
    <w:rsid w:val="00144E3D"/>
    <w:rsid w:val="0014585F"/>
    <w:rsid w:val="00146520"/>
    <w:rsid w:val="00146645"/>
    <w:rsid w:val="0014721A"/>
    <w:rsid w:val="00147D8A"/>
    <w:rsid w:val="00150097"/>
    <w:rsid w:val="00150CBE"/>
    <w:rsid w:val="00151ED2"/>
    <w:rsid w:val="00151FAF"/>
    <w:rsid w:val="001525D5"/>
    <w:rsid w:val="001526D0"/>
    <w:rsid w:val="001528CA"/>
    <w:rsid w:val="00152C9B"/>
    <w:rsid w:val="00153CB4"/>
    <w:rsid w:val="00153D90"/>
    <w:rsid w:val="00154A6D"/>
    <w:rsid w:val="00154BA3"/>
    <w:rsid w:val="00154CDF"/>
    <w:rsid w:val="00154DBC"/>
    <w:rsid w:val="0015512D"/>
    <w:rsid w:val="00155FBD"/>
    <w:rsid w:val="00156A3D"/>
    <w:rsid w:val="00156F2B"/>
    <w:rsid w:val="001570D0"/>
    <w:rsid w:val="0016038A"/>
    <w:rsid w:val="00160E08"/>
    <w:rsid w:val="00161753"/>
    <w:rsid w:val="00161E47"/>
    <w:rsid w:val="00162109"/>
    <w:rsid w:val="001627A6"/>
    <w:rsid w:val="001627E0"/>
    <w:rsid w:val="001628E6"/>
    <w:rsid w:val="00162FC2"/>
    <w:rsid w:val="0016306D"/>
    <w:rsid w:val="00163633"/>
    <w:rsid w:val="0016372D"/>
    <w:rsid w:val="00164298"/>
    <w:rsid w:val="00164C8A"/>
    <w:rsid w:val="001655BA"/>
    <w:rsid w:val="001655E3"/>
    <w:rsid w:val="001658A2"/>
    <w:rsid w:val="00165D43"/>
    <w:rsid w:val="00165FBC"/>
    <w:rsid w:val="00166076"/>
    <w:rsid w:val="001664B6"/>
    <w:rsid w:val="0016657D"/>
    <w:rsid w:val="001674B6"/>
    <w:rsid w:val="001674B7"/>
    <w:rsid w:val="0016756D"/>
    <w:rsid w:val="00167608"/>
    <w:rsid w:val="001701CB"/>
    <w:rsid w:val="001709E3"/>
    <w:rsid w:val="00170DF1"/>
    <w:rsid w:val="00170EDD"/>
    <w:rsid w:val="001710A2"/>
    <w:rsid w:val="001712DB"/>
    <w:rsid w:val="001715F2"/>
    <w:rsid w:val="00171B72"/>
    <w:rsid w:val="0017240B"/>
    <w:rsid w:val="001731AE"/>
    <w:rsid w:val="00173346"/>
    <w:rsid w:val="001737D9"/>
    <w:rsid w:val="00173DA9"/>
    <w:rsid w:val="00173E8C"/>
    <w:rsid w:val="0017504B"/>
    <w:rsid w:val="00175A6B"/>
    <w:rsid w:val="00175A9D"/>
    <w:rsid w:val="00176635"/>
    <w:rsid w:val="001769AB"/>
    <w:rsid w:val="0017733B"/>
    <w:rsid w:val="00180384"/>
    <w:rsid w:val="001814B9"/>
    <w:rsid w:val="00181888"/>
    <w:rsid w:val="00181CC9"/>
    <w:rsid w:val="001829FC"/>
    <w:rsid w:val="00182F2E"/>
    <w:rsid w:val="001832DE"/>
    <w:rsid w:val="001835C1"/>
    <w:rsid w:val="001846D2"/>
    <w:rsid w:val="00186F9D"/>
    <w:rsid w:val="001871A1"/>
    <w:rsid w:val="001877B2"/>
    <w:rsid w:val="001877DF"/>
    <w:rsid w:val="00187E76"/>
    <w:rsid w:val="00190A3A"/>
    <w:rsid w:val="00190CDD"/>
    <w:rsid w:val="00191C77"/>
    <w:rsid w:val="00191EEA"/>
    <w:rsid w:val="00192FE2"/>
    <w:rsid w:val="0019334F"/>
    <w:rsid w:val="00193396"/>
    <w:rsid w:val="00193781"/>
    <w:rsid w:val="00193BC9"/>
    <w:rsid w:val="0019476D"/>
    <w:rsid w:val="001948EB"/>
    <w:rsid w:val="00194919"/>
    <w:rsid w:val="00194A55"/>
    <w:rsid w:val="001951D5"/>
    <w:rsid w:val="001952E7"/>
    <w:rsid w:val="00195A95"/>
    <w:rsid w:val="001964AA"/>
    <w:rsid w:val="001966A0"/>
    <w:rsid w:val="0019672E"/>
    <w:rsid w:val="0019674A"/>
    <w:rsid w:val="00196B21"/>
    <w:rsid w:val="00196DE1"/>
    <w:rsid w:val="00197183"/>
    <w:rsid w:val="001A03C0"/>
    <w:rsid w:val="001A085A"/>
    <w:rsid w:val="001A0FAF"/>
    <w:rsid w:val="001A1889"/>
    <w:rsid w:val="001A2577"/>
    <w:rsid w:val="001A296A"/>
    <w:rsid w:val="001A2B4A"/>
    <w:rsid w:val="001A2DC7"/>
    <w:rsid w:val="001A362A"/>
    <w:rsid w:val="001A37A2"/>
    <w:rsid w:val="001A4299"/>
    <w:rsid w:val="001A4836"/>
    <w:rsid w:val="001A5A64"/>
    <w:rsid w:val="001A6485"/>
    <w:rsid w:val="001A6D1C"/>
    <w:rsid w:val="001A7BFC"/>
    <w:rsid w:val="001B10BF"/>
    <w:rsid w:val="001B1AAF"/>
    <w:rsid w:val="001B2B42"/>
    <w:rsid w:val="001B37CF"/>
    <w:rsid w:val="001B4C88"/>
    <w:rsid w:val="001B511F"/>
    <w:rsid w:val="001B51DB"/>
    <w:rsid w:val="001B55B6"/>
    <w:rsid w:val="001B58CE"/>
    <w:rsid w:val="001B6347"/>
    <w:rsid w:val="001B660F"/>
    <w:rsid w:val="001B688E"/>
    <w:rsid w:val="001B7030"/>
    <w:rsid w:val="001B7180"/>
    <w:rsid w:val="001B7C63"/>
    <w:rsid w:val="001C00BF"/>
    <w:rsid w:val="001C1875"/>
    <w:rsid w:val="001C1BE9"/>
    <w:rsid w:val="001C27A9"/>
    <w:rsid w:val="001C28B5"/>
    <w:rsid w:val="001C291C"/>
    <w:rsid w:val="001C314D"/>
    <w:rsid w:val="001C31A0"/>
    <w:rsid w:val="001C34B3"/>
    <w:rsid w:val="001C3586"/>
    <w:rsid w:val="001C375F"/>
    <w:rsid w:val="001C4107"/>
    <w:rsid w:val="001C4C5D"/>
    <w:rsid w:val="001C5FA7"/>
    <w:rsid w:val="001C6CF7"/>
    <w:rsid w:val="001C70D3"/>
    <w:rsid w:val="001C7377"/>
    <w:rsid w:val="001D0054"/>
    <w:rsid w:val="001D0573"/>
    <w:rsid w:val="001D0AD7"/>
    <w:rsid w:val="001D11D9"/>
    <w:rsid w:val="001D132A"/>
    <w:rsid w:val="001D15CD"/>
    <w:rsid w:val="001D1A89"/>
    <w:rsid w:val="001D1AA1"/>
    <w:rsid w:val="001D24A9"/>
    <w:rsid w:val="001D28EE"/>
    <w:rsid w:val="001D29BF"/>
    <w:rsid w:val="001D2E6B"/>
    <w:rsid w:val="001D369B"/>
    <w:rsid w:val="001D3F0A"/>
    <w:rsid w:val="001D40CF"/>
    <w:rsid w:val="001D42D2"/>
    <w:rsid w:val="001D5464"/>
    <w:rsid w:val="001D69C9"/>
    <w:rsid w:val="001D6ED6"/>
    <w:rsid w:val="001D7AB1"/>
    <w:rsid w:val="001E04C9"/>
    <w:rsid w:val="001E2065"/>
    <w:rsid w:val="001E20C3"/>
    <w:rsid w:val="001E2906"/>
    <w:rsid w:val="001E2990"/>
    <w:rsid w:val="001E2E34"/>
    <w:rsid w:val="001E3C93"/>
    <w:rsid w:val="001E4442"/>
    <w:rsid w:val="001E4C66"/>
    <w:rsid w:val="001E4DF4"/>
    <w:rsid w:val="001E51E9"/>
    <w:rsid w:val="001E5A54"/>
    <w:rsid w:val="001E65AB"/>
    <w:rsid w:val="001E68FA"/>
    <w:rsid w:val="001E6D77"/>
    <w:rsid w:val="001E6F14"/>
    <w:rsid w:val="001E7A4C"/>
    <w:rsid w:val="001F0C1F"/>
    <w:rsid w:val="001F155A"/>
    <w:rsid w:val="001F1B86"/>
    <w:rsid w:val="001F283C"/>
    <w:rsid w:val="001F2F3E"/>
    <w:rsid w:val="001F2F6A"/>
    <w:rsid w:val="001F38F5"/>
    <w:rsid w:val="001F4291"/>
    <w:rsid w:val="001F45AA"/>
    <w:rsid w:val="001F4900"/>
    <w:rsid w:val="001F5488"/>
    <w:rsid w:val="001F5F4B"/>
    <w:rsid w:val="001F6278"/>
    <w:rsid w:val="001F6444"/>
    <w:rsid w:val="001F6F64"/>
    <w:rsid w:val="00200689"/>
    <w:rsid w:val="00200954"/>
    <w:rsid w:val="002028ED"/>
    <w:rsid w:val="00202983"/>
    <w:rsid w:val="00202CCD"/>
    <w:rsid w:val="00202D71"/>
    <w:rsid w:val="00202E2B"/>
    <w:rsid w:val="00203314"/>
    <w:rsid w:val="00203E4C"/>
    <w:rsid w:val="00203E50"/>
    <w:rsid w:val="002041A8"/>
    <w:rsid w:val="002059BD"/>
    <w:rsid w:val="00205E44"/>
    <w:rsid w:val="00206674"/>
    <w:rsid w:val="00206E6C"/>
    <w:rsid w:val="0021003D"/>
    <w:rsid w:val="00210233"/>
    <w:rsid w:val="0021068F"/>
    <w:rsid w:val="002107EA"/>
    <w:rsid w:val="00210B0F"/>
    <w:rsid w:val="00211B8D"/>
    <w:rsid w:val="00212AEC"/>
    <w:rsid w:val="00213420"/>
    <w:rsid w:val="00213503"/>
    <w:rsid w:val="002135B0"/>
    <w:rsid w:val="00213761"/>
    <w:rsid w:val="002148F3"/>
    <w:rsid w:val="00214984"/>
    <w:rsid w:val="00214D25"/>
    <w:rsid w:val="0021639E"/>
    <w:rsid w:val="00216CFC"/>
    <w:rsid w:val="002170F4"/>
    <w:rsid w:val="00217CB7"/>
    <w:rsid w:val="00217ED4"/>
    <w:rsid w:val="00220E47"/>
    <w:rsid w:val="0022149D"/>
    <w:rsid w:val="00221B4E"/>
    <w:rsid w:val="00221DE0"/>
    <w:rsid w:val="002221F3"/>
    <w:rsid w:val="002244C0"/>
    <w:rsid w:val="002247E2"/>
    <w:rsid w:val="0022536B"/>
    <w:rsid w:val="00225EDE"/>
    <w:rsid w:val="00226122"/>
    <w:rsid w:val="002268AE"/>
    <w:rsid w:val="00227962"/>
    <w:rsid w:val="00227D88"/>
    <w:rsid w:val="0023001C"/>
    <w:rsid w:val="00230353"/>
    <w:rsid w:val="00230873"/>
    <w:rsid w:val="00230C6F"/>
    <w:rsid w:val="00230EC5"/>
    <w:rsid w:val="002314B5"/>
    <w:rsid w:val="00232EE1"/>
    <w:rsid w:val="00233C58"/>
    <w:rsid w:val="00233D23"/>
    <w:rsid w:val="00233F29"/>
    <w:rsid w:val="0023415E"/>
    <w:rsid w:val="002341D9"/>
    <w:rsid w:val="00234299"/>
    <w:rsid w:val="00234D25"/>
    <w:rsid w:val="00235E75"/>
    <w:rsid w:val="0023649D"/>
    <w:rsid w:val="00236E35"/>
    <w:rsid w:val="0023719A"/>
    <w:rsid w:val="002406C9"/>
    <w:rsid w:val="00240CA9"/>
    <w:rsid w:val="0024191B"/>
    <w:rsid w:val="0024355B"/>
    <w:rsid w:val="002436FD"/>
    <w:rsid w:val="0024385C"/>
    <w:rsid w:val="002438B2"/>
    <w:rsid w:val="00243AC2"/>
    <w:rsid w:val="00244935"/>
    <w:rsid w:val="00244D4A"/>
    <w:rsid w:val="002453F8"/>
    <w:rsid w:val="00245CDB"/>
    <w:rsid w:val="0024603B"/>
    <w:rsid w:val="00246119"/>
    <w:rsid w:val="0024611B"/>
    <w:rsid w:val="00246314"/>
    <w:rsid w:val="002469D0"/>
    <w:rsid w:val="00246D9A"/>
    <w:rsid w:val="00246DC4"/>
    <w:rsid w:val="00247610"/>
    <w:rsid w:val="00247719"/>
    <w:rsid w:val="00247874"/>
    <w:rsid w:val="00247A54"/>
    <w:rsid w:val="00247E18"/>
    <w:rsid w:val="00250243"/>
    <w:rsid w:val="00250272"/>
    <w:rsid w:val="0025082E"/>
    <w:rsid w:val="00250ACE"/>
    <w:rsid w:val="00250AE0"/>
    <w:rsid w:val="0025131D"/>
    <w:rsid w:val="00251F8E"/>
    <w:rsid w:val="0025245E"/>
    <w:rsid w:val="002527EF"/>
    <w:rsid w:val="00252BE4"/>
    <w:rsid w:val="00252DB6"/>
    <w:rsid w:val="00253A6A"/>
    <w:rsid w:val="00253B2D"/>
    <w:rsid w:val="00254290"/>
    <w:rsid w:val="0025537D"/>
    <w:rsid w:val="00255777"/>
    <w:rsid w:val="002560F8"/>
    <w:rsid w:val="00256128"/>
    <w:rsid w:val="0025621A"/>
    <w:rsid w:val="00256908"/>
    <w:rsid w:val="002570F7"/>
    <w:rsid w:val="00257282"/>
    <w:rsid w:val="0025754C"/>
    <w:rsid w:val="00257697"/>
    <w:rsid w:val="002576EA"/>
    <w:rsid w:val="0025795E"/>
    <w:rsid w:val="0026115D"/>
    <w:rsid w:val="00261199"/>
    <w:rsid w:val="00261559"/>
    <w:rsid w:val="002617CE"/>
    <w:rsid w:val="0026190B"/>
    <w:rsid w:val="00261BE2"/>
    <w:rsid w:val="002623DB"/>
    <w:rsid w:val="002627CC"/>
    <w:rsid w:val="00262FA8"/>
    <w:rsid w:val="002634EC"/>
    <w:rsid w:val="002635B9"/>
    <w:rsid w:val="002638D1"/>
    <w:rsid w:val="00264C62"/>
    <w:rsid w:val="00265387"/>
    <w:rsid w:val="002653A3"/>
    <w:rsid w:val="00265779"/>
    <w:rsid w:val="00266025"/>
    <w:rsid w:val="002660B1"/>
    <w:rsid w:val="0026636A"/>
    <w:rsid w:val="00266437"/>
    <w:rsid w:val="00270266"/>
    <w:rsid w:val="00270CC0"/>
    <w:rsid w:val="00270E0F"/>
    <w:rsid w:val="0027110F"/>
    <w:rsid w:val="00271F5E"/>
    <w:rsid w:val="00272443"/>
    <w:rsid w:val="0027338D"/>
    <w:rsid w:val="002736BD"/>
    <w:rsid w:val="00273AFB"/>
    <w:rsid w:val="00274669"/>
    <w:rsid w:val="00274F3D"/>
    <w:rsid w:val="002768DB"/>
    <w:rsid w:val="00276DBE"/>
    <w:rsid w:val="00276E0E"/>
    <w:rsid w:val="00277D7B"/>
    <w:rsid w:val="00280A9D"/>
    <w:rsid w:val="00281664"/>
    <w:rsid w:val="00281BAB"/>
    <w:rsid w:val="002822C2"/>
    <w:rsid w:val="00282656"/>
    <w:rsid w:val="00282A21"/>
    <w:rsid w:val="00283689"/>
    <w:rsid w:val="0028492B"/>
    <w:rsid w:val="00285285"/>
    <w:rsid w:val="00285EE1"/>
    <w:rsid w:val="0028675D"/>
    <w:rsid w:val="00286AC5"/>
    <w:rsid w:val="00286E15"/>
    <w:rsid w:val="002877B0"/>
    <w:rsid w:val="00287EE4"/>
    <w:rsid w:val="00287EEB"/>
    <w:rsid w:val="00290715"/>
    <w:rsid w:val="00291674"/>
    <w:rsid w:val="00291811"/>
    <w:rsid w:val="002936FC"/>
    <w:rsid w:val="0029415A"/>
    <w:rsid w:val="002949F7"/>
    <w:rsid w:val="0029582E"/>
    <w:rsid w:val="0029591B"/>
    <w:rsid w:val="00295A28"/>
    <w:rsid w:val="00295B93"/>
    <w:rsid w:val="00296B37"/>
    <w:rsid w:val="00296B6E"/>
    <w:rsid w:val="00296C39"/>
    <w:rsid w:val="00297288"/>
    <w:rsid w:val="00297A08"/>
    <w:rsid w:val="00297E95"/>
    <w:rsid w:val="00297F4A"/>
    <w:rsid w:val="002A1397"/>
    <w:rsid w:val="002A1760"/>
    <w:rsid w:val="002A1A92"/>
    <w:rsid w:val="002A34D2"/>
    <w:rsid w:val="002A39F1"/>
    <w:rsid w:val="002A409E"/>
    <w:rsid w:val="002A420F"/>
    <w:rsid w:val="002A4989"/>
    <w:rsid w:val="002A4997"/>
    <w:rsid w:val="002A4AB3"/>
    <w:rsid w:val="002A5A8B"/>
    <w:rsid w:val="002A64DE"/>
    <w:rsid w:val="002A66E5"/>
    <w:rsid w:val="002A6B29"/>
    <w:rsid w:val="002A7507"/>
    <w:rsid w:val="002A7A39"/>
    <w:rsid w:val="002B01A0"/>
    <w:rsid w:val="002B095D"/>
    <w:rsid w:val="002B1D40"/>
    <w:rsid w:val="002B2B93"/>
    <w:rsid w:val="002B2E51"/>
    <w:rsid w:val="002B2F0B"/>
    <w:rsid w:val="002B30EE"/>
    <w:rsid w:val="002B3267"/>
    <w:rsid w:val="002B36B5"/>
    <w:rsid w:val="002B3CE8"/>
    <w:rsid w:val="002B3E16"/>
    <w:rsid w:val="002B4EB7"/>
    <w:rsid w:val="002B5CC7"/>
    <w:rsid w:val="002B60BB"/>
    <w:rsid w:val="002B7327"/>
    <w:rsid w:val="002B73B2"/>
    <w:rsid w:val="002B79A3"/>
    <w:rsid w:val="002B7F0D"/>
    <w:rsid w:val="002C002D"/>
    <w:rsid w:val="002C11B6"/>
    <w:rsid w:val="002C1363"/>
    <w:rsid w:val="002C13EA"/>
    <w:rsid w:val="002C2D6C"/>
    <w:rsid w:val="002C4268"/>
    <w:rsid w:val="002C464A"/>
    <w:rsid w:val="002C506B"/>
    <w:rsid w:val="002C54F2"/>
    <w:rsid w:val="002C66BF"/>
    <w:rsid w:val="002C6BD7"/>
    <w:rsid w:val="002C6C61"/>
    <w:rsid w:val="002C73D8"/>
    <w:rsid w:val="002C7836"/>
    <w:rsid w:val="002C79E0"/>
    <w:rsid w:val="002C7E57"/>
    <w:rsid w:val="002D0481"/>
    <w:rsid w:val="002D09FE"/>
    <w:rsid w:val="002D2A89"/>
    <w:rsid w:val="002D313C"/>
    <w:rsid w:val="002D3A44"/>
    <w:rsid w:val="002D3A89"/>
    <w:rsid w:val="002D3DD7"/>
    <w:rsid w:val="002D48B9"/>
    <w:rsid w:val="002D4ADE"/>
    <w:rsid w:val="002D4D32"/>
    <w:rsid w:val="002D4E96"/>
    <w:rsid w:val="002D6638"/>
    <w:rsid w:val="002D6708"/>
    <w:rsid w:val="002D7158"/>
    <w:rsid w:val="002D752F"/>
    <w:rsid w:val="002E099B"/>
    <w:rsid w:val="002E0B1C"/>
    <w:rsid w:val="002E1553"/>
    <w:rsid w:val="002E15D0"/>
    <w:rsid w:val="002E1BD4"/>
    <w:rsid w:val="002E1BFF"/>
    <w:rsid w:val="002E27E1"/>
    <w:rsid w:val="002E2987"/>
    <w:rsid w:val="002E2BBA"/>
    <w:rsid w:val="002E2FC0"/>
    <w:rsid w:val="002E30A6"/>
    <w:rsid w:val="002E30DA"/>
    <w:rsid w:val="002E42DA"/>
    <w:rsid w:val="002E4351"/>
    <w:rsid w:val="002E481C"/>
    <w:rsid w:val="002E575F"/>
    <w:rsid w:val="002E57A4"/>
    <w:rsid w:val="002E589E"/>
    <w:rsid w:val="002E5944"/>
    <w:rsid w:val="002E5B0E"/>
    <w:rsid w:val="002E5EE7"/>
    <w:rsid w:val="002E5F05"/>
    <w:rsid w:val="002E63AD"/>
    <w:rsid w:val="002E6941"/>
    <w:rsid w:val="002E697F"/>
    <w:rsid w:val="002E6B69"/>
    <w:rsid w:val="002E784F"/>
    <w:rsid w:val="002F094B"/>
    <w:rsid w:val="002F0EAC"/>
    <w:rsid w:val="002F1186"/>
    <w:rsid w:val="002F2459"/>
    <w:rsid w:val="002F248A"/>
    <w:rsid w:val="002F3AC1"/>
    <w:rsid w:val="002F4085"/>
    <w:rsid w:val="002F40DC"/>
    <w:rsid w:val="002F4302"/>
    <w:rsid w:val="002F55B4"/>
    <w:rsid w:val="002F5741"/>
    <w:rsid w:val="002F6454"/>
    <w:rsid w:val="002F7574"/>
    <w:rsid w:val="002F7DCB"/>
    <w:rsid w:val="00300545"/>
    <w:rsid w:val="00300C9F"/>
    <w:rsid w:val="00300F6A"/>
    <w:rsid w:val="0030310E"/>
    <w:rsid w:val="0030370D"/>
    <w:rsid w:val="0030472C"/>
    <w:rsid w:val="003048D0"/>
    <w:rsid w:val="00304BAA"/>
    <w:rsid w:val="003067CF"/>
    <w:rsid w:val="00307015"/>
    <w:rsid w:val="003077DF"/>
    <w:rsid w:val="00310443"/>
    <w:rsid w:val="003109F9"/>
    <w:rsid w:val="003119E8"/>
    <w:rsid w:val="00311A71"/>
    <w:rsid w:val="00311C11"/>
    <w:rsid w:val="00311F9B"/>
    <w:rsid w:val="00312244"/>
    <w:rsid w:val="00312BF2"/>
    <w:rsid w:val="00312DE8"/>
    <w:rsid w:val="003131AA"/>
    <w:rsid w:val="003136DD"/>
    <w:rsid w:val="00313D6E"/>
    <w:rsid w:val="00313D8A"/>
    <w:rsid w:val="00314111"/>
    <w:rsid w:val="00314FED"/>
    <w:rsid w:val="00314FF2"/>
    <w:rsid w:val="00315EEC"/>
    <w:rsid w:val="003165A7"/>
    <w:rsid w:val="00316888"/>
    <w:rsid w:val="00317812"/>
    <w:rsid w:val="00317905"/>
    <w:rsid w:val="00320EFE"/>
    <w:rsid w:val="00321594"/>
    <w:rsid w:val="0032184D"/>
    <w:rsid w:val="0032221C"/>
    <w:rsid w:val="00322F37"/>
    <w:rsid w:val="00323427"/>
    <w:rsid w:val="00324071"/>
    <w:rsid w:val="003244FA"/>
    <w:rsid w:val="00324B3C"/>
    <w:rsid w:val="00324F14"/>
    <w:rsid w:val="003258F3"/>
    <w:rsid w:val="0032597E"/>
    <w:rsid w:val="00326933"/>
    <w:rsid w:val="00326E32"/>
    <w:rsid w:val="00326E9E"/>
    <w:rsid w:val="003271AD"/>
    <w:rsid w:val="00327900"/>
    <w:rsid w:val="00327935"/>
    <w:rsid w:val="00327F22"/>
    <w:rsid w:val="003307FB"/>
    <w:rsid w:val="003309A7"/>
    <w:rsid w:val="00331837"/>
    <w:rsid w:val="003327E9"/>
    <w:rsid w:val="00332A4F"/>
    <w:rsid w:val="00332FF7"/>
    <w:rsid w:val="003338F9"/>
    <w:rsid w:val="00333BC8"/>
    <w:rsid w:val="00334E92"/>
    <w:rsid w:val="00335356"/>
    <w:rsid w:val="00335926"/>
    <w:rsid w:val="00336827"/>
    <w:rsid w:val="0033686D"/>
    <w:rsid w:val="00336B6B"/>
    <w:rsid w:val="00337477"/>
    <w:rsid w:val="003407D5"/>
    <w:rsid w:val="00340996"/>
    <w:rsid w:val="00340D91"/>
    <w:rsid w:val="0034186F"/>
    <w:rsid w:val="00341B60"/>
    <w:rsid w:val="00341DC8"/>
    <w:rsid w:val="0034240E"/>
    <w:rsid w:val="00342B05"/>
    <w:rsid w:val="00342CAD"/>
    <w:rsid w:val="0034304C"/>
    <w:rsid w:val="0034311F"/>
    <w:rsid w:val="003437CF"/>
    <w:rsid w:val="00343E02"/>
    <w:rsid w:val="00343E66"/>
    <w:rsid w:val="00343FC0"/>
    <w:rsid w:val="0034531C"/>
    <w:rsid w:val="0034614A"/>
    <w:rsid w:val="00347BD7"/>
    <w:rsid w:val="003500F9"/>
    <w:rsid w:val="00350666"/>
    <w:rsid w:val="00350CEA"/>
    <w:rsid w:val="0035122F"/>
    <w:rsid w:val="00351A6A"/>
    <w:rsid w:val="0035290D"/>
    <w:rsid w:val="00352D42"/>
    <w:rsid w:val="00354715"/>
    <w:rsid w:val="003548C4"/>
    <w:rsid w:val="00354A92"/>
    <w:rsid w:val="00355537"/>
    <w:rsid w:val="0035605C"/>
    <w:rsid w:val="00356334"/>
    <w:rsid w:val="0035685D"/>
    <w:rsid w:val="00356AD8"/>
    <w:rsid w:val="003575AA"/>
    <w:rsid w:val="00357A9B"/>
    <w:rsid w:val="00357B0E"/>
    <w:rsid w:val="003616B8"/>
    <w:rsid w:val="00361877"/>
    <w:rsid w:val="00361F47"/>
    <w:rsid w:val="00362531"/>
    <w:rsid w:val="00362590"/>
    <w:rsid w:val="003630EB"/>
    <w:rsid w:val="00363E26"/>
    <w:rsid w:val="003642A0"/>
    <w:rsid w:val="00365E0F"/>
    <w:rsid w:val="00366127"/>
    <w:rsid w:val="0036670B"/>
    <w:rsid w:val="00366836"/>
    <w:rsid w:val="00366E40"/>
    <w:rsid w:val="003676A8"/>
    <w:rsid w:val="00370206"/>
    <w:rsid w:val="003713C2"/>
    <w:rsid w:val="00371822"/>
    <w:rsid w:val="00372AFB"/>
    <w:rsid w:val="003735A3"/>
    <w:rsid w:val="00373868"/>
    <w:rsid w:val="0037451B"/>
    <w:rsid w:val="00374744"/>
    <w:rsid w:val="00374C67"/>
    <w:rsid w:val="00374D4A"/>
    <w:rsid w:val="00375C44"/>
    <w:rsid w:val="003761CB"/>
    <w:rsid w:val="0037703E"/>
    <w:rsid w:val="00377BB7"/>
    <w:rsid w:val="00377CF8"/>
    <w:rsid w:val="00380B41"/>
    <w:rsid w:val="00381676"/>
    <w:rsid w:val="003825EA"/>
    <w:rsid w:val="00383456"/>
    <w:rsid w:val="0038374A"/>
    <w:rsid w:val="00383D0F"/>
    <w:rsid w:val="00384244"/>
    <w:rsid w:val="00384949"/>
    <w:rsid w:val="00384C80"/>
    <w:rsid w:val="00385251"/>
    <w:rsid w:val="00385C9C"/>
    <w:rsid w:val="00386647"/>
    <w:rsid w:val="0038670A"/>
    <w:rsid w:val="0038678D"/>
    <w:rsid w:val="00386E2A"/>
    <w:rsid w:val="0038720F"/>
    <w:rsid w:val="00387D9E"/>
    <w:rsid w:val="00390612"/>
    <w:rsid w:val="003909E8"/>
    <w:rsid w:val="003909F8"/>
    <w:rsid w:val="00390D65"/>
    <w:rsid w:val="003919C5"/>
    <w:rsid w:val="00391CBB"/>
    <w:rsid w:val="00391EE4"/>
    <w:rsid w:val="00391FE9"/>
    <w:rsid w:val="00392703"/>
    <w:rsid w:val="00392ABE"/>
    <w:rsid w:val="00392F76"/>
    <w:rsid w:val="00393245"/>
    <w:rsid w:val="0039333A"/>
    <w:rsid w:val="0039454C"/>
    <w:rsid w:val="003961AC"/>
    <w:rsid w:val="0039661C"/>
    <w:rsid w:val="0039670C"/>
    <w:rsid w:val="003978EA"/>
    <w:rsid w:val="00397AE3"/>
    <w:rsid w:val="00397DFB"/>
    <w:rsid w:val="003A0133"/>
    <w:rsid w:val="003A015F"/>
    <w:rsid w:val="003A0DD9"/>
    <w:rsid w:val="003A0FB0"/>
    <w:rsid w:val="003A103C"/>
    <w:rsid w:val="003A17AC"/>
    <w:rsid w:val="003A187A"/>
    <w:rsid w:val="003A1BDB"/>
    <w:rsid w:val="003A1D82"/>
    <w:rsid w:val="003A223E"/>
    <w:rsid w:val="003A24F4"/>
    <w:rsid w:val="003A2628"/>
    <w:rsid w:val="003A27AC"/>
    <w:rsid w:val="003A3583"/>
    <w:rsid w:val="003A35E2"/>
    <w:rsid w:val="003A4489"/>
    <w:rsid w:val="003A4C05"/>
    <w:rsid w:val="003A4E97"/>
    <w:rsid w:val="003A52A8"/>
    <w:rsid w:val="003A570E"/>
    <w:rsid w:val="003A5866"/>
    <w:rsid w:val="003A5F3E"/>
    <w:rsid w:val="003A603E"/>
    <w:rsid w:val="003A6645"/>
    <w:rsid w:val="003A708C"/>
    <w:rsid w:val="003A74CA"/>
    <w:rsid w:val="003A75DE"/>
    <w:rsid w:val="003A7DC1"/>
    <w:rsid w:val="003A7EE6"/>
    <w:rsid w:val="003B0335"/>
    <w:rsid w:val="003B05AD"/>
    <w:rsid w:val="003B1735"/>
    <w:rsid w:val="003B1CF9"/>
    <w:rsid w:val="003B29F7"/>
    <w:rsid w:val="003B2DA4"/>
    <w:rsid w:val="003B2E72"/>
    <w:rsid w:val="003B2F69"/>
    <w:rsid w:val="003B3285"/>
    <w:rsid w:val="003B346C"/>
    <w:rsid w:val="003B35EC"/>
    <w:rsid w:val="003B422B"/>
    <w:rsid w:val="003B4BF1"/>
    <w:rsid w:val="003B4F62"/>
    <w:rsid w:val="003B4F70"/>
    <w:rsid w:val="003B5E1E"/>
    <w:rsid w:val="003B660A"/>
    <w:rsid w:val="003B74FA"/>
    <w:rsid w:val="003B7698"/>
    <w:rsid w:val="003B78E2"/>
    <w:rsid w:val="003B7910"/>
    <w:rsid w:val="003B795A"/>
    <w:rsid w:val="003B7F0D"/>
    <w:rsid w:val="003C0998"/>
    <w:rsid w:val="003C0E01"/>
    <w:rsid w:val="003C1488"/>
    <w:rsid w:val="003C1C91"/>
    <w:rsid w:val="003C26E4"/>
    <w:rsid w:val="003C31FE"/>
    <w:rsid w:val="003C436B"/>
    <w:rsid w:val="003C4FB9"/>
    <w:rsid w:val="003C5418"/>
    <w:rsid w:val="003C5D11"/>
    <w:rsid w:val="003C613C"/>
    <w:rsid w:val="003C6148"/>
    <w:rsid w:val="003C6676"/>
    <w:rsid w:val="003C69E4"/>
    <w:rsid w:val="003C6B80"/>
    <w:rsid w:val="003C6C79"/>
    <w:rsid w:val="003C74A6"/>
    <w:rsid w:val="003C7987"/>
    <w:rsid w:val="003C7FC9"/>
    <w:rsid w:val="003D091B"/>
    <w:rsid w:val="003D0932"/>
    <w:rsid w:val="003D18FC"/>
    <w:rsid w:val="003D21D0"/>
    <w:rsid w:val="003D2FE3"/>
    <w:rsid w:val="003D315B"/>
    <w:rsid w:val="003D3ACE"/>
    <w:rsid w:val="003D3C36"/>
    <w:rsid w:val="003D426E"/>
    <w:rsid w:val="003D4997"/>
    <w:rsid w:val="003D4CBB"/>
    <w:rsid w:val="003D4F58"/>
    <w:rsid w:val="003D62A5"/>
    <w:rsid w:val="003D657A"/>
    <w:rsid w:val="003E0A6E"/>
    <w:rsid w:val="003E0FDB"/>
    <w:rsid w:val="003E11D3"/>
    <w:rsid w:val="003E14FB"/>
    <w:rsid w:val="003E1C09"/>
    <w:rsid w:val="003E1E04"/>
    <w:rsid w:val="003E1F76"/>
    <w:rsid w:val="003E24CB"/>
    <w:rsid w:val="003E31F0"/>
    <w:rsid w:val="003E3B36"/>
    <w:rsid w:val="003E4177"/>
    <w:rsid w:val="003E4241"/>
    <w:rsid w:val="003E4464"/>
    <w:rsid w:val="003E45C3"/>
    <w:rsid w:val="003E4BDA"/>
    <w:rsid w:val="003E4F6A"/>
    <w:rsid w:val="003E5E8C"/>
    <w:rsid w:val="003E5FA2"/>
    <w:rsid w:val="003E64C8"/>
    <w:rsid w:val="003E6E9E"/>
    <w:rsid w:val="003E7431"/>
    <w:rsid w:val="003E7A57"/>
    <w:rsid w:val="003F072A"/>
    <w:rsid w:val="003F2BD2"/>
    <w:rsid w:val="003F2FFA"/>
    <w:rsid w:val="003F4DAF"/>
    <w:rsid w:val="003F4E08"/>
    <w:rsid w:val="003F4E10"/>
    <w:rsid w:val="003F4F8C"/>
    <w:rsid w:val="003F593E"/>
    <w:rsid w:val="003F663D"/>
    <w:rsid w:val="003F7295"/>
    <w:rsid w:val="003F77B4"/>
    <w:rsid w:val="0040061D"/>
    <w:rsid w:val="0040113E"/>
    <w:rsid w:val="00401553"/>
    <w:rsid w:val="00401644"/>
    <w:rsid w:val="00401950"/>
    <w:rsid w:val="00401C5E"/>
    <w:rsid w:val="00402673"/>
    <w:rsid w:val="004028B7"/>
    <w:rsid w:val="00403046"/>
    <w:rsid w:val="0040387F"/>
    <w:rsid w:val="00403906"/>
    <w:rsid w:val="00404A94"/>
    <w:rsid w:val="004053A1"/>
    <w:rsid w:val="00405577"/>
    <w:rsid w:val="00405A5D"/>
    <w:rsid w:val="004065AF"/>
    <w:rsid w:val="00406ACB"/>
    <w:rsid w:val="00407560"/>
    <w:rsid w:val="00407A66"/>
    <w:rsid w:val="00407F2F"/>
    <w:rsid w:val="00407FF6"/>
    <w:rsid w:val="00410E20"/>
    <w:rsid w:val="004110AC"/>
    <w:rsid w:val="00411287"/>
    <w:rsid w:val="00411A65"/>
    <w:rsid w:val="00413055"/>
    <w:rsid w:val="00413367"/>
    <w:rsid w:val="004133A7"/>
    <w:rsid w:val="00413C00"/>
    <w:rsid w:val="00413FCA"/>
    <w:rsid w:val="00414320"/>
    <w:rsid w:val="004148FC"/>
    <w:rsid w:val="0041629A"/>
    <w:rsid w:val="0041640B"/>
    <w:rsid w:val="00416829"/>
    <w:rsid w:val="00416F36"/>
    <w:rsid w:val="0041789E"/>
    <w:rsid w:val="004178AD"/>
    <w:rsid w:val="0041790F"/>
    <w:rsid w:val="00417C86"/>
    <w:rsid w:val="00420494"/>
    <w:rsid w:val="00420788"/>
    <w:rsid w:val="00420B1C"/>
    <w:rsid w:val="00421406"/>
    <w:rsid w:val="004229CB"/>
    <w:rsid w:val="00422B4F"/>
    <w:rsid w:val="00423273"/>
    <w:rsid w:val="0042333D"/>
    <w:rsid w:val="00423419"/>
    <w:rsid w:val="00423F26"/>
    <w:rsid w:val="00424377"/>
    <w:rsid w:val="0042534A"/>
    <w:rsid w:val="00425D89"/>
    <w:rsid w:val="00426343"/>
    <w:rsid w:val="00426485"/>
    <w:rsid w:val="00426666"/>
    <w:rsid w:val="00426C23"/>
    <w:rsid w:val="00426F35"/>
    <w:rsid w:val="00426F89"/>
    <w:rsid w:val="00427BD1"/>
    <w:rsid w:val="0043007E"/>
    <w:rsid w:val="00430EFC"/>
    <w:rsid w:val="0043140F"/>
    <w:rsid w:val="004314FA"/>
    <w:rsid w:val="00431884"/>
    <w:rsid w:val="00431CEA"/>
    <w:rsid w:val="00431FC7"/>
    <w:rsid w:val="004324D0"/>
    <w:rsid w:val="00432518"/>
    <w:rsid w:val="004327B2"/>
    <w:rsid w:val="00432827"/>
    <w:rsid w:val="0043326F"/>
    <w:rsid w:val="00433523"/>
    <w:rsid w:val="00433763"/>
    <w:rsid w:val="00434BC7"/>
    <w:rsid w:val="0043567B"/>
    <w:rsid w:val="0043656C"/>
    <w:rsid w:val="00437E67"/>
    <w:rsid w:val="00437FDD"/>
    <w:rsid w:val="00440340"/>
    <w:rsid w:val="004409FF"/>
    <w:rsid w:val="00441A07"/>
    <w:rsid w:val="0044229B"/>
    <w:rsid w:val="0044270B"/>
    <w:rsid w:val="0044286F"/>
    <w:rsid w:val="00442BCB"/>
    <w:rsid w:val="00443049"/>
    <w:rsid w:val="00443DDF"/>
    <w:rsid w:val="00443DF6"/>
    <w:rsid w:val="00444BE5"/>
    <w:rsid w:val="00445664"/>
    <w:rsid w:val="00445676"/>
    <w:rsid w:val="0044770D"/>
    <w:rsid w:val="00447DEC"/>
    <w:rsid w:val="0045087D"/>
    <w:rsid w:val="004508E1"/>
    <w:rsid w:val="00450A4B"/>
    <w:rsid w:val="00450D85"/>
    <w:rsid w:val="00451BFE"/>
    <w:rsid w:val="00452FB5"/>
    <w:rsid w:val="00453026"/>
    <w:rsid w:val="004548FE"/>
    <w:rsid w:val="00454D97"/>
    <w:rsid w:val="00454EA7"/>
    <w:rsid w:val="00455039"/>
    <w:rsid w:val="00455B0E"/>
    <w:rsid w:val="00457F33"/>
    <w:rsid w:val="00460025"/>
    <w:rsid w:val="00460BB5"/>
    <w:rsid w:val="004624B1"/>
    <w:rsid w:val="00462AA8"/>
    <w:rsid w:val="00464779"/>
    <w:rsid w:val="00464D50"/>
    <w:rsid w:val="00464EA9"/>
    <w:rsid w:val="00464F89"/>
    <w:rsid w:val="0046510B"/>
    <w:rsid w:val="004661F2"/>
    <w:rsid w:val="004668BD"/>
    <w:rsid w:val="0046690F"/>
    <w:rsid w:val="004674CC"/>
    <w:rsid w:val="00470175"/>
    <w:rsid w:val="00472661"/>
    <w:rsid w:val="0047272F"/>
    <w:rsid w:val="004729AF"/>
    <w:rsid w:val="00472AA6"/>
    <w:rsid w:val="00472E61"/>
    <w:rsid w:val="00472FF4"/>
    <w:rsid w:val="0047311B"/>
    <w:rsid w:val="0047317D"/>
    <w:rsid w:val="004736FD"/>
    <w:rsid w:val="00473C2C"/>
    <w:rsid w:val="00473E0F"/>
    <w:rsid w:val="00474258"/>
    <w:rsid w:val="00474798"/>
    <w:rsid w:val="004748A4"/>
    <w:rsid w:val="004751D7"/>
    <w:rsid w:val="004753E2"/>
    <w:rsid w:val="00475944"/>
    <w:rsid w:val="00475CD3"/>
    <w:rsid w:val="00475E58"/>
    <w:rsid w:val="0047741E"/>
    <w:rsid w:val="00477AB6"/>
    <w:rsid w:val="00477DA3"/>
    <w:rsid w:val="00481F54"/>
    <w:rsid w:val="0048264F"/>
    <w:rsid w:val="00482D65"/>
    <w:rsid w:val="00482D82"/>
    <w:rsid w:val="00482F53"/>
    <w:rsid w:val="004836A6"/>
    <w:rsid w:val="00483EBD"/>
    <w:rsid w:val="00484ED4"/>
    <w:rsid w:val="00485038"/>
    <w:rsid w:val="0048543D"/>
    <w:rsid w:val="00486CD0"/>
    <w:rsid w:val="00486F04"/>
    <w:rsid w:val="00490F7E"/>
    <w:rsid w:val="004910BA"/>
    <w:rsid w:val="00491286"/>
    <w:rsid w:val="00491425"/>
    <w:rsid w:val="0049199E"/>
    <w:rsid w:val="00491A65"/>
    <w:rsid w:val="00491B63"/>
    <w:rsid w:val="00491C3E"/>
    <w:rsid w:val="004924D5"/>
    <w:rsid w:val="0049255D"/>
    <w:rsid w:val="00493871"/>
    <w:rsid w:val="00494635"/>
    <w:rsid w:val="004949E6"/>
    <w:rsid w:val="00494B17"/>
    <w:rsid w:val="00494BBC"/>
    <w:rsid w:val="004950BA"/>
    <w:rsid w:val="0049512C"/>
    <w:rsid w:val="00495C96"/>
    <w:rsid w:val="00496DD9"/>
    <w:rsid w:val="00497090"/>
    <w:rsid w:val="004974B0"/>
    <w:rsid w:val="004A02C4"/>
    <w:rsid w:val="004A04BF"/>
    <w:rsid w:val="004A17D9"/>
    <w:rsid w:val="004A1A21"/>
    <w:rsid w:val="004A1BA4"/>
    <w:rsid w:val="004A2769"/>
    <w:rsid w:val="004A2BA4"/>
    <w:rsid w:val="004A2F9E"/>
    <w:rsid w:val="004A3128"/>
    <w:rsid w:val="004A312B"/>
    <w:rsid w:val="004A3858"/>
    <w:rsid w:val="004A3A01"/>
    <w:rsid w:val="004A3E21"/>
    <w:rsid w:val="004A41BF"/>
    <w:rsid w:val="004A4273"/>
    <w:rsid w:val="004A4968"/>
    <w:rsid w:val="004A4D35"/>
    <w:rsid w:val="004A586A"/>
    <w:rsid w:val="004A594A"/>
    <w:rsid w:val="004A5BF8"/>
    <w:rsid w:val="004A68D3"/>
    <w:rsid w:val="004A717A"/>
    <w:rsid w:val="004A74CC"/>
    <w:rsid w:val="004A74E1"/>
    <w:rsid w:val="004A79F6"/>
    <w:rsid w:val="004A7B4C"/>
    <w:rsid w:val="004A7E4F"/>
    <w:rsid w:val="004B08EA"/>
    <w:rsid w:val="004B1B04"/>
    <w:rsid w:val="004B1EFF"/>
    <w:rsid w:val="004B315E"/>
    <w:rsid w:val="004B39D2"/>
    <w:rsid w:val="004B3E87"/>
    <w:rsid w:val="004B42B9"/>
    <w:rsid w:val="004B4CA0"/>
    <w:rsid w:val="004B5615"/>
    <w:rsid w:val="004B6700"/>
    <w:rsid w:val="004B67A4"/>
    <w:rsid w:val="004B75B3"/>
    <w:rsid w:val="004B7AAB"/>
    <w:rsid w:val="004C0B64"/>
    <w:rsid w:val="004C0CBF"/>
    <w:rsid w:val="004C0FDD"/>
    <w:rsid w:val="004C176C"/>
    <w:rsid w:val="004C17F7"/>
    <w:rsid w:val="004C1A76"/>
    <w:rsid w:val="004C1EF9"/>
    <w:rsid w:val="004C2D49"/>
    <w:rsid w:val="004C31B9"/>
    <w:rsid w:val="004C4287"/>
    <w:rsid w:val="004C501D"/>
    <w:rsid w:val="004C52D3"/>
    <w:rsid w:val="004C5DA6"/>
    <w:rsid w:val="004C714C"/>
    <w:rsid w:val="004C733C"/>
    <w:rsid w:val="004C7B3C"/>
    <w:rsid w:val="004D06C1"/>
    <w:rsid w:val="004D2041"/>
    <w:rsid w:val="004D248F"/>
    <w:rsid w:val="004D2B1C"/>
    <w:rsid w:val="004D3B6C"/>
    <w:rsid w:val="004D3CA2"/>
    <w:rsid w:val="004D3EAE"/>
    <w:rsid w:val="004D4440"/>
    <w:rsid w:val="004D4C48"/>
    <w:rsid w:val="004D4CA2"/>
    <w:rsid w:val="004D50EA"/>
    <w:rsid w:val="004D530C"/>
    <w:rsid w:val="004D58B6"/>
    <w:rsid w:val="004D5BEA"/>
    <w:rsid w:val="004D5D92"/>
    <w:rsid w:val="004D69EF"/>
    <w:rsid w:val="004D6BBD"/>
    <w:rsid w:val="004D7130"/>
    <w:rsid w:val="004D7326"/>
    <w:rsid w:val="004D793F"/>
    <w:rsid w:val="004E0968"/>
    <w:rsid w:val="004E0AAC"/>
    <w:rsid w:val="004E0BBF"/>
    <w:rsid w:val="004E0D77"/>
    <w:rsid w:val="004E0FF9"/>
    <w:rsid w:val="004E1313"/>
    <w:rsid w:val="004E188C"/>
    <w:rsid w:val="004E18F2"/>
    <w:rsid w:val="004E1DBF"/>
    <w:rsid w:val="004E27D2"/>
    <w:rsid w:val="004E2CCE"/>
    <w:rsid w:val="004E2D9D"/>
    <w:rsid w:val="004E32C5"/>
    <w:rsid w:val="004E33D7"/>
    <w:rsid w:val="004E366B"/>
    <w:rsid w:val="004E3906"/>
    <w:rsid w:val="004E4333"/>
    <w:rsid w:val="004E4566"/>
    <w:rsid w:val="004E4625"/>
    <w:rsid w:val="004E47DD"/>
    <w:rsid w:val="004E5882"/>
    <w:rsid w:val="004E5C08"/>
    <w:rsid w:val="004E602C"/>
    <w:rsid w:val="004E751B"/>
    <w:rsid w:val="004E7628"/>
    <w:rsid w:val="004E7E17"/>
    <w:rsid w:val="004F011A"/>
    <w:rsid w:val="004F0BC3"/>
    <w:rsid w:val="004F1D5D"/>
    <w:rsid w:val="004F23E8"/>
    <w:rsid w:val="004F282C"/>
    <w:rsid w:val="004F2E2C"/>
    <w:rsid w:val="004F43D2"/>
    <w:rsid w:val="004F4E50"/>
    <w:rsid w:val="004F5469"/>
    <w:rsid w:val="004F561E"/>
    <w:rsid w:val="004F5BEE"/>
    <w:rsid w:val="004F5E05"/>
    <w:rsid w:val="004F6AF7"/>
    <w:rsid w:val="004F6B59"/>
    <w:rsid w:val="004F7693"/>
    <w:rsid w:val="004F79FC"/>
    <w:rsid w:val="0050074C"/>
    <w:rsid w:val="00500E9C"/>
    <w:rsid w:val="0050167E"/>
    <w:rsid w:val="0050172D"/>
    <w:rsid w:val="00501AB9"/>
    <w:rsid w:val="00501CFA"/>
    <w:rsid w:val="00503009"/>
    <w:rsid w:val="00503128"/>
    <w:rsid w:val="00504C85"/>
    <w:rsid w:val="0050505F"/>
    <w:rsid w:val="00505CE3"/>
    <w:rsid w:val="0050658D"/>
    <w:rsid w:val="00506B4B"/>
    <w:rsid w:val="0050717E"/>
    <w:rsid w:val="0050719D"/>
    <w:rsid w:val="00507235"/>
    <w:rsid w:val="00507BE0"/>
    <w:rsid w:val="0051080F"/>
    <w:rsid w:val="005109FD"/>
    <w:rsid w:val="00510C9A"/>
    <w:rsid w:val="00510FB3"/>
    <w:rsid w:val="00510FF1"/>
    <w:rsid w:val="0051352E"/>
    <w:rsid w:val="00513AC7"/>
    <w:rsid w:val="00513B58"/>
    <w:rsid w:val="0051449F"/>
    <w:rsid w:val="00514752"/>
    <w:rsid w:val="00514858"/>
    <w:rsid w:val="00515166"/>
    <w:rsid w:val="00515237"/>
    <w:rsid w:val="005153CE"/>
    <w:rsid w:val="00515A14"/>
    <w:rsid w:val="00515A47"/>
    <w:rsid w:val="00515FB5"/>
    <w:rsid w:val="00516693"/>
    <w:rsid w:val="00517282"/>
    <w:rsid w:val="005174A5"/>
    <w:rsid w:val="00517A82"/>
    <w:rsid w:val="00520836"/>
    <w:rsid w:val="00521E39"/>
    <w:rsid w:val="00522009"/>
    <w:rsid w:val="0052248F"/>
    <w:rsid w:val="00522DB5"/>
    <w:rsid w:val="00523559"/>
    <w:rsid w:val="00524716"/>
    <w:rsid w:val="005257A2"/>
    <w:rsid w:val="005258AA"/>
    <w:rsid w:val="0052624E"/>
    <w:rsid w:val="005270A9"/>
    <w:rsid w:val="00527409"/>
    <w:rsid w:val="00527BED"/>
    <w:rsid w:val="005305C8"/>
    <w:rsid w:val="00530C05"/>
    <w:rsid w:val="00531E23"/>
    <w:rsid w:val="0053242F"/>
    <w:rsid w:val="005329E7"/>
    <w:rsid w:val="00532FE8"/>
    <w:rsid w:val="00533D55"/>
    <w:rsid w:val="00533D61"/>
    <w:rsid w:val="00534FF4"/>
    <w:rsid w:val="0053534F"/>
    <w:rsid w:val="00535529"/>
    <w:rsid w:val="005356F8"/>
    <w:rsid w:val="00535D0E"/>
    <w:rsid w:val="00535D76"/>
    <w:rsid w:val="00536D9B"/>
    <w:rsid w:val="005370F6"/>
    <w:rsid w:val="00537707"/>
    <w:rsid w:val="00537CA7"/>
    <w:rsid w:val="00540880"/>
    <w:rsid w:val="00540A54"/>
    <w:rsid w:val="0054116E"/>
    <w:rsid w:val="00541E22"/>
    <w:rsid w:val="0054213E"/>
    <w:rsid w:val="00542683"/>
    <w:rsid w:val="005427D6"/>
    <w:rsid w:val="00542D3E"/>
    <w:rsid w:val="005430B6"/>
    <w:rsid w:val="00543807"/>
    <w:rsid w:val="005451D1"/>
    <w:rsid w:val="00545B67"/>
    <w:rsid w:val="005470A0"/>
    <w:rsid w:val="00547D0C"/>
    <w:rsid w:val="00547EB4"/>
    <w:rsid w:val="00550886"/>
    <w:rsid w:val="00550B7A"/>
    <w:rsid w:val="00552786"/>
    <w:rsid w:val="005527C3"/>
    <w:rsid w:val="005530D0"/>
    <w:rsid w:val="00554007"/>
    <w:rsid w:val="005550A7"/>
    <w:rsid w:val="00555163"/>
    <w:rsid w:val="00556A3F"/>
    <w:rsid w:val="005573FA"/>
    <w:rsid w:val="00557790"/>
    <w:rsid w:val="005578FB"/>
    <w:rsid w:val="00560166"/>
    <w:rsid w:val="005603E8"/>
    <w:rsid w:val="005610BD"/>
    <w:rsid w:val="00561562"/>
    <w:rsid w:val="0056231D"/>
    <w:rsid w:val="00562D9A"/>
    <w:rsid w:val="00564901"/>
    <w:rsid w:val="00564B70"/>
    <w:rsid w:val="00565537"/>
    <w:rsid w:val="005658BF"/>
    <w:rsid w:val="00566AE8"/>
    <w:rsid w:val="00566FD5"/>
    <w:rsid w:val="005670AD"/>
    <w:rsid w:val="00567FE4"/>
    <w:rsid w:val="005708A7"/>
    <w:rsid w:val="005714B8"/>
    <w:rsid w:val="005739B7"/>
    <w:rsid w:val="00574DDE"/>
    <w:rsid w:val="00575109"/>
    <w:rsid w:val="0057511B"/>
    <w:rsid w:val="00575ACB"/>
    <w:rsid w:val="00575CD6"/>
    <w:rsid w:val="00576327"/>
    <w:rsid w:val="00577B13"/>
    <w:rsid w:val="00577B5A"/>
    <w:rsid w:val="00577DC9"/>
    <w:rsid w:val="0058076F"/>
    <w:rsid w:val="005808D9"/>
    <w:rsid w:val="0058134D"/>
    <w:rsid w:val="005816D0"/>
    <w:rsid w:val="00581936"/>
    <w:rsid w:val="005819F8"/>
    <w:rsid w:val="00581AF9"/>
    <w:rsid w:val="00581F8A"/>
    <w:rsid w:val="00582028"/>
    <w:rsid w:val="005821A3"/>
    <w:rsid w:val="0058284B"/>
    <w:rsid w:val="00583C69"/>
    <w:rsid w:val="0058406C"/>
    <w:rsid w:val="005840E0"/>
    <w:rsid w:val="00584451"/>
    <w:rsid w:val="005847CE"/>
    <w:rsid w:val="005868DA"/>
    <w:rsid w:val="00586CFE"/>
    <w:rsid w:val="00586D50"/>
    <w:rsid w:val="00586F6B"/>
    <w:rsid w:val="00587349"/>
    <w:rsid w:val="0058740A"/>
    <w:rsid w:val="005876CF"/>
    <w:rsid w:val="005878EC"/>
    <w:rsid w:val="00590C11"/>
    <w:rsid w:val="00590F99"/>
    <w:rsid w:val="005914B7"/>
    <w:rsid w:val="00591605"/>
    <w:rsid w:val="00593224"/>
    <w:rsid w:val="0059436A"/>
    <w:rsid w:val="00596E9F"/>
    <w:rsid w:val="00597141"/>
    <w:rsid w:val="005976E8"/>
    <w:rsid w:val="005A09CE"/>
    <w:rsid w:val="005A0FCE"/>
    <w:rsid w:val="005A1680"/>
    <w:rsid w:val="005A1A2B"/>
    <w:rsid w:val="005A1EA9"/>
    <w:rsid w:val="005A2F8D"/>
    <w:rsid w:val="005A303B"/>
    <w:rsid w:val="005A3386"/>
    <w:rsid w:val="005A33DC"/>
    <w:rsid w:val="005A36A7"/>
    <w:rsid w:val="005A3771"/>
    <w:rsid w:val="005A39C8"/>
    <w:rsid w:val="005A4773"/>
    <w:rsid w:val="005A47E7"/>
    <w:rsid w:val="005A5182"/>
    <w:rsid w:val="005A51D2"/>
    <w:rsid w:val="005A588C"/>
    <w:rsid w:val="005A58FE"/>
    <w:rsid w:val="005A5EDE"/>
    <w:rsid w:val="005A7581"/>
    <w:rsid w:val="005A7751"/>
    <w:rsid w:val="005A7BAC"/>
    <w:rsid w:val="005B0498"/>
    <w:rsid w:val="005B0BC4"/>
    <w:rsid w:val="005B0CBA"/>
    <w:rsid w:val="005B11C4"/>
    <w:rsid w:val="005B1377"/>
    <w:rsid w:val="005B190C"/>
    <w:rsid w:val="005B1A7A"/>
    <w:rsid w:val="005B1D67"/>
    <w:rsid w:val="005B1DE4"/>
    <w:rsid w:val="005B2A34"/>
    <w:rsid w:val="005B2B99"/>
    <w:rsid w:val="005B394A"/>
    <w:rsid w:val="005B3D2A"/>
    <w:rsid w:val="005B4100"/>
    <w:rsid w:val="005B4629"/>
    <w:rsid w:val="005B601F"/>
    <w:rsid w:val="005B669D"/>
    <w:rsid w:val="005B6BDB"/>
    <w:rsid w:val="005B7649"/>
    <w:rsid w:val="005B77AE"/>
    <w:rsid w:val="005B79FE"/>
    <w:rsid w:val="005B7D70"/>
    <w:rsid w:val="005C0031"/>
    <w:rsid w:val="005C0222"/>
    <w:rsid w:val="005C08A2"/>
    <w:rsid w:val="005C2324"/>
    <w:rsid w:val="005C2BC4"/>
    <w:rsid w:val="005C341E"/>
    <w:rsid w:val="005C349B"/>
    <w:rsid w:val="005C388F"/>
    <w:rsid w:val="005C3C79"/>
    <w:rsid w:val="005C3E41"/>
    <w:rsid w:val="005C4247"/>
    <w:rsid w:val="005C47C3"/>
    <w:rsid w:val="005C48F0"/>
    <w:rsid w:val="005C4FB3"/>
    <w:rsid w:val="005C5842"/>
    <w:rsid w:val="005C5926"/>
    <w:rsid w:val="005C5B4A"/>
    <w:rsid w:val="005C5B6A"/>
    <w:rsid w:val="005C5E2A"/>
    <w:rsid w:val="005C6196"/>
    <w:rsid w:val="005C6406"/>
    <w:rsid w:val="005C6977"/>
    <w:rsid w:val="005C6E22"/>
    <w:rsid w:val="005C7589"/>
    <w:rsid w:val="005D04D3"/>
    <w:rsid w:val="005D069F"/>
    <w:rsid w:val="005D0BD1"/>
    <w:rsid w:val="005D0E54"/>
    <w:rsid w:val="005D1A02"/>
    <w:rsid w:val="005D2050"/>
    <w:rsid w:val="005D23EA"/>
    <w:rsid w:val="005D2445"/>
    <w:rsid w:val="005D2851"/>
    <w:rsid w:val="005D37AC"/>
    <w:rsid w:val="005D464B"/>
    <w:rsid w:val="005D49E4"/>
    <w:rsid w:val="005D4A1E"/>
    <w:rsid w:val="005D4E19"/>
    <w:rsid w:val="005D54A4"/>
    <w:rsid w:val="005D64D9"/>
    <w:rsid w:val="005E081B"/>
    <w:rsid w:val="005E0D1F"/>
    <w:rsid w:val="005E11F5"/>
    <w:rsid w:val="005E1E4A"/>
    <w:rsid w:val="005E1F25"/>
    <w:rsid w:val="005E2016"/>
    <w:rsid w:val="005E258D"/>
    <w:rsid w:val="005E279A"/>
    <w:rsid w:val="005E2AD7"/>
    <w:rsid w:val="005E2E78"/>
    <w:rsid w:val="005E3082"/>
    <w:rsid w:val="005E3777"/>
    <w:rsid w:val="005E42D7"/>
    <w:rsid w:val="005E4693"/>
    <w:rsid w:val="005E507A"/>
    <w:rsid w:val="005E51A0"/>
    <w:rsid w:val="005E53F5"/>
    <w:rsid w:val="005E5456"/>
    <w:rsid w:val="005E577F"/>
    <w:rsid w:val="005E6061"/>
    <w:rsid w:val="005E6400"/>
    <w:rsid w:val="005E671B"/>
    <w:rsid w:val="005E6C8F"/>
    <w:rsid w:val="005E6F99"/>
    <w:rsid w:val="005E7791"/>
    <w:rsid w:val="005E7B1A"/>
    <w:rsid w:val="005E7ECD"/>
    <w:rsid w:val="005E7F81"/>
    <w:rsid w:val="005F00D7"/>
    <w:rsid w:val="005F0BA8"/>
    <w:rsid w:val="005F0C28"/>
    <w:rsid w:val="005F1946"/>
    <w:rsid w:val="005F3A36"/>
    <w:rsid w:val="005F3C25"/>
    <w:rsid w:val="005F48EE"/>
    <w:rsid w:val="005F4A04"/>
    <w:rsid w:val="005F4A67"/>
    <w:rsid w:val="005F4FDC"/>
    <w:rsid w:val="005F512D"/>
    <w:rsid w:val="005F5C73"/>
    <w:rsid w:val="005F6E58"/>
    <w:rsid w:val="006003C1"/>
    <w:rsid w:val="00600ACE"/>
    <w:rsid w:val="006010CB"/>
    <w:rsid w:val="00601402"/>
    <w:rsid w:val="006017E4"/>
    <w:rsid w:val="00601936"/>
    <w:rsid w:val="00602A44"/>
    <w:rsid w:val="006031FB"/>
    <w:rsid w:val="0060334C"/>
    <w:rsid w:val="00603C9E"/>
    <w:rsid w:val="00603CD7"/>
    <w:rsid w:val="00603F07"/>
    <w:rsid w:val="0060456F"/>
    <w:rsid w:val="00604EFC"/>
    <w:rsid w:val="00604F2A"/>
    <w:rsid w:val="00605BBD"/>
    <w:rsid w:val="00605CB8"/>
    <w:rsid w:val="0060745C"/>
    <w:rsid w:val="006077F8"/>
    <w:rsid w:val="00607FA3"/>
    <w:rsid w:val="006101C1"/>
    <w:rsid w:val="006101F6"/>
    <w:rsid w:val="0061058A"/>
    <w:rsid w:val="00611B62"/>
    <w:rsid w:val="006123FB"/>
    <w:rsid w:val="006129F8"/>
    <w:rsid w:val="006131A7"/>
    <w:rsid w:val="00615CA4"/>
    <w:rsid w:val="00616230"/>
    <w:rsid w:val="00616CC8"/>
    <w:rsid w:val="006175B7"/>
    <w:rsid w:val="0061769C"/>
    <w:rsid w:val="00620557"/>
    <w:rsid w:val="00620A20"/>
    <w:rsid w:val="00620CA9"/>
    <w:rsid w:val="006216EC"/>
    <w:rsid w:val="00621804"/>
    <w:rsid w:val="00621B5D"/>
    <w:rsid w:val="006225B8"/>
    <w:rsid w:val="00622C27"/>
    <w:rsid w:val="00622CC3"/>
    <w:rsid w:val="00623F3F"/>
    <w:rsid w:val="00623FAA"/>
    <w:rsid w:val="006241B4"/>
    <w:rsid w:val="00624609"/>
    <w:rsid w:val="00625947"/>
    <w:rsid w:val="00626195"/>
    <w:rsid w:val="006261A6"/>
    <w:rsid w:val="0062676E"/>
    <w:rsid w:val="00626ED3"/>
    <w:rsid w:val="0062797B"/>
    <w:rsid w:val="00630DA0"/>
    <w:rsid w:val="00631D51"/>
    <w:rsid w:val="0063261B"/>
    <w:rsid w:val="00632654"/>
    <w:rsid w:val="0063317E"/>
    <w:rsid w:val="00633351"/>
    <w:rsid w:val="0063343D"/>
    <w:rsid w:val="00633689"/>
    <w:rsid w:val="00633735"/>
    <w:rsid w:val="00634142"/>
    <w:rsid w:val="006344E8"/>
    <w:rsid w:val="0063494B"/>
    <w:rsid w:val="00635240"/>
    <w:rsid w:val="006356BE"/>
    <w:rsid w:val="0063574B"/>
    <w:rsid w:val="0063583C"/>
    <w:rsid w:val="00636C6B"/>
    <w:rsid w:val="00636FF6"/>
    <w:rsid w:val="00637A45"/>
    <w:rsid w:val="006406F6"/>
    <w:rsid w:val="0064088F"/>
    <w:rsid w:val="00640BBA"/>
    <w:rsid w:val="00640CCC"/>
    <w:rsid w:val="006428CD"/>
    <w:rsid w:val="00642B18"/>
    <w:rsid w:val="00644A4C"/>
    <w:rsid w:val="00644B11"/>
    <w:rsid w:val="00644CC4"/>
    <w:rsid w:val="006457EA"/>
    <w:rsid w:val="006459A7"/>
    <w:rsid w:val="00645AED"/>
    <w:rsid w:val="00647614"/>
    <w:rsid w:val="00650287"/>
    <w:rsid w:val="00650CFB"/>
    <w:rsid w:val="00651FC3"/>
    <w:rsid w:val="00652647"/>
    <w:rsid w:val="00652B59"/>
    <w:rsid w:val="006530FE"/>
    <w:rsid w:val="006538C1"/>
    <w:rsid w:val="00654157"/>
    <w:rsid w:val="00654892"/>
    <w:rsid w:val="0065549D"/>
    <w:rsid w:val="006571EF"/>
    <w:rsid w:val="0065786C"/>
    <w:rsid w:val="0065786D"/>
    <w:rsid w:val="006578E3"/>
    <w:rsid w:val="00657972"/>
    <w:rsid w:val="00660055"/>
    <w:rsid w:val="0066044A"/>
    <w:rsid w:val="00660C75"/>
    <w:rsid w:val="00661B82"/>
    <w:rsid w:val="00661E03"/>
    <w:rsid w:val="00662150"/>
    <w:rsid w:val="00662E21"/>
    <w:rsid w:val="00662FBD"/>
    <w:rsid w:val="006634AD"/>
    <w:rsid w:val="00663952"/>
    <w:rsid w:val="00664A0B"/>
    <w:rsid w:val="00664EC2"/>
    <w:rsid w:val="00665F3F"/>
    <w:rsid w:val="006666C3"/>
    <w:rsid w:val="0066678D"/>
    <w:rsid w:val="0066693D"/>
    <w:rsid w:val="006672B2"/>
    <w:rsid w:val="0066766B"/>
    <w:rsid w:val="00667E9C"/>
    <w:rsid w:val="006704AF"/>
    <w:rsid w:val="00670EED"/>
    <w:rsid w:val="006720DA"/>
    <w:rsid w:val="006726C6"/>
    <w:rsid w:val="00672DDC"/>
    <w:rsid w:val="00675353"/>
    <w:rsid w:val="00675A3E"/>
    <w:rsid w:val="00675D13"/>
    <w:rsid w:val="00675EBF"/>
    <w:rsid w:val="0067627F"/>
    <w:rsid w:val="00677C15"/>
    <w:rsid w:val="00677EC8"/>
    <w:rsid w:val="0068097D"/>
    <w:rsid w:val="00680CB2"/>
    <w:rsid w:val="006810E0"/>
    <w:rsid w:val="00681AD6"/>
    <w:rsid w:val="00681BB2"/>
    <w:rsid w:val="00682822"/>
    <w:rsid w:val="00683479"/>
    <w:rsid w:val="00683AF9"/>
    <w:rsid w:val="00683ED9"/>
    <w:rsid w:val="006847AF"/>
    <w:rsid w:val="006848B6"/>
    <w:rsid w:val="006849AE"/>
    <w:rsid w:val="00684E49"/>
    <w:rsid w:val="00684EFC"/>
    <w:rsid w:val="0068758A"/>
    <w:rsid w:val="00690665"/>
    <w:rsid w:val="00690E51"/>
    <w:rsid w:val="00691F32"/>
    <w:rsid w:val="006925BE"/>
    <w:rsid w:val="00692659"/>
    <w:rsid w:val="00692D0F"/>
    <w:rsid w:val="00692D13"/>
    <w:rsid w:val="0069331C"/>
    <w:rsid w:val="0069367F"/>
    <w:rsid w:val="0069394C"/>
    <w:rsid w:val="006941E1"/>
    <w:rsid w:val="006945C7"/>
    <w:rsid w:val="00694790"/>
    <w:rsid w:val="006948BB"/>
    <w:rsid w:val="00694A17"/>
    <w:rsid w:val="0069519F"/>
    <w:rsid w:val="0069525B"/>
    <w:rsid w:val="00695702"/>
    <w:rsid w:val="0069610D"/>
    <w:rsid w:val="00697228"/>
    <w:rsid w:val="00697E83"/>
    <w:rsid w:val="006A0799"/>
    <w:rsid w:val="006A097B"/>
    <w:rsid w:val="006A0A54"/>
    <w:rsid w:val="006A0F53"/>
    <w:rsid w:val="006A14EE"/>
    <w:rsid w:val="006A189B"/>
    <w:rsid w:val="006A2954"/>
    <w:rsid w:val="006A3EBD"/>
    <w:rsid w:val="006A43FB"/>
    <w:rsid w:val="006A5A3D"/>
    <w:rsid w:val="006A5CAE"/>
    <w:rsid w:val="006A6A94"/>
    <w:rsid w:val="006A74CC"/>
    <w:rsid w:val="006A7AAC"/>
    <w:rsid w:val="006B0240"/>
    <w:rsid w:val="006B087E"/>
    <w:rsid w:val="006B11F7"/>
    <w:rsid w:val="006B1755"/>
    <w:rsid w:val="006B19D9"/>
    <w:rsid w:val="006B1B4A"/>
    <w:rsid w:val="006B2C91"/>
    <w:rsid w:val="006B3306"/>
    <w:rsid w:val="006B34F9"/>
    <w:rsid w:val="006B356B"/>
    <w:rsid w:val="006B429C"/>
    <w:rsid w:val="006B455F"/>
    <w:rsid w:val="006B5338"/>
    <w:rsid w:val="006B56D6"/>
    <w:rsid w:val="006B5860"/>
    <w:rsid w:val="006B5993"/>
    <w:rsid w:val="006B59A3"/>
    <w:rsid w:val="006B5A61"/>
    <w:rsid w:val="006B63A6"/>
    <w:rsid w:val="006B6B5D"/>
    <w:rsid w:val="006B701B"/>
    <w:rsid w:val="006B7CB8"/>
    <w:rsid w:val="006C0CD7"/>
    <w:rsid w:val="006C0EF6"/>
    <w:rsid w:val="006C1219"/>
    <w:rsid w:val="006C137D"/>
    <w:rsid w:val="006C1C15"/>
    <w:rsid w:val="006C1DBE"/>
    <w:rsid w:val="006C1EF7"/>
    <w:rsid w:val="006C1F47"/>
    <w:rsid w:val="006C25EF"/>
    <w:rsid w:val="006C26A5"/>
    <w:rsid w:val="006C2965"/>
    <w:rsid w:val="006C3272"/>
    <w:rsid w:val="006C34F8"/>
    <w:rsid w:val="006C37DB"/>
    <w:rsid w:val="006C3EB9"/>
    <w:rsid w:val="006C48E7"/>
    <w:rsid w:val="006C4DAA"/>
    <w:rsid w:val="006C5F65"/>
    <w:rsid w:val="006C6BBC"/>
    <w:rsid w:val="006C6EAF"/>
    <w:rsid w:val="006D0633"/>
    <w:rsid w:val="006D0964"/>
    <w:rsid w:val="006D0E57"/>
    <w:rsid w:val="006D0F4E"/>
    <w:rsid w:val="006D2C18"/>
    <w:rsid w:val="006D2E72"/>
    <w:rsid w:val="006D3667"/>
    <w:rsid w:val="006D3F03"/>
    <w:rsid w:val="006D49B7"/>
    <w:rsid w:val="006D4C79"/>
    <w:rsid w:val="006D4CB9"/>
    <w:rsid w:val="006D59EA"/>
    <w:rsid w:val="006D5EE8"/>
    <w:rsid w:val="006D6530"/>
    <w:rsid w:val="006D65C5"/>
    <w:rsid w:val="006D765B"/>
    <w:rsid w:val="006D7A40"/>
    <w:rsid w:val="006D7D8A"/>
    <w:rsid w:val="006E0EC8"/>
    <w:rsid w:val="006E107E"/>
    <w:rsid w:val="006E24EB"/>
    <w:rsid w:val="006E2A9A"/>
    <w:rsid w:val="006E35AA"/>
    <w:rsid w:val="006E3951"/>
    <w:rsid w:val="006E39C2"/>
    <w:rsid w:val="006E3D80"/>
    <w:rsid w:val="006E47B7"/>
    <w:rsid w:val="006E5249"/>
    <w:rsid w:val="006E56C2"/>
    <w:rsid w:val="006E5BEE"/>
    <w:rsid w:val="006E6399"/>
    <w:rsid w:val="006E65A1"/>
    <w:rsid w:val="006E6E17"/>
    <w:rsid w:val="006E7973"/>
    <w:rsid w:val="006F0817"/>
    <w:rsid w:val="006F090F"/>
    <w:rsid w:val="006F0A66"/>
    <w:rsid w:val="006F0FB5"/>
    <w:rsid w:val="006F13A2"/>
    <w:rsid w:val="006F28B8"/>
    <w:rsid w:val="006F2F41"/>
    <w:rsid w:val="006F33CE"/>
    <w:rsid w:val="006F36D6"/>
    <w:rsid w:val="006F4357"/>
    <w:rsid w:val="006F5B38"/>
    <w:rsid w:val="006F6093"/>
    <w:rsid w:val="006F6B88"/>
    <w:rsid w:val="006F769F"/>
    <w:rsid w:val="006F7A10"/>
    <w:rsid w:val="00700BA1"/>
    <w:rsid w:val="00701566"/>
    <w:rsid w:val="00702274"/>
    <w:rsid w:val="0070239F"/>
    <w:rsid w:val="00703C75"/>
    <w:rsid w:val="00703CA8"/>
    <w:rsid w:val="0070424D"/>
    <w:rsid w:val="007042FC"/>
    <w:rsid w:val="0070442B"/>
    <w:rsid w:val="00704660"/>
    <w:rsid w:val="007056BE"/>
    <w:rsid w:val="00707B0B"/>
    <w:rsid w:val="00710244"/>
    <w:rsid w:val="00710BA6"/>
    <w:rsid w:val="00710D92"/>
    <w:rsid w:val="007112C7"/>
    <w:rsid w:val="007115F6"/>
    <w:rsid w:val="007117EE"/>
    <w:rsid w:val="007119A9"/>
    <w:rsid w:val="007119D2"/>
    <w:rsid w:val="007120C0"/>
    <w:rsid w:val="007124C0"/>
    <w:rsid w:val="00712A08"/>
    <w:rsid w:val="007141B0"/>
    <w:rsid w:val="007145C0"/>
    <w:rsid w:val="00714779"/>
    <w:rsid w:val="00714A23"/>
    <w:rsid w:val="00714AAB"/>
    <w:rsid w:val="007151EC"/>
    <w:rsid w:val="00715631"/>
    <w:rsid w:val="0071620D"/>
    <w:rsid w:val="0072114D"/>
    <w:rsid w:val="00721F21"/>
    <w:rsid w:val="00723501"/>
    <w:rsid w:val="00724BAC"/>
    <w:rsid w:val="00726C14"/>
    <w:rsid w:val="007271CD"/>
    <w:rsid w:val="007272EC"/>
    <w:rsid w:val="0072785F"/>
    <w:rsid w:val="00727EDA"/>
    <w:rsid w:val="00730732"/>
    <w:rsid w:val="00730F6E"/>
    <w:rsid w:val="00731300"/>
    <w:rsid w:val="00731353"/>
    <w:rsid w:val="00731726"/>
    <w:rsid w:val="00732619"/>
    <w:rsid w:val="00732AB9"/>
    <w:rsid w:val="00735BEE"/>
    <w:rsid w:val="00735F9E"/>
    <w:rsid w:val="007368A5"/>
    <w:rsid w:val="007373FD"/>
    <w:rsid w:val="00740769"/>
    <w:rsid w:val="00740850"/>
    <w:rsid w:val="007418D5"/>
    <w:rsid w:val="00741B85"/>
    <w:rsid w:val="00741F33"/>
    <w:rsid w:val="00741FA2"/>
    <w:rsid w:val="007423C6"/>
    <w:rsid w:val="00742C88"/>
    <w:rsid w:val="0074302B"/>
    <w:rsid w:val="00743A05"/>
    <w:rsid w:val="00743BFE"/>
    <w:rsid w:val="00744D51"/>
    <w:rsid w:val="0074556C"/>
    <w:rsid w:val="0074569D"/>
    <w:rsid w:val="00745BDE"/>
    <w:rsid w:val="00746D47"/>
    <w:rsid w:val="007474FA"/>
    <w:rsid w:val="007508C2"/>
    <w:rsid w:val="00750A2F"/>
    <w:rsid w:val="0075115B"/>
    <w:rsid w:val="007517CA"/>
    <w:rsid w:val="00751F48"/>
    <w:rsid w:val="00752541"/>
    <w:rsid w:val="00752A37"/>
    <w:rsid w:val="00752AC2"/>
    <w:rsid w:val="00754019"/>
    <w:rsid w:val="00754775"/>
    <w:rsid w:val="00754DE5"/>
    <w:rsid w:val="0075519D"/>
    <w:rsid w:val="00755693"/>
    <w:rsid w:val="00755A2E"/>
    <w:rsid w:val="00755A4C"/>
    <w:rsid w:val="00756747"/>
    <w:rsid w:val="007570AD"/>
    <w:rsid w:val="00757128"/>
    <w:rsid w:val="00757516"/>
    <w:rsid w:val="007575CD"/>
    <w:rsid w:val="00757B26"/>
    <w:rsid w:val="00757B44"/>
    <w:rsid w:val="00760265"/>
    <w:rsid w:val="0076073A"/>
    <w:rsid w:val="00760E53"/>
    <w:rsid w:val="00761F22"/>
    <w:rsid w:val="007624B0"/>
    <w:rsid w:val="00762AE2"/>
    <w:rsid w:val="007632A0"/>
    <w:rsid w:val="007632F3"/>
    <w:rsid w:val="00764261"/>
    <w:rsid w:val="007645C6"/>
    <w:rsid w:val="007651D9"/>
    <w:rsid w:val="007658F0"/>
    <w:rsid w:val="007659E5"/>
    <w:rsid w:val="00765E7E"/>
    <w:rsid w:val="00766890"/>
    <w:rsid w:val="00766EC2"/>
    <w:rsid w:val="00767B71"/>
    <w:rsid w:val="0077041F"/>
    <w:rsid w:val="00770750"/>
    <w:rsid w:val="00770B20"/>
    <w:rsid w:val="00771171"/>
    <w:rsid w:val="007719CF"/>
    <w:rsid w:val="00771C43"/>
    <w:rsid w:val="00771CFB"/>
    <w:rsid w:val="00771DAC"/>
    <w:rsid w:val="00771DC0"/>
    <w:rsid w:val="007721F2"/>
    <w:rsid w:val="00773633"/>
    <w:rsid w:val="0077376A"/>
    <w:rsid w:val="007745DB"/>
    <w:rsid w:val="007748DD"/>
    <w:rsid w:val="00774A10"/>
    <w:rsid w:val="00774F15"/>
    <w:rsid w:val="00774FE2"/>
    <w:rsid w:val="00775A79"/>
    <w:rsid w:val="00776C49"/>
    <w:rsid w:val="0077785A"/>
    <w:rsid w:val="00777BA8"/>
    <w:rsid w:val="00777D3A"/>
    <w:rsid w:val="0078282F"/>
    <w:rsid w:val="00782BE1"/>
    <w:rsid w:val="00783399"/>
    <w:rsid w:val="007835CD"/>
    <w:rsid w:val="0078360C"/>
    <w:rsid w:val="00783C92"/>
    <w:rsid w:val="00784228"/>
    <w:rsid w:val="00785477"/>
    <w:rsid w:val="007867BD"/>
    <w:rsid w:val="0078708C"/>
    <w:rsid w:val="0078746D"/>
    <w:rsid w:val="00787795"/>
    <w:rsid w:val="00787CA9"/>
    <w:rsid w:val="00790E9D"/>
    <w:rsid w:val="00790FBD"/>
    <w:rsid w:val="00791008"/>
    <w:rsid w:val="0079125D"/>
    <w:rsid w:val="0079227E"/>
    <w:rsid w:val="00792AA5"/>
    <w:rsid w:val="0079360A"/>
    <w:rsid w:val="00793653"/>
    <w:rsid w:val="007936EB"/>
    <w:rsid w:val="00793B92"/>
    <w:rsid w:val="00796587"/>
    <w:rsid w:val="007973CB"/>
    <w:rsid w:val="0079740E"/>
    <w:rsid w:val="007A00DB"/>
    <w:rsid w:val="007A20DC"/>
    <w:rsid w:val="007A27F2"/>
    <w:rsid w:val="007A2821"/>
    <w:rsid w:val="007A2CFD"/>
    <w:rsid w:val="007A2F23"/>
    <w:rsid w:val="007A3AA1"/>
    <w:rsid w:val="007A3C1A"/>
    <w:rsid w:val="007A43C3"/>
    <w:rsid w:val="007A4F6A"/>
    <w:rsid w:val="007A5698"/>
    <w:rsid w:val="007A5A1D"/>
    <w:rsid w:val="007A5F2D"/>
    <w:rsid w:val="007A5FED"/>
    <w:rsid w:val="007A60BA"/>
    <w:rsid w:val="007A6303"/>
    <w:rsid w:val="007A6408"/>
    <w:rsid w:val="007A6515"/>
    <w:rsid w:val="007A6AFC"/>
    <w:rsid w:val="007A7CBF"/>
    <w:rsid w:val="007B0028"/>
    <w:rsid w:val="007B04BF"/>
    <w:rsid w:val="007B06E2"/>
    <w:rsid w:val="007B080E"/>
    <w:rsid w:val="007B08DB"/>
    <w:rsid w:val="007B12C9"/>
    <w:rsid w:val="007B182E"/>
    <w:rsid w:val="007B195C"/>
    <w:rsid w:val="007B1B29"/>
    <w:rsid w:val="007B1E8B"/>
    <w:rsid w:val="007B1FCB"/>
    <w:rsid w:val="007B24C5"/>
    <w:rsid w:val="007B3C33"/>
    <w:rsid w:val="007B4228"/>
    <w:rsid w:val="007B5426"/>
    <w:rsid w:val="007B54D0"/>
    <w:rsid w:val="007B5A10"/>
    <w:rsid w:val="007B61FA"/>
    <w:rsid w:val="007B6633"/>
    <w:rsid w:val="007B6D1C"/>
    <w:rsid w:val="007B748F"/>
    <w:rsid w:val="007B7C92"/>
    <w:rsid w:val="007C01D8"/>
    <w:rsid w:val="007C051F"/>
    <w:rsid w:val="007C0C5D"/>
    <w:rsid w:val="007C106C"/>
    <w:rsid w:val="007C1ECD"/>
    <w:rsid w:val="007C1F83"/>
    <w:rsid w:val="007C1FF6"/>
    <w:rsid w:val="007C2F68"/>
    <w:rsid w:val="007C2F81"/>
    <w:rsid w:val="007C3547"/>
    <w:rsid w:val="007C35EE"/>
    <w:rsid w:val="007C3DD8"/>
    <w:rsid w:val="007C403D"/>
    <w:rsid w:val="007C40C5"/>
    <w:rsid w:val="007C4222"/>
    <w:rsid w:val="007C48F0"/>
    <w:rsid w:val="007C4ACE"/>
    <w:rsid w:val="007C4B89"/>
    <w:rsid w:val="007C50F9"/>
    <w:rsid w:val="007C5F43"/>
    <w:rsid w:val="007C6B61"/>
    <w:rsid w:val="007C7BE5"/>
    <w:rsid w:val="007C7DCE"/>
    <w:rsid w:val="007D0236"/>
    <w:rsid w:val="007D0D15"/>
    <w:rsid w:val="007D0F69"/>
    <w:rsid w:val="007D38CF"/>
    <w:rsid w:val="007D3D81"/>
    <w:rsid w:val="007D4196"/>
    <w:rsid w:val="007D4685"/>
    <w:rsid w:val="007D47A2"/>
    <w:rsid w:val="007D62E8"/>
    <w:rsid w:val="007E0D14"/>
    <w:rsid w:val="007E0FE4"/>
    <w:rsid w:val="007E15F4"/>
    <w:rsid w:val="007E2630"/>
    <w:rsid w:val="007E35B7"/>
    <w:rsid w:val="007E3832"/>
    <w:rsid w:val="007E38C6"/>
    <w:rsid w:val="007E3A8F"/>
    <w:rsid w:val="007E3C3D"/>
    <w:rsid w:val="007E3DDD"/>
    <w:rsid w:val="007E465A"/>
    <w:rsid w:val="007E4B78"/>
    <w:rsid w:val="007E4ECA"/>
    <w:rsid w:val="007E5659"/>
    <w:rsid w:val="007E6696"/>
    <w:rsid w:val="007E696A"/>
    <w:rsid w:val="007E6C16"/>
    <w:rsid w:val="007E6C1A"/>
    <w:rsid w:val="007E6CE6"/>
    <w:rsid w:val="007E7275"/>
    <w:rsid w:val="007E777B"/>
    <w:rsid w:val="007F02FE"/>
    <w:rsid w:val="007F0591"/>
    <w:rsid w:val="007F095D"/>
    <w:rsid w:val="007F0B2B"/>
    <w:rsid w:val="007F0D77"/>
    <w:rsid w:val="007F0F99"/>
    <w:rsid w:val="007F1071"/>
    <w:rsid w:val="007F10C9"/>
    <w:rsid w:val="007F1B6F"/>
    <w:rsid w:val="007F1B9B"/>
    <w:rsid w:val="007F2166"/>
    <w:rsid w:val="007F2373"/>
    <w:rsid w:val="007F351B"/>
    <w:rsid w:val="007F3A92"/>
    <w:rsid w:val="007F3C88"/>
    <w:rsid w:val="007F3FD7"/>
    <w:rsid w:val="007F4017"/>
    <w:rsid w:val="007F4E93"/>
    <w:rsid w:val="007F4F41"/>
    <w:rsid w:val="007F5385"/>
    <w:rsid w:val="007F54B8"/>
    <w:rsid w:val="007F64F0"/>
    <w:rsid w:val="007F7D92"/>
    <w:rsid w:val="00800055"/>
    <w:rsid w:val="008003A3"/>
    <w:rsid w:val="00800EBB"/>
    <w:rsid w:val="00802147"/>
    <w:rsid w:val="008025C3"/>
    <w:rsid w:val="00802A7A"/>
    <w:rsid w:val="00802C40"/>
    <w:rsid w:val="00802E78"/>
    <w:rsid w:val="0080318F"/>
    <w:rsid w:val="008031A4"/>
    <w:rsid w:val="00803FDD"/>
    <w:rsid w:val="0080425C"/>
    <w:rsid w:val="008045A4"/>
    <w:rsid w:val="00805C89"/>
    <w:rsid w:val="0080682D"/>
    <w:rsid w:val="00806B91"/>
    <w:rsid w:val="00810068"/>
    <w:rsid w:val="008101AE"/>
    <w:rsid w:val="00810AF6"/>
    <w:rsid w:val="00810B71"/>
    <w:rsid w:val="00810DAD"/>
    <w:rsid w:val="00810DF5"/>
    <w:rsid w:val="0081129F"/>
    <w:rsid w:val="00811D91"/>
    <w:rsid w:val="0081206B"/>
    <w:rsid w:val="008128A7"/>
    <w:rsid w:val="00812B6E"/>
    <w:rsid w:val="00813154"/>
    <w:rsid w:val="00813E26"/>
    <w:rsid w:val="00813E5C"/>
    <w:rsid w:val="00814219"/>
    <w:rsid w:val="00814CAE"/>
    <w:rsid w:val="00815CD0"/>
    <w:rsid w:val="00815D56"/>
    <w:rsid w:val="008167E2"/>
    <w:rsid w:val="00817B61"/>
    <w:rsid w:val="00817F47"/>
    <w:rsid w:val="008205C7"/>
    <w:rsid w:val="008208C0"/>
    <w:rsid w:val="008210F1"/>
    <w:rsid w:val="0082136F"/>
    <w:rsid w:val="00821C77"/>
    <w:rsid w:val="00822376"/>
    <w:rsid w:val="0082417A"/>
    <w:rsid w:val="008241E2"/>
    <w:rsid w:val="0082509E"/>
    <w:rsid w:val="00825E84"/>
    <w:rsid w:val="00825EFA"/>
    <w:rsid w:val="00826117"/>
    <w:rsid w:val="00826E4A"/>
    <w:rsid w:val="00826FF0"/>
    <w:rsid w:val="0082707A"/>
    <w:rsid w:val="008274F5"/>
    <w:rsid w:val="008279C8"/>
    <w:rsid w:val="00827E3D"/>
    <w:rsid w:val="00830222"/>
    <w:rsid w:val="0083166C"/>
    <w:rsid w:val="00831B69"/>
    <w:rsid w:val="008320A2"/>
    <w:rsid w:val="00832177"/>
    <w:rsid w:val="008323CA"/>
    <w:rsid w:val="0083283D"/>
    <w:rsid w:val="00832879"/>
    <w:rsid w:val="00832C09"/>
    <w:rsid w:val="00832F29"/>
    <w:rsid w:val="00833477"/>
    <w:rsid w:val="00833DD6"/>
    <w:rsid w:val="0083438A"/>
    <w:rsid w:val="00834F18"/>
    <w:rsid w:val="008355AA"/>
    <w:rsid w:val="00836331"/>
    <w:rsid w:val="008367FA"/>
    <w:rsid w:val="00836849"/>
    <w:rsid w:val="00836895"/>
    <w:rsid w:val="00836D2B"/>
    <w:rsid w:val="0083783E"/>
    <w:rsid w:val="00837CBD"/>
    <w:rsid w:val="0084029E"/>
    <w:rsid w:val="00840E38"/>
    <w:rsid w:val="00841077"/>
    <w:rsid w:val="00841319"/>
    <w:rsid w:val="0084173D"/>
    <w:rsid w:val="008429CF"/>
    <w:rsid w:val="0084301A"/>
    <w:rsid w:val="00843DE5"/>
    <w:rsid w:val="008442E8"/>
    <w:rsid w:val="008448D7"/>
    <w:rsid w:val="00844A76"/>
    <w:rsid w:val="008454D8"/>
    <w:rsid w:val="00850AA8"/>
    <w:rsid w:val="0085102F"/>
    <w:rsid w:val="00852079"/>
    <w:rsid w:val="008520B0"/>
    <w:rsid w:val="00852A4D"/>
    <w:rsid w:val="00852F98"/>
    <w:rsid w:val="008535B0"/>
    <w:rsid w:val="0085463E"/>
    <w:rsid w:val="008549BF"/>
    <w:rsid w:val="008558E9"/>
    <w:rsid w:val="00856208"/>
    <w:rsid w:val="00856A47"/>
    <w:rsid w:val="00856EF1"/>
    <w:rsid w:val="0086063A"/>
    <w:rsid w:val="00860F09"/>
    <w:rsid w:val="00860F4F"/>
    <w:rsid w:val="0086101E"/>
    <w:rsid w:val="008637B6"/>
    <w:rsid w:val="008643BE"/>
    <w:rsid w:val="00864551"/>
    <w:rsid w:val="00864939"/>
    <w:rsid w:val="00864AA9"/>
    <w:rsid w:val="0086574A"/>
    <w:rsid w:val="0086594F"/>
    <w:rsid w:val="008666AE"/>
    <w:rsid w:val="00866AB7"/>
    <w:rsid w:val="008670DC"/>
    <w:rsid w:val="00867955"/>
    <w:rsid w:val="00867C9F"/>
    <w:rsid w:val="00870509"/>
    <w:rsid w:val="008705B5"/>
    <w:rsid w:val="00870704"/>
    <w:rsid w:val="00872221"/>
    <w:rsid w:val="00872B58"/>
    <w:rsid w:val="00872F3E"/>
    <w:rsid w:val="00873037"/>
    <w:rsid w:val="0087365F"/>
    <w:rsid w:val="00873948"/>
    <w:rsid w:val="00874148"/>
    <w:rsid w:val="00874375"/>
    <w:rsid w:val="00874396"/>
    <w:rsid w:val="008747A5"/>
    <w:rsid w:val="00874D03"/>
    <w:rsid w:val="00874D77"/>
    <w:rsid w:val="008756F3"/>
    <w:rsid w:val="00875912"/>
    <w:rsid w:val="0087631F"/>
    <w:rsid w:val="00876E05"/>
    <w:rsid w:val="00877005"/>
    <w:rsid w:val="008775F9"/>
    <w:rsid w:val="008778F7"/>
    <w:rsid w:val="00877BB0"/>
    <w:rsid w:val="00880408"/>
    <w:rsid w:val="00880769"/>
    <w:rsid w:val="00880A6A"/>
    <w:rsid w:val="00881FC8"/>
    <w:rsid w:val="008821E5"/>
    <w:rsid w:val="008824B3"/>
    <w:rsid w:val="00882C61"/>
    <w:rsid w:val="0088377E"/>
    <w:rsid w:val="008844D0"/>
    <w:rsid w:val="00885EA6"/>
    <w:rsid w:val="00885FE1"/>
    <w:rsid w:val="008868DF"/>
    <w:rsid w:val="00886A2D"/>
    <w:rsid w:val="00886E58"/>
    <w:rsid w:val="00886FB7"/>
    <w:rsid w:val="00887070"/>
    <w:rsid w:val="008908A2"/>
    <w:rsid w:val="008908CE"/>
    <w:rsid w:val="008932C3"/>
    <w:rsid w:val="00893538"/>
    <w:rsid w:val="008936B9"/>
    <w:rsid w:val="008937FB"/>
    <w:rsid w:val="00894098"/>
    <w:rsid w:val="00894220"/>
    <w:rsid w:val="00894CC1"/>
    <w:rsid w:val="00894EB8"/>
    <w:rsid w:val="00895371"/>
    <w:rsid w:val="00896111"/>
    <w:rsid w:val="00897720"/>
    <w:rsid w:val="00897731"/>
    <w:rsid w:val="008A023E"/>
    <w:rsid w:val="008A0338"/>
    <w:rsid w:val="008A10C0"/>
    <w:rsid w:val="008A11B2"/>
    <w:rsid w:val="008A144C"/>
    <w:rsid w:val="008A207D"/>
    <w:rsid w:val="008A2699"/>
    <w:rsid w:val="008A2A41"/>
    <w:rsid w:val="008A2CE6"/>
    <w:rsid w:val="008A4443"/>
    <w:rsid w:val="008A4A85"/>
    <w:rsid w:val="008A51B8"/>
    <w:rsid w:val="008A552A"/>
    <w:rsid w:val="008A5917"/>
    <w:rsid w:val="008A5921"/>
    <w:rsid w:val="008A619A"/>
    <w:rsid w:val="008A6276"/>
    <w:rsid w:val="008A754F"/>
    <w:rsid w:val="008A7AC9"/>
    <w:rsid w:val="008A7D8F"/>
    <w:rsid w:val="008B0352"/>
    <w:rsid w:val="008B0411"/>
    <w:rsid w:val="008B0489"/>
    <w:rsid w:val="008B066B"/>
    <w:rsid w:val="008B0EBA"/>
    <w:rsid w:val="008B111B"/>
    <w:rsid w:val="008B18CC"/>
    <w:rsid w:val="008B20B3"/>
    <w:rsid w:val="008B2FB1"/>
    <w:rsid w:val="008B3817"/>
    <w:rsid w:val="008B42F3"/>
    <w:rsid w:val="008B46A0"/>
    <w:rsid w:val="008B4E54"/>
    <w:rsid w:val="008B4E8D"/>
    <w:rsid w:val="008B5CCF"/>
    <w:rsid w:val="008B5E21"/>
    <w:rsid w:val="008B68FA"/>
    <w:rsid w:val="008B6A04"/>
    <w:rsid w:val="008B763C"/>
    <w:rsid w:val="008C107E"/>
    <w:rsid w:val="008C16D7"/>
    <w:rsid w:val="008C18C9"/>
    <w:rsid w:val="008C1A19"/>
    <w:rsid w:val="008C1A37"/>
    <w:rsid w:val="008C1ADC"/>
    <w:rsid w:val="008C3ABC"/>
    <w:rsid w:val="008C3B05"/>
    <w:rsid w:val="008C49E9"/>
    <w:rsid w:val="008C4FF2"/>
    <w:rsid w:val="008C5919"/>
    <w:rsid w:val="008C5A50"/>
    <w:rsid w:val="008C5D9F"/>
    <w:rsid w:val="008C6527"/>
    <w:rsid w:val="008C66C5"/>
    <w:rsid w:val="008C6762"/>
    <w:rsid w:val="008C7307"/>
    <w:rsid w:val="008C7376"/>
    <w:rsid w:val="008C7A51"/>
    <w:rsid w:val="008C7AD6"/>
    <w:rsid w:val="008D006A"/>
    <w:rsid w:val="008D06C8"/>
    <w:rsid w:val="008D0711"/>
    <w:rsid w:val="008D0845"/>
    <w:rsid w:val="008D185D"/>
    <w:rsid w:val="008D24C0"/>
    <w:rsid w:val="008D2A04"/>
    <w:rsid w:val="008D2BBA"/>
    <w:rsid w:val="008D2E03"/>
    <w:rsid w:val="008D33F4"/>
    <w:rsid w:val="008D3550"/>
    <w:rsid w:val="008D3676"/>
    <w:rsid w:val="008D3CCA"/>
    <w:rsid w:val="008D3D89"/>
    <w:rsid w:val="008D4B56"/>
    <w:rsid w:val="008D54E6"/>
    <w:rsid w:val="008D63DE"/>
    <w:rsid w:val="008D72FD"/>
    <w:rsid w:val="008D7F63"/>
    <w:rsid w:val="008E00A0"/>
    <w:rsid w:val="008E0BA0"/>
    <w:rsid w:val="008E11FE"/>
    <w:rsid w:val="008E25D3"/>
    <w:rsid w:val="008E353B"/>
    <w:rsid w:val="008E4EDF"/>
    <w:rsid w:val="008E586B"/>
    <w:rsid w:val="008E593E"/>
    <w:rsid w:val="008E734A"/>
    <w:rsid w:val="008E7B00"/>
    <w:rsid w:val="008E7D63"/>
    <w:rsid w:val="008F0D63"/>
    <w:rsid w:val="008F0ECC"/>
    <w:rsid w:val="008F199F"/>
    <w:rsid w:val="008F1BD8"/>
    <w:rsid w:val="008F2241"/>
    <w:rsid w:val="008F22BF"/>
    <w:rsid w:val="008F2445"/>
    <w:rsid w:val="008F28EB"/>
    <w:rsid w:val="008F2A09"/>
    <w:rsid w:val="008F316B"/>
    <w:rsid w:val="008F33FE"/>
    <w:rsid w:val="008F4C7B"/>
    <w:rsid w:val="008F4CB2"/>
    <w:rsid w:val="008F4E95"/>
    <w:rsid w:val="008F5471"/>
    <w:rsid w:val="008F5BBB"/>
    <w:rsid w:val="008F5FDC"/>
    <w:rsid w:val="008F6AAD"/>
    <w:rsid w:val="008F6FAD"/>
    <w:rsid w:val="008F6FF0"/>
    <w:rsid w:val="008F7938"/>
    <w:rsid w:val="008F7E1D"/>
    <w:rsid w:val="008F7F6A"/>
    <w:rsid w:val="0090098E"/>
    <w:rsid w:val="00900AD6"/>
    <w:rsid w:val="009016E6"/>
    <w:rsid w:val="00901D8E"/>
    <w:rsid w:val="00902614"/>
    <w:rsid w:val="00902644"/>
    <w:rsid w:val="0090382C"/>
    <w:rsid w:val="009039D0"/>
    <w:rsid w:val="0090406D"/>
    <w:rsid w:val="00904458"/>
    <w:rsid w:val="00904CE4"/>
    <w:rsid w:val="00904CEF"/>
    <w:rsid w:val="00904DC4"/>
    <w:rsid w:val="00905418"/>
    <w:rsid w:val="00905569"/>
    <w:rsid w:val="00905697"/>
    <w:rsid w:val="00906494"/>
    <w:rsid w:val="009073CB"/>
    <w:rsid w:val="009073F0"/>
    <w:rsid w:val="00907528"/>
    <w:rsid w:val="00907C50"/>
    <w:rsid w:val="009112DD"/>
    <w:rsid w:val="00911349"/>
    <w:rsid w:val="0091177A"/>
    <w:rsid w:val="00911F03"/>
    <w:rsid w:val="00912899"/>
    <w:rsid w:val="009128A5"/>
    <w:rsid w:val="009133CC"/>
    <w:rsid w:val="009138A7"/>
    <w:rsid w:val="0091398B"/>
    <w:rsid w:val="00913C88"/>
    <w:rsid w:val="00913FB2"/>
    <w:rsid w:val="00914AB5"/>
    <w:rsid w:val="00914CBE"/>
    <w:rsid w:val="00914D24"/>
    <w:rsid w:val="00914F37"/>
    <w:rsid w:val="00915376"/>
    <w:rsid w:val="009164BF"/>
    <w:rsid w:val="00916ACB"/>
    <w:rsid w:val="00920B54"/>
    <w:rsid w:val="00920DD8"/>
    <w:rsid w:val="00921AD8"/>
    <w:rsid w:val="00921BAD"/>
    <w:rsid w:val="009227F3"/>
    <w:rsid w:val="00922FDC"/>
    <w:rsid w:val="00925B79"/>
    <w:rsid w:val="00926C72"/>
    <w:rsid w:val="009275C7"/>
    <w:rsid w:val="0092768B"/>
    <w:rsid w:val="00930029"/>
    <w:rsid w:val="009301D6"/>
    <w:rsid w:val="00931280"/>
    <w:rsid w:val="00932217"/>
    <w:rsid w:val="00932D18"/>
    <w:rsid w:val="009331DC"/>
    <w:rsid w:val="00933397"/>
    <w:rsid w:val="00933465"/>
    <w:rsid w:val="009339C3"/>
    <w:rsid w:val="00933D0B"/>
    <w:rsid w:val="00933DCE"/>
    <w:rsid w:val="00934520"/>
    <w:rsid w:val="009347FE"/>
    <w:rsid w:val="00934C77"/>
    <w:rsid w:val="0093556E"/>
    <w:rsid w:val="00935DB1"/>
    <w:rsid w:val="00936A22"/>
    <w:rsid w:val="00936F90"/>
    <w:rsid w:val="00937595"/>
    <w:rsid w:val="00940197"/>
    <w:rsid w:val="0094059F"/>
    <w:rsid w:val="0094072D"/>
    <w:rsid w:val="009432AC"/>
    <w:rsid w:val="00943457"/>
    <w:rsid w:val="009436ED"/>
    <w:rsid w:val="009448FE"/>
    <w:rsid w:val="00944ACF"/>
    <w:rsid w:val="00945AEA"/>
    <w:rsid w:val="009461A9"/>
    <w:rsid w:val="00946AEB"/>
    <w:rsid w:val="00946EAE"/>
    <w:rsid w:val="009472EA"/>
    <w:rsid w:val="00947DC4"/>
    <w:rsid w:val="00950B73"/>
    <w:rsid w:val="00950E05"/>
    <w:rsid w:val="00951A46"/>
    <w:rsid w:val="00951BE7"/>
    <w:rsid w:val="009539A7"/>
    <w:rsid w:val="00954FB9"/>
    <w:rsid w:val="00954FCB"/>
    <w:rsid w:val="0095501E"/>
    <w:rsid w:val="009564EA"/>
    <w:rsid w:val="009565F2"/>
    <w:rsid w:val="00956AE2"/>
    <w:rsid w:val="0095752C"/>
    <w:rsid w:val="00957953"/>
    <w:rsid w:val="00957D63"/>
    <w:rsid w:val="00957EAD"/>
    <w:rsid w:val="0096007D"/>
    <w:rsid w:val="009600D5"/>
    <w:rsid w:val="009614D9"/>
    <w:rsid w:val="00961D66"/>
    <w:rsid w:val="00961E1F"/>
    <w:rsid w:val="00962A61"/>
    <w:rsid w:val="0096340C"/>
    <w:rsid w:val="00963536"/>
    <w:rsid w:val="009635C7"/>
    <w:rsid w:val="009640A3"/>
    <w:rsid w:val="00964CFC"/>
    <w:rsid w:val="00965222"/>
    <w:rsid w:val="0096529C"/>
    <w:rsid w:val="00966E44"/>
    <w:rsid w:val="00966EC8"/>
    <w:rsid w:val="009677A8"/>
    <w:rsid w:val="009677BB"/>
    <w:rsid w:val="0096786E"/>
    <w:rsid w:val="00967FF4"/>
    <w:rsid w:val="009703C1"/>
    <w:rsid w:val="009716EF"/>
    <w:rsid w:val="009725BF"/>
    <w:rsid w:val="0097267F"/>
    <w:rsid w:val="00972BC3"/>
    <w:rsid w:val="00972C52"/>
    <w:rsid w:val="00975564"/>
    <w:rsid w:val="00975E8F"/>
    <w:rsid w:val="00976114"/>
    <w:rsid w:val="0097683A"/>
    <w:rsid w:val="00977156"/>
    <w:rsid w:val="00977D5C"/>
    <w:rsid w:val="00980C2D"/>
    <w:rsid w:val="00982182"/>
    <w:rsid w:val="00982717"/>
    <w:rsid w:val="0098418A"/>
    <w:rsid w:val="009844BC"/>
    <w:rsid w:val="009848BE"/>
    <w:rsid w:val="00984A4C"/>
    <w:rsid w:val="00984B30"/>
    <w:rsid w:val="00984C2F"/>
    <w:rsid w:val="00984E0A"/>
    <w:rsid w:val="009852CE"/>
    <w:rsid w:val="00985A9C"/>
    <w:rsid w:val="00985EE6"/>
    <w:rsid w:val="00985EFE"/>
    <w:rsid w:val="00986C49"/>
    <w:rsid w:val="009903A1"/>
    <w:rsid w:val="00990E76"/>
    <w:rsid w:val="00991082"/>
    <w:rsid w:val="009911DE"/>
    <w:rsid w:val="009915C7"/>
    <w:rsid w:val="00991D5A"/>
    <w:rsid w:val="00992978"/>
    <w:rsid w:val="009937D8"/>
    <w:rsid w:val="00993A44"/>
    <w:rsid w:val="00993EC4"/>
    <w:rsid w:val="00994299"/>
    <w:rsid w:val="009947E9"/>
    <w:rsid w:val="00994D20"/>
    <w:rsid w:val="00994D4F"/>
    <w:rsid w:val="0099526E"/>
    <w:rsid w:val="009955A9"/>
    <w:rsid w:val="00995661"/>
    <w:rsid w:val="009959B5"/>
    <w:rsid w:val="009959C0"/>
    <w:rsid w:val="00995B7A"/>
    <w:rsid w:val="00995E0A"/>
    <w:rsid w:val="0099605F"/>
    <w:rsid w:val="00996727"/>
    <w:rsid w:val="00996897"/>
    <w:rsid w:val="00997375"/>
    <w:rsid w:val="00997A0C"/>
    <w:rsid w:val="009A008D"/>
    <w:rsid w:val="009A0402"/>
    <w:rsid w:val="009A07E4"/>
    <w:rsid w:val="009A0B41"/>
    <w:rsid w:val="009A0C1B"/>
    <w:rsid w:val="009A0DCA"/>
    <w:rsid w:val="009A0F1A"/>
    <w:rsid w:val="009A1B0C"/>
    <w:rsid w:val="009A1F92"/>
    <w:rsid w:val="009A234E"/>
    <w:rsid w:val="009A30C1"/>
    <w:rsid w:val="009A31DE"/>
    <w:rsid w:val="009A3346"/>
    <w:rsid w:val="009A36FC"/>
    <w:rsid w:val="009A37A9"/>
    <w:rsid w:val="009A386C"/>
    <w:rsid w:val="009A3F25"/>
    <w:rsid w:val="009A4B00"/>
    <w:rsid w:val="009A4BC7"/>
    <w:rsid w:val="009A4C3B"/>
    <w:rsid w:val="009A4C5F"/>
    <w:rsid w:val="009A5DB1"/>
    <w:rsid w:val="009A5DDA"/>
    <w:rsid w:val="009A5EA6"/>
    <w:rsid w:val="009A5F29"/>
    <w:rsid w:val="009A62A5"/>
    <w:rsid w:val="009A63BF"/>
    <w:rsid w:val="009A6564"/>
    <w:rsid w:val="009A77C4"/>
    <w:rsid w:val="009A7DB9"/>
    <w:rsid w:val="009B04FF"/>
    <w:rsid w:val="009B0735"/>
    <w:rsid w:val="009B0B77"/>
    <w:rsid w:val="009B0D88"/>
    <w:rsid w:val="009B1E17"/>
    <w:rsid w:val="009B2D1D"/>
    <w:rsid w:val="009B42F8"/>
    <w:rsid w:val="009B48C0"/>
    <w:rsid w:val="009B4A54"/>
    <w:rsid w:val="009B4BB1"/>
    <w:rsid w:val="009B512C"/>
    <w:rsid w:val="009B5905"/>
    <w:rsid w:val="009B5BFB"/>
    <w:rsid w:val="009B638B"/>
    <w:rsid w:val="009B69A6"/>
    <w:rsid w:val="009B787A"/>
    <w:rsid w:val="009B7919"/>
    <w:rsid w:val="009C0A15"/>
    <w:rsid w:val="009C0FFC"/>
    <w:rsid w:val="009C20EE"/>
    <w:rsid w:val="009C2868"/>
    <w:rsid w:val="009C2C9B"/>
    <w:rsid w:val="009C312D"/>
    <w:rsid w:val="009C35EB"/>
    <w:rsid w:val="009C3DBB"/>
    <w:rsid w:val="009C45A1"/>
    <w:rsid w:val="009C475F"/>
    <w:rsid w:val="009C47AF"/>
    <w:rsid w:val="009C48BD"/>
    <w:rsid w:val="009C4C93"/>
    <w:rsid w:val="009C5398"/>
    <w:rsid w:val="009C58AF"/>
    <w:rsid w:val="009C5BB3"/>
    <w:rsid w:val="009C5C32"/>
    <w:rsid w:val="009C6A1B"/>
    <w:rsid w:val="009C6C44"/>
    <w:rsid w:val="009C7349"/>
    <w:rsid w:val="009C740C"/>
    <w:rsid w:val="009C78E4"/>
    <w:rsid w:val="009C792A"/>
    <w:rsid w:val="009C7C29"/>
    <w:rsid w:val="009D0985"/>
    <w:rsid w:val="009D1558"/>
    <w:rsid w:val="009D16DF"/>
    <w:rsid w:val="009D188A"/>
    <w:rsid w:val="009D1CBE"/>
    <w:rsid w:val="009D22F8"/>
    <w:rsid w:val="009D4B89"/>
    <w:rsid w:val="009D4C98"/>
    <w:rsid w:val="009D594F"/>
    <w:rsid w:val="009D5E95"/>
    <w:rsid w:val="009D5ED8"/>
    <w:rsid w:val="009D6432"/>
    <w:rsid w:val="009D695E"/>
    <w:rsid w:val="009D6F0C"/>
    <w:rsid w:val="009D783C"/>
    <w:rsid w:val="009D7AC5"/>
    <w:rsid w:val="009D7AC7"/>
    <w:rsid w:val="009E01F7"/>
    <w:rsid w:val="009E1362"/>
    <w:rsid w:val="009E13BD"/>
    <w:rsid w:val="009E256A"/>
    <w:rsid w:val="009E28F3"/>
    <w:rsid w:val="009E356F"/>
    <w:rsid w:val="009E37B3"/>
    <w:rsid w:val="009E3B0C"/>
    <w:rsid w:val="009E4518"/>
    <w:rsid w:val="009E49B7"/>
    <w:rsid w:val="009E4C43"/>
    <w:rsid w:val="009E54CB"/>
    <w:rsid w:val="009E59E2"/>
    <w:rsid w:val="009E59F9"/>
    <w:rsid w:val="009E683D"/>
    <w:rsid w:val="009E6A1C"/>
    <w:rsid w:val="009E6D41"/>
    <w:rsid w:val="009E6DBC"/>
    <w:rsid w:val="009E7343"/>
    <w:rsid w:val="009E7D79"/>
    <w:rsid w:val="009F04D4"/>
    <w:rsid w:val="009F1173"/>
    <w:rsid w:val="009F1909"/>
    <w:rsid w:val="009F270E"/>
    <w:rsid w:val="009F2FC5"/>
    <w:rsid w:val="009F3161"/>
    <w:rsid w:val="009F3FFB"/>
    <w:rsid w:val="009F451A"/>
    <w:rsid w:val="009F474A"/>
    <w:rsid w:val="009F516E"/>
    <w:rsid w:val="009F5490"/>
    <w:rsid w:val="009F584D"/>
    <w:rsid w:val="009F760D"/>
    <w:rsid w:val="009F7CEC"/>
    <w:rsid w:val="00A000E6"/>
    <w:rsid w:val="00A00D71"/>
    <w:rsid w:val="00A019A7"/>
    <w:rsid w:val="00A01AE0"/>
    <w:rsid w:val="00A01B3E"/>
    <w:rsid w:val="00A01BFB"/>
    <w:rsid w:val="00A0207B"/>
    <w:rsid w:val="00A02DC5"/>
    <w:rsid w:val="00A034FD"/>
    <w:rsid w:val="00A035F4"/>
    <w:rsid w:val="00A03FD5"/>
    <w:rsid w:val="00A04757"/>
    <w:rsid w:val="00A05956"/>
    <w:rsid w:val="00A05989"/>
    <w:rsid w:val="00A068BD"/>
    <w:rsid w:val="00A06DC2"/>
    <w:rsid w:val="00A06F3F"/>
    <w:rsid w:val="00A07129"/>
    <w:rsid w:val="00A072A1"/>
    <w:rsid w:val="00A07B38"/>
    <w:rsid w:val="00A07D56"/>
    <w:rsid w:val="00A1001D"/>
    <w:rsid w:val="00A101D1"/>
    <w:rsid w:val="00A11F8D"/>
    <w:rsid w:val="00A11FC5"/>
    <w:rsid w:val="00A121C3"/>
    <w:rsid w:val="00A12F9D"/>
    <w:rsid w:val="00A12FDF"/>
    <w:rsid w:val="00A13DB2"/>
    <w:rsid w:val="00A143C8"/>
    <w:rsid w:val="00A147B4"/>
    <w:rsid w:val="00A14B25"/>
    <w:rsid w:val="00A15CAA"/>
    <w:rsid w:val="00A17135"/>
    <w:rsid w:val="00A17BF0"/>
    <w:rsid w:val="00A17D09"/>
    <w:rsid w:val="00A17D92"/>
    <w:rsid w:val="00A205AD"/>
    <w:rsid w:val="00A20A36"/>
    <w:rsid w:val="00A211FB"/>
    <w:rsid w:val="00A213F9"/>
    <w:rsid w:val="00A21A35"/>
    <w:rsid w:val="00A21BBD"/>
    <w:rsid w:val="00A233AD"/>
    <w:rsid w:val="00A236E2"/>
    <w:rsid w:val="00A24FF9"/>
    <w:rsid w:val="00A25497"/>
    <w:rsid w:val="00A25DCA"/>
    <w:rsid w:val="00A26623"/>
    <w:rsid w:val="00A266B7"/>
    <w:rsid w:val="00A26E29"/>
    <w:rsid w:val="00A27F72"/>
    <w:rsid w:val="00A30195"/>
    <w:rsid w:val="00A3179E"/>
    <w:rsid w:val="00A31D12"/>
    <w:rsid w:val="00A3328E"/>
    <w:rsid w:val="00A3491A"/>
    <w:rsid w:val="00A34FFC"/>
    <w:rsid w:val="00A35CEB"/>
    <w:rsid w:val="00A36193"/>
    <w:rsid w:val="00A368A6"/>
    <w:rsid w:val="00A36929"/>
    <w:rsid w:val="00A376EA"/>
    <w:rsid w:val="00A379E5"/>
    <w:rsid w:val="00A37C40"/>
    <w:rsid w:val="00A4054D"/>
    <w:rsid w:val="00A42C8F"/>
    <w:rsid w:val="00A43E24"/>
    <w:rsid w:val="00A43E6B"/>
    <w:rsid w:val="00A443D5"/>
    <w:rsid w:val="00A445EF"/>
    <w:rsid w:val="00A449A9"/>
    <w:rsid w:val="00A45249"/>
    <w:rsid w:val="00A458AD"/>
    <w:rsid w:val="00A46305"/>
    <w:rsid w:val="00A46DA5"/>
    <w:rsid w:val="00A507D4"/>
    <w:rsid w:val="00A50865"/>
    <w:rsid w:val="00A50B04"/>
    <w:rsid w:val="00A50CBA"/>
    <w:rsid w:val="00A51039"/>
    <w:rsid w:val="00A51177"/>
    <w:rsid w:val="00A53A2F"/>
    <w:rsid w:val="00A547C5"/>
    <w:rsid w:val="00A54FEC"/>
    <w:rsid w:val="00A55328"/>
    <w:rsid w:val="00A55F82"/>
    <w:rsid w:val="00A5627D"/>
    <w:rsid w:val="00A5684C"/>
    <w:rsid w:val="00A5690D"/>
    <w:rsid w:val="00A57BE4"/>
    <w:rsid w:val="00A57CBD"/>
    <w:rsid w:val="00A600C5"/>
    <w:rsid w:val="00A6088F"/>
    <w:rsid w:val="00A61191"/>
    <w:rsid w:val="00A61982"/>
    <w:rsid w:val="00A61B7F"/>
    <w:rsid w:val="00A61F08"/>
    <w:rsid w:val="00A629D7"/>
    <w:rsid w:val="00A62D40"/>
    <w:rsid w:val="00A63C0D"/>
    <w:rsid w:val="00A63D91"/>
    <w:rsid w:val="00A648D8"/>
    <w:rsid w:val="00A64BC5"/>
    <w:rsid w:val="00A65CFB"/>
    <w:rsid w:val="00A67077"/>
    <w:rsid w:val="00A67222"/>
    <w:rsid w:val="00A674C6"/>
    <w:rsid w:val="00A675A5"/>
    <w:rsid w:val="00A704E8"/>
    <w:rsid w:val="00A70512"/>
    <w:rsid w:val="00A7064D"/>
    <w:rsid w:val="00A70B40"/>
    <w:rsid w:val="00A712C2"/>
    <w:rsid w:val="00A71A8C"/>
    <w:rsid w:val="00A72A6A"/>
    <w:rsid w:val="00A73DC7"/>
    <w:rsid w:val="00A73E65"/>
    <w:rsid w:val="00A74E14"/>
    <w:rsid w:val="00A757F4"/>
    <w:rsid w:val="00A75AB8"/>
    <w:rsid w:val="00A75AF7"/>
    <w:rsid w:val="00A769DF"/>
    <w:rsid w:val="00A76C33"/>
    <w:rsid w:val="00A778DF"/>
    <w:rsid w:val="00A800C6"/>
    <w:rsid w:val="00A805E7"/>
    <w:rsid w:val="00A80ABA"/>
    <w:rsid w:val="00A80ACD"/>
    <w:rsid w:val="00A80BE4"/>
    <w:rsid w:val="00A80F73"/>
    <w:rsid w:val="00A81595"/>
    <w:rsid w:val="00A82C81"/>
    <w:rsid w:val="00A83165"/>
    <w:rsid w:val="00A85103"/>
    <w:rsid w:val="00A85245"/>
    <w:rsid w:val="00A85287"/>
    <w:rsid w:val="00A85301"/>
    <w:rsid w:val="00A86321"/>
    <w:rsid w:val="00A86653"/>
    <w:rsid w:val="00A8757A"/>
    <w:rsid w:val="00A90927"/>
    <w:rsid w:val="00A90A78"/>
    <w:rsid w:val="00A90E65"/>
    <w:rsid w:val="00A91E55"/>
    <w:rsid w:val="00A928D7"/>
    <w:rsid w:val="00A93523"/>
    <w:rsid w:val="00A93E89"/>
    <w:rsid w:val="00A948BF"/>
    <w:rsid w:val="00A953BF"/>
    <w:rsid w:val="00A95752"/>
    <w:rsid w:val="00A96948"/>
    <w:rsid w:val="00A96FEF"/>
    <w:rsid w:val="00A9710F"/>
    <w:rsid w:val="00A97456"/>
    <w:rsid w:val="00A976A2"/>
    <w:rsid w:val="00A97880"/>
    <w:rsid w:val="00A97DB4"/>
    <w:rsid w:val="00A97FEA"/>
    <w:rsid w:val="00AA0494"/>
    <w:rsid w:val="00AA0C60"/>
    <w:rsid w:val="00AA0C8B"/>
    <w:rsid w:val="00AA0CA4"/>
    <w:rsid w:val="00AA1387"/>
    <w:rsid w:val="00AA198A"/>
    <w:rsid w:val="00AA28F7"/>
    <w:rsid w:val="00AA2A89"/>
    <w:rsid w:val="00AA33EF"/>
    <w:rsid w:val="00AA4240"/>
    <w:rsid w:val="00AA4B4B"/>
    <w:rsid w:val="00AA4C3B"/>
    <w:rsid w:val="00AA596C"/>
    <w:rsid w:val="00AA5993"/>
    <w:rsid w:val="00AA5EFF"/>
    <w:rsid w:val="00AA6256"/>
    <w:rsid w:val="00AA6C03"/>
    <w:rsid w:val="00AA7450"/>
    <w:rsid w:val="00AB0175"/>
    <w:rsid w:val="00AB1DAF"/>
    <w:rsid w:val="00AB2018"/>
    <w:rsid w:val="00AB2287"/>
    <w:rsid w:val="00AB35FF"/>
    <w:rsid w:val="00AB37C0"/>
    <w:rsid w:val="00AB46AA"/>
    <w:rsid w:val="00AB4B4D"/>
    <w:rsid w:val="00AB5032"/>
    <w:rsid w:val="00AB5961"/>
    <w:rsid w:val="00AB7225"/>
    <w:rsid w:val="00AB752D"/>
    <w:rsid w:val="00AC0174"/>
    <w:rsid w:val="00AC1165"/>
    <w:rsid w:val="00AC1347"/>
    <w:rsid w:val="00AC1514"/>
    <w:rsid w:val="00AC1C73"/>
    <w:rsid w:val="00AC1E2F"/>
    <w:rsid w:val="00AC223B"/>
    <w:rsid w:val="00AC2568"/>
    <w:rsid w:val="00AC26B5"/>
    <w:rsid w:val="00AC2D0E"/>
    <w:rsid w:val="00AC2FC5"/>
    <w:rsid w:val="00AC38CE"/>
    <w:rsid w:val="00AC3F61"/>
    <w:rsid w:val="00AC4167"/>
    <w:rsid w:val="00AC4B29"/>
    <w:rsid w:val="00AC4C78"/>
    <w:rsid w:val="00AC696A"/>
    <w:rsid w:val="00AC77A9"/>
    <w:rsid w:val="00AC77C6"/>
    <w:rsid w:val="00AD009D"/>
    <w:rsid w:val="00AD0288"/>
    <w:rsid w:val="00AD03B7"/>
    <w:rsid w:val="00AD05D2"/>
    <w:rsid w:val="00AD06B6"/>
    <w:rsid w:val="00AD073C"/>
    <w:rsid w:val="00AD0DFB"/>
    <w:rsid w:val="00AD1336"/>
    <w:rsid w:val="00AD2571"/>
    <w:rsid w:val="00AD2961"/>
    <w:rsid w:val="00AD3596"/>
    <w:rsid w:val="00AD36B7"/>
    <w:rsid w:val="00AD3798"/>
    <w:rsid w:val="00AD3D7C"/>
    <w:rsid w:val="00AD4713"/>
    <w:rsid w:val="00AD4EED"/>
    <w:rsid w:val="00AD52BE"/>
    <w:rsid w:val="00AD5482"/>
    <w:rsid w:val="00AD58B6"/>
    <w:rsid w:val="00AD6356"/>
    <w:rsid w:val="00AD6889"/>
    <w:rsid w:val="00AD76B6"/>
    <w:rsid w:val="00AE0E77"/>
    <w:rsid w:val="00AE132A"/>
    <w:rsid w:val="00AE1A89"/>
    <w:rsid w:val="00AE32DE"/>
    <w:rsid w:val="00AE3AB8"/>
    <w:rsid w:val="00AE54A9"/>
    <w:rsid w:val="00AE6402"/>
    <w:rsid w:val="00AE684E"/>
    <w:rsid w:val="00AE693F"/>
    <w:rsid w:val="00AE6E52"/>
    <w:rsid w:val="00AE7161"/>
    <w:rsid w:val="00AE72BB"/>
    <w:rsid w:val="00AF0C2A"/>
    <w:rsid w:val="00AF1946"/>
    <w:rsid w:val="00AF1ADA"/>
    <w:rsid w:val="00AF1C18"/>
    <w:rsid w:val="00AF1F07"/>
    <w:rsid w:val="00AF21B7"/>
    <w:rsid w:val="00AF28B7"/>
    <w:rsid w:val="00AF4120"/>
    <w:rsid w:val="00AF475C"/>
    <w:rsid w:val="00AF495F"/>
    <w:rsid w:val="00AF583B"/>
    <w:rsid w:val="00AF665E"/>
    <w:rsid w:val="00AF7ABC"/>
    <w:rsid w:val="00AF7E64"/>
    <w:rsid w:val="00B006B2"/>
    <w:rsid w:val="00B00F4E"/>
    <w:rsid w:val="00B0140F"/>
    <w:rsid w:val="00B01BF3"/>
    <w:rsid w:val="00B02056"/>
    <w:rsid w:val="00B02908"/>
    <w:rsid w:val="00B030EB"/>
    <w:rsid w:val="00B04343"/>
    <w:rsid w:val="00B04477"/>
    <w:rsid w:val="00B04A6A"/>
    <w:rsid w:val="00B055DF"/>
    <w:rsid w:val="00B05612"/>
    <w:rsid w:val="00B05C55"/>
    <w:rsid w:val="00B05F49"/>
    <w:rsid w:val="00B07136"/>
    <w:rsid w:val="00B07313"/>
    <w:rsid w:val="00B077A3"/>
    <w:rsid w:val="00B07C66"/>
    <w:rsid w:val="00B07F6D"/>
    <w:rsid w:val="00B102DA"/>
    <w:rsid w:val="00B11AB6"/>
    <w:rsid w:val="00B11DB4"/>
    <w:rsid w:val="00B12F6E"/>
    <w:rsid w:val="00B13156"/>
    <w:rsid w:val="00B134FE"/>
    <w:rsid w:val="00B139ED"/>
    <w:rsid w:val="00B14095"/>
    <w:rsid w:val="00B146F1"/>
    <w:rsid w:val="00B14874"/>
    <w:rsid w:val="00B15284"/>
    <w:rsid w:val="00B15690"/>
    <w:rsid w:val="00B1603B"/>
    <w:rsid w:val="00B16302"/>
    <w:rsid w:val="00B167C3"/>
    <w:rsid w:val="00B17208"/>
    <w:rsid w:val="00B20DB2"/>
    <w:rsid w:val="00B224CA"/>
    <w:rsid w:val="00B22788"/>
    <w:rsid w:val="00B22DB8"/>
    <w:rsid w:val="00B235F8"/>
    <w:rsid w:val="00B238FA"/>
    <w:rsid w:val="00B23C18"/>
    <w:rsid w:val="00B23E6F"/>
    <w:rsid w:val="00B24268"/>
    <w:rsid w:val="00B250BF"/>
    <w:rsid w:val="00B251DD"/>
    <w:rsid w:val="00B253ED"/>
    <w:rsid w:val="00B25B84"/>
    <w:rsid w:val="00B25DF2"/>
    <w:rsid w:val="00B26C76"/>
    <w:rsid w:val="00B27289"/>
    <w:rsid w:val="00B273D1"/>
    <w:rsid w:val="00B27F62"/>
    <w:rsid w:val="00B31254"/>
    <w:rsid w:val="00B31720"/>
    <w:rsid w:val="00B31B85"/>
    <w:rsid w:val="00B3265A"/>
    <w:rsid w:val="00B32738"/>
    <w:rsid w:val="00B335F9"/>
    <w:rsid w:val="00B33C0F"/>
    <w:rsid w:val="00B33C46"/>
    <w:rsid w:val="00B33CC6"/>
    <w:rsid w:val="00B34627"/>
    <w:rsid w:val="00B348C5"/>
    <w:rsid w:val="00B3553D"/>
    <w:rsid w:val="00B35885"/>
    <w:rsid w:val="00B364DB"/>
    <w:rsid w:val="00B36BAF"/>
    <w:rsid w:val="00B371F0"/>
    <w:rsid w:val="00B372BF"/>
    <w:rsid w:val="00B37D14"/>
    <w:rsid w:val="00B400DF"/>
    <w:rsid w:val="00B40808"/>
    <w:rsid w:val="00B40C88"/>
    <w:rsid w:val="00B411D0"/>
    <w:rsid w:val="00B417EC"/>
    <w:rsid w:val="00B41A0B"/>
    <w:rsid w:val="00B4229D"/>
    <w:rsid w:val="00B4325A"/>
    <w:rsid w:val="00B4377B"/>
    <w:rsid w:val="00B4388E"/>
    <w:rsid w:val="00B4451C"/>
    <w:rsid w:val="00B451E3"/>
    <w:rsid w:val="00B45252"/>
    <w:rsid w:val="00B45868"/>
    <w:rsid w:val="00B46384"/>
    <w:rsid w:val="00B466DB"/>
    <w:rsid w:val="00B478B3"/>
    <w:rsid w:val="00B50B6A"/>
    <w:rsid w:val="00B50B70"/>
    <w:rsid w:val="00B51261"/>
    <w:rsid w:val="00B51E7E"/>
    <w:rsid w:val="00B51F3A"/>
    <w:rsid w:val="00B53B6B"/>
    <w:rsid w:val="00B53F65"/>
    <w:rsid w:val="00B543F8"/>
    <w:rsid w:val="00B547A7"/>
    <w:rsid w:val="00B54D23"/>
    <w:rsid w:val="00B553CE"/>
    <w:rsid w:val="00B55F0F"/>
    <w:rsid w:val="00B56091"/>
    <w:rsid w:val="00B563CE"/>
    <w:rsid w:val="00B56BD6"/>
    <w:rsid w:val="00B57778"/>
    <w:rsid w:val="00B6023C"/>
    <w:rsid w:val="00B607F7"/>
    <w:rsid w:val="00B60C52"/>
    <w:rsid w:val="00B63049"/>
    <w:rsid w:val="00B630CA"/>
    <w:rsid w:val="00B63317"/>
    <w:rsid w:val="00B63C6A"/>
    <w:rsid w:val="00B63CAD"/>
    <w:rsid w:val="00B63CD0"/>
    <w:rsid w:val="00B64DE7"/>
    <w:rsid w:val="00B65484"/>
    <w:rsid w:val="00B657F5"/>
    <w:rsid w:val="00B659AC"/>
    <w:rsid w:val="00B66290"/>
    <w:rsid w:val="00B66407"/>
    <w:rsid w:val="00B704A2"/>
    <w:rsid w:val="00B704FB"/>
    <w:rsid w:val="00B706F1"/>
    <w:rsid w:val="00B70C83"/>
    <w:rsid w:val="00B70D2D"/>
    <w:rsid w:val="00B71A7C"/>
    <w:rsid w:val="00B7207F"/>
    <w:rsid w:val="00B720C6"/>
    <w:rsid w:val="00B72116"/>
    <w:rsid w:val="00B72AD2"/>
    <w:rsid w:val="00B72B4F"/>
    <w:rsid w:val="00B7365D"/>
    <w:rsid w:val="00B73CAF"/>
    <w:rsid w:val="00B74286"/>
    <w:rsid w:val="00B745FB"/>
    <w:rsid w:val="00B7481A"/>
    <w:rsid w:val="00B7607B"/>
    <w:rsid w:val="00B765F3"/>
    <w:rsid w:val="00B76A89"/>
    <w:rsid w:val="00B76C6C"/>
    <w:rsid w:val="00B775F8"/>
    <w:rsid w:val="00B77DD8"/>
    <w:rsid w:val="00B77F1D"/>
    <w:rsid w:val="00B8052C"/>
    <w:rsid w:val="00B80C71"/>
    <w:rsid w:val="00B813AF"/>
    <w:rsid w:val="00B81606"/>
    <w:rsid w:val="00B817C2"/>
    <w:rsid w:val="00B81A06"/>
    <w:rsid w:val="00B82B0C"/>
    <w:rsid w:val="00B82C4B"/>
    <w:rsid w:val="00B835CA"/>
    <w:rsid w:val="00B8375E"/>
    <w:rsid w:val="00B84664"/>
    <w:rsid w:val="00B846BD"/>
    <w:rsid w:val="00B85071"/>
    <w:rsid w:val="00B85642"/>
    <w:rsid w:val="00B85F87"/>
    <w:rsid w:val="00B878BB"/>
    <w:rsid w:val="00B87B78"/>
    <w:rsid w:val="00B905CF"/>
    <w:rsid w:val="00B90DCB"/>
    <w:rsid w:val="00B9123B"/>
    <w:rsid w:val="00B913A2"/>
    <w:rsid w:val="00B91842"/>
    <w:rsid w:val="00B91970"/>
    <w:rsid w:val="00B9227A"/>
    <w:rsid w:val="00B923D5"/>
    <w:rsid w:val="00B930AE"/>
    <w:rsid w:val="00B93A51"/>
    <w:rsid w:val="00B94C21"/>
    <w:rsid w:val="00B95684"/>
    <w:rsid w:val="00B96742"/>
    <w:rsid w:val="00B97002"/>
    <w:rsid w:val="00B974AA"/>
    <w:rsid w:val="00BA07A3"/>
    <w:rsid w:val="00BA1203"/>
    <w:rsid w:val="00BA13FC"/>
    <w:rsid w:val="00BA1468"/>
    <w:rsid w:val="00BA1BBF"/>
    <w:rsid w:val="00BA2966"/>
    <w:rsid w:val="00BA2A8F"/>
    <w:rsid w:val="00BA322C"/>
    <w:rsid w:val="00BA37E4"/>
    <w:rsid w:val="00BA398B"/>
    <w:rsid w:val="00BA3E06"/>
    <w:rsid w:val="00BA4193"/>
    <w:rsid w:val="00BA41F0"/>
    <w:rsid w:val="00BA4233"/>
    <w:rsid w:val="00BA45AE"/>
    <w:rsid w:val="00BA4A90"/>
    <w:rsid w:val="00BA4AEC"/>
    <w:rsid w:val="00BA4E2C"/>
    <w:rsid w:val="00BA57B1"/>
    <w:rsid w:val="00BA5A83"/>
    <w:rsid w:val="00BA6224"/>
    <w:rsid w:val="00BA62F7"/>
    <w:rsid w:val="00BA6512"/>
    <w:rsid w:val="00BA6A15"/>
    <w:rsid w:val="00BA6CE7"/>
    <w:rsid w:val="00BA72F0"/>
    <w:rsid w:val="00BA7BC0"/>
    <w:rsid w:val="00BB0ED2"/>
    <w:rsid w:val="00BB0F88"/>
    <w:rsid w:val="00BB0FE8"/>
    <w:rsid w:val="00BB23A8"/>
    <w:rsid w:val="00BB24BC"/>
    <w:rsid w:val="00BB2949"/>
    <w:rsid w:val="00BB2A45"/>
    <w:rsid w:val="00BB31F9"/>
    <w:rsid w:val="00BB3D26"/>
    <w:rsid w:val="00BB40FC"/>
    <w:rsid w:val="00BB4F9A"/>
    <w:rsid w:val="00BB5C80"/>
    <w:rsid w:val="00BB62B4"/>
    <w:rsid w:val="00BB6407"/>
    <w:rsid w:val="00BB736D"/>
    <w:rsid w:val="00BC15D8"/>
    <w:rsid w:val="00BC2289"/>
    <w:rsid w:val="00BC32B3"/>
    <w:rsid w:val="00BC379A"/>
    <w:rsid w:val="00BC3CE7"/>
    <w:rsid w:val="00BC3D07"/>
    <w:rsid w:val="00BC4556"/>
    <w:rsid w:val="00BC4D25"/>
    <w:rsid w:val="00BC4FEE"/>
    <w:rsid w:val="00BC5EFC"/>
    <w:rsid w:val="00BC6576"/>
    <w:rsid w:val="00BC7A0C"/>
    <w:rsid w:val="00BC7C0C"/>
    <w:rsid w:val="00BC7C96"/>
    <w:rsid w:val="00BC7D22"/>
    <w:rsid w:val="00BC7F8C"/>
    <w:rsid w:val="00BD05D5"/>
    <w:rsid w:val="00BD0F92"/>
    <w:rsid w:val="00BD2636"/>
    <w:rsid w:val="00BD2832"/>
    <w:rsid w:val="00BD3257"/>
    <w:rsid w:val="00BD49F2"/>
    <w:rsid w:val="00BD4E14"/>
    <w:rsid w:val="00BD53AF"/>
    <w:rsid w:val="00BD5B66"/>
    <w:rsid w:val="00BD5CBC"/>
    <w:rsid w:val="00BD66E1"/>
    <w:rsid w:val="00BD742F"/>
    <w:rsid w:val="00BD766F"/>
    <w:rsid w:val="00BE119F"/>
    <w:rsid w:val="00BE1BBD"/>
    <w:rsid w:val="00BE1D05"/>
    <w:rsid w:val="00BE2B85"/>
    <w:rsid w:val="00BE2EBA"/>
    <w:rsid w:val="00BE2FEA"/>
    <w:rsid w:val="00BE3DDB"/>
    <w:rsid w:val="00BE418C"/>
    <w:rsid w:val="00BE51A8"/>
    <w:rsid w:val="00BE5374"/>
    <w:rsid w:val="00BE5566"/>
    <w:rsid w:val="00BE617A"/>
    <w:rsid w:val="00BE6251"/>
    <w:rsid w:val="00BE6A5A"/>
    <w:rsid w:val="00BE7925"/>
    <w:rsid w:val="00BE7C93"/>
    <w:rsid w:val="00BE7C98"/>
    <w:rsid w:val="00BF062D"/>
    <w:rsid w:val="00BF11B8"/>
    <w:rsid w:val="00BF23D5"/>
    <w:rsid w:val="00BF2B74"/>
    <w:rsid w:val="00BF311F"/>
    <w:rsid w:val="00BF3B19"/>
    <w:rsid w:val="00BF532E"/>
    <w:rsid w:val="00BF5527"/>
    <w:rsid w:val="00BF5EC1"/>
    <w:rsid w:val="00BF62F5"/>
    <w:rsid w:val="00BF6357"/>
    <w:rsid w:val="00BF6453"/>
    <w:rsid w:val="00BF69AC"/>
    <w:rsid w:val="00BF7867"/>
    <w:rsid w:val="00BF7BA1"/>
    <w:rsid w:val="00C00D41"/>
    <w:rsid w:val="00C0107F"/>
    <w:rsid w:val="00C01630"/>
    <w:rsid w:val="00C01690"/>
    <w:rsid w:val="00C019FD"/>
    <w:rsid w:val="00C01A04"/>
    <w:rsid w:val="00C01A32"/>
    <w:rsid w:val="00C01D3E"/>
    <w:rsid w:val="00C01ED9"/>
    <w:rsid w:val="00C01F9E"/>
    <w:rsid w:val="00C01FAF"/>
    <w:rsid w:val="00C021D1"/>
    <w:rsid w:val="00C024BB"/>
    <w:rsid w:val="00C02DAB"/>
    <w:rsid w:val="00C02DF8"/>
    <w:rsid w:val="00C032B0"/>
    <w:rsid w:val="00C03338"/>
    <w:rsid w:val="00C03C2C"/>
    <w:rsid w:val="00C03DD4"/>
    <w:rsid w:val="00C04037"/>
    <w:rsid w:val="00C05ED5"/>
    <w:rsid w:val="00C061B6"/>
    <w:rsid w:val="00C06760"/>
    <w:rsid w:val="00C06A9B"/>
    <w:rsid w:val="00C06C0A"/>
    <w:rsid w:val="00C06DA1"/>
    <w:rsid w:val="00C07266"/>
    <w:rsid w:val="00C0749E"/>
    <w:rsid w:val="00C077C6"/>
    <w:rsid w:val="00C10072"/>
    <w:rsid w:val="00C10353"/>
    <w:rsid w:val="00C1083C"/>
    <w:rsid w:val="00C10CF4"/>
    <w:rsid w:val="00C11221"/>
    <w:rsid w:val="00C11812"/>
    <w:rsid w:val="00C11A14"/>
    <w:rsid w:val="00C11FF3"/>
    <w:rsid w:val="00C1237B"/>
    <w:rsid w:val="00C12EC1"/>
    <w:rsid w:val="00C136CB"/>
    <w:rsid w:val="00C13F05"/>
    <w:rsid w:val="00C141D4"/>
    <w:rsid w:val="00C1484B"/>
    <w:rsid w:val="00C15DE0"/>
    <w:rsid w:val="00C1612F"/>
    <w:rsid w:val="00C165B1"/>
    <w:rsid w:val="00C1668D"/>
    <w:rsid w:val="00C168EF"/>
    <w:rsid w:val="00C1741F"/>
    <w:rsid w:val="00C175A9"/>
    <w:rsid w:val="00C20177"/>
    <w:rsid w:val="00C2026F"/>
    <w:rsid w:val="00C204BD"/>
    <w:rsid w:val="00C211F4"/>
    <w:rsid w:val="00C21249"/>
    <w:rsid w:val="00C21B5A"/>
    <w:rsid w:val="00C21D50"/>
    <w:rsid w:val="00C21E27"/>
    <w:rsid w:val="00C22489"/>
    <w:rsid w:val="00C2264C"/>
    <w:rsid w:val="00C22E4C"/>
    <w:rsid w:val="00C232C3"/>
    <w:rsid w:val="00C232DA"/>
    <w:rsid w:val="00C234BE"/>
    <w:rsid w:val="00C24184"/>
    <w:rsid w:val="00C24589"/>
    <w:rsid w:val="00C246DA"/>
    <w:rsid w:val="00C24B62"/>
    <w:rsid w:val="00C26E4A"/>
    <w:rsid w:val="00C27112"/>
    <w:rsid w:val="00C275C0"/>
    <w:rsid w:val="00C279C4"/>
    <w:rsid w:val="00C27A15"/>
    <w:rsid w:val="00C27B64"/>
    <w:rsid w:val="00C30180"/>
    <w:rsid w:val="00C30629"/>
    <w:rsid w:val="00C310AD"/>
    <w:rsid w:val="00C31121"/>
    <w:rsid w:val="00C313FD"/>
    <w:rsid w:val="00C31F5D"/>
    <w:rsid w:val="00C32093"/>
    <w:rsid w:val="00C324D6"/>
    <w:rsid w:val="00C32973"/>
    <w:rsid w:val="00C3420B"/>
    <w:rsid w:val="00C343F7"/>
    <w:rsid w:val="00C34A1B"/>
    <w:rsid w:val="00C3536B"/>
    <w:rsid w:val="00C35A24"/>
    <w:rsid w:val="00C35C47"/>
    <w:rsid w:val="00C36833"/>
    <w:rsid w:val="00C36EC1"/>
    <w:rsid w:val="00C37058"/>
    <w:rsid w:val="00C370B6"/>
    <w:rsid w:val="00C3718B"/>
    <w:rsid w:val="00C37C8B"/>
    <w:rsid w:val="00C40021"/>
    <w:rsid w:val="00C40147"/>
    <w:rsid w:val="00C40D1D"/>
    <w:rsid w:val="00C40FD3"/>
    <w:rsid w:val="00C4125E"/>
    <w:rsid w:val="00C419D4"/>
    <w:rsid w:val="00C42B0A"/>
    <w:rsid w:val="00C44A40"/>
    <w:rsid w:val="00C45098"/>
    <w:rsid w:val="00C452AA"/>
    <w:rsid w:val="00C459D2"/>
    <w:rsid w:val="00C46BEA"/>
    <w:rsid w:val="00C46F2A"/>
    <w:rsid w:val="00C477CA"/>
    <w:rsid w:val="00C501D6"/>
    <w:rsid w:val="00C50520"/>
    <w:rsid w:val="00C5089B"/>
    <w:rsid w:val="00C50D9E"/>
    <w:rsid w:val="00C50FE1"/>
    <w:rsid w:val="00C51534"/>
    <w:rsid w:val="00C5168D"/>
    <w:rsid w:val="00C51DC7"/>
    <w:rsid w:val="00C5216E"/>
    <w:rsid w:val="00C52A29"/>
    <w:rsid w:val="00C52B3B"/>
    <w:rsid w:val="00C52B5F"/>
    <w:rsid w:val="00C53268"/>
    <w:rsid w:val="00C558D0"/>
    <w:rsid w:val="00C55FAE"/>
    <w:rsid w:val="00C55FB7"/>
    <w:rsid w:val="00C56229"/>
    <w:rsid w:val="00C56328"/>
    <w:rsid w:val="00C5713C"/>
    <w:rsid w:val="00C571CF"/>
    <w:rsid w:val="00C57942"/>
    <w:rsid w:val="00C57DA9"/>
    <w:rsid w:val="00C60A03"/>
    <w:rsid w:val="00C63150"/>
    <w:rsid w:val="00C63857"/>
    <w:rsid w:val="00C63F88"/>
    <w:rsid w:val="00C644D4"/>
    <w:rsid w:val="00C6514F"/>
    <w:rsid w:val="00C65DFE"/>
    <w:rsid w:val="00C6648A"/>
    <w:rsid w:val="00C66C46"/>
    <w:rsid w:val="00C66D08"/>
    <w:rsid w:val="00C66F07"/>
    <w:rsid w:val="00C6713D"/>
    <w:rsid w:val="00C674FF"/>
    <w:rsid w:val="00C67513"/>
    <w:rsid w:val="00C67B4D"/>
    <w:rsid w:val="00C67DDE"/>
    <w:rsid w:val="00C701B3"/>
    <w:rsid w:val="00C70461"/>
    <w:rsid w:val="00C7109D"/>
    <w:rsid w:val="00C72319"/>
    <w:rsid w:val="00C7267D"/>
    <w:rsid w:val="00C729DC"/>
    <w:rsid w:val="00C72A09"/>
    <w:rsid w:val="00C73052"/>
    <w:rsid w:val="00C74881"/>
    <w:rsid w:val="00C753FF"/>
    <w:rsid w:val="00C754BD"/>
    <w:rsid w:val="00C7563A"/>
    <w:rsid w:val="00C75950"/>
    <w:rsid w:val="00C759FC"/>
    <w:rsid w:val="00C76213"/>
    <w:rsid w:val="00C76A05"/>
    <w:rsid w:val="00C77269"/>
    <w:rsid w:val="00C77539"/>
    <w:rsid w:val="00C77B65"/>
    <w:rsid w:val="00C77E8C"/>
    <w:rsid w:val="00C77F96"/>
    <w:rsid w:val="00C800F9"/>
    <w:rsid w:val="00C80573"/>
    <w:rsid w:val="00C81721"/>
    <w:rsid w:val="00C817A9"/>
    <w:rsid w:val="00C81DC2"/>
    <w:rsid w:val="00C822A7"/>
    <w:rsid w:val="00C826CF"/>
    <w:rsid w:val="00C82D1A"/>
    <w:rsid w:val="00C8367C"/>
    <w:rsid w:val="00C84167"/>
    <w:rsid w:val="00C844B8"/>
    <w:rsid w:val="00C846C4"/>
    <w:rsid w:val="00C85D10"/>
    <w:rsid w:val="00C86111"/>
    <w:rsid w:val="00C86324"/>
    <w:rsid w:val="00C86788"/>
    <w:rsid w:val="00C86A2A"/>
    <w:rsid w:val="00C86B4C"/>
    <w:rsid w:val="00C87683"/>
    <w:rsid w:val="00C9076B"/>
    <w:rsid w:val="00C90875"/>
    <w:rsid w:val="00C908BD"/>
    <w:rsid w:val="00C90C22"/>
    <w:rsid w:val="00C90F67"/>
    <w:rsid w:val="00C9115E"/>
    <w:rsid w:val="00C91205"/>
    <w:rsid w:val="00C9131A"/>
    <w:rsid w:val="00C915B3"/>
    <w:rsid w:val="00C91703"/>
    <w:rsid w:val="00C92334"/>
    <w:rsid w:val="00C934F0"/>
    <w:rsid w:val="00C938A2"/>
    <w:rsid w:val="00C93C1B"/>
    <w:rsid w:val="00C941FE"/>
    <w:rsid w:val="00C94566"/>
    <w:rsid w:val="00C9468B"/>
    <w:rsid w:val="00C955E5"/>
    <w:rsid w:val="00C9572A"/>
    <w:rsid w:val="00C96126"/>
    <w:rsid w:val="00C96AA4"/>
    <w:rsid w:val="00C97291"/>
    <w:rsid w:val="00C976BF"/>
    <w:rsid w:val="00CA225B"/>
    <w:rsid w:val="00CA2AF3"/>
    <w:rsid w:val="00CA3DB4"/>
    <w:rsid w:val="00CA4114"/>
    <w:rsid w:val="00CA4B95"/>
    <w:rsid w:val="00CA4E7B"/>
    <w:rsid w:val="00CA571F"/>
    <w:rsid w:val="00CA6D50"/>
    <w:rsid w:val="00CA7BE7"/>
    <w:rsid w:val="00CB0802"/>
    <w:rsid w:val="00CB087C"/>
    <w:rsid w:val="00CB0E2F"/>
    <w:rsid w:val="00CB136D"/>
    <w:rsid w:val="00CB1851"/>
    <w:rsid w:val="00CB2011"/>
    <w:rsid w:val="00CB273F"/>
    <w:rsid w:val="00CB4253"/>
    <w:rsid w:val="00CB6286"/>
    <w:rsid w:val="00CB6FD6"/>
    <w:rsid w:val="00CB718B"/>
    <w:rsid w:val="00CB7989"/>
    <w:rsid w:val="00CB7B81"/>
    <w:rsid w:val="00CB7D0A"/>
    <w:rsid w:val="00CB7DEA"/>
    <w:rsid w:val="00CC0606"/>
    <w:rsid w:val="00CC08A1"/>
    <w:rsid w:val="00CC1A8C"/>
    <w:rsid w:val="00CC1B58"/>
    <w:rsid w:val="00CC1DD1"/>
    <w:rsid w:val="00CC1E10"/>
    <w:rsid w:val="00CC2065"/>
    <w:rsid w:val="00CC20E3"/>
    <w:rsid w:val="00CC2190"/>
    <w:rsid w:val="00CC3467"/>
    <w:rsid w:val="00CC369E"/>
    <w:rsid w:val="00CC3F83"/>
    <w:rsid w:val="00CC6273"/>
    <w:rsid w:val="00CC6574"/>
    <w:rsid w:val="00CD0459"/>
    <w:rsid w:val="00CD0860"/>
    <w:rsid w:val="00CD1321"/>
    <w:rsid w:val="00CD1606"/>
    <w:rsid w:val="00CD1DF1"/>
    <w:rsid w:val="00CD29B5"/>
    <w:rsid w:val="00CD2B86"/>
    <w:rsid w:val="00CD34AF"/>
    <w:rsid w:val="00CD37B4"/>
    <w:rsid w:val="00CD6032"/>
    <w:rsid w:val="00CD6392"/>
    <w:rsid w:val="00CD642C"/>
    <w:rsid w:val="00CD6AFE"/>
    <w:rsid w:val="00CE0F95"/>
    <w:rsid w:val="00CE1421"/>
    <w:rsid w:val="00CE1452"/>
    <w:rsid w:val="00CE19F2"/>
    <w:rsid w:val="00CE1FE5"/>
    <w:rsid w:val="00CE2AE4"/>
    <w:rsid w:val="00CE35C5"/>
    <w:rsid w:val="00CE379C"/>
    <w:rsid w:val="00CE3A01"/>
    <w:rsid w:val="00CE40EC"/>
    <w:rsid w:val="00CE431B"/>
    <w:rsid w:val="00CE447A"/>
    <w:rsid w:val="00CE4604"/>
    <w:rsid w:val="00CE4AB0"/>
    <w:rsid w:val="00CE4CAE"/>
    <w:rsid w:val="00CE53BB"/>
    <w:rsid w:val="00CE5931"/>
    <w:rsid w:val="00CE603A"/>
    <w:rsid w:val="00CE6A0E"/>
    <w:rsid w:val="00CE6E19"/>
    <w:rsid w:val="00CE7591"/>
    <w:rsid w:val="00CF063B"/>
    <w:rsid w:val="00CF0A5C"/>
    <w:rsid w:val="00CF0BA4"/>
    <w:rsid w:val="00CF0CA5"/>
    <w:rsid w:val="00CF1628"/>
    <w:rsid w:val="00CF23C1"/>
    <w:rsid w:val="00CF26F2"/>
    <w:rsid w:val="00CF3B76"/>
    <w:rsid w:val="00CF57E6"/>
    <w:rsid w:val="00CF5BFE"/>
    <w:rsid w:val="00CF5EF6"/>
    <w:rsid w:val="00CF60E9"/>
    <w:rsid w:val="00CF6593"/>
    <w:rsid w:val="00CF6940"/>
    <w:rsid w:val="00CF7816"/>
    <w:rsid w:val="00CF7938"/>
    <w:rsid w:val="00CF7B67"/>
    <w:rsid w:val="00D0289F"/>
    <w:rsid w:val="00D02D0A"/>
    <w:rsid w:val="00D032AA"/>
    <w:rsid w:val="00D04529"/>
    <w:rsid w:val="00D04595"/>
    <w:rsid w:val="00D05298"/>
    <w:rsid w:val="00D05372"/>
    <w:rsid w:val="00D05D52"/>
    <w:rsid w:val="00D06E0C"/>
    <w:rsid w:val="00D07497"/>
    <w:rsid w:val="00D10493"/>
    <w:rsid w:val="00D11820"/>
    <w:rsid w:val="00D11C86"/>
    <w:rsid w:val="00D12334"/>
    <w:rsid w:val="00D131FF"/>
    <w:rsid w:val="00D133EC"/>
    <w:rsid w:val="00D143AC"/>
    <w:rsid w:val="00D145E0"/>
    <w:rsid w:val="00D14B3B"/>
    <w:rsid w:val="00D15F54"/>
    <w:rsid w:val="00D160D0"/>
    <w:rsid w:val="00D170F5"/>
    <w:rsid w:val="00D17F51"/>
    <w:rsid w:val="00D204D0"/>
    <w:rsid w:val="00D20D27"/>
    <w:rsid w:val="00D20E1A"/>
    <w:rsid w:val="00D20EDB"/>
    <w:rsid w:val="00D20F56"/>
    <w:rsid w:val="00D21680"/>
    <w:rsid w:val="00D21AC7"/>
    <w:rsid w:val="00D22E92"/>
    <w:rsid w:val="00D23536"/>
    <w:rsid w:val="00D2448B"/>
    <w:rsid w:val="00D250AD"/>
    <w:rsid w:val="00D25BF5"/>
    <w:rsid w:val="00D25F75"/>
    <w:rsid w:val="00D26515"/>
    <w:rsid w:val="00D26EEF"/>
    <w:rsid w:val="00D2758A"/>
    <w:rsid w:val="00D2788B"/>
    <w:rsid w:val="00D30173"/>
    <w:rsid w:val="00D307C5"/>
    <w:rsid w:val="00D3095C"/>
    <w:rsid w:val="00D313B5"/>
    <w:rsid w:val="00D3181D"/>
    <w:rsid w:val="00D31839"/>
    <w:rsid w:val="00D321CD"/>
    <w:rsid w:val="00D32984"/>
    <w:rsid w:val="00D33734"/>
    <w:rsid w:val="00D34382"/>
    <w:rsid w:val="00D35699"/>
    <w:rsid w:val="00D365F9"/>
    <w:rsid w:val="00D37056"/>
    <w:rsid w:val="00D37261"/>
    <w:rsid w:val="00D3797E"/>
    <w:rsid w:val="00D37C7B"/>
    <w:rsid w:val="00D409E2"/>
    <w:rsid w:val="00D40EB1"/>
    <w:rsid w:val="00D4129E"/>
    <w:rsid w:val="00D4139F"/>
    <w:rsid w:val="00D424B1"/>
    <w:rsid w:val="00D424F0"/>
    <w:rsid w:val="00D42A74"/>
    <w:rsid w:val="00D43D03"/>
    <w:rsid w:val="00D44371"/>
    <w:rsid w:val="00D4474E"/>
    <w:rsid w:val="00D47CC0"/>
    <w:rsid w:val="00D47F35"/>
    <w:rsid w:val="00D50254"/>
    <w:rsid w:val="00D508A1"/>
    <w:rsid w:val="00D51792"/>
    <w:rsid w:val="00D51C31"/>
    <w:rsid w:val="00D5243B"/>
    <w:rsid w:val="00D52546"/>
    <w:rsid w:val="00D52666"/>
    <w:rsid w:val="00D52705"/>
    <w:rsid w:val="00D527B7"/>
    <w:rsid w:val="00D52DB1"/>
    <w:rsid w:val="00D543EF"/>
    <w:rsid w:val="00D54A13"/>
    <w:rsid w:val="00D55219"/>
    <w:rsid w:val="00D55267"/>
    <w:rsid w:val="00D562B5"/>
    <w:rsid w:val="00D565E2"/>
    <w:rsid w:val="00D566E7"/>
    <w:rsid w:val="00D567F9"/>
    <w:rsid w:val="00D57448"/>
    <w:rsid w:val="00D575BB"/>
    <w:rsid w:val="00D576FC"/>
    <w:rsid w:val="00D577B9"/>
    <w:rsid w:val="00D5780D"/>
    <w:rsid w:val="00D57FC1"/>
    <w:rsid w:val="00D600D6"/>
    <w:rsid w:val="00D60214"/>
    <w:rsid w:val="00D605A9"/>
    <w:rsid w:val="00D60BFF"/>
    <w:rsid w:val="00D6128D"/>
    <w:rsid w:val="00D6163C"/>
    <w:rsid w:val="00D62565"/>
    <w:rsid w:val="00D625DF"/>
    <w:rsid w:val="00D62F5D"/>
    <w:rsid w:val="00D632B7"/>
    <w:rsid w:val="00D6389C"/>
    <w:rsid w:val="00D6399A"/>
    <w:rsid w:val="00D640AB"/>
    <w:rsid w:val="00D642FE"/>
    <w:rsid w:val="00D65C07"/>
    <w:rsid w:val="00D66D32"/>
    <w:rsid w:val="00D670E4"/>
    <w:rsid w:val="00D673DE"/>
    <w:rsid w:val="00D6799B"/>
    <w:rsid w:val="00D67C1D"/>
    <w:rsid w:val="00D67C6F"/>
    <w:rsid w:val="00D7054B"/>
    <w:rsid w:val="00D70683"/>
    <w:rsid w:val="00D70941"/>
    <w:rsid w:val="00D70FAE"/>
    <w:rsid w:val="00D7252A"/>
    <w:rsid w:val="00D72A94"/>
    <w:rsid w:val="00D73248"/>
    <w:rsid w:val="00D739F0"/>
    <w:rsid w:val="00D74603"/>
    <w:rsid w:val="00D74E9D"/>
    <w:rsid w:val="00D75552"/>
    <w:rsid w:val="00D7578A"/>
    <w:rsid w:val="00D769F1"/>
    <w:rsid w:val="00D76B07"/>
    <w:rsid w:val="00D76B36"/>
    <w:rsid w:val="00D76B5B"/>
    <w:rsid w:val="00D76F35"/>
    <w:rsid w:val="00D808A1"/>
    <w:rsid w:val="00D80E90"/>
    <w:rsid w:val="00D81106"/>
    <w:rsid w:val="00D82723"/>
    <w:rsid w:val="00D83545"/>
    <w:rsid w:val="00D84571"/>
    <w:rsid w:val="00D845B4"/>
    <w:rsid w:val="00D85306"/>
    <w:rsid w:val="00D8541B"/>
    <w:rsid w:val="00D8573A"/>
    <w:rsid w:val="00D858B5"/>
    <w:rsid w:val="00D85DDB"/>
    <w:rsid w:val="00D86129"/>
    <w:rsid w:val="00D862B7"/>
    <w:rsid w:val="00D86481"/>
    <w:rsid w:val="00D8674B"/>
    <w:rsid w:val="00D869E4"/>
    <w:rsid w:val="00D87039"/>
    <w:rsid w:val="00D87321"/>
    <w:rsid w:val="00D875B2"/>
    <w:rsid w:val="00D87C55"/>
    <w:rsid w:val="00D900B7"/>
    <w:rsid w:val="00D901EF"/>
    <w:rsid w:val="00D906D0"/>
    <w:rsid w:val="00D90AB4"/>
    <w:rsid w:val="00D90B08"/>
    <w:rsid w:val="00D90D2A"/>
    <w:rsid w:val="00D90F4B"/>
    <w:rsid w:val="00D90FAA"/>
    <w:rsid w:val="00D9105A"/>
    <w:rsid w:val="00D91586"/>
    <w:rsid w:val="00D91AB5"/>
    <w:rsid w:val="00D929B6"/>
    <w:rsid w:val="00D92C21"/>
    <w:rsid w:val="00D93ACC"/>
    <w:rsid w:val="00D93F26"/>
    <w:rsid w:val="00D94E77"/>
    <w:rsid w:val="00D95166"/>
    <w:rsid w:val="00D95C6B"/>
    <w:rsid w:val="00D95E5B"/>
    <w:rsid w:val="00D9680D"/>
    <w:rsid w:val="00DA0170"/>
    <w:rsid w:val="00DA01C0"/>
    <w:rsid w:val="00DA1369"/>
    <w:rsid w:val="00DA233C"/>
    <w:rsid w:val="00DA239E"/>
    <w:rsid w:val="00DA241D"/>
    <w:rsid w:val="00DA2B6F"/>
    <w:rsid w:val="00DA312B"/>
    <w:rsid w:val="00DA3697"/>
    <w:rsid w:val="00DA4324"/>
    <w:rsid w:val="00DA4A5F"/>
    <w:rsid w:val="00DA5FBB"/>
    <w:rsid w:val="00DA622C"/>
    <w:rsid w:val="00DB0CB4"/>
    <w:rsid w:val="00DB108B"/>
    <w:rsid w:val="00DB1572"/>
    <w:rsid w:val="00DB2E79"/>
    <w:rsid w:val="00DB30E1"/>
    <w:rsid w:val="00DB385C"/>
    <w:rsid w:val="00DB3A51"/>
    <w:rsid w:val="00DB3F75"/>
    <w:rsid w:val="00DB42AB"/>
    <w:rsid w:val="00DB4F05"/>
    <w:rsid w:val="00DB5929"/>
    <w:rsid w:val="00DB6689"/>
    <w:rsid w:val="00DB6F1A"/>
    <w:rsid w:val="00DB71EE"/>
    <w:rsid w:val="00DC0411"/>
    <w:rsid w:val="00DC0A20"/>
    <w:rsid w:val="00DC1140"/>
    <w:rsid w:val="00DC131E"/>
    <w:rsid w:val="00DC1468"/>
    <w:rsid w:val="00DC1948"/>
    <w:rsid w:val="00DC2174"/>
    <w:rsid w:val="00DC2227"/>
    <w:rsid w:val="00DC23D2"/>
    <w:rsid w:val="00DC3F4D"/>
    <w:rsid w:val="00DC424A"/>
    <w:rsid w:val="00DC4270"/>
    <w:rsid w:val="00DC50BC"/>
    <w:rsid w:val="00DC6291"/>
    <w:rsid w:val="00DC62A8"/>
    <w:rsid w:val="00DC64C5"/>
    <w:rsid w:val="00DC67F3"/>
    <w:rsid w:val="00DC69EC"/>
    <w:rsid w:val="00DC756B"/>
    <w:rsid w:val="00DD0035"/>
    <w:rsid w:val="00DD058F"/>
    <w:rsid w:val="00DD1353"/>
    <w:rsid w:val="00DD1E6A"/>
    <w:rsid w:val="00DD21BD"/>
    <w:rsid w:val="00DD24A4"/>
    <w:rsid w:val="00DD24BA"/>
    <w:rsid w:val="00DD2A95"/>
    <w:rsid w:val="00DD2D39"/>
    <w:rsid w:val="00DD36F5"/>
    <w:rsid w:val="00DD42F5"/>
    <w:rsid w:val="00DD4436"/>
    <w:rsid w:val="00DD47D5"/>
    <w:rsid w:val="00DD4B7B"/>
    <w:rsid w:val="00DD4F48"/>
    <w:rsid w:val="00DD5B72"/>
    <w:rsid w:val="00DD5EA3"/>
    <w:rsid w:val="00DD5F57"/>
    <w:rsid w:val="00DD6850"/>
    <w:rsid w:val="00DD68F5"/>
    <w:rsid w:val="00DD6BCE"/>
    <w:rsid w:val="00DD7255"/>
    <w:rsid w:val="00DD76A5"/>
    <w:rsid w:val="00DE070A"/>
    <w:rsid w:val="00DE088F"/>
    <w:rsid w:val="00DE16B9"/>
    <w:rsid w:val="00DE1F7D"/>
    <w:rsid w:val="00DE2CB2"/>
    <w:rsid w:val="00DE436F"/>
    <w:rsid w:val="00DE4378"/>
    <w:rsid w:val="00DE48C9"/>
    <w:rsid w:val="00DE4C47"/>
    <w:rsid w:val="00DE5324"/>
    <w:rsid w:val="00DE6081"/>
    <w:rsid w:val="00DE74EE"/>
    <w:rsid w:val="00DE785B"/>
    <w:rsid w:val="00DE7E03"/>
    <w:rsid w:val="00DF04D5"/>
    <w:rsid w:val="00DF05A5"/>
    <w:rsid w:val="00DF0894"/>
    <w:rsid w:val="00DF0D76"/>
    <w:rsid w:val="00DF0FC8"/>
    <w:rsid w:val="00DF1E08"/>
    <w:rsid w:val="00DF1E73"/>
    <w:rsid w:val="00DF20AA"/>
    <w:rsid w:val="00DF2463"/>
    <w:rsid w:val="00DF3529"/>
    <w:rsid w:val="00DF35FF"/>
    <w:rsid w:val="00DF447F"/>
    <w:rsid w:val="00DF4A14"/>
    <w:rsid w:val="00DF4F20"/>
    <w:rsid w:val="00DF5475"/>
    <w:rsid w:val="00DF5EA6"/>
    <w:rsid w:val="00DF64E7"/>
    <w:rsid w:val="00DF65F8"/>
    <w:rsid w:val="00DF6754"/>
    <w:rsid w:val="00DF6B9A"/>
    <w:rsid w:val="00DF6C24"/>
    <w:rsid w:val="00DF707A"/>
    <w:rsid w:val="00DF772E"/>
    <w:rsid w:val="00DF791B"/>
    <w:rsid w:val="00DF7E89"/>
    <w:rsid w:val="00DF7FC4"/>
    <w:rsid w:val="00E00319"/>
    <w:rsid w:val="00E00370"/>
    <w:rsid w:val="00E0040B"/>
    <w:rsid w:val="00E0093B"/>
    <w:rsid w:val="00E00AA5"/>
    <w:rsid w:val="00E00BED"/>
    <w:rsid w:val="00E02559"/>
    <w:rsid w:val="00E025EB"/>
    <w:rsid w:val="00E026EF"/>
    <w:rsid w:val="00E02830"/>
    <w:rsid w:val="00E028EB"/>
    <w:rsid w:val="00E02E59"/>
    <w:rsid w:val="00E03069"/>
    <w:rsid w:val="00E03E82"/>
    <w:rsid w:val="00E05DA1"/>
    <w:rsid w:val="00E05FFA"/>
    <w:rsid w:val="00E060D8"/>
    <w:rsid w:val="00E06228"/>
    <w:rsid w:val="00E06313"/>
    <w:rsid w:val="00E06615"/>
    <w:rsid w:val="00E066EF"/>
    <w:rsid w:val="00E07E80"/>
    <w:rsid w:val="00E101B3"/>
    <w:rsid w:val="00E10A0E"/>
    <w:rsid w:val="00E10CF7"/>
    <w:rsid w:val="00E1195F"/>
    <w:rsid w:val="00E11AA6"/>
    <w:rsid w:val="00E11BA2"/>
    <w:rsid w:val="00E1262C"/>
    <w:rsid w:val="00E1284E"/>
    <w:rsid w:val="00E12F1A"/>
    <w:rsid w:val="00E12FDE"/>
    <w:rsid w:val="00E131E6"/>
    <w:rsid w:val="00E1356B"/>
    <w:rsid w:val="00E13920"/>
    <w:rsid w:val="00E13D4C"/>
    <w:rsid w:val="00E13DBA"/>
    <w:rsid w:val="00E14567"/>
    <w:rsid w:val="00E1496D"/>
    <w:rsid w:val="00E15CA8"/>
    <w:rsid w:val="00E16271"/>
    <w:rsid w:val="00E16725"/>
    <w:rsid w:val="00E17229"/>
    <w:rsid w:val="00E1728B"/>
    <w:rsid w:val="00E17304"/>
    <w:rsid w:val="00E1773F"/>
    <w:rsid w:val="00E2188A"/>
    <w:rsid w:val="00E21993"/>
    <w:rsid w:val="00E22EC6"/>
    <w:rsid w:val="00E237DC"/>
    <w:rsid w:val="00E24435"/>
    <w:rsid w:val="00E24539"/>
    <w:rsid w:val="00E24DF0"/>
    <w:rsid w:val="00E253D9"/>
    <w:rsid w:val="00E2573F"/>
    <w:rsid w:val="00E25765"/>
    <w:rsid w:val="00E25951"/>
    <w:rsid w:val="00E25A38"/>
    <w:rsid w:val="00E25B9F"/>
    <w:rsid w:val="00E25EB6"/>
    <w:rsid w:val="00E26BA3"/>
    <w:rsid w:val="00E26D7D"/>
    <w:rsid w:val="00E26DA0"/>
    <w:rsid w:val="00E27AE0"/>
    <w:rsid w:val="00E27D74"/>
    <w:rsid w:val="00E30141"/>
    <w:rsid w:val="00E30324"/>
    <w:rsid w:val="00E31791"/>
    <w:rsid w:val="00E31977"/>
    <w:rsid w:val="00E31A30"/>
    <w:rsid w:val="00E32476"/>
    <w:rsid w:val="00E3258C"/>
    <w:rsid w:val="00E329B0"/>
    <w:rsid w:val="00E32E56"/>
    <w:rsid w:val="00E3339A"/>
    <w:rsid w:val="00E33CD4"/>
    <w:rsid w:val="00E33EE4"/>
    <w:rsid w:val="00E34067"/>
    <w:rsid w:val="00E3463B"/>
    <w:rsid w:val="00E34BBB"/>
    <w:rsid w:val="00E3593D"/>
    <w:rsid w:val="00E361D2"/>
    <w:rsid w:val="00E3622A"/>
    <w:rsid w:val="00E36A71"/>
    <w:rsid w:val="00E370D8"/>
    <w:rsid w:val="00E371F5"/>
    <w:rsid w:val="00E40D0B"/>
    <w:rsid w:val="00E41A60"/>
    <w:rsid w:val="00E41DD8"/>
    <w:rsid w:val="00E42E6D"/>
    <w:rsid w:val="00E43846"/>
    <w:rsid w:val="00E44860"/>
    <w:rsid w:val="00E44EBD"/>
    <w:rsid w:val="00E4518C"/>
    <w:rsid w:val="00E454E8"/>
    <w:rsid w:val="00E4634E"/>
    <w:rsid w:val="00E46457"/>
    <w:rsid w:val="00E46835"/>
    <w:rsid w:val="00E4686E"/>
    <w:rsid w:val="00E46909"/>
    <w:rsid w:val="00E46CF8"/>
    <w:rsid w:val="00E46F5E"/>
    <w:rsid w:val="00E46F8A"/>
    <w:rsid w:val="00E47BAE"/>
    <w:rsid w:val="00E47F75"/>
    <w:rsid w:val="00E503FC"/>
    <w:rsid w:val="00E51107"/>
    <w:rsid w:val="00E51891"/>
    <w:rsid w:val="00E51B3C"/>
    <w:rsid w:val="00E5209C"/>
    <w:rsid w:val="00E52484"/>
    <w:rsid w:val="00E52D84"/>
    <w:rsid w:val="00E55396"/>
    <w:rsid w:val="00E55D80"/>
    <w:rsid w:val="00E56A25"/>
    <w:rsid w:val="00E56EAF"/>
    <w:rsid w:val="00E56F45"/>
    <w:rsid w:val="00E56F6B"/>
    <w:rsid w:val="00E570C2"/>
    <w:rsid w:val="00E5758D"/>
    <w:rsid w:val="00E57D1A"/>
    <w:rsid w:val="00E57F24"/>
    <w:rsid w:val="00E57F69"/>
    <w:rsid w:val="00E605BA"/>
    <w:rsid w:val="00E60641"/>
    <w:rsid w:val="00E628B5"/>
    <w:rsid w:val="00E62A55"/>
    <w:rsid w:val="00E62E53"/>
    <w:rsid w:val="00E638AF"/>
    <w:rsid w:val="00E63EEB"/>
    <w:rsid w:val="00E63F06"/>
    <w:rsid w:val="00E6462E"/>
    <w:rsid w:val="00E6576B"/>
    <w:rsid w:val="00E65792"/>
    <w:rsid w:val="00E658F1"/>
    <w:rsid w:val="00E6719D"/>
    <w:rsid w:val="00E6778F"/>
    <w:rsid w:val="00E67E66"/>
    <w:rsid w:val="00E67FBA"/>
    <w:rsid w:val="00E72461"/>
    <w:rsid w:val="00E72CAB"/>
    <w:rsid w:val="00E73353"/>
    <w:rsid w:val="00E737DD"/>
    <w:rsid w:val="00E738DC"/>
    <w:rsid w:val="00E73D10"/>
    <w:rsid w:val="00E74027"/>
    <w:rsid w:val="00E74AB4"/>
    <w:rsid w:val="00E74EBE"/>
    <w:rsid w:val="00E7640F"/>
    <w:rsid w:val="00E76919"/>
    <w:rsid w:val="00E76CE6"/>
    <w:rsid w:val="00E76DA6"/>
    <w:rsid w:val="00E76DBC"/>
    <w:rsid w:val="00E774F9"/>
    <w:rsid w:val="00E805B5"/>
    <w:rsid w:val="00E810D7"/>
    <w:rsid w:val="00E816EA"/>
    <w:rsid w:val="00E823F2"/>
    <w:rsid w:val="00E831D6"/>
    <w:rsid w:val="00E8348F"/>
    <w:rsid w:val="00E8387A"/>
    <w:rsid w:val="00E842C1"/>
    <w:rsid w:val="00E843A6"/>
    <w:rsid w:val="00E84551"/>
    <w:rsid w:val="00E855FC"/>
    <w:rsid w:val="00E8571A"/>
    <w:rsid w:val="00E859BA"/>
    <w:rsid w:val="00E85C5C"/>
    <w:rsid w:val="00E862FC"/>
    <w:rsid w:val="00E86B9E"/>
    <w:rsid w:val="00E871D8"/>
    <w:rsid w:val="00E8739F"/>
    <w:rsid w:val="00E873E4"/>
    <w:rsid w:val="00E8745F"/>
    <w:rsid w:val="00E87646"/>
    <w:rsid w:val="00E902E8"/>
    <w:rsid w:val="00E910D2"/>
    <w:rsid w:val="00E914C2"/>
    <w:rsid w:val="00E923CA"/>
    <w:rsid w:val="00E92CF5"/>
    <w:rsid w:val="00E9453C"/>
    <w:rsid w:val="00E952D6"/>
    <w:rsid w:val="00E95F7E"/>
    <w:rsid w:val="00E96AA6"/>
    <w:rsid w:val="00E96E8C"/>
    <w:rsid w:val="00E96E9A"/>
    <w:rsid w:val="00E97076"/>
    <w:rsid w:val="00E9727F"/>
    <w:rsid w:val="00E979E2"/>
    <w:rsid w:val="00E97CDA"/>
    <w:rsid w:val="00EA030C"/>
    <w:rsid w:val="00EA154F"/>
    <w:rsid w:val="00EA1968"/>
    <w:rsid w:val="00EA21D2"/>
    <w:rsid w:val="00EA227F"/>
    <w:rsid w:val="00EA26EA"/>
    <w:rsid w:val="00EA2944"/>
    <w:rsid w:val="00EA2B25"/>
    <w:rsid w:val="00EA2B44"/>
    <w:rsid w:val="00EA2CA8"/>
    <w:rsid w:val="00EA324D"/>
    <w:rsid w:val="00EA636E"/>
    <w:rsid w:val="00EA63FE"/>
    <w:rsid w:val="00EA67A6"/>
    <w:rsid w:val="00EA76CC"/>
    <w:rsid w:val="00EA77F7"/>
    <w:rsid w:val="00EB0484"/>
    <w:rsid w:val="00EB059D"/>
    <w:rsid w:val="00EB086E"/>
    <w:rsid w:val="00EB0CCB"/>
    <w:rsid w:val="00EB0DF7"/>
    <w:rsid w:val="00EB187A"/>
    <w:rsid w:val="00EB1948"/>
    <w:rsid w:val="00EB1F57"/>
    <w:rsid w:val="00EB34E8"/>
    <w:rsid w:val="00EB376D"/>
    <w:rsid w:val="00EB3A16"/>
    <w:rsid w:val="00EB478D"/>
    <w:rsid w:val="00EB5A2F"/>
    <w:rsid w:val="00EB5E5A"/>
    <w:rsid w:val="00EB64A8"/>
    <w:rsid w:val="00EB660F"/>
    <w:rsid w:val="00EB70AD"/>
    <w:rsid w:val="00EB70BC"/>
    <w:rsid w:val="00EB73AB"/>
    <w:rsid w:val="00EB79FD"/>
    <w:rsid w:val="00EB7A7B"/>
    <w:rsid w:val="00EB7C0A"/>
    <w:rsid w:val="00EC07F8"/>
    <w:rsid w:val="00EC0CF5"/>
    <w:rsid w:val="00EC0E4A"/>
    <w:rsid w:val="00EC155B"/>
    <w:rsid w:val="00EC17EB"/>
    <w:rsid w:val="00EC19E8"/>
    <w:rsid w:val="00EC1C06"/>
    <w:rsid w:val="00EC20F6"/>
    <w:rsid w:val="00EC3F7D"/>
    <w:rsid w:val="00EC5A70"/>
    <w:rsid w:val="00EC652B"/>
    <w:rsid w:val="00EC6919"/>
    <w:rsid w:val="00EC696C"/>
    <w:rsid w:val="00EC6975"/>
    <w:rsid w:val="00ED103F"/>
    <w:rsid w:val="00ED1140"/>
    <w:rsid w:val="00ED1569"/>
    <w:rsid w:val="00ED20AB"/>
    <w:rsid w:val="00ED2B24"/>
    <w:rsid w:val="00ED2B6D"/>
    <w:rsid w:val="00ED2C0A"/>
    <w:rsid w:val="00ED2CC1"/>
    <w:rsid w:val="00ED40D0"/>
    <w:rsid w:val="00ED4572"/>
    <w:rsid w:val="00ED60BD"/>
    <w:rsid w:val="00ED6A38"/>
    <w:rsid w:val="00ED6BB8"/>
    <w:rsid w:val="00ED6CE8"/>
    <w:rsid w:val="00ED6E4D"/>
    <w:rsid w:val="00ED739C"/>
    <w:rsid w:val="00ED7559"/>
    <w:rsid w:val="00ED7735"/>
    <w:rsid w:val="00EE0871"/>
    <w:rsid w:val="00EE0CAD"/>
    <w:rsid w:val="00EE0D12"/>
    <w:rsid w:val="00EE1705"/>
    <w:rsid w:val="00EE1A7F"/>
    <w:rsid w:val="00EE1A8C"/>
    <w:rsid w:val="00EE1F6D"/>
    <w:rsid w:val="00EE2BAF"/>
    <w:rsid w:val="00EE39D1"/>
    <w:rsid w:val="00EE4CFC"/>
    <w:rsid w:val="00EE5656"/>
    <w:rsid w:val="00EE5F0A"/>
    <w:rsid w:val="00EE5F83"/>
    <w:rsid w:val="00EE699C"/>
    <w:rsid w:val="00EE72AA"/>
    <w:rsid w:val="00EE72C9"/>
    <w:rsid w:val="00EE7357"/>
    <w:rsid w:val="00EE784E"/>
    <w:rsid w:val="00EF015A"/>
    <w:rsid w:val="00EF0179"/>
    <w:rsid w:val="00EF2DDB"/>
    <w:rsid w:val="00EF329A"/>
    <w:rsid w:val="00EF32F3"/>
    <w:rsid w:val="00EF4177"/>
    <w:rsid w:val="00EF4F7B"/>
    <w:rsid w:val="00EF65FA"/>
    <w:rsid w:val="00EF729D"/>
    <w:rsid w:val="00EF733C"/>
    <w:rsid w:val="00EF7EC2"/>
    <w:rsid w:val="00F00023"/>
    <w:rsid w:val="00F0002F"/>
    <w:rsid w:val="00F0020A"/>
    <w:rsid w:val="00F004B6"/>
    <w:rsid w:val="00F00BE2"/>
    <w:rsid w:val="00F00F69"/>
    <w:rsid w:val="00F0102C"/>
    <w:rsid w:val="00F01366"/>
    <w:rsid w:val="00F014E8"/>
    <w:rsid w:val="00F0158B"/>
    <w:rsid w:val="00F01715"/>
    <w:rsid w:val="00F0178E"/>
    <w:rsid w:val="00F02598"/>
    <w:rsid w:val="00F02D94"/>
    <w:rsid w:val="00F02F25"/>
    <w:rsid w:val="00F02FED"/>
    <w:rsid w:val="00F0352B"/>
    <w:rsid w:val="00F03C37"/>
    <w:rsid w:val="00F043D9"/>
    <w:rsid w:val="00F04F43"/>
    <w:rsid w:val="00F0590C"/>
    <w:rsid w:val="00F05BD6"/>
    <w:rsid w:val="00F05BDF"/>
    <w:rsid w:val="00F05C4C"/>
    <w:rsid w:val="00F05ED7"/>
    <w:rsid w:val="00F05EE0"/>
    <w:rsid w:val="00F06ABD"/>
    <w:rsid w:val="00F06F7A"/>
    <w:rsid w:val="00F079F9"/>
    <w:rsid w:val="00F07C6A"/>
    <w:rsid w:val="00F1042E"/>
    <w:rsid w:val="00F107A1"/>
    <w:rsid w:val="00F11344"/>
    <w:rsid w:val="00F11AA6"/>
    <w:rsid w:val="00F11BE0"/>
    <w:rsid w:val="00F12170"/>
    <w:rsid w:val="00F126AE"/>
    <w:rsid w:val="00F12995"/>
    <w:rsid w:val="00F1339E"/>
    <w:rsid w:val="00F14002"/>
    <w:rsid w:val="00F140DE"/>
    <w:rsid w:val="00F148A3"/>
    <w:rsid w:val="00F15942"/>
    <w:rsid w:val="00F16431"/>
    <w:rsid w:val="00F169A0"/>
    <w:rsid w:val="00F16EDC"/>
    <w:rsid w:val="00F16F90"/>
    <w:rsid w:val="00F17E20"/>
    <w:rsid w:val="00F21C72"/>
    <w:rsid w:val="00F22028"/>
    <w:rsid w:val="00F2270A"/>
    <w:rsid w:val="00F23322"/>
    <w:rsid w:val="00F236BB"/>
    <w:rsid w:val="00F23D55"/>
    <w:rsid w:val="00F23D86"/>
    <w:rsid w:val="00F242DE"/>
    <w:rsid w:val="00F2489E"/>
    <w:rsid w:val="00F250AC"/>
    <w:rsid w:val="00F25C7D"/>
    <w:rsid w:val="00F27179"/>
    <w:rsid w:val="00F271D1"/>
    <w:rsid w:val="00F27445"/>
    <w:rsid w:val="00F3064A"/>
    <w:rsid w:val="00F30A2E"/>
    <w:rsid w:val="00F31620"/>
    <w:rsid w:val="00F31C8C"/>
    <w:rsid w:val="00F323B7"/>
    <w:rsid w:val="00F3249E"/>
    <w:rsid w:val="00F3271A"/>
    <w:rsid w:val="00F32958"/>
    <w:rsid w:val="00F32DFF"/>
    <w:rsid w:val="00F33CF0"/>
    <w:rsid w:val="00F347CE"/>
    <w:rsid w:val="00F34FD2"/>
    <w:rsid w:val="00F35600"/>
    <w:rsid w:val="00F35D32"/>
    <w:rsid w:val="00F3643E"/>
    <w:rsid w:val="00F364B2"/>
    <w:rsid w:val="00F36E16"/>
    <w:rsid w:val="00F3734D"/>
    <w:rsid w:val="00F376CE"/>
    <w:rsid w:val="00F37F74"/>
    <w:rsid w:val="00F40736"/>
    <w:rsid w:val="00F414F5"/>
    <w:rsid w:val="00F415BE"/>
    <w:rsid w:val="00F41F41"/>
    <w:rsid w:val="00F42175"/>
    <w:rsid w:val="00F424E0"/>
    <w:rsid w:val="00F4299A"/>
    <w:rsid w:val="00F43DEE"/>
    <w:rsid w:val="00F444EB"/>
    <w:rsid w:val="00F44CD1"/>
    <w:rsid w:val="00F451D9"/>
    <w:rsid w:val="00F453BB"/>
    <w:rsid w:val="00F469E1"/>
    <w:rsid w:val="00F47C83"/>
    <w:rsid w:val="00F50862"/>
    <w:rsid w:val="00F50970"/>
    <w:rsid w:val="00F50A7C"/>
    <w:rsid w:val="00F50AE4"/>
    <w:rsid w:val="00F50F72"/>
    <w:rsid w:val="00F50FDA"/>
    <w:rsid w:val="00F5113D"/>
    <w:rsid w:val="00F51E6F"/>
    <w:rsid w:val="00F52259"/>
    <w:rsid w:val="00F52EAC"/>
    <w:rsid w:val="00F53AB8"/>
    <w:rsid w:val="00F53BE0"/>
    <w:rsid w:val="00F54274"/>
    <w:rsid w:val="00F544CA"/>
    <w:rsid w:val="00F54D89"/>
    <w:rsid w:val="00F554C3"/>
    <w:rsid w:val="00F555C8"/>
    <w:rsid w:val="00F558A7"/>
    <w:rsid w:val="00F55E82"/>
    <w:rsid w:val="00F56A24"/>
    <w:rsid w:val="00F56AC3"/>
    <w:rsid w:val="00F5732C"/>
    <w:rsid w:val="00F57628"/>
    <w:rsid w:val="00F577D2"/>
    <w:rsid w:val="00F60433"/>
    <w:rsid w:val="00F60AF5"/>
    <w:rsid w:val="00F61E52"/>
    <w:rsid w:val="00F62687"/>
    <w:rsid w:val="00F62FCA"/>
    <w:rsid w:val="00F631F1"/>
    <w:rsid w:val="00F645DB"/>
    <w:rsid w:val="00F64C1C"/>
    <w:rsid w:val="00F65589"/>
    <w:rsid w:val="00F65C44"/>
    <w:rsid w:val="00F66231"/>
    <w:rsid w:val="00F7022E"/>
    <w:rsid w:val="00F7132C"/>
    <w:rsid w:val="00F71912"/>
    <w:rsid w:val="00F71A9F"/>
    <w:rsid w:val="00F72064"/>
    <w:rsid w:val="00F72DD7"/>
    <w:rsid w:val="00F734AF"/>
    <w:rsid w:val="00F74566"/>
    <w:rsid w:val="00F75390"/>
    <w:rsid w:val="00F75E40"/>
    <w:rsid w:val="00F7606F"/>
    <w:rsid w:val="00F772EE"/>
    <w:rsid w:val="00F77514"/>
    <w:rsid w:val="00F77726"/>
    <w:rsid w:val="00F80309"/>
    <w:rsid w:val="00F8042A"/>
    <w:rsid w:val="00F80537"/>
    <w:rsid w:val="00F80A53"/>
    <w:rsid w:val="00F81F72"/>
    <w:rsid w:val="00F822B0"/>
    <w:rsid w:val="00F82B13"/>
    <w:rsid w:val="00F82C08"/>
    <w:rsid w:val="00F82DCE"/>
    <w:rsid w:val="00F84FC7"/>
    <w:rsid w:val="00F85246"/>
    <w:rsid w:val="00F85999"/>
    <w:rsid w:val="00F859FE"/>
    <w:rsid w:val="00F85C0E"/>
    <w:rsid w:val="00F85F6B"/>
    <w:rsid w:val="00F85FB1"/>
    <w:rsid w:val="00F861F4"/>
    <w:rsid w:val="00F8678D"/>
    <w:rsid w:val="00F86896"/>
    <w:rsid w:val="00F86B63"/>
    <w:rsid w:val="00F86C14"/>
    <w:rsid w:val="00F87809"/>
    <w:rsid w:val="00F87D56"/>
    <w:rsid w:val="00F9034A"/>
    <w:rsid w:val="00F90E21"/>
    <w:rsid w:val="00F90F9F"/>
    <w:rsid w:val="00F91FDC"/>
    <w:rsid w:val="00F92500"/>
    <w:rsid w:val="00F92DE7"/>
    <w:rsid w:val="00F9391D"/>
    <w:rsid w:val="00F93970"/>
    <w:rsid w:val="00F93ACB"/>
    <w:rsid w:val="00F94404"/>
    <w:rsid w:val="00F94542"/>
    <w:rsid w:val="00F94D15"/>
    <w:rsid w:val="00F9502C"/>
    <w:rsid w:val="00F969EE"/>
    <w:rsid w:val="00F96B6F"/>
    <w:rsid w:val="00F97163"/>
    <w:rsid w:val="00F975A3"/>
    <w:rsid w:val="00F976BE"/>
    <w:rsid w:val="00F97AB8"/>
    <w:rsid w:val="00F97E10"/>
    <w:rsid w:val="00FA00CE"/>
    <w:rsid w:val="00FA0315"/>
    <w:rsid w:val="00FA04A4"/>
    <w:rsid w:val="00FA0D0D"/>
    <w:rsid w:val="00FA1322"/>
    <w:rsid w:val="00FA1958"/>
    <w:rsid w:val="00FA19FF"/>
    <w:rsid w:val="00FA1CD7"/>
    <w:rsid w:val="00FA1F4B"/>
    <w:rsid w:val="00FA238E"/>
    <w:rsid w:val="00FA29FF"/>
    <w:rsid w:val="00FA2C7B"/>
    <w:rsid w:val="00FA2ECA"/>
    <w:rsid w:val="00FA2FD0"/>
    <w:rsid w:val="00FA48BE"/>
    <w:rsid w:val="00FA49A8"/>
    <w:rsid w:val="00FA516A"/>
    <w:rsid w:val="00FA56A8"/>
    <w:rsid w:val="00FA5D94"/>
    <w:rsid w:val="00FA6325"/>
    <w:rsid w:val="00FA68C8"/>
    <w:rsid w:val="00FB1004"/>
    <w:rsid w:val="00FB1823"/>
    <w:rsid w:val="00FB1869"/>
    <w:rsid w:val="00FB18ED"/>
    <w:rsid w:val="00FB208A"/>
    <w:rsid w:val="00FB2223"/>
    <w:rsid w:val="00FB275D"/>
    <w:rsid w:val="00FB2CA8"/>
    <w:rsid w:val="00FB33CE"/>
    <w:rsid w:val="00FB4743"/>
    <w:rsid w:val="00FB4775"/>
    <w:rsid w:val="00FB5727"/>
    <w:rsid w:val="00FB5A94"/>
    <w:rsid w:val="00FB6710"/>
    <w:rsid w:val="00FB6903"/>
    <w:rsid w:val="00FB708C"/>
    <w:rsid w:val="00FC03E5"/>
    <w:rsid w:val="00FC03F8"/>
    <w:rsid w:val="00FC046B"/>
    <w:rsid w:val="00FC048F"/>
    <w:rsid w:val="00FC0587"/>
    <w:rsid w:val="00FC0B7A"/>
    <w:rsid w:val="00FC0FAC"/>
    <w:rsid w:val="00FC177A"/>
    <w:rsid w:val="00FC1EDF"/>
    <w:rsid w:val="00FC2003"/>
    <w:rsid w:val="00FC2212"/>
    <w:rsid w:val="00FC2395"/>
    <w:rsid w:val="00FC258D"/>
    <w:rsid w:val="00FC2DFC"/>
    <w:rsid w:val="00FC33EB"/>
    <w:rsid w:val="00FC3885"/>
    <w:rsid w:val="00FC3AA4"/>
    <w:rsid w:val="00FC3CB7"/>
    <w:rsid w:val="00FC4AA8"/>
    <w:rsid w:val="00FC516E"/>
    <w:rsid w:val="00FC5E91"/>
    <w:rsid w:val="00FC65DE"/>
    <w:rsid w:val="00FC66D5"/>
    <w:rsid w:val="00FC68DB"/>
    <w:rsid w:val="00FC7AA2"/>
    <w:rsid w:val="00FC7CE6"/>
    <w:rsid w:val="00FC7E1F"/>
    <w:rsid w:val="00FD0E15"/>
    <w:rsid w:val="00FD25B4"/>
    <w:rsid w:val="00FD29DF"/>
    <w:rsid w:val="00FD2A87"/>
    <w:rsid w:val="00FD3043"/>
    <w:rsid w:val="00FD34B7"/>
    <w:rsid w:val="00FD4EE9"/>
    <w:rsid w:val="00FD7EB3"/>
    <w:rsid w:val="00FE0102"/>
    <w:rsid w:val="00FE09F2"/>
    <w:rsid w:val="00FE1261"/>
    <w:rsid w:val="00FE13E9"/>
    <w:rsid w:val="00FE1472"/>
    <w:rsid w:val="00FE26D2"/>
    <w:rsid w:val="00FE27F3"/>
    <w:rsid w:val="00FE282E"/>
    <w:rsid w:val="00FE295D"/>
    <w:rsid w:val="00FE3096"/>
    <w:rsid w:val="00FE3750"/>
    <w:rsid w:val="00FE44F3"/>
    <w:rsid w:val="00FE4754"/>
    <w:rsid w:val="00FE4A2B"/>
    <w:rsid w:val="00FE4EA2"/>
    <w:rsid w:val="00FE58D5"/>
    <w:rsid w:val="00FE6020"/>
    <w:rsid w:val="00FE63C1"/>
    <w:rsid w:val="00FE67F9"/>
    <w:rsid w:val="00FE72B9"/>
    <w:rsid w:val="00FE7659"/>
    <w:rsid w:val="00FF0FDD"/>
    <w:rsid w:val="00FF2F8E"/>
    <w:rsid w:val="00FF327F"/>
    <w:rsid w:val="00FF3577"/>
    <w:rsid w:val="00FF51AC"/>
    <w:rsid w:val="00FF5B64"/>
    <w:rsid w:val="00FF5BFA"/>
    <w:rsid w:val="00FF5F48"/>
    <w:rsid w:val="00FF6690"/>
    <w:rsid w:val="00FF67F0"/>
    <w:rsid w:val="00FF6806"/>
    <w:rsid w:val="00FF6D5B"/>
    <w:rsid w:val="00FF7EAD"/>
    <w:rsid w:val="02927F16"/>
    <w:rsid w:val="02F8CBDE"/>
    <w:rsid w:val="03569D57"/>
    <w:rsid w:val="03F9F54B"/>
    <w:rsid w:val="0554B790"/>
    <w:rsid w:val="05B9DE06"/>
    <w:rsid w:val="06205A1B"/>
    <w:rsid w:val="0672BBE8"/>
    <w:rsid w:val="0836C17E"/>
    <w:rsid w:val="0FFF8288"/>
    <w:rsid w:val="12C7BDEC"/>
    <w:rsid w:val="130B4498"/>
    <w:rsid w:val="15637758"/>
    <w:rsid w:val="15B2035B"/>
    <w:rsid w:val="15D78FC8"/>
    <w:rsid w:val="168C05C8"/>
    <w:rsid w:val="16D8CE93"/>
    <w:rsid w:val="17CAB9A1"/>
    <w:rsid w:val="17FB47E1"/>
    <w:rsid w:val="197085E3"/>
    <w:rsid w:val="1A9F2A01"/>
    <w:rsid w:val="2313C56C"/>
    <w:rsid w:val="24553F31"/>
    <w:rsid w:val="258AA296"/>
    <w:rsid w:val="2758AA79"/>
    <w:rsid w:val="2815F8F2"/>
    <w:rsid w:val="298607A0"/>
    <w:rsid w:val="2ABCB1FB"/>
    <w:rsid w:val="2B5817A2"/>
    <w:rsid w:val="2D50BCE1"/>
    <w:rsid w:val="2EC96EA4"/>
    <w:rsid w:val="2F90C18A"/>
    <w:rsid w:val="2FB395DE"/>
    <w:rsid w:val="354268F8"/>
    <w:rsid w:val="35BA50EF"/>
    <w:rsid w:val="3603B8E1"/>
    <w:rsid w:val="369450AD"/>
    <w:rsid w:val="36C1CF88"/>
    <w:rsid w:val="371154F8"/>
    <w:rsid w:val="3B3F7AEE"/>
    <w:rsid w:val="3E1ECE01"/>
    <w:rsid w:val="3EE11255"/>
    <w:rsid w:val="3F6AED0F"/>
    <w:rsid w:val="41881747"/>
    <w:rsid w:val="43002A99"/>
    <w:rsid w:val="43D09168"/>
    <w:rsid w:val="43EA5524"/>
    <w:rsid w:val="452553EE"/>
    <w:rsid w:val="482BF76F"/>
    <w:rsid w:val="48DC798C"/>
    <w:rsid w:val="4D9A61C2"/>
    <w:rsid w:val="4F6AE830"/>
    <w:rsid w:val="507B8746"/>
    <w:rsid w:val="50C0661C"/>
    <w:rsid w:val="51CD0C60"/>
    <w:rsid w:val="51D7C52D"/>
    <w:rsid w:val="542AC5F2"/>
    <w:rsid w:val="55D99DE8"/>
    <w:rsid w:val="57F9635C"/>
    <w:rsid w:val="5839DBBA"/>
    <w:rsid w:val="5A3F0FDE"/>
    <w:rsid w:val="5B7C25AE"/>
    <w:rsid w:val="5C2EE7B5"/>
    <w:rsid w:val="603D631B"/>
    <w:rsid w:val="61AD0A87"/>
    <w:rsid w:val="62756FBB"/>
    <w:rsid w:val="62B60E53"/>
    <w:rsid w:val="62F3A534"/>
    <w:rsid w:val="64301B47"/>
    <w:rsid w:val="6578C892"/>
    <w:rsid w:val="67094B9B"/>
    <w:rsid w:val="67C2C87E"/>
    <w:rsid w:val="67CB0121"/>
    <w:rsid w:val="691AC696"/>
    <w:rsid w:val="69647E3A"/>
    <w:rsid w:val="6A1CAB17"/>
    <w:rsid w:val="6C57ED05"/>
    <w:rsid w:val="6C66117B"/>
    <w:rsid w:val="6C711880"/>
    <w:rsid w:val="6DC6C62A"/>
    <w:rsid w:val="6E388951"/>
    <w:rsid w:val="70468CD6"/>
    <w:rsid w:val="70EA3880"/>
    <w:rsid w:val="71F2D214"/>
    <w:rsid w:val="73D55DAA"/>
    <w:rsid w:val="7465E07F"/>
    <w:rsid w:val="75CB2B31"/>
    <w:rsid w:val="76E0E371"/>
    <w:rsid w:val="770E9ED5"/>
    <w:rsid w:val="7A2D95F1"/>
    <w:rsid w:val="7C3BD7BE"/>
    <w:rsid w:val="7C53B6F7"/>
    <w:rsid w:val="7CAD9105"/>
    <w:rsid w:val="7D57F949"/>
    <w:rsid w:val="7D6829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CB0121"/>
  <w15:chartTrackingRefBased/>
  <w15:docId w15:val="{C789FF8C-2AB6-4937-B750-7C8DE2BD8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3734"/>
    <w:pPr>
      <w:spacing w:before="240" w:after="0" w:line="240" w:lineRule="auto"/>
      <w:jc w:val="center"/>
      <w:outlineLvl w:val="0"/>
    </w:pPr>
    <w:rPr>
      <w:rFonts w:ascii="Arial" w:hAnsi="Arial" w:cs="Arial"/>
      <w:b/>
      <w:bCs/>
      <w:sz w:val="28"/>
      <w:szCs w:val="28"/>
    </w:rPr>
  </w:style>
  <w:style w:type="paragraph" w:styleId="Heading2">
    <w:name w:val="heading 2"/>
    <w:basedOn w:val="Heading1"/>
    <w:next w:val="Normal"/>
    <w:link w:val="Heading2Char"/>
    <w:uiPriority w:val="9"/>
    <w:unhideWhenUsed/>
    <w:qFormat/>
    <w:rsid w:val="00D33734"/>
    <w:pPr>
      <w:outlineLvl w:val="1"/>
    </w:pPr>
  </w:style>
  <w:style w:type="paragraph" w:styleId="Heading3">
    <w:name w:val="heading 3"/>
    <w:basedOn w:val="Heading1"/>
    <w:next w:val="Normal"/>
    <w:link w:val="Heading3Char"/>
    <w:uiPriority w:val="9"/>
    <w:unhideWhenUsed/>
    <w:qFormat/>
    <w:rsid w:val="00D33734"/>
    <w:pPr>
      <w:outlineLvl w:val="2"/>
    </w:pPr>
  </w:style>
  <w:style w:type="paragraph" w:styleId="Heading4">
    <w:name w:val="heading 4"/>
    <w:basedOn w:val="Heading3"/>
    <w:next w:val="Normal"/>
    <w:link w:val="Heading4Char"/>
    <w:uiPriority w:val="9"/>
    <w:unhideWhenUsed/>
    <w:qFormat/>
    <w:rsid w:val="00D33734"/>
    <w:pPr>
      <w:outlineLvl w:val="3"/>
    </w:pPr>
  </w:style>
  <w:style w:type="paragraph" w:styleId="Heading5">
    <w:name w:val="heading 5"/>
    <w:basedOn w:val="Heading4"/>
    <w:next w:val="Normal"/>
    <w:link w:val="Heading5Char"/>
    <w:uiPriority w:val="9"/>
    <w:unhideWhenUsed/>
    <w:qFormat/>
    <w:rsid w:val="00D33734"/>
    <w:pPr>
      <w:spacing w:after="120"/>
      <w:jc w:val="left"/>
      <w:outlineLvl w:val="4"/>
    </w:pPr>
    <w:rPr>
      <w:sz w:val="24"/>
      <w:szCs w:val="24"/>
      <w:u w:val="single"/>
    </w:rPr>
  </w:style>
  <w:style w:type="paragraph" w:styleId="Heading6">
    <w:name w:val="heading 6"/>
    <w:basedOn w:val="Normal"/>
    <w:next w:val="Normal"/>
    <w:link w:val="Heading6Char"/>
    <w:uiPriority w:val="9"/>
    <w:unhideWhenUsed/>
    <w:qFormat/>
    <w:rsid w:val="00D3373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3A0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61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28D"/>
  </w:style>
  <w:style w:type="paragraph" w:styleId="Footer">
    <w:name w:val="footer"/>
    <w:basedOn w:val="Normal"/>
    <w:link w:val="FooterChar"/>
    <w:uiPriority w:val="99"/>
    <w:unhideWhenUsed/>
    <w:rsid w:val="00D61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28D"/>
  </w:style>
  <w:style w:type="paragraph" w:styleId="ListParagraph">
    <w:name w:val="List Paragraph"/>
    <w:basedOn w:val="Normal"/>
    <w:uiPriority w:val="34"/>
    <w:qFormat/>
    <w:rsid w:val="00DA4A5F"/>
    <w:pPr>
      <w:ind w:left="720"/>
      <w:contextualSpacing/>
    </w:pPr>
  </w:style>
  <w:style w:type="character" w:styleId="CommentReference">
    <w:name w:val="annotation reference"/>
    <w:basedOn w:val="DefaultParagraphFont"/>
    <w:uiPriority w:val="99"/>
    <w:semiHidden/>
    <w:unhideWhenUsed/>
    <w:rsid w:val="00BA6CE7"/>
    <w:rPr>
      <w:sz w:val="16"/>
      <w:szCs w:val="16"/>
    </w:rPr>
  </w:style>
  <w:style w:type="paragraph" w:styleId="CommentText">
    <w:name w:val="annotation text"/>
    <w:basedOn w:val="Normal"/>
    <w:link w:val="CommentTextChar"/>
    <w:uiPriority w:val="99"/>
    <w:unhideWhenUsed/>
    <w:rsid w:val="00BA6CE7"/>
    <w:pPr>
      <w:spacing w:line="240" w:lineRule="auto"/>
    </w:pPr>
    <w:rPr>
      <w:sz w:val="20"/>
      <w:szCs w:val="20"/>
    </w:rPr>
  </w:style>
  <w:style w:type="character" w:customStyle="1" w:styleId="CommentTextChar">
    <w:name w:val="Comment Text Char"/>
    <w:basedOn w:val="DefaultParagraphFont"/>
    <w:link w:val="CommentText"/>
    <w:uiPriority w:val="99"/>
    <w:rsid w:val="00BA6CE7"/>
    <w:rPr>
      <w:sz w:val="20"/>
      <w:szCs w:val="20"/>
    </w:rPr>
  </w:style>
  <w:style w:type="paragraph" w:styleId="CommentSubject">
    <w:name w:val="annotation subject"/>
    <w:basedOn w:val="CommentText"/>
    <w:next w:val="CommentText"/>
    <w:link w:val="CommentSubjectChar"/>
    <w:uiPriority w:val="99"/>
    <w:semiHidden/>
    <w:unhideWhenUsed/>
    <w:rsid w:val="00BA6CE7"/>
    <w:rPr>
      <w:b/>
      <w:bCs/>
    </w:rPr>
  </w:style>
  <w:style w:type="character" w:customStyle="1" w:styleId="CommentSubjectChar">
    <w:name w:val="Comment Subject Char"/>
    <w:basedOn w:val="CommentTextChar"/>
    <w:link w:val="CommentSubject"/>
    <w:uiPriority w:val="99"/>
    <w:semiHidden/>
    <w:rsid w:val="00BA6CE7"/>
    <w:rPr>
      <w:b/>
      <w:bCs/>
      <w:sz w:val="20"/>
      <w:szCs w:val="20"/>
    </w:rPr>
  </w:style>
  <w:style w:type="paragraph" w:styleId="Revision">
    <w:name w:val="Revision"/>
    <w:hidden/>
    <w:uiPriority w:val="99"/>
    <w:semiHidden/>
    <w:rsid w:val="00AF28B7"/>
    <w:pPr>
      <w:spacing w:after="0" w:line="240" w:lineRule="auto"/>
    </w:pPr>
  </w:style>
  <w:style w:type="character" w:styleId="Hyperlink">
    <w:name w:val="Hyperlink"/>
    <w:basedOn w:val="DefaultParagraphFont"/>
    <w:uiPriority w:val="99"/>
    <w:unhideWhenUsed/>
    <w:rsid w:val="00D05D52"/>
    <w:rPr>
      <w:color w:val="0563C1" w:themeColor="hyperlink"/>
      <w:u w:val="single"/>
    </w:rPr>
  </w:style>
  <w:style w:type="character" w:styleId="UnresolvedMention">
    <w:name w:val="Unresolved Mention"/>
    <w:basedOn w:val="DefaultParagraphFont"/>
    <w:uiPriority w:val="99"/>
    <w:semiHidden/>
    <w:unhideWhenUsed/>
    <w:rsid w:val="00D05D52"/>
    <w:rPr>
      <w:color w:val="605E5C"/>
      <w:shd w:val="clear" w:color="auto" w:fill="E1DFDD"/>
    </w:rPr>
  </w:style>
  <w:style w:type="character" w:styleId="FootnoteReference">
    <w:name w:val="footnote reference"/>
    <w:aliases w:val="FtRef"/>
    <w:rsid w:val="00966EC8"/>
    <w:rPr>
      <w:rFonts w:ascii="Arial" w:hAnsi="Arial"/>
      <w:sz w:val="24"/>
      <w:vertAlign w:val="superscript"/>
    </w:rPr>
  </w:style>
  <w:style w:type="paragraph" w:customStyle="1" w:styleId="MRP-FSProvRqmtBullet">
    <w:name w:val="MRP-FS Prov Rqmt Bullet"/>
    <w:basedOn w:val="Normal"/>
    <w:rsid w:val="000A6FD2"/>
    <w:rPr>
      <w:rFonts w:ascii="Arial" w:hAnsi="Arial"/>
      <w:bCs/>
      <w:sz w:val="24"/>
    </w:rPr>
  </w:style>
  <w:style w:type="paragraph" w:customStyle="1" w:styleId="MRPA1ai1aia">
    <w:name w:val="MRP A.1.a.i. (1) (a) (i) a."/>
    <w:qFormat/>
    <w:locked/>
    <w:rsid w:val="00966EC8"/>
    <w:rPr>
      <w:rFonts w:ascii="Arial" w:hAnsi="Arial"/>
      <w:sz w:val="24"/>
      <w:szCs w:val="24"/>
    </w:rPr>
  </w:style>
  <w:style w:type="character" w:styleId="Mention">
    <w:name w:val="Mention"/>
    <w:basedOn w:val="DefaultParagraphFont"/>
    <w:uiPriority w:val="99"/>
    <w:unhideWhenUsed/>
    <w:rsid w:val="00966EC8"/>
    <w:rPr>
      <w:color w:val="2B579A"/>
      <w:shd w:val="clear" w:color="auto" w:fill="E1DFDD"/>
    </w:rPr>
  </w:style>
  <w:style w:type="paragraph" w:styleId="FootnoteText">
    <w:name w:val="footnote text"/>
    <w:basedOn w:val="Normal"/>
    <w:link w:val="FootnoteTextChar"/>
    <w:unhideWhenUsed/>
    <w:rsid w:val="00966EC8"/>
    <w:pPr>
      <w:suppressAutoHyphens/>
      <w:overflowPunct w:val="0"/>
      <w:autoSpaceDE w:val="0"/>
      <w:spacing w:after="0" w:line="240" w:lineRule="auto"/>
      <w:textAlignment w:val="baseline"/>
    </w:pPr>
    <w:rPr>
      <w:rFonts w:ascii="Arial" w:eastAsiaTheme="minorEastAsia" w:hAnsi="Arial"/>
      <w:sz w:val="20"/>
      <w:szCs w:val="20"/>
      <w:lang w:eastAsia="ar-SA"/>
    </w:rPr>
  </w:style>
  <w:style w:type="character" w:customStyle="1" w:styleId="FootnoteTextChar">
    <w:name w:val="Footnote Text Char"/>
    <w:basedOn w:val="DefaultParagraphFont"/>
    <w:link w:val="FootnoteText"/>
    <w:rsid w:val="00966EC8"/>
    <w:rPr>
      <w:rFonts w:ascii="Arial" w:eastAsiaTheme="minorEastAsia" w:hAnsi="Arial"/>
      <w:sz w:val="20"/>
      <w:szCs w:val="20"/>
      <w:lang w:eastAsia="ar-SA"/>
    </w:rPr>
  </w:style>
  <w:style w:type="paragraph" w:customStyle="1" w:styleId="MRPA">
    <w:name w:val="MRP A."/>
    <w:qFormat/>
    <w:rsid w:val="00966EC8"/>
    <w:pPr>
      <w:tabs>
        <w:tab w:val="num" w:pos="360"/>
      </w:tabs>
      <w:outlineLvl w:val="0"/>
    </w:pPr>
    <w:rPr>
      <w:rFonts w:ascii="Arial" w:hAnsi="Arial"/>
      <w:b/>
      <w:sz w:val="28"/>
      <w:szCs w:val="28"/>
    </w:rPr>
  </w:style>
  <w:style w:type="paragraph" w:customStyle="1" w:styleId="MRPA1">
    <w:name w:val="MRP A.1."/>
    <w:qFormat/>
    <w:rsid w:val="00966EC8"/>
    <w:pPr>
      <w:tabs>
        <w:tab w:val="num" w:pos="360"/>
      </w:tabs>
      <w:outlineLvl w:val="1"/>
    </w:pPr>
    <w:rPr>
      <w:rFonts w:ascii="Arial" w:hAnsi="Arial" w:cs="Arial"/>
      <w:b/>
      <w:sz w:val="28"/>
      <w:szCs w:val="28"/>
    </w:rPr>
  </w:style>
  <w:style w:type="paragraph" w:customStyle="1" w:styleId="MRPA1a">
    <w:name w:val="MRP A.1.a."/>
    <w:qFormat/>
    <w:rsid w:val="00966EC8"/>
    <w:pPr>
      <w:ind w:left="1008" w:hanging="864"/>
      <w:outlineLvl w:val="2"/>
    </w:pPr>
    <w:rPr>
      <w:rFonts w:ascii="Arial" w:hAnsi="Arial" w:cs="Arial"/>
      <w:b/>
      <w:sz w:val="24"/>
      <w:szCs w:val="24"/>
    </w:rPr>
  </w:style>
  <w:style w:type="paragraph" w:customStyle="1" w:styleId="MRPA1ai">
    <w:name w:val="MRP A.1.a.i."/>
    <w:qFormat/>
    <w:rsid w:val="00966EC8"/>
    <w:pPr>
      <w:ind w:left="1008" w:hanging="288"/>
    </w:pPr>
    <w:rPr>
      <w:rFonts w:ascii="Arial" w:hAnsi="Arial" w:cs="Arial"/>
      <w:b/>
      <w:bCs/>
      <w:sz w:val="24"/>
      <w:szCs w:val="24"/>
    </w:rPr>
  </w:style>
  <w:style w:type="paragraph" w:customStyle="1" w:styleId="MRPA1ai1">
    <w:name w:val="MRP A.1.a.i. (1)"/>
    <w:next w:val="Normal"/>
    <w:link w:val="MRPA1ai1Char"/>
    <w:qFormat/>
    <w:rsid w:val="00966EC8"/>
    <w:pPr>
      <w:numPr>
        <w:ilvl w:val="1"/>
        <w:numId w:val="18"/>
      </w:numPr>
    </w:pPr>
    <w:rPr>
      <w:rFonts w:ascii="Arial" w:hAnsi="Arial" w:cs="Arial"/>
      <w:bCs/>
      <w:sz w:val="24"/>
      <w:szCs w:val="24"/>
    </w:rPr>
  </w:style>
  <w:style w:type="paragraph" w:customStyle="1" w:styleId="MRPA1ai1a">
    <w:name w:val="MRP A.1.a.i. (1) (a)"/>
    <w:qFormat/>
    <w:rsid w:val="00966EC8"/>
    <w:pPr>
      <w:numPr>
        <w:ilvl w:val="2"/>
        <w:numId w:val="19"/>
      </w:numPr>
    </w:pPr>
    <w:rPr>
      <w:rFonts w:ascii="Arial" w:hAnsi="Arial" w:cs="Arial"/>
      <w:sz w:val="24"/>
      <w:szCs w:val="24"/>
    </w:rPr>
  </w:style>
  <w:style w:type="paragraph" w:customStyle="1" w:styleId="MRPA1ai1ai">
    <w:name w:val="MRP A.1.a.i. (1) (a) (i)"/>
    <w:qFormat/>
    <w:rsid w:val="00966EC8"/>
    <w:pPr>
      <w:numPr>
        <w:numId w:val="20"/>
      </w:numPr>
    </w:pPr>
    <w:rPr>
      <w:rFonts w:ascii="Arial" w:hAnsi="Arial" w:cs="Arial"/>
      <w:sz w:val="24"/>
      <w:szCs w:val="24"/>
    </w:rPr>
  </w:style>
  <w:style w:type="paragraph" w:customStyle="1" w:styleId="MRPA1ai1aiBody">
    <w:name w:val="MRP A.1.a.i. (1) (a) (i)  (Body)"/>
    <w:basedOn w:val="Normal"/>
    <w:link w:val="MRPA1ai1aiBodyChar"/>
    <w:qFormat/>
    <w:rsid w:val="00966EC8"/>
    <w:pPr>
      <w:ind w:left="2376"/>
    </w:pPr>
    <w:rPr>
      <w:rFonts w:ascii="Arial" w:hAnsi="Arial" w:cs="Arial"/>
      <w:sz w:val="24"/>
      <w:szCs w:val="24"/>
    </w:rPr>
  </w:style>
  <w:style w:type="paragraph" w:customStyle="1" w:styleId="MRPA1ai1aiaBody">
    <w:name w:val="MRP A.1.a.i. (1) (a) (i) a.  (Body)"/>
    <w:basedOn w:val="Normal"/>
    <w:link w:val="MRPA1ai1aiaBodyChar"/>
    <w:qFormat/>
    <w:rsid w:val="00966EC8"/>
    <w:pPr>
      <w:ind w:left="2736"/>
    </w:pPr>
    <w:rPr>
      <w:rFonts w:ascii="Arial" w:hAnsi="Arial" w:cs="Arial"/>
      <w:sz w:val="24"/>
      <w:szCs w:val="24"/>
    </w:rPr>
  </w:style>
  <w:style w:type="character" w:customStyle="1" w:styleId="MRPA1ai1aiBodyChar">
    <w:name w:val="MRP A.1.a.i. (1) (a) (i)  (Body) Char"/>
    <w:basedOn w:val="DefaultParagraphFont"/>
    <w:link w:val="MRPA1ai1aiBody"/>
    <w:rsid w:val="00966EC8"/>
    <w:rPr>
      <w:rFonts w:ascii="Arial" w:hAnsi="Arial" w:cs="Arial"/>
      <w:sz w:val="24"/>
      <w:szCs w:val="24"/>
    </w:rPr>
  </w:style>
  <w:style w:type="character" w:customStyle="1" w:styleId="MRPA1ai1aiaBodyChar">
    <w:name w:val="MRP A.1.a.i. (1) (a) (i) a.  (Body) Char"/>
    <w:basedOn w:val="DefaultParagraphFont"/>
    <w:link w:val="MRPA1ai1aiaBody"/>
    <w:rsid w:val="00966EC8"/>
    <w:rPr>
      <w:rFonts w:ascii="Arial" w:hAnsi="Arial" w:cs="Arial"/>
      <w:sz w:val="24"/>
      <w:szCs w:val="24"/>
    </w:rPr>
  </w:style>
  <w:style w:type="paragraph" w:customStyle="1" w:styleId="MRPA1ai1aiaBullet">
    <w:name w:val="MRP A.1.a.i. (1) (a) (i) a.  (Bullet)"/>
    <w:basedOn w:val="MRPA1aiBullet"/>
    <w:rsid w:val="00966EC8"/>
    <w:pPr>
      <w:numPr>
        <w:ilvl w:val="6"/>
      </w:numPr>
    </w:pPr>
  </w:style>
  <w:style w:type="paragraph" w:customStyle="1" w:styleId="MRPA1aiBullet">
    <w:name w:val="MRP A.1.a.i.  (Bullet)"/>
    <w:basedOn w:val="Normal"/>
    <w:rsid w:val="002268AE"/>
    <w:pPr>
      <w:numPr>
        <w:numId w:val="9"/>
      </w:numPr>
    </w:pPr>
    <w:rPr>
      <w:rFonts w:ascii="Arial" w:hAnsi="Arial" w:cs="Arial"/>
      <w:sz w:val="24"/>
      <w:szCs w:val="24"/>
    </w:rPr>
  </w:style>
  <w:style w:type="paragraph" w:customStyle="1" w:styleId="MRPA1ai1aia1">
    <w:name w:val="MRP A.1.a.i. (1) (a) (i) a. 1."/>
    <w:basedOn w:val="ListParagraph"/>
    <w:rsid w:val="002268AE"/>
    <w:pPr>
      <w:numPr>
        <w:numId w:val="12"/>
      </w:numPr>
    </w:pPr>
    <w:rPr>
      <w:rFonts w:ascii="Arial" w:hAnsi="Arial"/>
      <w:sz w:val="24"/>
    </w:rPr>
  </w:style>
  <w:style w:type="character" w:customStyle="1" w:styleId="MRPA1ai1Char">
    <w:name w:val="MRP A.1.a.i. (1) Char"/>
    <w:basedOn w:val="DefaultParagraphFont"/>
    <w:link w:val="MRPA1ai1"/>
    <w:rsid w:val="00966EC8"/>
    <w:rPr>
      <w:rFonts w:ascii="Arial" w:hAnsi="Arial" w:cs="Arial"/>
      <w:bCs/>
      <w:sz w:val="24"/>
      <w:szCs w:val="24"/>
    </w:rPr>
  </w:style>
  <w:style w:type="paragraph" w:customStyle="1" w:styleId="MRPA1ai1aBody">
    <w:name w:val="MRP A.1.a.i. (1) (a)  (Body)"/>
    <w:basedOn w:val="Normal"/>
    <w:link w:val="MRPA1ai1aBodyChar"/>
    <w:qFormat/>
    <w:rsid w:val="00966EC8"/>
    <w:pPr>
      <w:ind w:left="1800"/>
    </w:pPr>
    <w:rPr>
      <w:rFonts w:ascii="Arial" w:hAnsi="Arial" w:cs="Arial"/>
      <w:sz w:val="24"/>
      <w:szCs w:val="24"/>
    </w:rPr>
  </w:style>
  <w:style w:type="character" w:customStyle="1" w:styleId="MRPA1ai1aBodyChar">
    <w:name w:val="MRP A.1.a.i. (1) (a)  (Body) Char"/>
    <w:basedOn w:val="DefaultParagraphFont"/>
    <w:link w:val="MRPA1ai1aBody"/>
    <w:rsid w:val="00966EC8"/>
    <w:rPr>
      <w:rFonts w:ascii="Arial" w:hAnsi="Arial" w:cs="Arial"/>
      <w:sz w:val="24"/>
      <w:szCs w:val="24"/>
    </w:rPr>
  </w:style>
  <w:style w:type="paragraph" w:customStyle="1" w:styleId="MRPFootnote">
    <w:name w:val="MRP Footnote"/>
    <w:next w:val="NormalWeb"/>
    <w:rsid w:val="00966EC8"/>
    <w:pPr>
      <w:spacing w:after="80" w:line="276" w:lineRule="auto"/>
    </w:pPr>
    <w:rPr>
      <w:rFonts w:ascii="Arial" w:eastAsiaTheme="minorEastAsia" w:hAnsi="Arial" w:cs="Arial"/>
      <w:sz w:val="20"/>
    </w:rPr>
  </w:style>
  <w:style w:type="table" w:styleId="TableGrid">
    <w:name w:val="Table Grid"/>
    <w:basedOn w:val="TableNormal"/>
    <w:uiPriority w:val="39"/>
    <w:rsid w:val="00966EC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6EC8"/>
    <w:rPr>
      <w:rFonts w:ascii="Times New Roman" w:hAnsi="Times New Roman" w:cs="Times New Roman"/>
      <w:sz w:val="24"/>
      <w:szCs w:val="24"/>
    </w:rPr>
  </w:style>
  <w:style w:type="paragraph" w:customStyle="1" w:styleId="MRPABody">
    <w:name w:val="MRP A.  (Body)"/>
    <w:basedOn w:val="Normal"/>
    <w:link w:val="MRPABodyChar"/>
    <w:qFormat/>
    <w:rsid w:val="00966EC8"/>
    <w:pPr>
      <w:ind w:left="432"/>
    </w:pPr>
    <w:rPr>
      <w:rFonts w:ascii="Arial" w:hAnsi="Arial" w:cs="Arial"/>
      <w:sz w:val="24"/>
      <w:szCs w:val="24"/>
    </w:rPr>
  </w:style>
  <w:style w:type="character" w:customStyle="1" w:styleId="MRPABodyChar">
    <w:name w:val="MRP A.  (Body) Char"/>
    <w:basedOn w:val="DefaultParagraphFont"/>
    <w:link w:val="MRPABody"/>
    <w:rsid w:val="00966EC8"/>
    <w:rPr>
      <w:rFonts w:ascii="Arial" w:hAnsi="Arial" w:cs="Arial"/>
      <w:sz w:val="24"/>
      <w:szCs w:val="24"/>
    </w:rPr>
  </w:style>
  <w:style w:type="paragraph" w:customStyle="1" w:styleId="MRPTableHeader">
    <w:name w:val="MRP Table Header"/>
    <w:basedOn w:val="Normal"/>
    <w:qFormat/>
    <w:rsid w:val="00966EC8"/>
    <w:pPr>
      <w:spacing w:after="0" w:line="240" w:lineRule="auto"/>
      <w:jc w:val="center"/>
    </w:pPr>
    <w:rPr>
      <w:rFonts w:ascii="Arial" w:hAnsi="Arial"/>
      <w:b/>
      <w:sz w:val="24"/>
    </w:rPr>
  </w:style>
  <w:style w:type="paragraph" w:customStyle="1" w:styleId="MRPTableData">
    <w:name w:val="MRP Table Data"/>
    <w:basedOn w:val="Normal"/>
    <w:qFormat/>
    <w:rsid w:val="00966EC8"/>
    <w:pPr>
      <w:spacing w:before="40" w:after="40" w:line="240" w:lineRule="auto"/>
    </w:pPr>
    <w:rPr>
      <w:rFonts w:ascii="Arial" w:hAnsi="Arial"/>
      <w:sz w:val="24"/>
    </w:rPr>
  </w:style>
  <w:style w:type="paragraph" w:styleId="BalloonText">
    <w:name w:val="Balloon Text"/>
    <w:basedOn w:val="Normal"/>
    <w:link w:val="BalloonTextChar"/>
    <w:uiPriority w:val="99"/>
    <w:semiHidden/>
    <w:unhideWhenUsed/>
    <w:rsid w:val="008E0B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BA0"/>
    <w:rPr>
      <w:rFonts w:ascii="Segoe UI" w:hAnsi="Segoe UI" w:cs="Segoe UI"/>
      <w:sz w:val="18"/>
      <w:szCs w:val="18"/>
    </w:rPr>
  </w:style>
  <w:style w:type="paragraph" w:customStyle="1" w:styleId="MRP-FSProvRqmtList">
    <w:name w:val="MRP-FS Prov Rqmt List"/>
    <w:basedOn w:val="Normal"/>
    <w:rsid w:val="00FE4EA2"/>
    <w:pPr>
      <w:numPr>
        <w:numId w:val="28"/>
      </w:numPr>
    </w:pPr>
    <w:rPr>
      <w:rFonts w:ascii="Arial" w:hAnsi="Arial" w:cs="Arial"/>
      <w:color w:val="000000"/>
      <w:sz w:val="24"/>
    </w:rPr>
  </w:style>
  <w:style w:type="paragraph" w:customStyle="1" w:styleId="MRP-FSProvRqmtBulletBody">
    <w:name w:val="MRP-FS Prov Rqmt Bullet Body"/>
    <w:basedOn w:val="MRP-FSProvRqmtBullet"/>
    <w:qFormat/>
    <w:rsid w:val="008E0BA0"/>
    <w:pPr>
      <w:ind w:left="360"/>
    </w:pPr>
  </w:style>
  <w:style w:type="character" w:customStyle="1" w:styleId="normaltextrun">
    <w:name w:val="normaltextrun"/>
    <w:basedOn w:val="DefaultParagraphFont"/>
    <w:rsid w:val="008E0BA0"/>
  </w:style>
  <w:style w:type="paragraph" w:customStyle="1" w:styleId="MRP-FSProvRqmtListBody-a">
    <w:name w:val="MRP-FS Prov Rqmt List (Body-a)"/>
    <w:basedOn w:val="MRP-FSProvRqmtList"/>
    <w:qFormat/>
    <w:rsid w:val="008E0BA0"/>
    <w:pPr>
      <w:numPr>
        <w:ilvl w:val="2"/>
        <w:numId w:val="29"/>
      </w:numPr>
    </w:pPr>
  </w:style>
  <w:style w:type="character" w:customStyle="1" w:styleId="Heading1Char">
    <w:name w:val="Heading 1 Char"/>
    <w:basedOn w:val="DefaultParagraphFont"/>
    <w:link w:val="Heading1"/>
    <w:uiPriority w:val="9"/>
    <w:rsid w:val="00D33734"/>
    <w:rPr>
      <w:rFonts w:ascii="Arial" w:hAnsi="Arial" w:cs="Arial"/>
      <w:b/>
      <w:bCs/>
      <w:sz w:val="28"/>
      <w:szCs w:val="28"/>
    </w:rPr>
  </w:style>
  <w:style w:type="character" w:customStyle="1" w:styleId="Heading2Char">
    <w:name w:val="Heading 2 Char"/>
    <w:basedOn w:val="DefaultParagraphFont"/>
    <w:link w:val="Heading2"/>
    <w:uiPriority w:val="9"/>
    <w:rsid w:val="00D33734"/>
    <w:rPr>
      <w:rFonts w:ascii="Arial" w:hAnsi="Arial" w:cs="Arial"/>
      <w:b/>
      <w:bCs/>
      <w:sz w:val="28"/>
      <w:szCs w:val="28"/>
    </w:rPr>
  </w:style>
  <w:style w:type="character" w:customStyle="1" w:styleId="Heading3Char">
    <w:name w:val="Heading 3 Char"/>
    <w:basedOn w:val="DefaultParagraphFont"/>
    <w:link w:val="Heading3"/>
    <w:uiPriority w:val="9"/>
    <w:rsid w:val="00D33734"/>
    <w:rPr>
      <w:rFonts w:ascii="Arial" w:hAnsi="Arial" w:cs="Arial"/>
      <w:b/>
      <w:bCs/>
      <w:sz w:val="28"/>
      <w:szCs w:val="28"/>
    </w:rPr>
  </w:style>
  <w:style w:type="character" w:customStyle="1" w:styleId="Heading4Char">
    <w:name w:val="Heading 4 Char"/>
    <w:basedOn w:val="DefaultParagraphFont"/>
    <w:link w:val="Heading4"/>
    <w:uiPriority w:val="9"/>
    <w:rsid w:val="00D33734"/>
    <w:rPr>
      <w:rFonts w:ascii="Arial" w:hAnsi="Arial" w:cs="Arial"/>
      <w:b/>
      <w:bCs/>
      <w:sz w:val="28"/>
      <w:szCs w:val="28"/>
    </w:rPr>
  </w:style>
  <w:style w:type="character" w:customStyle="1" w:styleId="Heading5Char">
    <w:name w:val="Heading 5 Char"/>
    <w:basedOn w:val="DefaultParagraphFont"/>
    <w:link w:val="Heading5"/>
    <w:uiPriority w:val="9"/>
    <w:rsid w:val="00D33734"/>
    <w:rPr>
      <w:rFonts w:ascii="Arial" w:hAnsi="Arial" w:cs="Arial"/>
      <w:b/>
      <w:bCs/>
      <w:sz w:val="24"/>
      <w:szCs w:val="24"/>
      <w:u w:val="single"/>
    </w:rPr>
  </w:style>
  <w:style w:type="character" w:customStyle="1" w:styleId="Heading6Char">
    <w:name w:val="Heading 6 Char"/>
    <w:basedOn w:val="DefaultParagraphFont"/>
    <w:link w:val="Heading6"/>
    <w:uiPriority w:val="9"/>
    <w:rsid w:val="00D33734"/>
    <w:rPr>
      <w:rFonts w:asciiTheme="majorHAnsi" w:eastAsiaTheme="majorEastAsia" w:hAnsiTheme="majorHAnsi" w:cstheme="majorBidi"/>
      <w:color w:val="1F3763" w:themeColor="accent1" w:themeShade="7F"/>
    </w:rPr>
  </w:style>
  <w:style w:type="paragraph" w:customStyle="1" w:styleId="Heading">
    <w:name w:val="Heading"/>
    <w:basedOn w:val="Heading1"/>
    <w:qFormat/>
    <w:rsid w:val="00D33734"/>
    <w:p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54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mailto:derek.beauduy@waterboards.ca.gov"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waterboards.ca.gov/public_notices/petitions/water_quality/wqpetition_instr.s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derek.beauduy@waterboards.ca.gov" TargetMode="Externa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mailto:RB2-MRP@waterboards.ca.gov" TargetMode="External"/><Relationship Id="rId27" Type="http://schemas.openxmlformats.org/officeDocument/2006/relationships/footer" Target="foot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treasurer.ca.gov/ctcac/projects.asp" TargetMode="External"/><Relationship Id="rId3" Type="http://schemas.openxmlformats.org/officeDocument/2006/relationships/hyperlink" Target="https://ecology.wa.gov/Regulations-Permits/Guidance-technical-assistance/Stormwater-permittee-guidance-resources/Emerging-stormwater-treatment-technologies" TargetMode="External"/><Relationship Id="rId7" Type="http://schemas.openxmlformats.org/officeDocument/2006/relationships/hyperlink" Target="https://www.oaklandca.gov/news/2021/oakland-construction-innovation-and-expanded-housing-options-ordinance" TargetMode="External"/><Relationship Id="rId2" Type="http://schemas.openxmlformats.org/officeDocument/2006/relationships/hyperlink" Target="https://ecology.wa.gov/Regulations-Permits/Guidance-technical-assistance/Stormwater-permittee-guidance-resources/Emerging-stormwater-treatment-technologies" TargetMode="External"/><Relationship Id="rId1" Type="http://schemas.openxmlformats.org/officeDocument/2006/relationships/hyperlink" Target="https://ecology.wa.gov/Regulations-Permits/Guidance-technical-assistance/Stormwater-permittee-guidance-resources/Emerging-stormwater-treatment-technologies" TargetMode="External"/><Relationship Id="rId6" Type="http://schemas.openxmlformats.org/officeDocument/2006/relationships/hyperlink" Target="http://www.msdgc.org/downloads/wetweather/greenreport/Files/Green_Report_Exhibit_A.pdf" TargetMode="External"/><Relationship Id="rId5" Type="http://schemas.openxmlformats.org/officeDocument/2006/relationships/hyperlink" Target="https://www.waterboards.ca.gov/sandiego/water_issues/programs/stormwater/" TargetMode="External"/><Relationship Id="rId10" Type="http://schemas.openxmlformats.org/officeDocument/2006/relationships/hyperlink" Target="https://www.treasurer.ca.gov/ctcac/projects.asp" TargetMode="External"/><Relationship Id="rId4" Type="http://schemas.openxmlformats.org/officeDocument/2006/relationships/hyperlink" Target="https://ecology.wa.gov/Regulations-Permits/Permits-certifications/Stormwater-general-permits/Municipal-stormwater-general-permits" TargetMode="External"/><Relationship Id="rId9" Type="http://schemas.openxmlformats.org/officeDocument/2006/relationships/hyperlink" Target="https://www.hcd.ca.gov/planning-and-community-development/housing-open-data-tools/housing-element-implementation-and-apr-dash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90CD0E9D6BC8489446541FE87EEDA8" ma:contentTypeVersion="15" ma:contentTypeDescription="Create a new document." ma:contentTypeScope="" ma:versionID="6c1fba4c8d1e6b030f450826e4440f83">
  <xsd:schema xmlns:xsd="http://www.w3.org/2001/XMLSchema" xmlns:xs="http://www.w3.org/2001/XMLSchema" xmlns:p="http://schemas.microsoft.com/office/2006/metadata/properties" xmlns:ns2="d564418a-956b-4c1b-a359-ac4505102bf5" xmlns:ns3="851dfaa3-aae8-4c03-b90c-7dd4a6526d0d" targetNamespace="http://schemas.microsoft.com/office/2006/metadata/properties" ma:root="true" ma:fieldsID="a44106c6a0898ad6147ef65fcd65bc93" ns2:_="" ns3:_="">
    <xsd:import namespace="d564418a-956b-4c1b-a359-ac4505102bf5"/>
    <xsd:import namespace="851dfaa3-aae8-4c03-b90c-7dd4a6526d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CR"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4418a-956b-4c1b-a359-ac4505102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bde447f-9c6c-4421-af29-e30b317a6074}" ma:internalName="TaxCatchAll"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64418a-956b-4c1b-a359-ac4505102bf5">
      <Terms xmlns="http://schemas.microsoft.com/office/infopath/2007/PartnerControls"/>
    </lcf76f155ced4ddcb4097134ff3c332f>
    <TaxCatchAll xmlns="851dfaa3-aae8-4c03-b90c-7dd4a6526d0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A7660-73FA-440F-870A-CD799B52C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4418a-956b-4c1b-a359-ac4505102bf5"/>
    <ds:schemaRef ds:uri="851dfaa3-aae8-4c03-b90c-7dd4a6526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4ED3BA-885A-4D37-B70C-511774E1A0B6}">
  <ds:schemaRefs>
    <ds:schemaRef ds:uri="http://schemas.microsoft.com/sharepoint/v3/contenttype/forms"/>
  </ds:schemaRefs>
</ds:datastoreItem>
</file>

<file path=customXml/itemProps3.xml><?xml version="1.0" encoding="utf-8"?>
<ds:datastoreItem xmlns:ds="http://schemas.openxmlformats.org/officeDocument/2006/customXml" ds:itemID="{16EF3CD9-8738-4295-9CDD-2717BFEFCD71}">
  <ds:schemaRefs>
    <ds:schemaRef ds:uri="http://schemas.openxmlformats.org/package/2006/metadata/core-properties"/>
    <ds:schemaRef ds:uri="http://purl.org/dc/terms/"/>
    <ds:schemaRef ds:uri="d564418a-956b-4c1b-a359-ac4505102bf5"/>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851dfaa3-aae8-4c03-b90c-7dd4a6526d0d"/>
    <ds:schemaRef ds:uri="http://purl.org/dc/dcmitype/"/>
    <ds:schemaRef ds:uri="http://purl.org/dc/elements/1.1/"/>
  </ds:schemaRefs>
</ds:datastoreItem>
</file>

<file path=customXml/itemProps4.xml><?xml version="1.0" encoding="utf-8"?>
<ds:datastoreItem xmlns:ds="http://schemas.openxmlformats.org/officeDocument/2006/customXml" ds:itemID="{1CB816EB-E985-46B5-907B-D07A9ADCF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39</Pages>
  <Words>13583</Words>
  <Characters>78592</Characters>
  <Application>Microsoft Office Word</Application>
  <DocSecurity>0</DocSecurity>
  <Lines>1457</Lines>
  <Paragraphs>336</Paragraphs>
  <ScaleCrop>false</ScaleCrop>
  <Company/>
  <LinksUpToDate>false</LinksUpToDate>
  <CharactersWithSpaces>92139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MRP 3 Amendment</dc:title>
  <dc:subject>MRP 3 Amendment Provision C.3</dc:subject>
  <dc:creator>Rokeach, Zachary@Waterboards</dc:creator>
  <cp:keywords/>
  <dc:description/>
  <cp:lastModifiedBy>Rokeach, Zachary@Waterboards</cp:lastModifiedBy>
  <cp:revision>1030</cp:revision>
  <cp:lastPrinted>2023-07-21T17:31:00Z</cp:lastPrinted>
  <dcterms:created xsi:type="dcterms:W3CDTF">2023-05-30T16:58:00Z</dcterms:created>
  <dcterms:modified xsi:type="dcterms:W3CDTF">2023-07-21T17:36:00Z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0x0101006090CD0E9D6BC8489446541FE87EEDA8</vt:lpwstr>
  </property>
  <property fmtid="{D5CDD505-2E9C-101B-9397-08002B2CF9AE}" pid="3" name="MediaServiceImageTags">
    <vt:lpwstr/>
  </property>
</Properties>
</file>